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7F7090" w:rsidRDefault="00CE53B8" w:rsidP="00324798">
      <w:pPr>
        <w:ind w:left="720" w:hanging="720"/>
        <w:rPr>
          <w:b/>
          <w:sz w:val="28"/>
          <w:szCs w:val="28"/>
        </w:rPr>
      </w:pPr>
      <w:r w:rsidRPr="007F7090">
        <w:rPr>
          <w:b/>
          <w:sz w:val="28"/>
          <w:szCs w:val="28"/>
        </w:rPr>
        <w:t>5.16</w:t>
      </w:r>
      <w:r w:rsidR="007C0F57" w:rsidRPr="007F7090">
        <w:rPr>
          <w:b/>
          <w:sz w:val="28"/>
          <w:szCs w:val="28"/>
        </w:rPr>
        <w:tab/>
      </w:r>
      <w:r w:rsidRPr="007F7090">
        <w:rPr>
          <w:b/>
          <w:sz w:val="28"/>
          <w:szCs w:val="28"/>
        </w:rPr>
        <w:t>SIMEPREVIR, 150 mg capsule</w:t>
      </w:r>
      <w:proofErr w:type="gramStart"/>
      <w:r w:rsidRPr="007F7090">
        <w:rPr>
          <w:b/>
          <w:sz w:val="28"/>
          <w:szCs w:val="28"/>
        </w:rPr>
        <w:t xml:space="preserve">, </w:t>
      </w:r>
      <w:r w:rsidR="00324798">
        <w:rPr>
          <w:b/>
          <w:sz w:val="28"/>
          <w:szCs w:val="28"/>
        </w:rPr>
        <w:t xml:space="preserve"> </w:t>
      </w:r>
      <w:proofErr w:type="spellStart"/>
      <w:r w:rsidRPr="007F7090">
        <w:rPr>
          <w:b/>
          <w:sz w:val="28"/>
          <w:szCs w:val="28"/>
        </w:rPr>
        <w:t>Olysio</w:t>
      </w:r>
      <w:proofErr w:type="spellEnd"/>
      <w:proofErr w:type="gramEnd"/>
      <w:r w:rsidR="007F7090">
        <w:rPr>
          <w:rFonts w:cs="Arial"/>
          <w:b/>
          <w:sz w:val="28"/>
          <w:szCs w:val="28"/>
        </w:rPr>
        <w:t>®</w:t>
      </w:r>
      <w:r w:rsidRPr="007F7090">
        <w:rPr>
          <w:b/>
          <w:sz w:val="28"/>
          <w:szCs w:val="28"/>
        </w:rPr>
        <w:t>,</w:t>
      </w:r>
      <w:r w:rsidR="007F7090" w:rsidRPr="007F7090">
        <w:rPr>
          <w:b/>
          <w:sz w:val="28"/>
          <w:szCs w:val="28"/>
        </w:rPr>
        <w:t xml:space="preserve"> </w:t>
      </w:r>
      <w:r w:rsidRPr="007F7090">
        <w:rPr>
          <w:b/>
          <w:sz w:val="28"/>
          <w:szCs w:val="28"/>
        </w:rPr>
        <w:t>Janssen-</w:t>
      </w:r>
      <w:proofErr w:type="spellStart"/>
      <w:r w:rsidRPr="007F7090">
        <w:rPr>
          <w:b/>
          <w:sz w:val="28"/>
          <w:szCs w:val="28"/>
        </w:rPr>
        <w:t>Cilag</w:t>
      </w:r>
      <w:proofErr w:type="spellEnd"/>
      <w:r w:rsidRPr="007F7090">
        <w:rPr>
          <w:b/>
          <w:sz w:val="28"/>
          <w:szCs w:val="28"/>
        </w:rPr>
        <w:t xml:space="preserve"> Pty Ltd</w:t>
      </w:r>
      <w:r w:rsidR="0004240E" w:rsidRPr="007F7090">
        <w:rPr>
          <w:b/>
          <w:sz w:val="28"/>
          <w:szCs w:val="28"/>
        </w:rPr>
        <w:t>.</w:t>
      </w:r>
    </w:p>
    <w:p w:rsidR="008D447E" w:rsidRDefault="008D447E" w:rsidP="00A5273B">
      <w:pPr>
        <w:rPr>
          <w:b/>
        </w:rPr>
      </w:pPr>
    </w:p>
    <w:p w:rsidR="007F7090" w:rsidRPr="00400CFB" w:rsidRDefault="007F7090" w:rsidP="00A5273B">
      <w:pPr>
        <w:rPr>
          <w:b/>
        </w:rPr>
      </w:pPr>
    </w:p>
    <w:p w:rsidR="007F7090" w:rsidRPr="00407F2D" w:rsidRDefault="007F7090" w:rsidP="007F7090">
      <w:pPr>
        <w:pStyle w:val="ListParagraph"/>
        <w:numPr>
          <w:ilvl w:val="0"/>
          <w:numId w:val="25"/>
        </w:numPr>
        <w:jc w:val="both"/>
        <w:rPr>
          <w:b/>
          <w:szCs w:val="22"/>
        </w:rPr>
      </w:pPr>
      <w:r w:rsidRPr="00407F2D">
        <w:rPr>
          <w:b/>
          <w:szCs w:val="22"/>
        </w:rPr>
        <w:t>Purpose of Application</w:t>
      </w:r>
    </w:p>
    <w:p w:rsidR="006A12A5" w:rsidRPr="00400CFB" w:rsidRDefault="006A12A5" w:rsidP="00882085">
      <w:pPr>
        <w:jc w:val="both"/>
        <w:rPr>
          <w:szCs w:val="22"/>
        </w:rPr>
      </w:pPr>
    </w:p>
    <w:p w:rsidR="00E16910" w:rsidRPr="007F7090" w:rsidRDefault="00CE53B8" w:rsidP="007F7090">
      <w:pPr>
        <w:pStyle w:val="ListParagraph"/>
        <w:numPr>
          <w:ilvl w:val="1"/>
          <w:numId w:val="25"/>
        </w:numPr>
        <w:jc w:val="both"/>
        <w:rPr>
          <w:szCs w:val="22"/>
        </w:rPr>
      </w:pPr>
      <w:r w:rsidRPr="007F7090">
        <w:rPr>
          <w:szCs w:val="22"/>
        </w:rPr>
        <w:t xml:space="preserve">To request a Section 100 (Highly Specialised Drugs Program) listing for </w:t>
      </w:r>
      <w:proofErr w:type="spellStart"/>
      <w:r w:rsidRPr="007F7090">
        <w:rPr>
          <w:szCs w:val="22"/>
        </w:rPr>
        <w:t>simeprevir</w:t>
      </w:r>
      <w:proofErr w:type="spellEnd"/>
      <w:r w:rsidRPr="007F7090">
        <w:rPr>
          <w:szCs w:val="22"/>
        </w:rPr>
        <w:t xml:space="preserve">, in combination with </w:t>
      </w:r>
      <w:r w:rsidR="00543DBA" w:rsidRPr="007F7090">
        <w:rPr>
          <w:szCs w:val="22"/>
        </w:rPr>
        <w:t>peg-interferon + ribavirin (</w:t>
      </w:r>
      <w:r w:rsidRPr="007F7090">
        <w:rPr>
          <w:szCs w:val="22"/>
        </w:rPr>
        <w:t>PR</w:t>
      </w:r>
      <w:r w:rsidR="00543DBA" w:rsidRPr="007F7090">
        <w:rPr>
          <w:szCs w:val="22"/>
        </w:rPr>
        <w:t>)</w:t>
      </w:r>
      <w:r w:rsidRPr="007F7090">
        <w:rPr>
          <w:szCs w:val="22"/>
        </w:rPr>
        <w:t xml:space="preserve">, to treat hepatitis C virus (HCV) genotype 1 infection. </w:t>
      </w:r>
    </w:p>
    <w:p w:rsidR="006A12A5" w:rsidRDefault="006A12A5" w:rsidP="00882085">
      <w:pPr>
        <w:jc w:val="both"/>
        <w:rPr>
          <w:b/>
          <w:szCs w:val="22"/>
        </w:rPr>
      </w:pPr>
    </w:p>
    <w:p w:rsidR="007F7090" w:rsidRPr="00400CFB" w:rsidRDefault="007F7090" w:rsidP="00882085">
      <w:pPr>
        <w:jc w:val="both"/>
        <w:rPr>
          <w:b/>
          <w:szCs w:val="22"/>
        </w:rPr>
      </w:pPr>
    </w:p>
    <w:p w:rsidR="00614159" w:rsidRPr="00400CFB" w:rsidRDefault="006A12A5" w:rsidP="00882085">
      <w:pPr>
        <w:pStyle w:val="ListParagraph"/>
        <w:numPr>
          <w:ilvl w:val="0"/>
          <w:numId w:val="25"/>
        </w:numPr>
        <w:jc w:val="both"/>
        <w:rPr>
          <w:b/>
          <w:szCs w:val="22"/>
        </w:rPr>
      </w:pPr>
      <w:r w:rsidRPr="00400CFB">
        <w:rPr>
          <w:b/>
          <w:szCs w:val="22"/>
        </w:rPr>
        <w:t>Requested listing</w:t>
      </w:r>
    </w:p>
    <w:p w:rsidR="006A12A5" w:rsidRPr="00400CFB" w:rsidRDefault="006A12A5" w:rsidP="00882085">
      <w:pPr>
        <w:jc w:val="both"/>
        <w:rPr>
          <w:b/>
          <w:szCs w:val="22"/>
        </w:rPr>
      </w:pPr>
    </w:p>
    <w:p w:rsidR="00E16910" w:rsidRPr="00400CFB" w:rsidRDefault="00CE53B8" w:rsidP="00882085">
      <w:pPr>
        <w:pStyle w:val="ListParagraph"/>
        <w:numPr>
          <w:ilvl w:val="1"/>
          <w:numId w:val="25"/>
        </w:numPr>
        <w:jc w:val="both"/>
        <w:rPr>
          <w:szCs w:val="22"/>
        </w:rPr>
      </w:pPr>
      <w:r w:rsidRPr="00400CFB">
        <w:rPr>
          <w:szCs w:val="22"/>
        </w:rPr>
        <w:t>The requested restriction is briefly summarised below:</w:t>
      </w:r>
      <w:r w:rsidR="00326E79" w:rsidRPr="00400CFB">
        <w:rPr>
          <w:szCs w:val="22"/>
        </w:rPr>
        <w:t xml:space="preserve"> </w:t>
      </w:r>
    </w:p>
    <w:p w:rsidR="00CE53B8" w:rsidRPr="00400CFB" w:rsidRDefault="00CE53B8" w:rsidP="00CE53B8">
      <w:pPr>
        <w:jc w:val="both"/>
        <w:rPr>
          <w:szCs w:val="22"/>
        </w:rPr>
      </w:pPr>
    </w:p>
    <w:tbl>
      <w:tblPr>
        <w:tblW w:w="460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Description w:val="simprevir listing"/>
      </w:tblPr>
      <w:tblGrid>
        <w:gridCol w:w="3752"/>
        <w:gridCol w:w="750"/>
        <w:gridCol w:w="885"/>
        <w:gridCol w:w="1307"/>
        <w:gridCol w:w="1671"/>
      </w:tblGrid>
      <w:tr w:rsidR="00085394" w:rsidRPr="007F7090" w:rsidTr="00085394">
        <w:trPr>
          <w:cantSplit/>
          <w:trHeight w:val="504"/>
        </w:trPr>
        <w:tc>
          <w:tcPr>
            <w:tcW w:w="2243" w:type="pct"/>
            <w:vAlign w:val="center"/>
          </w:tcPr>
          <w:p w:rsidR="00085394" w:rsidRPr="007F7090" w:rsidRDefault="00085394" w:rsidP="00C93DAA">
            <w:pPr>
              <w:keepNext/>
              <w:rPr>
                <w:rFonts w:ascii="Arial Narrow" w:hAnsi="Arial Narrow"/>
                <w:sz w:val="20"/>
              </w:rPr>
            </w:pPr>
            <w:r w:rsidRPr="007F7090">
              <w:rPr>
                <w:rFonts w:ascii="Arial Narrow" w:hAnsi="Arial Narrow"/>
                <w:sz w:val="20"/>
              </w:rPr>
              <w:t>Name, Restriction,</w:t>
            </w:r>
          </w:p>
          <w:p w:rsidR="00085394" w:rsidRPr="007F7090" w:rsidRDefault="00085394" w:rsidP="00C93DAA">
            <w:pPr>
              <w:keepNext/>
              <w:rPr>
                <w:rFonts w:ascii="Arial Narrow" w:hAnsi="Arial Narrow"/>
                <w:sz w:val="20"/>
              </w:rPr>
            </w:pPr>
            <w:r w:rsidRPr="007F7090">
              <w:rPr>
                <w:rFonts w:ascii="Arial Narrow" w:hAnsi="Arial Narrow"/>
                <w:sz w:val="20"/>
              </w:rPr>
              <w:t>Manner of administration and form</w:t>
            </w:r>
          </w:p>
        </w:tc>
        <w:tc>
          <w:tcPr>
            <w:tcW w:w="448" w:type="pct"/>
            <w:vAlign w:val="center"/>
          </w:tcPr>
          <w:p w:rsidR="00085394" w:rsidRPr="007F7090" w:rsidRDefault="00085394" w:rsidP="00C93DAA">
            <w:pPr>
              <w:keepNext/>
              <w:jc w:val="center"/>
              <w:rPr>
                <w:rFonts w:ascii="Arial Narrow" w:hAnsi="Arial Narrow"/>
                <w:sz w:val="20"/>
              </w:rPr>
            </w:pPr>
            <w:r w:rsidRPr="007F7090">
              <w:rPr>
                <w:rFonts w:ascii="Arial Narrow" w:hAnsi="Arial Narrow"/>
                <w:sz w:val="20"/>
              </w:rPr>
              <w:t>Max.</w:t>
            </w:r>
          </w:p>
          <w:p w:rsidR="00085394" w:rsidRPr="007F7090" w:rsidRDefault="00085394" w:rsidP="00C93DAA">
            <w:pPr>
              <w:keepNext/>
              <w:jc w:val="center"/>
              <w:rPr>
                <w:rFonts w:ascii="Arial Narrow" w:hAnsi="Arial Narrow"/>
                <w:sz w:val="20"/>
              </w:rPr>
            </w:pPr>
            <w:proofErr w:type="spellStart"/>
            <w:r w:rsidRPr="007F7090">
              <w:rPr>
                <w:rFonts w:ascii="Arial Narrow" w:hAnsi="Arial Narrow"/>
                <w:sz w:val="20"/>
              </w:rPr>
              <w:t>Qty</w:t>
            </w:r>
            <w:proofErr w:type="spellEnd"/>
          </w:p>
        </w:tc>
        <w:tc>
          <w:tcPr>
            <w:tcW w:w="529" w:type="pct"/>
            <w:vAlign w:val="center"/>
          </w:tcPr>
          <w:p w:rsidR="00085394" w:rsidRPr="007F7090" w:rsidRDefault="00085394" w:rsidP="00C93DAA">
            <w:pPr>
              <w:keepNext/>
              <w:jc w:val="center"/>
              <w:rPr>
                <w:rFonts w:ascii="Arial Narrow" w:hAnsi="Arial Narrow"/>
                <w:sz w:val="20"/>
              </w:rPr>
            </w:pPr>
            <w:r w:rsidRPr="007F7090">
              <w:rPr>
                <w:rFonts w:ascii="Arial Narrow" w:hAnsi="Arial Narrow"/>
                <w:sz w:val="20"/>
              </w:rPr>
              <w:t>№.of</w:t>
            </w:r>
          </w:p>
          <w:p w:rsidR="00085394" w:rsidRPr="007F7090" w:rsidRDefault="00085394" w:rsidP="00C93DAA">
            <w:pPr>
              <w:keepNext/>
              <w:jc w:val="center"/>
              <w:rPr>
                <w:rFonts w:ascii="Arial Narrow" w:hAnsi="Arial Narrow"/>
                <w:sz w:val="20"/>
              </w:rPr>
            </w:pPr>
            <w:proofErr w:type="spellStart"/>
            <w:r w:rsidRPr="007F7090">
              <w:rPr>
                <w:rFonts w:ascii="Arial Narrow" w:hAnsi="Arial Narrow"/>
                <w:sz w:val="20"/>
              </w:rPr>
              <w:t>Rpts</w:t>
            </w:r>
            <w:proofErr w:type="spellEnd"/>
          </w:p>
        </w:tc>
        <w:tc>
          <w:tcPr>
            <w:tcW w:w="1780" w:type="pct"/>
            <w:gridSpan w:val="2"/>
            <w:vAlign w:val="center"/>
          </w:tcPr>
          <w:p w:rsidR="00085394" w:rsidRPr="007F7090" w:rsidRDefault="00085394" w:rsidP="00C93DAA">
            <w:pPr>
              <w:keepNext/>
              <w:jc w:val="center"/>
              <w:rPr>
                <w:rFonts w:ascii="Arial Narrow" w:hAnsi="Arial Narrow"/>
                <w:sz w:val="20"/>
                <w:lang w:val="fr-FR"/>
              </w:rPr>
            </w:pPr>
            <w:r w:rsidRPr="007F7090">
              <w:rPr>
                <w:rFonts w:ascii="Arial Narrow" w:hAnsi="Arial Narrow"/>
                <w:sz w:val="20"/>
              </w:rPr>
              <w:t>Proprietary Name and Manufacturer</w:t>
            </w:r>
          </w:p>
        </w:tc>
      </w:tr>
      <w:tr w:rsidR="00085394" w:rsidRPr="007F7090" w:rsidTr="00085394">
        <w:trPr>
          <w:cantSplit/>
          <w:trHeight w:val="618"/>
        </w:trPr>
        <w:tc>
          <w:tcPr>
            <w:tcW w:w="2243" w:type="pct"/>
            <w:vAlign w:val="center"/>
          </w:tcPr>
          <w:p w:rsidR="00085394" w:rsidRPr="007F7090" w:rsidRDefault="00085394" w:rsidP="00C93DAA">
            <w:pPr>
              <w:keepLines/>
              <w:rPr>
                <w:rFonts w:ascii="Arial Narrow" w:hAnsi="Arial Narrow"/>
                <w:sz w:val="20"/>
              </w:rPr>
            </w:pPr>
            <w:proofErr w:type="spellStart"/>
            <w:r w:rsidRPr="007F7090">
              <w:rPr>
                <w:rFonts w:ascii="Arial Narrow" w:hAnsi="Arial Narrow"/>
                <w:smallCaps/>
                <w:sz w:val="20"/>
              </w:rPr>
              <w:t>simeprevir</w:t>
            </w:r>
            <w:proofErr w:type="spellEnd"/>
          </w:p>
          <w:p w:rsidR="00085394" w:rsidRPr="007F7090" w:rsidRDefault="00085394" w:rsidP="00C93DAA">
            <w:pPr>
              <w:keepNext/>
              <w:rPr>
                <w:rFonts w:ascii="Arial Narrow" w:hAnsi="Arial Narrow"/>
                <w:sz w:val="20"/>
              </w:rPr>
            </w:pPr>
            <w:r w:rsidRPr="007F7090">
              <w:rPr>
                <w:rFonts w:ascii="Arial Narrow" w:hAnsi="Arial Narrow"/>
                <w:sz w:val="20"/>
              </w:rPr>
              <w:t>Capsule 150mg, 7 capsules</w:t>
            </w:r>
            <w:r w:rsidRPr="007F7090">
              <w:rPr>
                <w:rFonts w:ascii="Arial Narrow" w:hAnsi="Arial Narrow"/>
                <w:smallCaps/>
                <w:sz w:val="20"/>
              </w:rPr>
              <w:t xml:space="preserve"> </w:t>
            </w:r>
          </w:p>
        </w:tc>
        <w:tc>
          <w:tcPr>
            <w:tcW w:w="448" w:type="pct"/>
            <w:vAlign w:val="center"/>
          </w:tcPr>
          <w:p w:rsidR="00085394" w:rsidRPr="007F7090" w:rsidRDefault="00085394" w:rsidP="00C93DAA">
            <w:pPr>
              <w:keepNext/>
              <w:jc w:val="center"/>
              <w:rPr>
                <w:rFonts w:ascii="Arial Narrow" w:hAnsi="Arial Narrow"/>
                <w:sz w:val="20"/>
              </w:rPr>
            </w:pPr>
          </w:p>
          <w:p w:rsidR="00085394" w:rsidRPr="007F7090" w:rsidRDefault="00085394" w:rsidP="00C93DAA">
            <w:pPr>
              <w:keepNext/>
              <w:jc w:val="center"/>
              <w:rPr>
                <w:rFonts w:ascii="Arial Narrow" w:hAnsi="Arial Narrow"/>
                <w:sz w:val="20"/>
              </w:rPr>
            </w:pPr>
            <w:r w:rsidRPr="007F7090">
              <w:rPr>
                <w:rFonts w:ascii="Arial Narrow" w:hAnsi="Arial Narrow"/>
                <w:sz w:val="20"/>
              </w:rPr>
              <w:t>6</w:t>
            </w:r>
          </w:p>
        </w:tc>
        <w:tc>
          <w:tcPr>
            <w:tcW w:w="529" w:type="pct"/>
            <w:vAlign w:val="center"/>
          </w:tcPr>
          <w:p w:rsidR="00085394" w:rsidRPr="007F7090" w:rsidRDefault="00085394" w:rsidP="00C93DAA">
            <w:pPr>
              <w:keepNext/>
              <w:jc w:val="center"/>
              <w:rPr>
                <w:rFonts w:ascii="Arial Narrow" w:hAnsi="Arial Narrow"/>
                <w:sz w:val="20"/>
              </w:rPr>
            </w:pPr>
          </w:p>
          <w:p w:rsidR="00085394" w:rsidRPr="007F7090" w:rsidRDefault="00085394" w:rsidP="00C93DAA">
            <w:pPr>
              <w:keepNext/>
              <w:jc w:val="center"/>
              <w:rPr>
                <w:rFonts w:ascii="Arial Narrow" w:hAnsi="Arial Narrow"/>
                <w:sz w:val="20"/>
              </w:rPr>
            </w:pPr>
            <w:r w:rsidRPr="007F7090">
              <w:rPr>
                <w:rFonts w:ascii="Arial Narrow" w:hAnsi="Arial Narrow"/>
                <w:sz w:val="20"/>
              </w:rPr>
              <w:t>0</w:t>
            </w:r>
          </w:p>
        </w:tc>
        <w:tc>
          <w:tcPr>
            <w:tcW w:w="781" w:type="pct"/>
            <w:vAlign w:val="center"/>
          </w:tcPr>
          <w:p w:rsidR="00085394" w:rsidRPr="007F7090" w:rsidRDefault="00085394" w:rsidP="00C93DAA">
            <w:pPr>
              <w:keepNext/>
              <w:jc w:val="center"/>
              <w:rPr>
                <w:rFonts w:ascii="Arial Narrow" w:hAnsi="Arial Narrow"/>
                <w:sz w:val="20"/>
              </w:rPr>
            </w:pPr>
            <w:r w:rsidRPr="007F7090">
              <w:rPr>
                <w:rFonts w:ascii="Arial Narrow" w:hAnsi="Arial Narrow"/>
                <w:sz w:val="20"/>
              </w:rPr>
              <w:t>OLYSIO</w:t>
            </w:r>
            <w:r w:rsidRPr="007F7090">
              <w:rPr>
                <w:rFonts w:ascii="Arial Narrow" w:hAnsi="Arial Narrow"/>
                <w:sz w:val="20"/>
                <w:vertAlign w:val="superscript"/>
              </w:rPr>
              <w:t>®</w:t>
            </w:r>
          </w:p>
        </w:tc>
        <w:tc>
          <w:tcPr>
            <w:tcW w:w="999" w:type="pct"/>
            <w:vAlign w:val="center"/>
          </w:tcPr>
          <w:p w:rsidR="00085394" w:rsidRPr="007F7090" w:rsidRDefault="00085394" w:rsidP="00C93DAA">
            <w:pPr>
              <w:keepNext/>
              <w:jc w:val="center"/>
              <w:rPr>
                <w:rFonts w:ascii="Arial Narrow" w:hAnsi="Arial Narrow"/>
                <w:sz w:val="20"/>
              </w:rPr>
            </w:pPr>
            <w:r w:rsidRPr="007F7090">
              <w:rPr>
                <w:rFonts w:ascii="Arial Narrow" w:hAnsi="Arial Narrow"/>
                <w:sz w:val="20"/>
              </w:rPr>
              <w:t>Janssen-</w:t>
            </w:r>
            <w:proofErr w:type="spellStart"/>
            <w:r w:rsidRPr="007F7090">
              <w:rPr>
                <w:rFonts w:ascii="Arial Narrow" w:hAnsi="Arial Narrow"/>
                <w:sz w:val="20"/>
              </w:rPr>
              <w:t>Cilag</w:t>
            </w:r>
            <w:proofErr w:type="spellEnd"/>
            <w:r w:rsidRPr="007F7090">
              <w:rPr>
                <w:rFonts w:ascii="Arial Narrow" w:hAnsi="Arial Narrow"/>
                <w:sz w:val="20"/>
              </w:rPr>
              <w:t xml:space="preserve"> Pty Ltd</w:t>
            </w:r>
          </w:p>
        </w:tc>
      </w:tr>
    </w:tbl>
    <w:p w:rsidR="007F7090" w:rsidRDefault="007F7090" w:rsidP="00262800">
      <w:pPr>
        <w:rPr>
          <w:szCs w:val="22"/>
        </w:rPr>
      </w:pPr>
      <w:r>
        <w:rPr>
          <w:szCs w:val="22"/>
        </w:rPr>
        <w:tab/>
      </w:r>
    </w:p>
    <w:tbl>
      <w:tblPr>
        <w:tblStyle w:val="TableGrid"/>
        <w:tblW w:w="0" w:type="auto"/>
        <w:tblInd w:w="817" w:type="dxa"/>
        <w:tblLook w:val="04A0" w:firstRow="1" w:lastRow="0" w:firstColumn="1" w:lastColumn="0" w:noHBand="0" w:noVBand="1"/>
        <w:tblDescription w:val="simprevir listing"/>
      </w:tblPr>
      <w:tblGrid>
        <w:gridCol w:w="8363"/>
      </w:tblGrid>
      <w:tr w:rsidR="007F7090" w:rsidTr="007F7090">
        <w:tc>
          <w:tcPr>
            <w:tcW w:w="8363" w:type="dxa"/>
          </w:tcPr>
          <w:p w:rsidR="007F7090" w:rsidRPr="007F7090" w:rsidRDefault="007F7090" w:rsidP="007F7090">
            <w:pPr>
              <w:keepLines/>
              <w:spacing w:before="40" w:after="40"/>
              <w:rPr>
                <w:rFonts w:ascii="Arial Narrow" w:hAnsi="Arial Narrow"/>
                <w:b/>
                <w:sz w:val="20"/>
              </w:rPr>
            </w:pPr>
            <w:r w:rsidRPr="007F7090">
              <w:rPr>
                <w:rFonts w:ascii="Arial Narrow" w:hAnsi="Arial Narrow"/>
                <w:b/>
                <w:sz w:val="20"/>
              </w:rPr>
              <w:t>Section 100 (Highly Specialised Drug Program)</w:t>
            </w:r>
          </w:p>
          <w:p w:rsidR="007F7090" w:rsidRPr="007F7090" w:rsidRDefault="007F7090" w:rsidP="007F7090">
            <w:pPr>
              <w:keepLines/>
              <w:spacing w:before="40" w:after="40"/>
              <w:rPr>
                <w:rFonts w:ascii="Arial Narrow" w:hAnsi="Arial Narrow"/>
                <w:b/>
                <w:sz w:val="20"/>
              </w:rPr>
            </w:pPr>
            <w:r w:rsidRPr="007F7090">
              <w:rPr>
                <w:rFonts w:ascii="Arial Narrow" w:hAnsi="Arial Narrow"/>
                <w:b/>
                <w:sz w:val="20"/>
              </w:rPr>
              <w:t>Private Hospital Authority Required; Public Hospital Authority Required (STREAMLINED)</w:t>
            </w:r>
          </w:p>
          <w:p w:rsidR="007F7090" w:rsidRPr="007F7090" w:rsidRDefault="007F7090" w:rsidP="007F7090">
            <w:pPr>
              <w:pStyle w:val="ListParagraph"/>
              <w:keepLines/>
              <w:numPr>
                <w:ilvl w:val="0"/>
                <w:numId w:val="57"/>
              </w:numPr>
              <w:spacing w:before="40" w:after="40"/>
              <w:jc w:val="both"/>
              <w:rPr>
                <w:rFonts w:ascii="Arial Narrow" w:hAnsi="Arial Narrow"/>
                <w:sz w:val="20"/>
              </w:rPr>
            </w:pPr>
            <w:r w:rsidRPr="007F7090">
              <w:rPr>
                <w:rFonts w:ascii="Arial Narrow" w:hAnsi="Arial Narrow"/>
                <w:sz w:val="20"/>
              </w:rPr>
              <w:t>Chronic genotype 1 hepatitis C infection;</w:t>
            </w:r>
          </w:p>
          <w:p w:rsidR="007F7090" w:rsidRPr="007F7090" w:rsidRDefault="007F7090" w:rsidP="007F7090">
            <w:pPr>
              <w:pStyle w:val="ListParagraph"/>
              <w:keepLines/>
              <w:numPr>
                <w:ilvl w:val="0"/>
                <w:numId w:val="57"/>
              </w:numPr>
              <w:spacing w:before="40" w:after="40"/>
              <w:jc w:val="both"/>
              <w:rPr>
                <w:rFonts w:ascii="Arial Narrow" w:hAnsi="Arial Narrow"/>
                <w:sz w:val="20"/>
              </w:rPr>
            </w:pPr>
            <w:r w:rsidRPr="007F7090">
              <w:rPr>
                <w:rFonts w:ascii="Arial Narrow" w:hAnsi="Arial Narrow"/>
                <w:sz w:val="20"/>
              </w:rPr>
              <w:t xml:space="preserve">Patient may either: a) not have received prior treatment with interferon </w:t>
            </w:r>
            <w:proofErr w:type="spellStart"/>
            <w:r w:rsidRPr="007F7090">
              <w:rPr>
                <w:rFonts w:ascii="Arial Narrow" w:hAnsi="Arial Narrow"/>
                <w:sz w:val="20"/>
              </w:rPr>
              <w:t>alfa</w:t>
            </w:r>
            <w:proofErr w:type="spellEnd"/>
            <w:r w:rsidRPr="007F7090">
              <w:rPr>
                <w:rFonts w:ascii="Arial Narrow" w:hAnsi="Arial Narrow"/>
                <w:sz w:val="20"/>
              </w:rPr>
              <w:t xml:space="preserve"> or </w:t>
            </w:r>
            <w:proofErr w:type="spellStart"/>
            <w:r w:rsidRPr="007F7090">
              <w:rPr>
                <w:rFonts w:ascii="Arial Narrow" w:hAnsi="Arial Narrow"/>
                <w:sz w:val="20"/>
              </w:rPr>
              <w:t>peginterferon</w:t>
            </w:r>
            <w:proofErr w:type="spellEnd"/>
            <w:r w:rsidRPr="007F7090">
              <w:rPr>
                <w:rFonts w:ascii="Arial Narrow" w:hAnsi="Arial Narrow"/>
                <w:sz w:val="20"/>
              </w:rPr>
              <w:t xml:space="preserve"> </w:t>
            </w:r>
            <w:proofErr w:type="spellStart"/>
            <w:r w:rsidRPr="007F7090">
              <w:rPr>
                <w:rFonts w:ascii="Arial Narrow" w:hAnsi="Arial Narrow"/>
                <w:sz w:val="20"/>
              </w:rPr>
              <w:t>alfa</w:t>
            </w:r>
            <w:proofErr w:type="spellEnd"/>
            <w:r w:rsidRPr="007F7090">
              <w:rPr>
                <w:rFonts w:ascii="Arial Narrow" w:hAnsi="Arial Narrow"/>
                <w:sz w:val="20"/>
              </w:rPr>
              <w:t xml:space="preserve"> for hepatitis C; or b) have received prior treatment with interferon </w:t>
            </w:r>
            <w:proofErr w:type="spellStart"/>
            <w:r w:rsidRPr="007F7090">
              <w:rPr>
                <w:rFonts w:ascii="Arial Narrow" w:hAnsi="Arial Narrow"/>
                <w:sz w:val="20"/>
              </w:rPr>
              <w:t>alfa</w:t>
            </w:r>
            <w:proofErr w:type="spellEnd"/>
            <w:r w:rsidRPr="007F7090">
              <w:rPr>
                <w:rFonts w:ascii="Arial Narrow" w:hAnsi="Arial Narrow"/>
                <w:sz w:val="20"/>
              </w:rPr>
              <w:t xml:space="preserve"> or </w:t>
            </w:r>
            <w:proofErr w:type="spellStart"/>
            <w:r w:rsidRPr="007F7090">
              <w:rPr>
                <w:rFonts w:ascii="Arial Narrow" w:hAnsi="Arial Narrow"/>
                <w:sz w:val="20"/>
              </w:rPr>
              <w:t>peginterferon</w:t>
            </w:r>
            <w:proofErr w:type="spellEnd"/>
            <w:r w:rsidRPr="007F7090">
              <w:rPr>
                <w:rFonts w:ascii="Arial Narrow" w:hAnsi="Arial Narrow"/>
                <w:sz w:val="20"/>
              </w:rPr>
              <w:t xml:space="preserve"> </w:t>
            </w:r>
            <w:proofErr w:type="spellStart"/>
            <w:r w:rsidRPr="007F7090">
              <w:rPr>
                <w:rFonts w:ascii="Arial Narrow" w:hAnsi="Arial Narrow"/>
                <w:sz w:val="20"/>
              </w:rPr>
              <w:t>alfa</w:t>
            </w:r>
            <w:proofErr w:type="spellEnd"/>
            <w:r w:rsidRPr="007F7090">
              <w:rPr>
                <w:rFonts w:ascii="Arial Narrow" w:hAnsi="Arial Narrow"/>
                <w:sz w:val="20"/>
              </w:rPr>
              <w:t xml:space="preserve"> for hepatitis C;</w:t>
            </w:r>
          </w:p>
          <w:p w:rsidR="007F7090" w:rsidRPr="007F7090" w:rsidRDefault="007F7090" w:rsidP="007F7090">
            <w:pPr>
              <w:pStyle w:val="ListParagraph"/>
              <w:keepLines/>
              <w:numPr>
                <w:ilvl w:val="0"/>
                <w:numId w:val="57"/>
              </w:numPr>
              <w:spacing w:before="40" w:after="40"/>
              <w:jc w:val="both"/>
              <w:rPr>
                <w:rFonts w:ascii="Arial Narrow" w:hAnsi="Arial Narrow"/>
                <w:sz w:val="20"/>
              </w:rPr>
            </w:pPr>
            <w:r w:rsidRPr="007F7090">
              <w:rPr>
                <w:rFonts w:ascii="Arial Narrow" w:hAnsi="Arial Narrow"/>
                <w:sz w:val="20"/>
              </w:rPr>
              <w:t xml:space="preserve">The treatment must be in combination with </w:t>
            </w:r>
            <w:proofErr w:type="spellStart"/>
            <w:r w:rsidRPr="007F7090">
              <w:rPr>
                <w:rFonts w:ascii="Arial Narrow" w:hAnsi="Arial Narrow"/>
                <w:sz w:val="20"/>
              </w:rPr>
              <w:t>peginterferon</w:t>
            </w:r>
            <w:proofErr w:type="spellEnd"/>
            <w:r w:rsidRPr="007F7090">
              <w:rPr>
                <w:rFonts w:ascii="Arial Narrow" w:hAnsi="Arial Narrow"/>
                <w:sz w:val="20"/>
              </w:rPr>
              <w:t xml:space="preserve"> </w:t>
            </w:r>
            <w:proofErr w:type="spellStart"/>
            <w:r w:rsidRPr="007F7090">
              <w:rPr>
                <w:rFonts w:ascii="Arial Narrow" w:hAnsi="Arial Narrow"/>
                <w:sz w:val="20"/>
              </w:rPr>
              <w:t>alfa</w:t>
            </w:r>
            <w:proofErr w:type="spellEnd"/>
            <w:r w:rsidRPr="007F7090">
              <w:rPr>
                <w:rFonts w:ascii="Arial Narrow" w:hAnsi="Arial Narrow"/>
                <w:sz w:val="20"/>
              </w:rPr>
              <w:t xml:space="preserve"> and ribavirin;</w:t>
            </w:r>
          </w:p>
          <w:p w:rsidR="007F7090" w:rsidRPr="007F7090" w:rsidRDefault="007F7090" w:rsidP="007F7090">
            <w:pPr>
              <w:pStyle w:val="ListParagraph"/>
              <w:keepLines/>
              <w:numPr>
                <w:ilvl w:val="0"/>
                <w:numId w:val="57"/>
              </w:numPr>
              <w:spacing w:before="40" w:after="40"/>
              <w:jc w:val="both"/>
              <w:rPr>
                <w:rFonts w:ascii="Arial Narrow" w:hAnsi="Arial Narrow"/>
                <w:sz w:val="20"/>
              </w:rPr>
            </w:pPr>
            <w:r w:rsidRPr="007F7090">
              <w:rPr>
                <w:rFonts w:ascii="Arial Narrow" w:hAnsi="Arial Narrow"/>
                <w:sz w:val="20"/>
              </w:rPr>
              <w:t xml:space="preserve">Patients who have received prior treatment with a NS3/4A protease inhibitor are not eligible to receive PBS-subsidised </w:t>
            </w:r>
            <w:proofErr w:type="spellStart"/>
            <w:r w:rsidRPr="007F7090">
              <w:rPr>
                <w:rFonts w:ascii="Arial Narrow" w:hAnsi="Arial Narrow"/>
                <w:sz w:val="20"/>
              </w:rPr>
              <w:t>simeprevir</w:t>
            </w:r>
            <w:proofErr w:type="spellEnd"/>
            <w:r w:rsidRPr="007F7090">
              <w:rPr>
                <w:rFonts w:ascii="Arial Narrow" w:hAnsi="Arial Narrow"/>
                <w:sz w:val="20"/>
              </w:rPr>
              <w:t xml:space="preserve">, except where the patient has developed intolerance to the other NS3/4A protease inhibitor of a severity necessitating treatment withdrawal; </w:t>
            </w:r>
          </w:p>
          <w:p w:rsidR="007F7090" w:rsidRPr="007F7090" w:rsidRDefault="007F7090" w:rsidP="007F7090">
            <w:pPr>
              <w:pStyle w:val="ListParagraph"/>
              <w:keepLines/>
              <w:numPr>
                <w:ilvl w:val="0"/>
                <w:numId w:val="57"/>
              </w:numPr>
              <w:spacing w:before="40" w:after="40"/>
              <w:jc w:val="both"/>
              <w:rPr>
                <w:rFonts w:ascii="Arial Narrow" w:hAnsi="Arial Narrow"/>
                <w:sz w:val="20"/>
              </w:rPr>
            </w:pPr>
            <w:r w:rsidRPr="007F7090">
              <w:rPr>
                <w:rFonts w:ascii="Arial Narrow" w:hAnsi="Arial Narrow"/>
                <w:sz w:val="20"/>
              </w:rPr>
              <w:t xml:space="preserve">The treatment with </w:t>
            </w:r>
            <w:proofErr w:type="spellStart"/>
            <w:r w:rsidRPr="007F7090">
              <w:rPr>
                <w:rFonts w:ascii="Arial Narrow" w:hAnsi="Arial Narrow"/>
                <w:sz w:val="20"/>
              </w:rPr>
              <w:t>simeprevir</w:t>
            </w:r>
            <w:proofErr w:type="spellEnd"/>
            <w:r w:rsidRPr="007F7090">
              <w:rPr>
                <w:rFonts w:ascii="Arial Narrow" w:hAnsi="Arial Narrow"/>
                <w:sz w:val="20"/>
              </w:rPr>
              <w:t xml:space="preserve"> must be limited to a maximum duration of 12 weeks; and</w:t>
            </w:r>
          </w:p>
          <w:p w:rsidR="007F7090" w:rsidRDefault="007F7090" w:rsidP="007F7090">
            <w:pPr>
              <w:rPr>
                <w:szCs w:val="22"/>
              </w:rPr>
            </w:pPr>
            <w:r w:rsidRPr="007F7090">
              <w:rPr>
                <w:rFonts w:ascii="Arial Narrow" w:hAnsi="Arial Narrow"/>
                <w:sz w:val="20"/>
              </w:rPr>
              <w:t>The treatment must cease if the results of an HCV RNA quantitative assay at week 4 show that the plasma HCV RNA is equal or greater than 25 IU/</w:t>
            </w:r>
            <w:proofErr w:type="spellStart"/>
            <w:r w:rsidRPr="007F7090">
              <w:rPr>
                <w:rFonts w:ascii="Arial Narrow" w:hAnsi="Arial Narrow"/>
                <w:sz w:val="20"/>
              </w:rPr>
              <w:t>mL.</w:t>
            </w:r>
            <w:proofErr w:type="spellEnd"/>
          </w:p>
        </w:tc>
      </w:tr>
    </w:tbl>
    <w:p w:rsidR="007F7090" w:rsidRPr="00400CFB" w:rsidRDefault="007F7090" w:rsidP="00262800">
      <w:pPr>
        <w:rPr>
          <w:szCs w:val="22"/>
        </w:rPr>
      </w:pPr>
    </w:p>
    <w:p w:rsidR="008C0B57" w:rsidRPr="00400CFB" w:rsidRDefault="00262800" w:rsidP="00543DBA">
      <w:pPr>
        <w:pStyle w:val="ListParagraph"/>
        <w:numPr>
          <w:ilvl w:val="1"/>
          <w:numId w:val="25"/>
        </w:numPr>
        <w:jc w:val="both"/>
        <w:rPr>
          <w:color w:val="FF0000"/>
          <w:szCs w:val="22"/>
        </w:rPr>
      </w:pPr>
      <w:r w:rsidRPr="00400CFB">
        <w:t xml:space="preserve">The ESC noted that the commentary stated that the Q80K polymorphism appears to be an effect modifier for </w:t>
      </w:r>
      <w:proofErr w:type="spellStart"/>
      <w:r w:rsidRPr="00400CFB">
        <w:t>simeprevir</w:t>
      </w:r>
      <w:proofErr w:type="spellEnd"/>
      <w:r w:rsidR="002162D7" w:rsidRPr="00400CFB">
        <w:t xml:space="preserve"> </w:t>
      </w:r>
      <w:r w:rsidRPr="00400CFB">
        <w:t>+</w:t>
      </w:r>
      <w:r w:rsidR="002162D7" w:rsidRPr="00400CFB">
        <w:t xml:space="preserve"> </w:t>
      </w:r>
      <w:r w:rsidRPr="00400CFB">
        <w:t xml:space="preserve">PR. The </w:t>
      </w:r>
      <w:r w:rsidR="00543DBA" w:rsidRPr="00400CFB">
        <w:t>Pre-Sub-Committee Response (</w:t>
      </w:r>
      <w:r w:rsidRPr="00400CFB">
        <w:t>PSCR</w:t>
      </w:r>
      <w:r w:rsidR="00543DBA" w:rsidRPr="00400CFB">
        <w:t>)</w:t>
      </w:r>
      <w:r w:rsidRPr="00400CFB">
        <w:t xml:space="preserve"> stated that the prevalence of the Q80K polymorphism in Australia is low </w:t>
      </w:r>
      <w:r w:rsidR="004C1F6C">
        <w:rPr>
          <w:noProof/>
          <w:color w:val="000000"/>
          <w:highlight w:val="black"/>
        </w:rPr>
        <w:t>''''''''''''''''''''''''''''''''''''' ''''''''''''''''</w:t>
      </w:r>
      <w:r w:rsidRPr="00400CFB">
        <w:t xml:space="preserve"> compared to its prevalence (close to 50%) in US patients with HCV genotype 1a. The ESC agreed </w:t>
      </w:r>
      <w:r w:rsidRPr="00904354">
        <w:t>with the PSCR</w:t>
      </w:r>
      <w:r w:rsidRPr="00400CFB">
        <w:t xml:space="preserve"> that screening for Q80K polymorphism in Australia would </w:t>
      </w:r>
      <w:r w:rsidR="002162D7" w:rsidRPr="00400CFB">
        <w:t xml:space="preserve">not </w:t>
      </w:r>
      <w:r w:rsidRPr="00400CFB">
        <w:t xml:space="preserve">be necessary provided the proportion of patients with the Q80K polymorphism does not increase significantly over time. </w:t>
      </w:r>
    </w:p>
    <w:p w:rsidR="00F95F19" w:rsidRPr="00400CFB" w:rsidRDefault="00F95F19" w:rsidP="00F95F19">
      <w:pPr>
        <w:jc w:val="both"/>
        <w:rPr>
          <w:color w:val="FF0000"/>
          <w:szCs w:val="22"/>
        </w:rPr>
      </w:pPr>
    </w:p>
    <w:p w:rsidR="004F6C5F" w:rsidRDefault="00262800" w:rsidP="004F6C5F">
      <w:pPr>
        <w:pStyle w:val="ListParagraph"/>
        <w:numPr>
          <w:ilvl w:val="1"/>
          <w:numId w:val="25"/>
        </w:numPr>
        <w:jc w:val="both"/>
        <w:rPr>
          <w:szCs w:val="22"/>
        </w:rPr>
      </w:pPr>
      <w:r w:rsidRPr="00400CFB">
        <w:rPr>
          <w:szCs w:val="22"/>
        </w:rPr>
        <w:t xml:space="preserve">The ESC noted that </w:t>
      </w:r>
      <w:proofErr w:type="spellStart"/>
      <w:r w:rsidR="007013D2" w:rsidRPr="00400CFB">
        <w:rPr>
          <w:szCs w:val="22"/>
        </w:rPr>
        <w:t>simeprevir</w:t>
      </w:r>
      <w:proofErr w:type="spellEnd"/>
      <w:r w:rsidR="007013D2" w:rsidRPr="00400CFB">
        <w:rPr>
          <w:szCs w:val="22"/>
        </w:rPr>
        <w:t xml:space="preserve"> and </w:t>
      </w:r>
      <w:proofErr w:type="spellStart"/>
      <w:r w:rsidR="007013D2" w:rsidRPr="00400CFB">
        <w:rPr>
          <w:szCs w:val="22"/>
        </w:rPr>
        <w:t>sofosbuvir</w:t>
      </w:r>
      <w:proofErr w:type="spellEnd"/>
      <w:r w:rsidR="007013D2" w:rsidRPr="00400CFB">
        <w:rPr>
          <w:szCs w:val="22"/>
        </w:rPr>
        <w:t xml:space="preserve"> (a NS5B polymerase inhibitor) may </w:t>
      </w:r>
      <w:r w:rsidR="006241CB" w:rsidRPr="00400CFB">
        <w:rPr>
          <w:szCs w:val="22"/>
        </w:rPr>
        <w:t xml:space="preserve">be </w:t>
      </w:r>
      <w:r w:rsidR="007013D2" w:rsidRPr="00400CFB">
        <w:rPr>
          <w:szCs w:val="22"/>
        </w:rPr>
        <w:t xml:space="preserve">used together as an interferon-free treatment option on the basis of emerging evidence for this regimen (COSMOS Phase II) and </w:t>
      </w:r>
      <w:r w:rsidR="00FD155D" w:rsidRPr="00400CFB">
        <w:rPr>
          <w:szCs w:val="22"/>
        </w:rPr>
        <w:t>the</w:t>
      </w:r>
      <w:r w:rsidR="007013D2" w:rsidRPr="00400CFB">
        <w:rPr>
          <w:szCs w:val="22"/>
        </w:rPr>
        <w:t xml:space="preserve"> recent recommendation in </w:t>
      </w:r>
      <w:r w:rsidR="004F6C5F" w:rsidRPr="00400CFB">
        <w:rPr>
          <w:szCs w:val="22"/>
        </w:rPr>
        <w:t>the American</w:t>
      </w:r>
      <w:r w:rsidRPr="00400CFB">
        <w:rPr>
          <w:szCs w:val="22"/>
        </w:rPr>
        <w:t xml:space="preserve"> Association for the Study of Liver Disease (AASLD) updated guidelines for treatment-naïve patients with HCV genotype 1 who are not eligible to receive IFN.  </w:t>
      </w:r>
    </w:p>
    <w:p w:rsidR="004F6C5F" w:rsidRPr="004F6C5F" w:rsidRDefault="004F6C5F" w:rsidP="004F6C5F">
      <w:pPr>
        <w:jc w:val="both"/>
        <w:rPr>
          <w:szCs w:val="22"/>
        </w:rPr>
      </w:pPr>
    </w:p>
    <w:p w:rsidR="00BD6BAF" w:rsidRPr="00400CFB" w:rsidRDefault="00CE53B8" w:rsidP="00543DBA">
      <w:pPr>
        <w:pStyle w:val="ListParagraph"/>
        <w:numPr>
          <w:ilvl w:val="1"/>
          <w:numId w:val="25"/>
        </w:numPr>
        <w:jc w:val="both"/>
        <w:rPr>
          <w:color w:val="FF0000"/>
          <w:szCs w:val="22"/>
        </w:rPr>
      </w:pPr>
      <w:r w:rsidRPr="00400CFB">
        <w:rPr>
          <w:szCs w:val="22"/>
        </w:rPr>
        <w:t xml:space="preserve">The </w:t>
      </w:r>
      <w:r w:rsidR="008E3680" w:rsidRPr="00400CFB">
        <w:rPr>
          <w:szCs w:val="22"/>
        </w:rPr>
        <w:t xml:space="preserve">basis for </w:t>
      </w:r>
      <w:r w:rsidRPr="00400CFB">
        <w:rPr>
          <w:szCs w:val="22"/>
        </w:rPr>
        <w:t xml:space="preserve">requested </w:t>
      </w:r>
      <w:r w:rsidR="008E3680" w:rsidRPr="00400CFB">
        <w:rPr>
          <w:szCs w:val="22"/>
        </w:rPr>
        <w:t xml:space="preserve">listing </w:t>
      </w:r>
      <w:r w:rsidRPr="00400CFB">
        <w:rPr>
          <w:szCs w:val="22"/>
        </w:rPr>
        <w:t xml:space="preserve">is cost-minimisation to </w:t>
      </w:r>
      <w:proofErr w:type="spellStart"/>
      <w:r w:rsidRPr="00400CFB">
        <w:rPr>
          <w:szCs w:val="22"/>
        </w:rPr>
        <w:t>telaprevir</w:t>
      </w:r>
      <w:proofErr w:type="spellEnd"/>
      <w:r w:rsidRPr="00400CFB">
        <w:rPr>
          <w:szCs w:val="22"/>
        </w:rPr>
        <w:t xml:space="preserve"> </w:t>
      </w:r>
      <w:r w:rsidR="00543DBA" w:rsidRPr="00400CFB">
        <w:rPr>
          <w:szCs w:val="22"/>
        </w:rPr>
        <w:t xml:space="preserve">(TEL) </w:t>
      </w:r>
      <w:r w:rsidRPr="00400CFB">
        <w:rPr>
          <w:szCs w:val="22"/>
        </w:rPr>
        <w:t xml:space="preserve">and </w:t>
      </w:r>
      <w:proofErr w:type="spellStart"/>
      <w:r w:rsidRPr="00400CFB">
        <w:rPr>
          <w:szCs w:val="22"/>
        </w:rPr>
        <w:t>boceprevir</w:t>
      </w:r>
      <w:proofErr w:type="spellEnd"/>
      <w:r w:rsidR="00543DBA" w:rsidRPr="00400CFB">
        <w:rPr>
          <w:szCs w:val="22"/>
        </w:rPr>
        <w:t xml:space="preserve"> (BOC)</w:t>
      </w:r>
      <w:r w:rsidRPr="00400CFB">
        <w:rPr>
          <w:szCs w:val="22"/>
        </w:rPr>
        <w:t>.</w:t>
      </w:r>
    </w:p>
    <w:p w:rsidR="00614159" w:rsidRPr="00400CFB" w:rsidRDefault="00614159" w:rsidP="00882085">
      <w:pPr>
        <w:jc w:val="both"/>
        <w:rPr>
          <w:b/>
          <w:szCs w:val="22"/>
        </w:rPr>
      </w:pPr>
    </w:p>
    <w:p w:rsidR="00BB7EC3" w:rsidRPr="003B7983" w:rsidRDefault="00BB7EC3" w:rsidP="00BB7EC3">
      <w:pPr>
        <w:pStyle w:val="ListParagraph"/>
        <w:ind w:left="709"/>
        <w:jc w:val="both"/>
        <w:rPr>
          <w:i/>
          <w:szCs w:val="22"/>
        </w:rPr>
      </w:pPr>
      <w:r w:rsidRPr="003B7983">
        <w:rPr>
          <w:i/>
          <w:szCs w:val="22"/>
        </w:rPr>
        <w:t>For more detail on PBAC’s view, see section 7 “PBAC outcome”</w:t>
      </w:r>
    </w:p>
    <w:p w:rsidR="00BB7EC3" w:rsidRDefault="00BB7EC3" w:rsidP="00882085">
      <w:pPr>
        <w:jc w:val="both"/>
        <w:rPr>
          <w:b/>
          <w:szCs w:val="22"/>
        </w:rPr>
      </w:pPr>
    </w:p>
    <w:p w:rsidR="007F7090" w:rsidRPr="00400CFB" w:rsidRDefault="007F7090" w:rsidP="00882085">
      <w:pPr>
        <w:jc w:val="both"/>
        <w:rPr>
          <w:b/>
          <w:szCs w:val="22"/>
        </w:rPr>
      </w:pPr>
    </w:p>
    <w:p w:rsidR="00CE10C4" w:rsidRPr="00400CFB" w:rsidRDefault="00CE10C4" w:rsidP="00882085">
      <w:pPr>
        <w:pStyle w:val="ListParagraph"/>
        <w:numPr>
          <w:ilvl w:val="0"/>
          <w:numId w:val="25"/>
        </w:numPr>
        <w:jc w:val="both"/>
        <w:rPr>
          <w:szCs w:val="22"/>
        </w:rPr>
      </w:pPr>
      <w:r w:rsidRPr="00400CFB">
        <w:rPr>
          <w:b/>
          <w:szCs w:val="22"/>
        </w:rPr>
        <w:t>Background</w:t>
      </w:r>
    </w:p>
    <w:p w:rsidR="006A12A5" w:rsidRPr="00400CFB" w:rsidRDefault="006A12A5" w:rsidP="00882085">
      <w:pPr>
        <w:jc w:val="both"/>
        <w:rPr>
          <w:szCs w:val="22"/>
        </w:rPr>
      </w:pPr>
    </w:p>
    <w:p w:rsidR="006B0D94" w:rsidRPr="00400CFB" w:rsidRDefault="002B1AE6" w:rsidP="00882085">
      <w:pPr>
        <w:pStyle w:val="ListParagraph"/>
        <w:numPr>
          <w:ilvl w:val="1"/>
          <w:numId w:val="25"/>
        </w:numPr>
        <w:jc w:val="both"/>
        <w:rPr>
          <w:szCs w:val="22"/>
        </w:rPr>
      </w:pPr>
      <w:r w:rsidRPr="00400CFB">
        <w:rPr>
          <w:szCs w:val="22"/>
        </w:rPr>
        <w:t>The submission was made under TGA/PBAC Parallel Process</w:t>
      </w:r>
      <w:r w:rsidR="00BB3B0E" w:rsidRPr="00400CFB">
        <w:rPr>
          <w:szCs w:val="22"/>
        </w:rPr>
        <w:t xml:space="preserve">. </w:t>
      </w:r>
      <w:proofErr w:type="spellStart"/>
      <w:r w:rsidR="00BB3B0E" w:rsidRPr="00400CFB">
        <w:rPr>
          <w:szCs w:val="22"/>
        </w:rPr>
        <w:t>S</w:t>
      </w:r>
      <w:r w:rsidR="00262800" w:rsidRPr="00400CFB">
        <w:rPr>
          <w:szCs w:val="22"/>
        </w:rPr>
        <w:t>imeprevir</w:t>
      </w:r>
      <w:proofErr w:type="spellEnd"/>
      <w:r w:rsidR="00262800" w:rsidRPr="00400CFB">
        <w:rPr>
          <w:szCs w:val="22"/>
        </w:rPr>
        <w:t xml:space="preserve"> received a positive rec</w:t>
      </w:r>
      <w:r w:rsidR="00BB3B0E" w:rsidRPr="00400CFB">
        <w:rPr>
          <w:szCs w:val="22"/>
        </w:rPr>
        <w:t>ommendation at the ACPM meeting on</w:t>
      </w:r>
      <w:r w:rsidR="00262800" w:rsidRPr="00400CFB">
        <w:rPr>
          <w:szCs w:val="22"/>
        </w:rPr>
        <w:t xml:space="preserve"> 6 Jun 2014. </w:t>
      </w:r>
    </w:p>
    <w:p w:rsidR="00CE53B8" w:rsidRPr="00400CFB" w:rsidRDefault="00CE53B8" w:rsidP="00CE53B8">
      <w:pPr>
        <w:jc w:val="both"/>
        <w:rPr>
          <w:szCs w:val="22"/>
        </w:rPr>
      </w:pPr>
    </w:p>
    <w:p w:rsidR="006A12A5" w:rsidRPr="003B7983" w:rsidRDefault="00CE53B8" w:rsidP="00882085">
      <w:pPr>
        <w:pStyle w:val="ListParagraph"/>
        <w:numPr>
          <w:ilvl w:val="1"/>
          <w:numId w:val="25"/>
        </w:numPr>
        <w:jc w:val="both"/>
        <w:rPr>
          <w:szCs w:val="22"/>
        </w:rPr>
      </w:pPr>
      <w:r w:rsidRPr="00400CFB">
        <w:rPr>
          <w:szCs w:val="22"/>
        </w:rPr>
        <w:t xml:space="preserve">This drug </w:t>
      </w:r>
      <w:r w:rsidR="00C210E6" w:rsidRPr="00400CFB">
        <w:rPr>
          <w:szCs w:val="22"/>
        </w:rPr>
        <w:t>h</w:t>
      </w:r>
      <w:r w:rsidRPr="00400CFB">
        <w:rPr>
          <w:szCs w:val="22"/>
        </w:rPr>
        <w:t xml:space="preserve">as not been </w:t>
      </w:r>
      <w:r w:rsidR="006A12A5" w:rsidRPr="00400CFB">
        <w:rPr>
          <w:szCs w:val="22"/>
        </w:rPr>
        <w:t>considered by PBAC previously</w:t>
      </w:r>
    </w:p>
    <w:p w:rsidR="00BB7EC3" w:rsidRDefault="00BB7EC3" w:rsidP="00882085">
      <w:pPr>
        <w:jc w:val="both"/>
        <w:rPr>
          <w:b/>
          <w:szCs w:val="22"/>
        </w:rPr>
      </w:pPr>
    </w:p>
    <w:p w:rsidR="007F7090" w:rsidRPr="00400CFB" w:rsidRDefault="007F7090" w:rsidP="00882085">
      <w:pPr>
        <w:jc w:val="both"/>
        <w:rPr>
          <w:b/>
          <w:szCs w:val="22"/>
        </w:rPr>
      </w:pPr>
    </w:p>
    <w:p w:rsidR="00CE10C4" w:rsidRPr="00400CFB" w:rsidRDefault="00CE10C4" w:rsidP="00882085">
      <w:pPr>
        <w:pStyle w:val="ListParagraph"/>
        <w:numPr>
          <w:ilvl w:val="0"/>
          <w:numId w:val="25"/>
        </w:numPr>
        <w:jc w:val="both"/>
        <w:rPr>
          <w:b/>
          <w:szCs w:val="22"/>
        </w:rPr>
      </w:pPr>
      <w:r w:rsidRPr="00400CFB">
        <w:rPr>
          <w:b/>
          <w:szCs w:val="22"/>
        </w:rPr>
        <w:t>Clinical place for the proposed ther</w:t>
      </w:r>
      <w:r w:rsidR="006A12A5" w:rsidRPr="00400CFB">
        <w:rPr>
          <w:b/>
          <w:szCs w:val="22"/>
        </w:rPr>
        <w:t>apy</w:t>
      </w:r>
    </w:p>
    <w:p w:rsidR="00CE10C4" w:rsidRPr="00400CFB" w:rsidRDefault="00CE10C4" w:rsidP="00882085">
      <w:pPr>
        <w:jc w:val="both"/>
        <w:rPr>
          <w:szCs w:val="22"/>
        </w:rPr>
      </w:pPr>
    </w:p>
    <w:p w:rsidR="006A12A5" w:rsidRPr="00400CFB" w:rsidRDefault="00F36AE0" w:rsidP="00882085">
      <w:pPr>
        <w:pStyle w:val="ListParagraph"/>
        <w:numPr>
          <w:ilvl w:val="1"/>
          <w:numId w:val="25"/>
        </w:numPr>
        <w:jc w:val="both"/>
        <w:rPr>
          <w:szCs w:val="22"/>
        </w:rPr>
      </w:pPr>
      <w:r w:rsidRPr="00400CFB">
        <w:t>HCV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 varices.</w:t>
      </w:r>
    </w:p>
    <w:p w:rsidR="00C35996" w:rsidRPr="00400CFB" w:rsidRDefault="00C35996" w:rsidP="00882085">
      <w:pPr>
        <w:pStyle w:val="ListParagraph"/>
        <w:jc w:val="both"/>
        <w:rPr>
          <w:szCs w:val="22"/>
        </w:rPr>
      </w:pPr>
    </w:p>
    <w:p w:rsidR="00A15C8B" w:rsidRPr="00400CFB" w:rsidRDefault="00F36AE0" w:rsidP="00882085">
      <w:pPr>
        <w:pStyle w:val="ListParagraph"/>
        <w:numPr>
          <w:ilvl w:val="1"/>
          <w:numId w:val="25"/>
        </w:numPr>
        <w:jc w:val="both"/>
        <w:rPr>
          <w:szCs w:val="22"/>
        </w:rPr>
      </w:pPr>
      <w:r w:rsidRPr="00400CFB">
        <w:t>Currently, the PBS reimburses D</w:t>
      </w:r>
      <w:r w:rsidR="001B7473" w:rsidRPr="00400CFB">
        <w:t xml:space="preserve">irect </w:t>
      </w:r>
      <w:r w:rsidRPr="00400CFB">
        <w:t>A</w:t>
      </w:r>
      <w:r w:rsidR="001B7473" w:rsidRPr="00400CFB">
        <w:t xml:space="preserve">cting </w:t>
      </w:r>
      <w:r w:rsidRPr="00400CFB">
        <w:t>A</w:t>
      </w:r>
      <w:r w:rsidR="001B7473" w:rsidRPr="00400CFB">
        <w:t>ntiviral</w:t>
      </w:r>
      <w:r w:rsidRPr="00400CFB">
        <w:t>s</w:t>
      </w:r>
      <w:r w:rsidR="001B7473" w:rsidRPr="00400CFB">
        <w:t xml:space="preserve"> (DAAs)</w:t>
      </w:r>
      <w:r w:rsidRPr="00400CFB">
        <w:t xml:space="preserve">, including </w:t>
      </w:r>
      <w:proofErr w:type="spellStart"/>
      <w:r w:rsidRPr="00400CFB">
        <w:t>boceprevir</w:t>
      </w:r>
      <w:proofErr w:type="spellEnd"/>
      <w:r w:rsidRPr="00400CFB">
        <w:t xml:space="preserve"> and </w:t>
      </w:r>
      <w:proofErr w:type="spellStart"/>
      <w:r w:rsidRPr="00400CFB">
        <w:t>telaprevir</w:t>
      </w:r>
      <w:proofErr w:type="spellEnd"/>
      <w:r w:rsidRPr="00400CFB">
        <w:t xml:space="preserve"> (</w:t>
      </w:r>
      <w:r w:rsidR="00BB3B0E" w:rsidRPr="00400CFB">
        <w:t xml:space="preserve">both of which </w:t>
      </w:r>
      <w:r w:rsidRPr="00400CFB">
        <w:t xml:space="preserve">must be used in combination with PR), for the treatment of HCV Genotype 1. </w:t>
      </w:r>
      <w:r w:rsidR="00BB3B0E" w:rsidRPr="00400CFB">
        <w:t>Approximately 50% of patients in Australia are infect</w:t>
      </w:r>
      <w:r w:rsidR="002162D7" w:rsidRPr="00400CFB">
        <w:t>ed</w:t>
      </w:r>
      <w:r w:rsidR="00BB3B0E" w:rsidRPr="00400CFB">
        <w:t xml:space="preserve"> with Genotype 1</w:t>
      </w:r>
      <w:r w:rsidRPr="00400CFB">
        <w:t xml:space="preserve">. </w:t>
      </w:r>
    </w:p>
    <w:p w:rsidR="00A15C8B" w:rsidRPr="00400CFB" w:rsidRDefault="00A15C8B" w:rsidP="00762524">
      <w:pPr>
        <w:pStyle w:val="ListParagraph"/>
        <w:jc w:val="both"/>
        <w:rPr>
          <w:szCs w:val="22"/>
        </w:rPr>
      </w:pPr>
    </w:p>
    <w:p w:rsidR="00BB3B0E" w:rsidRPr="00400CFB" w:rsidRDefault="00F36AE0" w:rsidP="00882085">
      <w:pPr>
        <w:pStyle w:val="ListParagraph"/>
        <w:numPr>
          <w:ilvl w:val="1"/>
          <w:numId w:val="25"/>
        </w:numPr>
        <w:jc w:val="both"/>
        <w:rPr>
          <w:szCs w:val="22"/>
        </w:rPr>
      </w:pPr>
      <w:proofErr w:type="spellStart"/>
      <w:r w:rsidRPr="00400CFB">
        <w:t>Simeprevir</w:t>
      </w:r>
      <w:proofErr w:type="spellEnd"/>
      <w:r w:rsidRPr="00400CFB">
        <w:t xml:space="preserve"> is an HCV NS3/4A protease inhibitor and an alternative DAA treatment option for patients who are treatment naïve and for patients who have pr</w:t>
      </w:r>
      <w:r w:rsidR="004F6C5F">
        <w:t xml:space="preserve">eviously been treated with </w:t>
      </w:r>
      <w:proofErr w:type="spellStart"/>
      <w:r w:rsidR="004F6C5F">
        <w:t>peg</w:t>
      </w:r>
      <w:r w:rsidRPr="00400CFB">
        <w:t>interferon</w:t>
      </w:r>
      <w:proofErr w:type="spellEnd"/>
      <w:r w:rsidRPr="00400CFB">
        <w:t xml:space="preserve"> </w:t>
      </w:r>
      <w:proofErr w:type="spellStart"/>
      <w:r w:rsidRPr="00400CFB">
        <w:t>alfa</w:t>
      </w:r>
      <w:proofErr w:type="spellEnd"/>
      <w:r w:rsidRPr="00400CFB">
        <w:t>. Patients who fail prior therapy with a protease inhibitor (</w:t>
      </w:r>
      <w:proofErr w:type="spellStart"/>
      <w:r w:rsidRPr="00400CFB">
        <w:t>simeprevir</w:t>
      </w:r>
      <w:proofErr w:type="spellEnd"/>
      <w:r w:rsidRPr="00400CFB">
        <w:t xml:space="preserve">, </w:t>
      </w:r>
      <w:proofErr w:type="spellStart"/>
      <w:r w:rsidRPr="00400CFB">
        <w:t>telaprevir</w:t>
      </w:r>
      <w:proofErr w:type="spellEnd"/>
      <w:r w:rsidRPr="00400CFB">
        <w:t xml:space="preserve"> or </w:t>
      </w:r>
      <w:proofErr w:type="spellStart"/>
      <w:r w:rsidRPr="00400CFB">
        <w:t>boceprevir</w:t>
      </w:r>
      <w:proofErr w:type="spellEnd"/>
      <w:r w:rsidRPr="00400CFB">
        <w:t>) are not allowed to be re-treated with another protease inhibitor unless they discontinued the previous protease inhibitor because of drug intolerance</w:t>
      </w:r>
      <w:r w:rsidR="00BB3B0E" w:rsidRPr="00400CFB">
        <w:t xml:space="preserve">. </w:t>
      </w:r>
    </w:p>
    <w:p w:rsidR="00BB3B0E" w:rsidRPr="00400CFB" w:rsidRDefault="00BB3B0E" w:rsidP="00BB3B0E">
      <w:pPr>
        <w:pStyle w:val="ListParagraph"/>
        <w:rPr>
          <w:szCs w:val="22"/>
        </w:rPr>
      </w:pPr>
    </w:p>
    <w:p w:rsidR="00BB3B0E" w:rsidRPr="00400CFB" w:rsidRDefault="00BB3B0E" w:rsidP="00BB3B0E">
      <w:pPr>
        <w:pStyle w:val="ListParagraph"/>
        <w:numPr>
          <w:ilvl w:val="1"/>
          <w:numId w:val="25"/>
        </w:numPr>
        <w:jc w:val="both"/>
        <w:rPr>
          <w:szCs w:val="22"/>
        </w:rPr>
      </w:pPr>
      <w:r w:rsidRPr="00400CFB">
        <w:rPr>
          <w:szCs w:val="22"/>
        </w:rPr>
        <w:t>The ESC noted the likely treatment algorithm for HCV is changing rapidly, particularly with the development of interferon-free regimens. The ESC considered that the decision making process should be framed in this evolving treatment landscape</w:t>
      </w:r>
      <w:r w:rsidR="002162D7" w:rsidRPr="00400CFB">
        <w:rPr>
          <w:szCs w:val="22"/>
        </w:rPr>
        <w:t xml:space="preserve">. </w:t>
      </w:r>
      <w:r w:rsidRPr="00400CFB">
        <w:rPr>
          <w:szCs w:val="22"/>
        </w:rPr>
        <w:t xml:space="preserve"> </w:t>
      </w:r>
      <w:r w:rsidR="002162D7" w:rsidRPr="00400CFB">
        <w:rPr>
          <w:szCs w:val="22"/>
        </w:rPr>
        <w:t>P</w:t>
      </w:r>
      <w:r w:rsidRPr="00400CFB">
        <w:rPr>
          <w:szCs w:val="22"/>
        </w:rPr>
        <w:t xml:space="preserve">atients with HCV Genotype 1 may not immediately seek treatment for </w:t>
      </w:r>
      <w:r w:rsidR="002162D7" w:rsidRPr="00400CFB">
        <w:rPr>
          <w:szCs w:val="22"/>
        </w:rPr>
        <w:t xml:space="preserve">HCV </w:t>
      </w:r>
      <w:r w:rsidRPr="00400CFB">
        <w:rPr>
          <w:szCs w:val="22"/>
        </w:rPr>
        <w:t>disease because:</w:t>
      </w:r>
    </w:p>
    <w:p w:rsidR="00BB3B0E" w:rsidRPr="00400CFB" w:rsidRDefault="00BB3B0E" w:rsidP="00543DBA">
      <w:pPr>
        <w:pStyle w:val="ListParagraph"/>
        <w:numPr>
          <w:ilvl w:val="1"/>
          <w:numId w:val="39"/>
        </w:numPr>
        <w:ind w:hanging="436"/>
        <w:jc w:val="both"/>
        <w:rPr>
          <w:szCs w:val="22"/>
        </w:rPr>
      </w:pPr>
      <w:r w:rsidRPr="00400CFB">
        <w:rPr>
          <w:szCs w:val="22"/>
        </w:rPr>
        <w:t xml:space="preserve">Patients </w:t>
      </w:r>
      <w:r w:rsidR="002162D7" w:rsidRPr="00400CFB">
        <w:rPr>
          <w:szCs w:val="22"/>
        </w:rPr>
        <w:t>may</w:t>
      </w:r>
      <w:r w:rsidRPr="00400CFB">
        <w:rPr>
          <w:szCs w:val="22"/>
        </w:rPr>
        <w:t xml:space="preserve"> be avoiding treatment due to the adverse side effect profile of </w:t>
      </w:r>
      <w:proofErr w:type="spellStart"/>
      <w:r w:rsidR="00762524" w:rsidRPr="00400CFB">
        <w:t>telaprevir</w:t>
      </w:r>
      <w:proofErr w:type="spellEnd"/>
      <w:r w:rsidRPr="00400CFB">
        <w:rPr>
          <w:szCs w:val="22"/>
        </w:rPr>
        <w:t xml:space="preserve"> or </w:t>
      </w:r>
      <w:proofErr w:type="spellStart"/>
      <w:r w:rsidR="00762524" w:rsidRPr="00400CFB">
        <w:t>boceprevir</w:t>
      </w:r>
      <w:proofErr w:type="spellEnd"/>
    </w:p>
    <w:p w:rsidR="00BB3B0E" w:rsidRPr="00400CFB" w:rsidRDefault="00BB3B0E" w:rsidP="00543DBA">
      <w:pPr>
        <w:pStyle w:val="ListParagraph"/>
        <w:numPr>
          <w:ilvl w:val="1"/>
          <w:numId w:val="39"/>
        </w:numPr>
        <w:ind w:hanging="436"/>
        <w:jc w:val="both"/>
        <w:rPr>
          <w:szCs w:val="22"/>
        </w:rPr>
      </w:pPr>
      <w:r w:rsidRPr="00400CFB">
        <w:rPr>
          <w:szCs w:val="22"/>
        </w:rPr>
        <w:t>Many patients, particularly those with no or little liver fibrosis, are likely to be waiting for short course and/or IFN-free treatments.</w:t>
      </w:r>
    </w:p>
    <w:p w:rsidR="00BB3B0E" w:rsidRPr="00400CFB" w:rsidRDefault="00BB3B0E" w:rsidP="00BB3B0E">
      <w:pPr>
        <w:jc w:val="both"/>
        <w:rPr>
          <w:szCs w:val="22"/>
        </w:rPr>
      </w:pPr>
    </w:p>
    <w:p w:rsidR="00F36AE0" w:rsidRPr="00400CFB" w:rsidRDefault="00BB3B0E" w:rsidP="00BB3B0E">
      <w:pPr>
        <w:pStyle w:val="ListParagraph"/>
        <w:numPr>
          <w:ilvl w:val="1"/>
          <w:numId w:val="25"/>
        </w:numPr>
        <w:jc w:val="both"/>
        <w:rPr>
          <w:szCs w:val="22"/>
        </w:rPr>
      </w:pPr>
      <w:r w:rsidRPr="00400CFB">
        <w:rPr>
          <w:szCs w:val="22"/>
        </w:rPr>
        <w:t>The ESC noted that in the Public Summary Document of the recent stakeholder meeting of new Hepatitis C antiviral drugs</w:t>
      </w:r>
      <w:r w:rsidR="00543DBA" w:rsidRPr="00400CFB">
        <w:rPr>
          <w:szCs w:val="22"/>
        </w:rPr>
        <w:t xml:space="preserve"> (February 2014)</w:t>
      </w:r>
      <w:r w:rsidRPr="00400CFB">
        <w:rPr>
          <w:szCs w:val="22"/>
        </w:rPr>
        <w:t xml:space="preserve"> that only 41% of all patients with HCV Genotype 1 were treated with direct acting antivirals.</w:t>
      </w:r>
      <w:r w:rsidR="00C35996" w:rsidRPr="00400CFB">
        <w:rPr>
          <w:szCs w:val="22"/>
        </w:rPr>
        <w:tab/>
      </w:r>
    </w:p>
    <w:p w:rsidR="006A12A5" w:rsidRPr="00400CFB" w:rsidRDefault="006A12A5" w:rsidP="00882085">
      <w:pPr>
        <w:pStyle w:val="Header"/>
        <w:tabs>
          <w:tab w:val="clear" w:pos="4153"/>
          <w:tab w:val="clear" w:pos="8306"/>
        </w:tabs>
        <w:jc w:val="both"/>
        <w:rPr>
          <w:szCs w:val="22"/>
        </w:rPr>
      </w:pPr>
    </w:p>
    <w:p w:rsidR="00BB7EC3" w:rsidRPr="003B7983" w:rsidRDefault="00BB7EC3" w:rsidP="00BB7EC3">
      <w:pPr>
        <w:pStyle w:val="ListParagraph"/>
        <w:ind w:left="709"/>
        <w:jc w:val="both"/>
        <w:rPr>
          <w:i/>
          <w:szCs w:val="22"/>
        </w:rPr>
      </w:pPr>
      <w:r w:rsidRPr="003B7983">
        <w:rPr>
          <w:i/>
          <w:szCs w:val="22"/>
        </w:rPr>
        <w:t>For more detail on PBAC’s view, see section 7 “PBAC outcome”</w:t>
      </w:r>
    </w:p>
    <w:p w:rsidR="00BB7EC3" w:rsidRDefault="00BB7EC3" w:rsidP="00882085">
      <w:pPr>
        <w:pStyle w:val="Header"/>
        <w:tabs>
          <w:tab w:val="clear" w:pos="4153"/>
          <w:tab w:val="clear" w:pos="8306"/>
        </w:tabs>
        <w:jc w:val="both"/>
        <w:rPr>
          <w:szCs w:val="22"/>
        </w:rPr>
      </w:pPr>
    </w:p>
    <w:p w:rsidR="007F7090" w:rsidRPr="00400CFB" w:rsidRDefault="007F7090" w:rsidP="00882085">
      <w:pPr>
        <w:pStyle w:val="Header"/>
        <w:tabs>
          <w:tab w:val="clear" w:pos="4153"/>
          <w:tab w:val="clear" w:pos="8306"/>
        </w:tabs>
        <w:jc w:val="both"/>
        <w:rPr>
          <w:szCs w:val="22"/>
        </w:rPr>
      </w:pPr>
    </w:p>
    <w:p w:rsidR="005A3173" w:rsidRPr="00400CFB" w:rsidRDefault="005A3173" w:rsidP="00882085">
      <w:pPr>
        <w:pStyle w:val="Header"/>
        <w:numPr>
          <w:ilvl w:val="0"/>
          <w:numId w:val="25"/>
        </w:numPr>
        <w:tabs>
          <w:tab w:val="clear" w:pos="4153"/>
          <w:tab w:val="clear" w:pos="8306"/>
        </w:tabs>
        <w:jc w:val="both"/>
        <w:rPr>
          <w:b/>
          <w:szCs w:val="22"/>
        </w:rPr>
      </w:pPr>
      <w:r w:rsidRPr="00400CFB">
        <w:rPr>
          <w:b/>
          <w:szCs w:val="22"/>
        </w:rPr>
        <w:t>Comparator</w:t>
      </w:r>
    </w:p>
    <w:p w:rsidR="005A3173" w:rsidRPr="00400CFB" w:rsidRDefault="005A3173" w:rsidP="00882085">
      <w:pPr>
        <w:pStyle w:val="Header"/>
        <w:tabs>
          <w:tab w:val="clear" w:pos="4153"/>
          <w:tab w:val="clear" w:pos="8306"/>
        </w:tabs>
        <w:jc w:val="both"/>
        <w:rPr>
          <w:b/>
          <w:szCs w:val="22"/>
        </w:rPr>
      </w:pPr>
    </w:p>
    <w:p w:rsidR="00BB7EC3" w:rsidRPr="00400CFB" w:rsidRDefault="009E0A17" w:rsidP="00E35A9C">
      <w:pPr>
        <w:pStyle w:val="ListParagraph"/>
        <w:numPr>
          <w:ilvl w:val="1"/>
          <w:numId w:val="25"/>
        </w:numPr>
        <w:ind w:left="709" w:hanging="709"/>
        <w:jc w:val="both"/>
        <w:rPr>
          <w:szCs w:val="22"/>
        </w:rPr>
      </w:pPr>
      <w:r w:rsidRPr="00400CFB">
        <w:t xml:space="preserve">The ESC considered that </w:t>
      </w:r>
      <w:proofErr w:type="spellStart"/>
      <w:r w:rsidRPr="00400CFB">
        <w:t>telaprevir</w:t>
      </w:r>
      <w:proofErr w:type="spellEnd"/>
      <w:r w:rsidRPr="00400CFB">
        <w:t xml:space="preserve"> and </w:t>
      </w:r>
      <w:proofErr w:type="spellStart"/>
      <w:r w:rsidRPr="00400CFB">
        <w:t>boceprevir</w:t>
      </w:r>
      <w:proofErr w:type="spellEnd"/>
      <w:r w:rsidRPr="00400CFB">
        <w:t xml:space="preserve"> are the appropriate comparators</w:t>
      </w:r>
      <w:r w:rsidR="003F71CF" w:rsidRPr="00400CFB">
        <w:rPr>
          <w:szCs w:val="22"/>
        </w:rPr>
        <w:t>.</w:t>
      </w:r>
    </w:p>
    <w:p w:rsidR="004B3850" w:rsidRPr="00400CFB" w:rsidRDefault="004B3850" w:rsidP="004B3850">
      <w:pPr>
        <w:jc w:val="both"/>
        <w:rPr>
          <w:szCs w:val="22"/>
        </w:rPr>
      </w:pPr>
    </w:p>
    <w:p w:rsidR="004B3850" w:rsidRPr="00400CFB" w:rsidRDefault="004B3850" w:rsidP="004B3850">
      <w:pPr>
        <w:pStyle w:val="ListParagraph"/>
        <w:numPr>
          <w:ilvl w:val="1"/>
          <w:numId w:val="25"/>
        </w:numPr>
        <w:jc w:val="both"/>
        <w:rPr>
          <w:szCs w:val="22"/>
        </w:rPr>
      </w:pPr>
      <w:r w:rsidRPr="00400CFB">
        <w:rPr>
          <w:szCs w:val="22"/>
        </w:rPr>
        <w:t xml:space="preserve">The PBAC considered that </w:t>
      </w:r>
      <w:proofErr w:type="spellStart"/>
      <w:r w:rsidRPr="00400CFB">
        <w:rPr>
          <w:szCs w:val="22"/>
        </w:rPr>
        <w:t>telaprevir</w:t>
      </w:r>
      <w:proofErr w:type="spellEnd"/>
      <w:r w:rsidRPr="00400CFB">
        <w:rPr>
          <w:szCs w:val="22"/>
        </w:rPr>
        <w:t xml:space="preserve"> and </w:t>
      </w:r>
      <w:proofErr w:type="spellStart"/>
      <w:r w:rsidRPr="00400CFB">
        <w:rPr>
          <w:szCs w:val="22"/>
        </w:rPr>
        <w:t>boceprevir</w:t>
      </w:r>
      <w:proofErr w:type="spellEnd"/>
      <w:r w:rsidRPr="00400CFB">
        <w:rPr>
          <w:szCs w:val="22"/>
        </w:rPr>
        <w:t xml:space="preserve"> were appropriate comparators on the basis that they are pharmacological analogues, </w:t>
      </w:r>
      <w:r w:rsidRPr="00400CFB">
        <w:rPr>
          <w:rFonts w:cs="Arial"/>
          <w:szCs w:val="22"/>
        </w:rPr>
        <w:t>and are the therapies most likely to be replaced in Australia at the time of consideration of the submission</w:t>
      </w:r>
      <w:r w:rsidRPr="00400CFB">
        <w:rPr>
          <w:szCs w:val="22"/>
        </w:rPr>
        <w:t xml:space="preserve">.  However, the PBAC noted that the likely treatment algorithm for HCV is changing rapidly, particularly with the development of interferon-free regimens. As an example of the rapidly evolving treatment landscape, both </w:t>
      </w:r>
      <w:proofErr w:type="spellStart"/>
      <w:r w:rsidRPr="00400CFB">
        <w:rPr>
          <w:szCs w:val="22"/>
        </w:rPr>
        <w:t>telapr</w:t>
      </w:r>
      <w:r w:rsidR="00A22660">
        <w:rPr>
          <w:szCs w:val="22"/>
        </w:rPr>
        <w:t>evir</w:t>
      </w:r>
      <w:proofErr w:type="spellEnd"/>
      <w:r w:rsidR="00A22660">
        <w:rPr>
          <w:szCs w:val="22"/>
        </w:rPr>
        <w:t xml:space="preserve"> and </w:t>
      </w:r>
      <w:proofErr w:type="spellStart"/>
      <w:r w:rsidR="00A22660">
        <w:rPr>
          <w:szCs w:val="22"/>
        </w:rPr>
        <w:t>boceprevir</w:t>
      </w:r>
      <w:proofErr w:type="spellEnd"/>
      <w:r w:rsidR="00A22660">
        <w:rPr>
          <w:szCs w:val="22"/>
        </w:rPr>
        <w:t xml:space="preserve"> </w:t>
      </w:r>
      <w:r w:rsidRPr="00400CFB">
        <w:rPr>
          <w:szCs w:val="22"/>
        </w:rPr>
        <w:t xml:space="preserve">are now not recommended for the treatment of patients with HCV genotype 1 in the guidelines </w:t>
      </w:r>
      <w:r w:rsidRPr="00400CFB">
        <w:rPr>
          <w:szCs w:val="22"/>
        </w:rPr>
        <w:lastRenderedPageBreak/>
        <w:t xml:space="preserve">of the AASLD and the Infectious Disease Society of America. The PBAC noted that over 30 DAAs are in clinical development, including inhibitors of NS5A, NS5B and NS3/4A as well as host-targeting antivirals. </w:t>
      </w:r>
    </w:p>
    <w:p w:rsidR="003F71CF" w:rsidRPr="00400CFB" w:rsidRDefault="003F71CF" w:rsidP="003F71CF">
      <w:pPr>
        <w:jc w:val="both"/>
        <w:rPr>
          <w:szCs w:val="22"/>
        </w:rPr>
      </w:pPr>
    </w:p>
    <w:p w:rsidR="00BB7EC3" w:rsidRPr="00A22660" w:rsidRDefault="00BB7EC3" w:rsidP="003B7983">
      <w:pPr>
        <w:ind w:firstLine="720"/>
        <w:jc w:val="both"/>
        <w:rPr>
          <w:i/>
          <w:szCs w:val="22"/>
        </w:rPr>
      </w:pPr>
      <w:r w:rsidRPr="00A22660">
        <w:rPr>
          <w:i/>
          <w:szCs w:val="22"/>
        </w:rPr>
        <w:t>For more detail on PBAC’s view, see section 7 “PBAC outcome”</w:t>
      </w:r>
    </w:p>
    <w:p w:rsidR="00DF26A7" w:rsidRDefault="00DF26A7" w:rsidP="008D447E">
      <w:pPr>
        <w:pStyle w:val="ListParagraph"/>
        <w:jc w:val="both"/>
        <w:rPr>
          <w:szCs w:val="22"/>
        </w:rPr>
      </w:pPr>
    </w:p>
    <w:p w:rsidR="001366FE" w:rsidRPr="00400CFB" w:rsidRDefault="001366FE" w:rsidP="008D447E">
      <w:pPr>
        <w:pStyle w:val="ListParagraph"/>
        <w:jc w:val="both"/>
        <w:rPr>
          <w:szCs w:val="22"/>
        </w:rPr>
      </w:pPr>
    </w:p>
    <w:p w:rsidR="007F7090" w:rsidRPr="00407F2D" w:rsidRDefault="007F7090" w:rsidP="007F7090">
      <w:pPr>
        <w:pStyle w:val="Header"/>
        <w:numPr>
          <w:ilvl w:val="0"/>
          <w:numId w:val="25"/>
        </w:numPr>
        <w:tabs>
          <w:tab w:val="clear" w:pos="4153"/>
          <w:tab w:val="clear" w:pos="8306"/>
        </w:tabs>
        <w:jc w:val="both"/>
        <w:rPr>
          <w:b/>
          <w:szCs w:val="22"/>
        </w:rPr>
      </w:pPr>
      <w:r>
        <w:rPr>
          <w:b/>
          <w:szCs w:val="22"/>
        </w:rPr>
        <w:t>C</w:t>
      </w:r>
      <w:r w:rsidRPr="00407F2D">
        <w:rPr>
          <w:b/>
          <w:szCs w:val="22"/>
        </w:rPr>
        <w:t>onsideration of the evidence</w:t>
      </w:r>
    </w:p>
    <w:p w:rsidR="006A12A5" w:rsidRPr="00400CFB" w:rsidRDefault="006A12A5" w:rsidP="00882085">
      <w:pPr>
        <w:jc w:val="both"/>
        <w:rPr>
          <w:b/>
          <w:szCs w:val="22"/>
        </w:rPr>
      </w:pPr>
    </w:p>
    <w:p w:rsidR="00BB7EC3" w:rsidRDefault="00BB7EC3" w:rsidP="00BB7EC3">
      <w:pPr>
        <w:jc w:val="both"/>
        <w:rPr>
          <w:b/>
          <w:szCs w:val="22"/>
        </w:rPr>
      </w:pPr>
      <w:r w:rsidRPr="00400CFB">
        <w:rPr>
          <w:b/>
          <w:szCs w:val="22"/>
        </w:rPr>
        <w:t>Sponsor hearing</w:t>
      </w:r>
    </w:p>
    <w:p w:rsidR="00A22660" w:rsidRPr="00400CFB" w:rsidRDefault="00A22660" w:rsidP="00BB7EC3">
      <w:pPr>
        <w:jc w:val="both"/>
        <w:rPr>
          <w:b/>
          <w:szCs w:val="22"/>
        </w:rPr>
      </w:pPr>
    </w:p>
    <w:p w:rsidR="00BB7EC3" w:rsidRPr="007F7090" w:rsidRDefault="001366FE" w:rsidP="007F7090">
      <w:pPr>
        <w:pStyle w:val="ListParagraph"/>
        <w:numPr>
          <w:ilvl w:val="1"/>
          <w:numId w:val="25"/>
        </w:numPr>
        <w:jc w:val="both"/>
        <w:rPr>
          <w:szCs w:val="22"/>
        </w:rPr>
      </w:pPr>
      <w:r>
        <w:rPr>
          <w:szCs w:val="22"/>
        </w:rPr>
        <w:t>There was no hearing for this item.</w:t>
      </w:r>
    </w:p>
    <w:p w:rsidR="00BB7EC3" w:rsidRPr="00400CFB" w:rsidRDefault="00BB7EC3" w:rsidP="00BB7EC3">
      <w:pPr>
        <w:pStyle w:val="ListParagraph"/>
        <w:ind w:left="709"/>
        <w:jc w:val="both"/>
        <w:rPr>
          <w:szCs w:val="22"/>
        </w:rPr>
      </w:pPr>
    </w:p>
    <w:p w:rsidR="00BB7EC3" w:rsidRPr="00400CFB" w:rsidRDefault="00BB7EC3" w:rsidP="00BB7EC3">
      <w:pPr>
        <w:jc w:val="both"/>
        <w:rPr>
          <w:b/>
          <w:szCs w:val="22"/>
        </w:rPr>
      </w:pPr>
      <w:r w:rsidRPr="00400CFB">
        <w:rPr>
          <w:b/>
          <w:szCs w:val="22"/>
        </w:rPr>
        <w:t>Consumer comments</w:t>
      </w:r>
    </w:p>
    <w:p w:rsidR="00BB7EC3" w:rsidRPr="00400CFB" w:rsidRDefault="00BB7EC3" w:rsidP="00BB7EC3">
      <w:pPr>
        <w:pStyle w:val="ListParagraph"/>
        <w:ind w:left="709"/>
        <w:jc w:val="both"/>
        <w:rPr>
          <w:szCs w:val="22"/>
        </w:rPr>
      </w:pPr>
    </w:p>
    <w:p w:rsidR="00543DBA" w:rsidRPr="007F7090" w:rsidRDefault="00BB7EC3" w:rsidP="007F7090">
      <w:pPr>
        <w:pStyle w:val="ListParagraph"/>
        <w:numPr>
          <w:ilvl w:val="1"/>
          <w:numId w:val="25"/>
        </w:numPr>
        <w:jc w:val="both"/>
        <w:rPr>
          <w:szCs w:val="22"/>
        </w:rPr>
      </w:pPr>
      <w:r w:rsidRPr="007F7090">
        <w:rPr>
          <w:szCs w:val="22"/>
        </w:rPr>
        <w:t>The PBAC noted and welcomed the input from individuals (</w:t>
      </w:r>
      <w:r w:rsidR="006C4125" w:rsidRPr="007F7090">
        <w:rPr>
          <w:szCs w:val="22"/>
        </w:rPr>
        <w:t>261</w:t>
      </w:r>
      <w:r w:rsidRPr="007F7090">
        <w:rPr>
          <w:szCs w:val="22"/>
        </w:rPr>
        <w:t>), health care professionals (</w:t>
      </w:r>
      <w:r w:rsidR="006C4125" w:rsidRPr="007F7090">
        <w:rPr>
          <w:szCs w:val="22"/>
        </w:rPr>
        <w:t>25</w:t>
      </w:r>
      <w:r w:rsidRPr="007F7090">
        <w:rPr>
          <w:szCs w:val="22"/>
        </w:rPr>
        <w:t>) and organisations (</w:t>
      </w:r>
      <w:r w:rsidR="006C4125" w:rsidRPr="007F7090">
        <w:rPr>
          <w:szCs w:val="22"/>
        </w:rPr>
        <w:t>24</w:t>
      </w:r>
      <w:r w:rsidRPr="007F7090">
        <w:rPr>
          <w:szCs w:val="22"/>
        </w:rPr>
        <w:t xml:space="preserve">) via the Consumer Comments facility on the PBS website.  The comments described a range of benefits of treatment with </w:t>
      </w:r>
      <w:r w:rsidR="006C4125" w:rsidRPr="007F7090">
        <w:rPr>
          <w:szCs w:val="22"/>
        </w:rPr>
        <w:t>the new drugs for HCV being considered by the PBAC</w:t>
      </w:r>
      <w:r w:rsidR="004B3850" w:rsidRPr="007F7090">
        <w:rPr>
          <w:szCs w:val="22"/>
        </w:rPr>
        <w:t>, including turning an infection from a chronic disease to one that can be cured, with a shorter treatment regimen, reduced side effects, and a broader access to treatment</w:t>
      </w:r>
      <w:r w:rsidR="00543DBA" w:rsidRPr="007F7090">
        <w:rPr>
          <w:szCs w:val="22"/>
        </w:rPr>
        <w:t>.</w:t>
      </w:r>
    </w:p>
    <w:p w:rsidR="004B3850" w:rsidRPr="00400CFB" w:rsidRDefault="004B3850" w:rsidP="004B3850">
      <w:pPr>
        <w:jc w:val="both"/>
        <w:rPr>
          <w:szCs w:val="22"/>
        </w:rPr>
      </w:pPr>
    </w:p>
    <w:p w:rsidR="00BB7EC3" w:rsidRPr="00A22660" w:rsidRDefault="00BB7EC3" w:rsidP="003B7983">
      <w:pPr>
        <w:ind w:firstLine="720"/>
        <w:jc w:val="both"/>
        <w:rPr>
          <w:i/>
          <w:szCs w:val="22"/>
        </w:rPr>
      </w:pPr>
      <w:r w:rsidRPr="00A22660">
        <w:rPr>
          <w:i/>
          <w:szCs w:val="22"/>
        </w:rPr>
        <w:t>For more detail on PBAC’s view, see section 7 “PBAC outcome”</w:t>
      </w:r>
    </w:p>
    <w:p w:rsidR="00BB7EC3" w:rsidRPr="00400CFB" w:rsidRDefault="00BB7EC3" w:rsidP="00BB7EC3">
      <w:pPr>
        <w:ind w:left="709"/>
        <w:jc w:val="both"/>
        <w:rPr>
          <w:b/>
          <w:szCs w:val="22"/>
        </w:rPr>
      </w:pPr>
    </w:p>
    <w:p w:rsidR="00B43E90" w:rsidRPr="00400CFB" w:rsidRDefault="00B43E90" w:rsidP="00882085">
      <w:pPr>
        <w:jc w:val="both"/>
        <w:rPr>
          <w:b/>
          <w:szCs w:val="22"/>
        </w:rPr>
      </w:pPr>
      <w:r w:rsidRPr="00400CFB">
        <w:rPr>
          <w:b/>
          <w:szCs w:val="22"/>
        </w:rPr>
        <w:t>Clinical trials</w:t>
      </w:r>
    </w:p>
    <w:p w:rsidR="002B1AE6" w:rsidRPr="00400CFB" w:rsidRDefault="002B1AE6" w:rsidP="00882085">
      <w:pPr>
        <w:jc w:val="both"/>
        <w:rPr>
          <w:szCs w:val="22"/>
        </w:rPr>
      </w:pPr>
    </w:p>
    <w:p w:rsidR="000B558D" w:rsidRPr="007F7090" w:rsidRDefault="00C20432" w:rsidP="007F7090">
      <w:pPr>
        <w:pStyle w:val="ListParagraph"/>
        <w:numPr>
          <w:ilvl w:val="1"/>
          <w:numId w:val="25"/>
        </w:numPr>
        <w:jc w:val="both"/>
        <w:rPr>
          <w:szCs w:val="22"/>
        </w:rPr>
      </w:pPr>
      <w:r w:rsidRPr="007F7090">
        <w:rPr>
          <w:szCs w:val="22"/>
        </w:rPr>
        <w:t xml:space="preserve">A summary </w:t>
      </w:r>
      <w:r w:rsidR="000B558D" w:rsidRPr="007F7090">
        <w:rPr>
          <w:szCs w:val="22"/>
        </w:rPr>
        <w:t>of the trials presented in the submission</w:t>
      </w:r>
      <w:r w:rsidR="00A15C8B" w:rsidRPr="007F7090">
        <w:rPr>
          <w:szCs w:val="22"/>
        </w:rPr>
        <w:t xml:space="preserve"> is in the table below</w:t>
      </w:r>
      <w:r w:rsidR="000B558D" w:rsidRPr="007F7090">
        <w:rPr>
          <w:szCs w:val="22"/>
        </w:rPr>
        <w:t>.</w:t>
      </w:r>
      <w:r w:rsidR="009C703C" w:rsidRPr="007F7090">
        <w:rPr>
          <w:szCs w:val="22"/>
        </w:rPr>
        <w:t xml:space="preserve">  </w:t>
      </w:r>
    </w:p>
    <w:p w:rsidR="00C20432" w:rsidRPr="003B7983" w:rsidRDefault="00C20432" w:rsidP="00C20432">
      <w:pPr>
        <w:jc w:val="both"/>
        <w:rPr>
          <w:rFonts w:ascii="Arial Narrow" w:hAnsi="Arial Narrow"/>
          <w:sz w:val="20"/>
          <w:szCs w:val="20"/>
        </w:rPr>
      </w:pPr>
    </w:p>
    <w:tbl>
      <w:tblPr>
        <w:tblW w:w="4518" w:type="pct"/>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Description w:val="summary of trials - simprevir"/>
      </w:tblPr>
      <w:tblGrid>
        <w:gridCol w:w="1134"/>
        <w:gridCol w:w="1985"/>
        <w:gridCol w:w="5245"/>
      </w:tblGrid>
      <w:tr w:rsidR="00C20432" w:rsidRPr="003B7983" w:rsidTr="007F7090">
        <w:trPr>
          <w:tblHeader/>
        </w:trPr>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b/>
                <w:sz w:val="20"/>
                <w:szCs w:val="20"/>
                <w:lang w:eastAsia="zh-CN"/>
              </w:rPr>
            </w:pPr>
            <w:r w:rsidRPr="003B7983">
              <w:rPr>
                <w:rFonts w:ascii="Arial Narrow" w:eastAsia="SimSun" w:hAnsi="Arial Narrow"/>
                <w:b/>
                <w:sz w:val="20"/>
                <w:szCs w:val="20"/>
                <w:lang w:eastAsia="zh-CN"/>
              </w:rPr>
              <w:t>Trial ID</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ind w:left="-57" w:right="-57"/>
              <w:jc w:val="center"/>
              <w:rPr>
                <w:rFonts w:ascii="Arial Narrow" w:eastAsia="SimSun" w:hAnsi="Arial Narrow"/>
                <w:b/>
                <w:sz w:val="20"/>
                <w:szCs w:val="20"/>
                <w:lang w:eastAsia="zh-CN"/>
              </w:rPr>
            </w:pPr>
            <w:r w:rsidRPr="003B7983">
              <w:rPr>
                <w:rFonts w:ascii="Arial Narrow" w:eastAsia="SimSun" w:hAnsi="Arial Narrow"/>
                <w:b/>
                <w:sz w:val="20"/>
                <w:szCs w:val="20"/>
                <w:lang w:eastAsia="zh-CN"/>
              </w:rPr>
              <w:t>Description</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ind w:left="-137" w:right="-115"/>
              <w:jc w:val="center"/>
              <w:rPr>
                <w:rFonts w:ascii="Arial Narrow" w:eastAsia="SimSun" w:hAnsi="Arial Narrow"/>
                <w:b/>
                <w:sz w:val="20"/>
                <w:szCs w:val="20"/>
                <w:lang w:eastAsia="zh-CN"/>
              </w:rPr>
            </w:pPr>
            <w:r w:rsidRPr="003B7983">
              <w:rPr>
                <w:rFonts w:ascii="Arial Narrow" w:eastAsia="SimSun" w:hAnsi="Arial Narrow"/>
                <w:b/>
                <w:sz w:val="20"/>
                <w:szCs w:val="20"/>
                <w:lang w:eastAsia="zh-CN"/>
              </w:rPr>
              <w:t>Publication citation</w:t>
            </w:r>
          </w:p>
        </w:tc>
      </w:tr>
      <w:tr w:rsidR="00C20432" w:rsidRPr="003B7983" w:rsidTr="007F7090">
        <w:tc>
          <w:tcPr>
            <w:tcW w:w="836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0432" w:rsidRPr="003B7983" w:rsidRDefault="00C20432" w:rsidP="00C93DAA">
            <w:pPr>
              <w:rPr>
                <w:rFonts w:ascii="Arial Narrow" w:eastAsia="SimSun" w:hAnsi="Arial Narrow"/>
                <w:b/>
                <w:sz w:val="20"/>
                <w:szCs w:val="20"/>
                <w:lang w:eastAsia="zh-CN"/>
              </w:rPr>
            </w:pPr>
            <w:r w:rsidRPr="003B7983">
              <w:rPr>
                <w:rFonts w:ascii="Arial Narrow" w:eastAsia="SimSun" w:hAnsi="Arial Narrow"/>
                <w:b/>
                <w:sz w:val="20"/>
                <w:szCs w:val="20"/>
                <w:lang w:eastAsia="zh-CN"/>
              </w:rPr>
              <w:t>Treatment Naïve</w:t>
            </w:r>
          </w:p>
        </w:tc>
      </w:tr>
      <w:tr w:rsidR="00C20432" w:rsidRPr="003B7983" w:rsidTr="007F7090">
        <w:tc>
          <w:tcPr>
            <w:tcW w:w="8364" w:type="dxa"/>
            <w:gridSpan w:val="3"/>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Indirect comparison</w:t>
            </w:r>
          </w:p>
        </w:tc>
      </w:tr>
      <w:tr w:rsidR="00C20432" w:rsidRPr="003B7983" w:rsidTr="007F7090">
        <w:tc>
          <w:tcPr>
            <w:tcW w:w="1134" w:type="dxa"/>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Simeprevir</w:t>
            </w:r>
            <w:proofErr w:type="spellEnd"/>
          </w:p>
        </w:tc>
        <w:tc>
          <w:tcPr>
            <w:tcW w:w="198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c>
          <w:tcPr>
            <w:tcW w:w="5245" w:type="dxa"/>
            <w:tcBorders>
              <w:top w:val="single" w:sz="4" w:space="0" w:color="auto"/>
              <w:left w:val="nil"/>
              <w:bottom w:val="single" w:sz="4" w:space="0" w:color="auto"/>
              <w:right w:val="single" w:sz="4" w:space="0" w:color="auto"/>
            </w:tcBorders>
          </w:tcPr>
          <w:p w:rsidR="00C20432" w:rsidRPr="003B7983" w:rsidRDefault="00C20432" w:rsidP="00C93DAA">
            <w:pPr>
              <w:jc w:val="cente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nil"/>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QUEST-1</w:t>
            </w:r>
          </w:p>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(Study C208)</w:t>
            </w:r>
          </w:p>
        </w:tc>
        <w:tc>
          <w:tcPr>
            <w:tcW w:w="1985" w:type="dxa"/>
            <w:tcBorders>
              <w:top w:val="single" w:sz="4" w:space="0" w:color="auto"/>
              <w:left w:val="single" w:sz="4" w:space="0" w:color="auto"/>
              <w:bottom w:val="nil"/>
              <w:right w:val="single" w:sz="4" w:space="0" w:color="auto"/>
            </w:tcBorders>
          </w:tcPr>
          <w:p w:rsidR="00C20432" w:rsidRPr="003B7983" w:rsidRDefault="00C20432" w:rsidP="00C93DAA">
            <w:pPr>
              <w:ind w:right="-57"/>
              <w:rPr>
                <w:rFonts w:ascii="Arial Narrow" w:eastAsia="SimSun" w:hAnsi="Arial Narrow"/>
                <w:sz w:val="20"/>
                <w:szCs w:val="20"/>
                <w:lang w:eastAsia="zh-CN"/>
              </w:rPr>
            </w:pPr>
            <w:r w:rsidRPr="003B7983">
              <w:rPr>
                <w:rFonts w:ascii="Arial Narrow" w:eastAsia="SimSun" w:hAnsi="Arial Narrow"/>
                <w:sz w:val="20"/>
                <w:szCs w:val="20"/>
                <w:lang w:eastAsia="zh-CN"/>
              </w:rPr>
              <w:t>Multi-centre, phase III, randomised, double-blind, placebo-controlled</w:t>
            </w:r>
          </w:p>
        </w:tc>
        <w:tc>
          <w:tcPr>
            <w:tcW w:w="5245" w:type="dxa"/>
            <w:tcBorders>
              <w:top w:val="single" w:sz="4" w:space="0" w:color="auto"/>
              <w:left w:val="single" w:sz="4" w:space="0" w:color="auto"/>
              <w:bottom w:val="nil"/>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Clinical study report: Primary analysis: A Phase III, randomized, double-blind, placebo-controlled study to investigate the efficacy, safety and tolerability of TMC435 vs. placebo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α-2a and ribavirin in treatment-naïve, genotype 1 hepatitis C-infected subjects. February 2013.</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contextualSpacing/>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Topline</w:t>
            </w:r>
            <w:proofErr w:type="spellEnd"/>
            <w:r w:rsidRPr="003B7983">
              <w:rPr>
                <w:rFonts w:ascii="Arial Narrow" w:eastAsia="SimSun" w:hAnsi="Arial Narrow"/>
                <w:sz w:val="20"/>
                <w:szCs w:val="20"/>
                <w:lang w:eastAsia="zh-CN"/>
              </w:rPr>
              <w:t xml:space="preserve"> results: Final analysis: A Phase III, randomized, double-blind, placebo-controlled study to investigate the efficacy, safety and tolerability of TMC435 vs. placebo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α-2a and ribavirin in treatment-naïve, genotype 1 hepatitis C-infected subjects. May 2013.</w:t>
            </w: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QUEST-2</w:t>
            </w:r>
          </w:p>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(Study C216)</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ind w:right="-57"/>
              <w:rPr>
                <w:rFonts w:ascii="Arial Narrow" w:eastAsia="SimSun" w:hAnsi="Arial Narrow"/>
                <w:sz w:val="20"/>
                <w:szCs w:val="20"/>
                <w:lang w:eastAsia="zh-CN"/>
              </w:rPr>
            </w:pPr>
            <w:r w:rsidRPr="003B7983">
              <w:rPr>
                <w:rFonts w:ascii="Arial Narrow" w:hAnsi="Arial Narrow"/>
                <w:sz w:val="20"/>
                <w:szCs w:val="20"/>
              </w:rPr>
              <w:t>Multi-centre, 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Clinical study report: Primary analysis: A Phase III, randomized, double-blind, placebo-controlled study to investigate the efficacy, safety and tolerability of TMC435 versus placebo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α-2a (</w:t>
            </w:r>
            <w:proofErr w:type="spellStart"/>
            <w:r w:rsidRPr="003B7983">
              <w:rPr>
                <w:rFonts w:ascii="Arial Narrow" w:eastAsia="SimSun" w:hAnsi="Arial Narrow"/>
                <w:sz w:val="20"/>
                <w:szCs w:val="20"/>
                <w:lang w:eastAsia="zh-CN"/>
              </w:rPr>
              <w:t>Pegasys</w:t>
            </w:r>
            <w:proofErr w:type="spellEnd"/>
            <w:r w:rsidRPr="003B7983">
              <w:rPr>
                <w:rFonts w:ascii="Arial Narrow" w:eastAsia="SimSun" w:hAnsi="Arial Narrow"/>
                <w:sz w:val="20"/>
                <w:szCs w:val="20"/>
                <w:lang w:eastAsia="zh-CN"/>
              </w:rPr>
              <w:t>®) and ribavirin (</w:t>
            </w:r>
            <w:proofErr w:type="spellStart"/>
            <w:r w:rsidRPr="003B7983">
              <w:rPr>
                <w:rFonts w:ascii="Arial Narrow" w:eastAsia="SimSun" w:hAnsi="Arial Narrow"/>
                <w:sz w:val="20"/>
                <w:szCs w:val="20"/>
                <w:lang w:eastAsia="zh-CN"/>
              </w:rPr>
              <w:t>Copegus</w:t>
            </w:r>
            <w:proofErr w:type="spellEnd"/>
            <w:r w:rsidRPr="003B7983">
              <w:rPr>
                <w:rFonts w:ascii="Arial Narrow" w:eastAsia="SimSun" w:hAnsi="Arial Narrow"/>
                <w:sz w:val="20"/>
                <w:szCs w:val="20"/>
                <w:lang w:eastAsia="zh-CN"/>
              </w:rPr>
              <w:t xml:space="preserve">®) or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α-2b (</w:t>
            </w:r>
            <w:proofErr w:type="spellStart"/>
            <w:r w:rsidRPr="003B7983">
              <w:rPr>
                <w:rFonts w:ascii="Arial Narrow" w:eastAsia="SimSun" w:hAnsi="Arial Narrow"/>
                <w:sz w:val="20"/>
                <w:szCs w:val="20"/>
                <w:lang w:eastAsia="zh-CN"/>
              </w:rPr>
              <w:t>PegIntron</w:t>
            </w:r>
            <w:proofErr w:type="spellEnd"/>
            <w:r w:rsidRPr="003B7983">
              <w:rPr>
                <w:rFonts w:ascii="Arial Narrow" w:eastAsia="SimSun" w:hAnsi="Arial Narrow"/>
                <w:sz w:val="20"/>
                <w:szCs w:val="20"/>
                <w:lang w:eastAsia="zh-CN"/>
              </w:rPr>
              <w:t>®) and ribavirin (</w:t>
            </w:r>
            <w:proofErr w:type="spellStart"/>
            <w:r w:rsidRPr="003B7983">
              <w:rPr>
                <w:rFonts w:ascii="Arial Narrow" w:eastAsia="SimSun" w:hAnsi="Arial Narrow"/>
                <w:sz w:val="20"/>
                <w:szCs w:val="20"/>
                <w:lang w:eastAsia="zh-CN"/>
              </w:rPr>
              <w:t>Rebetol</w:t>
            </w:r>
            <w:proofErr w:type="spellEnd"/>
            <w:r w:rsidRPr="003B7983">
              <w:rPr>
                <w:rFonts w:ascii="Arial Narrow" w:eastAsia="SimSun" w:hAnsi="Arial Narrow"/>
                <w:sz w:val="20"/>
                <w:szCs w:val="20"/>
                <w:lang w:eastAsia="zh-CN"/>
              </w:rPr>
              <w:t>®) in treatment-naïve, genotype 1, hepatitis C-infected subjects. February 2013.</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Topline</w:t>
            </w:r>
            <w:proofErr w:type="spellEnd"/>
            <w:r w:rsidRPr="003B7983">
              <w:rPr>
                <w:rFonts w:ascii="Arial Narrow" w:eastAsia="SimSun" w:hAnsi="Arial Narrow"/>
                <w:sz w:val="20"/>
                <w:szCs w:val="20"/>
                <w:lang w:eastAsia="zh-CN"/>
              </w:rPr>
              <w:t xml:space="preserve"> results: Final analysis: A Phase III, randomized, double-blind, placebo-controlled study to investigate the efficacy, safety and tolerability of TMC435 versus placebo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α-2a (</w:t>
            </w:r>
            <w:proofErr w:type="spellStart"/>
            <w:r w:rsidRPr="003B7983">
              <w:rPr>
                <w:rFonts w:ascii="Arial Narrow" w:eastAsia="SimSun" w:hAnsi="Arial Narrow"/>
                <w:sz w:val="20"/>
                <w:szCs w:val="20"/>
                <w:lang w:eastAsia="zh-CN"/>
              </w:rPr>
              <w:t>Pegasys</w:t>
            </w:r>
            <w:proofErr w:type="spellEnd"/>
            <w:r w:rsidRPr="003B7983">
              <w:rPr>
                <w:rFonts w:ascii="Arial Narrow" w:eastAsia="SimSun" w:hAnsi="Arial Narrow"/>
                <w:sz w:val="20"/>
                <w:szCs w:val="20"/>
                <w:lang w:eastAsia="zh-CN"/>
              </w:rPr>
              <w:t>®) and ribavirin (</w:t>
            </w:r>
            <w:proofErr w:type="spellStart"/>
            <w:r w:rsidRPr="003B7983">
              <w:rPr>
                <w:rFonts w:ascii="Arial Narrow" w:eastAsia="SimSun" w:hAnsi="Arial Narrow"/>
                <w:sz w:val="20"/>
                <w:szCs w:val="20"/>
                <w:lang w:eastAsia="zh-CN"/>
              </w:rPr>
              <w:t>Copegus</w:t>
            </w:r>
            <w:proofErr w:type="spellEnd"/>
            <w:r w:rsidRPr="003B7983">
              <w:rPr>
                <w:rFonts w:ascii="Arial Narrow" w:eastAsia="SimSun" w:hAnsi="Arial Narrow"/>
                <w:sz w:val="20"/>
                <w:szCs w:val="20"/>
                <w:lang w:eastAsia="zh-CN"/>
              </w:rPr>
              <w:t xml:space="preserve">®) or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α-2b (</w:t>
            </w:r>
            <w:proofErr w:type="spellStart"/>
            <w:r w:rsidRPr="003B7983">
              <w:rPr>
                <w:rFonts w:ascii="Arial Narrow" w:eastAsia="SimSun" w:hAnsi="Arial Narrow"/>
                <w:sz w:val="20"/>
                <w:szCs w:val="20"/>
                <w:lang w:eastAsia="zh-CN"/>
              </w:rPr>
              <w:t>PegIntron</w:t>
            </w:r>
            <w:proofErr w:type="spellEnd"/>
            <w:r w:rsidRPr="003B7983">
              <w:rPr>
                <w:rFonts w:ascii="Arial Narrow" w:eastAsia="SimSun" w:hAnsi="Arial Narrow"/>
                <w:sz w:val="20"/>
                <w:szCs w:val="20"/>
                <w:lang w:eastAsia="zh-CN"/>
              </w:rPr>
              <w:t>®) and ribavirin (</w:t>
            </w:r>
            <w:proofErr w:type="spellStart"/>
            <w:r w:rsidRPr="003B7983">
              <w:rPr>
                <w:rFonts w:ascii="Arial Narrow" w:eastAsia="SimSun" w:hAnsi="Arial Narrow"/>
                <w:sz w:val="20"/>
                <w:szCs w:val="20"/>
                <w:lang w:eastAsia="zh-CN"/>
              </w:rPr>
              <w:t>Rebetol</w:t>
            </w:r>
            <w:proofErr w:type="spellEnd"/>
            <w:r w:rsidRPr="003B7983">
              <w:rPr>
                <w:rFonts w:ascii="Arial Narrow" w:eastAsia="SimSun" w:hAnsi="Arial Narrow"/>
                <w:sz w:val="20"/>
                <w:szCs w:val="20"/>
                <w:lang w:eastAsia="zh-CN"/>
              </w:rPr>
              <w:t xml:space="preserve">®) in treatment-naïve, genotype 1, hepatitis C-infected subjects. May </w:t>
            </w:r>
            <w:r w:rsidRPr="003B7983">
              <w:rPr>
                <w:rFonts w:ascii="Arial Narrow" w:eastAsia="SimSun" w:hAnsi="Arial Narrow"/>
                <w:sz w:val="20"/>
                <w:szCs w:val="20"/>
                <w:lang w:eastAsia="zh-CN"/>
              </w:rPr>
              <w:lastRenderedPageBreak/>
              <w:t>2013.</w:t>
            </w: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lastRenderedPageBreak/>
              <w:t>PILLAR</w:t>
            </w:r>
          </w:p>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(Study C205)</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 xml:space="preserve">Phase </w:t>
            </w:r>
            <w:proofErr w:type="spellStart"/>
            <w:r w:rsidRPr="003B7983">
              <w:rPr>
                <w:rFonts w:ascii="Arial Narrow" w:hAnsi="Arial Narrow"/>
                <w:sz w:val="20"/>
                <w:szCs w:val="20"/>
              </w:rPr>
              <w:t>IIb</w:t>
            </w:r>
            <w:proofErr w:type="spellEnd"/>
            <w:r w:rsidRPr="003B7983">
              <w:rPr>
                <w:rFonts w:ascii="Arial Narrow" w:hAnsi="Arial Narrow"/>
                <w:sz w:val="20"/>
                <w:szCs w:val="20"/>
              </w:rPr>
              <w:t>,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Clinical study report: A Phase </w:t>
            </w:r>
            <w:proofErr w:type="spellStart"/>
            <w:r w:rsidRPr="003B7983">
              <w:rPr>
                <w:rFonts w:ascii="Arial Narrow" w:eastAsia="SimSun" w:hAnsi="Arial Narrow"/>
                <w:sz w:val="20"/>
                <w:szCs w:val="20"/>
                <w:lang w:eastAsia="zh-CN"/>
              </w:rPr>
              <w:t>IIb</w:t>
            </w:r>
            <w:proofErr w:type="spellEnd"/>
            <w:r w:rsidRPr="003B7983">
              <w:rPr>
                <w:rFonts w:ascii="Arial Narrow" w:eastAsia="SimSun" w:hAnsi="Arial Narrow"/>
                <w:sz w:val="20"/>
                <w:szCs w:val="20"/>
                <w:lang w:eastAsia="zh-CN"/>
              </w:rPr>
              <w:t xml:space="preserve">, randomized, double-blind, placebo-controlled trial to investigate the efficacy, tolerability, safety and pharmacokinetics of TMC435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w:t>
            </w:r>
            <w:proofErr w:type="spellStart"/>
            <w:r w:rsidRPr="003B7983">
              <w:rPr>
                <w:rFonts w:ascii="Arial Narrow" w:eastAsia="SimSun" w:hAnsi="Arial Narrow"/>
                <w:sz w:val="20"/>
                <w:szCs w:val="20"/>
                <w:lang w:eastAsia="zh-CN"/>
              </w:rPr>
              <w:t>alfa</w:t>
            </w:r>
            <w:proofErr w:type="spellEnd"/>
            <w:r w:rsidRPr="003B7983">
              <w:rPr>
                <w:rFonts w:ascii="Arial Narrow" w:eastAsia="SimSun" w:hAnsi="Arial Narrow"/>
                <w:sz w:val="20"/>
                <w:szCs w:val="20"/>
                <w:lang w:eastAsia="zh-CN"/>
              </w:rPr>
              <w:t xml:space="preserve"> 2a and ribavirin in treatment-naïve genotype 1 hepatitis C infected subjects. March 2012.</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Lenz, O, </w:t>
            </w:r>
            <w:proofErr w:type="spellStart"/>
            <w:r w:rsidRPr="003B7983">
              <w:rPr>
                <w:rFonts w:ascii="Arial Narrow" w:eastAsia="SimSun" w:hAnsi="Arial Narrow"/>
                <w:sz w:val="20"/>
                <w:szCs w:val="20"/>
                <w:lang w:eastAsia="zh-CN"/>
              </w:rPr>
              <w:t>Fevery</w:t>
            </w:r>
            <w:proofErr w:type="spellEnd"/>
            <w:r w:rsidRPr="003B7983">
              <w:rPr>
                <w:rFonts w:ascii="Arial Narrow" w:eastAsia="SimSun" w:hAnsi="Arial Narrow"/>
                <w:sz w:val="20"/>
                <w:szCs w:val="20"/>
                <w:lang w:eastAsia="zh-CN"/>
              </w:rPr>
              <w:t xml:space="preserve">, B, et al. TMC435 in combination with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alpha-2A/ribavirin in treatment-naive patients infected with HCV genotype 1: Virology analysis of the pillar study. </w:t>
            </w:r>
            <w:proofErr w:type="spellStart"/>
            <w:r w:rsidRPr="003B7983">
              <w:rPr>
                <w:rFonts w:ascii="Arial Narrow" w:eastAsia="SimSun" w:hAnsi="Arial Narrow"/>
                <w:sz w:val="20"/>
                <w:szCs w:val="20"/>
                <w:lang w:eastAsia="zh-CN"/>
              </w:rPr>
              <w:t>Hepatology</w:t>
            </w:r>
            <w:proofErr w:type="spellEnd"/>
            <w:r w:rsidRPr="003B7983">
              <w:rPr>
                <w:rFonts w:ascii="Arial Narrow" w:eastAsia="SimSun" w:hAnsi="Arial Narrow"/>
                <w:sz w:val="20"/>
                <w:szCs w:val="20"/>
                <w:lang w:eastAsia="zh-CN"/>
              </w:rPr>
              <w:t xml:space="preserve"> 2011; </w:t>
            </w:r>
            <w:r w:rsidRPr="003B7983">
              <w:rPr>
                <w:rFonts w:ascii="Arial Narrow" w:eastAsia="SimSun" w:hAnsi="Arial Narrow"/>
                <w:bCs/>
                <w:sz w:val="20"/>
                <w:szCs w:val="20"/>
                <w:lang w:eastAsia="zh-CN"/>
              </w:rPr>
              <w:t>54</w:t>
            </w:r>
            <w:r w:rsidRPr="003B7983">
              <w:rPr>
                <w:rFonts w:ascii="Arial Narrow" w:eastAsia="SimSun" w:hAnsi="Arial Narrow"/>
                <w:sz w:val="20"/>
                <w:szCs w:val="20"/>
                <w:lang w:eastAsia="zh-CN"/>
              </w:rPr>
              <w:t>: 985A.</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contextualSpacing/>
              <w:rPr>
                <w:rFonts w:ascii="Arial Narrow" w:eastAsia="SimSun" w:hAnsi="Arial Narrow"/>
                <w:sz w:val="20"/>
                <w:szCs w:val="20"/>
                <w:lang w:eastAsia="zh-CN"/>
              </w:rPr>
            </w:pPr>
            <w:r w:rsidRPr="003B7983">
              <w:rPr>
                <w:rFonts w:ascii="Arial Narrow" w:eastAsia="SimSun" w:hAnsi="Arial Narrow"/>
                <w:sz w:val="20"/>
                <w:szCs w:val="20"/>
                <w:lang w:eastAsia="zh-CN"/>
              </w:rPr>
              <w:t xml:space="preserve">Fried, MW, </w:t>
            </w:r>
            <w:proofErr w:type="spellStart"/>
            <w:r w:rsidRPr="003B7983">
              <w:rPr>
                <w:rFonts w:ascii="Arial Narrow" w:eastAsia="SimSun" w:hAnsi="Arial Narrow"/>
                <w:sz w:val="20"/>
                <w:szCs w:val="20"/>
                <w:lang w:eastAsia="zh-CN"/>
              </w:rPr>
              <w:t>Buti</w:t>
            </w:r>
            <w:proofErr w:type="spellEnd"/>
            <w:r w:rsidRPr="003B7983">
              <w:rPr>
                <w:rFonts w:ascii="Arial Narrow" w:eastAsia="SimSun" w:hAnsi="Arial Narrow"/>
                <w:sz w:val="20"/>
                <w:szCs w:val="20"/>
                <w:lang w:eastAsia="zh-CN"/>
              </w:rPr>
              <w:t xml:space="preserve">, M, et al. Once-daily </w:t>
            </w:r>
            <w:proofErr w:type="spellStart"/>
            <w:r w:rsidRPr="003B7983">
              <w:rPr>
                <w:rFonts w:ascii="Arial Narrow" w:eastAsia="SimSun" w:hAnsi="Arial Narrow"/>
                <w:sz w:val="20"/>
                <w:szCs w:val="20"/>
                <w:lang w:eastAsia="zh-CN"/>
              </w:rPr>
              <w:t>simeprevir</w:t>
            </w:r>
            <w:proofErr w:type="spellEnd"/>
            <w:r w:rsidRPr="003B7983">
              <w:rPr>
                <w:rFonts w:ascii="Arial Narrow" w:eastAsia="SimSun" w:hAnsi="Arial Narrow"/>
                <w:sz w:val="20"/>
                <w:szCs w:val="20"/>
                <w:lang w:eastAsia="zh-CN"/>
              </w:rPr>
              <w:t xml:space="preserve"> (TMC435) with </w:t>
            </w:r>
            <w:proofErr w:type="spellStart"/>
            <w:r w:rsidRPr="003B7983">
              <w:rPr>
                <w:rFonts w:ascii="Arial Narrow" w:eastAsia="SimSun" w:hAnsi="Arial Narrow"/>
                <w:sz w:val="20"/>
                <w:szCs w:val="20"/>
                <w:lang w:eastAsia="zh-CN"/>
              </w:rPr>
              <w:t>pegylated</w:t>
            </w:r>
            <w:proofErr w:type="spellEnd"/>
            <w:r w:rsidRPr="003B7983">
              <w:rPr>
                <w:rFonts w:ascii="Arial Narrow" w:eastAsia="SimSun" w:hAnsi="Arial Narrow"/>
                <w:sz w:val="20"/>
                <w:szCs w:val="20"/>
                <w:lang w:eastAsia="zh-CN"/>
              </w:rPr>
              <w:t xml:space="preserve"> interferon and ribavirin in treatment-naive genotype 1 hepatitis C: The randomized PILLAR study. </w:t>
            </w:r>
            <w:proofErr w:type="spellStart"/>
            <w:r w:rsidRPr="003B7983">
              <w:rPr>
                <w:rFonts w:ascii="Arial Narrow" w:eastAsia="SimSun" w:hAnsi="Arial Narrow"/>
                <w:sz w:val="20"/>
                <w:szCs w:val="20"/>
                <w:lang w:eastAsia="zh-CN"/>
              </w:rPr>
              <w:t>Hepatology</w:t>
            </w:r>
            <w:proofErr w:type="spellEnd"/>
            <w:r w:rsidRPr="003B7983">
              <w:rPr>
                <w:rFonts w:ascii="Arial Narrow" w:eastAsia="SimSun" w:hAnsi="Arial Narrow"/>
                <w:sz w:val="20"/>
                <w:szCs w:val="20"/>
                <w:lang w:eastAsia="zh-CN"/>
              </w:rPr>
              <w:t xml:space="preserve"> 2013; 58(6): 1918-1929.</w:t>
            </w:r>
          </w:p>
        </w:tc>
      </w:tr>
      <w:tr w:rsidR="00C20432" w:rsidRPr="003B7983" w:rsidTr="007F7090">
        <w:tc>
          <w:tcPr>
            <w:tcW w:w="1134" w:type="dxa"/>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Telaprevir</w:t>
            </w:r>
            <w:proofErr w:type="spellEnd"/>
          </w:p>
        </w:tc>
        <w:tc>
          <w:tcPr>
            <w:tcW w:w="198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c>
          <w:tcPr>
            <w:tcW w:w="5245" w:type="dxa"/>
            <w:tcBorders>
              <w:top w:val="single" w:sz="4" w:space="0" w:color="auto"/>
              <w:left w:val="nil"/>
              <w:bottom w:val="single" w:sz="4" w:space="0" w:color="auto"/>
              <w:right w:val="single" w:sz="4" w:space="0" w:color="auto"/>
            </w:tcBorders>
          </w:tcPr>
          <w:p w:rsidR="00C20432" w:rsidRPr="003B7983" w:rsidRDefault="00C20432" w:rsidP="00C93DAA">
            <w:pPr>
              <w:jc w:val="cente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ADVANCE</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Multi-centre, 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Jacobson, IM, </w:t>
            </w:r>
            <w:proofErr w:type="spellStart"/>
            <w:r w:rsidRPr="003B7983">
              <w:rPr>
                <w:rFonts w:ascii="Arial Narrow" w:eastAsia="SimSun" w:hAnsi="Arial Narrow"/>
                <w:sz w:val="20"/>
                <w:szCs w:val="20"/>
                <w:lang w:eastAsia="zh-CN"/>
              </w:rPr>
              <w:t>McHutchison</w:t>
            </w:r>
            <w:proofErr w:type="spellEnd"/>
            <w:r w:rsidRPr="003B7983">
              <w:rPr>
                <w:rFonts w:ascii="Arial Narrow" w:eastAsia="SimSun" w:hAnsi="Arial Narrow"/>
                <w:sz w:val="20"/>
                <w:szCs w:val="20"/>
                <w:lang w:eastAsia="zh-CN"/>
              </w:rPr>
              <w:t xml:space="preserve">, JG, et al. </w:t>
            </w:r>
            <w:proofErr w:type="spellStart"/>
            <w:r w:rsidRPr="003B7983">
              <w:rPr>
                <w:rFonts w:ascii="Arial Narrow" w:eastAsia="SimSun" w:hAnsi="Arial Narrow"/>
                <w:sz w:val="20"/>
                <w:szCs w:val="20"/>
                <w:lang w:eastAsia="zh-CN"/>
              </w:rPr>
              <w:t>Telaprevir</w:t>
            </w:r>
            <w:proofErr w:type="spellEnd"/>
            <w:r w:rsidRPr="003B7983">
              <w:rPr>
                <w:rFonts w:ascii="Arial Narrow" w:eastAsia="SimSun" w:hAnsi="Arial Narrow"/>
                <w:sz w:val="20"/>
                <w:szCs w:val="20"/>
                <w:lang w:eastAsia="zh-CN"/>
              </w:rPr>
              <w:t xml:space="preserve"> for previously untreated chronic hepatitis C virus infection. New England Journal of Medicine 2011; </w:t>
            </w:r>
            <w:r w:rsidRPr="003B7983">
              <w:rPr>
                <w:rFonts w:ascii="Arial Narrow" w:eastAsia="SimSun" w:hAnsi="Arial Narrow"/>
                <w:bCs/>
                <w:sz w:val="20"/>
                <w:szCs w:val="20"/>
                <w:lang w:eastAsia="zh-CN"/>
              </w:rPr>
              <w:t>364</w:t>
            </w:r>
            <w:r w:rsidRPr="003B7983">
              <w:rPr>
                <w:rFonts w:ascii="Arial Narrow" w:eastAsia="SimSun" w:hAnsi="Arial Narrow"/>
                <w:sz w:val="20"/>
                <w:szCs w:val="20"/>
                <w:lang w:eastAsia="zh-CN"/>
              </w:rPr>
              <w:t>(25): 2405-2416.</w:t>
            </w:r>
          </w:p>
        </w:tc>
      </w:tr>
      <w:tr w:rsidR="00C20432" w:rsidRPr="003B7983" w:rsidTr="007F7090">
        <w:tc>
          <w:tcPr>
            <w:tcW w:w="1134" w:type="dxa"/>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Boceprevir</w:t>
            </w:r>
            <w:proofErr w:type="spellEnd"/>
          </w:p>
        </w:tc>
        <w:tc>
          <w:tcPr>
            <w:tcW w:w="198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c>
          <w:tcPr>
            <w:tcW w:w="5245" w:type="dxa"/>
            <w:tcBorders>
              <w:top w:val="single" w:sz="4" w:space="0" w:color="auto"/>
              <w:left w:val="nil"/>
              <w:bottom w:val="single" w:sz="4" w:space="0" w:color="auto"/>
              <w:right w:val="single" w:sz="4" w:space="0" w:color="auto"/>
            </w:tcBorders>
          </w:tcPr>
          <w:p w:rsidR="00C20432" w:rsidRPr="003B7983" w:rsidRDefault="00C20432" w:rsidP="00C93DAA">
            <w:pPr>
              <w:jc w:val="cente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SPRINT-2</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Multi-centre, 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Poordad</w:t>
            </w:r>
            <w:proofErr w:type="spellEnd"/>
            <w:r w:rsidRPr="003B7983">
              <w:rPr>
                <w:rFonts w:ascii="Arial Narrow" w:eastAsia="SimSun" w:hAnsi="Arial Narrow"/>
                <w:sz w:val="20"/>
                <w:szCs w:val="20"/>
                <w:lang w:eastAsia="zh-CN"/>
              </w:rPr>
              <w:t xml:space="preserve">, F, McCone, J Jr,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for untreated chronic HCV genotype 1 infection. New England Journal of Medicine 2011; </w:t>
            </w:r>
            <w:r w:rsidRPr="003B7983">
              <w:rPr>
                <w:rFonts w:ascii="Arial Narrow" w:eastAsia="SimSun" w:hAnsi="Arial Narrow"/>
                <w:bCs/>
                <w:sz w:val="20"/>
                <w:szCs w:val="20"/>
                <w:lang w:eastAsia="zh-CN"/>
              </w:rPr>
              <w:t>364</w:t>
            </w:r>
            <w:r w:rsidRPr="003B7983">
              <w:rPr>
                <w:rFonts w:ascii="Arial Narrow" w:eastAsia="SimSun" w:hAnsi="Arial Narrow"/>
                <w:sz w:val="20"/>
                <w:szCs w:val="20"/>
                <w:lang w:eastAsia="zh-CN"/>
              </w:rPr>
              <w:t>(13): 1195-1206.</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Poordad</w:t>
            </w:r>
            <w:proofErr w:type="spellEnd"/>
            <w:r w:rsidRPr="003B7983">
              <w:rPr>
                <w:rFonts w:ascii="Arial Narrow" w:eastAsia="SimSun" w:hAnsi="Arial Narrow"/>
                <w:sz w:val="20"/>
                <w:szCs w:val="20"/>
                <w:lang w:eastAsia="zh-CN"/>
              </w:rPr>
              <w:t xml:space="preserve">, F, McCone, J Jr,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(BOC) combined with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ALFA-2B/ribavirin (P/R) for treatment-naive patients with hepatitis C virus (HCV) genotype (G) 1: Sprint-2 final results. </w:t>
            </w:r>
            <w:proofErr w:type="spellStart"/>
            <w:r w:rsidRPr="003B7983">
              <w:rPr>
                <w:rFonts w:ascii="Arial Narrow" w:eastAsia="SimSun" w:hAnsi="Arial Narrow"/>
                <w:sz w:val="20"/>
                <w:szCs w:val="20"/>
                <w:lang w:eastAsia="zh-CN"/>
              </w:rPr>
              <w:t>Hepatology</w:t>
            </w:r>
            <w:proofErr w:type="spellEnd"/>
            <w:r w:rsidRPr="003B7983">
              <w:rPr>
                <w:rFonts w:ascii="Arial Narrow" w:eastAsia="SimSun" w:hAnsi="Arial Narrow"/>
                <w:sz w:val="20"/>
                <w:szCs w:val="20"/>
                <w:lang w:eastAsia="zh-CN"/>
              </w:rPr>
              <w:t xml:space="preserve"> 2010; </w:t>
            </w:r>
            <w:r w:rsidRPr="003B7983">
              <w:rPr>
                <w:rFonts w:ascii="Arial Narrow" w:eastAsia="SimSun" w:hAnsi="Arial Narrow"/>
                <w:bCs/>
                <w:sz w:val="20"/>
                <w:szCs w:val="20"/>
                <w:lang w:eastAsia="zh-CN"/>
              </w:rPr>
              <w:t>52</w:t>
            </w:r>
            <w:r w:rsidRPr="003B7983">
              <w:rPr>
                <w:rFonts w:ascii="Arial Narrow" w:eastAsia="SimSun" w:hAnsi="Arial Narrow"/>
                <w:sz w:val="20"/>
                <w:szCs w:val="20"/>
                <w:lang w:eastAsia="zh-CN"/>
              </w:rPr>
              <w:t>: 402A-403A.</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Sulkowski</w:t>
            </w:r>
            <w:proofErr w:type="spellEnd"/>
            <w:r w:rsidRPr="003B7983">
              <w:rPr>
                <w:rFonts w:ascii="Arial Narrow" w:eastAsia="SimSun" w:hAnsi="Arial Narrow"/>
                <w:sz w:val="20"/>
                <w:szCs w:val="20"/>
                <w:lang w:eastAsia="zh-CN"/>
              </w:rPr>
              <w:t xml:space="preserve">, MS, </w:t>
            </w:r>
            <w:proofErr w:type="spellStart"/>
            <w:r w:rsidRPr="003B7983">
              <w:rPr>
                <w:rFonts w:ascii="Arial Narrow" w:eastAsia="SimSun" w:hAnsi="Arial Narrow"/>
                <w:sz w:val="20"/>
                <w:szCs w:val="20"/>
                <w:lang w:eastAsia="zh-CN"/>
              </w:rPr>
              <w:t>Poordad</w:t>
            </w:r>
            <w:proofErr w:type="spellEnd"/>
            <w:r w:rsidRPr="003B7983">
              <w:rPr>
                <w:rFonts w:ascii="Arial Narrow" w:eastAsia="SimSun" w:hAnsi="Arial Narrow"/>
                <w:sz w:val="20"/>
                <w:szCs w:val="20"/>
                <w:lang w:eastAsia="zh-CN"/>
              </w:rPr>
              <w:t xml:space="preserve">, F,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combined with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alfa-2b/ribavirin for previously untreated patients with hepatitis C virus genotype 1: SPRINT-2 final results. Journal of the International Association of Physicians in AIDS Care 2011; 10(3): 197-198.</w:t>
            </w:r>
          </w:p>
        </w:tc>
      </w:tr>
      <w:tr w:rsidR="00C20432" w:rsidRPr="003B7983" w:rsidTr="007F7090">
        <w:tc>
          <w:tcPr>
            <w:tcW w:w="3119" w:type="dxa"/>
            <w:gridSpan w:val="2"/>
            <w:tcBorders>
              <w:top w:val="single" w:sz="4" w:space="0" w:color="auto"/>
              <w:left w:val="single" w:sz="4" w:space="0" w:color="auto"/>
              <w:bottom w:val="single" w:sz="4" w:space="0" w:color="auto"/>
              <w:right w:val="nil"/>
            </w:tcBorders>
            <w:shd w:val="clear" w:color="auto" w:fill="BFBFBF" w:themeFill="background1" w:themeFillShade="BF"/>
          </w:tcPr>
          <w:p w:rsidR="00C20432" w:rsidRPr="003B7983" w:rsidRDefault="00C20432" w:rsidP="00C93DAA">
            <w:pPr>
              <w:rPr>
                <w:rFonts w:ascii="Arial Narrow" w:eastAsia="SimSun" w:hAnsi="Arial Narrow"/>
                <w:b/>
                <w:sz w:val="20"/>
                <w:szCs w:val="20"/>
                <w:lang w:eastAsia="zh-CN"/>
              </w:rPr>
            </w:pPr>
            <w:r w:rsidRPr="003B7983">
              <w:rPr>
                <w:rFonts w:ascii="Arial Narrow" w:eastAsia="SimSun" w:hAnsi="Arial Narrow"/>
                <w:b/>
                <w:sz w:val="20"/>
                <w:szCs w:val="20"/>
                <w:lang w:eastAsia="zh-CN"/>
              </w:rPr>
              <w:t>Treatment experienced</w:t>
            </w:r>
          </w:p>
        </w:tc>
        <w:tc>
          <w:tcPr>
            <w:tcW w:w="5245" w:type="dxa"/>
            <w:tcBorders>
              <w:top w:val="single" w:sz="4" w:space="0" w:color="auto"/>
              <w:left w:val="nil"/>
              <w:bottom w:val="single" w:sz="4" w:space="0" w:color="auto"/>
              <w:right w:val="nil"/>
              <w:tl2br w:val="nil"/>
            </w:tcBorders>
            <w:shd w:val="clear" w:color="auto" w:fill="BFBFBF" w:themeFill="background1" w:themeFillShade="BF"/>
          </w:tcPr>
          <w:p w:rsidR="00C20432" w:rsidRPr="003B7983" w:rsidRDefault="00C20432" w:rsidP="00C93DAA">
            <w:pPr>
              <w:rPr>
                <w:rFonts w:ascii="Arial Narrow" w:eastAsia="SimSun" w:hAnsi="Arial Narrow"/>
                <w:b/>
                <w:sz w:val="20"/>
                <w:szCs w:val="20"/>
                <w:lang w:eastAsia="zh-CN"/>
              </w:rPr>
            </w:pPr>
          </w:p>
        </w:tc>
      </w:tr>
      <w:tr w:rsidR="00C20432" w:rsidRPr="003B7983" w:rsidTr="007F7090">
        <w:trPr>
          <w:trHeight w:val="64"/>
        </w:trPr>
        <w:tc>
          <w:tcPr>
            <w:tcW w:w="8364" w:type="dxa"/>
            <w:gridSpan w:val="3"/>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Direct trial</w:t>
            </w: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ATTAIN</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Multi-centre, phase III, randomised, double-blind, head-to-head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contextualSpacing/>
              <w:rPr>
                <w:rFonts w:ascii="Arial Narrow" w:eastAsia="SimSun" w:hAnsi="Arial Narrow"/>
                <w:sz w:val="20"/>
                <w:szCs w:val="20"/>
                <w:lang w:eastAsia="zh-CN"/>
              </w:rPr>
            </w:pPr>
            <w:r w:rsidRPr="003B7983">
              <w:rPr>
                <w:rFonts w:ascii="Arial Narrow" w:eastAsia="SimSun" w:hAnsi="Arial Narrow"/>
                <w:sz w:val="20"/>
                <w:szCs w:val="20"/>
                <w:lang w:eastAsia="zh-CN"/>
              </w:rPr>
              <w:t xml:space="preserve">Clinical trial protocol amendment II: A phase III, randomized, double-blinded trial to evaluate the efficacy, safety and tolerability of TMC435 vs </w:t>
            </w:r>
            <w:proofErr w:type="spellStart"/>
            <w:r w:rsidRPr="003B7983">
              <w:rPr>
                <w:rFonts w:ascii="Arial Narrow" w:eastAsia="SimSun" w:hAnsi="Arial Narrow"/>
                <w:sz w:val="20"/>
                <w:szCs w:val="20"/>
                <w:lang w:eastAsia="zh-CN"/>
              </w:rPr>
              <w:t>telaprevir</w:t>
            </w:r>
            <w:proofErr w:type="spellEnd"/>
            <w:r w:rsidRPr="003B7983">
              <w:rPr>
                <w:rFonts w:ascii="Arial Narrow" w:eastAsia="SimSun" w:hAnsi="Arial Narrow"/>
                <w:sz w:val="20"/>
                <w:szCs w:val="20"/>
                <w:lang w:eastAsia="zh-CN"/>
              </w:rPr>
              <w:t xml:space="preserve">, both in combination with </w:t>
            </w:r>
            <w:proofErr w:type="spellStart"/>
            <w:r w:rsidRPr="003B7983">
              <w:rPr>
                <w:rFonts w:ascii="Arial Narrow" w:eastAsia="SimSun" w:hAnsi="Arial Narrow"/>
                <w:sz w:val="20"/>
                <w:szCs w:val="20"/>
                <w:lang w:eastAsia="zh-CN"/>
              </w:rPr>
              <w:t>PegIFN</w:t>
            </w:r>
            <w:proofErr w:type="spellEnd"/>
            <w:r w:rsidRPr="003B7983">
              <w:rPr>
                <w:rFonts w:ascii="Arial Narrow" w:eastAsia="SimSun" w:hAnsi="Arial Narrow"/>
                <w:sz w:val="20"/>
                <w:szCs w:val="20"/>
                <w:lang w:eastAsia="zh-CN"/>
              </w:rPr>
              <w:t xml:space="preserve"> α-2a and ribavirin, in chronic hepatitis C genotype-1 infected subjects who were null or partial responders to prior </w:t>
            </w:r>
            <w:proofErr w:type="spellStart"/>
            <w:r w:rsidRPr="003B7983">
              <w:rPr>
                <w:rFonts w:ascii="Arial Narrow" w:eastAsia="SimSun" w:hAnsi="Arial Narrow"/>
                <w:sz w:val="20"/>
                <w:szCs w:val="20"/>
                <w:lang w:eastAsia="zh-CN"/>
              </w:rPr>
              <w:t>PegIFN</w:t>
            </w:r>
            <w:proofErr w:type="spellEnd"/>
            <w:r w:rsidRPr="003B7983">
              <w:rPr>
                <w:rFonts w:ascii="Arial Narrow" w:eastAsia="SimSun" w:hAnsi="Arial Narrow"/>
                <w:sz w:val="20"/>
                <w:szCs w:val="20"/>
                <w:lang w:eastAsia="zh-CN"/>
              </w:rPr>
              <w:t xml:space="preserve"> α-2a and ribavirin therapy. May 2012.</w:t>
            </w:r>
          </w:p>
          <w:p w:rsidR="00C20432" w:rsidRPr="003B7983" w:rsidRDefault="00C20432" w:rsidP="00C93DAA">
            <w:pPr>
              <w:contextualSpacing/>
              <w:rPr>
                <w:rFonts w:ascii="Arial Narrow" w:eastAsia="SimSun" w:hAnsi="Arial Narrow"/>
                <w:sz w:val="20"/>
                <w:szCs w:val="20"/>
                <w:lang w:eastAsia="zh-CN"/>
              </w:rPr>
            </w:pPr>
          </w:p>
          <w:p w:rsidR="00C20432" w:rsidRPr="003B7983" w:rsidRDefault="00C20432" w:rsidP="00C93DAA">
            <w:pPr>
              <w:contextualSpacing/>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Topline</w:t>
            </w:r>
            <w:proofErr w:type="spellEnd"/>
            <w:r w:rsidRPr="003B7983">
              <w:rPr>
                <w:rFonts w:ascii="Arial Narrow" w:eastAsia="SimSun" w:hAnsi="Arial Narrow"/>
                <w:sz w:val="20"/>
                <w:szCs w:val="20"/>
                <w:lang w:eastAsia="zh-CN"/>
              </w:rPr>
              <w:t xml:space="preserve"> results: Week 60 interim analysis: A phase III, randomized, double-blinded trial to evaluate the efficacy, safety and tolerability of TMC435 vs </w:t>
            </w:r>
            <w:proofErr w:type="spellStart"/>
            <w:r w:rsidRPr="003B7983">
              <w:rPr>
                <w:rFonts w:ascii="Arial Narrow" w:eastAsia="SimSun" w:hAnsi="Arial Narrow"/>
                <w:sz w:val="20"/>
                <w:szCs w:val="20"/>
                <w:lang w:eastAsia="zh-CN"/>
              </w:rPr>
              <w:t>telaprevir</w:t>
            </w:r>
            <w:proofErr w:type="spellEnd"/>
            <w:r w:rsidRPr="003B7983">
              <w:rPr>
                <w:rFonts w:ascii="Arial Narrow" w:eastAsia="SimSun" w:hAnsi="Arial Narrow"/>
                <w:sz w:val="20"/>
                <w:szCs w:val="20"/>
                <w:lang w:eastAsia="zh-CN"/>
              </w:rPr>
              <w:t xml:space="preserve">, both in combination with </w:t>
            </w:r>
            <w:proofErr w:type="spellStart"/>
            <w:r w:rsidRPr="003B7983">
              <w:rPr>
                <w:rFonts w:ascii="Arial Narrow" w:eastAsia="SimSun" w:hAnsi="Arial Narrow"/>
                <w:sz w:val="20"/>
                <w:szCs w:val="20"/>
                <w:lang w:eastAsia="zh-CN"/>
              </w:rPr>
              <w:t>PegIFN</w:t>
            </w:r>
            <w:proofErr w:type="spellEnd"/>
            <w:r w:rsidRPr="003B7983">
              <w:rPr>
                <w:rFonts w:ascii="Arial Narrow" w:eastAsia="SimSun" w:hAnsi="Arial Narrow"/>
                <w:sz w:val="20"/>
                <w:szCs w:val="20"/>
                <w:lang w:eastAsia="zh-CN"/>
              </w:rPr>
              <w:t xml:space="preserve"> α-2a and ribavirin, in chronic hepatitis C genotype-1 infected subjects who were null or partial responders to prior </w:t>
            </w:r>
            <w:proofErr w:type="spellStart"/>
            <w:r w:rsidRPr="003B7983">
              <w:rPr>
                <w:rFonts w:ascii="Arial Narrow" w:eastAsia="SimSun" w:hAnsi="Arial Narrow"/>
                <w:sz w:val="20"/>
                <w:szCs w:val="20"/>
                <w:lang w:eastAsia="zh-CN"/>
              </w:rPr>
              <w:t>PegIFN</w:t>
            </w:r>
            <w:proofErr w:type="spellEnd"/>
            <w:r w:rsidRPr="003B7983">
              <w:rPr>
                <w:rFonts w:ascii="Arial Narrow" w:eastAsia="SimSun" w:hAnsi="Arial Narrow"/>
                <w:sz w:val="20"/>
                <w:szCs w:val="20"/>
                <w:lang w:eastAsia="zh-CN"/>
              </w:rPr>
              <w:t xml:space="preserve"> α-2a and ribavirin therapy. March 2014.</w:t>
            </w:r>
          </w:p>
        </w:tc>
      </w:tr>
      <w:tr w:rsidR="00C20432" w:rsidRPr="003B7983" w:rsidTr="007F7090">
        <w:tc>
          <w:tcPr>
            <w:tcW w:w="3119" w:type="dxa"/>
            <w:gridSpan w:val="2"/>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Indirect comparison</w:t>
            </w:r>
          </w:p>
        </w:tc>
        <w:tc>
          <w:tcPr>
            <w:tcW w:w="524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Simeprevir</w:t>
            </w:r>
            <w:proofErr w:type="spellEnd"/>
          </w:p>
        </w:tc>
        <w:tc>
          <w:tcPr>
            <w:tcW w:w="198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c>
          <w:tcPr>
            <w:tcW w:w="5245" w:type="dxa"/>
            <w:tcBorders>
              <w:top w:val="single" w:sz="4" w:space="0" w:color="auto"/>
              <w:left w:val="nil"/>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PROMISE</w:t>
            </w:r>
          </w:p>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(Study HPC3007)</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Multi-centre, 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Clinical study report: Primary analysis: A Phase III, randomized, double-blind, placebo-controlled study to investigate the efficacy, safety and tolerability of TMC435 vs. placebo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α-2a and ribavirin in hepatitis C, genotype 1 infected subjects who relapsed after previous interferon-based therapy. February 2013.</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Topline</w:t>
            </w:r>
            <w:proofErr w:type="spellEnd"/>
            <w:r w:rsidRPr="003B7983">
              <w:rPr>
                <w:rFonts w:ascii="Arial Narrow" w:eastAsia="SimSun" w:hAnsi="Arial Narrow"/>
                <w:sz w:val="20"/>
                <w:szCs w:val="20"/>
                <w:lang w:eastAsia="zh-CN"/>
              </w:rPr>
              <w:t xml:space="preserve"> results: Final analysis: A Phase III, randomised, double-blind, placebo-controlled study to investigate the efficacy, safety and tolerability of TMC435 vs. placebo as part of a treatment regimen including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α-2a and ribavirin in hepatitis C, genotype 1 infected subjects who relapsed after previous interferon-based therapy. May 2013.</w:t>
            </w: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lastRenderedPageBreak/>
              <w:t>ASPIRE</w:t>
            </w:r>
          </w:p>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(Study C206)</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 xml:space="preserve">Phase </w:t>
            </w:r>
            <w:proofErr w:type="spellStart"/>
            <w:r w:rsidRPr="003B7983">
              <w:rPr>
                <w:rFonts w:ascii="Arial Narrow" w:hAnsi="Arial Narrow"/>
                <w:sz w:val="20"/>
                <w:szCs w:val="20"/>
              </w:rPr>
              <w:t>IIb</w:t>
            </w:r>
            <w:proofErr w:type="spellEnd"/>
            <w:r w:rsidRPr="003B7983">
              <w:rPr>
                <w:rFonts w:ascii="Arial Narrow" w:hAnsi="Arial Narrow"/>
                <w:sz w:val="20"/>
                <w:szCs w:val="20"/>
              </w:rPr>
              <w:t>, randomised, 7-arm,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Clinical study report: A Phase </w:t>
            </w:r>
            <w:proofErr w:type="spellStart"/>
            <w:r w:rsidRPr="003B7983">
              <w:rPr>
                <w:rFonts w:ascii="Arial Narrow" w:eastAsia="SimSun" w:hAnsi="Arial Narrow"/>
                <w:sz w:val="20"/>
                <w:szCs w:val="20"/>
                <w:lang w:eastAsia="zh-CN"/>
              </w:rPr>
              <w:t>IIb</w:t>
            </w:r>
            <w:proofErr w:type="spellEnd"/>
            <w:r w:rsidRPr="003B7983">
              <w:rPr>
                <w:rFonts w:ascii="Arial Narrow" w:eastAsia="SimSun" w:hAnsi="Arial Narrow"/>
                <w:sz w:val="20"/>
                <w:szCs w:val="20"/>
                <w:lang w:eastAsia="zh-CN"/>
              </w:rPr>
              <w:t xml:space="preserve">, randomised, double-blind, placebo-controlled trial to investigate the efficacy, tolerability, safety and pharmacokinetics of TMC435 as part of a treatment regimen including </w:t>
            </w:r>
            <w:proofErr w:type="spellStart"/>
            <w:r w:rsidRPr="003B7983">
              <w:rPr>
                <w:rFonts w:ascii="Arial Narrow" w:eastAsia="SimSun" w:hAnsi="Arial Narrow"/>
                <w:sz w:val="20"/>
                <w:szCs w:val="20"/>
                <w:lang w:eastAsia="zh-CN"/>
              </w:rPr>
              <w:t>PegIFN</w:t>
            </w:r>
            <w:proofErr w:type="spellEnd"/>
            <w:r w:rsidRPr="003B7983">
              <w:rPr>
                <w:rFonts w:ascii="Arial Narrow" w:eastAsia="SimSun" w:hAnsi="Arial Narrow"/>
                <w:sz w:val="20"/>
                <w:szCs w:val="20"/>
                <w:lang w:eastAsia="zh-CN"/>
              </w:rPr>
              <w:t xml:space="preserve"> α-2a and ribavirin in HCV genotype 1 infected subjects who failed to respond or relapsed following at least 1 course of </w:t>
            </w:r>
            <w:proofErr w:type="spellStart"/>
            <w:r w:rsidRPr="003B7983">
              <w:rPr>
                <w:rFonts w:ascii="Arial Narrow" w:eastAsia="SimSun" w:hAnsi="Arial Narrow"/>
                <w:sz w:val="20"/>
                <w:szCs w:val="20"/>
                <w:lang w:eastAsia="zh-CN"/>
              </w:rPr>
              <w:t>PegIFN</w:t>
            </w:r>
            <w:proofErr w:type="spellEnd"/>
            <w:r w:rsidRPr="003B7983">
              <w:rPr>
                <w:rFonts w:ascii="Arial Narrow" w:eastAsia="SimSun" w:hAnsi="Arial Narrow"/>
                <w:sz w:val="20"/>
                <w:szCs w:val="20"/>
                <w:lang w:eastAsia="zh-CN"/>
              </w:rPr>
              <w:t>α-2a/b and RBV therapy. July 2012.</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contextualSpacing/>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Zeuzem</w:t>
            </w:r>
            <w:proofErr w:type="spellEnd"/>
            <w:r w:rsidRPr="003B7983">
              <w:rPr>
                <w:rFonts w:ascii="Arial Narrow" w:eastAsia="SimSun" w:hAnsi="Arial Narrow"/>
                <w:sz w:val="20"/>
                <w:szCs w:val="20"/>
                <w:lang w:eastAsia="zh-CN"/>
              </w:rPr>
              <w:t xml:space="preserve">, S, Berg, T, et al. </w:t>
            </w:r>
            <w:proofErr w:type="spellStart"/>
            <w:r w:rsidRPr="003B7983">
              <w:rPr>
                <w:rFonts w:ascii="Arial Narrow" w:eastAsia="SimSun" w:hAnsi="Arial Narrow"/>
                <w:sz w:val="20"/>
                <w:szCs w:val="20"/>
                <w:lang w:eastAsia="zh-CN"/>
              </w:rPr>
              <w:t>Simeprevir</w:t>
            </w:r>
            <w:proofErr w:type="spellEnd"/>
            <w:r w:rsidRPr="003B7983">
              <w:rPr>
                <w:rFonts w:ascii="Arial Narrow" w:eastAsia="SimSun" w:hAnsi="Arial Narrow"/>
                <w:sz w:val="20"/>
                <w:szCs w:val="20"/>
                <w:lang w:eastAsia="zh-CN"/>
              </w:rPr>
              <w:t xml:space="preserve"> increases rate of sustained </w:t>
            </w:r>
            <w:proofErr w:type="spellStart"/>
            <w:r w:rsidRPr="003B7983">
              <w:rPr>
                <w:rFonts w:ascii="Arial Narrow" w:eastAsia="SimSun" w:hAnsi="Arial Narrow"/>
                <w:sz w:val="20"/>
                <w:szCs w:val="20"/>
                <w:lang w:eastAsia="zh-CN"/>
              </w:rPr>
              <w:t>virologic</w:t>
            </w:r>
            <w:proofErr w:type="spellEnd"/>
            <w:r w:rsidRPr="003B7983">
              <w:rPr>
                <w:rFonts w:ascii="Arial Narrow" w:eastAsia="SimSun" w:hAnsi="Arial Narrow"/>
                <w:sz w:val="20"/>
                <w:szCs w:val="20"/>
                <w:lang w:eastAsia="zh-CN"/>
              </w:rPr>
              <w:t xml:space="preserve"> response among treatment-experienced patients with HCV genotype-1 infection: A phase </w:t>
            </w:r>
            <w:proofErr w:type="spellStart"/>
            <w:r w:rsidRPr="003B7983">
              <w:rPr>
                <w:rFonts w:ascii="Arial Narrow" w:eastAsia="SimSun" w:hAnsi="Arial Narrow"/>
                <w:sz w:val="20"/>
                <w:szCs w:val="20"/>
                <w:lang w:eastAsia="zh-CN"/>
              </w:rPr>
              <w:t>IIb</w:t>
            </w:r>
            <w:proofErr w:type="spellEnd"/>
            <w:r w:rsidRPr="003B7983">
              <w:rPr>
                <w:rFonts w:ascii="Arial Narrow" w:eastAsia="SimSun" w:hAnsi="Arial Narrow"/>
                <w:sz w:val="20"/>
                <w:szCs w:val="20"/>
                <w:lang w:eastAsia="zh-CN"/>
              </w:rPr>
              <w:t xml:space="preserve"> trial. Gastroenterology 2014; 146(2): 430-441.</w:t>
            </w:r>
          </w:p>
        </w:tc>
      </w:tr>
      <w:tr w:rsidR="00C20432" w:rsidRPr="003B7983" w:rsidTr="007F7090">
        <w:tc>
          <w:tcPr>
            <w:tcW w:w="1134" w:type="dxa"/>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Telaprevir</w:t>
            </w:r>
            <w:proofErr w:type="spellEnd"/>
          </w:p>
        </w:tc>
        <w:tc>
          <w:tcPr>
            <w:tcW w:w="198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c>
          <w:tcPr>
            <w:tcW w:w="5245" w:type="dxa"/>
            <w:tcBorders>
              <w:top w:val="single" w:sz="4" w:space="0" w:color="auto"/>
              <w:left w:val="nil"/>
              <w:bottom w:val="single" w:sz="4" w:space="0" w:color="auto"/>
              <w:right w:val="single" w:sz="4" w:space="0" w:color="auto"/>
            </w:tcBorders>
          </w:tcPr>
          <w:p w:rsidR="00C20432" w:rsidRPr="003B7983" w:rsidRDefault="00C20432" w:rsidP="00C93DAA">
            <w:pPr>
              <w:jc w:val="cente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REALIZE</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Zeuzem</w:t>
            </w:r>
            <w:proofErr w:type="spellEnd"/>
            <w:r w:rsidRPr="003B7983">
              <w:rPr>
                <w:rFonts w:ascii="Arial Narrow" w:eastAsia="SimSun" w:hAnsi="Arial Narrow"/>
                <w:sz w:val="20"/>
                <w:szCs w:val="20"/>
                <w:lang w:eastAsia="zh-CN"/>
              </w:rPr>
              <w:t xml:space="preserve">, S, </w:t>
            </w:r>
            <w:proofErr w:type="spellStart"/>
            <w:r w:rsidRPr="003B7983">
              <w:rPr>
                <w:rFonts w:ascii="Arial Narrow" w:eastAsia="SimSun" w:hAnsi="Arial Narrow"/>
                <w:sz w:val="20"/>
                <w:szCs w:val="20"/>
                <w:lang w:eastAsia="zh-CN"/>
              </w:rPr>
              <w:t>Andreone</w:t>
            </w:r>
            <w:proofErr w:type="spellEnd"/>
            <w:r w:rsidRPr="003B7983">
              <w:rPr>
                <w:rFonts w:ascii="Arial Narrow" w:eastAsia="SimSun" w:hAnsi="Arial Narrow"/>
                <w:sz w:val="20"/>
                <w:szCs w:val="20"/>
                <w:lang w:eastAsia="zh-CN"/>
              </w:rPr>
              <w:t xml:space="preserve">, P, et al. </w:t>
            </w:r>
            <w:proofErr w:type="spellStart"/>
            <w:r w:rsidRPr="003B7983">
              <w:rPr>
                <w:rFonts w:ascii="Arial Narrow" w:eastAsia="SimSun" w:hAnsi="Arial Narrow"/>
                <w:sz w:val="20"/>
                <w:szCs w:val="20"/>
                <w:lang w:eastAsia="zh-CN"/>
              </w:rPr>
              <w:t>Telaprevir</w:t>
            </w:r>
            <w:proofErr w:type="spellEnd"/>
            <w:r w:rsidRPr="003B7983">
              <w:rPr>
                <w:rFonts w:ascii="Arial Narrow" w:eastAsia="SimSun" w:hAnsi="Arial Narrow"/>
                <w:sz w:val="20"/>
                <w:szCs w:val="20"/>
                <w:lang w:eastAsia="zh-CN"/>
              </w:rPr>
              <w:t xml:space="preserve"> for retreatment of HCV infection. New England Journal of Medicine 2011. </w:t>
            </w:r>
            <w:r w:rsidRPr="003B7983">
              <w:rPr>
                <w:rFonts w:ascii="Arial Narrow" w:eastAsia="SimSun" w:hAnsi="Arial Narrow"/>
                <w:bCs/>
                <w:sz w:val="20"/>
                <w:szCs w:val="20"/>
                <w:lang w:eastAsia="zh-CN"/>
              </w:rPr>
              <w:t>364</w:t>
            </w:r>
            <w:r w:rsidRPr="003B7983">
              <w:rPr>
                <w:rFonts w:ascii="Arial Narrow" w:eastAsia="SimSun" w:hAnsi="Arial Narrow"/>
                <w:sz w:val="20"/>
                <w:szCs w:val="20"/>
                <w:lang w:eastAsia="zh-CN"/>
              </w:rPr>
              <w:t>(25): 2417-2428.</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Zeuzem</w:t>
            </w:r>
            <w:proofErr w:type="spellEnd"/>
            <w:r w:rsidRPr="003B7983">
              <w:rPr>
                <w:rFonts w:ascii="Arial Narrow" w:eastAsia="SimSun" w:hAnsi="Arial Narrow"/>
                <w:sz w:val="20"/>
                <w:szCs w:val="20"/>
                <w:lang w:eastAsia="zh-CN"/>
              </w:rPr>
              <w:t xml:space="preserve">, S, </w:t>
            </w:r>
            <w:proofErr w:type="spellStart"/>
            <w:r w:rsidRPr="003B7983">
              <w:rPr>
                <w:rFonts w:ascii="Arial Narrow" w:eastAsia="SimSun" w:hAnsi="Arial Narrow"/>
                <w:sz w:val="20"/>
                <w:szCs w:val="20"/>
                <w:lang w:eastAsia="zh-CN"/>
              </w:rPr>
              <w:t>Andreone</w:t>
            </w:r>
            <w:proofErr w:type="spellEnd"/>
            <w:r w:rsidRPr="003B7983">
              <w:rPr>
                <w:rFonts w:ascii="Arial Narrow" w:eastAsia="SimSun" w:hAnsi="Arial Narrow"/>
                <w:sz w:val="20"/>
                <w:szCs w:val="20"/>
                <w:lang w:eastAsia="zh-CN"/>
              </w:rPr>
              <w:t xml:space="preserve">, P, et al. Realize trial final results: </w:t>
            </w:r>
            <w:proofErr w:type="spellStart"/>
            <w:r w:rsidRPr="003B7983">
              <w:rPr>
                <w:rFonts w:ascii="Arial Narrow" w:eastAsia="SimSun" w:hAnsi="Arial Narrow"/>
                <w:sz w:val="20"/>
                <w:szCs w:val="20"/>
                <w:lang w:eastAsia="zh-CN"/>
              </w:rPr>
              <w:t>Telaprevir</w:t>
            </w:r>
            <w:proofErr w:type="spellEnd"/>
            <w:r w:rsidRPr="003B7983">
              <w:rPr>
                <w:rFonts w:ascii="Arial Narrow" w:eastAsia="SimSun" w:hAnsi="Arial Narrow"/>
                <w:sz w:val="20"/>
                <w:szCs w:val="20"/>
                <w:lang w:eastAsia="zh-CN"/>
              </w:rPr>
              <w:t xml:space="preserve">-based regimen for genotype 1 hepatitis c virus infection in patients with prior null response, partial response or relapse to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/ribavirin. Journal of </w:t>
            </w:r>
            <w:proofErr w:type="spellStart"/>
            <w:r w:rsidRPr="003B7983">
              <w:rPr>
                <w:rFonts w:ascii="Arial Narrow" w:eastAsia="SimSun" w:hAnsi="Arial Narrow"/>
                <w:sz w:val="20"/>
                <w:szCs w:val="20"/>
                <w:lang w:eastAsia="zh-CN"/>
              </w:rPr>
              <w:t>Hepatology</w:t>
            </w:r>
            <w:proofErr w:type="spellEnd"/>
            <w:r w:rsidRPr="003B7983">
              <w:rPr>
                <w:rFonts w:ascii="Arial Narrow" w:eastAsia="SimSun" w:hAnsi="Arial Narrow"/>
                <w:sz w:val="20"/>
                <w:szCs w:val="20"/>
                <w:lang w:eastAsia="zh-CN"/>
              </w:rPr>
              <w:t xml:space="preserve"> 2011; </w:t>
            </w:r>
            <w:r w:rsidRPr="003B7983">
              <w:rPr>
                <w:rFonts w:ascii="Arial Narrow" w:eastAsia="SimSun" w:hAnsi="Arial Narrow"/>
                <w:bCs/>
                <w:sz w:val="20"/>
                <w:szCs w:val="20"/>
                <w:lang w:eastAsia="zh-CN"/>
              </w:rPr>
              <w:t>54</w:t>
            </w:r>
            <w:r w:rsidRPr="003B7983">
              <w:rPr>
                <w:rFonts w:ascii="Arial Narrow" w:eastAsia="SimSun" w:hAnsi="Arial Narrow"/>
                <w:sz w:val="20"/>
                <w:szCs w:val="20"/>
                <w:lang w:eastAsia="zh-CN"/>
              </w:rPr>
              <w:t>: S3.</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Pockros</w:t>
            </w:r>
            <w:proofErr w:type="spellEnd"/>
            <w:r w:rsidRPr="003B7983">
              <w:rPr>
                <w:rFonts w:ascii="Arial Narrow" w:eastAsia="SimSun" w:hAnsi="Arial Narrow"/>
                <w:sz w:val="20"/>
                <w:szCs w:val="20"/>
                <w:lang w:eastAsia="zh-CN"/>
              </w:rPr>
              <w:t xml:space="preserve">, P, </w:t>
            </w:r>
            <w:proofErr w:type="spellStart"/>
            <w:r w:rsidRPr="003B7983">
              <w:rPr>
                <w:rFonts w:ascii="Arial Narrow" w:eastAsia="SimSun" w:hAnsi="Arial Narrow"/>
                <w:sz w:val="20"/>
                <w:szCs w:val="20"/>
                <w:lang w:eastAsia="zh-CN"/>
              </w:rPr>
              <w:t>Zeuzem</w:t>
            </w:r>
            <w:proofErr w:type="spellEnd"/>
            <w:r w:rsidRPr="003B7983">
              <w:rPr>
                <w:rFonts w:ascii="Arial Narrow" w:eastAsia="SimSun" w:hAnsi="Arial Narrow"/>
                <w:sz w:val="20"/>
                <w:szCs w:val="20"/>
                <w:lang w:eastAsia="zh-CN"/>
              </w:rPr>
              <w:t xml:space="preserve">, </w:t>
            </w:r>
            <w:proofErr w:type="gramStart"/>
            <w:r w:rsidRPr="003B7983">
              <w:rPr>
                <w:rFonts w:ascii="Arial Narrow" w:eastAsia="SimSun" w:hAnsi="Arial Narrow"/>
                <w:sz w:val="20"/>
                <w:szCs w:val="20"/>
                <w:lang w:eastAsia="zh-CN"/>
              </w:rPr>
              <w:t>S</w:t>
            </w:r>
            <w:proofErr w:type="gramEnd"/>
            <w:r w:rsidRPr="003B7983">
              <w:rPr>
                <w:rFonts w:ascii="Arial Narrow" w:eastAsia="SimSun" w:hAnsi="Arial Narrow"/>
                <w:sz w:val="20"/>
                <w:szCs w:val="20"/>
                <w:lang w:eastAsia="zh-CN"/>
              </w:rPr>
              <w:t xml:space="preserve">, et al. </w:t>
            </w:r>
            <w:proofErr w:type="spellStart"/>
            <w:r w:rsidRPr="003B7983">
              <w:rPr>
                <w:rFonts w:ascii="Arial Narrow" w:eastAsia="SimSun" w:hAnsi="Arial Narrow"/>
                <w:sz w:val="20"/>
                <w:szCs w:val="20"/>
                <w:lang w:eastAsia="zh-CN"/>
              </w:rPr>
              <w:t>Telaprevir</w:t>
            </w:r>
            <w:proofErr w:type="spellEnd"/>
            <w:r w:rsidRPr="003B7983">
              <w:rPr>
                <w:rFonts w:ascii="Arial Narrow" w:eastAsia="SimSun" w:hAnsi="Arial Narrow"/>
                <w:sz w:val="20"/>
                <w:szCs w:val="20"/>
                <w:lang w:eastAsia="zh-CN"/>
              </w:rPr>
              <w:t xml:space="preserve">-based regimen in genotype 1 hepatitis C virus-infected patients with prior null response, partial response or relapse to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/ribavirin: REALIZE trial final results. Gastroenterology 2011; 140(5): S898.</w:t>
            </w:r>
          </w:p>
        </w:tc>
      </w:tr>
      <w:tr w:rsidR="00C20432" w:rsidRPr="003B7983" w:rsidTr="007F7090">
        <w:tc>
          <w:tcPr>
            <w:tcW w:w="1134" w:type="dxa"/>
            <w:tcBorders>
              <w:top w:val="single" w:sz="4" w:space="0" w:color="auto"/>
              <w:left w:val="single" w:sz="4" w:space="0" w:color="auto"/>
              <w:bottom w:val="single" w:sz="4" w:space="0" w:color="auto"/>
              <w:right w:val="nil"/>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Boceprevir</w:t>
            </w:r>
            <w:proofErr w:type="spellEnd"/>
          </w:p>
        </w:tc>
        <w:tc>
          <w:tcPr>
            <w:tcW w:w="1985" w:type="dxa"/>
            <w:tcBorders>
              <w:top w:val="single" w:sz="4" w:space="0" w:color="auto"/>
              <w:left w:val="nil"/>
              <w:bottom w:val="single" w:sz="4" w:space="0" w:color="auto"/>
              <w:right w:val="nil"/>
            </w:tcBorders>
          </w:tcPr>
          <w:p w:rsidR="00C20432" w:rsidRPr="003B7983" w:rsidRDefault="00C20432" w:rsidP="00C93DAA">
            <w:pPr>
              <w:rPr>
                <w:rFonts w:ascii="Arial Narrow" w:eastAsia="SimSun" w:hAnsi="Arial Narrow"/>
                <w:sz w:val="20"/>
                <w:szCs w:val="20"/>
                <w:lang w:eastAsia="zh-CN"/>
              </w:rPr>
            </w:pPr>
          </w:p>
        </w:tc>
        <w:tc>
          <w:tcPr>
            <w:tcW w:w="5245" w:type="dxa"/>
            <w:tcBorders>
              <w:top w:val="single" w:sz="4" w:space="0" w:color="auto"/>
              <w:left w:val="nil"/>
              <w:bottom w:val="single" w:sz="4" w:space="0" w:color="auto"/>
              <w:right w:val="single" w:sz="4" w:space="0" w:color="auto"/>
            </w:tcBorders>
          </w:tcPr>
          <w:p w:rsidR="00C20432" w:rsidRPr="003B7983" w:rsidRDefault="00C20432" w:rsidP="00C93DAA">
            <w:pPr>
              <w:jc w:val="center"/>
              <w:rPr>
                <w:rFonts w:ascii="Arial Narrow" w:eastAsia="SimSun" w:hAnsi="Arial Narrow"/>
                <w:sz w:val="20"/>
                <w:szCs w:val="20"/>
                <w:lang w:eastAsia="zh-CN"/>
              </w:rPr>
            </w:pP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Trial 5685</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Multi-centre, 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Flamm</w:t>
            </w:r>
            <w:proofErr w:type="spellEnd"/>
            <w:r w:rsidRPr="003B7983">
              <w:rPr>
                <w:rFonts w:ascii="Arial Narrow" w:eastAsia="SimSun" w:hAnsi="Arial Narrow"/>
                <w:sz w:val="20"/>
                <w:szCs w:val="20"/>
                <w:lang w:eastAsia="zh-CN"/>
              </w:rPr>
              <w:t xml:space="preserve">, SL, </w:t>
            </w:r>
            <w:proofErr w:type="spellStart"/>
            <w:r w:rsidRPr="003B7983">
              <w:rPr>
                <w:rFonts w:ascii="Arial Narrow" w:eastAsia="SimSun" w:hAnsi="Arial Narrow"/>
                <w:sz w:val="20"/>
                <w:szCs w:val="20"/>
                <w:lang w:eastAsia="zh-CN"/>
              </w:rPr>
              <w:t>Lawitz</w:t>
            </w:r>
            <w:proofErr w:type="spellEnd"/>
            <w:r w:rsidRPr="003B7983">
              <w:rPr>
                <w:rFonts w:ascii="Arial Narrow" w:eastAsia="SimSun" w:hAnsi="Arial Narrow"/>
                <w:sz w:val="20"/>
                <w:szCs w:val="20"/>
                <w:lang w:eastAsia="zh-CN"/>
              </w:rPr>
              <w:t xml:space="preserve">, E,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with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alfa-2a-ribavirin is effective for previously treated chronic hepatitis C genotype 1 infection. Clinical Gastroenterology and </w:t>
            </w:r>
            <w:proofErr w:type="spellStart"/>
            <w:r w:rsidRPr="003B7983">
              <w:rPr>
                <w:rFonts w:ascii="Arial Narrow" w:eastAsia="SimSun" w:hAnsi="Arial Narrow"/>
                <w:sz w:val="20"/>
                <w:szCs w:val="20"/>
                <w:lang w:eastAsia="zh-CN"/>
              </w:rPr>
              <w:t>Hepatology</w:t>
            </w:r>
            <w:proofErr w:type="spellEnd"/>
            <w:r w:rsidRPr="003B7983">
              <w:rPr>
                <w:rFonts w:ascii="Arial Narrow" w:eastAsia="SimSun" w:hAnsi="Arial Narrow"/>
                <w:sz w:val="20"/>
                <w:szCs w:val="20"/>
                <w:lang w:eastAsia="zh-CN"/>
              </w:rPr>
              <w:t xml:space="preserve"> 2013; </w:t>
            </w:r>
            <w:r w:rsidRPr="003B7983">
              <w:rPr>
                <w:rFonts w:ascii="Arial Narrow" w:eastAsia="SimSun" w:hAnsi="Arial Narrow"/>
                <w:bCs/>
                <w:sz w:val="20"/>
                <w:szCs w:val="20"/>
                <w:lang w:eastAsia="zh-CN"/>
              </w:rPr>
              <w:t>11</w:t>
            </w:r>
            <w:r w:rsidRPr="003B7983">
              <w:rPr>
                <w:rFonts w:ascii="Arial Narrow" w:eastAsia="SimSun" w:hAnsi="Arial Narrow"/>
                <w:sz w:val="20"/>
                <w:szCs w:val="20"/>
                <w:lang w:eastAsia="zh-CN"/>
              </w:rPr>
              <w:t>(1): 81-87.</w:t>
            </w:r>
          </w:p>
        </w:tc>
      </w:tr>
      <w:tr w:rsidR="00C20432" w:rsidRPr="003B7983" w:rsidTr="007F7090">
        <w:tc>
          <w:tcPr>
            <w:tcW w:w="1134"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RESPOND-2</w:t>
            </w:r>
          </w:p>
        </w:tc>
        <w:tc>
          <w:tcPr>
            <w:tcW w:w="198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hAnsi="Arial Narrow"/>
                <w:sz w:val="20"/>
                <w:szCs w:val="20"/>
              </w:rPr>
              <w:t>Phase III, randomised, double-blind, placebo-controlled</w:t>
            </w:r>
          </w:p>
        </w:tc>
        <w:tc>
          <w:tcPr>
            <w:tcW w:w="5245" w:type="dxa"/>
            <w:tcBorders>
              <w:top w:val="single" w:sz="4" w:space="0" w:color="auto"/>
              <w:left w:val="single" w:sz="4" w:space="0" w:color="auto"/>
              <w:bottom w:val="single" w:sz="4" w:space="0" w:color="auto"/>
              <w:right w:val="single" w:sz="4" w:space="0" w:color="auto"/>
            </w:tcBorders>
          </w:tcPr>
          <w:p w:rsidR="00C20432" w:rsidRPr="003B7983" w:rsidRDefault="00C20432" w:rsidP="00C93DAA">
            <w:pPr>
              <w:rPr>
                <w:rFonts w:ascii="Arial Narrow" w:eastAsia="SimSun" w:hAnsi="Arial Narrow"/>
                <w:sz w:val="20"/>
                <w:szCs w:val="20"/>
                <w:lang w:eastAsia="zh-CN"/>
              </w:rPr>
            </w:pPr>
            <w:r w:rsidRPr="003B7983">
              <w:rPr>
                <w:rFonts w:ascii="Arial Narrow" w:eastAsia="SimSun" w:hAnsi="Arial Narrow"/>
                <w:sz w:val="20"/>
                <w:szCs w:val="20"/>
                <w:lang w:eastAsia="zh-CN"/>
              </w:rPr>
              <w:t xml:space="preserve">Bacon, BR, Gordon, SC,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for previously treated chronic HCV genotype 1 infection. New England Journal of Medicine 2011; 364(13): 1207-1217.</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Poordad</w:t>
            </w:r>
            <w:proofErr w:type="spellEnd"/>
            <w:r w:rsidRPr="003B7983">
              <w:rPr>
                <w:rFonts w:ascii="Arial Narrow" w:eastAsia="SimSun" w:hAnsi="Arial Narrow"/>
                <w:sz w:val="20"/>
                <w:szCs w:val="20"/>
                <w:lang w:eastAsia="zh-CN"/>
              </w:rPr>
              <w:t xml:space="preserve">, F, Bacon, B,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combined with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alfa-2b/ribavirin for treatment-experienced patients with hepatitis C Virus (HCV) genotype-1: RESPOND-2 final results. </w:t>
            </w:r>
            <w:proofErr w:type="spellStart"/>
            <w:r w:rsidRPr="003B7983">
              <w:rPr>
                <w:rFonts w:ascii="Arial Narrow" w:eastAsia="SimSun" w:hAnsi="Arial Narrow"/>
                <w:sz w:val="20"/>
                <w:szCs w:val="20"/>
                <w:lang w:eastAsia="zh-CN"/>
              </w:rPr>
              <w:t>Hepatology</w:t>
            </w:r>
            <w:proofErr w:type="spellEnd"/>
            <w:r w:rsidRPr="003B7983">
              <w:rPr>
                <w:rFonts w:ascii="Arial Narrow" w:eastAsia="SimSun" w:hAnsi="Arial Narrow"/>
                <w:sz w:val="20"/>
                <w:szCs w:val="20"/>
                <w:lang w:eastAsia="zh-CN"/>
              </w:rPr>
              <w:t xml:space="preserve"> International 2011; 5(1): 13.</w:t>
            </w:r>
          </w:p>
          <w:p w:rsidR="00C20432" w:rsidRPr="003B7983" w:rsidRDefault="00C20432" w:rsidP="00C93DAA">
            <w:pPr>
              <w:rPr>
                <w:rFonts w:ascii="Arial Narrow" w:eastAsia="SimSun" w:hAnsi="Arial Narrow"/>
                <w:sz w:val="20"/>
                <w:szCs w:val="20"/>
                <w:lang w:eastAsia="zh-CN"/>
              </w:rPr>
            </w:pPr>
          </w:p>
          <w:p w:rsidR="00C20432" w:rsidRPr="003B7983" w:rsidRDefault="00C20432" w:rsidP="00C93DAA">
            <w:pPr>
              <w:rPr>
                <w:rFonts w:ascii="Arial Narrow" w:eastAsia="SimSun" w:hAnsi="Arial Narrow"/>
                <w:sz w:val="20"/>
                <w:szCs w:val="20"/>
                <w:lang w:eastAsia="zh-CN"/>
              </w:rPr>
            </w:pPr>
            <w:proofErr w:type="spellStart"/>
            <w:r w:rsidRPr="003B7983">
              <w:rPr>
                <w:rFonts w:ascii="Arial Narrow" w:eastAsia="SimSun" w:hAnsi="Arial Narrow"/>
                <w:sz w:val="20"/>
                <w:szCs w:val="20"/>
                <w:lang w:eastAsia="zh-CN"/>
              </w:rPr>
              <w:t>Sulkowski</w:t>
            </w:r>
            <w:proofErr w:type="spellEnd"/>
            <w:r w:rsidRPr="003B7983">
              <w:rPr>
                <w:rFonts w:ascii="Arial Narrow" w:eastAsia="SimSun" w:hAnsi="Arial Narrow"/>
                <w:sz w:val="20"/>
                <w:szCs w:val="20"/>
                <w:lang w:eastAsia="zh-CN"/>
              </w:rPr>
              <w:t xml:space="preserve">, MS, Bacon, BR, et al. </w:t>
            </w:r>
            <w:proofErr w:type="spellStart"/>
            <w:r w:rsidRPr="003B7983">
              <w:rPr>
                <w:rFonts w:ascii="Arial Narrow" w:eastAsia="SimSun" w:hAnsi="Arial Narrow"/>
                <w:sz w:val="20"/>
                <w:szCs w:val="20"/>
                <w:lang w:eastAsia="zh-CN"/>
              </w:rPr>
              <w:t>Boceprevir</w:t>
            </w:r>
            <w:proofErr w:type="spellEnd"/>
            <w:r w:rsidRPr="003B7983">
              <w:rPr>
                <w:rFonts w:ascii="Arial Narrow" w:eastAsia="SimSun" w:hAnsi="Arial Narrow"/>
                <w:sz w:val="20"/>
                <w:szCs w:val="20"/>
                <w:lang w:eastAsia="zh-CN"/>
              </w:rPr>
              <w:t xml:space="preserve"> combined with </w:t>
            </w:r>
            <w:proofErr w:type="spellStart"/>
            <w:r w:rsidRPr="003B7983">
              <w:rPr>
                <w:rFonts w:ascii="Arial Narrow" w:eastAsia="SimSun" w:hAnsi="Arial Narrow"/>
                <w:sz w:val="20"/>
                <w:szCs w:val="20"/>
                <w:lang w:eastAsia="zh-CN"/>
              </w:rPr>
              <w:t>peginterferon</w:t>
            </w:r>
            <w:proofErr w:type="spellEnd"/>
            <w:r w:rsidRPr="003B7983">
              <w:rPr>
                <w:rFonts w:ascii="Arial Narrow" w:eastAsia="SimSun" w:hAnsi="Arial Narrow"/>
                <w:sz w:val="20"/>
                <w:szCs w:val="20"/>
                <w:lang w:eastAsia="zh-CN"/>
              </w:rPr>
              <w:t xml:space="preserve"> alfa-2b/Ribavirin for previous treatment failure patients with hepatitis C virus genotype 1: RESPOND-2 final results. Journal of the International Association of Physicians in AIDS Care 2011; 10(3): 198.</w:t>
            </w:r>
          </w:p>
        </w:tc>
      </w:tr>
    </w:tbl>
    <w:p w:rsidR="00C20432" w:rsidRPr="00400CFB" w:rsidRDefault="00C20432" w:rsidP="00C20432">
      <w:pPr>
        <w:jc w:val="both"/>
        <w:rPr>
          <w:szCs w:val="22"/>
        </w:rPr>
      </w:pPr>
    </w:p>
    <w:p w:rsidR="001B7473" w:rsidRDefault="00BB7EC3" w:rsidP="003B7983">
      <w:pPr>
        <w:pStyle w:val="ListParagraph"/>
        <w:ind w:left="709"/>
        <w:jc w:val="both"/>
        <w:rPr>
          <w:i/>
          <w:szCs w:val="22"/>
        </w:rPr>
      </w:pPr>
      <w:r w:rsidRPr="00A22660">
        <w:rPr>
          <w:i/>
          <w:szCs w:val="22"/>
        </w:rPr>
        <w:t>For more detail on PBAC’s view, see section 7 “PBAC outcome”</w:t>
      </w:r>
    </w:p>
    <w:p w:rsidR="003B7983" w:rsidRPr="003B7983" w:rsidRDefault="003B7983" w:rsidP="003B7983">
      <w:pPr>
        <w:pStyle w:val="ListParagraph"/>
        <w:ind w:left="709"/>
        <w:jc w:val="both"/>
        <w:rPr>
          <w:i/>
          <w:szCs w:val="22"/>
        </w:rPr>
      </w:pPr>
    </w:p>
    <w:p w:rsidR="005A3173" w:rsidRPr="003B7983" w:rsidRDefault="005A3173" w:rsidP="00882085">
      <w:pPr>
        <w:jc w:val="both"/>
        <w:rPr>
          <w:b/>
          <w:szCs w:val="22"/>
        </w:rPr>
      </w:pPr>
      <w:r w:rsidRPr="00400CFB">
        <w:rPr>
          <w:b/>
          <w:szCs w:val="22"/>
        </w:rPr>
        <w:t>Comparative effectiveness</w:t>
      </w:r>
      <w:r w:rsidR="0078571B" w:rsidRPr="00400CFB">
        <w:rPr>
          <w:b/>
          <w:szCs w:val="22"/>
        </w:rPr>
        <w:t xml:space="preserve"> and harms</w:t>
      </w:r>
    </w:p>
    <w:p w:rsidR="0078571B" w:rsidRPr="00400CFB" w:rsidRDefault="0078571B" w:rsidP="00543DBA">
      <w:pPr>
        <w:pStyle w:val="ListParagraph"/>
        <w:ind w:left="567"/>
        <w:jc w:val="both"/>
        <w:rPr>
          <w:szCs w:val="22"/>
        </w:rPr>
      </w:pPr>
    </w:p>
    <w:p w:rsidR="007F7090" w:rsidRDefault="00C93DAA" w:rsidP="007F7090">
      <w:pPr>
        <w:pStyle w:val="ListParagraph"/>
        <w:numPr>
          <w:ilvl w:val="1"/>
          <w:numId w:val="25"/>
        </w:numPr>
        <w:jc w:val="both"/>
        <w:rPr>
          <w:szCs w:val="22"/>
        </w:rPr>
      </w:pPr>
      <w:r w:rsidRPr="007F7090">
        <w:rPr>
          <w:szCs w:val="22"/>
        </w:rPr>
        <w:t>TREATMENT NAÏVE – INDIRECT COMPARISON:</w:t>
      </w:r>
    </w:p>
    <w:p w:rsidR="00C93DAA" w:rsidRPr="007F7090" w:rsidRDefault="00C93DAA" w:rsidP="007F7090">
      <w:pPr>
        <w:pStyle w:val="ListParagraph"/>
        <w:jc w:val="both"/>
        <w:rPr>
          <w:szCs w:val="22"/>
        </w:rPr>
      </w:pPr>
      <w:r w:rsidRPr="007F7090">
        <w:rPr>
          <w:szCs w:val="22"/>
        </w:rPr>
        <w:lastRenderedPageBreak/>
        <w:t xml:space="preserve">Results of </w:t>
      </w:r>
      <w:r w:rsidR="00E74068" w:rsidRPr="007F7090">
        <w:rPr>
          <w:szCs w:val="22"/>
        </w:rPr>
        <w:t xml:space="preserve">sustained </w:t>
      </w:r>
      <w:proofErr w:type="spellStart"/>
      <w:r w:rsidR="00E74068" w:rsidRPr="007F7090">
        <w:rPr>
          <w:szCs w:val="22"/>
        </w:rPr>
        <w:t>virologic</w:t>
      </w:r>
      <w:proofErr w:type="spellEnd"/>
      <w:r w:rsidR="00E74068" w:rsidRPr="007F7090">
        <w:rPr>
          <w:szCs w:val="22"/>
        </w:rPr>
        <w:t xml:space="preserve"> response (</w:t>
      </w:r>
      <w:r w:rsidR="007A6BA3" w:rsidRPr="007F7090">
        <w:rPr>
          <w:szCs w:val="22"/>
        </w:rPr>
        <w:t xml:space="preserve">absence of detectable RNA of the hepatitis C virus </w:t>
      </w:r>
      <w:r w:rsidR="00E74068" w:rsidRPr="007F7090">
        <w:rPr>
          <w:szCs w:val="22"/>
        </w:rPr>
        <w:t xml:space="preserve">24 weeks after completion of antiviral therapy: </w:t>
      </w:r>
      <w:r w:rsidRPr="007F7090">
        <w:rPr>
          <w:szCs w:val="22"/>
        </w:rPr>
        <w:t>SVR24</w:t>
      </w:r>
      <w:r w:rsidR="00E74068" w:rsidRPr="007F7090">
        <w:rPr>
          <w:szCs w:val="22"/>
        </w:rPr>
        <w:t>)</w:t>
      </w:r>
      <w:r w:rsidRPr="007F7090">
        <w:rPr>
          <w:szCs w:val="22"/>
        </w:rPr>
        <w:t xml:space="preserve"> across trials including treatment naïve patients are presented in </w:t>
      </w:r>
      <w:r w:rsidR="00EC3FA9" w:rsidRPr="007F7090">
        <w:rPr>
          <w:szCs w:val="22"/>
        </w:rPr>
        <w:t>the submission</w:t>
      </w:r>
      <w:r w:rsidRPr="007F7090">
        <w:rPr>
          <w:szCs w:val="22"/>
        </w:rPr>
        <w:t xml:space="preserve">. The PBAC accepted the relevance of SVR24 as a surrogate outcome while listing </w:t>
      </w:r>
      <w:proofErr w:type="spellStart"/>
      <w:r w:rsidRPr="007F7090">
        <w:rPr>
          <w:szCs w:val="22"/>
        </w:rPr>
        <w:t>telaprevir</w:t>
      </w:r>
      <w:proofErr w:type="spellEnd"/>
      <w:r w:rsidRPr="007F7090">
        <w:rPr>
          <w:szCs w:val="22"/>
        </w:rPr>
        <w:t xml:space="preserve"> and </w:t>
      </w:r>
      <w:proofErr w:type="spellStart"/>
      <w:r w:rsidRPr="007F7090">
        <w:rPr>
          <w:szCs w:val="22"/>
        </w:rPr>
        <w:t>boceprevir</w:t>
      </w:r>
      <w:proofErr w:type="spellEnd"/>
      <w:r w:rsidRPr="007F7090">
        <w:rPr>
          <w:szCs w:val="22"/>
        </w:rPr>
        <w:t xml:space="preserve">. </w:t>
      </w:r>
    </w:p>
    <w:p w:rsidR="00EC3FA9" w:rsidRPr="003B7983" w:rsidRDefault="00EC3FA9" w:rsidP="003B7983">
      <w:pPr>
        <w:jc w:val="both"/>
        <w:rPr>
          <w:color w:val="FF0000"/>
          <w:szCs w:val="22"/>
        </w:rPr>
      </w:pP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sults of sustained virologic response"/>
      </w:tblPr>
      <w:tblGrid>
        <w:gridCol w:w="851"/>
        <w:gridCol w:w="860"/>
        <w:gridCol w:w="1233"/>
        <w:gridCol w:w="896"/>
        <w:gridCol w:w="983"/>
        <w:gridCol w:w="1276"/>
        <w:gridCol w:w="995"/>
        <w:gridCol w:w="1268"/>
      </w:tblGrid>
      <w:tr w:rsidR="00C93DAA" w:rsidRPr="007F7090" w:rsidTr="007F7090">
        <w:trPr>
          <w:trHeight w:val="245"/>
        </w:trPr>
        <w:tc>
          <w:tcPr>
            <w:tcW w:w="5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93DAA" w:rsidRPr="007F7090" w:rsidRDefault="00C93DAA" w:rsidP="00C93DAA">
            <w:pPr>
              <w:ind w:left="-57" w:right="-57"/>
              <w:rPr>
                <w:rFonts w:ascii="Arial Narrow" w:hAnsi="Arial Narrow"/>
                <w:b/>
                <w:sz w:val="20"/>
                <w:szCs w:val="20"/>
              </w:rPr>
            </w:pPr>
            <w:r w:rsidRPr="007F7090">
              <w:rPr>
                <w:rFonts w:ascii="Arial Narrow" w:hAnsi="Arial Narrow"/>
                <w:b/>
                <w:sz w:val="20"/>
                <w:szCs w:val="20"/>
              </w:rPr>
              <w:t>Trial ID</w:t>
            </w:r>
          </w:p>
        </w:tc>
        <w:tc>
          <w:tcPr>
            <w:tcW w:w="1787" w:type="pct"/>
            <w:gridSpan w:val="3"/>
            <w:tcBorders>
              <w:top w:val="single" w:sz="4" w:space="0" w:color="auto"/>
              <w:left w:val="nil"/>
              <w:bottom w:val="single" w:sz="4" w:space="0" w:color="auto"/>
              <w:right w:val="double" w:sz="4" w:space="0" w:color="auto"/>
            </w:tcBorders>
            <w:vAlign w:val="center"/>
            <w:hideMark/>
          </w:tcPr>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SMV + PR vs placebo + PR</w:t>
            </w:r>
          </w:p>
        </w:tc>
        <w:tc>
          <w:tcPr>
            <w:tcW w:w="1946" w:type="pct"/>
            <w:gridSpan w:val="3"/>
            <w:tcBorders>
              <w:top w:val="single" w:sz="4" w:space="0" w:color="auto"/>
              <w:left w:val="nil"/>
              <w:bottom w:val="single" w:sz="4" w:space="0" w:color="auto"/>
              <w:right w:val="single" w:sz="4" w:space="0" w:color="auto"/>
            </w:tcBorders>
            <w:vAlign w:val="center"/>
            <w:hideMark/>
          </w:tcPr>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TVR/BOC + PR vs placebo</w:t>
            </w:r>
            <w:r w:rsidR="00872D84" w:rsidRPr="007F7090">
              <w:rPr>
                <w:rFonts w:ascii="Arial Narrow" w:hAnsi="Arial Narrow"/>
                <w:b/>
                <w:sz w:val="20"/>
                <w:szCs w:val="20"/>
              </w:rPr>
              <w:t xml:space="preserve"> </w:t>
            </w:r>
            <w:r w:rsidRPr="007F7090">
              <w:rPr>
                <w:rFonts w:ascii="Arial Narrow" w:hAnsi="Arial Narrow"/>
                <w:b/>
                <w:sz w:val="20"/>
                <w:szCs w:val="20"/>
              </w:rPr>
              <w:t>+</w:t>
            </w:r>
            <w:r w:rsidR="00872D84" w:rsidRPr="007F7090">
              <w:rPr>
                <w:rFonts w:ascii="Arial Narrow" w:hAnsi="Arial Narrow"/>
                <w:b/>
                <w:sz w:val="20"/>
                <w:szCs w:val="20"/>
              </w:rPr>
              <w:t xml:space="preserve"> </w:t>
            </w:r>
            <w:r w:rsidRPr="007F7090">
              <w:rPr>
                <w:rFonts w:ascii="Arial Narrow" w:hAnsi="Arial Narrow"/>
                <w:b/>
                <w:sz w:val="20"/>
                <w:szCs w:val="20"/>
              </w:rPr>
              <w:t>PR</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Indirect comparison</w:t>
            </w:r>
            <w:r w:rsidRPr="007F7090">
              <w:rPr>
                <w:rFonts w:ascii="Arial Narrow" w:hAnsi="Arial Narrow"/>
                <w:b/>
                <w:sz w:val="20"/>
                <w:szCs w:val="20"/>
              </w:rPr>
              <w:br/>
            </w:r>
            <w:proofErr w:type="spellStart"/>
            <w:r w:rsidRPr="007F7090">
              <w:rPr>
                <w:rFonts w:ascii="Arial Narrow" w:hAnsi="Arial Narrow"/>
                <w:b/>
                <w:sz w:val="20"/>
                <w:szCs w:val="20"/>
              </w:rPr>
              <w:t>OR</w:t>
            </w:r>
            <w:r w:rsidRPr="007F7090">
              <w:rPr>
                <w:rFonts w:ascii="Arial Narrow" w:hAnsi="Arial Narrow"/>
                <w:b/>
                <w:sz w:val="20"/>
                <w:szCs w:val="20"/>
                <w:vertAlign w:val="superscript"/>
              </w:rPr>
              <w:t>d</w:t>
            </w:r>
            <w:proofErr w:type="spellEnd"/>
            <w:r w:rsidRPr="007F7090">
              <w:rPr>
                <w:rFonts w:ascii="Arial Narrow" w:hAnsi="Arial Narrow"/>
                <w:b/>
                <w:sz w:val="20"/>
                <w:szCs w:val="20"/>
                <w:vertAlign w:val="superscript"/>
              </w:rPr>
              <w:t xml:space="preserve"> </w:t>
            </w:r>
            <w:r w:rsidRPr="007F7090">
              <w:rPr>
                <w:rFonts w:ascii="Arial Narrow" w:hAnsi="Arial Narrow"/>
                <w:b/>
                <w:sz w:val="20"/>
                <w:szCs w:val="20"/>
              </w:rPr>
              <w:t>[95% CI]</w:t>
            </w:r>
          </w:p>
        </w:tc>
      </w:tr>
      <w:tr w:rsidR="00C93DAA" w:rsidRPr="007F7090" w:rsidTr="007F7090">
        <w:trPr>
          <w:trHeight w:val="157"/>
        </w:trPr>
        <w:tc>
          <w:tcPr>
            <w:tcW w:w="509" w:type="pct"/>
            <w:vMerge/>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rPr>
                <w:rFonts w:ascii="Arial Narrow" w:hAnsi="Arial Narrow"/>
                <w:b/>
                <w:sz w:val="20"/>
                <w:szCs w:val="20"/>
              </w:rPr>
            </w:pPr>
          </w:p>
        </w:tc>
        <w:tc>
          <w:tcPr>
            <w:tcW w:w="514"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jc w:val="center"/>
              <w:rPr>
                <w:rFonts w:ascii="Arial Narrow" w:hAnsi="Arial Narrow"/>
                <w:b/>
                <w:sz w:val="20"/>
                <w:szCs w:val="20"/>
                <w:vertAlign w:val="superscript"/>
              </w:rPr>
            </w:pPr>
            <w:proofErr w:type="spellStart"/>
            <w:r w:rsidRPr="007F7090">
              <w:rPr>
                <w:rFonts w:ascii="Arial Narrow" w:hAnsi="Arial Narrow"/>
                <w:b/>
                <w:sz w:val="20"/>
                <w:szCs w:val="20"/>
              </w:rPr>
              <w:t>OR</w:t>
            </w:r>
            <w:r w:rsidRPr="007F7090">
              <w:rPr>
                <w:rFonts w:ascii="Arial Narrow" w:hAnsi="Arial Narrow"/>
                <w:b/>
                <w:sz w:val="20"/>
                <w:szCs w:val="20"/>
                <w:vertAlign w:val="superscript"/>
              </w:rPr>
              <w:t>a</w:t>
            </w:r>
            <w:proofErr w:type="spellEnd"/>
          </w:p>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[95% CI]</w:t>
            </w:r>
          </w:p>
        </w:tc>
        <w:tc>
          <w:tcPr>
            <w:tcW w:w="737"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b/>
                <w:sz w:val="20"/>
                <w:szCs w:val="20"/>
              </w:rPr>
            </w:pPr>
            <w:r w:rsidRPr="007F7090">
              <w:rPr>
                <w:rFonts w:ascii="Arial Narrow" w:hAnsi="Arial Narrow"/>
                <w:b/>
                <w:sz w:val="20"/>
                <w:szCs w:val="20"/>
              </w:rPr>
              <w:t>SMV12+PR24/48</w:t>
            </w:r>
          </w:p>
          <w:p w:rsidR="00C93DAA" w:rsidRPr="007F7090" w:rsidRDefault="00C93DAA" w:rsidP="00C93DAA">
            <w:pPr>
              <w:ind w:left="-57" w:right="-57"/>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536" w:type="pct"/>
            <w:tcBorders>
              <w:top w:val="single" w:sz="4" w:space="0" w:color="auto"/>
              <w:left w:val="single" w:sz="4" w:space="0" w:color="auto"/>
              <w:bottom w:val="single" w:sz="4" w:space="0" w:color="auto"/>
              <w:right w:val="double" w:sz="4" w:space="0" w:color="auto"/>
            </w:tcBorders>
            <w:vAlign w:val="center"/>
            <w:hideMark/>
          </w:tcPr>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PR48</w:t>
            </w:r>
            <w:r w:rsidRPr="007F7090">
              <w:rPr>
                <w:rFonts w:ascii="Arial Narrow" w:hAnsi="Arial Narrow"/>
                <w:b/>
                <w:sz w:val="20"/>
                <w:szCs w:val="20"/>
                <w:vertAlign w:val="superscript"/>
              </w:rPr>
              <w:t>b</w:t>
            </w:r>
          </w:p>
          <w:p w:rsidR="00C93DAA" w:rsidRPr="007F7090" w:rsidRDefault="00C93DAA" w:rsidP="00C93DAA">
            <w:pPr>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588" w:type="pct"/>
            <w:tcBorders>
              <w:top w:val="single" w:sz="4" w:space="0" w:color="auto"/>
              <w:left w:val="double" w:sz="4" w:space="0" w:color="auto"/>
              <w:bottom w:val="single" w:sz="4" w:space="0" w:color="auto"/>
              <w:right w:val="single" w:sz="4" w:space="0" w:color="auto"/>
            </w:tcBorders>
            <w:vAlign w:val="center"/>
            <w:hideMark/>
          </w:tcPr>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PR48</w:t>
            </w:r>
            <w:r w:rsidRPr="007F7090">
              <w:rPr>
                <w:rFonts w:ascii="Arial Narrow" w:hAnsi="Arial Narrow"/>
                <w:b/>
                <w:sz w:val="20"/>
                <w:szCs w:val="20"/>
                <w:vertAlign w:val="superscript"/>
              </w:rPr>
              <w:t>b</w:t>
            </w:r>
          </w:p>
          <w:p w:rsidR="00C93DAA" w:rsidRPr="007F7090" w:rsidRDefault="00C93DAA" w:rsidP="00C93DAA">
            <w:pPr>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763"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b/>
                <w:sz w:val="20"/>
                <w:szCs w:val="20"/>
              </w:rPr>
            </w:pPr>
            <w:r w:rsidRPr="007F7090">
              <w:rPr>
                <w:rFonts w:ascii="Arial Narrow" w:hAnsi="Arial Narrow"/>
                <w:b/>
                <w:sz w:val="20"/>
                <w:szCs w:val="20"/>
              </w:rPr>
              <w:t>Comparator</w:t>
            </w:r>
          </w:p>
          <w:p w:rsidR="00C93DAA" w:rsidRPr="007F7090" w:rsidRDefault="00C93DAA" w:rsidP="00C93DAA">
            <w:pPr>
              <w:ind w:left="-57" w:right="-57"/>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595"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jc w:val="center"/>
              <w:rPr>
                <w:rFonts w:ascii="Arial Narrow" w:hAnsi="Arial Narrow"/>
                <w:b/>
                <w:sz w:val="20"/>
                <w:szCs w:val="20"/>
                <w:vertAlign w:val="superscript"/>
              </w:rPr>
            </w:pPr>
            <w:proofErr w:type="spellStart"/>
            <w:r w:rsidRPr="007F7090">
              <w:rPr>
                <w:rFonts w:ascii="Arial Narrow" w:hAnsi="Arial Narrow"/>
                <w:b/>
                <w:sz w:val="20"/>
                <w:szCs w:val="20"/>
              </w:rPr>
              <w:t>OR</w:t>
            </w:r>
            <w:r w:rsidRPr="007F7090">
              <w:rPr>
                <w:rFonts w:ascii="Arial Narrow" w:hAnsi="Arial Narrow"/>
                <w:b/>
                <w:sz w:val="20"/>
                <w:szCs w:val="20"/>
                <w:vertAlign w:val="superscript"/>
              </w:rPr>
              <w:t>c</w:t>
            </w:r>
            <w:proofErr w:type="spellEnd"/>
          </w:p>
          <w:p w:rsidR="00C93DAA" w:rsidRPr="007F7090" w:rsidRDefault="00C93DAA" w:rsidP="00C93DAA">
            <w:pPr>
              <w:jc w:val="center"/>
              <w:rPr>
                <w:rFonts w:ascii="Arial Narrow" w:hAnsi="Arial Narrow"/>
                <w:b/>
                <w:sz w:val="20"/>
                <w:szCs w:val="20"/>
              </w:rPr>
            </w:pPr>
            <w:r w:rsidRPr="007F7090">
              <w:rPr>
                <w:rFonts w:ascii="Arial Narrow" w:hAnsi="Arial Narrow"/>
                <w:b/>
                <w:sz w:val="20"/>
                <w:szCs w:val="20"/>
              </w:rPr>
              <w:t>[95% CI]</w:t>
            </w: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rPr>
                <w:rFonts w:ascii="Arial Narrow" w:hAnsi="Arial Narrow"/>
                <w:b/>
                <w:sz w:val="20"/>
                <w:szCs w:val="20"/>
              </w:rPr>
            </w:pPr>
          </w:p>
        </w:tc>
      </w:tr>
      <w:tr w:rsidR="00C93DAA" w:rsidRPr="007F7090" w:rsidTr="007F7090">
        <w:trPr>
          <w:trHeight w:val="491"/>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93DAA" w:rsidRPr="007F7090" w:rsidRDefault="00C93DAA" w:rsidP="00C93DAA">
            <w:pPr>
              <w:ind w:left="-57" w:right="-57"/>
              <w:rPr>
                <w:rFonts w:ascii="Arial Narrow" w:hAnsi="Arial Narrow"/>
                <w:sz w:val="20"/>
                <w:szCs w:val="20"/>
              </w:rPr>
            </w:pPr>
            <w:r w:rsidRPr="007F7090">
              <w:rPr>
                <w:rFonts w:ascii="Arial Narrow" w:hAnsi="Arial Narrow"/>
                <w:sz w:val="20"/>
                <w:szCs w:val="20"/>
              </w:rPr>
              <w:t>QUEST-1</w:t>
            </w:r>
          </w:p>
        </w:tc>
        <w:tc>
          <w:tcPr>
            <w:tcW w:w="514" w:type="pct"/>
            <w:tcBorders>
              <w:top w:val="single" w:sz="4" w:space="0" w:color="auto"/>
              <w:left w:val="single" w:sz="4" w:space="0" w:color="auto"/>
              <w:bottom w:val="single" w:sz="4" w:space="0" w:color="auto"/>
              <w:right w:val="single" w:sz="4" w:space="0" w:color="auto"/>
            </w:tcBorders>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4.01</w:t>
            </w:r>
            <w:r w:rsidRPr="007F7090">
              <w:rPr>
                <w:rFonts w:ascii="Arial Narrow" w:hAnsi="Arial Narrow"/>
                <w:sz w:val="20"/>
                <w:szCs w:val="20"/>
              </w:rPr>
              <w:br/>
              <w:t>[2.54, 6.30]</w:t>
            </w:r>
          </w:p>
        </w:tc>
        <w:tc>
          <w:tcPr>
            <w:tcW w:w="737"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 xml:space="preserve">210/264 </w:t>
            </w:r>
            <w:r w:rsidRPr="007F7090">
              <w:rPr>
                <w:rFonts w:ascii="Arial Narrow" w:hAnsi="Arial Narrow"/>
                <w:sz w:val="20"/>
                <w:szCs w:val="20"/>
              </w:rPr>
              <w:br/>
              <w:t>(79.5%)</w:t>
            </w:r>
          </w:p>
        </w:tc>
        <w:tc>
          <w:tcPr>
            <w:tcW w:w="536" w:type="pct"/>
            <w:tcBorders>
              <w:top w:val="single" w:sz="4" w:space="0" w:color="auto"/>
              <w:left w:val="single" w:sz="4" w:space="0" w:color="auto"/>
              <w:bottom w:val="single" w:sz="4" w:space="0" w:color="auto"/>
              <w:right w:val="double" w:sz="4" w:space="0" w:color="auto"/>
            </w:tcBorders>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 xml:space="preserve">64/130 </w:t>
            </w:r>
            <w:r w:rsidRPr="007F7090">
              <w:rPr>
                <w:rFonts w:ascii="Arial Narrow" w:hAnsi="Arial Narrow"/>
                <w:sz w:val="20"/>
                <w:szCs w:val="20"/>
              </w:rPr>
              <w:br/>
              <w:t>(49.2%)</w:t>
            </w:r>
          </w:p>
        </w:tc>
        <w:tc>
          <w:tcPr>
            <w:tcW w:w="588" w:type="pct"/>
            <w:tcBorders>
              <w:top w:val="single" w:sz="4" w:space="0" w:color="auto"/>
              <w:left w:val="doub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63"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95"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58" w:type="pct"/>
            <w:vMerge w:val="restart"/>
            <w:tcBorders>
              <w:top w:val="single" w:sz="4" w:space="0" w:color="auto"/>
              <w:left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r w:rsidRPr="007F7090">
              <w:rPr>
                <w:rFonts w:ascii="Arial Narrow" w:hAnsi="Arial Narrow"/>
                <w:b/>
                <w:sz w:val="20"/>
                <w:szCs w:val="20"/>
              </w:rPr>
              <w:t xml:space="preserve">SMV+PR </w:t>
            </w:r>
            <w:r w:rsidRPr="007F7090">
              <w:rPr>
                <w:rFonts w:ascii="Arial Narrow" w:hAnsi="Arial Narrow"/>
                <w:b/>
                <w:sz w:val="20"/>
                <w:szCs w:val="20"/>
              </w:rPr>
              <w:br/>
              <w:t>vs TVR+PR:</w:t>
            </w:r>
          </w:p>
          <w:p w:rsidR="00C93DAA" w:rsidRPr="007F7090" w:rsidRDefault="00C93DAA" w:rsidP="00C93DAA">
            <w:pPr>
              <w:ind w:left="-57" w:right="-57"/>
              <w:jc w:val="center"/>
              <w:rPr>
                <w:rFonts w:ascii="Arial Narrow" w:hAnsi="Arial Narrow"/>
                <w:b/>
                <w:sz w:val="20"/>
                <w:szCs w:val="20"/>
              </w:rPr>
            </w:pPr>
            <w:r w:rsidRPr="007F7090">
              <w:rPr>
                <w:rFonts w:ascii="Arial Narrow" w:hAnsi="Arial Narrow"/>
                <w:b/>
                <w:sz w:val="20"/>
                <w:szCs w:val="20"/>
              </w:rPr>
              <w:t>0.97 [0.62, 1.51]</w:t>
            </w:r>
          </w:p>
          <w:p w:rsidR="00C93DAA" w:rsidRPr="007F7090" w:rsidRDefault="00C93DAA" w:rsidP="00C93DAA">
            <w:pPr>
              <w:ind w:left="-57" w:right="-57"/>
              <w:jc w:val="center"/>
              <w:rPr>
                <w:rFonts w:ascii="Arial Narrow" w:hAnsi="Arial Narrow"/>
                <w:b/>
                <w:sz w:val="20"/>
                <w:szCs w:val="20"/>
              </w:rPr>
            </w:pPr>
          </w:p>
          <w:p w:rsidR="00C93DAA" w:rsidRPr="007F7090" w:rsidRDefault="00C93DAA" w:rsidP="00C93DAA">
            <w:pPr>
              <w:ind w:left="-57" w:right="-57"/>
              <w:jc w:val="center"/>
              <w:rPr>
                <w:rFonts w:ascii="Arial Narrow" w:hAnsi="Arial Narrow"/>
                <w:b/>
                <w:sz w:val="20"/>
                <w:szCs w:val="20"/>
              </w:rPr>
            </w:pPr>
            <w:r w:rsidRPr="007F7090">
              <w:rPr>
                <w:rFonts w:ascii="Arial Narrow" w:hAnsi="Arial Narrow"/>
                <w:b/>
                <w:sz w:val="20"/>
                <w:szCs w:val="20"/>
              </w:rPr>
              <w:t xml:space="preserve">SMV+PR </w:t>
            </w:r>
            <w:r w:rsidRPr="007F7090">
              <w:rPr>
                <w:rFonts w:ascii="Arial Narrow" w:hAnsi="Arial Narrow"/>
                <w:b/>
                <w:sz w:val="20"/>
                <w:szCs w:val="20"/>
              </w:rPr>
              <w:br/>
              <w:t>vs BOC+PR:</w:t>
            </w:r>
          </w:p>
          <w:p w:rsidR="00C93DAA" w:rsidRPr="007F7090" w:rsidRDefault="00C93DAA" w:rsidP="00C93DAA">
            <w:pPr>
              <w:ind w:left="-57" w:right="-57"/>
              <w:jc w:val="center"/>
              <w:rPr>
                <w:rFonts w:ascii="Arial Narrow" w:hAnsi="Arial Narrow"/>
                <w:b/>
                <w:sz w:val="20"/>
                <w:szCs w:val="20"/>
              </w:rPr>
            </w:pPr>
            <w:r w:rsidRPr="007F7090">
              <w:rPr>
                <w:rFonts w:ascii="Arial Narrow" w:hAnsi="Arial Narrow"/>
                <w:b/>
                <w:sz w:val="20"/>
                <w:szCs w:val="20"/>
              </w:rPr>
              <w:t>1.26 [0.81, 1.93]</w:t>
            </w:r>
          </w:p>
        </w:tc>
      </w:tr>
      <w:tr w:rsidR="00C93DAA" w:rsidRPr="007F7090" w:rsidTr="007F7090">
        <w:trPr>
          <w:trHeight w:val="491"/>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93DAA" w:rsidRPr="007F7090" w:rsidRDefault="00C93DAA" w:rsidP="00C93DAA">
            <w:pPr>
              <w:ind w:left="-57" w:right="-57"/>
              <w:rPr>
                <w:rFonts w:ascii="Arial Narrow" w:hAnsi="Arial Narrow"/>
                <w:sz w:val="20"/>
                <w:szCs w:val="20"/>
              </w:rPr>
            </w:pPr>
            <w:r w:rsidRPr="007F7090">
              <w:rPr>
                <w:rFonts w:ascii="Arial Narrow" w:hAnsi="Arial Narrow"/>
                <w:bCs/>
                <w:color w:val="000000"/>
                <w:sz w:val="20"/>
                <w:szCs w:val="20"/>
              </w:rPr>
              <w:t>QUEST-2</w:t>
            </w:r>
          </w:p>
        </w:tc>
        <w:tc>
          <w:tcPr>
            <w:tcW w:w="514"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lang w:eastAsia="zh-CN"/>
              </w:rPr>
              <w:t xml:space="preserve">4.14 </w:t>
            </w:r>
            <w:r w:rsidRPr="007F7090">
              <w:rPr>
                <w:rFonts w:ascii="Arial Narrow" w:hAnsi="Arial Narrow"/>
                <w:sz w:val="20"/>
                <w:szCs w:val="20"/>
                <w:lang w:eastAsia="zh-CN"/>
              </w:rPr>
              <w:br/>
              <w:t>[2.62, 6.55]</w:t>
            </w:r>
          </w:p>
        </w:tc>
        <w:tc>
          <w:tcPr>
            <w:tcW w:w="737"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207/257</w:t>
            </w:r>
            <w:r w:rsidRPr="007F7090">
              <w:rPr>
                <w:rFonts w:ascii="Arial Narrow" w:hAnsi="Arial Narrow"/>
                <w:sz w:val="20"/>
                <w:szCs w:val="20"/>
              </w:rPr>
              <w:br/>
              <w:t>(80.5%)</w:t>
            </w:r>
          </w:p>
        </w:tc>
        <w:tc>
          <w:tcPr>
            <w:tcW w:w="536" w:type="pct"/>
            <w:tcBorders>
              <w:top w:val="single" w:sz="4" w:space="0" w:color="auto"/>
              <w:left w:val="single" w:sz="4" w:space="0" w:color="auto"/>
              <w:bottom w:val="single" w:sz="4" w:space="0" w:color="auto"/>
              <w:right w:val="doub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lang w:eastAsia="zh-CN"/>
              </w:rPr>
              <w:t xml:space="preserve">67/134 </w:t>
            </w:r>
            <w:r w:rsidRPr="007F7090">
              <w:rPr>
                <w:rFonts w:ascii="Arial Narrow" w:hAnsi="Arial Narrow"/>
                <w:sz w:val="20"/>
                <w:szCs w:val="20"/>
                <w:lang w:eastAsia="zh-CN"/>
              </w:rPr>
              <w:br/>
              <w:t>(50.0%)</w:t>
            </w:r>
          </w:p>
        </w:tc>
        <w:tc>
          <w:tcPr>
            <w:tcW w:w="588" w:type="pct"/>
            <w:tcBorders>
              <w:top w:val="single" w:sz="4" w:space="0" w:color="auto"/>
              <w:left w:val="doub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63"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95"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58" w:type="pct"/>
            <w:vMerge/>
            <w:tcBorders>
              <w:left w:val="single" w:sz="4" w:space="0" w:color="auto"/>
              <w:right w:val="single" w:sz="4" w:space="0" w:color="auto"/>
            </w:tcBorders>
            <w:vAlign w:val="center"/>
            <w:hideMark/>
          </w:tcPr>
          <w:p w:rsidR="00C93DAA" w:rsidRPr="007F7090" w:rsidRDefault="00C93DAA" w:rsidP="00C93DAA">
            <w:pPr>
              <w:rPr>
                <w:rFonts w:ascii="Arial Narrow" w:hAnsi="Arial Narrow"/>
                <w:sz w:val="20"/>
                <w:szCs w:val="20"/>
              </w:rPr>
            </w:pPr>
          </w:p>
        </w:tc>
      </w:tr>
      <w:tr w:rsidR="00C93DAA" w:rsidRPr="007F7090" w:rsidTr="007F7090">
        <w:trPr>
          <w:trHeight w:val="507"/>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93DAA" w:rsidRPr="007F7090" w:rsidRDefault="00C93DAA" w:rsidP="00C93DAA">
            <w:pPr>
              <w:ind w:left="-57" w:right="-57"/>
              <w:rPr>
                <w:rFonts w:ascii="Arial Narrow" w:hAnsi="Arial Narrow"/>
                <w:sz w:val="20"/>
                <w:szCs w:val="20"/>
              </w:rPr>
            </w:pPr>
            <w:r w:rsidRPr="007F7090">
              <w:rPr>
                <w:rFonts w:ascii="Arial Narrow" w:hAnsi="Arial Narrow"/>
                <w:sz w:val="20"/>
                <w:szCs w:val="20"/>
              </w:rPr>
              <w:t>PILLAR</w:t>
            </w:r>
          </w:p>
        </w:tc>
        <w:tc>
          <w:tcPr>
            <w:tcW w:w="514"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lang w:eastAsia="zh-CN"/>
              </w:rPr>
              <w:t xml:space="preserve">2.23 </w:t>
            </w:r>
            <w:r w:rsidRPr="007F7090">
              <w:rPr>
                <w:rFonts w:ascii="Arial Narrow" w:hAnsi="Arial Narrow"/>
                <w:sz w:val="20"/>
                <w:szCs w:val="20"/>
                <w:lang w:eastAsia="zh-CN"/>
              </w:rPr>
              <w:br/>
              <w:t>[1.07, 4.65]</w:t>
            </w:r>
          </w:p>
        </w:tc>
        <w:tc>
          <w:tcPr>
            <w:tcW w:w="737"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lang w:eastAsia="zh-CN"/>
              </w:rPr>
              <w:t>62/77</w:t>
            </w:r>
            <w:r w:rsidRPr="007F7090">
              <w:rPr>
                <w:rFonts w:ascii="Arial Narrow" w:hAnsi="Arial Narrow"/>
                <w:sz w:val="20"/>
                <w:szCs w:val="20"/>
                <w:lang w:eastAsia="zh-CN"/>
              </w:rPr>
              <w:br/>
              <w:t xml:space="preserve"> (80.5%)</w:t>
            </w:r>
          </w:p>
        </w:tc>
        <w:tc>
          <w:tcPr>
            <w:tcW w:w="536" w:type="pct"/>
            <w:tcBorders>
              <w:top w:val="single" w:sz="4" w:space="0" w:color="auto"/>
              <w:left w:val="single" w:sz="4" w:space="0" w:color="auto"/>
              <w:bottom w:val="single" w:sz="4" w:space="0" w:color="auto"/>
              <w:right w:val="doub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eastAsia="TimesNewRoman" w:hAnsi="Arial Narrow" w:cs="TimesNewRoman"/>
                <w:sz w:val="20"/>
                <w:szCs w:val="20"/>
                <w:lang w:val="en-US" w:eastAsia="zh-CN"/>
              </w:rPr>
              <w:t>50/77</w:t>
            </w:r>
            <w:r w:rsidRPr="007F7090">
              <w:rPr>
                <w:rFonts w:ascii="Arial Narrow" w:eastAsia="TimesNewRoman" w:hAnsi="Arial Narrow" w:cs="TimesNewRoman"/>
                <w:sz w:val="20"/>
                <w:szCs w:val="20"/>
                <w:lang w:val="en-US" w:eastAsia="zh-CN"/>
              </w:rPr>
              <w:br/>
              <w:t xml:space="preserve"> (64.9%)</w:t>
            </w:r>
          </w:p>
        </w:tc>
        <w:tc>
          <w:tcPr>
            <w:tcW w:w="588" w:type="pct"/>
            <w:tcBorders>
              <w:top w:val="single" w:sz="4" w:space="0" w:color="auto"/>
              <w:left w:val="double" w:sz="4" w:space="0" w:color="auto"/>
              <w:bottom w:val="single" w:sz="4" w:space="0" w:color="auto"/>
              <w:right w:val="single" w:sz="4" w:space="0" w:color="auto"/>
            </w:tcBorders>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63" w:type="pct"/>
            <w:tcBorders>
              <w:top w:val="single" w:sz="4" w:space="0" w:color="auto"/>
              <w:left w:val="single" w:sz="4" w:space="0" w:color="auto"/>
              <w:bottom w:val="single" w:sz="4" w:space="0" w:color="auto"/>
              <w:right w:val="single" w:sz="4" w:space="0" w:color="auto"/>
            </w:tcBorders>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95" w:type="pct"/>
            <w:tcBorders>
              <w:top w:val="single" w:sz="4" w:space="0" w:color="auto"/>
              <w:left w:val="single" w:sz="4" w:space="0" w:color="auto"/>
              <w:bottom w:val="single" w:sz="4" w:space="0" w:color="auto"/>
              <w:right w:val="single" w:sz="4" w:space="0" w:color="auto"/>
            </w:tcBorders>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58" w:type="pct"/>
            <w:vMerge/>
            <w:tcBorders>
              <w:left w:val="single" w:sz="4" w:space="0" w:color="auto"/>
              <w:right w:val="single" w:sz="4" w:space="0" w:color="auto"/>
            </w:tcBorders>
            <w:vAlign w:val="center"/>
            <w:hideMark/>
          </w:tcPr>
          <w:p w:rsidR="00C93DAA" w:rsidRPr="007F7090" w:rsidRDefault="00C93DAA" w:rsidP="00C93DAA">
            <w:pPr>
              <w:rPr>
                <w:rFonts w:ascii="Arial Narrow" w:hAnsi="Arial Narrow"/>
                <w:sz w:val="20"/>
                <w:szCs w:val="20"/>
              </w:rPr>
            </w:pPr>
          </w:p>
        </w:tc>
      </w:tr>
      <w:tr w:rsidR="00C93DAA" w:rsidRPr="007F7090" w:rsidTr="007F7090">
        <w:trPr>
          <w:trHeight w:val="491"/>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93DAA" w:rsidRPr="007F7090" w:rsidRDefault="00C93DAA" w:rsidP="00C93DAA">
            <w:pPr>
              <w:ind w:left="-57" w:right="-57"/>
              <w:rPr>
                <w:rFonts w:ascii="Arial Narrow" w:hAnsi="Arial Narrow"/>
                <w:sz w:val="20"/>
                <w:szCs w:val="20"/>
                <w:vertAlign w:val="superscript"/>
              </w:rPr>
            </w:pPr>
            <w:proofErr w:type="spellStart"/>
            <w:r w:rsidRPr="007F7090">
              <w:rPr>
                <w:rFonts w:ascii="Arial Narrow" w:hAnsi="Arial Narrow"/>
                <w:sz w:val="20"/>
                <w:szCs w:val="20"/>
              </w:rPr>
              <w:t>Pooled</w:t>
            </w:r>
            <w:r w:rsidRPr="007F7090">
              <w:rPr>
                <w:rFonts w:ascii="Arial Narrow" w:hAnsi="Arial Narrow"/>
                <w:sz w:val="20"/>
                <w:szCs w:val="20"/>
                <w:vertAlign w:val="superscript"/>
              </w:rPr>
              <w:t>e</w:t>
            </w:r>
            <w:proofErr w:type="spellEnd"/>
          </w:p>
        </w:tc>
        <w:tc>
          <w:tcPr>
            <w:tcW w:w="1787" w:type="pct"/>
            <w:gridSpan w:val="3"/>
            <w:tcBorders>
              <w:top w:val="single" w:sz="4" w:space="0" w:color="auto"/>
              <w:left w:val="single" w:sz="4" w:space="0" w:color="auto"/>
              <w:bottom w:val="single" w:sz="4" w:space="0" w:color="auto"/>
              <w:right w:val="double" w:sz="4" w:space="0" w:color="auto"/>
            </w:tcBorders>
            <w:vAlign w:val="center"/>
            <w:hideMark/>
          </w:tcPr>
          <w:p w:rsidR="00C93DAA" w:rsidRPr="007F7090" w:rsidRDefault="00C93DAA" w:rsidP="00C93DAA">
            <w:pPr>
              <w:ind w:left="-57" w:right="-57"/>
              <w:jc w:val="center"/>
              <w:rPr>
                <w:rFonts w:ascii="Arial Narrow" w:hAnsi="Arial Narrow"/>
                <w:sz w:val="20"/>
                <w:szCs w:val="20"/>
                <w:lang w:eastAsia="zh-CN"/>
              </w:rPr>
            </w:pPr>
            <w:r w:rsidRPr="007F7090">
              <w:rPr>
                <w:rFonts w:ascii="Arial Narrow" w:hAnsi="Arial Narrow"/>
                <w:sz w:val="20"/>
                <w:szCs w:val="20"/>
                <w:lang w:eastAsia="zh-CN"/>
              </w:rPr>
              <w:t>3.67 [2.69, 5.01]</w:t>
            </w:r>
          </w:p>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χ</w:t>
            </w:r>
            <w:r w:rsidRPr="007F7090">
              <w:rPr>
                <w:rFonts w:ascii="Arial Narrow" w:hAnsi="Arial Narrow"/>
                <w:sz w:val="20"/>
                <w:szCs w:val="20"/>
                <w:vertAlign w:val="superscript"/>
                <w:lang w:eastAsia="zh-CN"/>
              </w:rPr>
              <w:t xml:space="preserve">2 </w:t>
            </w:r>
            <w:r w:rsidRPr="007F7090">
              <w:rPr>
                <w:rFonts w:ascii="Arial Narrow" w:hAnsi="Arial Narrow"/>
                <w:sz w:val="20"/>
                <w:szCs w:val="20"/>
                <w:lang w:eastAsia="zh-CN"/>
              </w:rPr>
              <w:t>= 2.18 (</w:t>
            </w:r>
            <w:proofErr w:type="spellStart"/>
            <w:r w:rsidRPr="007F7090">
              <w:rPr>
                <w:rFonts w:ascii="Arial Narrow" w:hAnsi="Arial Narrow"/>
                <w:sz w:val="20"/>
                <w:szCs w:val="20"/>
                <w:lang w:eastAsia="zh-CN"/>
              </w:rPr>
              <w:t>df</w:t>
            </w:r>
            <w:proofErr w:type="spellEnd"/>
            <w:r w:rsidRPr="007F7090">
              <w:rPr>
                <w:rFonts w:ascii="Arial Narrow" w:hAnsi="Arial Narrow"/>
                <w:sz w:val="20"/>
                <w:szCs w:val="20"/>
                <w:lang w:eastAsia="zh-CN"/>
              </w:rPr>
              <w:t>: 2), p = 0.34, I</w:t>
            </w:r>
            <w:r w:rsidRPr="007F7090">
              <w:rPr>
                <w:rFonts w:ascii="Arial Narrow" w:hAnsi="Arial Narrow"/>
                <w:sz w:val="20"/>
                <w:szCs w:val="20"/>
                <w:vertAlign w:val="superscript"/>
                <w:lang w:eastAsia="zh-CN"/>
              </w:rPr>
              <w:t>2</w:t>
            </w:r>
            <w:r w:rsidRPr="007F7090">
              <w:rPr>
                <w:rFonts w:ascii="Arial Narrow" w:hAnsi="Arial Narrow"/>
                <w:sz w:val="20"/>
                <w:szCs w:val="20"/>
                <w:lang w:eastAsia="zh-CN"/>
              </w:rPr>
              <w:t xml:space="preserve"> = 8%</w:t>
            </w:r>
          </w:p>
        </w:tc>
        <w:tc>
          <w:tcPr>
            <w:tcW w:w="588" w:type="pct"/>
            <w:tcBorders>
              <w:top w:val="single" w:sz="4" w:space="0" w:color="auto"/>
              <w:left w:val="doub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63"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95"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58" w:type="pct"/>
            <w:vMerge/>
            <w:tcBorders>
              <w:left w:val="single" w:sz="4" w:space="0" w:color="auto"/>
              <w:right w:val="single" w:sz="4" w:space="0" w:color="auto"/>
            </w:tcBorders>
            <w:vAlign w:val="center"/>
            <w:hideMark/>
          </w:tcPr>
          <w:p w:rsidR="00C93DAA" w:rsidRPr="007F7090" w:rsidRDefault="00C93DAA" w:rsidP="00C93DAA">
            <w:pPr>
              <w:rPr>
                <w:rFonts w:ascii="Arial Narrow" w:hAnsi="Arial Narrow"/>
                <w:sz w:val="20"/>
                <w:szCs w:val="20"/>
              </w:rPr>
            </w:pPr>
          </w:p>
        </w:tc>
      </w:tr>
      <w:tr w:rsidR="00C93DAA" w:rsidRPr="007F7090" w:rsidTr="007F7090">
        <w:trPr>
          <w:trHeight w:val="245"/>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93DAA" w:rsidRPr="007F7090" w:rsidRDefault="00C93DAA" w:rsidP="00C93DAA">
            <w:pPr>
              <w:ind w:left="-57" w:right="-57"/>
              <w:rPr>
                <w:rFonts w:ascii="Arial Narrow" w:hAnsi="Arial Narrow"/>
                <w:bCs/>
                <w:color w:val="000000"/>
                <w:sz w:val="20"/>
                <w:szCs w:val="20"/>
              </w:rPr>
            </w:pPr>
          </w:p>
        </w:tc>
        <w:tc>
          <w:tcPr>
            <w:tcW w:w="514"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p>
        </w:tc>
        <w:tc>
          <w:tcPr>
            <w:tcW w:w="737"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p>
        </w:tc>
        <w:tc>
          <w:tcPr>
            <w:tcW w:w="536" w:type="pct"/>
            <w:tcBorders>
              <w:top w:val="single" w:sz="4" w:space="0" w:color="auto"/>
              <w:left w:val="single" w:sz="4" w:space="0" w:color="auto"/>
              <w:bottom w:val="single" w:sz="4" w:space="0" w:color="auto"/>
              <w:right w:val="double" w:sz="4" w:space="0" w:color="auto"/>
            </w:tcBorders>
            <w:vAlign w:val="center"/>
          </w:tcPr>
          <w:p w:rsidR="00C93DAA" w:rsidRPr="007F7090" w:rsidRDefault="00C93DAA" w:rsidP="00C93DAA">
            <w:pPr>
              <w:ind w:left="-57" w:right="-57"/>
              <w:jc w:val="center"/>
              <w:rPr>
                <w:rFonts w:ascii="Arial Narrow" w:hAnsi="Arial Narrow"/>
                <w:sz w:val="20"/>
                <w:szCs w:val="20"/>
              </w:rPr>
            </w:pPr>
          </w:p>
        </w:tc>
        <w:tc>
          <w:tcPr>
            <w:tcW w:w="588" w:type="pct"/>
            <w:tcBorders>
              <w:top w:val="single" w:sz="4" w:space="0" w:color="auto"/>
              <w:left w:val="doub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p>
        </w:tc>
        <w:tc>
          <w:tcPr>
            <w:tcW w:w="763"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r w:rsidRPr="007F7090">
              <w:rPr>
                <w:rFonts w:ascii="Arial Narrow" w:hAnsi="Arial Narrow"/>
                <w:b/>
                <w:sz w:val="20"/>
                <w:szCs w:val="20"/>
              </w:rPr>
              <w:t>TVR12+PR24/48</w:t>
            </w:r>
          </w:p>
        </w:tc>
        <w:tc>
          <w:tcPr>
            <w:tcW w:w="595"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p>
        </w:tc>
        <w:tc>
          <w:tcPr>
            <w:tcW w:w="758" w:type="pct"/>
            <w:vMerge/>
            <w:tcBorders>
              <w:left w:val="single" w:sz="4" w:space="0" w:color="auto"/>
              <w:right w:val="single" w:sz="4" w:space="0" w:color="auto"/>
            </w:tcBorders>
            <w:vAlign w:val="center"/>
          </w:tcPr>
          <w:p w:rsidR="00C93DAA" w:rsidRPr="007F7090" w:rsidRDefault="00C93DAA" w:rsidP="00C93DAA">
            <w:pPr>
              <w:rPr>
                <w:rFonts w:ascii="Arial Narrow" w:hAnsi="Arial Narrow"/>
                <w:sz w:val="20"/>
                <w:szCs w:val="20"/>
              </w:rPr>
            </w:pPr>
          </w:p>
        </w:tc>
      </w:tr>
      <w:tr w:rsidR="00C93DAA" w:rsidRPr="007F7090" w:rsidTr="007F7090">
        <w:trPr>
          <w:trHeight w:val="491"/>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93DAA" w:rsidRPr="007F7090" w:rsidRDefault="00C93DAA" w:rsidP="00C93DAA">
            <w:pPr>
              <w:ind w:left="-57" w:right="-57"/>
              <w:rPr>
                <w:rFonts w:ascii="Arial Narrow" w:hAnsi="Arial Narrow"/>
                <w:bCs/>
                <w:color w:val="000000"/>
                <w:sz w:val="20"/>
                <w:szCs w:val="20"/>
              </w:rPr>
            </w:pPr>
            <w:r w:rsidRPr="007F7090">
              <w:rPr>
                <w:rFonts w:ascii="Arial Narrow" w:hAnsi="Arial Narrow"/>
                <w:bCs/>
                <w:color w:val="000000"/>
                <w:sz w:val="20"/>
                <w:szCs w:val="20"/>
              </w:rPr>
              <w:t>ADVANCE</w:t>
            </w:r>
          </w:p>
        </w:tc>
        <w:tc>
          <w:tcPr>
            <w:tcW w:w="514"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37" w:type="pct"/>
            <w:tcBorders>
              <w:top w:val="single" w:sz="4" w:space="0" w:color="auto"/>
              <w:left w:val="single" w:sz="4" w:space="0" w:color="auto"/>
              <w:bottom w:val="single" w:sz="4" w:space="0" w:color="auto"/>
              <w:right w:val="sing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36" w:type="pct"/>
            <w:tcBorders>
              <w:top w:val="single" w:sz="4" w:space="0" w:color="auto"/>
              <w:left w:val="single" w:sz="4" w:space="0" w:color="auto"/>
              <w:bottom w:val="single" w:sz="4" w:space="0" w:color="auto"/>
              <w:right w:val="double" w:sz="4" w:space="0" w:color="auto"/>
            </w:tcBorders>
            <w:vAlign w:val="center"/>
            <w:hideMark/>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88" w:type="pct"/>
            <w:tcBorders>
              <w:top w:val="single" w:sz="4" w:space="0" w:color="auto"/>
              <w:left w:val="doub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sz w:val="20"/>
                <w:szCs w:val="20"/>
                <w:lang w:eastAsia="zh-CN"/>
              </w:rPr>
              <w:t>158/361 (43.8%)</w:t>
            </w:r>
          </w:p>
        </w:tc>
        <w:tc>
          <w:tcPr>
            <w:tcW w:w="763"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271/363 </w:t>
            </w:r>
            <w:r w:rsidRPr="007F7090">
              <w:rPr>
                <w:rFonts w:ascii="Arial Narrow" w:hAnsi="Arial Narrow"/>
                <w:sz w:val="20"/>
                <w:szCs w:val="20"/>
                <w:lang w:eastAsia="zh-CN"/>
              </w:rPr>
              <w:br/>
              <w:t>(74.7%)</w:t>
            </w:r>
          </w:p>
        </w:tc>
        <w:tc>
          <w:tcPr>
            <w:tcW w:w="595"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3.78 </w:t>
            </w:r>
            <w:r w:rsidRPr="007F7090">
              <w:rPr>
                <w:rFonts w:ascii="Arial Narrow" w:hAnsi="Arial Narrow"/>
                <w:sz w:val="20"/>
                <w:szCs w:val="20"/>
                <w:lang w:eastAsia="zh-CN"/>
              </w:rPr>
              <w:br/>
              <w:t>[2.76, 5.19]</w:t>
            </w:r>
          </w:p>
        </w:tc>
        <w:tc>
          <w:tcPr>
            <w:tcW w:w="758" w:type="pct"/>
            <w:vMerge/>
            <w:tcBorders>
              <w:left w:val="single" w:sz="4" w:space="0" w:color="auto"/>
              <w:right w:val="single" w:sz="4" w:space="0" w:color="auto"/>
            </w:tcBorders>
            <w:vAlign w:val="center"/>
            <w:hideMark/>
          </w:tcPr>
          <w:p w:rsidR="00C93DAA" w:rsidRPr="007F7090" w:rsidRDefault="00C93DAA" w:rsidP="00C93DAA">
            <w:pPr>
              <w:rPr>
                <w:rFonts w:ascii="Arial Narrow" w:hAnsi="Arial Narrow"/>
                <w:sz w:val="20"/>
                <w:szCs w:val="20"/>
              </w:rPr>
            </w:pPr>
          </w:p>
        </w:tc>
      </w:tr>
      <w:tr w:rsidR="00C93DAA" w:rsidRPr="007F7090" w:rsidTr="007F7090">
        <w:trPr>
          <w:trHeight w:val="245"/>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93DAA" w:rsidRPr="007F7090" w:rsidRDefault="00C93DAA" w:rsidP="00C93DAA">
            <w:pPr>
              <w:ind w:left="-57" w:right="-57"/>
              <w:rPr>
                <w:rFonts w:ascii="Arial Narrow" w:hAnsi="Arial Narrow"/>
                <w:bCs/>
                <w:color w:val="000000"/>
                <w:sz w:val="20"/>
                <w:szCs w:val="20"/>
              </w:rPr>
            </w:pPr>
          </w:p>
        </w:tc>
        <w:tc>
          <w:tcPr>
            <w:tcW w:w="514"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p>
        </w:tc>
        <w:tc>
          <w:tcPr>
            <w:tcW w:w="737"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p>
        </w:tc>
        <w:tc>
          <w:tcPr>
            <w:tcW w:w="536" w:type="pct"/>
            <w:tcBorders>
              <w:top w:val="single" w:sz="4" w:space="0" w:color="auto"/>
              <w:left w:val="single" w:sz="4" w:space="0" w:color="auto"/>
              <w:bottom w:val="single" w:sz="4" w:space="0" w:color="auto"/>
              <w:right w:val="double" w:sz="4" w:space="0" w:color="auto"/>
            </w:tcBorders>
            <w:vAlign w:val="center"/>
          </w:tcPr>
          <w:p w:rsidR="00C93DAA" w:rsidRPr="007F7090" w:rsidRDefault="00C93DAA" w:rsidP="00C93DAA">
            <w:pPr>
              <w:ind w:left="-57" w:right="-57"/>
              <w:jc w:val="center"/>
              <w:rPr>
                <w:rFonts w:ascii="Arial Narrow" w:hAnsi="Arial Narrow"/>
                <w:sz w:val="20"/>
                <w:szCs w:val="20"/>
              </w:rPr>
            </w:pPr>
          </w:p>
        </w:tc>
        <w:tc>
          <w:tcPr>
            <w:tcW w:w="588" w:type="pct"/>
            <w:tcBorders>
              <w:top w:val="single" w:sz="4" w:space="0" w:color="auto"/>
              <w:left w:val="doub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p>
        </w:tc>
        <w:tc>
          <w:tcPr>
            <w:tcW w:w="763"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r w:rsidRPr="007F7090">
              <w:rPr>
                <w:rFonts w:ascii="Arial Narrow" w:hAnsi="Arial Narrow"/>
                <w:b/>
                <w:sz w:val="20"/>
                <w:szCs w:val="20"/>
              </w:rPr>
              <w:t>BOC24+PR28/48</w:t>
            </w:r>
          </w:p>
        </w:tc>
        <w:tc>
          <w:tcPr>
            <w:tcW w:w="595"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p>
        </w:tc>
        <w:tc>
          <w:tcPr>
            <w:tcW w:w="758" w:type="pct"/>
            <w:vMerge/>
            <w:tcBorders>
              <w:left w:val="single" w:sz="4" w:space="0" w:color="auto"/>
              <w:bottom w:val="single" w:sz="4" w:space="0" w:color="auto"/>
              <w:right w:val="single" w:sz="4" w:space="0" w:color="auto"/>
            </w:tcBorders>
            <w:vAlign w:val="center"/>
          </w:tcPr>
          <w:p w:rsidR="00C93DAA" w:rsidRPr="007F7090" w:rsidRDefault="00C93DAA" w:rsidP="00C93DAA">
            <w:pPr>
              <w:rPr>
                <w:rFonts w:ascii="Arial Narrow" w:hAnsi="Arial Narrow"/>
                <w:sz w:val="20"/>
                <w:szCs w:val="20"/>
              </w:rPr>
            </w:pPr>
          </w:p>
        </w:tc>
      </w:tr>
      <w:tr w:rsidR="00C93DAA" w:rsidRPr="007F7090" w:rsidTr="007F7090">
        <w:trPr>
          <w:trHeight w:val="933"/>
        </w:trPr>
        <w:tc>
          <w:tcPr>
            <w:tcW w:w="50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93DAA" w:rsidRPr="007F7090" w:rsidRDefault="00C93DAA" w:rsidP="00C93DAA">
            <w:pPr>
              <w:ind w:left="-57" w:right="-57"/>
              <w:rPr>
                <w:rFonts w:ascii="Arial Narrow" w:hAnsi="Arial Narrow"/>
                <w:bCs/>
                <w:color w:val="000000"/>
                <w:sz w:val="20"/>
                <w:szCs w:val="20"/>
              </w:rPr>
            </w:pPr>
            <w:r w:rsidRPr="007F7090">
              <w:rPr>
                <w:rFonts w:ascii="Arial Narrow" w:hAnsi="Arial Narrow"/>
                <w:bCs/>
                <w:color w:val="000000"/>
                <w:sz w:val="20"/>
                <w:szCs w:val="20"/>
              </w:rPr>
              <w:t>SPRINT-2</w:t>
            </w:r>
          </w:p>
        </w:tc>
        <w:tc>
          <w:tcPr>
            <w:tcW w:w="514"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737" w:type="pct"/>
            <w:tcBorders>
              <w:top w:val="single" w:sz="4" w:space="0" w:color="auto"/>
              <w:left w:val="single" w:sz="4" w:space="0" w:color="auto"/>
              <w:bottom w:val="single" w:sz="4" w:space="0" w:color="auto"/>
              <w:right w:val="sing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36" w:type="pct"/>
            <w:tcBorders>
              <w:top w:val="single" w:sz="4" w:space="0" w:color="auto"/>
              <w:left w:val="single" w:sz="4" w:space="0" w:color="auto"/>
              <w:bottom w:val="single" w:sz="4" w:space="0" w:color="auto"/>
              <w:right w:val="double" w:sz="4" w:space="0" w:color="auto"/>
            </w:tcBorders>
            <w:vAlign w:val="center"/>
          </w:tcPr>
          <w:p w:rsidR="00C93DAA" w:rsidRPr="007F7090" w:rsidRDefault="00C93DAA" w:rsidP="00C93DAA">
            <w:pPr>
              <w:ind w:left="-57" w:right="-57"/>
              <w:jc w:val="center"/>
              <w:rPr>
                <w:rFonts w:ascii="Arial Narrow" w:hAnsi="Arial Narrow"/>
                <w:sz w:val="20"/>
                <w:szCs w:val="20"/>
              </w:rPr>
            </w:pPr>
            <w:r w:rsidRPr="007F7090">
              <w:rPr>
                <w:rFonts w:ascii="Arial Narrow" w:hAnsi="Arial Narrow"/>
                <w:sz w:val="20"/>
                <w:szCs w:val="20"/>
              </w:rPr>
              <w:t>–</w:t>
            </w:r>
          </w:p>
        </w:tc>
        <w:tc>
          <w:tcPr>
            <w:tcW w:w="588" w:type="pct"/>
            <w:tcBorders>
              <w:top w:val="single" w:sz="4" w:space="0" w:color="auto"/>
              <w:left w:val="doub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color w:val="000000"/>
                <w:sz w:val="20"/>
                <w:szCs w:val="20"/>
              </w:rPr>
              <w:t>132/363</w:t>
            </w:r>
          </w:p>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color w:val="000000"/>
                <w:sz w:val="20"/>
                <w:szCs w:val="20"/>
              </w:rPr>
              <w:t>(36.4%)</w:t>
            </w:r>
          </w:p>
        </w:tc>
        <w:tc>
          <w:tcPr>
            <w:tcW w:w="763"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color w:val="000000"/>
                <w:sz w:val="20"/>
                <w:szCs w:val="20"/>
              </w:rPr>
              <w:t>230/368</w:t>
            </w:r>
          </w:p>
          <w:p w:rsidR="00C93DAA" w:rsidRPr="007F7090" w:rsidRDefault="00C93DAA" w:rsidP="00C93DAA">
            <w:pPr>
              <w:ind w:left="-57" w:right="-57"/>
              <w:jc w:val="center"/>
              <w:rPr>
                <w:rFonts w:ascii="Arial Narrow" w:hAnsi="Arial Narrow"/>
                <w:color w:val="000000"/>
                <w:sz w:val="20"/>
                <w:szCs w:val="20"/>
              </w:rPr>
            </w:pPr>
            <w:r w:rsidRPr="007F7090">
              <w:rPr>
                <w:rFonts w:ascii="Arial Narrow" w:hAnsi="Arial Narrow"/>
                <w:color w:val="000000"/>
                <w:sz w:val="20"/>
                <w:szCs w:val="20"/>
              </w:rPr>
              <w:t>(62.6%)</w:t>
            </w:r>
          </w:p>
        </w:tc>
        <w:tc>
          <w:tcPr>
            <w:tcW w:w="595" w:type="pct"/>
            <w:tcBorders>
              <w:top w:val="single" w:sz="4" w:space="0" w:color="auto"/>
              <w:left w:val="single" w:sz="4" w:space="0" w:color="auto"/>
              <w:bottom w:val="single" w:sz="4" w:space="0" w:color="auto"/>
              <w:right w:val="single" w:sz="4" w:space="0" w:color="auto"/>
            </w:tcBorders>
          </w:tcPr>
          <w:p w:rsidR="00C93DAA" w:rsidRPr="007F7090" w:rsidRDefault="00C93DAA" w:rsidP="00C93DAA">
            <w:pPr>
              <w:ind w:left="-57" w:right="-57"/>
              <w:jc w:val="center"/>
              <w:rPr>
                <w:rFonts w:ascii="Arial Narrow" w:hAnsi="Arial Narrow"/>
                <w:sz w:val="20"/>
                <w:szCs w:val="20"/>
                <w:lang w:eastAsia="zh-CN"/>
              </w:rPr>
            </w:pPr>
            <w:r w:rsidRPr="007F7090">
              <w:rPr>
                <w:rFonts w:ascii="Arial Narrow" w:hAnsi="Arial Narrow"/>
                <w:sz w:val="20"/>
                <w:szCs w:val="20"/>
                <w:lang w:eastAsia="zh-CN"/>
              </w:rPr>
              <w:t>2.92</w:t>
            </w:r>
            <w:r w:rsidRPr="007F7090">
              <w:rPr>
                <w:rFonts w:ascii="Arial Narrow" w:hAnsi="Arial Narrow"/>
                <w:sz w:val="20"/>
                <w:szCs w:val="20"/>
                <w:lang w:eastAsia="zh-CN"/>
              </w:rPr>
              <w:br/>
              <w:t>[2.16, 3.95]</w:t>
            </w:r>
          </w:p>
        </w:tc>
        <w:tc>
          <w:tcPr>
            <w:tcW w:w="758" w:type="pct"/>
            <w:vMerge/>
            <w:tcBorders>
              <w:left w:val="single" w:sz="4" w:space="0" w:color="auto"/>
              <w:bottom w:val="single" w:sz="4" w:space="0" w:color="auto"/>
              <w:right w:val="single" w:sz="4" w:space="0" w:color="auto"/>
            </w:tcBorders>
            <w:vAlign w:val="center"/>
          </w:tcPr>
          <w:p w:rsidR="00C93DAA" w:rsidRPr="007F7090" w:rsidRDefault="00C93DAA" w:rsidP="00C93DAA">
            <w:pPr>
              <w:rPr>
                <w:rFonts w:ascii="Arial Narrow" w:hAnsi="Arial Narrow"/>
                <w:sz w:val="20"/>
                <w:szCs w:val="20"/>
              </w:rPr>
            </w:pPr>
          </w:p>
        </w:tc>
      </w:tr>
    </w:tbl>
    <w:p w:rsidR="00C93DAA" w:rsidRPr="00400CFB" w:rsidRDefault="00C93DAA" w:rsidP="007F7090">
      <w:pPr>
        <w:pStyle w:val="TableFooter"/>
        <w:ind w:left="720"/>
      </w:pPr>
      <w:r w:rsidRPr="00400CFB">
        <w:t xml:space="preserve">SVR24 = sustained virological response at 24 weeks after the end of treatment; PR = </w:t>
      </w:r>
      <w:proofErr w:type="spellStart"/>
      <w:r w:rsidRPr="00400CFB">
        <w:t>peginterferon</w:t>
      </w:r>
      <w:proofErr w:type="spellEnd"/>
      <w:r w:rsidRPr="00400CFB">
        <w:t xml:space="preserve"> </w:t>
      </w:r>
      <w:proofErr w:type="spellStart"/>
      <w:r w:rsidRPr="00400CFB">
        <w:t>alfa</w:t>
      </w:r>
      <w:proofErr w:type="spellEnd"/>
      <w:r w:rsidRPr="00400CFB">
        <w:t xml:space="preserve"> and ribavirin; OR = odds ratio; CI = confidence interval; SMV = </w:t>
      </w:r>
      <w:proofErr w:type="spellStart"/>
      <w:r w:rsidRPr="00400CFB">
        <w:t>simeprevir</w:t>
      </w:r>
      <w:proofErr w:type="spellEnd"/>
      <w:r w:rsidRPr="00400CFB">
        <w:t xml:space="preserve">; TVR = </w:t>
      </w:r>
      <w:proofErr w:type="spellStart"/>
      <w:r w:rsidRPr="00400CFB">
        <w:t>telaprevir</w:t>
      </w:r>
      <w:proofErr w:type="spellEnd"/>
      <w:r w:rsidRPr="00400CFB">
        <w:t xml:space="preserve">; BOC = </w:t>
      </w:r>
      <w:proofErr w:type="spellStart"/>
      <w:r w:rsidRPr="00400CFB">
        <w:t>boceprevir</w:t>
      </w:r>
      <w:proofErr w:type="spellEnd"/>
    </w:p>
    <w:p w:rsidR="00C93DAA" w:rsidRPr="00400CFB" w:rsidRDefault="00C93DAA" w:rsidP="007F7090">
      <w:pPr>
        <w:pStyle w:val="TableFooter"/>
        <w:ind w:left="720"/>
      </w:pPr>
      <w:proofErr w:type="gramStart"/>
      <w:r w:rsidRPr="00400CFB">
        <w:rPr>
          <w:vertAlign w:val="superscript"/>
        </w:rPr>
        <w:t>a</w:t>
      </w:r>
      <w:proofErr w:type="gramEnd"/>
      <w:r w:rsidRPr="00400CFB">
        <w:t xml:space="preserve"> SMV</w:t>
      </w:r>
      <w:r w:rsidR="002162D7" w:rsidRPr="00400CFB">
        <w:t xml:space="preserve"> </w:t>
      </w:r>
      <w:r w:rsidRPr="00400CFB">
        <w:t>+</w:t>
      </w:r>
      <w:r w:rsidR="002162D7" w:rsidRPr="00400CFB">
        <w:t xml:space="preserve"> </w:t>
      </w:r>
      <w:r w:rsidRPr="00400CFB">
        <w:t xml:space="preserve">PR vs placebo + PR. An OR &gt;1 indicates treatment effect favouring SMV+PR </w:t>
      </w:r>
      <w:r w:rsidR="00A22660" w:rsidRPr="00400CFB">
        <w:t>i.e.</w:t>
      </w:r>
      <w:r w:rsidRPr="00400CFB">
        <w:t xml:space="preserve"> improvement in odds of obtaining SVR24</w:t>
      </w:r>
    </w:p>
    <w:p w:rsidR="00C93DAA" w:rsidRPr="00400CFB" w:rsidRDefault="00C93DAA" w:rsidP="007F7090">
      <w:pPr>
        <w:pStyle w:val="TableFooter"/>
        <w:ind w:firstLine="720"/>
      </w:pPr>
      <w:proofErr w:type="gramStart"/>
      <w:r w:rsidRPr="00400CFB">
        <w:rPr>
          <w:vertAlign w:val="superscript"/>
        </w:rPr>
        <w:t>b</w:t>
      </w:r>
      <w:proofErr w:type="gramEnd"/>
      <w:r w:rsidRPr="00400CFB">
        <w:t xml:space="preserve"> Placebo was given in addition to PR.</w:t>
      </w:r>
    </w:p>
    <w:p w:rsidR="00C93DAA" w:rsidRPr="00400CFB" w:rsidRDefault="00C93DAA" w:rsidP="007F7090">
      <w:pPr>
        <w:pStyle w:val="TableFooter"/>
        <w:ind w:left="720"/>
      </w:pPr>
      <w:proofErr w:type="gramStart"/>
      <w:r w:rsidRPr="00400CFB">
        <w:rPr>
          <w:vertAlign w:val="superscript"/>
        </w:rPr>
        <w:t>c</w:t>
      </w:r>
      <w:proofErr w:type="gramEnd"/>
      <w:r w:rsidRPr="00400CFB">
        <w:t xml:space="preserve"> TVR/BOC</w:t>
      </w:r>
      <w:r w:rsidR="002162D7" w:rsidRPr="00400CFB">
        <w:t xml:space="preserve"> </w:t>
      </w:r>
      <w:r w:rsidRPr="00400CFB">
        <w:t>+</w:t>
      </w:r>
      <w:r w:rsidR="002162D7" w:rsidRPr="00400CFB">
        <w:t xml:space="preserve"> </w:t>
      </w:r>
      <w:r w:rsidRPr="00400CFB">
        <w:t>PR vs placebo</w:t>
      </w:r>
      <w:r w:rsidR="002162D7" w:rsidRPr="00400CFB">
        <w:t xml:space="preserve"> </w:t>
      </w:r>
      <w:r w:rsidRPr="00400CFB">
        <w:t>+</w:t>
      </w:r>
      <w:r w:rsidR="002162D7" w:rsidRPr="00400CFB">
        <w:t xml:space="preserve"> </w:t>
      </w:r>
      <w:r w:rsidRPr="00400CFB">
        <w:t>PR. An OR &gt;1 indicates treatment effect favouring TVR/BOC+PR i</w:t>
      </w:r>
      <w:r w:rsidR="002162D7" w:rsidRPr="00400CFB">
        <w:t>.</w:t>
      </w:r>
      <w:r w:rsidRPr="00400CFB">
        <w:t>e</w:t>
      </w:r>
      <w:r w:rsidR="002162D7" w:rsidRPr="00400CFB">
        <w:t>.</w:t>
      </w:r>
      <w:r w:rsidRPr="00400CFB">
        <w:t xml:space="preserve"> improvement in odds of obtaining SVR24</w:t>
      </w:r>
    </w:p>
    <w:p w:rsidR="00C93DAA" w:rsidRPr="00400CFB" w:rsidRDefault="00C93DAA" w:rsidP="007F7090">
      <w:pPr>
        <w:pStyle w:val="TableFooter"/>
        <w:ind w:left="720"/>
      </w:pPr>
      <w:proofErr w:type="gramStart"/>
      <w:r w:rsidRPr="00400CFB">
        <w:rPr>
          <w:vertAlign w:val="superscript"/>
        </w:rPr>
        <w:t>d</w:t>
      </w:r>
      <w:proofErr w:type="gramEnd"/>
      <w:r w:rsidRPr="00400CFB">
        <w:t xml:space="preserve"> SMV</w:t>
      </w:r>
      <w:r w:rsidR="002162D7" w:rsidRPr="00400CFB">
        <w:t xml:space="preserve"> </w:t>
      </w:r>
      <w:r w:rsidRPr="00400CFB">
        <w:t>+</w:t>
      </w:r>
      <w:r w:rsidR="002162D7" w:rsidRPr="00400CFB">
        <w:t xml:space="preserve"> </w:t>
      </w:r>
      <w:r w:rsidRPr="00400CFB">
        <w:t>PR vs TVR/BOC</w:t>
      </w:r>
      <w:r w:rsidR="002162D7" w:rsidRPr="00400CFB">
        <w:t xml:space="preserve"> </w:t>
      </w:r>
      <w:r w:rsidRPr="00400CFB">
        <w:t>+</w:t>
      </w:r>
      <w:r w:rsidR="002162D7" w:rsidRPr="00400CFB">
        <w:t xml:space="preserve"> </w:t>
      </w:r>
      <w:r w:rsidRPr="00400CFB">
        <w:t>PR. An OR &gt;1 indicates treatment effect favouring SMV+PR i</w:t>
      </w:r>
      <w:r w:rsidR="002162D7" w:rsidRPr="00400CFB">
        <w:t>.</w:t>
      </w:r>
      <w:r w:rsidRPr="00400CFB">
        <w:t>e</w:t>
      </w:r>
      <w:r w:rsidR="002162D7" w:rsidRPr="00400CFB">
        <w:t>.</w:t>
      </w:r>
      <w:r w:rsidRPr="00400CFB">
        <w:t xml:space="preserve"> improvement in odds of obtaining SVR24</w:t>
      </w:r>
    </w:p>
    <w:p w:rsidR="00C93DAA" w:rsidRDefault="00C93DAA" w:rsidP="007F7090">
      <w:pPr>
        <w:pStyle w:val="TableFooter"/>
        <w:ind w:firstLine="709"/>
      </w:pPr>
      <w:proofErr w:type="gramStart"/>
      <w:r w:rsidRPr="00400CFB">
        <w:rPr>
          <w:vertAlign w:val="superscript"/>
        </w:rPr>
        <w:t>e</w:t>
      </w:r>
      <w:proofErr w:type="gramEnd"/>
      <w:r w:rsidRPr="00400CFB">
        <w:rPr>
          <w:vertAlign w:val="superscript"/>
        </w:rPr>
        <w:t xml:space="preserve"> </w:t>
      </w:r>
      <w:r w:rsidRPr="00400CFB">
        <w:t>Pooled using random effects model.</w:t>
      </w:r>
    </w:p>
    <w:p w:rsidR="007F7090" w:rsidRPr="00400CFB" w:rsidRDefault="007F7090" w:rsidP="007F7090"/>
    <w:p w:rsidR="0078571B" w:rsidRPr="007F7090" w:rsidRDefault="0078571B" w:rsidP="007F7090">
      <w:pPr>
        <w:pStyle w:val="ListParagraph"/>
        <w:numPr>
          <w:ilvl w:val="1"/>
          <w:numId w:val="25"/>
        </w:numPr>
        <w:jc w:val="both"/>
        <w:rPr>
          <w:szCs w:val="22"/>
        </w:rPr>
      </w:pPr>
      <w:r w:rsidRPr="007F7090">
        <w:rPr>
          <w:szCs w:val="22"/>
        </w:rPr>
        <w:t xml:space="preserve">There were three trials investigating the treatment effect of </w:t>
      </w:r>
      <w:proofErr w:type="spellStart"/>
      <w:r w:rsidRPr="007F7090">
        <w:rPr>
          <w:szCs w:val="22"/>
        </w:rPr>
        <w:t>simeprevir</w:t>
      </w:r>
      <w:proofErr w:type="spellEnd"/>
      <w:r w:rsidR="002162D7" w:rsidRPr="007F7090">
        <w:rPr>
          <w:szCs w:val="22"/>
        </w:rPr>
        <w:t xml:space="preserve"> </w:t>
      </w:r>
      <w:r w:rsidRPr="007F7090">
        <w:rPr>
          <w:szCs w:val="22"/>
        </w:rPr>
        <w:t>+</w:t>
      </w:r>
      <w:r w:rsidR="002162D7" w:rsidRPr="007F7090">
        <w:rPr>
          <w:szCs w:val="22"/>
        </w:rPr>
        <w:t xml:space="preserve"> </w:t>
      </w:r>
      <w:r w:rsidRPr="007F7090">
        <w:rPr>
          <w:szCs w:val="22"/>
        </w:rPr>
        <w:t xml:space="preserve">PR relative to placebo + PR in treatment naïve patients. To enable presentation of a benefits and harms table, QUEST-1 was selected as the “representative” </w:t>
      </w:r>
      <w:proofErr w:type="spellStart"/>
      <w:r w:rsidRPr="007F7090">
        <w:rPr>
          <w:szCs w:val="22"/>
        </w:rPr>
        <w:t>simeprevir</w:t>
      </w:r>
      <w:proofErr w:type="spellEnd"/>
      <w:r w:rsidRPr="007F7090">
        <w:rPr>
          <w:szCs w:val="22"/>
        </w:rPr>
        <w:t xml:space="preserve"> trial to be included in the indirect comparisons, </w:t>
      </w:r>
      <w:r w:rsidR="002162D7" w:rsidRPr="007F7090">
        <w:rPr>
          <w:szCs w:val="22"/>
        </w:rPr>
        <w:t>because</w:t>
      </w:r>
      <w:r w:rsidRPr="007F7090">
        <w:rPr>
          <w:szCs w:val="22"/>
        </w:rPr>
        <w:t xml:space="preserve"> among the three </w:t>
      </w:r>
      <w:proofErr w:type="spellStart"/>
      <w:r w:rsidRPr="007F7090">
        <w:rPr>
          <w:szCs w:val="22"/>
        </w:rPr>
        <w:t>simeprevir</w:t>
      </w:r>
      <w:proofErr w:type="spellEnd"/>
      <w:r w:rsidRPr="007F7090">
        <w:rPr>
          <w:szCs w:val="22"/>
        </w:rPr>
        <w:t xml:space="preserve"> trials, the SVR24 rate in the common reference arm of QUEST-1 was the closest to the SVR24 rates in the common reference arms in the </w:t>
      </w:r>
      <w:proofErr w:type="spellStart"/>
      <w:r w:rsidRPr="007F7090">
        <w:rPr>
          <w:szCs w:val="22"/>
        </w:rPr>
        <w:t>telaprevir</w:t>
      </w:r>
      <w:proofErr w:type="spellEnd"/>
      <w:r w:rsidRPr="007F7090">
        <w:rPr>
          <w:szCs w:val="22"/>
        </w:rPr>
        <w:t xml:space="preserve"> and </w:t>
      </w:r>
      <w:proofErr w:type="spellStart"/>
      <w:r w:rsidRPr="007F7090">
        <w:rPr>
          <w:szCs w:val="22"/>
        </w:rPr>
        <w:t>boceprevir</w:t>
      </w:r>
      <w:proofErr w:type="spellEnd"/>
      <w:r w:rsidRPr="007F7090">
        <w:rPr>
          <w:szCs w:val="22"/>
        </w:rPr>
        <w:t xml:space="preserve"> trials. It should be highlighted that the RDs from these indirect comparisons are </w:t>
      </w:r>
      <w:r w:rsidR="00793434" w:rsidRPr="007F7090">
        <w:rPr>
          <w:szCs w:val="22"/>
        </w:rPr>
        <w:t xml:space="preserve">only </w:t>
      </w:r>
      <w:r w:rsidRPr="007F7090">
        <w:rPr>
          <w:szCs w:val="22"/>
        </w:rPr>
        <w:t xml:space="preserve">indicative, </w:t>
      </w:r>
      <w:r w:rsidR="00793434" w:rsidRPr="007F7090">
        <w:rPr>
          <w:szCs w:val="22"/>
        </w:rPr>
        <w:t>because</w:t>
      </w:r>
      <w:r w:rsidRPr="007F7090">
        <w:rPr>
          <w:szCs w:val="22"/>
        </w:rPr>
        <w:t xml:space="preserve">: </w:t>
      </w:r>
    </w:p>
    <w:p w:rsidR="0078571B" w:rsidRPr="00400CFB" w:rsidRDefault="0078571B" w:rsidP="007F7090">
      <w:pPr>
        <w:pStyle w:val="ListParagraph"/>
        <w:numPr>
          <w:ilvl w:val="0"/>
          <w:numId w:val="56"/>
        </w:numPr>
        <w:ind w:left="709" w:firstLine="0"/>
        <w:jc w:val="both"/>
        <w:rPr>
          <w:szCs w:val="22"/>
        </w:rPr>
      </w:pPr>
      <w:r w:rsidRPr="00400CFB">
        <w:rPr>
          <w:szCs w:val="22"/>
        </w:rPr>
        <w:t xml:space="preserve">the trials might not be sufficiently exchangeable for a reliable estimate of the comparative effectiveness and safety of </w:t>
      </w:r>
      <w:proofErr w:type="spellStart"/>
      <w:r w:rsidRPr="00400CFB">
        <w:rPr>
          <w:szCs w:val="22"/>
        </w:rPr>
        <w:t>simeprevir</w:t>
      </w:r>
      <w:proofErr w:type="spellEnd"/>
      <w:r w:rsidR="00793434" w:rsidRPr="00400CFB">
        <w:rPr>
          <w:szCs w:val="22"/>
        </w:rPr>
        <w:t xml:space="preserve"> </w:t>
      </w:r>
      <w:r w:rsidRPr="00400CFB">
        <w:rPr>
          <w:szCs w:val="22"/>
        </w:rPr>
        <w:t>+</w:t>
      </w:r>
      <w:r w:rsidR="00793434" w:rsidRPr="00400CFB">
        <w:rPr>
          <w:szCs w:val="22"/>
        </w:rPr>
        <w:t xml:space="preserve"> </w:t>
      </w:r>
      <w:r w:rsidRPr="00400CFB">
        <w:rPr>
          <w:szCs w:val="22"/>
        </w:rPr>
        <w:t xml:space="preserve">PR versus </w:t>
      </w:r>
      <w:proofErr w:type="spellStart"/>
      <w:r w:rsidRPr="00400CFB">
        <w:rPr>
          <w:szCs w:val="22"/>
        </w:rPr>
        <w:t>telaprevir</w:t>
      </w:r>
      <w:proofErr w:type="spellEnd"/>
      <w:r w:rsidRPr="00400CFB">
        <w:rPr>
          <w:szCs w:val="22"/>
        </w:rPr>
        <w:t>/</w:t>
      </w:r>
      <w:proofErr w:type="spellStart"/>
      <w:r w:rsidRPr="00400CFB">
        <w:rPr>
          <w:szCs w:val="22"/>
        </w:rPr>
        <w:t>boceprevir</w:t>
      </w:r>
      <w:proofErr w:type="spellEnd"/>
      <w:r w:rsidR="00793434" w:rsidRPr="00400CFB">
        <w:rPr>
          <w:szCs w:val="22"/>
        </w:rPr>
        <w:t xml:space="preserve"> </w:t>
      </w:r>
      <w:r w:rsidRPr="00400CFB">
        <w:rPr>
          <w:szCs w:val="22"/>
        </w:rPr>
        <w:t>+</w:t>
      </w:r>
      <w:r w:rsidR="00793434" w:rsidRPr="00400CFB">
        <w:rPr>
          <w:szCs w:val="22"/>
        </w:rPr>
        <w:t xml:space="preserve"> </w:t>
      </w:r>
      <w:r w:rsidRPr="00400CFB">
        <w:rPr>
          <w:szCs w:val="22"/>
        </w:rPr>
        <w:t xml:space="preserve">PR; </w:t>
      </w:r>
    </w:p>
    <w:p w:rsidR="0078571B" w:rsidRPr="00400CFB" w:rsidRDefault="0078571B" w:rsidP="007F7090">
      <w:pPr>
        <w:pStyle w:val="ListParagraph"/>
        <w:numPr>
          <w:ilvl w:val="0"/>
          <w:numId w:val="56"/>
        </w:numPr>
        <w:ind w:left="709" w:firstLine="0"/>
        <w:jc w:val="both"/>
        <w:rPr>
          <w:szCs w:val="22"/>
        </w:rPr>
      </w:pPr>
      <w:r w:rsidRPr="00400CFB">
        <w:rPr>
          <w:szCs w:val="22"/>
        </w:rPr>
        <w:t xml:space="preserve">absolute measures of comparative treatment effect (e.g. RD) vary with the baseline risk of the patient population in which the treatment is used; and </w:t>
      </w:r>
    </w:p>
    <w:p w:rsidR="0078571B" w:rsidRPr="00400CFB" w:rsidRDefault="0078571B" w:rsidP="007F7090">
      <w:pPr>
        <w:pStyle w:val="ListParagraph"/>
        <w:numPr>
          <w:ilvl w:val="0"/>
          <w:numId w:val="56"/>
        </w:numPr>
        <w:ind w:left="709" w:firstLine="0"/>
        <w:rPr>
          <w:szCs w:val="22"/>
        </w:rPr>
      </w:pPr>
      <w:proofErr w:type="gramStart"/>
      <w:r w:rsidRPr="00400CFB">
        <w:rPr>
          <w:szCs w:val="22"/>
        </w:rPr>
        <w:t>the</w:t>
      </w:r>
      <w:proofErr w:type="gramEnd"/>
      <w:r w:rsidRPr="00400CFB">
        <w:rPr>
          <w:szCs w:val="22"/>
        </w:rPr>
        <w:t xml:space="preserve"> results of the indirect comparison of QUEST-1 with the </w:t>
      </w:r>
      <w:proofErr w:type="spellStart"/>
      <w:r w:rsidRPr="00400CFB">
        <w:rPr>
          <w:szCs w:val="22"/>
        </w:rPr>
        <w:t>boceprevir</w:t>
      </w:r>
      <w:proofErr w:type="spellEnd"/>
      <w:r w:rsidRPr="00400CFB">
        <w:rPr>
          <w:szCs w:val="22"/>
        </w:rPr>
        <w:t xml:space="preserve"> and </w:t>
      </w:r>
      <w:proofErr w:type="spellStart"/>
      <w:r w:rsidRPr="00400CFB">
        <w:rPr>
          <w:szCs w:val="22"/>
        </w:rPr>
        <w:t>telaprevir</w:t>
      </w:r>
      <w:proofErr w:type="spellEnd"/>
      <w:r w:rsidRPr="00400CFB">
        <w:rPr>
          <w:szCs w:val="22"/>
        </w:rPr>
        <w:t xml:space="preserve"> trials may be biased in favour of </w:t>
      </w:r>
      <w:proofErr w:type="spellStart"/>
      <w:r w:rsidRPr="00400CFB">
        <w:rPr>
          <w:szCs w:val="22"/>
        </w:rPr>
        <w:t>simep</w:t>
      </w:r>
      <w:r w:rsidR="00A22660">
        <w:rPr>
          <w:szCs w:val="22"/>
        </w:rPr>
        <w:t>revir</w:t>
      </w:r>
      <w:proofErr w:type="spellEnd"/>
      <w:r w:rsidR="00A22660">
        <w:rPr>
          <w:szCs w:val="22"/>
        </w:rPr>
        <w:t xml:space="preserve"> in terms of SVR24, as the</w:t>
      </w:r>
      <w:r w:rsidRPr="00400CFB">
        <w:rPr>
          <w:szCs w:val="22"/>
        </w:rPr>
        <w:t xml:space="preserve"> </w:t>
      </w:r>
      <w:proofErr w:type="spellStart"/>
      <w:r w:rsidRPr="00400CFB">
        <w:rPr>
          <w:szCs w:val="22"/>
        </w:rPr>
        <w:t>simeprevir</w:t>
      </w:r>
      <w:proofErr w:type="spellEnd"/>
      <w:r w:rsidRPr="00400CFB">
        <w:rPr>
          <w:szCs w:val="22"/>
        </w:rPr>
        <w:t xml:space="preserve">-related increase in SVR24 reported in QUEST-1 was higher than the pooled result of the three </w:t>
      </w:r>
      <w:proofErr w:type="spellStart"/>
      <w:r w:rsidRPr="00400CFB">
        <w:rPr>
          <w:szCs w:val="22"/>
        </w:rPr>
        <w:t>simeprevir</w:t>
      </w:r>
      <w:proofErr w:type="spellEnd"/>
      <w:r w:rsidRPr="00400CFB">
        <w:rPr>
          <w:szCs w:val="22"/>
        </w:rPr>
        <w:t xml:space="preserve"> trials (30.3% vs 27.0%)</w:t>
      </w:r>
    </w:p>
    <w:p w:rsidR="008C0B57" w:rsidRDefault="008C0B57" w:rsidP="0078571B">
      <w:pPr>
        <w:jc w:val="both"/>
        <w:rPr>
          <w:szCs w:val="22"/>
        </w:rPr>
      </w:pPr>
    </w:p>
    <w:p w:rsidR="0078571B" w:rsidRPr="007F7090" w:rsidRDefault="0078571B" w:rsidP="007F7090">
      <w:pPr>
        <w:ind w:left="709"/>
        <w:jc w:val="both"/>
        <w:rPr>
          <w:rFonts w:ascii="Arial Narrow" w:hAnsi="Arial Narrow"/>
          <w:b/>
          <w:color w:val="FF0000"/>
          <w:sz w:val="20"/>
          <w:szCs w:val="16"/>
        </w:rPr>
      </w:pPr>
      <w:r w:rsidRPr="007F7090">
        <w:rPr>
          <w:rStyle w:val="CommentReference"/>
          <w:rFonts w:ascii="Arial Narrow" w:hAnsi="Arial Narrow"/>
          <w:b/>
          <w:sz w:val="20"/>
        </w:rPr>
        <w:t xml:space="preserve">Summary of indicative comparative benefits and harms for </w:t>
      </w:r>
      <w:proofErr w:type="spellStart"/>
      <w:r w:rsidRPr="007F7090">
        <w:rPr>
          <w:rStyle w:val="CommentReference"/>
          <w:rFonts w:ascii="Arial Narrow" w:hAnsi="Arial Narrow"/>
          <w:b/>
          <w:sz w:val="20"/>
        </w:rPr>
        <w:t>simeprevir</w:t>
      </w:r>
      <w:proofErr w:type="spellEnd"/>
      <w:r w:rsidR="00793434" w:rsidRPr="007F7090">
        <w:rPr>
          <w:rStyle w:val="CommentReference"/>
          <w:rFonts w:ascii="Arial Narrow" w:hAnsi="Arial Narrow"/>
          <w:b/>
          <w:sz w:val="20"/>
        </w:rPr>
        <w:t xml:space="preserve"> </w:t>
      </w:r>
      <w:r w:rsidRPr="007F7090">
        <w:rPr>
          <w:rStyle w:val="CommentReference"/>
          <w:rFonts w:ascii="Arial Narrow" w:hAnsi="Arial Narrow"/>
          <w:b/>
          <w:sz w:val="20"/>
        </w:rPr>
        <w:t>+</w:t>
      </w:r>
      <w:r w:rsidR="00793434" w:rsidRPr="007F7090">
        <w:rPr>
          <w:rStyle w:val="CommentReference"/>
          <w:rFonts w:ascii="Arial Narrow" w:hAnsi="Arial Narrow"/>
          <w:b/>
          <w:sz w:val="20"/>
        </w:rPr>
        <w:t xml:space="preserve"> </w:t>
      </w:r>
      <w:r w:rsidRPr="007F7090">
        <w:rPr>
          <w:rStyle w:val="CommentReference"/>
          <w:rFonts w:ascii="Arial Narrow" w:hAnsi="Arial Narrow"/>
          <w:b/>
          <w:sz w:val="20"/>
        </w:rPr>
        <w:t xml:space="preserve">PR versus </w:t>
      </w:r>
      <w:proofErr w:type="spellStart"/>
      <w:r w:rsidRPr="007F7090">
        <w:rPr>
          <w:rStyle w:val="CommentReference"/>
          <w:rFonts w:ascii="Arial Narrow" w:hAnsi="Arial Narrow"/>
          <w:b/>
          <w:sz w:val="20"/>
        </w:rPr>
        <w:t>telaprevir</w:t>
      </w:r>
      <w:proofErr w:type="spellEnd"/>
      <w:r w:rsidR="00793434" w:rsidRPr="007F7090">
        <w:rPr>
          <w:rStyle w:val="CommentReference"/>
          <w:rFonts w:ascii="Arial Narrow" w:hAnsi="Arial Narrow"/>
          <w:b/>
          <w:sz w:val="20"/>
        </w:rPr>
        <w:t xml:space="preserve"> </w:t>
      </w:r>
      <w:r w:rsidRPr="007F7090">
        <w:rPr>
          <w:rStyle w:val="CommentReference"/>
          <w:rFonts w:ascii="Arial Narrow" w:hAnsi="Arial Narrow"/>
          <w:b/>
          <w:sz w:val="20"/>
        </w:rPr>
        <w:t>+</w:t>
      </w:r>
      <w:r w:rsidR="00793434" w:rsidRPr="007F7090">
        <w:rPr>
          <w:rStyle w:val="CommentReference"/>
          <w:rFonts w:ascii="Arial Narrow" w:hAnsi="Arial Narrow"/>
          <w:b/>
          <w:sz w:val="20"/>
        </w:rPr>
        <w:t xml:space="preserve"> </w:t>
      </w:r>
      <w:r w:rsidRPr="007F7090">
        <w:rPr>
          <w:rStyle w:val="CommentReference"/>
          <w:rFonts w:ascii="Arial Narrow" w:hAnsi="Arial Narrow"/>
          <w:b/>
          <w:sz w:val="20"/>
        </w:rPr>
        <w:t xml:space="preserve">PR or </w:t>
      </w:r>
      <w:proofErr w:type="spellStart"/>
      <w:r w:rsidRPr="007F7090">
        <w:rPr>
          <w:rStyle w:val="CommentReference"/>
          <w:rFonts w:ascii="Arial Narrow" w:hAnsi="Arial Narrow"/>
          <w:b/>
          <w:sz w:val="20"/>
        </w:rPr>
        <w:t>boceprevir</w:t>
      </w:r>
      <w:proofErr w:type="spellEnd"/>
      <w:r w:rsidR="00793434" w:rsidRPr="007F7090">
        <w:rPr>
          <w:rStyle w:val="CommentReference"/>
          <w:rFonts w:ascii="Arial Narrow" w:hAnsi="Arial Narrow"/>
          <w:b/>
          <w:sz w:val="20"/>
        </w:rPr>
        <w:t xml:space="preserve"> </w:t>
      </w:r>
      <w:r w:rsidRPr="007F7090">
        <w:rPr>
          <w:rStyle w:val="CommentReference"/>
          <w:rFonts w:ascii="Arial Narrow" w:hAnsi="Arial Narrow"/>
          <w:b/>
          <w:sz w:val="20"/>
        </w:rPr>
        <w:t>+</w:t>
      </w:r>
      <w:r w:rsidR="00793434" w:rsidRPr="007F7090">
        <w:rPr>
          <w:rStyle w:val="CommentReference"/>
          <w:rFonts w:ascii="Arial Narrow" w:hAnsi="Arial Narrow"/>
          <w:b/>
          <w:sz w:val="20"/>
        </w:rPr>
        <w:t xml:space="preserve"> </w:t>
      </w:r>
      <w:r w:rsidRPr="007F7090">
        <w:rPr>
          <w:rStyle w:val="CommentReference"/>
          <w:rFonts w:ascii="Arial Narrow" w:hAnsi="Arial Narrow"/>
          <w:b/>
          <w:sz w:val="20"/>
        </w:rPr>
        <w:t>PR in treatment naïve patients – indirect comparison</w:t>
      </w:r>
    </w:p>
    <w:tbl>
      <w:tblPr>
        <w:tblW w:w="4543" w:type="pct"/>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ummary of indicative comparative benefits and harms for simeprevir + PR versus telaprevir + PR or boceprevir + PR in treatment naïve patients – indirect comparison"/>
      </w:tblPr>
      <w:tblGrid>
        <w:gridCol w:w="929"/>
        <w:gridCol w:w="1040"/>
        <w:gridCol w:w="1010"/>
        <w:gridCol w:w="821"/>
        <w:gridCol w:w="8"/>
        <w:gridCol w:w="7"/>
        <w:gridCol w:w="12"/>
        <w:gridCol w:w="709"/>
        <w:gridCol w:w="10"/>
        <w:gridCol w:w="14"/>
        <w:gridCol w:w="13"/>
        <w:gridCol w:w="1362"/>
        <w:gridCol w:w="9"/>
        <w:gridCol w:w="1024"/>
        <w:gridCol w:w="1429"/>
      </w:tblGrid>
      <w:tr w:rsidR="0078571B" w:rsidRPr="007F7090" w:rsidTr="007F7090">
        <w:trPr>
          <w:trHeight w:val="226"/>
        </w:trPr>
        <w:tc>
          <w:tcPr>
            <w:tcW w:w="51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rPr>
                <w:rFonts w:ascii="Arial Narrow" w:hAnsi="Arial Narrow"/>
                <w:b/>
                <w:sz w:val="20"/>
                <w:szCs w:val="20"/>
              </w:rPr>
            </w:pPr>
            <w:r w:rsidRPr="007F7090">
              <w:rPr>
                <w:rFonts w:ascii="Arial Narrow" w:hAnsi="Arial Narrow"/>
                <w:b/>
                <w:sz w:val="20"/>
                <w:szCs w:val="20"/>
              </w:rPr>
              <w:t>Trial ID</w:t>
            </w:r>
          </w:p>
        </w:tc>
        <w:tc>
          <w:tcPr>
            <w:tcW w:w="1754" w:type="pct"/>
            <w:gridSpan w:val="3"/>
            <w:tcBorders>
              <w:top w:val="single" w:sz="4" w:space="0" w:color="auto"/>
              <w:left w:val="nil"/>
              <w:bottom w:val="single" w:sz="4" w:space="0" w:color="auto"/>
              <w:right w:val="double" w:sz="4" w:space="0" w:color="auto"/>
            </w:tcBorders>
            <w:vAlign w:val="center"/>
            <w:hideMark/>
          </w:tcPr>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SMV + PR vs placebo + PR</w:t>
            </w:r>
          </w:p>
        </w:tc>
        <w:tc>
          <w:tcPr>
            <w:tcW w:w="1869" w:type="pct"/>
            <w:gridSpan w:val="10"/>
            <w:tcBorders>
              <w:top w:val="single" w:sz="4" w:space="0" w:color="auto"/>
              <w:left w:val="nil"/>
              <w:bottom w:val="single" w:sz="4" w:space="0" w:color="auto"/>
              <w:right w:val="single" w:sz="4" w:space="0" w:color="auto"/>
            </w:tcBorders>
            <w:vAlign w:val="center"/>
            <w:hideMark/>
          </w:tcPr>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TVR/BOC</w:t>
            </w:r>
            <w:r w:rsidR="00793434" w:rsidRPr="007F7090">
              <w:rPr>
                <w:rFonts w:ascii="Arial Narrow" w:hAnsi="Arial Narrow"/>
                <w:b/>
                <w:sz w:val="20"/>
                <w:szCs w:val="20"/>
              </w:rPr>
              <w:t xml:space="preserve"> </w:t>
            </w:r>
            <w:r w:rsidRPr="007F7090">
              <w:rPr>
                <w:rFonts w:ascii="Arial Narrow" w:hAnsi="Arial Narrow"/>
                <w:b/>
                <w:sz w:val="20"/>
                <w:szCs w:val="20"/>
              </w:rPr>
              <w:t>+</w:t>
            </w:r>
            <w:r w:rsidR="00793434" w:rsidRPr="007F7090">
              <w:rPr>
                <w:rFonts w:ascii="Arial Narrow" w:hAnsi="Arial Narrow"/>
                <w:b/>
                <w:sz w:val="20"/>
                <w:szCs w:val="20"/>
              </w:rPr>
              <w:t xml:space="preserve"> </w:t>
            </w:r>
            <w:r w:rsidRPr="007F7090">
              <w:rPr>
                <w:rFonts w:ascii="Arial Narrow" w:hAnsi="Arial Narrow"/>
                <w:b/>
                <w:sz w:val="20"/>
                <w:szCs w:val="20"/>
              </w:rPr>
              <w:t>PR vs placebo</w:t>
            </w:r>
            <w:r w:rsidR="00793434" w:rsidRPr="007F7090">
              <w:rPr>
                <w:rFonts w:ascii="Arial Narrow" w:hAnsi="Arial Narrow"/>
                <w:b/>
                <w:sz w:val="20"/>
                <w:szCs w:val="20"/>
              </w:rPr>
              <w:t xml:space="preserve"> </w:t>
            </w:r>
            <w:r w:rsidRPr="007F7090">
              <w:rPr>
                <w:rFonts w:ascii="Arial Narrow" w:hAnsi="Arial Narrow"/>
                <w:b/>
                <w:sz w:val="20"/>
                <w:szCs w:val="20"/>
              </w:rPr>
              <w:t>+</w:t>
            </w:r>
            <w:r w:rsidR="00793434" w:rsidRPr="007F7090">
              <w:rPr>
                <w:rFonts w:ascii="Arial Narrow" w:hAnsi="Arial Narrow"/>
                <w:b/>
                <w:sz w:val="20"/>
                <w:szCs w:val="20"/>
              </w:rPr>
              <w:t xml:space="preserve"> </w:t>
            </w:r>
            <w:r w:rsidRPr="007F7090">
              <w:rPr>
                <w:rFonts w:ascii="Arial Narrow" w:hAnsi="Arial Narrow"/>
                <w:b/>
                <w:sz w:val="20"/>
                <w:szCs w:val="20"/>
              </w:rPr>
              <w:t>PR</w:t>
            </w:r>
          </w:p>
        </w:tc>
        <w:tc>
          <w:tcPr>
            <w:tcW w:w="865" w:type="pct"/>
            <w:vMerge w:val="restar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 xml:space="preserve">Indirect </w:t>
            </w:r>
            <w:proofErr w:type="spellStart"/>
            <w:r w:rsidRPr="007F7090">
              <w:rPr>
                <w:rFonts w:ascii="Arial Narrow" w:hAnsi="Arial Narrow"/>
                <w:b/>
                <w:sz w:val="20"/>
                <w:szCs w:val="20"/>
              </w:rPr>
              <w:t>comparison</w:t>
            </w:r>
            <w:r w:rsidRPr="007F7090">
              <w:rPr>
                <w:rFonts w:ascii="Arial Narrow" w:hAnsi="Arial Narrow"/>
                <w:b/>
                <w:sz w:val="20"/>
                <w:szCs w:val="20"/>
                <w:vertAlign w:val="superscript"/>
              </w:rPr>
              <w:t>b</w:t>
            </w:r>
            <w:proofErr w:type="spellEnd"/>
            <w:r w:rsidRPr="007F7090">
              <w:rPr>
                <w:rFonts w:ascii="Arial Narrow" w:hAnsi="Arial Narrow"/>
                <w:b/>
                <w:sz w:val="20"/>
                <w:szCs w:val="20"/>
              </w:rPr>
              <w:br/>
              <w:t>RD %</w:t>
            </w:r>
            <w:r w:rsidRPr="007F7090">
              <w:rPr>
                <w:rFonts w:ascii="Arial Narrow" w:hAnsi="Arial Narrow"/>
                <w:b/>
                <w:sz w:val="20"/>
                <w:szCs w:val="20"/>
                <w:vertAlign w:val="superscript"/>
              </w:rPr>
              <w:t xml:space="preserve"> </w:t>
            </w:r>
            <w:r w:rsidRPr="007F7090">
              <w:rPr>
                <w:rFonts w:ascii="Arial Narrow" w:hAnsi="Arial Narrow"/>
                <w:b/>
                <w:sz w:val="20"/>
                <w:szCs w:val="20"/>
              </w:rPr>
              <w:t>[95% CI]</w:t>
            </w:r>
          </w:p>
        </w:tc>
      </w:tr>
      <w:tr w:rsidR="0078571B" w:rsidRPr="007F7090" w:rsidTr="007F7090">
        <w:trPr>
          <w:trHeight w:val="144"/>
        </w:trPr>
        <w:tc>
          <w:tcPr>
            <w:tcW w:w="512" w:type="pct"/>
            <w:vMerge/>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rPr>
                <w:rFonts w:ascii="Arial Narrow" w:hAnsi="Arial Narrow"/>
                <w:b/>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jc w:val="center"/>
              <w:rPr>
                <w:rFonts w:ascii="Arial Narrow" w:hAnsi="Arial Narrow"/>
                <w:b/>
                <w:sz w:val="20"/>
                <w:szCs w:val="20"/>
                <w:vertAlign w:val="superscript"/>
              </w:rPr>
            </w:pPr>
            <w:r w:rsidRPr="007F7090">
              <w:rPr>
                <w:rFonts w:ascii="Arial Narrow" w:hAnsi="Arial Narrow"/>
                <w:b/>
                <w:sz w:val="20"/>
                <w:szCs w:val="20"/>
              </w:rPr>
              <w:t>RD %</w:t>
            </w:r>
          </w:p>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[95% CI]</w:t>
            </w:r>
          </w:p>
        </w:tc>
        <w:tc>
          <w:tcPr>
            <w:tcW w:w="616"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SMV12+ PR24/48</w:t>
            </w:r>
          </w:p>
          <w:p w:rsidR="0078571B" w:rsidRPr="007F7090" w:rsidRDefault="0078571B" w:rsidP="00CC62CF">
            <w:pPr>
              <w:ind w:left="-57" w:right="-57"/>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504" w:type="pct"/>
            <w:tcBorders>
              <w:top w:val="single" w:sz="4" w:space="0" w:color="auto"/>
              <w:left w:val="single" w:sz="4" w:space="0" w:color="auto"/>
              <w:bottom w:val="single" w:sz="4" w:space="0" w:color="auto"/>
              <w:right w:val="double" w:sz="4" w:space="0" w:color="auto"/>
            </w:tcBorders>
            <w:vAlign w:val="center"/>
            <w:hideMark/>
          </w:tcPr>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PR48</w:t>
            </w:r>
            <w:r w:rsidRPr="007F7090">
              <w:rPr>
                <w:rFonts w:ascii="Arial Narrow" w:hAnsi="Arial Narrow"/>
                <w:b/>
                <w:sz w:val="20"/>
                <w:szCs w:val="20"/>
                <w:vertAlign w:val="superscript"/>
              </w:rPr>
              <w:t>a</w:t>
            </w:r>
          </w:p>
          <w:p w:rsidR="0078571B" w:rsidRPr="007F7090" w:rsidRDefault="0078571B" w:rsidP="00CC62CF">
            <w:pPr>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468" w:type="pct"/>
            <w:gridSpan w:val="6"/>
            <w:tcBorders>
              <w:top w:val="single" w:sz="4" w:space="0" w:color="auto"/>
              <w:left w:val="double" w:sz="4" w:space="0" w:color="auto"/>
              <w:bottom w:val="single" w:sz="4" w:space="0" w:color="auto"/>
              <w:right w:val="single" w:sz="4" w:space="0" w:color="auto"/>
            </w:tcBorders>
            <w:vAlign w:val="center"/>
            <w:hideMark/>
          </w:tcPr>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PR48</w:t>
            </w:r>
            <w:r w:rsidRPr="007F7090">
              <w:rPr>
                <w:rFonts w:ascii="Arial Narrow" w:hAnsi="Arial Narrow"/>
                <w:b/>
                <w:sz w:val="20"/>
                <w:szCs w:val="20"/>
                <w:vertAlign w:val="superscript"/>
              </w:rPr>
              <w:t>a</w:t>
            </w:r>
          </w:p>
          <w:p w:rsidR="0078571B" w:rsidRPr="007F7090" w:rsidRDefault="0078571B" w:rsidP="00CC62CF">
            <w:pPr>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758" w:type="pct"/>
            <w:gridSpan w:val="2"/>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Comparator</w:t>
            </w:r>
          </w:p>
          <w:p w:rsidR="0078571B" w:rsidRPr="007F7090" w:rsidRDefault="0078571B" w:rsidP="00CC62CF">
            <w:pPr>
              <w:ind w:left="-57" w:right="-57"/>
              <w:jc w:val="center"/>
              <w:rPr>
                <w:rFonts w:ascii="Arial Narrow" w:hAnsi="Arial Narrow"/>
                <w:b/>
                <w:sz w:val="20"/>
                <w:szCs w:val="20"/>
              </w:rPr>
            </w:pPr>
            <w:proofErr w:type="gramStart"/>
            <w:r w:rsidRPr="007F7090">
              <w:rPr>
                <w:rFonts w:ascii="Arial Narrow" w:hAnsi="Arial Narrow"/>
                <w:b/>
                <w:sz w:val="20"/>
                <w:szCs w:val="20"/>
              </w:rPr>
              <w:t>n/N</w:t>
            </w:r>
            <w:proofErr w:type="gramEnd"/>
            <w:r w:rsidRPr="007F7090">
              <w:rPr>
                <w:rFonts w:ascii="Arial Narrow" w:hAnsi="Arial Narrow"/>
                <w:b/>
                <w:sz w:val="20"/>
                <w:szCs w:val="20"/>
              </w:rPr>
              <w:t xml:space="preserve"> (%)</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jc w:val="center"/>
              <w:rPr>
                <w:rFonts w:ascii="Arial Narrow" w:hAnsi="Arial Narrow"/>
                <w:b/>
                <w:sz w:val="20"/>
                <w:szCs w:val="20"/>
                <w:vertAlign w:val="superscript"/>
              </w:rPr>
            </w:pPr>
            <w:r w:rsidRPr="007F7090">
              <w:rPr>
                <w:rFonts w:ascii="Arial Narrow" w:hAnsi="Arial Narrow"/>
                <w:b/>
                <w:sz w:val="20"/>
                <w:szCs w:val="20"/>
              </w:rPr>
              <w:t>RD %</w:t>
            </w:r>
          </w:p>
          <w:p w:rsidR="0078571B" w:rsidRPr="007F7090" w:rsidRDefault="0078571B" w:rsidP="00CC62CF">
            <w:pPr>
              <w:jc w:val="center"/>
              <w:rPr>
                <w:rFonts w:ascii="Arial Narrow" w:hAnsi="Arial Narrow"/>
                <w:b/>
                <w:sz w:val="20"/>
                <w:szCs w:val="20"/>
              </w:rPr>
            </w:pPr>
            <w:r w:rsidRPr="007F7090">
              <w:rPr>
                <w:rFonts w:ascii="Arial Narrow" w:hAnsi="Arial Narrow"/>
                <w:b/>
                <w:sz w:val="20"/>
                <w:szCs w:val="20"/>
              </w:rPr>
              <w:t>[95% CI]</w:t>
            </w:r>
          </w:p>
        </w:tc>
        <w:tc>
          <w:tcPr>
            <w:tcW w:w="865" w:type="pct"/>
            <w:vMerge/>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rPr>
                <w:rFonts w:ascii="Arial Narrow" w:hAnsi="Arial Narrow"/>
                <w:b/>
                <w:sz w:val="20"/>
                <w:szCs w:val="20"/>
              </w:rPr>
            </w:pPr>
          </w:p>
        </w:tc>
      </w:tr>
      <w:tr w:rsidR="0078571B" w:rsidRPr="007F7090" w:rsidTr="007F7090">
        <w:trPr>
          <w:trHeight w:val="226"/>
        </w:trPr>
        <w:tc>
          <w:tcPr>
            <w:tcW w:w="4999" w:type="pct"/>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
                <w:sz w:val="20"/>
                <w:szCs w:val="20"/>
              </w:rPr>
            </w:pPr>
            <w:r w:rsidRPr="007F7090">
              <w:rPr>
                <w:rFonts w:ascii="Arial Narrow" w:hAnsi="Arial Narrow"/>
                <w:b/>
                <w:color w:val="000000"/>
                <w:sz w:val="20"/>
                <w:szCs w:val="20"/>
              </w:rPr>
              <w:t>Benefits</w:t>
            </w:r>
          </w:p>
        </w:tc>
      </w:tr>
      <w:tr w:rsidR="0078571B" w:rsidRPr="007F7090" w:rsidTr="007F7090">
        <w:trPr>
          <w:trHeight w:val="451"/>
        </w:trPr>
        <w:tc>
          <w:tcPr>
            <w:tcW w:w="4999" w:type="pct"/>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
                <w:sz w:val="20"/>
                <w:szCs w:val="20"/>
              </w:rPr>
            </w:pPr>
            <w:r w:rsidRPr="007F7090">
              <w:rPr>
                <w:rFonts w:ascii="Arial Narrow" w:hAnsi="Arial Narrow"/>
                <w:b/>
                <w:color w:val="000000"/>
                <w:sz w:val="20"/>
                <w:szCs w:val="20"/>
              </w:rPr>
              <w:t>Sustained virological response at 24 weeks after the end of treatment                                                               (MCID = -12%)</w:t>
            </w:r>
          </w:p>
        </w:tc>
      </w:tr>
      <w:tr w:rsidR="0078571B" w:rsidRPr="007F7090" w:rsidTr="007F7090">
        <w:trPr>
          <w:trHeight w:val="692"/>
        </w:trPr>
        <w:tc>
          <w:tcPr>
            <w:tcW w:w="512" w:type="pct"/>
            <w:tcBorders>
              <w:top w:val="single" w:sz="4" w:space="0" w:color="auto"/>
              <w:left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ind w:left="-57" w:right="-57"/>
              <w:rPr>
                <w:rFonts w:ascii="Arial Narrow" w:hAnsi="Arial Narrow"/>
                <w:sz w:val="20"/>
                <w:szCs w:val="20"/>
              </w:rPr>
            </w:pPr>
            <w:r w:rsidRPr="007F7090">
              <w:rPr>
                <w:rFonts w:ascii="Arial Narrow" w:hAnsi="Arial Narrow"/>
                <w:sz w:val="20"/>
                <w:szCs w:val="20"/>
              </w:rPr>
              <w:t>QUEST-1</w:t>
            </w:r>
          </w:p>
        </w:tc>
        <w:tc>
          <w:tcPr>
            <w:tcW w:w="634" w:type="pct"/>
            <w:tcBorders>
              <w:top w:val="single" w:sz="4" w:space="0" w:color="auto"/>
              <w:left w:val="single" w:sz="4" w:space="0" w:color="auto"/>
              <w:right w:val="single" w:sz="4" w:space="0" w:color="auto"/>
            </w:tcBorders>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 xml:space="preserve">30.3% </w:t>
            </w:r>
            <w:r w:rsidRPr="007F7090">
              <w:rPr>
                <w:rFonts w:ascii="Arial Narrow" w:hAnsi="Arial Narrow"/>
                <w:sz w:val="20"/>
                <w:szCs w:val="20"/>
              </w:rPr>
              <w:br/>
              <w:t>[20.4%, 40.2%]</w:t>
            </w:r>
          </w:p>
        </w:tc>
        <w:tc>
          <w:tcPr>
            <w:tcW w:w="616" w:type="pct"/>
            <w:tcBorders>
              <w:top w:val="single" w:sz="4" w:space="0" w:color="auto"/>
              <w:left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 xml:space="preserve">210/264 </w:t>
            </w:r>
            <w:r w:rsidRPr="007F7090">
              <w:rPr>
                <w:rFonts w:ascii="Arial Narrow" w:hAnsi="Arial Narrow"/>
                <w:sz w:val="20"/>
                <w:szCs w:val="20"/>
              </w:rPr>
              <w:br/>
              <w:t>(79.5%)</w:t>
            </w:r>
          </w:p>
        </w:tc>
        <w:tc>
          <w:tcPr>
            <w:tcW w:w="520" w:type="pct"/>
            <w:gridSpan w:val="4"/>
            <w:tcBorders>
              <w:top w:val="single" w:sz="4" w:space="0" w:color="auto"/>
              <w:left w:val="single" w:sz="4" w:space="0" w:color="auto"/>
              <w:right w:val="double" w:sz="4" w:space="0" w:color="auto"/>
            </w:tcBorders>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 xml:space="preserve">64/130 </w:t>
            </w:r>
            <w:r w:rsidRPr="007F7090">
              <w:rPr>
                <w:rFonts w:ascii="Arial Narrow" w:hAnsi="Arial Narrow"/>
                <w:sz w:val="20"/>
                <w:szCs w:val="20"/>
              </w:rPr>
              <w:br/>
              <w:t>(49.2%)</w:t>
            </w:r>
          </w:p>
        </w:tc>
        <w:tc>
          <w:tcPr>
            <w:tcW w:w="459" w:type="pct"/>
            <w:gridSpan w:val="4"/>
            <w:tcBorders>
              <w:top w:val="single" w:sz="4" w:space="0" w:color="auto"/>
              <w:left w:val="doub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751"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43" w:type="pct"/>
            <w:gridSpan w:val="2"/>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865" w:type="pct"/>
            <w:vMerge w:val="restart"/>
            <w:tcBorders>
              <w:top w:val="single" w:sz="4" w:space="0" w:color="auto"/>
              <w:left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SMV+PR vs TVR+PR:</w:t>
            </w: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-0.6% [-12.6%, 11.4%]</w:t>
            </w: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SMV+PR vs BOC+PR:</w:t>
            </w: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4.2% [-7.9%, 16.3%]</w:t>
            </w:r>
          </w:p>
        </w:tc>
      </w:tr>
      <w:tr w:rsidR="0078571B" w:rsidRPr="007F7090" w:rsidTr="007F7090">
        <w:trPr>
          <w:trHeight w:val="226"/>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20" w:type="pct"/>
            <w:gridSpan w:val="4"/>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751"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b/>
                <w:sz w:val="20"/>
                <w:szCs w:val="20"/>
              </w:rPr>
              <w:t>TVR12+PR24/48</w:t>
            </w:r>
          </w:p>
        </w:tc>
        <w:tc>
          <w:tcPr>
            <w:tcW w:w="643" w:type="pct"/>
            <w:gridSpan w:val="2"/>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865" w:type="pct"/>
            <w:vMerge/>
            <w:tcBorders>
              <w:left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677"/>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ADVANCE</w:t>
            </w:r>
          </w:p>
        </w:tc>
        <w:tc>
          <w:tcPr>
            <w:tcW w:w="634"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20" w:type="pct"/>
            <w:gridSpan w:val="4"/>
            <w:tcBorders>
              <w:top w:val="single" w:sz="4" w:space="0" w:color="auto"/>
              <w:left w:val="single" w:sz="4" w:space="0" w:color="auto"/>
              <w:bottom w:val="single" w:sz="4" w:space="0" w:color="auto"/>
              <w:right w:val="doub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158/361 (43.8%)</w:t>
            </w:r>
          </w:p>
        </w:tc>
        <w:tc>
          <w:tcPr>
            <w:tcW w:w="751"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271/363 </w:t>
            </w:r>
            <w:r w:rsidRPr="007F7090">
              <w:rPr>
                <w:rFonts w:ascii="Arial Narrow" w:hAnsi="Arial Narrow"/>
                <w:sz w:val="20"/>
                <w:szCs w:val="20"/>
                <w:lang w:eastAsia="zh-CN"/>
              </w:rPr>
              <w:br/>
              <w:t>(74.7%)</w:t>
            </w:r>
          </w:p>
        </w:tc>
        <w:tc>
          <w:tcPr>
            <w:tcW w:w="643" w:type="pct"/>
            <w:gridSpan w:val="2"/>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 xml:space="preserve">30.9% </w:t>
            </w:r>
            <w:r w:rsidRPr="007F7090">
              <w:rPr>
                <w:rFonts w:ascii="Arial Narrow" w:hAnsi="Arial Narrow"/>
                <w:color w:val="000000"/>
                <w:sz w:val="20"/>
                <w:szCs w:val="20"/>
              </w:rPr>
              <w:br/>
              <w:t>[24.1%, 37.7%]</w:t>
            </w:r>
          </w:p>
        </w:tc>
        <w:tc>
          <w:tcPr>
            <w:tcW w:w="865" w:type="pct"/>
            <w:vMerge/>
            <w:tcBorders>
              <w:left w:val="single" w:sz="4" w:space="0" w:color="auto"/>
              <w:right w:val="single" w:sz="4" w:space="0" w:color="auto"/>
            </w:tcBorders>
            <w:vAlign w:val="center"/>
            <w:hideMark/>
          </w:tcPr>
          <w:p w:rsidR="0078571B" w:rsidRPr="007F7090" w:rsidRDefault="0078571B" w:rsidP="00CC62CF">
            <w:pPr>
              <w:ind w:left="-57" w:right="-57"/>
              <w:rPr>
                <w:rFonts w:ascii="Arial Narrow" w:hAnsi="Arial Narrow"/>
                <w:sz w:val="20"/>
                <w:szCs w:val="20"/>
              </w:rPr>
            </w:pPr>
          </w:p>
        </w:tc>
      </w:tr>
      <w:tr w:rsidR="0078571B" w:rsidRPr="007F7090" w:rsidTr="007F7090">
        <w:trPr>
          <w:trHeight w:val="226"/>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20" w:type="pct"/>
            <w:gridSpan w:val="4"/>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751"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113" w:right="-113"/>
              <w:jc w:val="center"/>
              <w:rPr>
                <w:rFonts w:ascii="Arial Narrow" w:hAnsi="Arial Narrow"/>
                <w:sz w:val="20"/>
                <w:szCs w:val="20"/>
                <w:lang w:eastAsia="zh-CN"/>
              </w:rPr>
            </w:pPr>
            <w:r w:rsidRPr="007F7090">
              <w:rPr>
                <w:rFonts w:ascii="Arial Narrow" w:hAnsi="Arial Narrow"/>
                <w:b/>
                <w:sz w:val="20"/>
                <w:szCs w:val="20"/>
              </w:rPr>
              <w:t>BOC24+PR28/48</w:t>
            </w:r>
          </w:p>
        </w:tc>
        <w:tc>
          <w:tcPr>
            <w:tcW w:w="643" w:type="pct"/>
            <w:gridSpan w:val="2"/>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865" w:type="pct"/>
            <w:vMerge/>
            <w:tcBorders>
              <w:left w:val="single" w:sz="4" w:space="0" w:color="auto"/>
              <w:bottom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888"/>
        </w:trPr>
        <w:tc>
          <w:tcPr>
            <w:tcW w:w="512" w:type="pct"/>
            <w:tcBorders>
              <w:top w:val="single" w:sz="4" w:space="0" w:color="auto"/>
              <w:left w:val="single" w:sz="4" w:space="0" w:color="auto"/>
              <w:bottom w:val="doub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SPRINT-2</w:t>
            </w:r>
          </w:p>
        </w:tc>
        <w:tc>
          <w:tcPr>
            <w:tcW w:w="634" w:type="pct"/>
            <w:tcBorders>
              <w:top w:val="single" w:sz="4" w:space="0" w:color="auto"/>
              <w:left w:val="single" w:sz="4" w:space="0" w:color="auto"/>
              <w:bottom w:val="doub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doub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20" w:type="pct"/>
            <w:gridSpan w:val="4"/>
            <w:tcBorders>
              <w:top w:val="single" w:sz="4" w:space="0" w:color="auto"/>
              <w:left w:val="single" w:sz="4" w:space="0" w:color="auto"/>
              <w:bottom w:val="doub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59" w:type="pct"/>
            <w:gridSpan w:val="4"/>
            <w:tcBorders>
              <w:top w:val="single" w:sz="4" w:space="0" w:color="auto"/>
              <w:left w:val="double" w:sz="4" w:space="0" w:color="auto"/>
              <w:bottom w:val="doub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132/363</w:t>
            </w:r>
          </w:p>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(36.4%)</w:t>
            </w:r>
          </w:p>
        </w:tc>
        <w:tc>
          <w:tcPr>
            <w:tcW w:w="751" w:type="pct"/>
            <w:tcBorders>
              <w:top w:val="single" w:sz="4" w:space="0" w:color="auto"/>
              <w:left w:val="single" w:sz="4" w:space="0" w:color="auto"/>
              <w:bottom w:val="doub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230/368</w:t>
            </w:r>
          </w:p>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(62.6%)</w:t>
            </w:r>
          </w:p>
        </w:tc>
        <w:tc>
          <w:tcPr>
            <w:tcW w:w="643" w:type="pct"/>
            <w:gridSpan w:val="2"/>
            <w:tcBorders>
              <w:top w:val="single" w:sz="4" w:space="0" w:color="auto"/>
              <w:left w:val="single" w:sz="4" w:space="0" w:color="auto"/>
              <w:bottom w:val="doub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sz w:val="20"/>
                <w:szCs w:val="20"/>
                <w:lang w:eastAsia="zh-CN"/>
              </w:rPr>
              <w:t xml:space="preserve">26.2% </w:t>
            </w:r>
            <w:r w:rsidRPr="007F7090">
              <w:rPr>
                <w:rFonts w:ascii="Arial Narrow" w:hAnsi="Arial Narrow"/>
                <w:sz w:val="20"/>
                <w:szCs w:val="20"/>
                <w:lang w:eastAsia="zh-CN"/>
              </w:rPr>
              <w:br/>
              <w:t>[19.2%, 33.2%]</w:t>
            </w:r>
          </w:p>
        </w:tc>
        <w:tc>
          <w:tcPr>
            <w:tcW w:w="865" w:type="pct"/>
            <w:vMerge/>
            <w:tcBorders>
              <w:left w:val="single" w:sz="4" w:space="0" w:color="auto"/>
              <w:bottom w:val="doub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211"/>
        </w:trPr>
        <w:tc>
          <w:tcPr>
            <w:tcW w:w="4999" w:type="pct"/>
            <w:gridSpan w:val="15"/>
            <w:tcBorders>
              <w:top w:val="doub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
                <w:sz w:val="20"/>
                <w:szCs w:val="20"/>
              </w:rPr>
            </w:pPr>
            <w:r w:rsidRPr="007F7090">
              <w:rPr>
                <w:rFonts w:ascii="Arial Narrow" w:hAnsi="Arial Narrow"/>
                <w:b/>
                <w:sz w:val="20"/>
                <w:szCs w:val="20"/>
              </w:rPr>
              <w:t>Harms</w:t>
            </w:r>
          </w:p>
        </w:tc>
      </w:tr>
      <w:tr w:rsidR="0078571B" w:rsidRPr="007F7090" w:rsidTr="007F7090">
        <w:trPr>
          <w:trHeight w:val="226"/>
        </w:trPr>
        <w:tc>
          <w:tcPr>
            <w:tcW w:w="4999" w:type="pct"/>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
                <w:sz w:val="20"/>
                <w:szCs w:val="20"/>
              </w:rPr>
            </w:pPr>
            <w:r w:rsidRPr="007F7090">
              <w:rPr>
                <w:rFonts w:ascii="Arial Narrow" w:hAnsi="Arial Narrow"/>
                <w:b/>
                <w:sz w:val="20"/>
                <w:szCs w:val="20"/>
              </w:rPr>
              <w:t>Serious adverse events</w:t>
            </w:r>
          </w:p>
        </w:tc>
      </w:tr>
      <w:tr w:rsidR="0078571B" w:rsidRPr="007F7090" w:rsidTr="007F7090">
        <w:trPr>
          <w:trHeight w:val="466"/>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QUEST-1</w:t>
            </w: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-2.4%</w:t>
            </w:r>
            <w:r w:rsidRPr="007F7090">
              <w:rPr>
                <w:rFonts w:ascii="Arial Narrow" w:hAnsi="Arial Narrow"/>
                <w:sz w:val="20"/>
                <w:szCs w:val="20"/>
              </w:rPr>
              <w:br/>
              <w:t>[-7.1%, 2.4%]</w:t>
            </w: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 xml:space="preserve">10/264 </w:t>
            </w:r>
            <w:r w:rsidRPr="007F7090">
              <w:rPr>
                <w:rFonts w:ascii="Arial Narrow" w:hAnsi="Arial Narrow"/>
                <w:sz w:val="20"/>
                <w:szCs w:val="20"/>
              </w:rPr>
              <w:br/>
              <w:t>(3.8%)</w:t>
            </w: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 xml:space="preserve">8/130 </w:t>
            </w:r>
            <w:r w:rsidRPr="007F7090">
              <w:rPr>
                <w:rFonts w:ascii="Arial Narrow" w:hAnsi="Arial Narrow"/>
                <w:sz w:val="20"/>
                <w:szCs w:val="20"/>
              </w:rPr>
              <w:br/>
              <w:t>(6.2%)</w:t>
            </w:r>
          </w:p>
        </w:tc>
        <w:tc>
          <w:tcPr>
            <w:tcW w:w="448" w:type="pct"/>
            <w:gridSpan w:val="3"/>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w:t>
            </w:r>
          </w:p>
        </w:tc>
        <w:tc>
          <w:tcPr>
            <w:tcW w:w="778" w:type="pct"/>
            <w:gridSpan w:val="5"/>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sz w:val="20"/>
                <w:szCs w:val="20"/>
                <w:lang w:eastAsia="zh-CN"/>
              </w:rPr>
              <w:t>–</w:t>
            </w:r>
          </w:p>
        </w:tc>
        <w:tc>
          <w:tcPr>
            <w:tcW w:w="865" w:type="pct"/>
            <w:vMerge w:val="restart"/>
            <w:tcBorders>
              <w:left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SMV+PR vs TVR+PR:</w:t>
            </w: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-4.8% [-11.0%, 1.3%]</w:t>
            </w: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SMV+PR vs BOC+PR:</w:t>
            </w: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-5.2% [-11.7%, 1.2%]</w:t>
            </w:r>
          </w:p>
        </w:tc>
      </w:tr>
      <w:tr w:rsidR="0078571B" w:rsidRPr="007F7090" w:rsidTr="007F7090">
        <w:trPr>
          <w:trHeight w:val="226"/>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48" w:type="pct"/>
            <w:gridSpan w:val="3"/>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val="nb-NO" w:eastAsia="zh-CN"/>
              </w:rPr>
            </w:pPr>
          </w:p>
        </w:tc>
        <w:tc>
          <w:tcPr>
            <w:tcW w:w="778" w:type="pct"/>
            <w:gridSpan w:val="5"/>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val="nb-NO" w:eastAsia="zh-CN"/>
              </w:rPr>
            </w:pPr>
            <w:r w:rsidRPr="007F7090">
              <w:rPr>
                <w:rFonts w:ascii="Arial Narrow" w:hAnsi="Arial Narrow"/>
                <w:b/>
                <w:sz w:val="20"/>
                <w:szCs w:val="20"/>
              </w:rPr>
              <w:t>TVR12+PR24/48</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val="nb-NO" w:eastAsia="zh-CN"/>
              </w:rPr>
            </w:pPr>
          </w:p>
        </w:tc>
        <w:tc>
          <w:tcPr>
            <w:tcW w:w="865" w:type="pct"/>
            <w:vMerge/>
            <w:tcBorders>
              <w:left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451"/>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ADVANCE</w:t>
            </w:r>
          </w:p>
        </w:tc>
        <w:tc>
          <w:tcPr>
            <w:tcW w:w="634"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09" w:type="pct"/>
            <w:gridSpan w:val="2"/>
            <w:tcBorders>
              <w:top w:val="single" w:sz="4" w:space="0" w:color="auto"/>
              <w:left w:val="single" w:sz="4" w:space="0" w:color="auto"/>
              <w:bottom w:val="single" w:sz="4" w:space="0" w:color="auto"/>
              <w:right w:val="doub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48" w:type="pct"/>
            <w:gridSpan w:val="3"/>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val="nb-NO" w:eastAsia="zh-CN"/>
              </w:rPr>
              <w:t xml:space="preserve">24/361 </w:t>
            </w:r>
            <w:r w:rsidRPr="007F7090">
              <w:rPr>
                <w:rFonts w:ascii="Arial Narrow" w:hAnsi="Arial Narrow"/>
                <w:sz w:val="20"/>
                <w:szCs w:val="20"/>
                <w:lang w:val="nb-NO" w:eastAsia="zh-CN"/>
              </w:rPr>
              <w:br/>
              <w:t>(6.6%)</w:t>
            </w:r>
          </w:p>
        </w:tc>
        <w:tc>
          <w:tcPr>
            <w:tcW w:w="778" w:type="pct"/>
            <w:gridSpan w:val="5"/>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val="nb-NO" w:eastAsia="zh-CN"/>
              </w:rPr>
              <w:t>33/363</w:t>
            </w:r>
            <w:r w:rsidRPr="007F7090">
              <w:rPr>
                <w:rFonts w:ascii="Arial Narrow" w:hAnsi="Arial Narrow"/>
                <w:sz w:val="20"/>
                <w:szCs w:val="20"/>
                <w:lang w:val="nb-NO" w:eastAsia="zh-CN"/>
              </w:rPr>
              <w:br/>
              <w:t>(9.1%)</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2.4%</w:t>
            </w:r>
            <w:r w:rsidRPr="007F7090">
              <w:rPr>
                <w:rFonts w:ascii="Arial Narrow" w:hAnsi="Arial Narrow"/>
                <w:color w:val="000000"/>
                <w:sz w:val="20"/>
                <w:szCs w:val="20"/>
              </w:rPr>
              <w:br/>
              <w:t>[-1.5%, 6.4%]</w:t>
            </w:r>
          </w:p>
        </w:tc>
        <w:tc>
          <w:tcPr>
            <w:tcW w:w="865" w:type="pct"/>
            <w:vMerge/>
            <w:tcBorders>
              <w:left w:val="single" w:sz="4" w:space="0" w:color="auto"/>
              <w:right w:val="single" w:sz="4" w:space="0" w:color="auto"/>
            </w:tcBorders>
            <w:vAlign w:val="center"/>
            <w:hideMark/>
          </w:tcPr>
          <w:p w:rsidR="0078571B" w:rsidRPr="007F7090" w:rsidRDefault="0078571B" w:rsidP="00CC62CF">
            <w:pPr>
              <w:ind w:left="-57" w:right="-57"/>
              <w:rPr>
                <w:rFonts w:ascii="Arial Narrow" w:hAnsi="Arial Narrow"/>
                <w:sz w:val="20"/>
                <w:szCs w:val="20"/>
              </w:rPr>
            </w:pPr>
          </w:p>
        </w:tc>
      </w:tr>
      <w:tr w:rsidR="0078571B" w:rsidRPr="007F7090" w:rsidTr="007F7090">
        <w:trPr>
          <w:trHeight w:val="226"/>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48" w:type="pct"/>
            <w:gridSpan w:val="3"/>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val="nb-NO" w:eastAsia="zh-CN"/>
              </w:rPr>
            </w:pPr>
          </w:p>
        </w:tc>
        <w:tc>
          <w:tcPr>
            <w:tcW w:w="778" w:type="pct"/>
            <w:gridSpan w:val="5"/>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val="nb-NO" w:eastAsia="zh-CN"/>
              </w:rPr>
            </w:pPr>
            <w:r w:rsidRPr="007F7090">
              <w:rPr>
                <w:rFonts w:ascii="Arial Narrow" w:hAnsi="Arial Narrow"/>
                <w:b/>
                <w:sz w:val="20"/>
                <w:szCs w:val="20"/>
              </w:rPr>
              <w:t>BOC24+PR28/48</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val="nb-NO" w:eastAsia="zh-CN"/>
              </w:rPr>
            </w:pPr>
          </w:p>
        </w:tc>
        <w:tc>
          <w:tcPr>
            <w:tcW w:w="865" w:type="pct"/>
            <w:vMerge/>
            <w:tcBorders>
              <w:left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1098"/>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SPRINT-2</w:t>
            </w: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48" w:type="pct"/>
            <w:gridSpan w:val="3"/>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val="nb-NO" w:eastAsia="zh-CN"/>
              </w:rPr>
              <w:t xml:space="preserve">31/363 </w:t>
            </w:r>
            <w:r w:rsidRPr="007F7090">
              <w:rPr>
                <w:rFonts w:ascii="Arial Narrow" w:hAnsi="Arial Narrow"/>
                <w:sz w:val="20"/>
                <w:szCs w:val="20"/>
                <w:lang w:val="nb-NO" w:eastAsia="zh-CN"/>
              </w:rPr>
              <w:br/>
              <w:t>(8.5%)</w:t>
            </w:r>
          </w:p>
        </w:tc>
        <w:tc>
          <w:tcPr>
            <w:tcW w:w="778" w:type="pct"/>
            <w:gridSpan w:val="5"/>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val="nb-NO" w:eastAsia="zh-CN"/>
              </w:rPr>
              <w:t xml:space="preserve">42/368 </w:t>
            </w:r>
            <w:r w:rsidRPr="007F7090">
              <w:rPr>
                <w:rFonts w:ascii="Arial Narrow" w:hAnsi="Arial Narrow"/>
                <w:sz w:val="20"/>
                <w:szCs w:val="20"/>
                <w:lang w:val="nb-NO" w:eastAsia="zh-CN"/>
              </w:rPr>
              <w:br/>
              <w:t>(11.4%)</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sz w:val="20"/>
                <w:szCs w:val="20"/>
                <w:lang w:eastAsia="zh-CN"/>
              </w:rPr>
              <w:t>2.9%</w:t>
            </w:r>
            <w:r w:rsidRPr="007F7090">
              <w:rPr>
                <w:rFonts w:ascii="Arial Narrow" w:hAnsi="Arial Narrow"/>
                <w:sz w:val="20"/>
                <w:szCs w:val="20"/>
                <w:lang w:eastAsia="zh-CN"/>
              </w:rPr>
              <w:br/>
              <w:t>[-1.5%, 7.2%]</w:t>
            </w:r>
          </w:p>
        </w:tc>
        <w:tc>
          <w:tcPr>
            <w:tcW w:w="865" w:type="pct"/>
            <w:vMerge/>
            <w:tcBorders>
              <w:left w:val="single" w:sz="4" w:space="0" w:color="auto"/>
              <w:bottom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226"/>
        </w:trPr>
        <w:tc>
          <w:tcPr>
            <w:tcW w:w="4999" w:type="pct"/>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
                <w:sz w:val="20"/>
                <w:szCs w:val="20"/>
              </w:rPr>
            </w:pPr>
            <w:r w:rsidRPr="007F7090">
              <w:rPr>
                <w:rFonts w:ascii="Arial Narrow" w:hAnsi="Arial Narrow"/>
                <w:b/>
                <w:color w:val="000000"/>
                <w:sz w:val="20"/>
                <w:szCs w:val="20"/>
              </w:rPr>
              <w:t>Adverse events leading to treatment discontinuation</w:t>
            </w:r>
          </w:p>
        </w:tc>
      </w:tr>
      <w:tr w:rsidR="0078571B" w:rsidRPr="007F7090" w:rsidTr="007F7090">
        <w:trPr>
          <w:trHeight w:val="692"/>
        </w:trPr>
        <w:tc>
          <w:tcPr>
            <w:tcW w:w="512" w:type="pct"/>
            <w:tcBorders>
              <w:top w:val="single" w:sz="4" w:space="0" w:color="auto"/>
              <w:left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ind w:left="-57" w:right="-57"/>
              <w:rPr>
                <w:rFonts w:ascii="Arial Narrow" w:hAnsi="Arial Narrow"/>
                <w:sz w:val="20"/>
                <w:szCs w:val="20"/>
              </w:rPr>
            </w:pPr>
            <w:r w:rsidRPr="007F7090">
              <w:rPr>
                <w:rFonts w:ascii="Arial Narrow" w:hAnsi="Arial Narrow"/>
                <w:sz w:val="20"/>
                <w:szCs w:val="20"/>
              </w:rPr>
              <w:t>QUEST-1</w:t>
            </w:r>
          </w:p>
        </w:tc>
        <w:tc>
          <w:tcPr>
            <w:tcW w:w="634" w:type="pct"/>
            <w:tcBorders>
              <w:top w:val="single" w:sz="4" w:space="0" w:color="auto"/>
              <w:left w:val="single" w:sz="4" w:space="0" w:color="auto"/>
              <w:right w:val="single" w:sz="4" w:space="0" w:color="auto"/>
            </w:tcBorders>
            <w:vAlign w:val="bottom"/>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-5.5%</w:t>
            </w:r>
            <w:r w:rsidRPr="007F7090">
              <w:rPr>
                <w:rFonts w:ascii="Arial Narrow" w:hAnsi="Arial Narrow"/>
                <w:sz w:val="20"/>
                <w:szCs w:val="20"/>
              </w:rPr>
              <w:br/>
              <w:t>[-11.2%, 0.3%]</w:t>
            </w:r>
          </w:p>
        </w:tc>
        <w:tc>
          <w:tcPr>
            <w:tcW w:w="616" w:type="pct"/>
            <w:tcBorders>
              <w:top w:val="single" w:sz="4" w:space="0" w:color="auto"/>
              <w:left w:val="single" w:sz="4" w:space="0" w:color="auto"/>
              <w:right w:val="single" w:sz="4" w:space="0" w:color="auto"/>
            </w:tcBorders>
            <w:vAlign w:val="bottom"/>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lang w:eastAsia="zh-CN"/>
              </w:rPr>
              <w:t xml:space="preserve">12/264 </w:t>
            </w:r>
            <w:r w:rsidRPr="007F7090">
              <w:rPr>
                <w:rFonts w:ascii="Arial Narrow" w:hAnsi="Arial Narrow"/>
                <w:sz w:val="20"/>
                <w:szCs w:val="20"/>
                <w:lang w:eastAsia="zh-CN"/>
              </w:rPr>
              <w:br/>
              <w:t>(4.5%)</w:t>
            </w:r>
          </w:p>
        </w:tc>
        <w:tc>
          <w:tcPr>
            <w:tcW w:w="513" w:type="pct"/>
            <w:gridSpan w:val="3"/>
            <w:tcBorders>
              <w:top w:val="single" w:sz="4" w:space="0" w:color="auto"/>
              <w:left w:val="single" w:sz="4" w:space="0" w:color="auto"/>
              <w:right w:val="double" w:sz="4" w:space="0" w:color="auto"/>
            </w:tcBorders>
            <w:vAlign w:val="bottom"/>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lang w:eastAsia="zh-CN"/>
              </w:rPr>
              <w:t xml:space="preserve">13/130 </w:t>
            </w:r>
            <w:r w:rsidRPr="007F7090">
              <w:rPr>
                <w:rFonts w:ascii="Arial Narrow" w:hAnsi="Arial Narrow"/>
                <w:sz w:val="20"/>
                <w:szCs w:val="20"/>
                <w:lang w:eastAsia="zh-CN"/>
              </w:rPr>
              <w:br/>
              <w:t>(10.0%)</w:t>
            </w:r>
          </w:p>
        </w:tc>
        <w:tc>
          <w:tcPr>
            <w:tcW w:w="459" w:type="pct"/>
            <w:gridSpan w:val="4"/>
            <w:tcBorders>
              <w:top w:val="single" w:sz="4" w:space="0" w:color="auto"/>
              <w:left w:val="doub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763" w:type="pct"/>
            <w:gridSpan w:val="3"/>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38"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865" w:type="pct"/>
            <w:vMerge w:val="restart"/>
            <w:tcBorders>
              <w:top w:val="single" w:sz="4" w:space="0" w:color="auto"/>
              <w:left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SMV+PR vs TVR+PR:</w:t>
            </w: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-8.2% [-15.2%, -1.1%]</w:t>
            </w:r>
          </w:p>
          <w:p w:rsidR="0078571B" w:rsidRPr="007F7090" w:rsidRDefault="0078571B" w:rsidP="00CC62CF">
            <w:pPr>
              <w:ind w:left="-57" w:right="-57"/>
              <w:jc w:val="center"/>
              <w:rPr>
                <w:rFonts w:ascii="Arial Narrow" w:hAnsi="Arial Narrow"/>
                <w:b/>
                <w:sz w:val="20"/>
                <w:szCs w:val="20"/>
              </w:rPr>
            </w:pP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SMV+PR vs BOC+PR:</w:t>
            </w:r>
          </w:p>
          <w:p w:rsidR="0078571B" w:rsidRPr="007F7090" w:rsidRDefault="0078571B" w:rsidP="00CC62CF">
            <w:pPr>
              <w:ind w:left="-57" w:right="-57"/>
              <w:jc w:val="center"/>
              <w:rPr>
                <w:rFonts w:ascii="Arial Narrow" w:hAnsi="Arial Narrow"/>
                <w:b/>
                <w:sz w:val="20"/>
                <w:szCs w:val="20"/>
              </w:rPr>
            </w:pPr>
            <w:r w:rsidRPr="007F7090">
              <w:rPr>
                <w:rFonts w:ascii="Arial Narrow" w:hAnsi="Arial Narrow"/>
                <w:b/>
                <w:sz w:val="20"/>
                <w:szCs w:val="20"/>
              </w:rPr>
              <w:t>-2.0% [-9.6%, 5.6%]</w:t>
            </w:r>
          </w:p>
        </w:tc>
      </w:tr>
      <w:tr w:rsidR="0078571B" w:rsidRPr="007F7090" w:rsidTr="007F7090">
        <w:trPr>
          <w:trHeight w:val="211"/>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13" w:type="pct"/>
            <w:gridSpan w:val="3"/>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763" w:type="pct"/>
            <w:gridSpan w:val="3"/>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b/>
                <w:sz w:val="20"/>
                <w:szCs w:val="20"/>
              </w:rPr>
              <w:t>TVR12+PR24/48</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865" w:type="pct"/>
            <w:vMerge/>
            <w:tcBorders>
              <w:left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451"/>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ADVANCE</w:t>
            </w:r>
          </w:p>
        </w:tc>
        <w:tc>
          <w:tcPr>
            <w:tcW w:w="634"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13" w:type="pct"/>
            <w:gridSpan w:val="3"/>
            <w:tcBorders>
              <w:top w:val="single" w:sz="4" w:space="0" w:color="auto"/>
              <w:left w:val="single" w:sz="4" w:space="0" w:color="auto"/>
              <w:bottom w:val="single" w:sz="4" w:space="0" w:color="auto"/>
              <w:right w:val="doub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26/361 </w:t>
            </w:r>
            <w:r w:rsidRPr="007F7090">
              <w:rPr>
                <w:rFonts w:ascii="Arial Narrow" w:hAnsi="Arial Narrow"/>
                <w:sz w:val="20"/>
                <w:szCs w:val="20"/>
                <w:lang w:eastAsia="zh-CN"/>
              </w:rPr>
              <w:br/>
              <w:t>(7.2%)</w:t>
            </w:r>
          </w:p>
        </w:tc>
        <w:tc>
          <w:tcPr>
            <w:tcW w:w="763" w:type="pct"/>
            <w:gridSpan w:val="3"/>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36/363</w:t>
            </w:r>
            <w:r w:rsidRPr="007F7090">
              <w:rPr>
                <w:rFonts w:ascii="Arial Narrow" w:hAnsi="Arial Narrow"/>
                <w:sz w:val="20"/>
                <w:szCs w:val="20"/>
                <w:lang w:eastAsia="zh-CN"/>
              </w:rPr>
              <w:br/>
              <w:t xml:space="preserve"> (9.9%)</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2.7</w:t>
            </w:r>
            <w:r w:rsidRPr="007F7090">
              <w:rPr>
                <w:rFonts w:ascii="Arial Narrow" w:hAnsi="Arial Narrow"/>
                <w:sz w:val="20"/>
                <w:szCs w:val="20"/>
              </w:rPr>
              <w:t>%</w:t>
            </w:r>
            <w:r w:rsidRPr="007F7090">
              <w:rPr>
                <w:rFonts w:ascii="Arial Narrow" w:hAnsi="Arial Narrow"/>
                <w:sz w:val="20"/>
                <w:szCs w:val="20"/>
              </w:rPr>
              <w:br/>
            </w:r>
            <w:r w:rsidRPr="007F7090">
              <w:rPr>
                <w:rFonts w:ascii="Arial Narrow" w:hAnsi="Arial Narrow"/>
                <w:color w:val="000000"/>
                <w:sz w:val="20"/>
                <w:szCs w:val="20"/>
              </w:rPr>
              <w:t xml:space="preserve"> [-1.4</w:t>
            </w:r>
            <w:r w:rsidRPr="007F7090">
              <w:rPr>
                <w:rFonts w:ascii="Arial Narrow" w:hAnsi="Arial Narrow"/>
                <w:sz w:val="20"/>
                <w:szCs w:val="20"/>
              </w:rPr>
              <w:t>%</w:t>
            </w:r>
            <w:r w:rsidRPr="007F7090">
              <w:rPr>
                <w:rFonts w:ascii="Arial Narrow" w:hAnsi="Arial Narrow"/>
                <w:color w:val="000000"/>
                <w:sz w:val="20"/>
                <w:szCs w:val="20"/>
              </w:rPr>
              <w:t>, 6.8</w:t>
            </w:r>
            <w:r w:rsidRPr="007F7090">
              <w:rPr>
                <w:rFonts w:ascii="Arial Narrow" w:hAnsi="Arial Narrow"/>
                <w:sz w:val="20"/>
                <w:szCs w:val="20"/>
              </w:rPr>
              <w:t>%</w:t>
            </w:r>
            <w:r w:rsidRPr="007F7090">
              <w:rPr>
                <w:rFonts w:ascii="Arial Narrow" w:hAnsi="Arial Narrow"/>
                <w:color w:val="000000"/>
                <w:sz w:val="20"/>
                <w:szCs w:val="20"/>
              </w:rPr>
              <w:t>]</w:t>
            </w:r>
          </w:p>
        </w:tc>
        <w:tc>
          <w:tcPr>
            <w:tcW w:w="865" w:type="pct"/>
            <w:vMerge/>
            <w:tcBorders>
              <w:left w:val="single" w:sz="4" w:space="0" w:color="auto"/>
              <w:right w:val="single" w:sz="4" w:space="0" w:color="auto"/>
            </w:tcBorders>
            <w:vAlign w:val="center"/>
            <w:hideMark/>
          </w:tcPr>
          <w:p w:rsidR="0078571B" w:rsidRPr="007F7090" w:rsidRDefault="0078571B" w:rsidP="00CC62CF">
            <w:pPr>
              <w:ind w:left="-57" w:right="-57"/>
              <w:rPr>
                <w:rFonts w:ascii="Arial Narrow" w:hAnsi="Arial Narrow"/>
                <w:sz w:val="20"/>
                <w:szCs w:val="20"/>
              </w:rPr>
            </w:pPr>
          </w:p>
        </w:tc>
      </w:tr>
      <w:tr w:rsidR="0078571B" w:rsidRPr="007F7090" w:rsidTr="007F7090">
        <w:trPr>
          <w:trHeight w:val="211"/>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13" w:type="pct"/>
            <w:gridSpan w:val="3"/>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763" w:type="pct"/>
            <w:gridSpan w:val="3"/>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b/>
                <w:sz w:val="20"/>
                <w:szCs w:val="20"/>
              </w:rPr>
              <w:t>BOC24+PR28/48</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865" w:type="pct"/>
            <w:vMerge/>
            <w:tcBorders>
              <w:left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903"/>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Cs/>
                <w:color w:val="000000"/>
                <w:sz w:val="20"/>
                <w:szCs w:val="20"/>
              </w:rPr>
            </w:pPr>
            <w:r w:rsidRPr="007F7090">
              <w:rPr>
                <w:rFonts w:ascii="Arial Narrow" w:hAnsi="Arial Narrow"/>
                <w:bCs/>
                <w:color w:val="000000"/>
                <w:sz w:val="20"/>
                <w:szCs w:val="20"/>
              </w:rPr>
              <w:t>SPRINT-2</w:t>
            </w: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13" w:type="pct"/>
            <w:gridSpan w:val="3"/>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59"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57/363 </w:t>
            </w:r>
            <w:r w:rsidRPr="007F7090">
              <w:rPr>
                <w:rFonts w:ascii="Arial Narrow" w:hAnsi="Arial Narrow"/>
                <w:sz w:val="20"/>
                <w:szCs w:val="20"/>
                <w:lang w:eastAsia="zh-CN"/>
              </w:rPr>
              <w:br/>
              <w:t>(15.7%)</w:t>
            </w:r>
          </w:p>
        </w:tc>
        <w:tc>
          <w:tcPr>
            <w:tcW w:w="763" w:type="pct"/>
            <w:gridSpan w:val="3"/>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45/368 </w:t>
            </w:r>
            <w:r w:rsidRPr="007F7090">
              <w:rPr>
                <w:rFonts w:ascii="Arial Narrow" w:hAnsi="Arial Narrow"/>
                <w:sz w:val="20"/>
                <w:szCs w:val="20"/>
                <w:lang w:eastAsia="zh-CN"/>
              </w:rPr>
              <w:br/>
              <w:t>(12.2%)</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lang w:eastAsia="zh-CN"/>
              </w:rPr>
              <w:t>-3.5</w:t>
            </w:r>
            <w:r w:rsidRPr="007F7090">
              <w:rPr>
                <w:rFonts w:ascii="Arial Narrow" w:hAnsi="Arial Narrow"/>
                <w:sz w:val="20"/>
                <w:szCs w:val="20"/>
              </w:rPr>
              <w:t>%</w:t>
            </w:r>
          </w:p>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sz w:val="20"/>
                <w:szCs w:val="20"/>
                <w:lang w:eastAsia="zh-CN"/>
              </w:rPr>
              <w:t>[-8.5</w:t>
            </w:r>
            <w:r w:rsidRPr="007F7090">
              <w:rPr>
                <w:rFonts w:ascii="Arial Narrow" w:hAnsi="Arial Narrow"/>
                <w:sz w:val="20"/>
                <w:szCs w:val="20"/>
              </w:rPr>
              <w:t>%</w:t>
            </w:r>
            <w:r w:rsidRPr="007F7090">
              <w:rPr>
                <w:rFonts w:ascii="Arial Narrow" w:hAnsi="Arial Narrow"/>
                <w:sz w:val="20"/>
                <w:szCs w:val="20"/>
                <w:lang w:eastAsia="zh-CN"/>
              </w:rPr>
              <w:t>, 1.5</w:t>
            </w:r>
            <w:r w:rsidRPr="007F7090">
              <w:rPr>
                <w:rFonts w:ascii="Arial Narrow" w:hAnsi="Arial Narrow"/>
                <w:sz w:val="20"/>
                <w:szCs w:val="20"/>
              </w:rPr>
              <w:t>%</w:t>
            </w:r>
            <w:r w:rsidRPr="007F7090">
              <w:rPr>
                <w:rFonts w:ascii="Arial Narrow" w:hAnsi="Arial Narrow"/>
                <w:sz w:val="20"/>
                <w:szCs w:val="20"/>
                <w:lang w:eastAsia="zh-CN"/>
              </w:rPr>
              <w:t>]</w:t>
            </w:r>
          </w:p>
        </w:tc>
        <w:tc>
          <w:tcPr>
            <w:tcW w:w="865" w:type="pct"/>
            <w:vMerge/>
            <w:tcBorders>
              <w:left w:val="single" w:sz="4" w:space="0" w:color="auto"/>
              <w:bottom w:val="single" w:sz="4" w:space="0" w:color="auto"/>
              <w:right w:val="single" w:sz="4" w:space="0" w:color="auto"/>
            </w:tcBorders>
            <w:vAlign w:val="center"/>
          </w:tcPr>
          <w:p w:rsidR="0078571B" w:rsidRPr="007F7090" w:rsidRDefault="0078571B" w:rsidP="00CC62CF">
            <w:pPr>
              <w:ind w:left="-57" w:right="-57"/>
              <w:rPr>
                <w:rFonts w:ascii="Arial Narrow" w:hAnsi="Arial Narrow"/>
                <w:sz w:val="20"/>
                <w:szCs w:val="20"/>
              </w:rPr>
            </w:pPr>
          </w:p>
        </w:tc>
      </w:tr>
      <w:tr w:rsidR="0078571B" w:rsidRPr="007F7090" w:rsidTr="007F7090">
        <w:trPr>
          <w:trHeight w:val="144"/>
        </w:trPr>
        <w:tc>
          <w:tcPr>
            <w:tcW w:w="4999" w:type="pct"/>
            <w:gridSpan w:val="15"/>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ind w:left="-57" w:right="-57"/>
              <w:rPr>
                <w:rFonts w:ascii="Arial Narrow" w:hAnsi="Arial Narrow"/>
                <w:b/>
                <w:sz w:val="20"/>
                <w:szCs w:val="20"/>
              </w:rPr>
            </w:pPr>
            <w:r w:rsidRPr="007F7090">
              <w:rPr>
                <w:rFonts w:ascii="Arial Narrow" w:hAnsi="Arial Narrow"/>
                <w:b/>
                <w:color w:val="000000"/>
                <w:sz w:val="20"/>
                <w:szCs w:val="20"/>
              </w:rPr>
              <w:t>Anaemia</w:t>
            </w:r>
          </w:p>
        </w:tc>
      </w:tr>
      <w:tr w:rsidR="0078571B" w:rsidRPr="007F7090" w:rsidTr="007F7090">
        <w:trPr>
          <w:trHeight w:val="144"/>
        </w:trPr>
        <w:tc>
          <w:tcPr>
            <w:tcW w:w="512" w:type="pct"/>
            <w:tcBorders>
              <w:top w:val="single" w:sz="4" w:space="0" w:color="auto"/>
              <w:left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ind w:left="-57" w:right="-57"/>
              <w:rPr>
                <w:rFonts w:ascii="Arial Narrow" w:hAnsi="Arial Narrow"/>
                <w:sz w:val="20"/>
                <w:szCs w:val="20"/>
              </w:rPr>
            </w:pPr>
            <w:r w:rsidRPr="007F7090">
              <w:rPr>
                <w:rFonts w:ascii="Arial Narrow" w:hAnsi="Arial Narrow"/>
                <w:sz w:val="20"/>
                <w:szCs w:val="20"/>
              </w:rPr>
              <w:t>QUEST-1</w:t>
            </w:r>
          </w:p>
        </w:tc>
        <w:tc>
          <w:tcPr>
            <w:tcW w:w="634" w:type="pct"/>
            <w:tcBorders>
              <w:top w:val="single" w:sz="4" w:space="0" w:color="auto"/>
              <w:left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 xml:space="preserve">-2.2% </w:t>
            </w:r>
            <w:r w:rsidRPr="007F7090">
              <w:rPr>
                <w:rFonts w:ascii="Arial Narrow" w:hAnsi="Arial Narrow"/>
                <w:sz w:val="20"/>
                <w:szCs w:val="20"/>
              </w:rPr>
              <w:br/>
              <w:t>[-10.2%, 5.8%]</w:t>
            </w:r>
          </w:p>
        </w:tc>
        <w:tc>
          <w:tcPr>
            <w:tcW w:w="616" w:type="pct"/>
            <w:tcBorders>
              <w:top w:val="single" w:sz="4" w:space="0" w:color="auto"/>
              <w:left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lang w:eastAsia="zh-CN"/>
              </w:rPr>
              <w:t xml:space="preserve">43/264 </w:t>
            </w:r>
            <w:r w:rsidRPr="007F7090">
              <w:rPr>
                <w:rFonts w:ascii="Arial Narrow" w:hAnsi="Arial Narrow"/>
                <w:sz w:val="20"/>
                <w:szCs w:val="20"/>
                <w:lang w:eastAsia="zh-CN"/>
              </w:rPr>
              <w:br/>
              <w:t>(16.3%)</w:t>
            </w:r>
          </w:p>
        </w:tc>
        <w:tc>
          <w:tcPr>
            <w:tcW w:w="509" w:type="pct"/>
            <w:gridSpan w:val="2"/>
            <w:tcBorders>
              <w:top w:val="single" w:sz="4" w:space="0" w:color="auto"/>
              <w:left w:val="single" w:sz="4" w:space="0" w:color="auto"/>
              <w:right w:val="double" w:sz="4" w:space="0" w:color="auto"/>
            </w:tcBorders>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lang w:eastAsia="zh-CN"/>
              </w:rPr>
              <w:t xml:space="preserve">24/130 </w:t>
            </w:r>
            <w:r w:rsidRPr="007F7090">
              <w:rPr>
                <w:rFonts w:ascii="Arial Narrow" w:hAnsi="Arial Narrow"/>
                <w:sz w:val="20"/>
                <w:szCs w:val="20"/>
                <w:lang w:eastAsia="zh-CN"/>
              </w:rPr>
              <w:br/>
              <w:t>(18.5%)</w:t>
            </w:r>
          </w:p>
        </w:tc>
        <w:tc>
          <w:tcPr>
            <w:tcW w:w="463" w:type="pct"/>
            <w:gridSpan w:val="5"/>
            <w:tcBorders>
              <w:top w:val="single" w:sz="4" w:space="0" w:color="auto"/>
              <w:left w:val="doub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763" w:type="pct"/>
            <w:gridSpan w:val="3"/>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38"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865" w:type="pct"/>
            <w:vMerge w:val="restart"/>
            <w:tcBorders>
              <w:top w:val="single" w:sz="4" w:space="0" w:color="auto"/>
              <w:left w:val="single" w:sz="4" w:space="0" w:color="auto"/>
              <w:right w:val="single" w:sz="4" w:space="0" w:color="auto"/>
            </w:tcBorders>
            <w:vAlign w:val="center"/>
            <w:hideMark/>
          </w:tcPr>
          <w:p w:rsidR="0078571B" w:rsidRPr="007F7090" w:rsidRDefault="0078571B" w:rsidP="00CC62CF">
            <w:pPr>
              <w:ind w:left="-113" w:right="-113"/>
              <w:jc w:val="center"/>
              <w:rPr>
                <w:rFonts w:ascii="Arial Narrow" w:hAnsi="Arial Narrow"/>
                <w:b/>
                <w:sz w:val="20"/>
                <w:szCs w:val="20"/>
              </w:rPr>
            </w:pPr>
          </w:p>
          <w:p w:rsidR="0078571B" w:rsidRPr="007F7090" w:rsidRDefault="0078571B" w:rsidP="00CC62CF">
            <w:pPr>
              <w:ind w:left="-113" w:right="-113"/>
              <w:jc w:val="center"/>
              <w:rPr>
                <w:rFonts w:ascii="Arial Narrow" w:hAnsi="Arial Narrow"/>
                <w:b/>
                <w:sz w:val="20"/>
                <w:szCs w:val="20"/>
              </w:rPr>
            </w:pPr>
          </w:p>
          <w:p w:rsidR="0078571B" w:rsidRPr="007F7090" w:rsidRDefault="0078571B" w:rsidP="00CC62CF">
            <w:pPr>
              <w:ind w:left="-113" w:right="-113"/>
              <w:jc w:val="center"/>
              <w:rPr>
                <w:rFonts w:ascii="Arial Narrow" w:hAnsi="Arial Narrow"/>
                <w:b/>
                <w:sz w:val="20"/>
                <w:szCs w:val="20"/>
              </w:rPr>
            </w:pPr>
          </w:p>
          <w:p w:rsidR="0078571B" w:rsidRPr="007F7090" w:rsidRDefault="0078571B" w:rsidP="00CC62CF">
            <w:pPr>
              <w:ind w:left="-113" w:right="-113"/>
              <w:jc w:val="center"/>
              <w:rPr>
                <w:rFonts w:ascii="Arial Narrow" w:hAnsi="Arial Narrow"/>
                <w:b/>
                <w:sz w:val="20"/>
                <w:szCs w:val="20"/>
              </w:rPr>
            </w:pPr>
            <w:r w:rsidRPr="007F7090">
              <w:rPr>
                <w:rFonts w:ascii="Arial Narrow" w:hAnsi="Arial Narrow"/>
                <w:b/>
                <w:sz w:val="20"/>
                <w:szCs w:val="20"/>
              </w:rPr>
              <w:t>SMV+PR vs TVR+PR:</w:t>
            </w:r>
          </w:p>
          <w:p w:rsidR="0078571B" w:rsidRPr="007F7090" w:rsidRDefault="0078571B" w:rsidP="00CC62CF">
            <w:pPr>
              <w:ind w:left="-113" w:right="-113"/>
              <w:jc w:val="center"/>
              <w:rPr>
                <w:rFonts w:ascii="Arial Narrow" w:hAnsi="Arial Narrow"/>
                <w:b/>
                <w:sz w:val="20"/>
                <w:szCs w:val="20"/>
              </w:rPr>
            </w:pPr>
            <w:r w:rsidRPr="007F7090">
              <w:rPr>
                <w:rFonts w:ascii="Arial Narrow" w:hAnsi="Arial Narrow"/>
                <w:b/>
                <w:sz w:val="20"/>
                <w:szCs w:val="20"/>
              </w:rPr>
              <w:t>-20.0% [-30.3%, -9.7%]</w:t>
            </w:r>
          </w:p>
          <w:p w:rsidR="0078571B" w:rsidRPr="007F7090" w:rsidRDefault="0078571B" w:rsidP="00CC62CF">
            <w:pPr>
              <w:ind w:left="-113" w:right="-113"/>
              <w:jc w:val="center"/>
              <w:rPr>
                <w:rFonts w:ascii="Arial Narrow" w:hAnsi="Arial Narrow"/>
                <w:b/>
                <w:sz w:val="20"/>
                <w:szCs w:val="20"/>
              </w:rPr>
            </w:pPr>
          </w:p>
          <w:p w:rsidR="0078571B" w:rsidRPr="007F7090" w:rsidRDefault="0078571B" w:rsidP="00CC62CF">
            <w:pPr>
              <w:ind w:left="-113" w:right="-113"/>
              <w:jc w:val="center"/>
              <w:rPr>
                <w:rFonts w:ascii="Arial Narrow" w:hAnsi="Arial Narrow"/>
                <w:b/>
                <w:sz w:val="20"/>
                <w:szCs w:val="20"/>
              </w:rPr>
            </w:pPr>
            <w:r w:rsidRPr="007F7090">
              <w:rPr>
                <w:rFonts w:ascii="Arial Narrow" w:hAnsi="Arial Narrow"/>
                <w:b/>
                <w:sz w:val="20"/>
                <w:szCs w:val="20"/>
              </w:rPr>
              <w:lastRenderedPageBreak/>
              <w:t>SMV+PR vs BOC+PR:</w:t>
            </w:r>
          </w:p>
          <w:p w:rsidR="0078571B" w:rsidRPr="007F7090" w:rsidRDefault="0078571B" w:rsidP="00CC62CF">
            <w:pPr>
              <w:ind w:left="-113" w:right="-113"/>
              <w:jc w:val="center"/>
              <w:rPr>
                <w:rFonts w:ascii="Arial Narrow" w:hAnsi="Arial Narrow"/>
                <w:b/>
                <w:sz w:val="20"/>
                <w:szCs w:val="20"/>
              </w:rPr>
            </w:pPr>
            <w:r w:rsidRPr="007F7090">
              <w:rPr>
                <w:rFonts w:ascii="Arial Narrow" w:hAnsi="Arial Narrow"/>
                <w:b/>
                <w:sz w:val="20"/>
                <w:szCs w:val="20"/>
              </w:rPr>
              <w:t>-22.2% [-32.8%, -11.6%]</w:t>
            </w:r>
          </w:p>
        </w:tc>
      </w:tr>
      <w:tr w:rsidR="0078571B" w:rsidRPr="007F7090" w:rsidTr="007F7090">
        <w:trPr>
          <w:trHeight w:val="144"/>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63" w:type="pct"/>
            <w:gridSpan w:val="5"/>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763" w:type="pct"/>
            <w:gridSpan w:val="3"/>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b/>
                <w:sz w:val="20"/>
                <w:szCs w:val="20"/>
              </w:rPr>
              <w:t>TVR12+PR24/48</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865" w:type="pct"/>
            <w:vMerge/>
            <w:tcBorders>
              <w:left w:val="single" w:sz="4" w:space="0" w:color="auto"/>
              <w:right w:val="single" w:sz="4" w:space="0" w:color="auto"/>
            </w:tcBorders>
            <w:vAlign w:val="center"/>
          </w:tcPr>
          <w:p w:rsidR="0078571B" w:rsidRPr="007F7090" w:rsidRDefault="0078571B" w:rsidP="00CC62CF">
            <w:pPr>
              <w:rPr>
                <w:rFonts w:ascii="Arial Narrow" w:hAnsi="Arial Narrow"/>
                <w:sz w:val="20"/>
                <w:szCs w:val="20"/>
              </w:rPr>
            </w:pPr>
          </w:p>
        </w:tc>
      </w:tr>
      <w:tr w:rsidR="0078571B" w:rsidRPr="007F7090" w:rsidTr="007F7090">
        <w:trPr>
          <w:trHeight w:val="144"/>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78571B" w:rsidRPr="007F7090" w:rsidRDefault="0078571B" w:rsidP="00CC62CF">
            <w:pPr>
              <w:rPr>
                <w:rFonts w:ascii="Arial Narrow" w:hAnsi="Arial Narrow"/>
                <w:bCs/>
                <w:color w:val="000000"/>
                <w:sz w:val="20"/>
                <w:szCs w:val="20"/>
              </w:rPr>
            </w:pPr>
            <w:r w:rsidRPr="007F7090">
              <w:rPr>
                <w:rFonts w:ascii="Arial Narrow" w:hAnsi="Arial Narrow"/>
                <w:bCs/>
                <w:color w:val="000000"/>
                <w:sz w:val="20"/>
                <w:szCs w:val="20"/>
              </w:rPr>
              <w:t>ADVANCE</w:t>
            </w:r>
          </w:p>
        </w:tc>
        <w:tc>
          <w:tcPr>
            <w:tcW w:w="634"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09" w:type="pct"/>
            <w:gridSpan w:val="2"/>
            <w:tcBorders>
              <w:top w:val="single" w:sz="4" w:space="0" w:color="auto"/>
              <w:left w:val="single" w:sz="4" w:space="0" w:color="auto"/>
              <w:bottom w:val="single" w:sz="4" w:space="0" w:color="auto"/>
              <w:right w:val="double" w:sz="4" w:space="0" w:color="auto"/>
            </w:tcBorders>
            <w:vAlign w:val="center"/>
            <w:hideMark/>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54"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70/361 </w:t>
            </w:r>
            <w:r w:rsidRPr="007F7090">
              <w:rPr>
                <w:rFonts w:ascii="Arial Narrow" w:hAnsi="Arial Narrow"/>
                <w:sz w:val="20"/>
                <w:szCs w:val="20"/>
                <w:lang w:eastAsia="zh-CN"/>
              </w:rPr>
              <w:br/>
              <w:t>(19.4%)</w:t>
            </w:r>
          </w:p>
        </w:tc>
        <w:tc>
          <w:tcPr>
            <w:tcW w:w="772" w:type="pct"/>
            <w:gridSpan w:val="4"/>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135/363 </w:t>
            </w:r>
            <w:r w:rsidRPr="007F7090">
              <w:rPr>
                <w:rFonts w:ascii="Arial Narrow" w:hAnsi="Arial Narrow"/>
                <w:sz w:val="20"/>
                <w:szCs w:val="20"/>
                <w:lang w:eastAsia="zh-CN"/>
              </w:rPr>
              <w:br/>
              <w:t>(37.2%)</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color w:val="000000"/>
                <w:sz w:val="20"/>
                <w:szCs w:val="20"/>
              </w:rPr>
              <w:t xml:space="preserve">17.8% </w:t>
            </w:r>
            <w:r w:rsidRPr="007F7090">
              <w:rPr>
                <w:rFonts w:ascii="Arial Narrow" w:hAnsi="Arial Narrow"/>
                <w:color w:val="000000"/>
                <w:sz w:val="20"/>
                <w:szCs w:val="20"/>
              </w:rPr>
              <w:br/>
              <w:t>[11.4%, 24.2%]</w:t>
            </w:r>
          </w:p>
        </w:tc>
        <w:tc>
          <w:tcPr>
            <w:tcW w:w="865" w:type="pct"/>
            <w:vMerge/>
            <w:tcBorders>
              <w:left w:val="single" w:sz="4" w:space="0" w:color="auto"/>
              <w:right w:val="single" w:sz="4" w:space="0" w:color="auto"/>
            </w:tcBorders>
            <w:vAlign w:val="center"/>
            <w:hideMark/>
          </w:tcPr>
          <w:p w:rsidR="0078571B" w:rsidRPr="007F7090" w:rsidRDefault="0078571B" w:rsidP="00CC62CF">
            <w:pPr>
              <w:rPr>
                <w:rFonts w:ascii="Arial Narrow" w:hAnsi="Arial Narrow"/>
                <w:sz w:val="20"/>
                <w:szCs w:val="20"/>
              </w:rPr>
            </w:pPr>
          </w:p>
        </w:tc>
      </w:tr>
      <w:tr w:rsidR="0078571B" w:rsidRPr="007F7090" w:rsidTr="007F7090">
        <w:trPr>
          <w:trHeight w:val="144"/>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rPr>
                <w:rFonts w:ascii="Arial Narrow" w:hAnsi="Arial Narrow"/>
                <w:bCs/>
                <w:color w:val="000000"/>
                <w:sz w:val="20"/>
                <w:szCs w:val="20"/>
              </w:rPr>
            </w:pP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p>
        </w:tc>
        <w:tc>
          <w:tcPr>
            <w:tcW w:w="454"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772" w:type="pct"/>
            <w:gridSpan w:val="4"/>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b/>
                <w:sz w:val="20"/>
                <w:szCs w:val="20"/>
              </w:rPr>
              <w:t>BOC24+PR28/48</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p>
        </w:tc>
        <w:tc>
          <w:tcPr>
            <w:tcW w:w="865" w:type="pct"/>
            <w:vMerge/>
            <w:tcBorders>
              <w:left w:val="single" w:sz="4" w:space="0" w:color="auto"/>
              <w:right w:val="single" w:sz="4" w:space="0" w:color="auto"/>
            </w:tcBorders>
            <w:vAlign w:val="center"/>
          </w:tcPr>
          <w:p w:rsidR="0078571B" w:rsidRPr="007F7090" w:rsidRDefault="0078571B" w:rsidP="00CC62CF">
            <w:pPr>
              <w:rPr>
                <w:rFonts w:ascii="Arial Narrow" w:hAnsi="Arial Narrow"/>
                <w:sz w:val="20"/>
                <w:szCs w:val="20"/>
              </w:rPr>
            </w:pPr>
          </w:p>
        </w:tc>
      </w:tr>
      <w:tr w:rsidR="0078571B" w:rsidRPr="007F7090" w:rsidTr="007F7090">
        <w:trPr>
          <w:trHeight w:val="258"/>
        </w:trPr>
        <w:tc>
          <w:tcPr>
            <w:tcW w:w="51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78571B" w:rsidRPr="007F7090" w:rsidRDefault="0078571B" w:rsidP="00CC62CF">
            <w:pPr>
              <w:rPr>
                <w:rFonts w:ascii="Arial Narrow" w:hAnsi="Arial Narrow"/>
                <w:bCs/>
                <w:color w:val="000000"/>
                <w:sz w:val="20"/>
                <w:szCs w:val="20"/>
              </w:rPr>
            </w:pPr>
            <w:r w:rsidRPr="007F7090">
              <w:rPr>
                <w:rFonts w:ascii="Arial Narrow" w:hAnsi="Arial Narrow"/>
                <w:bCs/>
                <w:color w:val="000000"/>
                <w:sz w:val="20"/>
                <w:szCs w:val="20"/>
              </w:rPr>
              <w:lastRenderedPageBreak/>
              <w:t>SPRINT-2</w:t>
            </w:r>
          </w:p>
        </w:tc>
        <w:tc>
          <w:tcPr>
            <w:tcW w:w="634"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616" w:type="pct"/>
            <w:tcBorders>
              <w:top w:val="single" w:sz="4" w:space="0" w:color="auto"/>
              <w:left w:val="single" w:sz="4" w:space="0" w:color="auto"/>
              <w:bottom w:val="single" w:sz="4" w:space="0" w:color="auto"/>
              <w:right w:val="sing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509" w:type="pct"/>
            <w:gridSpan w:val="2"/>
            <w:tcBorders>
              <w:top w:val="single" w:sz="4" w:space="0" w:color="auto"/>
              <w:left w:val="single" w:sz="4" w:space="0" w:color="auto"/>
              <w:bottom w:val="single" w:sz="4" w:space="0" w:color="auto"/>
              <w:right w:val="double" w:sz="4" w:space="0" w:color="auto"/>
            </w:tcBorders>
            <w:vAlign w:val="center"/>
          </w:tcPr>
          <w:p w:rsidR="0078571B" w:rsidRPr="007F7090" w:rsidRDefault="0078571B" w:rsidP="00CC62CF">
            <w:pPr>
              <w:ind w:left="-57" w:right="-57"/>
              <w:jc w:val="center"/>
              <w:rPr>
                <w:rFonts w:ascii="Arial Narrow" w:hAnsi="Arial Narrow"/>
                <w:sz w:val="20"/>
                <w:szCs w:val="20"/>
              </w:rPr>
            </w:pPr>
            <w:r w:rsidRPr="007F7090">
              <w:rPr>
                <w:rFonts w:ascii="Arial Narrow" w:hAnsi="Arial Narrow"/>
                <w:sz w:val="20"/>
                <w:szCs w:val="20"/>
              </w:rPr>
              <w:t>–</w:t>
            </w:r>
          </w:p>
        </w:tc>
        <w:tc>
          <w:tcPr>
            <w:tcW w:w="454" w:type="pct"/>
            <w:gridSpan w:val="4"/>
            <w:tcBorders>
              <w:top w:val="single" w:sz="4" w:space="0" w:color="auto"/>
              <w:left w:val="doub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107/363 </w:t>
            </w:r>
            <w:r w:rsidRPr="007F7090">
              <w:rPr>
                <w:rFonts w:ascii="Arial Narrow" w:hAnsi="Arial Narrow"/>
                <w:sz w:val="20"/>
                <w:szCs w:val="20"/>
                <w:lang w:eastAsia="zh-CN"/>
              </w:rPr>
              <w:br/>
              <w:t>(29.5%)</w:t>
            </w:r>
          </w:p>
        </w:tc>
        <w:tc>
          <w:tcPr>
            <w:tcW w:w="772" w:type="pct"/>
            <w:gridSpan w:val="4"/>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color w:val="000000"/>
                <w:sz w:val="20"/>
                <w:szCs w:val="20"/>
              </w:rPr>
            </w:pPr>
            <w:r w:rsidRPr="007F7090">
              <w:rPr>
                <w:rFonts w:ascii="Arial Narrow" w:hAnsi="Arial Narrow"/>
                <w:sz w:val="20"/>
                <w:szCs w:val="20"/>
                <w:lang w:eastAsia="zh-CN"/>
              </w:rPr>
              <w:t xml:space="preserve">182/368 </w:t>
            </w:r>
            <w:r w:rsidRPr="007F7090">
              <w:rPr>
                <w:rFonts w:ascii="Arial Narrow" w:hAnsi="Arial Narrow"/>
                <w:sz w:val="20"/>
                <w:szCs w:val="20"/>
                <w:lang w:eastAsia="zh-CN"/>
              </w:rPr>
              <w:br/>
              <w:t>(49.5%)</w:t>
            </w:r>
          </w:p>
        </w:tc>
        <w:tc>
          <w:tcPr>
            <w:tcW w:w="638" w:type="pct"/>
            <w:tcBorders>
              <w:top w:val="single" w:sz="4" w:space="0" w:color="auto"/>
              <w:left w:val="single" w:sz="4" w:space="0" w:color="auto"/>
              <w:bottom w:val="single" w:sz="4" w:space="0" w:color="auto"/>
              <w:right w:val="single" w:sz="4" w:space="0" w:color="auto"/>
            </w:tcBorders>
          </w:tcPr>
          <w:p w:rsidR="0078571B" w:rsidRPr="007F7090" w:rsidRDefault="0078571B" w:rsidP="00CC62CF">
            <w:pPr>
              <w:ind w:left="-57" w:right="-57"/>
              <w:jc w:val="center"/>
              <w:rPr>
                <w:rFonts w:ascii="Arial Narrow" w:hAnsi="Arial Narrow"/>
                <w:sz w:val="20"/>
                <w:szCs w:val="20"/>
                <w:lang w:eastAsia="zh-CN"/>
              </w:rPr>
            </w:pPr>
            <w:r w:rsidRPr="007F7090">
              <w:rPr>
                <w:rFonts w:ascii="Arial Narrow" w:hAnsi="Arial Narrow"/>
                <w:sz w:val="20"/>
                <w:szCs w:val="20"/>
                <w:lang w:eastAsia="zh-CN"/>
              </w:rPr>
              <w:t>20.0%</w:t>
            </w:r>
            <w:r w:rsidRPr="007F7090">
              <w:rPr>
                <w:rFonts w:ascii="Arial Narrow" w:hAnsi="Arial Narrow"/>
                <w:sz w:val="20"/>
                <w:szCs w:val="20"/>
                <w:lang w:eastAsia="zh-CN"/>
              </w:rPr>
              <w:br/>
              <w:t>[13.0%, 26.9%]</w:t>
            </w:r>
          </w:p>
        </w:tc>
        <w:tc>
          <w:tcPr>
            <w:tcW w:w="865" w:type="pct"/>
            <w:vMerge/>
            <w:tcBorders>
              <w:left w:val="single" w:sz="4" w:space="0" w:color="auto"/>
              <w:bottom w:val="single" w:sz="4" w:space="0" w:color="auto"/>
              <w:right w:val="single" w:sz="4" w:space="0" w:color="auto"/>
            </w:tcBorders>
            <w:vAlign w:val="center"/>
          </w:tcPr>
          <w:p w:rsidR="0078571B" w:rsidRPr="007F7090" w:rsidRDefault="0078571B" w:rsidP="00CC62CF">
            <w:pPr>
              <w:rPr>
                <w:rFonts w:ascii="Arial Narrow" w:hAnsi="Arial Narrow"/>
                <w:sz w:val="20"/>
                <w:szCs w:val="20"/>
              </w:rPr>
            </w:pPr>
          </w:p>
        </w:tc>
      </w:tr>
    </w:tbl>
    <w:p w:rsidR="00CC62CF" w:rsidRPr="00400CFB" w:rsidRDefault="00CC62CF" w:rsidP="007F7090">
      <w:pPr>
        <w:pStyle w:val="TableFooter"/>
        <w:ind w:left="720"/>
      </w:pPr>
      <w:r w:rsidRPr="00400CFB">
        <w:lastRenderedPageBreak/>
        <w:t xml:space="preserve">PR = </w:t>
      </w:r>
      <w:proofErr w:type="spellStart"/>
      <w:r w:rsidRPr="00400CFB">
        <w:t>peginterferon</w:t>
      </w:r>
      <w:proofErr w:type="spellEnd"/>
      <w:r w:rsidRPr="00400CFB">
        <w:t xml:space="preserve"> </w:t>
      </w:r>
      <w:proofErr w:type="spellStart"/>
      <w:r w:rsidRPr="00400CFB">
        <w:t>alfa</w:t>
      </w:r>
      <w:proofErr w:type="spellEnd"/>
      <w:r w:rsidRPr="00400CFB">
        <w:t xml:space="preserve"> and ribavirin; RD = risk difference; CI = confidence interval; SMV = </w:t>
      </w:r>
      <w:proofErr w:type="spellStart"/>
      <w:r w:rsidRPr="00400CFB">
        <w:t>simeprevir</w:t>
      </w:r>
      <w:proofErr w:type="spellEnd"/>
      <w:r w:rsidRPr="00400CFB">
        <w:t xml:space="preserve">; MCID = minimal clinically important difference specified as the non-inferiority margin in the submission; TVR = </w:t>
      </w:r>
      <w:proofErr w:type="spellStart"/>
      <w:r w:rsidRPr="00400CFB">
        <w:t>telaprevir</w:t>
      </w:r>
      <w:proofErr w:type="spellEnd"/>
      <w:r w:rsidRPr="00400CFB">
        <w:t xml:space="preserve">; BOC = </w:t>
      </w:r>
      <w:proofErr w:type="spellStart"/>
      <w:r w:rsidRPr="00400CFB">
        <w:t>boceprevir</w:t>
      </w:r>
      <w:proofErr w:type="spellEnd"/>
    </w:p>
    <w:p w:rsidR="00CC62CF" w:rsidRPr="00400CFB" w:rsidRDefault="00CC62CF" w:rsidP="007F7090">
      <w:pPr>
        <w:pStyle w:val="TableFooter"/>
        <w:ind w:firstLine="720"/>
      </w:pPr>
      <w:proofErr w:type="gramStart"/>
      <w:r w:rsidRPr="00400CFB">
        <w:rPr>
          <w:vertAlign w:val="superscript"/>
        </w:rPr>
        <w:t>a</w:t>
      </w:r>
      <w:proofErr w:type="gramEnd"/>
      <w:r w:rsidRPr="00400CFB">
        <w:t xml:space="preserve"> Placebo was given in addition to PR.</w:t>
      </w:r>
    </w:p>
    <w:p w:rsidR="00CC62CF" w:rsidRPr="00400CFB" w:rsidRDefault="00CC62CF" w:rsidP="007F7090">
      <w:pPr>
        <w:pStyle w:val="TableFooter"/>
        <w:ind w:firstLine="720"/>
      </w:pPr>
      <w:proofErr w:type="gramStart"/>
      <w:r w:rsidRPr="00400CFB">
        <w:rPr>
          <w:vertAlign w:val="superscript"/>
        </w:rPr>
        <w:t>b</w:t>
      </w:r>
      <w:proofErr w:type="gramEnd"/>
      <w:r w:rsidRPr="00400CFB">
        <w:t xml:space="preserve"> RDs from the indirect comparisons were calculated during the evaluation</w:t>
      </w:r>
    </w:p>
    <w:p w:rsidR="00CC62CF" w:rsidRPr="004C1F6C" w:rsidRDefault="004C1F6C" w:rsidP="007F7090">
      <w:pPr>
        <w:pStyle w:val="TableFooter"/>
        <w:ind w:left="709"/>
        <w:rPr>
          <w:highlight w:val="black"/>
        </w:rPr>
      </w:pPr>
      <w:r>
        <w:rPr>
          <w:noProof/>
          <w:color w:val="000000"/>
          <w:highlight w:val="black"/>
        </w:rPr>
        <w:t>'''''''''''''''''' '''''''''''''' '''''''''''''' '''''''''''' ''''''''''''''' ''''''''''''''''' ''''''''''''' ''''''''''''''' '''''''''''''''' ''''''''''''' ''''''''' ''''''''''''' '''''''''''''''' '''''''''''' '''''' '''''''' ''''''''''' ''''''''''''''''''''''''' '''''''''''' ''''''''''''''''''' '''''''''''''''' ''''''' ''''''''''''''''''''''''</w:t>
      </w:r>
    </w:p>
    <w:p w:rsidR="0078571B" w:rsidRPr="00400CFB" w:rsidRDefault="0078571B" w:rsidP="00CC62CF">
      <w:pPr>
        <w:jc w:val="both"/>
        <w:rPr>
          <w:szCs w:val="22"/>
        </w:rPr>
      </w:pPr>
    </w:p>
    <w:p w:rsidR="003B7983" w:rsidRPr="007F7090" w:rsidRDefault="00C93DAA" w:rsidP="007F7090">
      <w:pPr>
        <w:pStyle w:val="ListParagraph"/>
        <w:numPr>
          <w:ilvl w:val="1"/>
          <w:numId w:val="25"/>
        </w:numPr>
        <w:jc w:val="both"/>
        <w:rPr>
          <w:szCs w:val="22"/>
        </w:rPr>
      </w:pPr>
      <w:r w:rsidRPr="007F7090">
        <w:rPr>
          <w:szCs w:val="22"/>
        </w:rPr>
        <w:t xml:space="preserve">TREATMENT EXPERIENCED – HEAD-TO-HEAD TRIAL: </w:t>
      </w:r>
    </w:p>
    <w:p w:rsidR="00CC62CF" w:rsidRPr="00400CFB" w:rsidRDefault="00CC62CF" w:rsidP="003B7983">
      <w:pPr>
        <w:pStyle w:val="ListParagraph"/>
        <w:ind w:left="709"/>
        <w:jc w:val="both"/>
        <w:rPr>
          <w:szCs w:val="22"/>
        </w:rPr>
      </w:pPr>
      <w:r w:rsidRPr="00400CFB">
        <w:t>The ESC considered that the direct comparison of SMV and TEL in the ATTAIN trial was the most informative evidence for supporting the claim of non-inferior efficacy.</w:t>
      </w:r>
    </w:p>
    <w:p w:rsidR="00CC62CF" w:rsidRPr="00400CFB" w:rsidRDefault="00CC62CF" w:rsidP="00CC62CF">
      <w:pPr>
        <w:jc w:val="both"/>
        <w:rPr>
          <w:szCs w:val="22"/>
        </w:rPr>
      </w:pPr>
    </w:p>
    <w:p w:rsidR="00CC62CF" w:rsidRPr="004C1F6C" w:rsidRDefault="004C1F6C" w:rsidP="007F7090">
      <w:pPr>
        <w:ind w:left="709"/>
        <w:rPr>
          <w:rStyle w:val="CommentReference"/>
          <w:rFonts w:ascii="Arial Narrow" w:hAnsi="Arial Narrow"/>
          <w:b/>
          <w:sz w:val="20"/>
          <w:highlight w:val="black"/>
        </w:rPr>
      </w:pPr>
      <w:r>
        <w:rPr>
          <w:rStyle w:val="CommentReference"/>
          <w:rFonts w:ascii="Arial Narrow" w:hAnsi="Arial Narrow"/>
          <w:b/>
          <w:noProof/>
          <w:color w:val="000000"/>
          <w:sz w:val="20"/>
          <w:highlight w:val="black"/>
        </w:rPr>
        <w:t>''''''''''''''''''''' '''' ''''''''''''''''''''''' '''''''''''''''''' ''''''' ''''''''''''' '''''' '''''''''''''''''''' ''' '''''' '''''''''''''' '''''''''''''''''' ''' '''''' '''' '''''''''' ''''''''''''' ''''' ''''''' ''''''''''''''''''''''' ''' ''''''' '''''''''''''''''''''''''''' ''''''''' ''''''''''''''''''</w:t>
      </w:r>
    </w:p>
    <w:tbl>
      <w:tblPr>
        <w:tblStyle w:val="TableGrid"/>
        <w:tblW w:w="4620" w:type="pct"/>
        <w:tblInd w:w="705" w:type="dxa"/>
        <w:tblCellMar>
          <w:left w:w="28" w:type="dxa"/>
          <w:right w:w="28" w:type="dxa"/>
        </w:tblCellMar>
        <w:tblLook w:val="04A0" w:firstRow="1" w:lastRow="0" w:firstColumn="1" w:lastColumn="0" w:noHBand="0" w:noVBand="1"/>
      </w:tblPr>
      <w:tblGrid>
        <w:gridCol w:w="1428"/>
        <w:gridCol w:w="1042"/>
        <w:gridCol w:w="1027"/>
        <w:gridCol w:w="1418"/>
        <w:gridCol w:w="906"/>
        <w:gridCol w:w="901"/>
        <w:gridCol w:w="1670"/>
      </w:tblGrid>
      <w:tr w:rsidR="00CC62CF" w:rsidRPr="00201FA1" w:rsidTr="00971316">
        <w:trPr>
          <w:trHeight w:val="240"/>
          <w:tblHeader/>
        </w:trPr>
        <w:tc>
          <w:tcPr>
            <w:tcW w:w="850" w:type="pct"/>
            <w:vMerge w:val="restart"/>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621" w:type="pct"/>
            <w:vMerge w:val="restart"/>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612" w:type="pct"/>
            <w:vMerge w:val="restart"/>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845" w:type="pct"/>
            <w:vMerge w:val="restart"/>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c>
          <w:tcPr>
            <w:tcW w:w="1077" w:type="pct"/>
            <w:gridSpan w:val="2"/>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 xml:space="preserve">''''''''''''' ''''''''''''''''' '''''''''''''''' </w:t>
            </w:r>
          </w:p>
        </w:tc>
        <w:tc>
          <w:tcPr>
            <w:tcW w:w="994" w:type="pct"/>
            <w:vMerge w:val="restart"/>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CC62CF" w:rsidRPr="00201FA1" w:rsidTr="00971316">
        <w:trPr>
          <w:trHeight w:val="154"/>
          <w:tblHeader/>
        </w:trPr>
        <w:tc>
          <w:tcPr>
            <w:tcW w:w="850" w:type="pct"/>
            <w:vMerge/>
            <w:shd w:val="clear" w:color="auto" w:fill="auto"/>
            <w:vAlign w:val="center"/>
          </w:tcPr>
          <w:p w:rsidR="00CC62CF" w:rsidRPr="004C1F6C" w:rsidRDefault="00CC62CF" w:rsidP="00CC62CF">
            <w:pPr>
              <w:rPr>
                <w:rFonts w:ascii="Arial Narrow" w:hAnsi="Arial Narrow"/>
                <w:b/>
                <w:color w:val="000000"/>
                <w:sz w:val="20"/>
                <w:szCs w:val="20"/>
              </w:rPr>
            </w:pPr>
          </w:p>
        </w:tc>
        <w:tc>
          <w:tcPr>
            <w:tcW w:w="621" w:type="pct"/>
            <w:vMerge/>
            <w:vAlign w:val="center"/>
          </w:tcPr>
          <w:p w:rsidR="00CC62CF" w:rsidRPr="004C1F6C" w:rsidRDefault="00CC62CF" w:rsidP="00CC62CF">
            <w:pPr>
              <w:jc w:val="center"/>
              <w:rPr>
                <w:rFonts w:ascii="Arial Narrow" w:hAnsi="Arial Narrow"/>
                <w:b/>
                <w:color w:val="000000"/>
                <w:sz w:val="20"/>
                <w:szCs w:val="20"/>
              </w:rPr>
            </w:pPr>
          </w:p>
        </w:tc>
        <w:tc>
          <w:tcPr>
            <w:tcW w:w="612" w:type="pct"/>
            <w:vMerge/>
            <w:vAlign w:val="center"/>
          </w:tcPr>
          <w:p w:rsidR="00CC62CF" w:rsidRPr="004C1F6C" w:rsidRDefault="00CC62CF" w:rsidP="00CC62CF">
            <w:pPr>
              <w:jc w:val="center"/>
              <w:rPr>
                <w:rFonts w:ascii="Arial Narrow" w:hAnsi="Arial Narrow"/>
                <w:b/>
                <w:color w:val="000000"/>
                <w:sz w:val="20"/>
                <w:szCs w:val="20"/>
              </w:rPr>
            </w:pPr>
          </w:p>
        </w:tc>
        <w:tc>
          <w:tcPr>
            <w:tcW w:w="845" w:type="pct"/>
            <w:vMerge/>
            <w:vAlign w:val="center"/>
          </w:tcPr>
          <w:p w:rsidR="00CC62CF" w:rsidRPr="004C1F6C" w:rsidRDefault="00CC62CF" w:rsidP="00CC62CF">
            <w:pPr>
              <w:jc w:val="center"/>
              <w:rPr>
                <w:rFonts w:ascii="Arial Narrow" w:hAnsi="Arial Narrow"/>
                <w:b/>
                <w:color w:val="000000"/>
                <w:sz w:val="20"/>
                <w:szCs w:val="20"/>
              </w:rPr>
            </w:pPr>
          </w:p>
        </w:tc>
        <w:tc>
          <w:tcPr>
            <w:tcW w:w="540" w:type="pct"/>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c>
          <w:tcPr>
            <w:tcW w:w="994" w:type="pct"/>
            <w:vMerge/>
            <w:vAlign w:val="center"/>
          </w:tcPr>
          <w:p w:rsidR="00CC62CF" w:rsidRPr="004C1F6C" w:rsidRDefault="00CC62CF" w:rsidP="00CC62CF">
            <w:pPr>
              <w:jc w:val="center"/>
              <w:rPr>
                <w:rFonts w:ascii="Arial Narrow" w:hAnsi="Arial Narrow"/>
                <w:b/>
                <w:color w:val="000000"/>
                <w:sz w:val="20"/>
                <w:szCs w:val="20"/>
              </w:rPr>
            </w:pPr>
          </w:p>
        </w:tc>
      </w:tr>
      <w:tr w:rsidR="00CC62CF" w:rsidRPr="00201FA1" w:rsidTr="00971316">
        <w:trPr>
          <w:trHeight w:val="240"/>
          <w:tblHeader/>
        </w:trPr>
        <w:tc>
          <w:tcPr>
            <w:tcW w:w="5000" w:type="pct"/>
            <w:gridSpan w:val="7"/>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r>
      <w:tr w:rsidR="00CC62CF" w:rsidRPr="00201FA1" w:rsidTr="00971316">
        <w:trPr>
          <w:trHeight w:val="480"/>
        </w:trPr>
        <w:tc>
          <w:tcPr>
            <w:tcW w:w="5000" w:type="pct"/>
            <w:gridSpan w:val="7"/>
            <w:tcBorders>
              <w:top w:val="single" w:sz="4" w:space="0" w:color="auto"/>
            </w:tcBorders>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 '''''''''''''''''''''' '''''''''''''''''''' '''' '''' ''''''''''''' ''''''''' ''''''' ''''''''' '''' '''''''''''''''''''                                                          '''''''''''' ''' ''''''''''''</w:t>
            </w:r>
          </w:p>
        </w:tc>
      </w:tr>
      <w:tr w:rsidR="00CC62CF" w:rsidRPr="00201FA1" w:rsidTr="00971316">
        <w:trPr>
          <w:trHeight w:val="24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45"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CC62CF" w:rsidRPr="00201FA1" w:rsidTr="00971316">
        <w:trPr>
          <w:trHeight w:val="24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45"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CC62CF" w:rsidRPr="00201FA1" w:rsidTr="00971316">
        <w:trPr>
          <w:trHeight w:val="48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 ''''''''''''''''''''''''''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iCs/>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iCs/>
                <w:noProof/>
                <w:color w:val="000000"/>
                <w:sz w:val="20"/>
                <w:szCs w:val="20"/>
                <w:highlight w:val="black"/>
              </w:rPr>
              <w:t>'''''''''''''''''''</w:t>
            </w:r>
          </w:p>
        </w:tc>
        <w:tc>
          <w:tcPr>
            <w:tcW w:w="845" w:type="pct"/>
            <w:vAlign w:val="center"/>
          </w:tcPr>
          <w:p w:rsidR="00CC62CF" w:rsidRPr="004C1F6C" w:rsidRDefault="004C1F6C" w:rsidP="00CC62CF">
            <w:pPr>
              <w:keepLines/>
              <w:adjustRightInd w:val="0"/>
              <w:jc w:val="center"/>
              <w:rPr>
                <w:rFonts w:ascii="Arial Narrow" w:hAnsi="Arial Narrow"/>
                <w:color w:val="000000"/>
                <w:sz w:val="20"/>
                <w:szCs w:val="20"/>
                <w:highlight w:val="black"/>
              </w:rPr>
            </w:pPr>
            <w:r>
              <w:rPr>
                <w:rFonts w:ascii="Arial Narrow" w:hAnsi="Arial Narrow"/>
                <w:iCs/>
                <w:noProof/>
                <w:color w:val="000000"/>
                <w:sz w:val="20"/>
                <w:szCs w:val="20"/>
                <w:highlight w:val="black"/>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iCs/>
                <w:noProof/>
                <w:color w:val="000000"/>
                <w:sz w:val="20"/>
                <w:szCs w:val="20"/>
                <w:highlight w:val="black"/>
              </w:rPr>
              <w:t>''''''''''''''' '''''''''''''''''' '''''''''''''''</w:t>
            </w:r>
          </w:p>
        </w:tc>
      </w:tr>
      <w:tr w:rsidR="00CC62CF" w:rsidRPr="00201FA1" w:rsidTr="00971316">
        <w:trPr>
          <w:trHeight w:val="48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 ''''''''''''''''''''''''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iCs/>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iCs/>
                <w:noProof/>
                <w:color w:val="000000"/>
                <w:sz w:val="20"/>
                <w:szCs w:val="20"/>
                <w:highlight w:val="black"/>
              </w:rPr>
              <w:t>'''''''''''''''''''</w:t>
            </w:r>
          </w:p>
        </w:tc>
        <w:tc>
          <w:tcPr>
            <w:tcW w:w="845" w:type="pct"/>
            <w:vAlign w:val="center"/>
          </w:tcPr>
          <w:p w:rsidR="00CC62CF" w:rsidRPr="004C1F6C" w:rsidRDefault="004C1F6C" w:rsidP="00CC62CF">
            <w:pPr>
              <w:keepLines/>
              <w:adjustRightInd w:val="0"/>
              <w:jc w:val="center"/>
              <w:rPr>
                <w:rFonts w:ascii="Arial Narrow" w:hAnsi="Arial Narrow"/>
                <w:color w:val="000000"/>
                <w:sz w:val="20"/>
                <w:szCs w:val="20"/>
                <w:highlight w:val="black"/>
              </w:rPr>
            </w:pPr>
            <w:r>
              <w:rPr>
                <w:rFonts w:ascii="Arial Narrow" w:hAnsi="Arial Narrow"/>
                <w:iCs/>
                <w:noProof/>
                <w:color w:val="000000"/>
                <w:sz w:val="20"/>
                <w:szCs w:val="20"/>
                <w:highlight w:val="black"/>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iCs/>
                <w:noProof/>
                <w:color w:val="000000"/>
                <w:sz w:val="20"/>
                <w:szCs w:val="20"/>
                <w:highlight w:val="black"/>
              </w:rPr>
              <w:t>'''''''''''' '''''''''''''''' '''''''''''''''''</w:t>
            </w:r>
          </w:p>
        </w:tc>
      </w:tr>
      <w:tr w:rsidR="00CC62CF" w:rsidRPr="00201FA1" w:rsidTr="00971316">
        <w:trPr>
          <w:trHeight w:val="240"/>
          <w:tblHeader/>
        </w:trPr>
        <w:tc>
          <w:tcPr>
            <w:tcW w:w="5000" w:type="pct"/>
            <w:gridSpan w:val="7"/>
            <w:tcBorders>
              <w:top w:val="double" w:sz="4" w:space="0" w:color="auto"/>
            </w:tcBorders>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 xml:space="preserve">''''''''''''' </w:t>
            </w:r>
          </w:p>
        </w:tc>
      </w:tr>
      <w:tr w:rsidR="00CC62CF" w:rsidRPr="00201FA1" w:rsidTr="00971316">
        <w:trPr>
          <w:trHeight w:val="240"/>
          <w:tblHeader/>
        </w:trPr>
        <w:tc>
          <w:tcPr>
            <w:tcW w:w="5000" w:type="pct"/>
            <w:gridSpan w:val="7"/>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CC62CF" w:rsidRPr="00201FA1" w:rsidTr="00971316">
        <w:trPr>
          <w:trHeight w:val="24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45"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eastAsia="SimSun" w:hAnsi="Arial Narrow"/>
                <w:noProof/>
                <w:color w:val="000000"/>
                <w:sz w:val="20"/>
                <w:szCs w:val="20"/>
                <w:highlight w:val="black"/>
                <w:lang w:eastAsia="zh-CN"/>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eastAsia="SimSun" w:hAnsi="Arial Narrow"/>
                <w:noProof/>
                <w:color w:val="000000"/>
                <w:sz w:val="20"/>
                <w:szCs w:val="20"/>
                <w:highlight w:val="black"/>
                <w:lang w:eastAsia="zh-CN"/>
              </w:rPr>
              <w:t>'''''''''''''' ''''''''''''''''''''' '''''''''''''''</w:t>
            </w:r>
          </w:p>
        </w:tc>
      </w:tr>
      <w:tr w:rsidR="00CC62CF" w:rsidRPr="00201FA1" w:rsidTr="00971316">
        <w:trPr>
          <w:trHeight w:val="240"/>
          <w:tblHeader/>
        </w:trPr>
        <w:tc>
          <w:tcPr>
            <w:tcW w:w="5000" w:type="pct"/>
            <w:gridSpan w:val="7"/>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 xml:space="preserve">'''''''''''''''''' ''''''''''''''' '''''''''''''''' '''' ''''''''''''''''''' ''''''''''''''''''''''''''''' </w:t>
            </w:r>
          </w:p>
        </w:tc>
      </w:tr>
      <w:tr w:rsidR="00CC62CF" w:rsidRPr="00201FA1" w:rsidTr="00971316">
        <w:trPr>
          <w:trHeight w:val="24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45"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eastAsia="SimSun" w:hAnsi="Arial Narrow"/>
                <w:bCs/>
                <w:noProof/>
                <w:color w:val="000000"/>
                <w:sz w:val="20"/>
                <w:szCs w:val="20"/>
                <w:highlight w:val="black"/>
                <w:lang w:eastAsia="zh-CN"/>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eastAsia="SimSun" w:hAnsi="Arial Narrow"/>
                <w:noProof/>
                <w:color w:val="000000"/>
                <w:sz w:val="20"/>
                <w:szCs w:val="20"/>
                <w:highlight w:val="black"/>
                <w:lang w:eastAsia="zh-CN"/>
              </w:rPr>
              <w:t>'''''''''''''' '''''''''''''''''''' '''''''''''''''</w:t>
            </w:r>
          </w:p>
        </w:tc>
      </w:tr>
      <w:tr w:rsidR="00CC62CF" w:rsidRPr="00201FA1" w:rsidTr="00971316">
        <w:trPr>
          <w:trHeight w:val="240"/>
          <w:tblHeader/>
        </w:trPr>
        <w:tc>
          <w:tcPr>
            <w:tcW w:w="5000" w:type="pct"/>
            <w:gridSpan w:val="7"/>
            <w:shd w:val="clear" w:color="auto" w:fill="auto"/>
            <w:vAlign w:val="center"/>
          </w:tcPr>
          <w:p w:rsidR="00CC62CF" w:rsidRPr="004C1F6C" w:rsidRDefault="004C1F6C" w:rsidP="00CC62CF">
            <w:pPr>
              <w:rPr>
                <w:rFonts w:ascii="Arial Narrow" w:hAnsi="Arial Narrow"/>
                <w:b/>
                <w:color w:val="000000"/>
                <w:sz w:val="20"/>
                <w:szCs w:val="20"/>
                <w:highlight w:val="black"/>
              </w:rPr>
            </w:pPr>
            <w:r>
              <w:rPr>
                <w:rFonts w:ascii="Arial Narrow" w:hAnsi="Arial Narrow"/>
                <w:b/>
                <w:noProof/>
                <w:color w:val="000000"/>
                <w:sz w:val="20"/>
                <w:szCs w:val="20"/>
                <w:highlight w:val="black"/>
              </w:rPr>
              <w:t>''''''''''''''''</w:t>
            </w:r>
          </w:p>
        </w:tc>
      </w:tr>
      <w:tr w:rsidR="00CC62CF" w:rsidRPr="00201FA1" w:rsidTr="00971316">
        <w:trPr>
          <w:trHeight w:val="240"/>
          <w:tblHeader/>
        </w:trPr>
        <w:tc>
          <w:tcPr>
            <w:tcW w:w="850" w:type="pct"/>
            <w:shd w:val="clear" w:color="auto" w:fill="auto"/>
            <w:vAlign w:val="center"/>
          </w:tcPr>
          <w:p w:rsidR="00CC62CF" w:rsidRPr="004C1F6C" w:rsidRDefault="004C1F6C" w:rsidP="00CC62CF">
            <w:pPr>
              <w:rPr>
                <w:rFonts w:ascii="Arial Narrow" w:hAnsi="Arial Narrow"/>
                <w:color w:val="000000"/>
                <w:sz w:val="20"/>
                <w:szCs w:val="20"/>
                <w:highlight w:val="black"/>
              </w:rPr>
            </w:pPr>
            <w:r>
              <w:rPr>
                <w:rFonts w:ascii="Arial Narrow" w:hAnsi="Arial Narrow"/>
                <w:noProof/>
                <w:color w:val="000000"/>
                <w:sz w:val="20"/>
                <w:szCs w:val="20"/>
                <w:highlight w:val="black"/>
              </w:rPr>
              <w:t>'''''''''''''''''' '''''''''</w:t>
            </w:r>
          </w:p>
        </w:tc>
        <w:tc>
          <w:tcPr>
            <w:tcW w:w="621"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612"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845"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eastAsia="SimSun" w:hAnsi="Arial Narrow" w:cs="Calibri"/>
                <w:noProof/>
                <w:color w:val="000000"/>
                <w:sz w:val="20"/>
                <w:szCs w:val="20"/>
                <w:highlight w:val="black"/>
                <w:lang w:eastAsia="zh-CN"/>
              </w:rPr>
              <w:t>'''''''''''' ''''''''''''' ''''''''''''</w:t>
            </w:r>
          </w:p>
        </w:tc>
        <w:tc>
          <w:tcPr>
            <w:tcW w:w="540"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537" w:type="pct"/>
            <w:vAlign w:val="center"/>
          </w:tcPr>
          <w:p w:rsidR="00CC62CF" w:rsidRPr="004C1F6C" w:rsidRDefault="004C1F6C" w:rsidP="00CC62CF">
            <w:pPr>
              <w:jc w:val="center"/>
              <w:rPr>
                <w:rFonts w:ascii="Arial Narrow" w:hAnsi="Arial Narrow"/>
                <w:color w:val="000000"/>
                <w:sz w:val="20"/>
                <w:szCs w:val="20"/>
                <w:highlight w:val="black"/>
              </w:rPr>
            </w:pPr>
            <w:r>
              <w:rPr>
                <w:rFonts w:ascii="Arial Narrow" w:hAnsi="Arial Narrow"/>
                <w:noProof/>
                <w:color w:val="000000"/>
                <w:sz w:val="20"/>
                <w:szCs w:val="20"/>
                <w:highlight w:val="black"/>
              </w:rPr>
              <w:t>''''''''''</w:t>
            </w:r>
          </w:p>
        </w:tc>
        <w:tc>
          <w:tcPr>
            <w:tcW w:w="994" w:type="pct"/>
            <w:vAlign w:val="center"/>
          </w:tcPr>
          <w:p w:rsidR="00971316" w:rsidRPr="004C1F6C" w:rsidRDefault="004C1F6C" w:rsidP="00CC62CF">
            <w:pPr>
              <w:jc w:val="center"/>
              <w:rPr>
                <w:rFonts w:ascii="Arial Narrow" w:eastAsia="SimSun" w:hAnsi="Arial Narrow" w:cs="Calibri"/>
                <w:color w:val="000000"/>
                <w:sz w:val="20"/>
                <w:szCs w:val="20"/>
                <w:highlight w:val="black"/>
                <w:lang w:eastAsia="zh-CN"/>
              </w:rPr>
            </w:pPr>
            <w:r>
              <w:rPr>
                <w:rFonts w:ascii="Arial Narrow" w:eastAsia="SimSun" w:hAnsi="Arial Narrow" w:cs="Calibri"/>
                <w:noProof/>
                <w:color w:val="000000"/>
                <w:sz w:val="20"/>
                <w:szCs w:val="20"/>
                <w:highlight w:val="black"/>
                <w:lang w:eastAsia="zh-CN"/>
              </w:rPr>
              <w:t xml:space="preserve">''''''''''''''''''' </w:t>
            </w:r>
          </w:p>
          <w:p w:rsidR="00CC62CF" w:rsidRPr="004C1F6C" w:rsidRDefault="004C1F6C" w:rsidP="00CC62CF">
            <w:pPr>
              <w:jc w:val="center"/>
              <w:rPr>
                <w:rFonts w:ascii="Arial Narrow" w:hAnsi="Arial Narrow"/>
                <w:color w:val="000000"/>
                <w:sz w:val="20"/>
                <w:szCs w:val="20"/>
                <w:highlight w:val="black"/>
              </w:rPr>
            </w:pPr>
            <w:r>
              <w:rPr>
                <w:rFonts w:ascii="Arial Narrow" w:eastAsia="SimSun" w:hAnsi="Arial Narrow" w:cs="Calibri"/>
                <w:noProof/>
                <w:color w:val="000000"/>
                <w:sz w:val="20"/>
                <w:szCs w:val="20"/>
                <w:highlight w:val="black"/>
                <w:lang w:eastAsia="zh-CN"/>
              </w:rPr>
              <w:t>'''''''''''''''''''''' '''''''''''''''</w:t>
            </w:r>
          </w:p>
        </w:tc>
      </w:tr>
    </w:tbl>
    <w:p w:rsidR="00CC62CF" w:rsidRPr="004C1F6C" w:rsidRDefault="004C1F6C" w:rsidP="00971316">
      <w:pPr>
        <w:pStyle w:val="TableFooter"/>
        <w:ind w:left="720"/>
        <w:rPr>
          <w:highlight w:val="black"/>
        </w:rPr>
      </w:pPr>
      <w:r>
        <w:rPr>
          <w:noProof/>
          <w:color w:val="000000"/>
          <w:highlight w:val="black"/>
        </w:rPr>
        <w:t>''''''' '''' '''''''''''''''''''''''''''''' ''''''''' '''''''''''''''''' '''' '''' ''''''''''''''''''''''''' '''' ''' ''''''''''''''''''''''''' '''''''' ''' ''''''''' '''''''''''''''''''''''' '''''' ''' ''''''''''''''''''''''''''' ''''''''''''''''' '''''''' ''' ''''''''' '''''''''''''''''''''''' '''''''''''''' '''' '''''''''''''''' ''''''''''''''''''''' ''''''''''''''''''''''' '''''''''''''''''''''''''' '''''''''''''''''''' '''''' ''''''''' ''''''''''''''''''''''''''''''''''' ''''''''''''''''' '''' ''''''''' '''''''''''''''''''''''''''''' ''''''''' '''' '''''''''''''''''''''''''''''''''''''' '''''''' '''' '''''''' '''''''''''''''''''</w:t>
      </w:r>
    </w:p>
    <w:p w:rsidR="00CC62CF" w:rsidRPr="004C1F6C" w:rsidRDefault="004C1F6C" w:rsidP="00971316">
      <w:pPr>
        <w:pStyle w:val="TableFooter"/>
        <w:ind w:firstLine="720"/>
        <w:rPr>
          <w:highlight w:val="black"/>
        </w:rPr>
      </w:pPr>
      <w:r>
        <w:rPr>
          <w:noProof/>
          <w:color w:val="000000"/>
          <w:highlight w:val="black"/>
          <w:vertAlign w:val="superscript"/>
        </w:rPr>
        <w:t>''' ''''''''''''''''''''''''' ''''''''</w:t>
      </w:r>
    </w:p>
    <w:p w:rsidR="00CC62CF" w:rsidRPr="004C1F6C" w:rsidRDefault="004C1F6C" w:rsidP="00971316">
      <w:pPr>
        <w:pStyle w:val="TableFooter"/>
        <w:ind w:firstLine="709"/>
        <w:rPr>
          <w:highlight w:val="black"/>
        </w:rPr>
      </w:pPr>
      <w:r>
        <w:rPr>
          <w:noProof/>
          <w:color w:val="000000"/>
          <w:highlight w:val="black"/>
        </w:rPr>
        <w:t>'''''''''''''''''' '''''''''''''''''''''''' '''''''''''''''' '''''''' '''''''''''''''''''''''''</w:t>
      </w:r>
    </w:p>
    <w:p w:rsidR="00C93DAA" w:rsidRPr="00400CFB" w:rsidRDefault="00C93DAA" w:rsidP="00C93DAA">
      <w:pPr>
        <w:jc w:val="both"/>
        <w:rPr>
          <w:szCs w:val="22"/>
        </w:rPr>
      </w:pPr>
    </w:p>
    <w:p w:rsidR="00CC62CF" w:rsidRPr="00971316" w:rsidRDefault="00E83D36" w:rsidP="00971316">
      <w:pPr>
        <w:pStyle w:val="ListParagraph"/>
        <w:numPr>
          <w:ilvl w:val="1"/>
          <w:numId w:val="25"/>
        </w:numPr>
        <w:jc w:val="both"/>
        <w:rPr>
          <w:szCs w:val="22"/>
        </w:rPr>
      </w:pPr>
      <w:r w:rsidRPr="00971316">
        <w:rPr>
          <w:szCs w:val="22"/>
        </w:rPr>
        <w:t>TREATMENT EXPERIENCED – INDIRECT COMPARISON:</w:t>
      </w:r>
    </w:p>
    <w:p w:rsidR="00CC62CF" w:rsidRDefault="00CC62CF" w:rsidP="00CC62CF">
      <w:pPr>
        <w:pStyle w:val="ListParagraph"/>
        <w:ind w:left="709"/>
        <w:jc w:val="both"/>
      </w:pPr>
      <w:r w:rsidRPr="00400CFB">
        <w:t xml:space="preserve">Due to the known varying virological response among prior </w:t>
      </w:r>
      <w:proofErr w:type="spellStart"/>
      <w:r w:rsidRPr="00400CFB">
        <w:t>relapsers</w:t>
      </w:r>
      <w:proofErr w:type="spellEnd"/>
      <w:r w:rsidRPr="00400CFB">
        <w:t xml:space="preserve">, prior partial responders and prior null responders, the SVR24 results are presented according to prior response subgroups. The safety results, however, are summarised across the whole treatment experienced population, as safety is not expected to differ among the three subgroups. The following table does not include the benefits of </w:t>
      </w:r>
      <w:proofErr w:type="spellStart"/>
      <w:r w:rsidRPr="00400CFB">
        <w:t>simeprevir</w:t>
      </w:r>
      <w:proofErr w:type="spellEnd"/>
      <w:r w:rsidRPr="00400CFB">
        <w:t xml:space="preserve"> versus </w:t>
      </w:r>
      <w:proofErr w:type="spellStart"/>
      <w:r w:rsidRPr="00400CFB">
        <w:t>telaprevir</w:t>
      </w:r>
      <w:proofErr w:type="spellEnd"/>
      <w:r w:rsidRPr="00400CFB">
        <w:t xml:space="preserve"> in prior partial or null responders and the harms of </w:t>
      </w:r>
      <w:proofErr w:type="spellStart"/>
      <w:r w:rsidRPr="00400CFB">
        <w:t>simeprevir</w:t>
      </w:r>
      <w:proofErr w:type="spellEnd"/>
      <w:r w:rsidRPr="00400CFB">
        <w:t xml:space="preserve"> versus </w:t>
      </w:r>
      <w:proofErr w:type="spellStart"/>
      <w:r w:rsidRPr="00400CFB">
        <w:t>telaprevir</w:t>
      </w:r>
      <w:proofErr w:type="spellEnd"/>
      <w:r w:rsidRPr="00400CFB">
        <w:t xml:space="preserve"> in treatment experienced patients, due to the availability of the direct evidence. The submission does not present evidence comparing the effectiveness of </w:t>
      </w:r>
      <w:proofErr w:type="spellStart"/>
      <w:r w:rsidRPr="00400CFB">
        <w:t>simeprevir</w:t>
      </w:r>
      <w:proofErr w:type="spellEnd"/>
      <w:r w:rsidR="00793434" w:rsidRPr="00400CFB">
        <w:t xml:space="preserve"> </w:t>
      </w:r>
      <w:r w:rsidRPr="00400CFB">
        <w:t>+</w:t>
      </w:r>
      <w:r w:rsidR="00793434" w:rsidRPr="00400CFB">
        <w:t xml:space="preserve"> </w:t>
      </w:r>
      <w:r w:rsidRPr="00400CFB">
        <w:t xml:space="preserve">PR over </w:t>
      </w:r>
      <w:proofErr w:type="spellStart"/>
      <w:r w:rsidRPr="00400CFB">
        <w:t>boceprevir</w:t>
      </w:r>
      <w:proofErr w:type="spellEnd"/>
      <w:r w:rsidR="00793434" w:rsidRPr="00400CFB">
        <w:t xml:space="preserve"> </w:t>
      </w:r>
      <w:r w:rsidRPr="00400CFB">
        <w:t>+</w:t>
      </w:r>
      <w:r w:rsidR="00793434" w:rsidRPr="00400CFB">
        <w:t xml:space="preserve"> </w:t>
      </w:r>
      <w:r w:rsidRPr="00400CFB">
        <w:t xml:space="preserve">PR in prior null responders. One </w:t>
      </w:r>
      <w:proofErr w:type="spellStart"/>
      <w:r w:rsidRPr="00400CFB">
        <w:t>simeprevir</w:t>
      </w:r>
      <w:proofErr w:type="spellEnd"/>
      <w:r w:rsidRPr="00400CFB">
        <w:t xml:space="preserve"> trial (ASPIRE) and one </w:t>
      </w:r>
      <w:proofErr w:type="spellStart"/>
      <w:r w:rsidRPr="00400CFB">
        <w:t>boceprevir</w:t>
      </w:r>
      <w:proofErr w:type="spellEnd"/>
      <w:r w:rsidRPr="00400CFB">
        <w:t xml:space="preserve"> trial (Trial 5685) are not included in the table below, as the PI-recommended response-guided therapy (RGT) was not used in one subgroup </w:t>
      </w:r>
      <w:r w:rsidRPr="00400CFB">
        <w:lastRenderedPageBreak/>
        <w:t xml:space="preserve">(prior </w:t>
      </w:r>
      <w:proofErr w:type="spellStart"/>
      <w:r w:rsidRPr="00400CFB">
        <w:t>relapsers</w:t>
      </w:r>
      <w:proofErr w:type="spellEnd"/>
      <w:r w:rsidRPr="00400CFB">
        <w:t xml:space="preserve">) in ASPIRE and in all Trial 5685 subjects (prior </w:t>
      </w:r>
      <w:proofErr w:type="spellStart"/>
      <w:r w:rsidRPr="00400CFB">
        <w:t>relapsers</w:t>
      </w:r>
      <w:proofErr w:type="spellEnd"/>
      <w:r w:rsidRPr="00400CFB">
        <w:t xml:space="preserve"> and partial responders) </w:t>
      </w:r>
    </w:p>
    <w:p w:rsidR="00C61E98" w:rsidRDefault="00C61E98" w:rsidP="00CC62CF">
      <w:pPr>
        <w:pStyle w:val="ListParagraph"/>
        <w:ind w:left="709"/>
        <w:jc w:val="both"/>
      </w:pPr>
    </w:p>
    <w:p w:rsidR="00CC62CF" w:rsidRPr="00C61E98" w:rsidRDefault="00CC62CF" w:rsidP="00C61E98">
      <w:pPr>
        <w:ind w:left="709"/>
        <w:rPr>
          <w:rStyle w:val="CommentReference"/>
          <w:rFonts w:cs="Arial"/>
          <w:b/>
          <w:sz w:val="20"/>
        </w:rPr>
      </w:pPr>
      <w:r w:rsidRPr="00C61E98">
        <w:rPr>
          <w:rStyle w:val="CommentReference"/>
          <w:rFonts w:cs="Arial"/>
          <w:b/>
          <w:sz w:val="20"/>
        </w:rPr>
        <w:t xml:space="preserve">Summary of indicative comparative benefits and harms for </w:t>
      </w:r>
      <w:proofErr w:type="spellStart"/>
      <w:r w:rsidRPr="00C61E98">
        <w:rPr>
          <w:rStyle w:val="CommentReference"/>
          <w:rFonts w:cs="Arial"/>
          <w:b/>
          <w:sz w:val="20"/>
        </w:rPr>
        <w:t>simeprevir</w:t>
      </w:r>
      <w:proofErr w:type="spellEnd"/>
      <w:r w:rsidR="00793434" w:rsidRPr="00C61E98">
        <w:rPr>
          <w:rStyle w:val="CommentReference"/>
          <w:rFonts w:cs="Arial"/>
          <w:b/>
          <w:sz w:val="20"/>
        </w:rPr>
        <w:t xml:space="preserve"> </w:t>
      </w:r>
      <w:r w:rsidRPr="00C61E98">
        <w:rPr>
          <w:rStyle w:val="CommentReference"/>
          <w:rFonts w:cs="Arial"/>
          <w:b/>
          <w:sz w:val="20"/>
        </w:rPr>
        <w:t>+</w:t>
      </w:r>
      <w:r w:rsidR="00793434" w:rsidRPr="00C61E98">
        <w:rPr>
          <w:rStyle w:val="CommentReference"/>
          <w:rFonts w:cs="Arial"/>
          <w:b/>
          <w:sz w:val="20"/>
        </w:rPr>
        <w:t xml:space="preserve"> </w:t>
      </w:r>
      <w:r w:rsidRPr="00C61E98">
        <w:rPr>
          <w:rStyle w:val="CommentReference"/>
          <w:rFonts w:cs="Arial"/>
          <w:b/>
          <w:sz w:val="20"/>
        </w:rPr>
        <w:t xml:space="preserve">PR versus </w:t>
      </w:r>
      <w:proofErr w:type="spellStart"/>
      <w:r w:rsidRPr="00C61E98">
        <w:rPr>
          <w:rStyle w:val="CommentReference"/>
          <w:rFonts w:cs="Arial"/>
          <w:b/>
          <w:sz w:val="20"/>
        </w:rPr>
        <w:t>telaprevir</w:t>
      </w:r>
      <w:proofErr w:type="spellEnd"/>
      <w:r w:rsidR="00793434" w:rsidRPr="00C61E98">
        <w:rPr>
          <w:rStyle w:val="CommentReference"/>
          <w:rFonts w:cs="Arial"/>
          <w:b/>
          <w:sz w:val="20"/>
        </w:rPr>
        <w:t xml:space="preserve"> </w:t>
      </w:r>
      <w:r w:rsidRPr="00C61E98">
        <w:rPr>
          <w:rStyle w:val="CommentReference"/>
          <w:rFonts w:cs="Arial"/>
          <w:b/>
          <w:sz w:val="20"/>
        </w:rPr>
        <w:t>+</w:t>
      </w:r>
      <w:r w:rsidR="00793434" w:rsidRPr="00C61E98">
        <w:rPr>
          <w:rStyle w:val="CommentReference"/>
          <w:rFonts w:cs="Arial"/>
          <w:b/>
          <w:sz w:val="20"/>
        </w:rPr>
        <w:t xml:space="preserve"> </w:t>
      </w:r>
      <w:r w:rsidRPr="00C61E98">
        <w:rPr>
          <w:rStyle w:val="CommentReference"/>
          <w:rFonts w:cs="Arial"/>
          <w:b/>
          <w:sz w:val="20"/>
        </w:rPr>
        <w:t xml:space="preserve">PR or </w:t>
      </w:r>
      <w:proofErr w:type="spellStart"/>
      <w:r w:rsidRPr="00C61E98">
        <w:rPr>
          <w:rStyle w:val="CommentReference"/>
          <w:rFonts w:cs="Arial"/>
          <w:b/>
          <w:sz w:val="20"/>
        </w:rPr>
        <w:t>boceprevir</w:t>
      </w:r>
      <w:proofErr w:type="spellEnd"/>
      <w:r w:rsidR="00793434" w:rsidRPr="00C61E98">
        <w:rPr>
          <w:rStyle w:val="CommentReference"/>
          <w:rFonts w:cs="Arial"/>
          <w:b/>
          <w:sz w:val="20"/>
        </w:rPr>
        <w:t xml:space="preserve"> </w:t>
      </w:r>
      <w:r w:rsidRPr="00C61E98">
        <w:rPr>
          <w:rStyle w:val="CommentReference"/>
          <w:rFonts w:cs="Arial"/>
          <w:b/>
          <w:sz w:val="20"/>
        </w:rPr>
        <w:t>+</w:t>
      </w:r>
      <w:r w:rsidR="00793434" w:rsidRPr="00C61E98">
        <w:rPr>
          <w:rStyle w:val="CommentReference"/>
          <w:rFonts w:cs="Arial"/>
          <w:b/>
          <w:sz w:val="20"/>
        </w:rPr>
        <w:t xml:space="preserve"> </w:t>
      </w:r>
      <w:r w:rsidRPr="00C61E98">
        <w:rPr>
          <w:rStyle w:val="CommentReference"/>
          <w:rFonts w:cs="Arial"/>
          <w:b/>
          <w:sz w:val="20"/>
        </w:rPr>
        <w:t>PR in treatment experienced patients – indirect comparison</w:t>
      </w:r>
    </w:p>
    <w:tbl>
      <w:tblPr>
        <w:tblW w:w="4559"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ummary of indicative comparative benefits and harms for simeprevir + PR versus telaprevir + PR or boceprevir + PR in treatment experienced patients – indirect comparison"/>
      </w:tblPr>
      <w:tblGrid>
        <w:gridCol w:w="945"/>
        <w:gridCol w:w="977"/>
        <w:gridCol w:w="1374"/>
        <w:gridCol w:w="715"/>
        <w:gridCol w:w="695"/>
        <w:gridCol w:w="24"/>
        <w:gridCol w:w="1359"/>
        <w:gridCol w:w="961"/>
        <w:gridCol w:w="1377"/>
      </w:tblGrid>
      <w:tr w:rsidR="00CC62CF" w:rsidRPr="00C61E98" w:rsidTr="00C61E98">
        <w:trPr>
          <w:trHeight w:val="231"/>
        </w:trPr>
        <w:tc>
          <w:tcPr>
            <w:tcW w:w="52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hideMark/>
          </w:tcPr>
          <w:p w:rsidR="00CC62CF" w:rsidRPr="00C61E98" w:rsidRDefault="00CC62CF" w:rsidP="00CC62CF">
            <w:pPr>
              <w:rPr>
                <w:rFonts w:ascii="Arial Narrow" w:hAnsi="Arial Narrow"/>
                <w:b/>
                <w:sz w:val="20"/>
                <w:szCs w:val="20"/>
              </w:rPr>
            </w:pPr>
            <w:r w:rsidRPr="00C61E98">
              <w:rPr>
                <w:rFonts w:ascii="Arial Narrow" w:hAnsi="Arial Narrow"/>
                <w:b/>
                <w:sz w:val="20"/>
                <w:szCs w:val="20"/>
              </w:rPr>
              <w:t>Trial ID</w:t>
            </w:r>
          </w:p>
        </w:tc>
        <w:tc>
          <w:tcPr>
            <w:tcW w:w="1823" w:type="pct"/>
            <w:gridSpan w:val="3"/>
            <w:tcBorders>
              <w:top w:val="single" w:sz="4" w:space="0" w:color="auto"/>
              <w:left w:val="nil"/>
              <w:bottom w:val="single" w:sz="4" w:space="0" w:color="auto"/>
              <w:right w:val="double" w:sz="4" w:space="0" w:color="auto"/>
            </w:tcBorders>
            <w:vAlign w:val="center"/>
            <w:hideMark/>
          </w:tcPr>
          <w:p w:rsidR="00CC62CF" w:rsidRPr="00C61E98" w:rsidRDefault="00CC62CF" w:rsidP="00CC62CF">
            <w:pPr>
              <w:jc w:val="center"/>
              <w:rPr>
                <w:rFonts w:ascii="Arial Narrow" w:hAnsi="Arial Narrow"/>
                <w:b/>
                <w:sz w:val="20"/>
                <w:szCs w:val="20"/>
              </w:rPr>
            </w:pPr>
            <w:r w:rsidRPr="00C61E98">
              <w:rPr>
                <w:rFonts w:ascii="Arial Narrow" w:hAnsi="Arial Narrow"/>
                <w:b/>
                <w:sz w:val="20"/>
                <w:szCs w:val="20"/>
              </w:rPr>
              <w:t xml:space="preserve">SMV + PR vs placebo + PR </w:t>
            </w:r>
          </w:p>
        </w:tc>
        <w:tc>
          <w:tcPr>
            <w:tcW w:w="1807" w:type="pct"/>
            <w:gridSpan w:val="4"/>
            <w:tcBorders>
              <w:top w:val="single" w:sz="4" w:space="0" w:color="auto"/>
              <w:left w:val="nil"/>
              <w:bottom w:val="single" w:sz="4" w:space="0" w:color="auto"/>
              <w:right w:val="single" w:sz="4" w:space="0" w:color="auto"/>
            </w:tcBorders>
            <w:vAlign w:val="center"/>
            <w:hideMark/>
          </w:tcPr>
          <w:p w:rsidR="00CC62CF" w:rsidRPr="00C61E98" w:rsidRDefault="00CC62CF" w:rsidP="00CC62CF">
            <w:pPr>
              <w:jc w:val="center"/>
              <w:rPr>
                <w:rFonts w:ascii="Arial Narrow" w:hAnsi="Arial Narrow"/>
                <w:b/>
                <w:sz w:val="20"/>
                <w:szCs w:val="20"/>
              </w:rPr>
            </w:pPr>
            <w:r w:rsidRPr="00C61E98">
              <w:rPr>
                <w:rFonts w:ascii="Arial Narrow" w:hAnsi="Arial Narrow"/>
                <w:b/>
                <w:sz w:val="20"/>
                <w:szCs w:val="20"/>
              </w:rPr>
              <w:t>TVR/BOC</w:t>
            </w:r>
            <w:r w:rsidR="00793434" w:rsidRPr="00C61E98">
              <w:rPr>
                <w:rFonts w:ascii="Arial Narrow" w:hAnsi="Arial Narrow"/>
                <w:b/>
                <w:sz w:val="20"/>
                <w:szCs w:val="20"/>
              </w:rPr>
              <w:t xml:space="preserve"> </w:t>
            </w:r>
            <w:r w:rsidRPr="00C61E98">
              <w:rPr>
                <w:rFonts w:ascii="Arial Narrow" w:hAnsi="Arial Narrow"/>
                <w:b/>
                <w:sz w:val="20"/>
                <w:szCs w:val="20"/>
              </w:rPr>
              <w:t>+</w:t>
            </w:r>
            <w:r w:rsidR="00793434" w:rsidRPr="00C61E98">
              <w:rPr>
                <w:rFonts w:ascii="Arial Narrow" w:hAnsi="Arial Narrow"/>
                <w:b/>
                <w:sz w:val="20"/>
                <w:szCs w:val="20"/>
              </w:rPr>
              <w:t xml:space="preserve"> </w:t>
            </w:r>
            <w:r w:rsidRPr="00C61E98">
              <w:rPr>
                <w:rFonts w:ascii="Arial Narrow" w:hAnsi="Arial Narrow"/>
                <w:b/>
                <w:sz w:val="20"/>
                <w:szCs w:val="20"/>
              </w:rPr>
              <w:t>PR vs placebo</w:t>
            </w:r>
            <w:r w:rsidR="00793434" w:rsidRPr="00C61E98">
              <w:rPr>
                <w:rFonts w:ascii="Arial Narrow" w:hAnsi="Arial Narrow"/>
                <w:b/>
                <w:sz w:val="20"/>
                <w:szCs w:val="20"/>
              </w:rPr>
              <w:t xml:space="preserve"> </w:t>
            </w:r>
            <w:r w:rsidRPr="00C61E98">
              <w:rPr>
                <w:rFonts w:ascii="Arial Narrow" w:hAnsi="Arial Narrow"/>
                <w:b/>
                <w:sz w:val="20"/>
                <w:szCs w:val="20"/>
              </w:rPr>
              <w:t>+</w:t>
            </w:r>
            <w:r w:rsidR="00793434" w:rsidRPr="00C61E98">
              <w:rPr>
                <w:rFonts w:ascii="Arial Narrow" w:hAnsi="Arial Narrow"/>
                <w:b/>
                <w:sz w:val="20"/>
                <w:szCs w:val="20"/>
              </w:rPr>
              <w:t xml:space="preserve"> </w:t>
            </w:r>
            <w:r w:rsidRPr="00C61E98">
              <w:rPr>
                <w:rFonts w:ascii="Arial Narrow" w:hAnsi="Arial Narrow"/>
                <w:b/>
                <w:sz w:val="20"/>
                <w:szCs w:val="20"/>
              </w:rPr>
              <w:t xml:space="preserve">PR </w:t>
            </w:r>
          </w:p>
        </w:tc>
        <w:tc>
          <w:tcPr>
            <w:tcW w:w="848" w:type="pct"/>
            <w:vMerge w:val="restart"/>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jc w:val="center"/>
              <w:rPr>
                <w:rFonts w:ascii="Arial Narrow" w:hAnsi="Arial Narrow"/>
                <w:b/>
                <w:sz w:val="20"/>
                <w:szCs w:val="20"/>
              </w:rPr>
            </w:pPr>
            <w:r w:rsidRPr="00C61E98">
              <w:rPr>
                <w:rFonts w:ascii="Arial Narrow" w:hAnsi="Arial Narrow"/>
                <w:b/>
                <w:sz w:val="20"/>
                <w:szCs w:val="20"/>
              </w:rPr>
              <w:t>Indirect comparison</w:t>
            </w:r>
            <w:r w:rsidRPr="00C61E98">
              <w:rPr>
                <w:rFonts w:ascii="Arial Narrow" w:hAnsi="Arial Narrow"/>
                <w:b/>
                <w:sz w:val="20"/>
                <w:szCs w:val="20"/>
              </w:rPr>
              <w:br/>
              <w:t>RD</w:t>
            </w:r>
            <w:r w:rsidRPr="00C61E98">
              <w:rPr>
                <w:rFonts w:ascii="Arial Narrow" w:hAnsi="Arial Narrow"/>
                <w:b/>
                <w:sz w:val="20"/>
                <w:szCs w:val="20"/>
                <w:vertAlign w:val="superscript"/>
              </w:rPr>
              <w:t xml:space="preserve"> </w:t>
            </w:r>
            <w:r w:rsidRPr="00C61E98">
              <w:rPr>
                <w:rFonts w:ascii="Arial Narrow" w:hAnsi="Arial Narrow"/>
                <w:b/>
                <w:sz w:val="20"/>
                <w:szCs w:val="20"/>
              </w:rPr>
              <w:t>[95% CI]</w:t>
            </w:r>
            <w:r w:rsidRPr="00C61E98">
              <w:rPr>
                <w:rFonts w:ascii="Arial Narrow" w:hAnsi="Arial Narrow"/>
                <w:b/>
                <w:sz w:val="20"/>
                <w:szCs w:val="20"/>
                <w:vertAlign w:val="superscript"/>
              </w:rPr>
              <w:t>b</w:t>
            </w:r>
          </w:p>
        </w:tc>
      </w:tr>
      <w:tr w:rsidR="00CC62CF" w:rsidRPr="00C61E98" w:rsidTr="00C61E98">
        <w:trPr>
          <w:trHeight w:val="148"/>
        </w:trPr>
        <w:tc>
          <w:tcPr>
            <w:tcW w:w="521" w:type="pct"/>
            <w:vMerge/>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rPr>
                <w:rFonts w:ascii="Arial Narrow" w:hAnsi="Arial Narrow"/>
                <w:b/>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vertAlign w:val="superscript"/>
              </w:rPr>
            </w:pPr>
            <w:r w:rsidRPr="00C61E98">
              <w:rPr>
                <w:rFonts w:ascii="Arial Narrow" w:hAnsi="Arial Narrow"/>
                <w:b/>
                <w:sz w:val="20"/>
                <w:szCs w:val="20"/>
              </w:rPr>
              <w:t>RD</w:t>
            </w: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[95% CI]</w:t>
            </w:r>
          </w:p>
        </w:tc>
        <w:tc>
          <w:tcPr>
            <w:tcW w:w="757" w:type="pct"/>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SMV12+PR24/48</w:t>
            </w:r>
          </w:p>
          <w:p w:rsidR="00CC62CF" w:rsidRPr="00C61E98" w:rsidRDefault="00CC62CF" w:rsidP="00CC62CF">
            <w:pPr>
              <w:ind w:left="-57" w:right="-57"/>
              <w:jc w:val="center"/>
              <w:rPr>
                <w:rFonts w:ascii="Arial Narrow" w:hAnsi="Arial Narrow"/>
                <w:b/>
                <w:sz w:val="20"/>
                <w:szCs w:val="20"/>
              </w:rPr>
            </w:pPr>
            <w:proofErr w:type="gramStart"/>
            <w:r w:rsidRPr="00C61E98">
              <w:rPr>
                <w:rFonts w:ascii="Arial Narrow" w:hAnsi="Arial Narrow"/>
                <w:b/>
                <w:sz w:val="20"/>
                <w:szCs w:val="20"/>
              </w:rPr>
              <w:t>n/N</w:t>
            </w:r>
            <w:proofErr w:type="gramEnd"/>
            <w:r w:rsidRPr="00C61E98">
              <w:rPr>
                <w:rFonts w:ascii="Arial Narrow" w:hAnsi="Arial Narrow"/>
                <w:b/>
                <w:sz w:val="20"/>
                <w:szCs w:val="20"/>
              </w:rPr>
              <w:t xml:space="preserve"> (%)</w:t>
            </w:r>
          </w:p>
        </w:tc>
        <w:tc>
          <w:tcPr>
            <w:tcW w:w="455" w:type="pct"/>
            <w:tcBorders>
              <w:top w:val="single" w:sz="4" w:space="0" w:color="auto"/>
              <w:left w:val="single" w:sz="4" w:space="0" w:color="auto"/>
              <w:bottom w:val="single" w:sz="4" w:space="0" w:color="auto"/>
              <w:right w:val="double" w:sz="4" w:space="0" w:color="auto"/>
            </w:tcBorders>
            <w:vAlign w:val="center"/>
            <w:hideMark/>
          </w:tcPr>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PR48</w:t>
            </w:r>
            <w:r w:rsidRPr="00C61E98">
              <w:rPr>
                <w:rFonts w:ascii="Arial Narrow" w:hAnsi="Arial Narrow"/>
                <w:b/>
                <w:sz w:val="20"/>
                <w:szCs w:val="20"/>
                <w:vertAlign w:val="superscript"/>
              </w:rPr>
              <w:t>a</w:t>
            </w:r>
          </w:p>
          <w:p w:rsidR="00CC62CF" w:rsidRPr="00C61E98" w:rsidRDefault="00CC62CF" w:rsidP="00CC62CF">
            <w:pPr>
              <w:ind w:left="-57" w:right="-57"/>
              <w:jc w:val="center"/>
              <w:rPr>
                <w:rFonts w:ascii="Arial Narrow" w:hAnsi="Arial Narrow"/>
                <w:b/>
                <w:sz w:val="20"/>
                <w:szCs w:val="20"/>
              </w:rPr>
            </w:pPr>
            <w:proofErr w:type="gramStart"/>
            <w:r w:rsidRPr="00C61E98">
              <w:rPr>
                <w:rFonts w:ascii="Arial Narrow" w:hAnsi="Arial Narrow"/>
                <w:b/>
                <w:sz w:val="20"/>
                <w:szCs w:val="20"/>
              </w:rPr>
              <w:t>n/N</w:t>
            </w:r>
            <w:proofErr w:type="gramEnd"/>
            <w:r w:rsidRPr="00C61E98">
              <w:rPr>
                <w:rFonts w:ascii="Arial Narrow" w:hAnsi="Arial Narrow"/>
                <w:b/>
                <w:sz w:val="20"/>
                <w:szCs w:val="20"/>
              </w:rPr>
              <w:t xml:space="preserve"> (%)</w:t>
            </w:r>
          </w:p>
        </w:tc>
        <w:tc>
          <w:tcPr>
            <w:tcW w:w="456" w:type="pct"/>
            <w:gridSpan w:val="2"/>
            <w:tcBorders>
              <w:top w:val="single" w:sz="4" w:space="0" w:color="auto"/>
              <w:left w:val="double" w:sz="4" w:space="0" w:color="auto"/>
              <w:bottom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PR48</w:t>
            </w:r>
            <w:r w:rsidRPr="00C61E98">
              <w:rPr>
                <w:rFonts w:ascii="Arial Narrow" w:hAnsi="Arial Narrow"/>
                <w:b/>
                <w:sz w:val="20"/>
                <w:szCs w:val="20"/>
                <w:vertAlign w:val="superscript"/>
              </w:rPr>
              <w:t>a</w:t>
            </w:r>
          </w:p>
          <w:p w:rsidR="00CC62CF" w:rsidRPr="00C61E98" w:rsidRDefault="00CC62CF" w:rsidP="00CC62CF">
            <w:pPr>
              <w:ind w:left="-57" w:right="-57"/>
              <w:jc w:val="center"/>
              <w:rPr>
                <w:rFonts w:ascii="Arial Narrow" w:hAnsi="Arial Narrow"/>
                <w:b/>
                <w:sz w:val="20"/>
                <w:szCs w:val="20"/>
              </w:rPr>
            </w:pPr>
            <w:proofErr w:type="gramStart"/>
            <w:r w:rsidRPr="00C61E98">
              <w:rPr>
                <w:rFonts w:ascii="Arial Narrow" w:hAnsi="Arial Narrow"/>
                <w:b/>
                <w:sz w:val="20"/>
                <w:szCs w:val="20"/>
              </w:rPr>
              <w:t>n/N</w:t>
            </w:r>
            <w:proofErr w:type="gramEnd"/>
            <w:r w:rsidRPr="00C61E98">
              <w:rPr>
                <w:rFonts w:ascii="Arial Narrow" w:hAnsi="Arial Narrow"/>
                <w:b/>
                <w:sz w:val="20"/>
                <w:szCs w:val="20"/>
              </w:rPr>
              <w:t xml:space="preserve"> (%)</w:t>
            </w:r>
          </w:p>
        </w:tc>
        <w:tc>
          <w:tcPr>
            <w:tcW w:w="750" w:type="pct"/>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Comparator</w:t>
            </w:r>
          </w:p>
          <w:p w:rsidR="00CC62CF" w:rsidRPr="00C61E98" w:rsidRDefault="00CC62CF" w:rsidP="00CC62CF">
            <w:pPr>
              <w:ind w:left="-57" w:right="-57"/>
              <w:jc w:val="center"/>
              <w:rPr>
                <w:rFonts w:ascii="Arial Narrow" w:hAnsi="Arial Narrow"/>
                <w:b/>
                <w:sz w:val="20"/>
                <w:szCs w:val="20"/>
              </w:rPr>
            </w:pPr>
            <w:proofErr w:type="gramStart"/>
            <w:r w:rsidRPr="00C61E98">
              <w:rPr>
                <w:rFonts w:ascii="Arial Narrow" w:hAnsi="Arial Narrow"/>
                <w:b/>
                <w:sz w:val="20"/>
                <w:szCs w:val="20"/>
              </w:rPr>
              <w:t>n/N</w:t>
            </w:r>
            <w:proofErr w:type="gramEnd"/>
            <w:r w:rsidRPr="00C61E98">
              <w:rPr>
                <w:rFonts w:ascii="Arial Narrow" w:hAnsi="Arial Narrow"/>
                <w:b/>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vertAlign w:val="superscript"/>
              </w:rPr>
            </w:pPr>
            <w:r w:rsidRPr="00C61E98">
              <w:rPr>
                <w:rFonts w:ascii="Arial Narrow" w:hAnsi="Arial Narrow"/>
                <w:b/>
                <w:sz w:val="20"/>
                <w:szCs w:val="20"/>
              </w:rPr>
              <w:t>RD</w:t>
            </w: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[95% CI]</w:t>
            </w:r>
          </w:p>
        </w:tc>
        <w:tc>
          <w:tcPr>
            <w:tcW w:w="848" w:type="pct"/>
            <w:vMerge/>
            <w:tcBorders>
              <w:top w:val="single" w:sz="4" w:space="0" w:color="auto"/>
              <w:left w:val="single" w:sz="4" w:space="0" w:color="auto"/>
              <w:bottom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p>
        </w:tc>
      </w:tr>
      <w:tr w:rsidR="00CC62CF" w:rsidRPr="00C61E98" w:rsidTr="00C61E98">
        <w:trPr>
          <w:trHeight w:val="231"/>
        </w:trPr>
        <w:tc>
          <w:tcPr>
            <w:tcW w:w="499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proofErr w:type="spellStart"/>
            <w:r w:rsidRPr="00C61E98">
              <w:rPr>
                <w:rFonts w:ascii="Arial Narrow" w:hAnsi="Arial Narrow"/>
                <w:b/>
                <w:color w:val="000000"/>
                <w:sz w:val="20"/>
                <w:szCs w:val="20"/>
              </w:rPr>
              <w:t>Benefits</w:t>
            </w:r>
            <w:r w:rsidRPr="00C61E98">
              <w:rPr>
                <w:rFonts w:ascii="Arial Narrow" w:hAnsi="Arial Narrow"/>
                <w:b/>
                <w:color w:val="000000"/>
                <w:sz w:val="20"/>
                <w:szCs w:val="20"/>
                <w:vertAlign w:val="superscript"/>
              </w:rPr>
              <w:t>c</w:t>
            </w:r>
            <w:proofErr w:type="spellEnd"/>
            <w:r w:rsidRPr="00C61E98">
              <w:rPr>
                <w:rFonts w:ascii="Arial Narrow" w:hAnsi="Arial Narrow"/>
                <w:b/>
                <w:color w:val="000000"/>
                <w:sz w:val="20"/>
                <w:szCs w:val="20"/>
              </w:rPr>
              <w:t xml:space="preserve"> </w:t>
            </w:r>
          </w:p>
        </w:tc>
      </w:tr>
      <w:tr w:rsidR="00CC62CF" w:rsidRPr="00C61E98" w:rsidTr="00C61E98">
        <w:trPr>
          <w:trHeight w:val="462"/>
        </w:trPr>
        <w:tc>
          <w:tcPr>
            <w:tcW w:w="499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r w:rsidRPr="00C61E98">
              <w:rPr>
                <w:rFonts w:ascii="Arial Narrow" w:hAnsi="Arial Narrow"/>
                <w:b/>
                <w:color w:val="000000"/>
                <w:sz w:val="20"/>
                <w:szCs w:val="20"/>
              </w:rPr>
              <w:t xml:space="preserve">Sustained virological response at 24 weeks after the end of treatment – prior </w:t>
            </w:r>
            <w:proofErr w:type="spellStart"/>
            <w:r w:rsidRPr="00C61E98">
              <w:rPr>
                <w:rFonts w:ascii="Arial Narrow" w:hAnsi="Arial Narrow"/>
                <w:b/>
                <w:color w:val="000000"/>
                <w:sz w:val="20"/>
                <w:szCs w:val="20"/>
              </w:rPr>
              <w:t>relapsers</w:t>
            </w:r>
            <w:proofErr w:type="spellEnd"/>
            <w:r w:rsidRPr="00C61E98">
              <w:rPr>
                <w:rFonts w:ascii="Arial Narrow" w:hAnsi="Arial Narrow"/>
                <w:b/>
                <w:color w:val="000000"/>
                <w:sz w:val="20"/>
                <w:szCs w:val="20"/>
              </w:rPr>
              <w:t xml:space="preserve">                                (MCID = -12%)</w:t>
            </w:r>
          </w:p>
        </w:tc>
      </w:tr>
      <w:tr w:rsidR="00CC62CF" w:rsidRPr="00C61E98" w:rsidTr="00C61E98">
        <w:trPr>
          <w:trHeight w:val="708"/>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PROMISE</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43.5%</w:t>
            </w:r>
            <w:r w:rsidRPr="00C61E98">
              <w:rPr>
                <w:rFonts w:ascii="Arial Narrow" w:hAnsi="Arial Narrow"/>
                <w:sz w:val="20"/>
                <w:szCs w:val="20"/>
              </w:rPr>
              <w:br/>
              <w:t>[34.0%, 53.0%]</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201/260 </w:t>
            </w:r>
            <w:r w:rsidRPr="00C61E98">
              <w:rPr>
                <w:rFonts w:ascii="Arial Narrow" w:hAnsi="Arial Narrow"/>
                <w:sz w:val="20"/>
                <w:szCs w:val="20"/>
                <w:lang w:eastAsia="zh-CN"/>
              </w:rPr>
              <w:br/>
              <w:t>(77.3%)</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45/133 </w:t>
            </w:r>
            <w:r w:rsidRPr="00C61E98">
              <w:rPr>
                <w:rFonts w:ascii="Arial Narrow" w:hAnsi="Arial Narrow"/>
                <w:sz w:val="20"/>
                <w:szCs w:val="20"/>
                <w:lang w:eastAsia="zh-CN"/>
              </w:rPr>
              <w:br/>
              <w:t>(33.8%)</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848" w:type="pct"/>
            <w:vMerge w:val="restart"/>
            <w:tcBorders>
              <w:top w:val="single" w:sz="4" w:space="0" w:color="auto"/>
              <w:left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SMV+PR vs TVR+PR:</w:t>
            </w: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-16.4% [-31.6%, -1.3%]</w:t>
            </w: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SMV+PR vs BOC+PR:</w:t>
            </w:r>
          </w:p>
          <w:p w:rsidR="00CC62CF" w:rsidRPr="00C61E98" w:rsidRDefault="00CC62CF" w:rsidP="00CC62CF">
            <w:pPr>
              <w:ind w:left="-113" w:right="-113"/>
              <w:jc w:val="center"/>
              <w:rPr>
                <w:rFonts w:ascii="Arial Narrow" w:hAnsi="Arial Narrow"/>
                <w:sz w:val="20"/>
                <w:szCs w:val="20"/>
              </w:rPr>
            </w:pPr>
            <w:r w:rsidRPr="00C61E98">
              <w:rPr>
                <w:rFonts w:ascii="Arial Narrow" w:hAnsi="Arial Narrow"/>
                <w:b/>
                <w:sz w:val="20"/>
                <w:szCs w:val="20"/>
                <w:lang w:eastAsia="zh-CN"/>
              </w:rPr>
              <w:t>4.3% [-13.7%, 22.4%]</w:t>
            </w:r>
          </w:p>
        </w:tc>
      </w:tr>
      <w:tr w:rsidR="00CC62CF" w:rsidRPr="00C61E98" w:rsidTr="00C61E98">
        <w:trPr>
          <w:trHeight w:val="231"/>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r w:rsidRPr="00C61E98">
              <w:rPr>
                <w:rFonts w:ascii="Arial Narrow" w:hAnsi="Arial Narrow"/>
                <w:b/>
                <w:sz w:val="20"/>
                <w:szCs w:val="20"/>
                <w:lang w:eastAsia="zh-CN"/>
              </w:rPr>
              <w:t>TVR12+PR24/48</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p>
        </w:tc>
        <w:tc>
          <w:tcPr>
            <w:tcW w:w="848" w:type="pct"/>
            <w:vMerge/>
            <w:tcBorders>
              <w:left w:val="single" w:sz="4" w:space="0" w:color="auto"/>
              <w:right w:val="single" w:sz="4" w:space="0" w:color="auto"/>
            </w:tcBorders>
            <w:vAlign w:val="center"/>
          </w:tcPr>
          <w:p w:rsidR="00CC62CF" w:rsidRPr="00C61E98" w:rsidRDefault="00CC62CF" w:rsidP="00CC62CF">
            <w:pPr>
              <w:rPr>
                <w:rFonts w:ascii="Arial Narrow" w:hAnsi="Arial Narrow"/>
                <w:sz w:val="20"/>
                <w:szCs w:val="20"/>
              </w:rPr>
            </w:pPr>
          </w:p>
        </w:tc>
      </w:tr>
      <w:tr w:rsidR="00CC62CF" w:rsidRPr="00C61E98" w:rsidTr="00C61E98">
        <w:trPr>
          <w:trHeight w:val="708"/>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REALIZE</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16/68 </w:t>
            </w:r>
            <w:r w:rsidRPr="00C61E98">
              <w:rPr>
                <w:rFonts w:ascii="Arial Narrow" w:hAnsi="Arial Narrow"/>
                <w:sz w:val="20"/>
                <w:szCs w:val="20"/>
                <w:lang w:eastAsia="zh-CN"/>
              </w:rPr>
              <w:br/>
              <w:t>(23.5%)</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121/145 </w:t>
            </w:r>
            <w:r w:rsidRPr="00C61E98">
              <w:rPr>
                <w:rFonts w:ascii="Arial Narrow" w:hAnsi="Arial Narrow"/>
                <w:sz w:val="20"/>
                <w:szCs w:val="20"/>
                <w:lang w:eastAsia="zh-CN"/>
              </w:rPr>
              <w:br/>
              <w:t>(83.4%)</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59.9%</w:t>
            </w:r>
          </w:p>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[48.2%, 71.7%]</w:t>
            </w:r>
          </w:p>
        </w:tc>
        <w:tc>
          <w:tcPr>
            <w:tcW w:w="848" w:type="pct"/>
            <w:vMerge/>
            <w:tcBorders>
              <w:left w:val="single" w:sz="4" w:space="0" w:color="auto"/>
              <w:right w:val="single" w:sz="4" w:space="0" w:color="auto"/>
            </w:tcBorders>
            <w:vAlign w:val="center"/>
            <w:hideMark/>
          </w:tcPr>
          <w:p w:rsidR="00CC62CF" w:rsidRPr="00C61E98" w:rsidRDefault="00CC62CF" w:rsidP="00CC62CF">
            <w:pPr>
              <w:rPr>
                <w:rFonts w:ascii="Arial Narrow" w:hAnsi="Arial Narrow"/>
                <w:sz w:val="20"/>
                <w:szCs w:val="20"/>
              </w:rPr>
            </w:pPr>
          </w:p>
        </w:tc>
      </w:tr>
      <w:tr w:rsidR="00CC62CF" w:rsidRPr="00C61E98" w:rsidTr="00C61E98">
        <w:trPr>
          <w:trHeight w:val="231"/>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r w:rsidRPr="00C61E98">
              <w:rPr>
                <w:rFonts w:ascii="Arial Narrow" w:hAnsi="Arial Narrow"/>
                <w:b/>
                <w:sz w:val="20"/>
                <w:szCs w:val="20"/>
                <w:lang w:eastAsia="zh-CN"/>
              </w:rPr>
              <w:t>BOC32+PR36/48</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p>
        </w:tc>
        <w:tc>
          <w:tcPr>
            <w:tcW w:w="848" w:type="pct"/>
            <w:vMerge/>
            <w:tcBorders>
              <w:left w:val="single" w:sz="4" w:space="0" w:color="auto"/>
              <w:right w:val="single" w:sz="4" w:space="0" w:color="auto"/>
            </w:tcBorders>
            <w:vAlign w:val="bottom"/>
          </w:tcPr>
          <w:p w:rsidR="00CC62CF" w:rsidRPr="00C61E98" w:rsidRDefault="00CC62CF" w:rsidP="00CC62CF">
            <w:pPr>
              <w:rPr>
                <w:rFonts w:ascii="Arial Narrow" w:hAnsi="Arial Narrow"/>
                <w:sz w:val="20"/>
                <w:szCs w:val="20"/>
              </w:rPr>
            </w:pPr>
          </w:p>
        </w:tc>
      </w:tr>
      <w:tr w:rsidR="00CC62CF" w:rsidRPr="00C61E98" w:rsidTr="00C61E98">
        <w:trPr>
          <w:trHeight w:val="893"/>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RESPOND-2</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15/51 </w:t>
            </w:r>
            <w:r w:rsidRPr="00C61E98">
              <w:rPr>
                <w:rFonts w:ascii="Arial Narrow" w:hAnsi="Arial Narrow"/>
                <w:sz w:val="20"/>
                <w:szCs w:val="20"/>
                <w:lang w:eastAsia="zh-CN"/>
              </w:rPr>
              <w:br/>
              <w:t>(29.4%)</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72/105 </w:t>
            </w:r>
            <w:r w:rsidRPr="00C61E98">
              <w:rPr>
                <w:rFonts w:ascii="Arial Narrow" w:hAnsi="Arial Narrow"/>
                <w:sz w:val="20"/>
                <w:szCs w:val="20"/>
                <w:lang w:eastAsia="zh-CN"/>
              </w:rPr>
              <w:br/>
              <w:t>(68.6%)</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39.2%</w:t>
            </w:r>
            <w:r w:rsidRPr="00C61E98">
              <w:rPr>
                <w:rFonts w:ascii="Arial Narrow" w:hAnsi="Arial Narrow"/>
                <w:sz w:val="20"/>
                <w:szCs w:val="20"/>
              </w:rPr>
              <w:br/>
              <w:t>[23.8%, 54.5%]</w:t>
            </w:r>
          </w:p>
        </w:tc>
        <w:tc>
          <w:tcPr>
            <w:tcW w:w="848" w:type="pct"/>
            <w:vMerge/>
            <w:tcBorders>
              <w:left w:val="single" w:sz="4" w:space="0" w:color="auto"/>
              <w:right w:val="single" w:sz="4" w:space="0" w:color="auto"/>
            </w:tcBorders>
            <w:vAlign w:val="bottom"/>
            <w:hideMark/>
          </w:tcPr>
          <w:p w:rsidR="00CC62CF" w:rsidRPr="00C61E98" w:rsidRDefault="00CC62CF" w:rsidP="00CC62CF">
            <w:pPr>
              <w:rPr>
                <w:rFonts w:ascii="Arial Narrow" w:hAnsi="Arial Narrow"/>
                <w:sz w:val="20"/>
                <w:szCs w:val="20"/>
              </w:rPr>
            </w:pPr>
          </w:p>
        </w:tc>
      </w:tr>
      <w:tr w:rsidR="00CC62CF" w:rsidRPr="00C61E98" w:rsidTr="00C61E98">
        <w:trPr>
          <w:trHeight w:val="462"/>
        </w:trPr>
        <w:tc>
          <w:tcPr>
            <w:tcW w:w="499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r w:rsidRPr="00C61E98">
              <w:rPr>
                <w:rFonts w:ascii="Arial Narrow" w:hAnsi="Arial Narrow"/>
                <w:b/>
                <w:color w:val="000000"/>
                <w:sz w:val="20"/>
                <w:szCs w:val="20"/>
              </w:rPr>
              <w:t>Sustained virological response at 24 weeks after the end of treatment – prior partial responders                   (MCID = -12%)</w:t>
            </w:r>
          </w:p>
        </w:tc>
      </w:tr>
      <w:tr w:rsidR="00CC62CF" w:rsidRPr="00C61E98" w:rsidTr="00C61E98">
        <w:trPr>
          <w:trHeight w:val="403"/>
        </w:trPr>
        <w:tc>
          <w:tcPr>
            <w:tcW w:w="521" w:type="pct"/>
            <w:tcBorders>
              <w:top w:val="single" w:sz="4" w:space="0" w:color="auto"/>
              <w:left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ASPIRE</w:t>
            </w:r>
          </w:p>
        </w:tc>
        <w:tc>
          <w:tcPr>
            <w:tcW w:w="611" w:type="pct"/>
            <w:tcBorders>
              <w:top w:val="single" w:sz="4" w:space="0" w:color="auto"/>
              <w:left w:val="single" w:sz="4" w:space="0" w:color="auto"/>
              <w:right w:val="single" w:sz="4" w:space="0" w:color="auto"/>
            </w:tcBorders>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 xml:space="preserve">56.5% </w:t>
            </w:r>
            <w:r w:rsidRPr="00C61E98">
              <w:rPr>
                <w:rFonts w:ascii="Arial Narrow" w:hAnsi="Arial Narrow"/>
                <w:sz w:val="20"/>
                <w:szCs w:val="20"/>
              </w:rPr>
              <w:br/>
              <w:t>[33.9%, 79.1%]</w:t>
            </w:r>
          </w:p>
        </w:tc>
        <w:tc>
          <w:tcPr>
            <w:tcW w:w="757" w:type="pct"/>
            <w:tcBorders>
              <w:top w:val="single" w:sz="4" w:space="0" w:color="auto"/>
              <w:left w:val="single" w:sz="4" w:space="0" w:color="auto"/>
              <w:right w:val="single" w:sz="4" w:space="0" w:color="auto"/>
            </w:tcBorders>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15/23</w:t>
            </w:r>
            <w:r w:rsidRPr="00C61E98">
              <w:rPr>
                <w:rFonts w:ascii="Arial Narrow" w:hAnsi="Arial Narrow"/>
                <w:sz w:val="20"/>
                <w:szCs w:val="20"/>
                <w:lang w:eastAsia="zh-CN"/>
              </w:rPr>
              <w:br/>
              <w:t xml:space="preserve"> (65.2%)</w:t>
            </w:r>
          </w:p>
        </w:tc>
        <w:tc>
          <w:tcPr>
            <w:tcW w:w="455" w:type="pct"/>
            <w:tcBorders>
              <w:top w:val="single" w:sz="4" w:space="0" w:color="auto"/>
              <w:left w:val="single" w:sz="4" w:space="0" w:color="auto"/>
              <w:right w:val="double" w:sz="4" w:space="0" w:color="auto"/>
            </w:tcBorders>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2/23 </w:t>
            </w:r>
            <w:r w:rsidRPr="00C61E98">
              <w:rPr>
                <w:rFonts w:ascii="Arial Narrow" w:hAnsi="Arial Narrow"/>
                <w:sz w:val="20"/>
                <w:szCs w:val="20"/>
                <w:lang w:eastAsia="zh-CN"/>
              </w:rPr>
              <w:br/>
              <w:t>(8.7%)</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848" w:type="pct"/>
            <w:vMerge w:val="restart"/>
            <w:tcBorders>
              <w:top w:val="single" w:sz="4" w:space="0" w:color="auto"/>
              <w:left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SMV+PR vs BOC+PR</w:t>
            </w:r>
          </w:p>
          <w:p w:rsidR="00CC62CF" w:rsidRPr="00C61E98" w:rsidRDefault="00CC62CF" w:rsidP="00CC62CF">
            <w:pPr>
              <w:ind w:left="-57" w:right="-57"/>
              <w:jc w:val="center"/>
              <w:rPr>
                <w:rFonts w:ascii="Arial Narrow" w:hAnsi="Arial Narrow"/>
                <w:b/>
                <w:sz w:val="20"/>
                <w:szCs w:val="20"/>
              </w:rPr>
            </w:pPr>
            <w:r w:rsidRPr="00C61E98">
              <w:rPr>
                <w:rFonts w:ascii="Arial Narrow" w:hAnsi="Arial Narrow"/>
                <w:b/>
                <w:sz w:val="20"/>
                <w:szCs w:val="20"/>
              </w:rPr>
              <w:t>23.1% [-4.5%, 50.6%]</w:t>
            </w:r>
          </w:p>
        </w:tc>
      </w:tr>
      <w:tr w:rsidR="00CC62CF" w:rsidRPr="00C61E98" w:rsidTr="00C61E98">
        <w:trPr>
          <w:trHeight w:val="231"/>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r w:rsidRPr="00C61E98">
              <w:rPr>
                <w:rFonts w:ascii="Arial Narrow" w:hAnsi="Arial Narrow"/>
                <w:b/>
                <w:sz w:val="20"/>
                <w:szCs w:val="20"/>
              </w:rPr>
              <w:t>BOC32+PR36/48</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lang w:eastAsia="zh-CN"/>
              </w:rPr>
            </w:pPr>
          </w:p>
        </w:tc>
        <w:tc>
          <w:tcPr>
            <w:tcW w:w="848" w:type="pct"/>
            <w:vMerge/>
            <w:tcBorders>
              <w:left w:val="single" w:sz="4" w:space="0" w:color="auto"/>
              <w:right w:val="single" w:sz="4" w:space="0" w:color="auto"/>
            </w:tcBorders>
            <w:vAlign w:val="center"/>
          </w:tcPr>
          <w:p w:rsidR="00CC62CF" w:rsidRPr="00C61E98" w:rsidRDefault="00CC62CF" w:rsidP="00CC62CF">
            <w:pPr>
              <w:rPr>
                <w:rFonts w:ascii="Arial Narrow" w:hAnsi="Arial Narrow"/>
                <w:sz w:val="20"/>
                <w:szCs w:val="20"/>
              </w:rPr>
            </w:pPr>
          </w:p>
        </w:tc>
      </w:tr>
      <w:tr w:rsidR="00CC62CF" w:rsidRPr="00C61E98" w:rsidTr="00C61E98">
        <w:trPr>
          <w:trHeight w:val="693"/>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RESPOND-2</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43" w:type="pct"/>
            <w:tcBorders>
              <w:top w:val="single" w:sz="4" w:space="0" w:color="auto"/>
              <w:left w:val="double" w:sz="4" w:space="0" w:color="auto"/>
              <w:bottom w:val="single" w:sz="4" w:space="0" w:color="auto"/>
              <w:right w:val="single" w:sz="4" w:space="0" w:color="auto"/>
            </w:tcBorders>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2/29</w:t>
            </w:r>
            <w:r w:rsidRPr="00C61E98">
              <w:rPr>
                <w:rFonts w:ascii="Arial Narrow" w:hAnsi="Arial Narrow"/>
                <w:sz w:val="20"/>
                <w:szCs w:val="20"/>
                <w:lang w:eastAsia="zh-CN"/>
              </w:rPr>
              <w:br/>
              <w:t xml:space="preserve"> (6.9%) </w:t>
            </w:r>
          </w:p>
        </w:tc>
        <w:tc>
          <w:tcPr>
            <w:tcW w:w="763" w:type="pct"/>
            <w:gridSpan w:val="2"/>
            <w:tcBorders>
              <w:top w:val="single" w:sz="4" w:space="0" w:color="auto"/>
              <w:left w:val="single" w:sz="4" w:space="0" w:color="auto"/>
              <w:bottom w:val="single" w:sz="4" w:space="0" w:color="auto"/>
              <w:right w:val="single" w:sz="4" w:space="0" w:color="auto"/>
            </w:tcBorders>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eastAsia="zh-CN"/>
              </w:rPr>
              <w:t xml:space="preserve">23/57 </w:t>
            </w:r>
            <w:r w:rsidRPr="00C61E98">
              <w:rPr>
                <w:rFonts w:ascii="Arial Narrow" w:hAnsi="Arial Narrow"/>
                <w:sz w:val="20"/>
                <w:szCs w:val="20"/>
                <w:lang w:eastAsia="zh-CN"/>
              </w:rPr>
              <w:br/>
              <w:t>(40.4%)</w:t>
            </w:r>
          </w:p>
        </w:tc>
        <w:tc>
          <w:tcPr>
            <w:tcW w:w="600" w:type="pct"/>
            <w:tcBorders>
              <w:top w:val="single" w:sz="4" w:space="0" w:color="auto"/>
              <w:left w:val="single" w:sz="4" w:space="0" w:color="auto"/>
              <w:bottom w:val="single" w:sz="4" w:space="0" w:color="auto"/>
              <w:right w:val="single" w:sz="4" w:space="0" w:color="auto"/>
            </w:tcBorders>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33.5%</w:t>
            </w:r>
            <w:r w:rsidRPr="00C61E98">
              <w:rPr>
                <w:rFonts w:ascii="Arial Narrow" w:hAnsi="Arial Narrow"/>
                <w:sz w:val="20"/>
                <w:szCs w:val="20"/>
              </w:rPr>
              <w:br/>
              <w:t>[17.7%, 49.2%]</w:t>
            </w:r>
          </w:p>
        </w:tc>
        <w:tc>
          <w:tcPr>
            <w:tcW w:w="848" w:type="pct"/>
            <w:vMerge/>
            <w:tcBorders>
              <w:left w:val="single" w:sz="4" w:space="0" w:color="auto"/>
              <w:right w:val="single" w:sz="4" w:space="0" w:color="auto"/>
            </w:tcBorders>
            <w:vAlign w:val="bottom"/>
            <w:hideMark/>
          </w:tcPr>
          <w:p w:rsidR="00CC62CF" w:rsidRPr="00C61E98" w:rsidRDefault="00CC62CF" w:rsidP="00CC62CF">
            <w:pPr>
              <w:rPr>
                <w:rFonts w:ascii="Arial Narrow" w:hAnsi="Arial Narrow"/>
                <w:sz w:val="20"/>
                <w:szCs w:val="20"/>
              </w:rPr>
            </w:pPr>
          </w:p>
        </w:tc>
      </w:tr>
      <w:tr w:rsidR="00CC62CF" w:rsidRPr="00C61E98" w:rsidTr="00C61E98">
        <w:trPr>
          <w:trHeight w:val="216"/>
        </w:trPr>
        <w:tc>
          <w:tcPr>
            <w:tcW w:w="4999" w:type="pct"/>
            <w:gridSpan w:val="9"/>
            <w:tcBorders>
              <w:top w:val="doub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proofErr w:type="spellStart"/>
            <w:r w:rsidRPr="00C61E98">
              <w:rPr>
                <w:rFonts w:ascii="Arial Narrow" w:hAnsi="Arial Narrow"/>
                <w:b/>
                <w:color w:val="000000"/>
                <w:sz w:val="20"/>
                <w:szCs w:val="20"/>
              </w:rPr>
              <w:t>Harm</w:t>
            </w:r>
            <w:r w:rsidRPr="00C61E98">
              <w:rPr>
                <w:rFonts w:ascii="Arial Narrow" w:hAnsi="Arial Narrow"/>
                <w:b/>
                <w:color w:val="000000"/>
                <w:sz w:val="20"/>
                <w:szCs w:val="20"/>
                <w:vertAlign w:val="superscript"/>
              </w:rPr>
              <w:t>c</w:t>
            </w:r>
            <w:proofErr w:type="spellEnd"/>
            <w:r w:rsidRPr="00C61E98">
              <w:rPr>
                <w:rFonts w:ascii="Arial Narrow" w:hAnsi="Arial Narrow"/>
                <w:b/>
                <w:color w:val="000000"/>
                <w:sz w:val="20"/>
                <w:szCs w:val="20"/>
              </w:rPr>
              <w:t xml:space="preserve"> </w:t>
            </w:r>
          </w:p>
        </w:tc>
      </w:tr>
      <w:tr w:rsidR="00CC62CF" w:rsidRPr="00C61E98" w:rsidTr="00C61E98">
        <w:trPr>
          <w:trHeight w:val="216"/>
        </w:trPr>
        <w:tc>
          <w:tcPr>
            <w:tcW w:w="499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r w:rsidRPr="00C61E98">
              <w:rPr>
                <w:rFonts w:ascii="Arial Narrow" w:hAnsi="Arial Narrow"/>
                <w:b/>
                <w:sz w:val="20"/>
                <w:szCs w:val="20"/>
              </w:rPr>
              <w:t xml:space="preserve">Serious adverse events </w:t>
            </w:r>
            <w:r w:rsidRPr="00C61E98">
              <w:rPr>
                <w:rFonts w:ascii="Arial Narrow" w:hAnsi="Arial Narrow"/>
                <w:b/>
                <w:color w:val="000000"/>
                <w:sz w:val="20"/>
                <w:szCs w:val="20"/>
              </w:rPr>
              <w:t>– all treatment experienced patients</w:t>
            </w:r>
          </w:p>
        </w:tc>
      </w:tr>
      <w:tr w:rsidR="00CC62CF" w:rsidRPr="00C61E98" w:rsidTr="00C61E98">
        <w:trPr>
          <w:trHeight w:val="462"/>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PROMISE</w:t>
            </w:r>
          </w:p>
        </w:tc>
        <w:tc>
          <w:tcPr>
            <w:tcW w:w="611"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 xml:space="preserve">-2.9% </w:t>
            </w:r>
            <w:r w:rsidRPr="00C61E98">
              <w:rPr>
                <w:rFonts w:ascii="Arial Narrow" w:hAnsi="Arial Narrow"/>
                <w:sz w:val="20"/>
                <w:szCs w:val="20"/>
              </w:rPr>
              <w:br/>
              <w:t>[-8.3%, 2.5%]</w:t>
            </w:r>
          </w:p>
        </w:tc>
        <w:tc>
          <w:tcPr>
            <w:tcW w:w="757"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14/260 </w:t>
            </w:r>
            <w:r w:rsidRPr="00C61E98">
              <w:rPr>
                <w:rFonts w:ascii="Arial Narrow" w:hAnsi="Arial Narrow"/>
                <w:sz w:val="20"/>
                <w:szCs w:val="20"/>
                <w:lang w:val="nb-NO"/>
              </w:rPr>
              <w:br/>
              <w:t>(5.4%)</w:t>
            </w:r>
          </w:p>
        </w:tc>
        <w:tc>
          <w:tcPr>
            <w:tcW w:w="455" w:type="pct"/>
            <w:tcBorders>
              <w:top w:val="single" w:sz="4" w:space="0" w:color="auto"/>
              <w:left w:val="single" w:sz="4" w:space="0" w:color="auto"/>
              <w:bottom w:val="single" w:sz="4" w:space="0" w:color="auto"/>
              <w:right w:val="doub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11/133 </w:t>
            </w:r>
            <w:r w:rsidRPr="00C61E98">
              <w:rPr>
                <w:rFonts w:ascii="Arial Narrow" w:hAnsi="Arial Narrow"/>
                <w:sz w:val="20"/>
                <w:szCs w:val="20"/>
                <w:lang w:val="nb-NO"/>
              </w:rPr>
              <w:br/>
              <w:t>(8.3%)</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848" w:type="pct"/>
            <w:vMerge w:val="restart"/>
            <w:tcBorders>
              <w:top w:val="single" w:sz="4" w:space="0" w:color="auto"/>
              <w:left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113" w:right="-57"/>
              <w:jc w:val="center"/>
              <w:rPr>
                <w:rFonts w:ascii="Arial Narrow" w:hAnsi="Arial Narrow"/>
                <w:b/>
                <w:sz w:val="20"/>
                <w:szCs w:val="20"/>
              </w:rPr>
            </w:pPr>
          </w:p>
          <w:p w:rsidR="00CC62CF" w:rsidRPr="00C61E98" w:rsidRDefault="00CC62CF" w:rsidP="00CC62CF">
            <w:pPr>
              <w:ind w:left="-113" w:right="-57"/>
              <w:jc w:val="center"/>
              <w:rPr>
                <w:rFonts w:ascii="Arial Narrow" w:hAnsi="Arial Narrow"/>
                <w:b/>
                <w:sz w:val="20"/>
                <w:szCs w:val="20"/>
              </w:rPr>
            </w:pPr>
          </w:p>
          <w:p w:rsidR="00CC62CF" w:rsidRPr="00C61E98" w:rsidRDefault="00CC62CF" w:rsidP="00CC62CF">
            <w:pPr>
              <w:ind w:left="-113" w:right="-57"/>
              <w:jc w:val="center"/>
              <w:rPr>
                <w:rFonts w:ascii="Arial Narrow" w:hAnsi="Arial Narrow"/>
                <w:b/>
                <w:sz w:val="20"/>
                <w:szCs w:val="20"/>
              </w:rPr>
            </w:pPr>
            <w:r w:rsidRPr="00C61E98">
              <w:rPr>
                <w:rFonts w:ascii="Arial Narrow" w:hAnsi="Arial Narrow"/>
                <w:b/>
                <w:sz w:val="20"/>
                <w:szCs w:val="20"/>
              </w:rPr>
              <w:t>SMV+PR vs BOC+PR:</w:t>
            </w:r>
          </w:p>
          <w:p w:rsidR="00CC62CF" w:rsidRPr="00C61E98" w:rsidRDefault="00CC62CF" w:rsidP="00CC62CF">
            <w:pPr>
              <w:ind w:left="-113" w:right="-57"/>
              <w:jc w:val="center"/>
              <w:rPr>
                <w:rFonts w:ascii="Arial Narrow" w:hAnsi="Arial Narrow"/>
                <w:b/>
                <w:sz w:val="20"/>
                <w:szCs w:val="20"/>
              </w:rPr>
            </w:pPr>
            <w:r w:rsidRPr="00C61E98">
              <w:rPr>
                <w:rFonts w:ascii="Arial Narrow" w:hAnsi="Arial Narrow"/>
                <w:b/>
                <w:sz w:val="20"/>
                <w:szCs w:val="20"/>
              </w:rPr>
              <w:t>-10.0% [-18.0%, -1.9%]</w:t>
            </w:r>
          </w:p>
        </w:tc>
      </w:tr>
      <w:tr w:rsidR="00CC62CF" w:rsidRPr="00C61E98" w:rsidTr="00C61E98">
        <w:trPr>
          <w:trHeight w:val="231"/>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p>
        </w:tc>
        <w:tc>
          <w:tcPr>
            <w:tcW w:w="443" w:type="pct"/>
            <w:tcBorders>
              <w:top w:val="single" w:sz="4" w:space="0" w:color="auto"/>
              <w:left w:val="doub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p>
        </w:tc>
        <w:tc>
          <w:tcPr>
            <w:tcW w:w="763" w:type="pct"/>
            <w:gridSpan w:val="2"/>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r w:rsidRPr="00C61E98">
              <w:rPr>
                <w:rFonts w:ascii="Arial Narrow" w:hAnsi="Arial Narrow"/>
                <w:b/>
                <w:sz w:val="20"/>
                <w:szCs w:val="20"/>
              </w:rPr>
              <w:t>BOC32+PR36/48</w:t>
            </w:r>
          </w:p>
        </w:tc>
        <w:tc>
          <w:tcPr>
            <w:tcW w:w="600"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p>
        </w:tc>
        <w:tc>
          <w:tcPr>
            <w:tcW w:w="848" w:type="pct"/>
            <w:vMerge/>
            <w:tcBorders>
              <w:left w:val="single" w:sz="4" w:space="0" w:color="auto"/>
              <w:right w:val="single" w:sz="4" w:space="0" w:color="auto"/>
            </w:tcBorders>
            <w:vAlign w:val="center"/>
          </w:tcPr>
          <w:p w:rsidR="00CC62CF" w:rsidRPr="00C61E98" w:rsidRDefault="00CC62CF" w:rsidP="00CC62CF">
            <w:pPr>
              <w:ind w:right="-57"/>
              <w:rPr>
                <w:rFonts w:ascii="Arial Narrow" w:hAnsi="Arial Narrow"/>
                <w:sz w:val="20"/>
                <w:szCs w:val="20"/>
              </w:rPr>
            </w:pPr>
          </w:p>
        </w:tc>
      </w:tr>
      <w:tr w:rsidR="00CC62CF" w:rsidRPr="00C61E98" w:rsidTr="00C61E98">
        <w:trPr>
          <w:trHeight w:val="924"/>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RESPOND-2</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43" w:type="pct"/>
            <w:tcBorders>
              <w:top w:val="single" w:sz="4" w:space="0" w:color="auto"/>
              <w:left w:val="doub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4/80</w:t>
            </w:r>
            <w:r w:rsidRPr="00C61E98">
              <w:rPr>
                <w:rFonts w:ascii="Arial Narrow" w:hAnsi="Arial Narrow"/>
                <w:sz w:val="20"/>
                <w:szCs w:val="20"/>
                <w:lang w:val="nb-NO"/>
              </w:rPr>
              <w:br/>
              <w:t xml:space="preserve"> (5.0%)</w:t>
            </w:r>
          </w:p>
        </w:tc>
        <w:tc>
          <w:tcPr>
            <w:tcW w:w="763" w:type="pct"/>
            <w:gridSpan w:val="2"/>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39/323 </w:t>
            </w:r>
            <w:r w:rsidRPr="00C61E98">
              <w:rPr>
                <w:rFonts w:ascii="Arial Narrow" w:hAnsi="Arial Narrow"/>
                <w:sz w:val="20"/>
                <w:szCs w:val="20"/>
                <w:lang w:val="nb-NO"/>
              </w:rPr>
              <w:br/>
              <w:t>(12.1%)</w:t>
            </w:r>
          </w:p>
        </w:tc>
        <w:tc>
          <w:tcPr>
            <w:tcW w:w="600"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 xml:space="preserve">7.1% </w:t>
            </w:r>
            <w:r w:rsidRPr="00C61E98">
              <w:rPr>
                <w:rFonts w:ascii="Arial Narrow" w:hAnsi="Arial Narrow"/>
                <w:sz w:val="20"/>
                <w:szCs w:val="20"/>
              </w:rPr>
              <w:br/>
              <w:t>[1.1, 13.0%]</w:t>
            </w:r>
          </w:p>
        </w:tc>
        <w:tc>
          <w:tcPr>
            <w:tcW w:w="848" w:type="pct"/>
            <w:vMerge/>
            <w:tcBorders>
              <w:left w:val="single" w:sz="4" w:space="0" w:color="auto"/>
              <w:right w:val="single" w:sz="4" w:space="0" w:color="auto"/>
            </w:tcBorders>
            <w:vAlign w:val="center"/>
            <w:hideMark/>
          </w:tcPr>
          <w:p w:rsidR="00CC62CF" w:rsidRPr="00C61E98" w:rsidRDefault="00CC62CF" w:rsidP="00CC62CF">
            <w:pPr>
              <w:ind w:right="-57"/>
              <w:rPr>
                <w:rFonts w:ascii="Arial Narrow" w:hAnsi="Arial Narrow"/>
                <w:sz w:val="20"/>
                <w:szCs w:val="20"/>
              </w:rPr>
            </w:pPr>
          </w:p>
        </w:tc>
      </w:tr>
      <w:tr w:rsidR="00CC62CF" w:rsidRPr="00C61E98" w:rsidTr="00C61E98">
        <w:trPr>
          <w:trHeight w:val="216"/>
        </w:trPr>
        <w:tc>
          <w:tcPr>
            <w:tcW w:w="499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r w:rsidRPr="00C61E98">
              <w:rPr>
                <w:rFonts w:ascii="Arial Narrow" w:hAnsi="Arial Narrow"/>
                <w:b/>
                <w:color w:val="000000"/>
                <w:sz w:val="20"/>
                <w:szCs w:val="20"/>
              </w:rPr>
              <w:t>Adverse events leading to treatment discontinuation – all treatment experienced patients</w:t>
            </w:r>
          </w:p>
        </w:tc>
      </w:tr>
      <w:tr w:rsidR="00CC62CF" w:rsidRPr="00C61E98" w:rsidTr="00C61E98">
        <w:trPr>
          <w:trHeight w:val="462"/>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PROMISE</w:t>
            </w:r>
          </w:p>
        </w:tc>
        <w:tc>
          <w:tcPr>
            <w:tcW w:w="611"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 xml:space="preserve">-3.0% </w:t>
            </w:r>
            <w:r w:rsidRPr="00C61E98">
              <w:rPr>
                <w:rFonts w:ascii="Arial Narrow" w:hAnsi="Arial Narrow"/>
                <w:sz w:val="20"/>
                <w:szCs w:val="20"/>
              </w:rPr>
              <w:br/>
              <w:t>[-7.2%, 1.3%]</w:t>
            </w:r>
          </w:p>
        </w:tc>
        <w:tc>
          <w:tcPr>
            <w:tcW w:w="757"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6/260 </w:t>
            </w:r>
            <w:r w:rsidRPr="00C61E98">
              <w:rPr>
                <w:rFonts w:ascii="Arial Narrow" w:hAnsi="Arial Narrow"/>
                <w:sz w:val="20"/>
                <w:szCs w:val="20"/>
                <w:lang w:val="nb-NO"/>
              </w:rPr>
              <w:br/>
              <w:t>(2.3%)</w:t>
            </w:r>
          </w:p>
        </w:tc>
        <w:tc>
          <w:tcPr>
            <w:tcW w:w="455" w:type="pct"/>
            <w:tcBorders>
              <w:top w:val="single" w:sz="4" w:space="0" w:color="auto"/>
              <w:left w:val="single" w:sz="4" w:space="0" w:color="auto"/>
              <w:bottom w:val="single" w:sz="4" w:space="0" w:color="auto"/>
              <w:right w:val="doub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7/133 </w:t>
            </w:r>
            <w:r w:rsidRPr="00C61E98">
              <w:rPr>
                <w:rFonts w:ascii="Arial Narrow" w:hAnsi="Arial Narrow"/>
                <w:sz w:val="20"/>
                <w:szCs w:val="20"/>
                <w:lang w:val="nb-NO"/>
              </w:rPr>
              <w:br/>
              <w:t>(5.3%)</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848" w:type="pct"/>
            <w:vMerge w:val="restart"/>
            <w:tcBorders>
              <w:top w:val="single" w:sz="4" w:space="0" w:color="auto"/>
              <w:left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113" w:right="-57"/>
              <w:jc w:val="center"/>
              <w:rPr>
                <w:rFonts w:ascii="Arial Narrow" w:hAnsi="Arial Narrow"/>
                <w:b/>
                <w:sz w:val="20"/>
                <w:szCs w:val="20"/>
              </w:rPr>
            </w:pPr>
            <w:r w:rsidRPr="00C61E98">
              <w:rPr>
                <w:rFonts w:ascii="Arial Narrow" w:hAnsi="Arial Narrow"/>
                <w:b/>
                <w:sz w:val="20"/>
                <w:szCs w:val="20"/>
              </w:rPr>
              <w:t>SMV+PR vs BOC+PR:</w:t>
            </w:r>
          </w:p>
          <w:p w:rsidR="00CC62CF" w:rsidRPr="00C61E98" w:rsidRDefault="00CC62CF" w:rsidP="00CC62CF">
            <w:pPr>
              <w:ind w:left="-113" w:right="-57"/>
              <w:jc w:val="center"/>
              <w:rPr>
                <w:rFonts w:ascii="Arial Narrow" w:hAnsi="Arial Narrow"/>
                <w:b/>
                <w:sz w:val="20"/>
                <w:szCs w:val="20"/>
              </w:rPr>
            </w:pPr>
            <w:r w:rsidRPr="00C61E98">
              <w:rPr>
                <w:rFonts w:ascii="Arial Narrow" w:hAnsi="Arial Narrow"/>
                <w:b/>
                <w:sz w:val="20"/>
                <w:szCs w:val="20"/>
              </w:rPr>
              <w:t>-10.7% [-17.0%, -4.3%]</w:t>
            </w:r>
          </w:p>
        </w:tc>
      </w:tr>
      <w:tr w:rsidR="00CC62CF" w:rsidRPr="00C61E98" w:rsidTr="00C61E98">
        <w:trPr>
          <w:trHeight w:val="216"/>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p>
        </w:tc>
        <w:tc>
          <w:tcPr>
            <w:tcW w:w="443" w:type="pct"/>
            <w:tcBorders>
              <w:top w:val="single" w:sz="4" w:space="0" w:color="auto"/>
              <w:left w:val="doub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p>
        </w:tc>
        <w:tc>
          <w:tcPr>
            <w:tcW w:w="763" w:type="pct"/>
            <w:gridSpan w:val="2"/>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r w:rsidRPr="00C61E98">
              <w:rPr>
                <w:rFonts w:ascii="Arial Narrow" w:hAnsi="Arial Narrow"/>
                <w:b/>
                <w:sz w:val="20"/>
                <w:szCs w:val="20"/>
              </w:rPr>
              <w:t>BOC32+PR36/48</w:t>
            </w:r>
          </w:p>
        </w:tc>
        <w:tc>
          <w:tcPr>
            <w:tcW w:w="600"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p>
        </w:tc>
        <w:tc>
          <w:tcPr>
            <w:tcW w:w="848" w:type="pct"/>
            <w:vMerge/>
            <w:tcBorders>
              <w:left w:val="single" w:sz="4" w:space="0" w:color="auto"/>
              <w:right w:val="single" w:sz="4" w:space="0" w:color="auto"/>
            </w:tcBorders>
            <w:vAlign w:val="center"/>
          </w:tcPr>
          <w:p w:rsidR="00CC62CF" w:rsidRPr="00C61E98" w:rsidRDefault="00CC62CF" w:rsidP="00CC62CF">
            <w:pPr>
              <w:ind w:right="-57"/>
              <w:rPr>
                <w:rFonts w:ascii="Arial Narrow" w:hAnsi="Arial Narrow"/>
                <w:sz w:val="20"/>
                <w:szCs w:val="20"/>
              </w:rPr>
            </w:pPr>
          </w:p>
        </w:tc>
      </w:tr>
      <w:tr w:rsidR="00CC62CF" w:rsidRPr="00C61E98" w:rsidTr="00C61E98">
        <w:trPr>
          <w:trHeight w:val="723"/>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RESPOND-2</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43" w:type="pct"/>
            <w:tcBorders>
              <w:top w:val="single" w:sz="4" w:space="0" w:color="auto"/>
              <w:left w:val="doub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2/80</w:t>
            </w:r>
            <w:r w:rsidRPr="00C61E98">
              <w:rPr>
                <w:rFonts w:ascii="Arial Narrow" w:hAnsi="Arial Narrow"/>
                <w:sz w:val="20"/>
                <w:szCs w:val="20"/>
                <w:lang w:val="nb-NO"/>
              </w:rPr>
              <w:br/>
              <w:t xml:space="preserve"> (2.5%)</w:t>
            </w:r>
          </w:p>
        </w:tc>
        <w:tc>
          <w:tcPr>
            <w:tcW w:w="763" w:type="pct"/>
            <w:gridSpan w:val="2"/>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33/323 </w:t>
            </w:r>
            <w:r w:rsidRPr="00C61E98">
              <w:rPr>
                <w:rFonts w:ascii="Arial Narrow" w:hAnsi="Arial Narrow"/>
                <w:sz w:val="20"/>
                <w:szCs w:val="20"/>
                <w:lang w:val="nb-NO"/>
              </w:rPr>
              <w:br/>
              <w:t>(10.2%)</w:t>
            </w:r>
          </w:p>
        </w:tc>
        <w:tc>
          <w:tcPr>
            <w:tcW w:w="600"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7.7%</w:t>
            </w:r>
          </w:p>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[3.0%, 12.5%]</w:t>
            </w:r>
          </w:p>
        </w:tc>
        <w:tc>
          <w:tcPr>
            <w:tcW w:w="848" w:type="pct"/>
            <w:vMerge/>
            <w:tcBorders>
              <w:left w:val="single" w:sz="4" w:space="0" w:color="auto"/>
              <w:right w:val="single" w:sz="4" w:space="0" w:color="auto"/>
            </w:tcBorders>
            <w:vAlign w:val="center"/>
            <w:hideMark/>
          </w:tcPr>
          <w:p w:rsidR="00CC62CF" w:rsidRPr="00C61E98" w:rsidRDefault="00CC62CF" w:rsidP="00CC62CF">
            <w:pPr>
              <w:ind w:right="-57"/>
              <w:rPr>
                <w:rFonts w:ascii="Arial Narrow" w:hAnsi="Arial Narrow"/>
                <w:sz w:val="20"/>
                <w:szCs w:val="20"/>
              </w:rPr>
            </w:pPr>
          </w:p>
        </w:tc>
      </w:tr>
      <w:tr w:rsidR="00CC62CF" w:rsidRPr="00C61E98" w:rsidTr="00C61E98">
        <w:trPr>
          <w:trHeight w:val="148"/>
        </w:trPr>
        <w:tc>
          <w:tcPr>
            <w:tcW w:w="499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ight="-57"/>
              <w:rPr>
                <w:rFonts w:ascii="Arial Narrow" w:hAnsi="Arial Narrow"/>
                <w:b/>
                <w:sz w:val="20"/>
                <w:szCs w:val="20"/>
              </w:rPr>
            </w:pPr>
            <w:r w:rsidRPr="00C61E98">
              <w:rPr>
                <w:rFonts w:ascii="Arial Narrow" w:hAnsi="Arial Narrow"/>
                <w:b/>
                <w:color w:val="000000"/>
                <w:sz w:val="20"/>
                <w:szCs w:val="20"/>
              </w:rPr>
              <w:t>Anaemia – all treatment experienced patients</w:t>
            </w:r>
          </w:p>
        </w:tc>
      </w:tr>
      <w:tr w:rsidR="00CC62CF" w:rsidRPr="00C61E98" w:rsidTr="00C61E98">
        <w:trPr>
          <w:trHeight w:val="148"/>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PROMISE</w:t>
            </w:r>
          </w:p>
        </w:tc>
        <w:tc>
          <w:tcPr>
            <w:tcW w:w="611"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 xml:space="preserve">-2.7% </w:t>
            </w:r>
            <w:r w:rsidRPr="00C61E98">
              <w:rPr>
                <w:rFonts w:ascii="Arial Narrow" w:hAnsi="Arial Narrow"/>
                <w:sz w:val="20"/>
                <w:szCs w:val="20"/>
              </w:rPr>
              <w:br/>
              <w:t>[-10.5%, 5.2%]</w:t>
            </w:r>
          </w:p>
        </w:tc>
        <w:tc>
          <w:tcPr>
            <w:tcW w:w="757"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40/260 </w:t>
            </w:r>
            <w:r w:rsidRPr="00C61E98">
              <w:rPr>
                <w:rFonts w:ascii="Arial Narrow" w:hAnsi="Arial Narrow"/>
                <w:sz w:val="20"/>
                <w:szCs w:val="20"/>
                <w:lang w:val="nb-NO"/>
              </w:rPr>
              <w:br/>
              <w:t>(15.4%)</w:t>
            </w:r>
          </w:p>
        </w:tc>
        <w:tc>
          <w:tcPr>
            <w:tcW w:w="455" w:type="pct"/>
            <w:tcBorders>
              <w:top w:val="single" w:sz="4" w:space="0" w:color="auto"/>
              <w:left w:val="single" w:sz="4" w:space="0" w:color="auto"/>
              <w:bottom w:val="single" w:sz="4" w:space="0" w:color="auto"/>
              <w:right w:val="doub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24/133 </w:t>
            </w:r>
            <w:r w:rsidRPr="00C61E98">
              <w:rPr>
                <w:rFonts w:ascii="Arial Narrow" w:hAnsi="Arial Narrow"/>
                <w:sz w:val="20"/>
                <w:szCs w:val="20"/>
                <w:lang w:val="nb-NO"/>
              </w:rPr>
              <w:br/>
              <w:t>(18.0%)</w:t>
            </w:r>
          </w:p>
        </w:tc>
        <w:tc>
          <w:tcPr>
            <w:tcW w:w="443" w:type="pct"/>
            <w:tcBorders>
              <w:top w:val="single" w:sz="4" w:space="0" w:color="auto"/>
              <w:left w:val="doub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763" w:type="pct"/>
            <w:gridSpan w:val="2"/>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600"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rPr>
              <w:t>–</w:t>
            </w:r>
          </w:p>
        </w:tc>
        <w:tc>
          <w:tcPr>
            <w:tcW w:w="848" w:type="pct"/>
            <w:vMerge w:val="restart"/>
            <w:tcBorders>
              <w:top w:val="single" w:sz="4" w:space="0" w:color="auto"/>
              <w:left w:val="single" w:sz="4" w:space="0" w:color="auto"/>
              <w:right w:val="single" w:sz="4" w:space="0" w:color="auto"/>
            </w:tcBorders>
            <w:vAlign w:val="center"/>
            <w:hideMark/>
          </w:tcPr>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57" w:right="-57"/>
              <w:jc w:val="center"/>
              <w:rPr>
                <w:rFonts w:ascii="Arial Narrow" w:hAnsi="Arial Narrow"/>
                <w:b/>
                <w:sz w:val="20"/>
                <w:szCs w:val="20"/>
              </w:rPr>
            </w:pPr>
          </w:p>
          <w:p w:rsidR="00CC62CF" w:rsidRPr="00C61E98" w:rsidRDefault="00CC62CF" w:rsidP="00CC62CF">
            <w:pPr>
              <w:ind w:left="-113" w:right="-57"/>
              <w:jc w:val="center"/>
              <w:rPr>
                <w:rFonts w:ascii="Arial Narrow" w:hAnsi="Arial Narrow"/>
                <w:b/>
                <w:sz w:val="20"/>
                <w:szCs w:val="20"/>
              </w:rPr>
            </w:pPr>
            <w:r w:rsidRPr="00C61E98">
              <w:rPr>
                <w:rFonts w:ascii="Arial Narrow" w:hAnsi="Arial Narrow"/>
                <w:b/>
                <w:sz w:val="20"/>
                <w:szCs w:val="20"/>
              </w:rPr>
              <w:t>SMV+PR vs BOC+PR:</w:t>
            </w:r>
          </w:p>
          <w:p w:rsidR="00CC62CF" w:rsidRPr="00C61E98" w:rsidRDefault="00CC62CF" w:rsidP="00CC62CF">
            <w:pPr>
              <w:ind w:left="-113" w:right="-113"/>
              <w:jc w:val="center"/>
              <w:rPr>
                <w:rFonts w:ascii="Arial Narrow" w:hAnsi="Arial Narrow"/>
                <w:b/>
                <w:sz w:val="20"/>
                <w:szCs w:val="20"/>
              </w:rPr>
            </w:pPr>
            <w:r w:rsidRPr="00C61E98">
              <w:rPr>
                <w:rFonts w:ascii="Arial Narrow" w:hAnsi="Arial Narrow"/>
                <w:b/>
                <w:sz w:val="20"/>
                <w:szCs w:val="20"/>
              </w:rPr>
              <w:t>-27.2% [-40.2%, -14.3%]</w:t>
            </w:r>
          </w:p>
        </w:tc>
      </w:tr>
      <w:tr w:rsidR="00CC62CF" w:rsidRPr="00C61E98" w:rsidTr="00C61E98">
        <w:trPr>
          <w:trHeight w:val="148"/>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p>
        </w:tc>
        <w:tc>
          <w:tcPr>
            <w:tcW w:w="443" w:type="pct"/>
            <w:tcBorders>
              <w:top w:val="single" w:sz="4" w:space="0" w:color="auto"/>
              <w:left w:val="doub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p>
        </w:tc>
        <w:tc>
          <w:tcPr>
            <w:tcW w:w="763" w:type="pct"/>
            <w:gridSpan w:val="2"/>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r w:rsidRPr="00C61E98">
              <w:rPr>
                <w:rFonts w:ascii="Arial Narrow" w:hAnsi="Arial Narrow"/>
                <w:b/>
                <w:sz w:val="20"/>
                <w:szCs w:val="20"/>
              </w:rPr>
              <w:t>BOC32+PR36/48</w:t>
            </w:r>
          </w:p>
        </w:tc>
        <w:tc>
          <w:tcPr>
            <w:tcW w:w="600"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lang w:val="nb-NO"/>
              </w:rPr>
            </w:pPr>
          </w:p>
        </w:tc>
        <w:tc>
          <w:tcPr>
            <w:tcW w:w="848" w:type="pct"/>
            <w:vMerge/>
            <w:tcBorders>
              <w:left w:val="single" w:sz="4" w:space="0" w:color="auto"/>
              <w:right w:val="single" w:sz="4" w:space="0" w:color="auto"/>
            </w:tcBorders>
            <w:vAlign w:val="center"/>
          </w:tcPr>
          <w:p w:rsidR="00CC62CF" w:rsidRPr="00C61E98" w:rsidRDefault="00CC62CF" w:rsidP="00CC62CF">
            <w:pPr>
              <w:rPr>
                <w:rFonts w:ascii="Arial Narrow" w:hAnsi="Arial Narrow"/>
                <w:sz w:val="20"/>
                <w:szCs w:val="20"/>
              </w:rPr>
            </w:pPr>
          </w:p>
        </w:tc>
      </w:tr>
      <w:tr w:rsidR="00CC62CF" w:rsidRPr="00C61E98" w:rsidTr="00C61E98">
        <w:trPr>
          <w:trHeight w:val="148"/>
        </w:trPr>
        <w:tc>
          <w:tcPr>
            <w:tcW w:w="521"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rsidR="00CC62CF" w:rsidRPr="00C61E98" w:rsidRDefault="00CC62CF" w:rsidP="00CC62CF">
            <w:pPr>
              <w:ind w:left="-57"/>
              <w:rPr>
                <w:rFonts w:ascii="Arial Narrow" w:hAnsi="Arial Narrow"/>
                <w:sz w:val="20"/>
                <w:szCs w:val="20"/>
              </w:rPr>
            </w:pPr>
            <w:r w:rsidRPr="00C61E98">
              <w:rPr>
                <w:rFonts w:ascii="Arial Narrow" w:hAnsi="Arial Narrow"/>
                <w:sz w:val="20"/>
                <w:szCs w:val="20"/>
              </w:rPr>
              <w:t>RESPOND-2</w:t>
            </w:r>
          </w:p>
        </w:tc>
        <w:tc>
          <w:tcPr>
            <w:tcW w:w="611"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757" w:type="pct"/>
            <w:tcBorders>
              <w:top w:val="single" w:sz="4" w:space="0" w:color="auto"/>
              <w:left w:val="single" w:sz="4" w:space="0" w:color="auto"/>
              <w:bottom w:val="single" w:sz="4" w:space="0" w:color="auto"/>
              <w:right w:val="sing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55" w:type="pct"/>
            <w:tcBorders>
              <w:top w:val="single" w:sz="4" w:space="0" w:color="auto"/>
              <w:left w:val="single" w:sz="4" w:space="0" w:color="auto"/>
              <w:bottom w:val="single" w:sz="4" w:space="0" w:color="auto"/>
              <w:right w:val="double" w:sz="4" w:space="0" w:color="auto"/>
            </w:tcBorders>
            <w:vAlign w:val="center"/>
          </w:tcPr>
          <w:p w:rsidR="00CC62CF" w:rsidRPr="00C61E98" w:rsidRDefault="00CC62CF" w:rsidP="00CC62CF">
            <w:pPr>
              <w:jc w:val="center"/>
              <w:rPr>
                <w:rFonts w:ascii="Arial Narrow" w:hAnsi="Arial Narrow"/>
                <w:sz w:val="20"/>
                <w:szCs w:val="20"/>
              </w:rPr>
            </w:pPr>
            <w:r w:rsidRPr="00C61E98">
              <w:rPr>
                <w:rFonts w:ascii="Arial Narrow" w:hAnsi="Arial Narrow"/>
                <w:sz w:val="20"/>
                <w:szCs w:val="20"/>
              </w:rPr>
              <w:t>–</w:t>
            </w:r>
          </w:p>
        </w:tc>
        <w:tc>
          <w:tcPr>
            <w:tcW w:w="443" w:type="pct"/>
            <w:tcBorders>
              <w:top w:val="single" w:sz="4" w:space="0" w:color="auto"/>
              <w:left w:val="doub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16/80 </w:t>
            </w:r>
            <w:r w:rsidRPr="00C61E98">
              <w:rPr>
                <w:rFonts w:ascii="Arial Narrow" w:hAnsi="Arial Narrow"/>
                <w:sz w:val="20"/>
                <w:szCs w:val="20"/>
                <w:lang w:val="nb-NO"/>
              </w:rPr>
              <w:br/>
              <w:t>(20.0%)</w:t>
            </w:r>
          </w:p>
        </w:tc>
        <w:tc>
          <w:tcPr>
            <w:tcW w:w="763" w:type="pct"/>
            <w:gridSpan w:val="2"/>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57" w:right="-57"/>
              <w:jc w:val="center"/>
              <w:rPr>
                <w:rFonts w:ascii="Arial Narrow" w:hAnsi="Arial Narrow"/>
                <w:sz w:val="20"/>
                <w:szCs w:val="20"/>
              </w:rPr>
            </w:pPr>
            <w:r w:rsidRPr="00C61E98">
              <w:rPr>
                <w:rFonts w:ascii="Arial Narrow" w:hAnsi="Arial Narrow"/>
                <w:sz w:val="20"/>
                <w:szCs w:val="20"/>
                <w:lang w:val="nb-NO"/>
              </w:rPr>
              <w:t xml:space="preserve">144/323 </w:t>
            </w:r>
            <w:r w:rsidRPr="00C61E98">
              <w:rPr>
                <w:rFonts w:ascii="Arial Narrow" w:hAnsi="Arial Narrow"/>
                <w:sz w:val="20"/>
                <w:szCs w:val="20"/>
                <w:lang w:val="nb-NO"/>
              </w:rPr>
              <w:br/>
              <w:t>(44.6%)</w:t>
            </w:r>
          </w:p>
        </w:tc>
        <w:tc>
          <w:tcPr>
            <w:tcW w:w="600" w:type="pct"/>
            <w:tcBorders>
              <w:top w:val="single" w:sz="4" w:space="0" w:color="auto"/>
              <w:left w:val="single" w:sz="4" w:space="0" w:color="auto"/>
              <w:bottom w:val="single" w:sz="4" w:space="0" w:color="auto"/>
              <w:right w:val="single" w:sz="4" w:space="0" w:color="auto"/>
            </w:tcBorders>
            <w:vAlign w:val="bottom"/>
          </w:tcPr>
          <w:p w:rsidR="00CC62CF" w:rsidRPr="00C61E98" w:rsidRDefault="00CC62CF" w:rsidP="00CC62CF">
            <w:pPr>
              <w:ind w:left="-113" w:right="-113"/>
              <w:jc w:val="center"/>
              <w:rPr>
                <w:rFonts w:ascii="Arial Narrow" w:hAnsi="Arial Narrow"/>
                <w:sz w:val="20"/>
                <w:szCs w:val="20"/>
              </w:rPr>
            </w:pPr>
            <w:r w:rsidRPr="00C61E98">
              <w:rPr>
                <w:rFonts w:ascii="Arial Narrow" w:hAnsi="Arial Narrow"/>
                <w:sz w:val="20"/>
                <w:szCs w:val="20"/>
              </w:rPr>
              <w:t>24.6%</w:t>
            </w:r>
            <w:r w:rsidRPr="00C61E98">
              <w:rPr>
                <w:rFonts w:ascii="Arial Narrow" w:hAnsi="Arial Narrow"/>
                <w:sz w:val="20"/>
                <w:szCs w:val="20"/>
              </w:rPr>
              <w:br/>
              <w:t xml:space="preserve">[14.3%, </w:t>
            </w:r>
            <w:r w:rsidRPr="00C61E98">
              <w:rPr>
                <w:rFonts w:ascii="Arial Narrow" w:hAnsi="Arial Narrow"/>
                <w:sz w:val="20"/>
                <w:szCs w:val="20"/>
              </w:rPr>
              <w:lastRenderedPageBreak/>
              <w:t>34.9%]</w:t>
            </w:r>
          </w:p>
        </w:tc>
        <w:tc>
          <w:tcPr>
            <w:tcW w:w="848" w:type="pct"/>
            <w:vMerge/>
            <w:tcBorders>
              <w:left w:val="single" w:sz="4" w:space="0" w:color="auto"/>
              <w:right w:val="single" w:sz="4" w:space="0" w:color="auto"/>
            </w:tcBorders>
            <w:vAlign w:val="center"/>
            <w:hideMark/>
          </w:tcPr>
          <w:p w:rsidR="00CC62CF" w:rsidRPr="00C61E98" w:rsidRDefault="00CC62CF" w:rsidP="00CC62CF">
            <w:pPr>
              <w:rPr>
                <w:rFonts w:ascii="Arial Narrow" w:hAnsi="Arial Narrow"/>
                <w:sz w:val="20"/>
                <w:szCs w:val="20"/>
              </w:rPr>
            </w:pPr>
          </w:p>
        </w:tc>
      </w:tr>
    </w:tbl>
    <w:p w:rsidR="00CC62CF" w:rsidRPr="003B7983" w:rsidRDefault="00CC62CF" w:rsidP="00C61E98">
      <w:pPr>
        <w:pStyle w:val="TableFooter"/>
        <w:ind w:left="720"/>
        <w:rPr>
          <w:szCs w:val="18"/>
        </w:rPr>
      </w:pPr>
      <w:r w:rsidRPr="003B7983">
        <w:rPr>
          <w:szCs w:val="18"/>
        </w:rPr>
        <w:lastRenderedPageBreak/>
        <w:t xml:space="preserve">PR = </w:t>
      </w:r>
      <w:proofErr w:type="spellStart"/>
      <w:r w:rsidRPr="003B7983">
        <w:rPr>
          <w:szCs w:val="18"/>
        </w:rPr>
        <w:t>peginterferon</w:t>
      </w:r>
      <w:proofErr w:type="spellEnd"/>
      <w:r w:rsidRPr="003B7983">
        <w:rPr>
          <w:szCs w:val="18"/>
        </w:rPr>
        <w:t xml:space="preserve"> </w:t>
      </w:r>
      <w:proofErr w:type="spellStart"/>
      <w:r w:rsidRPr="003B7983">
        <w:rPr>
          <w:szCs w:val="18"/>
        </w:rPr>
        <w:t>alfa</w:t>
      </w:r>
      <w:proofErr w:type="spellEnd"/>
      <w:r w:rsidRPr="003B7983">
        <w:rPr>
          <w:szCs w:val="18"/>
        </w:rPr>
        <w:t xml:space="preserve"> and ribavirin; RD = risk difference; CI = confidence interval; SMV = </w:t>
      </w:r>
      <w:proofErr w:type="spellStart"/>
      <w:r w:rsidRPr="003B7983">
        <w:rPr>
          <w:szCs w:val="18"/>
        </w:rPr>
        <w:t>simeprevir</w:t>
      </w:r>
      <w:proofErr w:type="spellEnd"/>
      <w:r w:rsidRPr="003B7983">
        <w:rPr>
          <w:szCs w:val="18"/>
        </w:rPr>
        <w:t xml:space="preserve">; MCID = minimal clinically important difference specified as the non-inferiority margin in the submission; TVR = </w:t>
      </w:r>
      <w:proofErr w:type="spellStart"/>
      <w:r w:rsidRPr="003B7983">
        <w:rPr>
          <w:szCs w:val="18"/>
        </w:rPr>
        <w:t>telaprevir</w:t>
      </w:r>
      <w:proofErr w:type="spellEnd"/>
      <w:r w:rsidRPr="003B7983">
        <w:rPr>
          <w:szCs w:val="18"/>
        </w:rPr>
        <w:t xml:space="preserve">; BOC = </w:t>
      </w:r>
      <w:proofErr w:type="spellStart"/>
      <w:r w:rsidRPr="003B7983">
        <w:rPr>
          <w:szCs w:val="18"/>
        </w:rPr>
        <w:t>boceprevir</w:t>
      </w:r>
      <w:proofErr w:type="spellEnd"/>
    </w:p>
    <w:p w:rsidR="00CC62CF" w:rsidRPr="003B7983" w:rsidRDefault="00CC62CF" w:rsidP="00C61E98">
      <w:pPr>
        <w:pStyle w:val="TableFooter"/>
        <w:ind w:firstLine="720"/>
        <w:rPr>
          <w:szCs w:val="18"/>
        </w:rPr>
      </w:pPr>
      <w:proofErr w:type="gramStart"/>
      <w:r w:rsidRPr="003B7983">
        <w:rPr>
          <w:szCs w:val="18"/>
          <w:vertAlign w:val="superscript"/>
        </w:rPr>
        <w:t>a</w:t>
      </w:r>
      <w:proofErr w:type="gramEnd"/>
      <w:r w:rsidRPr="003B7983">
        <w:rPr>
          <w:szCs w:val="18"/>
        </w:rPr>
        <w:t xml:space="preserve"> Placebo was given in addition to PR.</w:t>
      </w:r>
    </w:p>
    <w:p w:rsidR="00CC62CF" w:rsidRPr="003B7983" w:rsidRDefault="00CC62CF" w:rsidP="00C61E98">
      <w:pPr>
        <w:pStyle w:val="TableFooter"/>
        <w:ind w:firstLine="720"/>
        <w:rPr>
          <w:szCs w:val="18"/>
          <w:vertAlign w:val="superscript"/>
        </w:rPr>
      </w:pPr>
      <w:proofErr w:type="gramStart"/>
      <w:r w:rsidRPr="003B7983">
        <w:rPr>
          <w:szCs w:val="18"/>
          <w:vertAlign w:val="superscript"/>
        </w:rPr>
        <w:t>b</w:t>
      </w:r>
      <w:proofErr w:type="gramEnd"/>
      <w:r w:rsidRPr="003B7983">
        <w:rPr>
          <w:szCs w:val="18"/>
          <w:vertAlign w:val="superscript"/>
        </w:rPr>
        <w:t xml:space="preserve"> </w:t>
      </w:r>
      <w:r w:rsidRPr="003B7983">
        <w:rPr>
          <w:szCs w:val="18"/>
        </w:rPr>
        <w:t>RDs from the indirect comparison were calculated during the evaluation</w:t>
      </w:r>
    </w:p>
    <w:p w:rsidR="00CC62CF" w:rsidRPr="003B7983" w:rsidRDefault="00CC62CF" w:rsidP="00C61E98">
      <w:pPr>
        <w:pStyle w:val="TableFooter"/>
        <w:ind w:left="720"/>
        <w:rPr>
          <w:szCs w:val="18"/>
        </w:rPr>
      </w:pPr>
      <w:proofErr w:type="gramStart"/>
      <w:r w:rsidRPr="003B7983">
        <w:rPr>
          <w:szCs w:val="18"/>
          <w:vertAlign w:val="superscript"/>
        </w:rPr>
        <w:t>c</w:t>
      </w:r>
      <w:proofErr w:type="gramEnd"/>
      <w:r w:rsidRPr="003B7983">
        <w:rPr>
          <w:szCs w:val="18"/>
          <w:vertAlign w:val="superscript"/>
        </w:rPr>
        <w:t xml:space="preserve"> </w:t>
      </w:r>
      <w:r w:rsidRPr="003B7983">
        <w:rPr>
          <w:szCs w:val="18"/>
        </w:rPr>
        <w:t xml:space="preserve">For the comparative safety of </w:t>
      </w:r>
      <w:proofErr w:type="spellStart"/>
      <w:r w:rsidRPr="003B7983">
        <w:rPr>
          <w:szCs w:val="18"/>
        </w:rPr>
        <w:t>simeprevir+PR</w:t>
      </w:r>
      <w:proofErr w:type="spellEnd"/>
      <w:r w:rsidRPr="003B7983">
        <w:rPr>
          <w:szCs w:val="18"/>
        </w:rPr>
        <w:t xml:space="preserve"> vs </w:t>
      </w:r>
      <w:proofErr w:type="spellStart"/>
      <w:r w:rsidRPr="003B7983">
        <w:rPr>
          <w:szCs w:val="18"/>
        </w:rPr>
        <w:t>telaprevir+PR</w:t>
      </w:r>
      <w:proofErr w:type="spellEnd"/>
      <w:r w:rsidRPr="003B7983">
        <w:rPr>
          <w:szCs w:val="18"/>
        </w:rPr>
        <w:t xml:space="preserve"> in treatment experienced patients and comparative effectiveness of </w:t>
      </w:r>
      <w:proofErr w:type="spellStart"/>
      <w:r w:rsidRPr="003B7983">
        <w:rPr>
          <w:szCs w:val="18"/>
        </w:rPr>
        <w:t>simeprevir</w:t>
      </w:r>
      <w:proofErr w:type="spellEnd"/>
      <w:r w:rsidR="00793434" w:rsidRPr="003B7983">
        <w:rPr>
          <w:szCs w:val="18"/>
        </w:rPr>
        <w:t xml:space="preserve"> </w:t>
      </w:r>
      <w:r w:rsidRPr="003B7983">
        <w:rPr>
          <w:szCs w:val="18"/>
        </w:rPr>
        <w:t>+</w:t>
      </w:r>
      <w:r w:rsidR="00793434" w:rsidRPr="003B7983">
        <w:rPr>
          <w:szCs w:val="18"/>
        </w:rPr>
        <w:t xml:space="preserve"> </w:t>
      </w:r>
      <w:r w:rsidRPr="003B7983">
        <w:rPr>
          <w:szCs w:val="18"/>
        </w:rPr>
        <w:t xml:space="preserve">PR vs </w:t>
      </w:r>
      <w:proofErr w:type="spellStart"/>
      <w:r w:rsidRPr="003B7983">
        <w:rPr>
          <w:szCs w:val="18"/>
        </w:rPr>
        <w:t>telaprevir</w:t>
      </w:r>
      <w:proofErr w:type="spellEnd"/>
      <w:r w:rsidR="00793434" w:rsidRPr="003B7983">
        <w:rPr>
          <w:szCs w:val="18"/>
        </w:rPr>
        <w:t xml:space="preserve"> </w:t>
      </w:r>
      <w:r w:rsidRPr="003B7983">
        <w:rPr>
          <w:szCs w:val="18"/>
        </w:rPr>
        <w:t>+</w:t>
      </w:r>
      <w:r w:rsidR="00793434" w:rsidRPr="003B7983">
        <w:rPr>
          <w:szCs w:val="18"/>
        </w:rPr>
        <w:t xml:space="preserve"> </w:t>
      </w:r>
      <w:r w:rsidRPr="003B7983">
        <w:rPr>
          <w:szCs w:val="18"/>
        </w:rPr>
        <w:t>PR in prior null or partial responders</w:t>
      </w:r>
    </w:p>
    <w:p w:rsidR="00CC62CF" w:rsidRPr="004C1F6C" w:rsidRDefault="004C1F6C" w:rsidP="00C61E98">
      <w:pPr>
        <w:pStyle w:val="TableFooter"/>
        <w:ind w:left="709"/>
        <w:rPr>
          <w:szCs w:val="18"/>
          <w:highlight w:val="black"/>
        </w:rPr>
      </w:pPr>
      <w:r>
        <w:rPr>
          <w:noProof/>
          <w:color w:val="000000"/>
          <w:szCs w:val="18"/>
          <w:highlight w:val="black"/>
        </w:rPr>
        <w:t>'''''''''''''''' '''''''''''''' '''''''''''''''''' ''''''''''''''' '''''''''''''' ''''''''''''''' '''''''''''''' ''''''''''''' '''''''''''''''''' '''''''''''''' '''''''''''''' ''''''''''''''''''''' ''''''''''' ''''''''' '''''''''''' '''''''''''''''''''''' ''''''''''''' '''' ''''''''' ''''''''''' '''''''''''''''''''''''''' '''''''''''''' ''''''''''''''''''''''' '''''''''''''''' '''''''' '''''''''''''''''''''''''''</w:t>
      </w:r>
    </w:p>
    <w:p w:rsidR="008E5870" w:rsidRPr="00400CFB" w:rsidRDefault="008E5870" w:rsidP="00882085">
      <w:pPr>
        <w:jc w:val="both"/>
        <w:rPr>
          <w:szCs w:val="22"/>
        </w:rPr>
      </w:pPr>
    </w:p>
    <w:p w:rsidR="009E0AC9" w:rsidRPr="00C61E98" w:rsidRDefault="009E0AC9" w:rsidP="00C61E98">
      <w:pPr>
        <w:pStyle w:val="ListParagraph"/>
        <w:numPr>
          <w:ilvl w:val="1"/>
          <w:numId w:val="25"/>
        </w:numPr>
        <w:jc w:val="both"/>
        <w:rPr>
          <w:szCs w:val="22"/>
        </w:rPr>
      </w:pPr>
      <w:r w:rsidRPr="00C61E98">
        <w:rPr>
          <w:szCs w:val="22"/>
        </w:rPr>
        <w:t xml:space="preserve">The ESC noted the statistically inferior SVR24 observed among prior </w:t>
      </w:r>
      <w:proofErr w:type="spellStart"/>
      <w:r w:rsidRPr="00C61E98">
        <w:rPr>
          <w:szCs w:val="22"/>
        </w:rPr>
        <w:t>relapsers</w:t>
      </w:r>
      <w:proofErr w:type="spellEnd"/>
      <w:r w:rsidRPr="00C61E98">
        <w:rPr>
          <w:szCs w:val="22"/>
        </w:rPr>
        <w:t xml:space="preserve"> who received SMV + PR compared with TVR + PR. The ESC considered that the importance of this result was low given the limitations of the indirect comparison, the similarity in the absolute SVR24 observed among SMV + PR and TVR + PR recipients (77.3% vs 83.4%), and the relatively small number of prior </w:t>
      </w:r>
      <w:proofErr w:type="spellStart"/>
      <w:r w:rsidRPr="00C61E98">
        <w:rPr>
          <w:szCs w:val="22"/>
        </w:rPr>
        <w:t>relapsers</w:t>
      </w:r>
      <w:proofErr w:type="spellEnd"/>
      <w:r w:rsidRPr="00C61E98">
        <w:rPr>
          <w:szCs w:val="22"/>
        </w:rPr>
        <w:t xml:space="preserve"> among all NS3/4A eligible patients. Overall, on the basis of the head to head trials and supported by indirection comparisons, SMV appears to have the same effect as TEL/BOC in the treatment of HCV Genotype 1 in treatment naïve and treatment-experienced patients. </w:t>
      </w:r>
    </w:p>
    <w:p w:rsidR="009E0AC9" w:rsidRPr="00400CFB" w:rsidRDefault="009E0AC9" w:rsidP="009E0AC9">
      <w:pPr>
        <w:jc w:val="both"/>
        <w:rPr>
          <w:szCs w:val="22"/>
        </w:rPr>
      </w:pPr>
    </w:p>
    <w:p w:rsidR="009E0A17" w:rsidRPr="00C61E98" w:rsidRDefault="008E5870" w:rsidP="00C61E98">
      <w:pPr>
        <w:pStyle w:val="ListParagraph"/>
        <w:numPr>
          <w:ilvl w:val="1"/>
          <w:numId w:val="25"/>
        </w:numPr>
        <w:jc w:val="both"/>
        <w:rPr>
          <w:szCs w:val="22"/>
        </w:rPr>
      </w:pPr>
      <w:r w:rsidRPr="00C61E98">
        <w:rPr>
          <w:szCs w:val="22"/>
        </w:rPr>
        <w:t xml:space="preserve">The PBAC noted that </w:t>
      </w:r>
      <w:r w:rsidR="009E0A17" w:rsidRPr="00400CFB">
        <w:t>on the basis of indirect evidence presented by the submission, for every 100 treatment naïve patients treated with SMV12+PR24/48 in comparison to TVR12+PR24/48 or BOC24+PR28/48:</w:t>
      </w:r>
    </w:p>
    <w:p w:rsidR="00400CFB" w:rsidRDefault="00400CFB" w:rsidP="009E0A17">
      <w:pPr>
        <w:pStyle w:val="ListParagraph"/>
        <w:numPr>
          <w:ilvl w:val="0"/>
          <w:numId w:val="38"/>
        </w:numPr>
        <w:jc w:val="both"/>
      </w:pPr>
      <w:r w:rsidRPr="00400CFB">
        <w:rPr>
          <w:szCs w:val="22"/>
        </w:rPr>
        <w:t xml:space="preserve">SMV appears to </w:t>
      </w:r>
      <w:r>
        <w:rPr>
          <w:szCs w:val="22"/>
        </w:rPr>
        <w:t>be no worse than</w:t>
      </w:r>
      <w:r w:rsidRPr="00400CFB">
        <w:rPr>
          <w:szCs w:val="22"/>
        </w:rPr>
        <w:t xml:space="preserve"> TEL/BOC in the treatment of HCV Genotype 1 </w:t>
      </w:r>
    </w:p>
    <w:p w:rsidR="009E0A17" w:rsidRPr="00400CFB" w:rsidRDefault="009E0A17" w:rsidP="009E0A17">
      <w:pPr>
        <w:pStyle w:val="ListParagraph"/>
        <w:numPr>
          <w:ilvl w:val="0"/>
          <w:numId w:val="38"/>
        </w:numPr>
        <w:jc w:val="both"/>
      </w:pPr>
      <w:r w:rsidRPr="00400CFB">
        <w:t>Approximately 5  fewer patients would have SAEs during the treatment period</w:t>
      </w:r>
    </w:p>
    <w:p w:rsidR="009E0A17" w:rsidRPr="00400CFB" w:rsidRDefault="009E0A17" w:rsidP="009E0A17">
      <w:pPr>
        <w:pStyle w:val="ListParagraph"/>
        <w:numPr>
          <w:ilvl w:val="0"/>
          <w:numId w:val="38"/>
        </w:numPr>
        <w:jc w:val="both"/>
      </w:pPr>
      <w:r w:rsidRPr="00400CFB">
        <w:t>Approximately 2-8 fewer patients would have treatment discontinuations due to AEs during the treatment period</w:t>
      </w:r>
    </w:p>
    <w:p w:rsidR="009E0A17" w:rsidRPr="00400CFB" w:rsidRDefault="009E0A17" w:rsidP="009E0A17">
      <w:pPr>
        <w:pStyle w:val="ListParagraph"/>
        <w:numPr>
          <w:ilvl w:val="0"/>
          <w:numId w:val="38"/>
        </w:numPr>
        <w:jc w:val="both"/>
      </w:pPr>
      <w:r w:rsidRPr="00400CFB">
        <w:t>Approximately 20-22 fewer patients would have anaemia during the treatment period</w:t>
      </w:r>
    </w:p>
    <w:p w:rsidR="00C61E98" w:rsidRDefault="00C61E98" w:rsidP="00C61E98">
      <w:pPr>
        <w:jc w:val="both"/>
        <w:rPr>
          <w:szCs w:val="22"/>
        </w:rPr>
      </w:pPr>
    </w:p>
    <w:p w:rsidR="009E0A17" w:rsidRPr="00400CFB" w:rsidRDefault="009E0A17" w:rsidP="00C61E98">
      <w:pPr>
        <w:ind w:left="709"/>
        <w:jc w:val="both"/>
      </w:pPr>
      <w:r w:rsidRPr="00400CFB">
        <w:t xml:space="preserve">The </w:t>
      </w:r>
      <w:r w:rsidR="003764BB">
        <w:t xml:space="preserve">PBAC agreed with the </w:t>
      </w:r>
      <w:r w:rsidRPr="00400CFB">
        <w:t xml:space="preserve">ESC </w:t>
      </w:r>
      <w:r w:rsidR="003764BB">
        <w:t xml:space="preserve">who </w:t>
      </w:r>
      <w:r w:rsidRPr="00400CFB">
        <w:t xml:space="preserve">considered that similar comparative benefits and harms would be realised in the treatment experienced patients </w:t>
      </w:r>
    </w:p>
    <w:p w:rsidR="009E0A17" w:rsidRPr="00400CFB" w:rsidRDefault="009E0A17" w:rsidP="00BB7EC3">
      <w:pPr>
        <w:jc w:val="both"/>
        <w:rPr>
          <w:szCs w:val="22"/>
        </w:rPr>
      </w:pPr>
    </w:p>
    <w:p w:rsidR="00CC62CF" w:rsidRPr="00A22660" w:rsidRDefault="00CC62CF" w:rsidP="00CC62CF">
      <w:pPr>
        <w:pStyle w:val="ListParagraph"/>
        <w:ind w:left="709"/>
        <w:jc w:val="both"/>
        <w:rPr>
          <w:i/>
          <w:szCs w:val="22"/>
        </w:rPr>
      </w:pPr>
      <w:r w:rsidRPr="00A22660">
        <w:rPr>
          <w:i/>
          <w:szCs w:val="22"/>
        </w:rPr>
        <w:t>For more detail on PBAC’s view, see section 7 “PBAC outcome”</w:t>
      </w:r>
    </w:p>
    <w:p w:rsidR="00CC62CF" w:rsidRPr="00400CFB" w:rsidRDefault="00CC62CF" w:rsidP="00CC62CF">
      <w:pPr>
        <w:jc w:val="both"/>
        <w:rPr>
          <w:szCs w:val="22"/>
        </w:rPr>
      </w:pPr>
    </w:p>
    <w:p w:rsidR="005A3173" w:rsidRPr="00400CFB" w:rsidRDefault="005A3173" w:rsidP="00882085">
      <w:pPr>
        <w:jc w:val="both"/>
        <w:rPr>
          <w:b/>
          <w:szCs w:val="22"/>
        </w:rPr>
      </w:pPr>
      <w:r w:rsidRPr="00400CFB">
        <w:rPr>
          <w:b/>
          <w:szCs w:val="22"/>
        </w:rPr>
        <w:t>Clinical claim</w:t>
      </w:r>
    </w:p>
    <w:p w:rsidR="005A3173" w:rsidRPr="00400CFB" w:rsidRDefault="005A3173" w:rsidP="00882085">
      <w:pPr>
        <w:ind w:left="720" w:hanging="720"/>
        <w:jc w:val="both"/>
        <w:rPr>
          <w:szCs w:val="22"/>
        </w:rPr>
      </w:pPr>
    </w:p>
    <w:p w:rsidR="00BB7EC3" w:rsidRPr="00C61E98" w:rsidRDefault="00EA0846" w:rsidP="00C61E98">
      <w:pPr>
        <w:pStyle w:val="ListParagraph"/>
        <w:numPr>
          <w:ilvl w:val="1"/>
          <w:numId w:val="25"/>
        </w:numPr>
        <w:jc w:val="both"/>
        <w:rPr>
          <w:szCs w:val="22"/>
        </w:rPr>
      </w:pPr>
      <w:r w:rsidRPr="00C61E98">
        <w:rPr>
          <w:szCs w:val="22"/>
        </w:rPr>
        <w:t xml:space="preserve">The submission describes </w:t>
      </w:r>
      <w:proofErr w:type="spellStart"/>
      <w:r w:rsidRPr="00C61E98">
        <w:rPr>
          <w:szCs w:val="22"/>
        </w:rPr>
        <w:t>simeprevir</w:t>
      </w:r>
      <w:proofErr w:type="spellEnd"/>
      <w:r w:rsidR="00793434" w:rsidRPr="00C61E98">
        <w:rPr>
          <w:szCs w:val="22"/>
        </w:rPr>
        <w:t xml:space="preserve"> </w:t>
      </w:r>
      <w:r w:rsidRPr="00C61E98">
        <w:rPr>
          <w:szCs w:val="22"/>
        </w:rPr>
        <w:t>+</w:t>
      </w:r>
      <w:r w:rsidR="00793434" w:rsidRPr="00C61E98">
        <w:rPr>
          <w:szCs w:val="22"/>
        </w:rPr>
        <w:t xml:space="preserve"> </w:t>
      </w:r>
      <w:r w:rsidRPr="00C61E98">
        <w:rPr>
          <w:szCs w:val="22"/>
        </w:rPr>
        <w:t xml:space="preserve">PR as non-inferior in terms of comparative effectiveness and superior in terms of comparative safety versus </w:t>
      </w:r>
      <w:proofErr w:type="spellStart"/>
      <w:r w:rsidRPr="00C61E98">
        <w:rPr>
          <w:szCs w:val="22"/>
        </w:rPr>
        <w:t>telaprevir</w:t>
      </w:r>
      <w:proofErr w:type="spellEnd"/>
      <w:r w:rsidR="00793434" w:rsidRPr="00C61E98">
        <w:rPr>
          <w:szCs w:val="22"/>
        </w:rPr>
        <w:t xml:space="preserve"> </w:t>
      </w:r>
      <w:r w:rsidRPr="00C61E98">
        <w:rPr>
          <w:szCs w:val="22"/>
        </w:rPr>
        <w:t>+</w:t>
      </w:r>
      <w:r w:rsidR="00793434" w:rsidRPr="00C61E98">
        <w:rPr>
          <w:szCs w:val="22"/>
        </w:rPr>
        <w:t xml:space="preserve"> </w:t>
      </w:r>
      <w:r w:rsidRPr="00C61E98">
        <w:rPr>
          <w:szCs w:val="22"/>
        </w:rPr>
        <w:t xml:space="preserve">PR or </w:t>
      </w:r>
      <w:proofErr w:type="spellStart"/>
      <w:r w:rsidRPr="00C61E98">
        <w:rPr>
          <w:szCs w:val="22"/>
        </w:rPr>
        <w:t>boceprevir</w:t>
      </w:r>
      <w:proofErr w:type="spellEnd"/>
      <w:r w:rsidR="00793434" w:rsidRPr="00C61E98">
        <w:rPr>
          <w:szCs w:val="22"/>
        </w:rPr>
        <w:t xml:space="preserve"> </w:t>
      </w:r>
      <w:r w:rsidRPr="00C61E98">
        <w:rPr>
          <w:szCs w:val="22"/>
        </w:rPr>
        <w:t>+</w:t>
      </w:r>
      <w:r w:rsidR="00793434" w:rsidRPr="00C61E98">
        <w:rPr>
          <w:szCs w:val="22"/>
        </w:rPr>
        <w:t xml:space="preserve"> </w:t>
      </w:r>
      <w:r w:rsidRPr="00C61E98">
        <w:rPr>
          <w:szCs w:val="22"/>
        </w:rPr>
        <w:t>PR for the treatment of HCV genotype 1 infection</w:t>
      </w:r>
    </w:p>
    <w:p w:rsidR="00EA0846" w:rsidRPr="00400CFB" w:rsidRDefault="00EA0846" w:rsidP="00EA0846">
      <w:pPr>
        <w:jc w:val="both"/>
        <w:rPr>
          <w:szCs w:val="22"/>
        </w:rPr>
      </w:pPr>
    </w:p>
    <w:tbl>
      <w:tblPr>
        <w:tblStyle w:val="TableGrid"/>
        <w:tblW w:w="4524" w:type="pct"/>
        <w:tblInd w:w="817" w:type="dxa"/>
        <w:tblLayout w:type="fixed"/>
        <w:tblLook w:val="04A0" w:firstRow="1" w:lastRow="0" w:firstColumn="1" w:lastColumn="0" w:noHBand="0" w:noVBand="1"/>
        <w:tblDescription w:val="simeprevir listing"/>
      </w:tblPr>
      <w:tblGrid>
        <w:gridCol w:w="993"/>
        <w:gridCol w:w="1417"/>
        <w:gridCol w:w="1582"/>
        <w:gridCol w:w="1552"/>
        <w:gridCol w:w="1527"/>
        <w:gridCol w:w="1291"/>
      </w:tblGrid>
      <w:tr w:rsidR="00FD56C1" w:rsidRPr="00400CFB" w:rsidTr="00C61E98">
        <w:tc>
          <w:tcPr>
            <w:tcW w:w="594" w:type="pct"/>
            <w:vMerge w:val="restart"/>
          </w:tcPr>
          <w:p w:rsidR="00FD56C1" w:rsidRPr="00400CFB" w:rsidRDefault="00FD56C1" w:rsidP="00CC62CF">
            <w:pPr>
              <w:ind w:right="-57"/>
              <w:jc w:val="center"/>
              <w:rPr>
                <w:rFonts w:ascii="Arial Narrow" w:hAnsi="Arial Narrow"/>
                <w:b/>
                <w:sz w:val="20"/>
              </w:rPr>
            </w:pPr>
          </w:p>
        </w:tc>
        <w:tc>
          <w:tcPr>
            <w:tcW w:w="3634" w:type="pct"/>
            <w:gridSpan w:val="4"/>
          </w:tcPr>
          <w:p w:rsidR="00FD56C1" w:rsidRPr="00400CFB" w:rsidRDefault="00FD56C1" w:rsidP="00CC62CF">
            <w:pPr>
              <w:jc w:val="center"/>
              <w:rPr>
                <w:rFonts w:ascii="Arial Narrow" w:hAnsi="Arial Narrow"/>
                <w:b/>
                <w:sz w:val="20"/>
              </w:rPr>
            </w:pPr>
            <w:r w:rsidRPr="00400CFB">
              <w:rPr>
                <w:rFonts w:ascii="Arial Narrow" w:hAnsi="Arial Narrow"/>
                <w:b/>
                <w:sz w:val="20"/>
              </w:rPr>
              <w:t>Non-inferior effectiveness claim</w:t>
            </w:r>
          </w:p>
        </w:tc>
        <w:tc>
          <w:tcPr>
            <w:tcW w:w="772" w:type="pct"/>
          </w:tcPr>
          <w:p w:rsidR="00FD56C1" w:rsidRPr="00400CFB" w:rsidRDefault="00FD56C1" w:rsidP="00CC62CF">
            <w:pPr>
              <w:jc w:val="center"/>
              <w:rPr>
                <w:rFonts w:ascii="Arial Narrow" w:hAnsi="Arial Narrow"/>
                <w:b/>
                <w:sz w:val="20"/>
              </w:rPr>
            </w:pPr>
            <w:r w:rsidRPr="00400CFB">
              <w:rPr>
                <w:rFonts w:ascii="Arial Narrow" w:hAnsi="Arial Narrow"/>
                <w:b/>
                <w:sz w:val="20"/>
              </w:rPr>
              <w:t>Superior safety claim</w:t>
            </w:r>
          </w:p>
        </w:tc>
      </w:tr>
      <w:tr w:rsidR="00FD56C1" w:rsidRPr="00400CFB" w:rsidTr="00C61E98">
        <w:tc>
          <w:tcPr>
            <w:tcW w:w="594" w:type="pct"/>
            <w:vMerge/>
          </w:tcPr>
          <w:p w:rsidR="00FD56C1" w:rsidRPr="00400CFB" w:rsidRDefault="00FD56C1" w:rsidP="00CC62CF">
            <w:pPr>
              <w:ind w:right="-57"/>
              <w:jc w:val="center"/>
              <w:rPr>
                <w:rFonts w:ascii="Arial Narrow" w:hAnsi="Arial Narrow"/>
                <w:b/>
                <w:sz w:val="20"/>
              </w:rPr>
            </w:pPr>
          </w:p>
        </w:tc>
        <w:tc>
          <w:tcPr>
            <w:tcW w:w="847" w:type="pct"/>
          </w:tcPr>
          <w:p w:rsidR="00FD56C1" w:rsidRPr="00400CFB" w:rsidRDefault="00FD56C1" w:rsidP="00CC62CF">
            <w:pPr>
              <w:jc w:val="center"/>
              <w:rPr>
                <w:rFonts w:ascii="Arial Narrow" w:hAnsi="Arial Narrow"/>
                <w:b/>
                <w:sz w:val="20"/>
              </w:rPr>
            </w:pPr>
            <w:r w:rsidRPr="00400CFB">
              <w:rPr>
                <w:rFonts w:ascii="Arial Narrow" w:hAnsi="Arial Narrow"/>
                <w:b/>
                <w:sz w:val="20"/>
              </w:rPr>
              <w:t>Treatment naïve</w:t>
            </w:r>
          </w:p>
        </w:tc>
        <w:tc>
          <w:tcPr>
            <w:tcW w:w="946" w:type="pct"/>
          </w:tcPr>
          <w:p w:rsidR="00FD56C1" w:rsidRPr="00400CFB" w:rsidRDefault="00FD56C1" w:rsidP="00CC62CF">
            <w:pPr>
              <w:jc w:val="center"/>
              <w:rPr>
                <w:rFonts w:ascii="Arial Narrow" w:hAnsi="Arial Narrow"/>
                <w:b/>
                <w:sz w:val="20"/>
              </w:rPr>
            </w:pPr>
            <w:r w:rsidRPr="00400CFB">
              <w:rPr>
                <w:rFonts w:ascii="Arial Narrow" w:hAnsi="Arial Narrow"/>
                <w:b/>
                <w:sz w:val="20"/>
              </w:rPr>
              <w:t xml:space="preserve">Prior </w:t>
            </w:r>
            <w:proofErr w:type="spellStart"/>
            <w:r w:rsidRPr="00400CFB">
              <w:rPr>
                <w:rFonts w:ascii="Arial Narrow" w:hAnsi="Arial Narrow"/>
                <w:b/>
                <w:sz w:val="20"/>
              </w:rPr>
              <w:t>relapsers</w:t>
            </w:r>
            <w:proofErr w:type="spellEnd"/>
          </w:p>
        </w:tc>
        <w:tc>
          <w:tcPr>
            <w:tcW w:w="928" w:type="pct"/>
          </w:tcPr>
          <w:p w:rsidR="00FD56C1" w:rsidRPr="00400CFB" w:rsidRDefault="00FD56C1" w:rsidP="00CC62CF">
            <w:pPr>
              <w:jc w:val="center"/>
              <w:rPr>
                <w:rFonts w:ascii="Arial Narrow" w:hAnsi="Arial Narrow"/>
                <w:b/>
                <w:sz w:val="20"/>
              </w:rPr>
            </w:pPr>
            <w:r w:rsidRPr="00400CFB">
              <w:rPr>
                <w:rFonts w:ascii="Arial Narrow" w:hAnsi="Arial Narrow"/>
                <w:b/>
                <w:sz w:val="20"/>
              </w:rPr>
              <w:t>Prior partial responders</w:t>
            </w:r>
          </w:p>
        </w:tc>
        <w:tc>
          <w:tcPr>
            <w:tcW w:w="913" w:type="pct"/>
          </w:tcPr>
          <w:p w:rsidR="00FD56C1" w:rsidRPr="00400CFB" w:rsidRDefault="00FD56C1" w:rsidP="00CC62CF">
            <w:pPr>
              <w:jc w:val="center"/>
              <w:rPr>
                <w:rFonts w:ascii="Arial Narrow" w:hAnsi="Arial Narrow"/>
                <w:b/>
                <w:sz w:val="20"/>
              </w:rPr>
            </w:pPr>
            <w:r w:rsidRPr="00400CFB">
              <w:rPr>
                <w:rFonts w:ascii="Arial Narrow" w:hAnsi="Arial Narrow"/>
                <w:b/>
                <w:sz w:val="20"/>
              </w:rPr>
              <w:t>Prior null responders</w:t>
            </w:r>
          </w:p>
        </w:tc>
        <w:tc>
          <w:tcPr>
            <w:tcW w:w="772" w:type="pct"/>
          </w:tcPr>
          <w:p w:rsidR="00FD56C1" w:rsidRPr="00400CFB" w:rsidRDefault="00FD56C1" w:rsidP="00CC62CF">
            <w:pPr>
              <w:jc w:val="center"/>
              <w:rPr>
                <w:rFonts w:ascii="Arial Narrow" w:hAnsi="Arial Narrow"/>
                <w:b/>
                <w:sz w:val="20"/>
              </w:rPr>
            </w:pPr>
            <w:r w:rsidRPr="00400CFB">
              <w:rPr>
                <w:rFonts w:ascii="Arial Narrow" w:hAnsi="Arial Narrow"/>
                <w:b/>
                <w:sz w:val="20"/>
              </w:rPr>
              <w:t>All patients</w:t>
            </w:r>
          </w:p>
        </w:tc>
      </w:tr>
      <w:tr w:rsidR="00FD56C1" w:rsidRPr="00400CFB" w:rsidTr="00C61E98">
        <w:tc>
          <w:tcPr>
            <w:tcW w:w="594" w:type="pct"/>
          </w:tcPr>
          <w:p w:rsidR="00FD56C1" w:rsidRPr="00400CFB" w:rsidRDefault="00FD56C1" w:rsidP="00CC62CF">
            <w:pPr>
              <w:ind w:left="-57" w:right="-57"/>
              <w:rPr>
                <w:rFonts w:ascii="Arial Narrow" w:hAnsi="Arial Narrow"/>
                <w:sz w:val="20"/>
              </w:rPr>
            </w:pPr>
            <w:proofErr w:type="spellStart"/>
            <w:r w:rsidRPr="00400CFB">
              <w:rPr>
                <w:rFonts w:ascii="Arial Narrow" w:hAnsi="Arial Narrow"/>
                <w:sz w:val="20"/>
              </w:rPr>
              <w:t>Simeprevir</w:t>
            </w:r>
            <w:proofErr w:type="spellEnd"/>
            <w:r w:rsidR="00793434" w:rsidRPr="00400CFB">
              <w:rPr>
                <w:rFonts w:ascii="Arial Narrow" w:hAnsi="Arial Narrow"/>
                <w:sz w:val="20"/>
              </w:rPr>
              <w:t xml:space="preserve"> </w:t>
            </w:r>
            <w:r w:rsidRPr="00400CFB">
              <w:rPr>
                <w:rFonts w:ascii="Arial Narrow" w:hAnsi="Arial Narrow"/>
                <w:sz w:val="20"/>
              </w:rPr>
              <w:t>+</w:t>
            </w:r>
            <w:r w:rsidR="00793434" w:rsidRPr="00400CFB">
              <w:rPr>
                <w:rFonts w:ascii="Arial Narrow" w:hAnsi="Arial Narrow"/>
                <w:sz w:val="20"/>
              </w:rPr>
              <w:t xml:space="preserve"> </w:t>
            </w:r>
            <w:r w:rsidRPr="00400CFB">
              <w:rPr>
                <w:rFonts w:ascii="Arial Narrow" w:hAnsi="Arial Narrow"/>
                <w:sz w:val="20"/>
              </w:rPr>
              <w:t xml:space="preserve">PR vs </w:t>
            </w:r>
            <w:proofErr w:type="spellStart"/>
            <w:r w:rsidRPr="00400CFB">
              <w:rPr>
                <w:rFonts w:ascii="Arial Narrow" w:hAnsi="Arial Narrow"/>
                <w:sz w:val="20"/>
              </w:rPr>
              <w:t>telaprevir</w:t>
            </w:r>
            <w:proofErr w:type="spellEnd"/>
            <w:r w:rsidR="00793434" w:rsidRPr="00400CFB">
              <w:rPr>
                <w:rFonts w:ascii="Arial Narrow" w:hAnsi="Arial Narrow"/>
                <w:sz w:val="20"/>
              </w:rPr>
              <w:t xml:space="preserve"> </w:t>
            </w:r>
            <w:r w:rsidRPr="00400CFB">
              <w:rPr>
                <w:rFonts w:ascii="Arial Narrow" w:hAnsi="Arial Narrow"/>
                <w:sz w:val="20"/>
              </w:rPr>
              <w:t>+</w:t>
            </w:r>
            <w:r w:rsidR="00793434" w:rsidRPr="00400CFB">
              <w:rPr>
                <w:rFonts w:ascii="Arial Narrow" w:hAnsi="Arial Narrow"/>
                <w:sz w:val="20"/>
              </w:rPr>
              <w:t xml:space="preserve"> </w:t>
            </w:r>
            <w:r w:rsidRPr="00400CFB">
              <w:rPr>
                <w:rFonts w:ascii="Arial Narrow" w:hAnsi="Arial Narrow"/>
                <w:sz w:val="20"/>
              </w:rPr>
              <w:t>PR</w:t>
            </w:r>
          </w:p>
        </w:tc>
        <w:tc>
          <w:tcPr>
            <w:tcW w:w="847" w:type="pct"/>
          </w:tcPr>
          <w:p w:rsidR="00FD56C1" w:rsidRPr="00400CFB" w:rsidRDefault="00FD56C1" w:rsidP="00FD56C1">
            <w:pPr>
              <w:ind w:left="-57" w:right="-57"/>
              <w:rPr>
                <w:rFonts w:ascii="Arial Narrow" w:hAnsi="Arial Narrow"/>
                <w:sz w:val="20"/>
              </w:rPr>
            </w:pPr>
            <w:r w:rsidRPr="00400CFB">
              <w:rPr>
                <w:rFonts w:ascii="Arial Narrow" w:hAnsi="Arial Narrow"/>
                <w:sz w:val="20"/>
              </w:rPr>
              <w:t xml:space="preserve">The ESC considered that claim is weakly supported, given: 1) the poor exchangeability of trials involved in the indirect comparison; and 2) the CI including reductions in </w:t>
            </w:r>
            <w:r w:rsidRPr="00400CFB">
              <w:rPr>
                <w:rFonts w:ascii="Arial Narrow" w:hAnsi="Arial Narrow"/>
                <w:sz w:val="20"/>
              </w:rPr>
              <w:lastRenderedPageBreak/>
              <w:t>SVR24 rates which could be clinically relevant</w:t>
            </w:r>
          </w:p>
        </w:tc>
        <w:tc>
          <w:tcPr>
            <w:tcW w:w="946" w:type="pct"/>
          </w:tcPr>
          <w:p w:rsidR="00FD56C1" w:rsidRPr="00400CFB" w:rsidRDefault="00FD56C1" w:rsidP="00CC62CF">
            <w:pPr>
              <w:ind w:left="-57" w:right="-57"/>
              <w:rPr>
                <w:rFonts w:ascii="Arial Narrow" w:hAnsi="Arial Narrow"/>
                <w:sz w:val="20"/>
              </w:rPr>
            </w:pPr>
            <w:r w:rsidRPr="00400CFB">
              <w:rPr>
                <w:rFonts w:ascii="Arial Narrow" w:hAnsi="Arial Narrow"/>
                <w:sz w:val="20"/>
              </w:rPr>
              <w:lastRenderedPageBreak/>
              <w:t xml:space="preserve">Not supported, given the statistically inferior treatment effect of </w:t>
            </w:r>
            <w:proofErr w:type="spellStart"/>
            <w:r w:rsidRPr="00400CFB">
              <w:rPr>
                <w:rFonts w:ascii="Arial Narrow" w:hAnsi="Arial Narrow"/>
                <w:sz w:val="20"/>
              </w:rPr>
              <w:t>simeprevir</w:t>
            </w:r>
            <w:proofErr w:type="spellEnd"/>
            <w:r w:rsidR="00793434" w:rsidRPr="00400CFB">
              <w:rPr>
                <w:rFonts w:ascii="Arial Narrow" w:hAnsi="Arial Narrow"/>
                <w:sz w:val="20"/>
              </w:rPr>
              <w:t xml:space="preserve"> </w:t>
            </w:r>
            <w:r w:rsidRPr="00400CFB">
              <w:rPr>
                <w:rFonts w:ascii="Arial Narrow" w:hAnsi="Arial Narrow"/>
                <w:sz w:val="20"/>
              </w:rPr>
              <w:t>+</w:t>
            </w:r>
            <w:r w:rsidR="00793434" w:rsidRPr="00400CFB">
              <w:rPr>
                <w:rFonts w:ascii="Arial Narrow" w:hAnsi="Arial Narrow"/>
                <w:sz w:val="20"/>
              </w:rPr>
              <w:t xml:space="preserve"> </w:t>
            </w:r>
            <w:r w:rsidRPr="00400CFB">
              <w:rPr>
                <w:rFonts w:ascii="Arial Narrow" w:hAnsi="Arial Narrow"/>
                <w:sz w:val="20"/>
              </w:rPr>
              <w:t xml:space="preserve">PR vs </w:t>
            </w:r>
            <w:proofErr w:type="spellStart"/>
            <w:r w:rsidRPr="00400CFB">
              <w:rPr>
                <w:rFonts w:ascii="Arial Narrow" w:hAnsi="Arial Narrow"/>
                <w:sz w:val="20"/>
              </w:rPr>
              <w:t>telaprevir</w:t>
            </w:r>
            <w:proofErr w:type="spellEnd"/>
            <w:r w:rsidR="00793434" w:rsidRPr="00400CFB">
              <w:rPr>
                <w:rFonts w:ascii="Arial Narrow" w:hAnsi="Arial Narrow"/>
                <w:sz w:val="20"/>
              </w:rPr>
              <w:t xml:space="preserve"> </w:t>
            </w:r>
            <w:r w:rsidRPr="00400CFB">
              <w:rPr>
                <w:rFonts w:ascii="Arial Narrow" w:hAnsi="Arial Narrow"/>
                <w:sz w:val="20"/>
              </w:rPr>
              <w:t>+</w:t>
            </w:r>
            <w:r w:rsidR="00793434" w:rsidRPr="00400CFB">
              <w:rPr>
                <w:rFonts w:ascii="Arial Narrow" w:hAnsi="Arial Narrow"/>
                <w:sz w:val="20"/>
              </w:rPr>
              <w:t xml:space="preserve"> </w:t>
            </w:r>
            <w:r w:rsidRPr="00400CFB">
              <w:rPr>
                <w:rFonts w:ascii="Arial Narrow" w:hAnsi="Arial Narrow"/>
                <w:sz w:val="20"/>
              </w:rPr>
              <w:t>PR from the indirect comparison.</w:t>
            </w:r>
          </w:p>
        </w:tc>
        <w:tc>
          <w:tcPr>
            <w:tcW w:w="928" w:type="pct"/>
          </w:tcPr>
          <w:p w:rsidR="00FD56C1" w:rsidRPr="00400CFB" w:rsidRDefault="00FD56C1" w:rsidP="00355A02">
            <w:pPr>
              <w:ind w:left="-57" w:right="-57"/>
              <w:rPr>
                <w:rFonts w:ascii="Arial Narrow" w:hAnsi="Arial Narrow"/>
                <w:sz w:val="20"/>
              </w:rPr>
            </w:pPr>
            <w:r w:rsidRPr="00400CFB">
              <w:rPr>
                <w:rFonts w:ascii="Arial Narrow" w:hAnsi="Arial Narrow"/>
                <w:sz w:val="20"/>
              </w:rPr>
              <w:t xml:space="preserve">The ESC considered the claim appears reasonable based on the SVR12 results from ATTAIN. </w:t>
            </w:r>
          </w:p>
        </w:tc>
        <w:tc>
          <w:tcPr>
            <w:tcW w:w="913" w:type="pct"/>
          </w:tcPr>
          <w:p w:rsidR="00FD56C1" w:rsidRPr="00400CFB" w:rsidRDefault="00FD56C1" w:rsidP="00FD56C1">
            <w:pPr>
              <w:ind w:left="-57" w:right="-57"/>
              <w:rPr>
                <w:rFonts w:ascii="Arial Narrow" w:hAnsi="Arial Narrow"/>
                <w:sz w:val="20"/>
              </w:rPr>
            </w:pPr>
            <w:r w:rsidRPr="00400CFB">
              <w:rPr>
                <w:rFonts w:ascii="Arial Narrow" w:hAnsi="Arial Narrow"/>
                <w:sz w:val="20"/>
              </w:rPr>
              <w:t xml:space="preserve">The ESC considered the claim is weakly supported, as the pre-specified subgroup analysis in ATTAIN does not exclude reductions in SVR12 rates which could be clinically important to this </w:t>
            </w:r>
            <w:r w:rsidRPr="00400CFB">
              <w:rPr>
                <w:rFonts w:ascii="Arial Narrow" w:hAnsi="Arial Narrow"/>
                <w:sz w:val="20"/>
              </w:rPr>
              <w:lastRenderedPageBreak/>
              <w:t>population</w:t>
            </w:r>
          </w:p>
        </w:tc>
        <w:tc>
          <w:tcPr>
            <w:tcW w:w="772" w:type="pct"/>
            <w:vMerge w:val="restart"/>
          </w:tcPr>
          <w:p w:rsidR="00FD56C1" w:rsidRPr="00400CFB" w:rsidRDefault="00FD56C1" w:rsidP="00CC62CF">
            <w:pPr>
              <w:rPr>
                <w:rFonts w:ascii="Arial Narrow" w:hAnsi="Arial Narrow"/>
                <w:sz w:val="20"/>
              </w:rPr>
            </w:pPr>
            <w:r w:rsidRPr="00400CFB">
              <w:rPr>
                <w:rFonts w:ascii="Arial Narrow" w:hAnsi="Arial Narrow"/>
                <w:sz w:val="20"/>
              </w:rPr>
              <w:lastRenderedPageBreak/>
              <w:t>The ESC considered the claim appears well supported</w:t>
            </w:r>
            <w:r w:rsidR="00793434" w:rsidRPr="00400CFB">
              <w:rPr>
                <w:rFonts w:ascii="Arial Narrow" w:hAnsi="Arial Narrow"/>
                <w:sz w:val="20"/>
              </w:rPr>
              <w:t>,</w:t>
            </w:r>
            <w:r w:rsidRPr="00400CFB">
              <w:rPr>
                <w:rFonts w:ascii="Arial Narrow" w:hAnsi="Arial Narrow"/>
                <w:sz w:val="20"/>
              </w:rPr>
              <w:t xml:space="preserve"> based on consistent findings from direct and indirect evidence</w:t>
            </w:r>
            <w:r w:rsidR="00993E36" w:rsidRPr="00400CFB">
              <w:rPr>
                <w:rFonts w:ascii="Arial Narrow" w:hAnsi="Arial Narrow"/>
                <w:sz w:val="20"/>
              </w:rPr>
              <w:t>, notwithstandin</w:t>
            </w:r>
            <w:r w:rsidR="00993E36" w:rsidRPr="00400CFB">
              <w:rPr>
                <w:rFonts w:ascii="Arial Narrow" w:hAnsi="Arial Narrow"/>
                <w:sz w:val="20"/>
              </w:rPr>
              <w:lastRenderedPageBreak/>
              <w:t xml:space="preserve">g the variability in results of the indirect comparisons which were limited by the poor exchangeability of trials, with respect to predictors of response to interferon-based therapy.  </w:t>
            </w:r>
            <w:r w:rsidRPr="00400CFB">
              <w:rPr>
                <w:rFonts w:ascii="Arial Narrow" w:hAnsi="Arial Narrow"/>
                <w:sz w:val="20"/>
              </w:rPr>
              <w:t xml:space="preserve"> </w:t>
            </w:r>
          </w:p>
        </w:tc>
      </w:tr>
      <w:tr w:rsidR="00FD56C1" w:rsidRPr="00400CFB" w:rsidTr="00C61E98">
        <w:tc>
          <w:tcPr>
            <w:tcW w:w="594" w:type="pct"/>
          </w:tcPr>
          <w:p w:rsidR="00FD56C1" w:rsidRPr="00400CFB" w:rsidRDefault="00FD56C1" w:rsidP="00CC62CF">
            <w:pPr>
              <w:ind w:left="-57" w:right="-57"/>
              <w:rPr>
                <w:rFonts w:ascii="Arial Narrow" w:hAnsi="Arial Narrow"/>
                <w:sz w:val="20"/>
              </w:rPr>
            </w:pPr>
            <w:proofErr w:type="spellStart"/>
            <w:r w:rsidRPr="00400CFB">
              <w:rPr>
                <w:rFonts w:ascii="Arial Narrow" w:hAnsi="Arial Narrow"/>
                <w:sz w:val="20"/>
              </w:rPr>
              <w:lastRenderedPageBreak/>
              <w:t>Simeprevir</w:t>
            </w:r>
            <w:proofErr w:type="spellEnd"/>
            <w:r w:rsidR="00793434" w:rsidRPr="00400CFB">
              <w:rPr>
                <w:rFonts w:ascii="Arial Narrow" w:hAnsi="Arial Narrow"/>
                <w:sz w:val="20"/>
              </w:rPr>
              <w:t xml:space="preserve"> </w:t>
            </w:r>
            <w:r w:rsidRPr="00400CFB">
              <w:rPr>
                <w:rFonts w:ascii="Arial Narrow" w:hAnsi="Arial Narrow"/>
                <w:sz w:val="20"/>
              </w:rPr>
              <w:t>+</w:t>
            </w:r>
            <w:r w:rsidR="00793434" w:rsidRPr="00400CFB">
              <w:rPr>
                <w:rFonts w:ascii="Arial Narrow" w:hAnsi="Arial Narrow"/>
                <w:sz w:val="20"/>
              </w:rPr>
              <w:t xml:space="preserve"> </w:t>
            </w:r>
            <w:r w:rsidRPr="00400CFB">
              <w:rPr>
                <w:rFonts w:ascii="Arial Narrow" w:hAnsi="Arial Narrow"/>
                <w:sz w:val="20"/>
              </w:rPr>
              <w:t xml:space="preserve">PR vs </w:t>
            </w:r>
            <w:proofErr w:type="spellStart"/>
            <w:r w:rsidRPr="00400CFB">
              <w:rPr>
                <w:rFonts w:ascii="Arial Narrow" w:hAnsi="Arial Narrow"/>
                <w:sz w:val="20"/>
              </w:rPr>
              <w:t>boceprevir</w:t>
            </w:r>
            <w:proofErr w:type="spellEnd"/>
            <w:r w:rsidR="00793434" w:rsidRPr="00400CFB">
              <w:rPr>
                <w:rFonts w:ascii="Arial Narrow" w:hAnsi="Arial Narrow"/>
                <w:sz w:val="20"/>
              </w:rPr>
              <w:t xml:space="preserve"> </w:t>
            </w:r>
            <w:r w:rsidRPr="00400CFB">
              <w:rPr>
                <w:rFonts w:ascii="Arial Narrow" w:hAnsi="Arial Narrow"/>
                <w:sz w:val="20"/>
              </w:rPr>
              <w:t>+</w:t>
            </w:r>
            <w:r w:rsidR="00793434" w:rsidRPr="00400CFB">
              <w:rPr>
                <w:rFonts w:ascii="Arial Narrow" w:hAnsi="Arial Narrow"/>
                <w:sz w:val="20"/>
              </w:rPr>
              <w:t xml:space="preserve"> </w:t>
            </w:r>
            <w:r w:rsidRPr="00400CFB">
              <w:rPr>
                <w:rFonts w:ascii="Arial Narrow" w:hAnsi="Arial Narrow"/>
                <w:sz w:val="20"/>
              </w:rPr>
              <w:t>PR</w:t>
            </w:r>
          </w:p>
        </w:tc>
        <w:tc>
          <w:tcPr>
            <w:tcW w:w="847" w:type="pct"/>
          </w:tcPr>
          <w:p w:rsidR="00FD56C1" w:rsidRPr="00400CFB" w:rsidRDefault="00FD56C1" w:rsidP="00CC62CF">
            <w:pPr>
              <w:ind w:left="-57" w:right="-57"/>
              <w:rPr>
                <w:rFonts w:ascii="Arial Narrow" w:hAnsi="Arial Narrow"/>
                <w:sz w:val="20"/>
              </w:rPr>
            </w:pPr>
            <w:r w:rsidRPr="00400CFB">
              <w:rPr>
                <w:rFonts w:ascii="Arial Narrow" w:hAnsi="Arial Narrow"/>
                <w:sz w:val="20"/>
              </w:rPr>
              <w:t>The ESC considered the claim appears reasonable, although the indirect comparison is limited by  the poor exchangeability of trials involved</w:t>
            </w:r>
          </w:p>
        </w:tc>
        <w:tc>
          <w:tcPr>
            <w:tcW w:w="946" w:type="pct"/>
          </w:tcPr>
          <w:p w:rsidR="00FD56C1" w:rsidRPr="00400CFB" w:rsidRDefault="00FD56C1" w:rsidP="00CC62CF">
            <w:pPr>
              <w:ind w:left="-57" w:right="-57"/>
              <w:rPr>
                <w:rFonts w:ascii="Arial Narrow" w:hAnsi="Arial Narrow"/>
                <w:sz w:val="20"/>
              </w:rPr>
            </w:pPr>
            <w:r w:rsidRPr="00400CFB">
              <w:rPr>
                <w:rFonts w:ascii="Arial Narrow" w:hAnsi="Arial Narrow"/>
                <w:sz w:val="20"/>
              </w:rPr>
              <w:t xml:space="preserve">The ESC considered the claim is weakly supported, given the poor trial exchangeability and the CI including reduction in SVR24 rates which could be clinically relevant </w:t>
            </w:r>
          </w:p>
        </w:tc>
        <w:tc>
          <w:tcPr>
            <w:tcW w:w="928" w:type="pct"/>
          </w:tcPr>
          <w:p w:rsidR="00FD56C1" w:rsidRPr="00400CFB" w:rsidRDefault="00FD56C1" w:rsidP="00CC62CF">
            <w:pPr>
              <w:ind w:right="-57"/>
              <w:rPr>
                <w:rFonts w:ascii="Arial Narrow" w:hAnsi="Arial Narrow"/>
                <w:sz w:val="20"/>
              </w:rPr>
            </w:pPr>
            <w:r w:rsidRPr="00400CFB">
              <w:rPr>
                <w:rFonts w:ascii="Arial Narrow" w:hAnsi="Arial Narrow"/>
                <w:sz w:val="20"/>
              </w:rPr>
              <w:t xml:space="preserve">The ESC considered the claim appears reasonable, although the indirect comparison is limited by the poor exchangeability of trials involved </w:t>
            </w:r>
          </w:p>
        </w:tc>
        <w:tc>
          <w:tcPr>
            <w:tcW w:w="913" w:type="pct"/>
          </w:tcPr>
          <w:p w:rsidR="00FD56C1" w:rsidRPr="00400CFB" w:rsidRDefault="00FD56C1" w:rsidP="00CC62CF">
            <w:pPr>
              <w:ind w:left="-57" w:right="-57"/>
              <w:rPr>
                <w:rFonts w:ascii="Arial Narrow" w:hAnsi="Arial Narrow"/>
                <w:sz w:val="20"/>
              </w:rPr>
            </w:pPr>
            <w:r w:rsidRPr="00400CFB">
              <w:rPr>
                <w:rFonts w:ascii="Arial Narrow" w:hAnsi="Arial Narrow"/>
                <w:sz w:val="20"/>
              </w:rPr>
              <w:t>The ESC considered the claim not supported as no clinical evidence provided</w:t>
            </w:r>
          </w:p>
        </w:tc>
        <w:tc>
          <w:tcPr>
            <w:tcW w:w="772" w:type="pct"/>
            <w:vMerge/>
          </w:tcPr>
          <w:p w:rsidR="00FD56C1" w:rsidRPr="00400CFB" w:rsidRDefault="00FD56C1" w:rsidP="00CC62CF">
            <w:pPr>
              <w:rPr>
                <w:rFonts w:ascii="Arial Narrow" w:hAnsi="Arial Narrow"/>
                <w:sz w:val="20"/>
              </w:rPr>
            </w:pPr>
          </w:p>
        </w:tc>
      </w:tr>
    </w:tbl>
    <w:p w:rsidR="00FD56C1" w:rsidRPr="00400CFB" w:rsidRDefault="00FD56C1" w:rsidP="00C61E98">
      <w:pPr>
        <w:pStyle w:val="TableFooter"/>
        <w:ind w:firstLine="720"/>
      </w:pPr>
      <w:r w:rsidRPr="00400CFB">
        <w:t xml:space="preserve">PR = </w:t>
      </w:r>
      <w:proofErr w:type="spellStart"/>
      <w:r w:rsidRPr="00400CFB">
        <w:t>peginterferon</w:t>
      </w:r>
      <w:proofErr w:type="spellEnd"/>
      <w:r w:rsidRPr="00400CFB">
        <w:t xml:space="preserve"> and ribavirin; CI = confidence interval; PI = product information; SVR = sustained virological response</w:t>
      </w:r>
    </w:p>
    <w:p w:rsidR="00FD56C1" w:rsidRPr="00400CFB" w:rsidRDefault="00FD56C1" w:rsidP="00C61E98">
      <w:pPr>
        <w:pStyle w:val="TableFooter"/>
        <w:ind w:firstLine="709"/>
      </w:pPr>
      <w:r w:rsidRPr="00400CFB">
        <w:t>Source: Table compiled during the evaluation</w:t>
      </w:r>
    </w:p>
    <w:p w:rsidR="00BB7EC3" w:rsidRPr="00400CFB" w:rsidRDefault="00BB7EC3" w:rsidP="00BB7EC3">
      <w:pPr>
        <w:jc w:val="both"/>
        <w:rPr>
          <w:szCs w:val="22"/>
        </w:rPr>
      </w:pPr>
    </w:p>
    <w:p w:rsidR="00BB7EC3" w:rsidRPr="00C61E98" w:rsidRDefault="00BB7EC3" w:rsidP="00C61E98">
      <w:pPr>
        <w:pStyle w:val="ListParagraph"/>
        <w:numPr>
          <w:ilvl w:val="1"/>
          <w:numId w:val="25"/>
        </w:numPr>
        <w:jc w:val="both"/>
        <w:rPr>
          <w:szCs w:val="22"/>
        </w:rPr>
      </w:pPr>
      <w:r w:rsidRPr="00C61E98">
        <w:rPr>
          <w:szCs w:val="22"/>
        </w:rPr>
        <w:t>The PBAC considered that the claim of</w:t>
      </w:r>
      <w:r w:rsidR="00C210E6" w:rsidRPr="00C61E98">
        <w:rPr>
          <w:szCs w:val="22"/>
        </w:rPr>
        <w:t xml:space="preserve"> </w:t>
      </w:r>
      <w:r w:rsidRPr="00C61E98">
        <w:rPr>
          <w:szCs w:val="22"/>
        </w:rPr>
        <w:t>non-inferior comparative effectiveness was reasonable.</w:t>
      </w:r>
    </w:p>
    <w:p w:rsidR="00BB7EC3" w:rsidRPr="00400CFB" w:rsidRDefault="00BB7EC3" w:rsidP="00BB7EC3">
      <w:pPr>
        <w:pStyle w:val="ListParagraph"/>
        <w:rPr>
          <w:szCs w:val="22"/>
        </w:rPr>
      </w:pPr>
    </w:p>
    <w:p w:rsidR="00BB7EC3" w:rsidRPr="00C61E98" w:rsidRDefault="00BB7EC3" w:rsidP="00C61E98">
      <w:pPr>
        <w:pStyle w:val="ListParagraph"/>
        <w:numPr>
          <w:ilvl w:val="1"/>
          <w:numId w:val="25"/>
        </w:numPr>
        <w:jc w:val="both"/>
        <w:rPr>
          <w:szCs w:val="22"/>
        </w:rPr>
      </w:pPr>
      <w:r w:rsidRPr="00C61E98">
        <w:rPr>
          <w:szCs w:val="22"/>
        </w:rPr>
        <w:t>The PBAC considered that the claim of</w:t>
      </w:r>
      <w:r w:rsidR="00B145FB" w:rsidRPr="00C61E98">
        <w:rPr>
          <w:szCs w:val="22"/>
        </w:rPr>
        <w:t xml:space="preserve"> </w:t>
      </w:r>
      <w:r w:rsidRPr="00C61E98">
        <w:rPr>
          <w:szCs w:val="22"/>
        </w:rPr>
        <w:t>superior comparative safety was reasonable.</w:t>
      </w:r>
    </w:p>
    <w:p w:rsidR="00F57A6D" w:rsidRPr="00400CFB" w:rsidRDefault="00F57A6D" w:rsidP="00EA2EF8">
      <w:pPr>
        <w:jc w:val="both"/>
        <w:rPr>
          <w:szCs w:val="22"/>
        </w:rPr>
      </w:pPr>
    </w:p>
    <w:p w:rsidR="005A3173" w:rsidRPr="00400CFB" w:rsidRDefault="005A3173" w:rsidP="00355A02">
      <w:pPr>
        <w:jc w:val="both"/>
        <w:rPr>
          <w:b/>
          <w:szCs w:val="22"/>
        </w:rPr>
      </w:pPr>
      <w:r w:rsidRPr="00400CFB">
        <w:rPr>
          <w:b/>
          <w:szCs w:val="22"/>
        </w:rPr>
        <w:t>Economic analysis</w:t>
      </w:r>
    </w:p>
    <w:p w:rsidR="005A3173" w:rsidRPr="00400CFB" w:rsidRDefault="005A3173" w:rsidP="00882085">
      <w:pPr>
        <w:ind w:left="720" w:hanging="720"/>
        <w:jc w:val="both"/>
        <w:rPr>
          <w:szCs w:val="22"/>
        </w:rPr>
      </w:pPr>
    </w:p>
    <w:p w:rsidR="00196307" w:rsidRPr="00C61E98" w:rsidRDefault="00EA0846" w:rsidP="00C61E98">
      <w:pPr>
        <w:pStyle w:val="ListParagraph"/>
        <w:numPr>
          <w:ilvl w:val="1"/>
          <w:numId w:val="25"/>
        </w:numPr>
        <w:jc w:val="both"/>
        <w:rPr>
          <w:szCs w:val="22"/>
        </w:rPr>
      </w:pPr>
      <w:r w:rsidRPr="00C61E98">
        <w:rPr>
          <w:szCs w:val="22"/>
        </w:rPr>
        <w:t xml:space="preserve">The submission presents a cost-minimisation analysis compared to </w:t>
      </w:r>
      <w:proofErr w:type="spellStart"/>
      <w:r w:rsidRPr="00C61E98">
        <w:rPr>
          <w:szCs w:val="22"/>
        </w:rPr>
        <w:t>telaprevir</w:t>
      </w:r>
      <w:proofErr w:type="spellEnd"/>
      <w:r w:rsidR="001B7473" w:rsidRPr="00C61E98">
        <w:rPr>
          <w:szCs w:val="22"/>
        </w:rPr>
        <w:t>, with</w:t>
      </w:r>
      <w:r w:rsidRPr="00C61E98">
        <w:rPr>
          <w:szCs w:val="22"/>
        </w:rPr>
        <w:t xml:space="preserve"> </w:t>
      </w:r>
      <w:proofErr w:type="spellStart"/>
      <w:r w:rsidR="001B7473" w:rsidRPr="00C61E98">
        <w:rPr>
          <w:rFonts w:cs="Arial"/>
          <w:iCs/>
        </w:rPr>
        <w:t>s</w:t>
      </w:r>
      <w:r w:rsidR="00B33C89" w:rsidRPr="00C61E98">
        <w:rPr>
          <w:rFonts w:cs="Arial"/>
          <w:iCs/>
        </w:rPr>
        <w:t>imeprevir</w:t>
      </w:r>
      <w:proofErr w:type="spellEnd"/>
      <w:r w:rsidR="00B33C89" w:rsidRPr="00C61E98">
        <w:rPr>
          <w:rFonts w:cs="Arial"/>
          <w:iCs/>
        </w:rPr>
        <w:t xml:space="preserve"> 150mg once daily being </w:t>
      </w:r>
      <w:proofErr w:type="spellStart"/>
      <w:r w:rsidR="00B33C89" w:rsidRPr="00C61E98">
        <w:rPr>
          <w:rFonts w:cs="Arial"/>
          <w:iCs/>
        </w:rPr>
        <w:t>equi</w:t>
      </w:r>
      <w:proofErr w:type="spellEnd"/>
      <w:r w:rsidR="00B33C89" w:rsidRPr="00C61E98">
        <w:rPr>
          <w:rFonts w:cs="Arial"/>
          <w:iCs/>
        </w:rPr>
        <w:t xml:space="preserve">-effective to </w:t>
      </w:r>
      <w:proofErr w:type="spellStart"/>
      <w:r w:rsidR="00B33C89" w:rsidRPr="00C61E98">
        <w:rPr>
          <w:rFonts w:cs="Arial"/>
          <w:iCs/>
        </w:rPr>
        <w:t>telaprevir</w:t>
      </w:r>
      <w:proofErr w:type="spellEnd"/>
      <w:r w:rsidR="00B33C89" w:rsidRPr="00C61E98">
        <w:rPr>
          <w:rFonts w:cs="Arial"/>
          <w:iCs/>
        </w:rPr>
        <w:t xml:space="preserve"> 750mg three times per day</w:t>
      </w:r>
      <w:r w:rsidR="001B7473" w:rsidRPr="00C61E98">
        <w:rPr>
          <w:rFonts w:cs="Arial"/>
          <w:iCs/>
        </w:rPr>
        <w:t>.</w:t>
      </w:r>
      <w:r w:rsidR="00B33C89" w:rsidRPr="00C61E98">
        <w:rPr>
          <w:sz w:val="24"/>
        </w:rPr>
        <w:t xml:space="preserve"> </w:t>
      </w:r>
      <w:r w:rsidR="00B33C89" w:rsidRPr="00400CFB">
        <w:t xml:space="preserve">The dispensed price per maximum quantity (DPMQ) of </w:t>
      </w:r>
      <w:proofErr w:type="spellStart"/>
      <w:r w:rsidR="00B33C89" w:rsidRPr="00400CFB">
        <w:t>simeprevir</w:t>
      </w:r>
      <w:proofErr w:type="spellEnd"/>
      <w:r w:rsidR="00B33C89" w:rsidRPr="00400CFB">
        <w:t xml:space="preserve"> is </w:t>
      </w:r>
      <w:r w:rsidR="00B33C89" w:rsidRPr="00C61E98">
        <w:rPr>
          <w:szCs w:val="22"/>
        </w:rPr>
        <w:t>proposed</w:t>
      </w:r>
      <w:r w:rsidR="00B33C89" w:rsidRPr="00400CFB">
        <w:t xml:space="preserve"> to be the same as that of </w:t>
      </w:r>
      <w:proofErr w:type="spellStart"/>
      <w:r w:rsidR="00B33C89" w:rsidRPr="00400CFB">
        <w:t>telaprevir</w:t>
      </w:r>
      <w:proofErr w:type="spellEnd"/>
      <w:r w:rsidR="00B33C89" w:rsidRPr="00400CFB">
        <w:t xml:space="preserve">, (weighted based on the proportion of patients in public and private settings) per prescription for 6 weeks of </w:t>
      </w:r>
      <w:proofErr w:type="spellStart"/>
      <w:r w:rsidR="00B33C89" w:rsidRPr="00400CFB">
        <w:t>simeprevir</w:t>
      </w:r>
      <w:proofErr w:type="spellEnd"/>
      <w:r w:rsidR="00B33C89" w:rsidRPr="00400CFB">
        <w:t xml:space="preserve"> treatment. </w:t>
      </w:r>
      <w:r w:rsidR="00F57A6D" w:rsidRPr="00C61E98">
        <w:rPr>
          <w:szCs w:val="22"/>
        </w:rPr>
        <w:t xml:space="preserve"> </w:t>
      </w:r>
      <w:r w:rsidR="00B33C89" w:rsidRPr="00C61E98">
        <w:rPr>
          <w:szCs w:val="22"/>
        </w:rPr>
        <w:t xml:space="preserve">The proposed dose relativity does not consider the differences in treatment durations that are dependent on a patient’s </w:t>
      </w:r>
      <w:proofErr w:type="spellStart"/>
      <w:r w:rsidR="00B33C89" w:rsidRPr="00C61E98">
        <w:rPr>
          <w:szCs w:val="22"/>
        </w:rPr>
        <w:t>virologic</w:t>
      </w:r>
      <w:proofErr w:type="spellEnd"/>
      <w:r w:rsidR="00B33C89" w:rsidRPr="00C61E98">
        <w:rPr>
          <w:szCs w:val="22"/>
        </w:rPr>
        <w:t xml:space="preserve"> response. Nevertheless, given that the standard treatment duration of </w:t>
      </w:r>
      <w:proofErr w:type="spellStart"/>
      <w:r w:rsidR="00B33C89" w:rsidRPr="00C61E98">
        <w:rPr>
          <w:szCs w:val="22"/>
        </w:rPr>
        <w:t>simeprevir</w:t>
      </w:r>
      <w:proofErr w:type="spellEnd"/>
      <w:r w:rsidR="00B33C89" w:rsidRPr="00C61E98">
        <w:rPr>
          <w:szCs w:val="22"/>
        </w:rPr>
        <w:t xml:space="preserve"> plus PR is similar to that of </w:t>
      </w:r>
      <w:proofErr w:type="spellStart"/>
      <w:r w:rsidR="00B33C89" w:rsidRPr="00C61E98">
        <w:rPr>
          <w:szCs w:val="22"/>
        </w:rPr>
        <w:t>telaprevir</w:t>
      </w:r>
      <w:proofErr w:type="spellEnd"/>
      <w:r w:rsidR="00B33C89" w:rsidRPr="00C61E98">
        <w:rPr>
          <w:szCs w:val="22"/>
        </w:rPr>
        <w:t xml:space="preserve"> plus PR, the proposed dose relativity of </w:t>
      </w:r>
      <w:proofErr w:type="spellStart"/>
      <w:r w:rsidR="00B33C89" w:rsidRPr="00C61E98">
        <w:rPr>
          <w:szCs w:val="22"/>
        </w:rPr>
        <w:t>simeprevir</w:t>
      </w:r>
      <w:proofErr w:type="spellEnd"/>
      <w:r w:rsidR="00B33C89" w:rsidRPr="00C61E98">
        <w:rPr>
          <w:szCs w:val="22"/>
        </w:rPr>
        <w:t xml:space="preserve"> to </w:t>
      </w:r>
      <w:proofErr w:type="spellStart"/>
      <w:r w:rsidR="00B33C89" w:rsidRPr="00C61E98">
        <w:rPr>
          <w:szCs w:val="22"/>
        </w:rPr>
        <w:t>telaprevir</w:t>
      </w:r>
      <w:proofErr w:type="spellEnd"/>
      <w:r w:rsidR="00B33C89" w:rsidRPr="00C61E98">
        <w:rPr>
          <w:szCs w:val="22"/>
        </w:rPr>
        <w:t xml:space="preserve"> appears reasonable</w:t>
      </w:r>
      <w:r w:rsidR="000420AD" w:rsidRPr="00C61E98">
        <w:rPr>
          <w:szCs w:val="22"/>
        </w:rPr>
        <w:t>.</w:t>
      </w:r>
    </w:p>
    <w:p w:rsidR="00FD56C1" w:rsidRPr="00400CFB" w:rsidRDefault="00FD56C1" w:rsidP="00FD56C1">
      <w:pPr>
        <w:jc w:val="both"/>
        <w:rPr>
          <w:szCs w:val="22"/>
        </w:rPr>
      </w:pPr>
    </w:p>
    <w:p w:rsidR="00FD56C1" w:rsidRPr="00C61E98" w:rsidRDefault="00FD56C1" w:rsidP="00C61E98">
      <w:pPr>
        <w:pStyle w:val="ListParagraph"/>
        <w:numPr>
          <w:ilvl w:val="1"/>
          <w:numId w:val="25"/>
        </w:numPr>
        <w:jc w:val="both"/>
        <w:rPr>
          <w:szCs w:val="22"/>
        </w:rPr>
      </w:pPr>
      <w:r w:rsidRPr="00C61E98">
        <w:rPr>
          <w:szCs w:val="22"/>
        </w:rPr>
        <w:t xml:space="preserve">The </w:t>
      </w:r>
      <w:r w:rsidR="001B7473" w:rsidRPr="00C61E98">
        <w:rPr>
          <w:szCs w:val="22"/>
        </w:rPr>
        <w:t>DPMQ</w:t>
      </w:r>
      <w:r w:rsidRPr="00C61E98">
        <w:rPr>
          <w:szCs w:val="22"/>
        </w:rPr>
        <w:t xml:space="preserve"> of </w:t>
      </w:r>
      <w:proofErr w:type="spellStart"/>
      <w:r w:rsidRPr="00C61E98">
        <w:rPr>
          <w:szCs w:val="22"/>
        </w:rPr>
        <w:t>simeprevir</w:t>
      </w:r>
      <w:proofErr w:type="spellEnd"/>
      <w:r w:rsidRPr="00C61E98">
        <w:rPr>
          <w:szCs w:val="22"/>
        </w:rPr>
        <w:t xml:space="preserve"> is proposed to be the same as that of the main comparator </w:t>
      </w:r>
      <w:proofErr w:type="spellStart"/>
      <w:r w:rsidRPr="00C61E98">
        <w:rPr>
          <w:szCs w:val="22"/>
        </w:rPr>
        <w:t>telaprevir</w:t>
      </w:r>
      <w:proofErr w:type="spellEnd"/>
      <w:r w:rsidRPr="00C61E98">
        <w:rPr>
          <w:szCs w:val="22"/>
        </w:rPr>
        <w:t xml:space="preserve">, </w:t>
      </w:r>
      <w:r w:rsidR="004C1F6C">
        <w:rPr>
          <w:noProof/>
          <w:color w:val="000000"/>
          <w:szCs w:val="22"/>
          <w:highlight w:val="black"/>
        </w:rPr>
        <w:t>'''''''''''''''''''</w:t>
      </w:r>
      <w:r w:rsidRPr="00C61E98">
        <w:rPr>
          <w:szCs w:val="22"/>
        </w:rPr>
        <w:t xml:space="preserve"> (weighted DPMQ based on the proportion of patients in public and private settings) per prescription for 6 weeks of </w:t>
      </w:r>
      <w:proofErr w:type="spellStart"/>
      <w:r w:rsidRPr="00C61E98">
        <w:rPr>
          <w:szCs w:val="22"/>
        </w:rPr>
        <w:t>simeprevir</w:t>
      </w:r>
      <w:proofErr w:type="spellEnd"/>
      <w:r w:rsidRPr="00C61E98">
        <w:rPr>
          <w:szCs w:val="22"/>
        </w:rPr>
        <w:t xml:space="preserve"> treatment. </w:t>
      </w:r>
      <w:r w:rsidR="004C1F6C">
        <w:rPr>
          <w:noProof/>
          <w:color w:val="000000"/>
          <w:szCs w:val="22"/>
          <w:highlight w:val="black"/>
        </w:rPr>
        <w:t>''''''''' '''''''''''' ''''' '''''''''''''''''''''''' '''''''''' '''''''' ''''''' '''''''''''' ''''''''''''''''''''' ''''''''''''''''''' '''''''' ''''''''''''''''''''''''''''' '''''''''''''''</w:t>
      </w:r>
    </w:p>
    <w:p w:rsidR="00FD56C1" w:rsidRPr="00400CFB" w:rsidRDefault="00FD56C1" w:rsidP="00FD56C1">
      <w:pPr>
        <w:pStyle w:val="ListParagraph"/>
        <w:rPr>
          <w:szCs w:val="22"/>
        </w:rPr>
      </w:pPr>
    </w:p>
    <w:p w:rsidR="00FD56C1" w:rsidRPr="004C1F6C" w:rsidRDefault="004C1F6C" w:rsidP="00AD2C64">
      <w:pPr>
        <w:ind w:firstLine="720"/>
        <w:jc w:val="both"/>
        <w:rPr>
          <w:rFonts w:ascii="Arial Narrow" w:hAnsi="Arial Narrow"/>
          <w:b/>
          <w:sz w:val="20"/>
          <w:szCs w:val="16"/>
          <w:highlight w:val="black"/>
        </w:rPr>
      </w:pPr>
      <w:r>
        <w:rPr>
          <w:rStyle w:val="CommentReference"/>
          <w:rFonts w:ascii="Arial Narrow" w:hAnsi="Arial Narrow"/>
          <w:b/>
          <w:noProof/>
          <w:color w:val="000000"/>
          <w:sz w:val="20"/>
          <w:highlight w:val="black"/>
        </w:rPr>
        <w:t>''''''''''''''''''''''' '''''''' '''''' ''''''''''' ''''''''''' '''''' ''''''''''' '''''''''''''''''''' '''''''''''''''''</w:t>
      </w:r>
    </w:p>
    <w:tbl>
      <w:tblPr>
        <w:tblStyle w:val="TableGrid"/>
        <w:tblW w:w="4524" w:type="pct"/>
        <w:tblInd w:w="817" w:type="dxa"/>
        <w:tblLook w:val="04A0" w:firstRow="1" w:lastRow="0" w:firstColumn="1" w:lastColumn="0" w:noHBand="0" w:noVBand="1"/>
      </w:tblPr>
      <w:tblGrid>
        <w:gridCol w:w="1985"/>
        <w:gridCol w:w="1728"/>
        <w:gridCol w:w="2318"/>
        <w:gridCol w:w="2331"/>
      </w:tblGrid>
      <w:tr w:rsidR="00FD56C1" w:rsidRPr="00201FA1" w:rsidTr="00C61E98">
        <w:tc>
          <w:tcPr>
            <w:tcW w:w="1187" w:type="pct"/>
            <w:vAlign w:val="bottom"/>
          </w:tcPr>
          <w:p w:rsidR="00FD56C1" w:rsidRPr="004C1F6C" w:rsidRDefault="004C1F6C" w:rsidP="00CC62CF">
            <w:pPr>
              <w:jc w:val="center"/>
              <w:rPr>
                <w:rFonts w:ascii="Arial Narrow" w:hAnsi="Arial Narrow"/>
                <w:b/>
                <w:sz w:val="20"/>
                <w:highlight w:val="black"/>
              </w:rPr>
            </w:pPr>
            <w:r>
              <w:rPr>
                <w:rFonts w:ascii="Arial Narrow" w:hAnsi="Arial Narrow"/>
                <w:b/>
                <w:noProof/>
                <w:color w:val="000000"/>
                <w:sz w:val="20"/>
                <w:highlight w:val="black"/>
              </w:rPr>
              <w:t>'''''''''''''''''''' '''''''''''''''''</w:t>
            </w:r>
          </w:p>
        </w:tc>
        <w:tc>
          <w:tcPr>
            <w:tcW w:w="1033" w:type="pct"/>
            <w:vAlign w:val="bottom"/>
          </w:tcPr>
          <w:p w:rsidR="00FD56C1" w:rsidRPr="004C1F6C" w:rsidRDefault="004C1F6C" w:rsidP="00CC62CF">
            <w:pPr>
              <w:jc w:val="center"/>
              <w:rPr>
                <w:rFonts w:ascii="Arial Narrow" w:hAnsi="Arial Narrow"/>
                <w:b/>
                <w:sz w:val="20"/>
                <w:highlight w:val="black"/>
              </w:rPr>
            </w:pPr>
            <w:r>
              <w:rPr>
                <w:rFonts w:ascii="Arial Narrow" w:hAnsi="Arial Narrow"/>
                <w:b/>
                <w:noProof/>
                <w:color w:val="000000"/>
                <w:sz w:val="20"/>
                <w:highlight w:val="black"/>
              </w:rPr>
              <w:t>'''''''''' '''' ''''''''''''''''''''''</w:t>
            </w:r>
          </w:p>
        </w:tc>
        <w:tc>
          <w:tcPr>
            <w:tcW w:w="1386" w:type="pct"/>
            <w:vAlign w:val="bottom"/>
          </w:tcPr>
          <w:p w:rsidR="00FD56C1" w:rsidRPr="004C1F6C" w:rsidRDefault="004C1F6C" w:rsidP="00CC62CF">
            <w:pPr>
              <w:jc w:val="center"/>
              <w:rPr>
                <w:rFonts w:ascii="Arial Narrow" w:hAnsi="Arial Narrow"/>
                <w:b/>
                <w:sz w:val="20"/>
                <w:highlight w:val="black"/>
              </w:rPr>
            </w:pPr>
            <w:r>
              <w:rPr>
                <w:rFonts w:ascii="Arial Narrow" w:hAnsi="Arial Narrow"/>
                <w:b/>
                <w:noProof/>
                <w:color w:val="000000"/>
                <w:sz w:val="20"/>
                <w:highlight w:val="black"/>
              </w:rPr>
              <w:t>'''''''''' ''''' '''''''</w:t>
            </w:r>
          </w:p>
        </w:tc>
        <w:tc>
          <w:tcPr>
            <w:tcW w:w="1394" w:type="pct"/>
            <w:vAlign w:val="bottom"/>
          </w:tcPr>
          <w:p w:rsidR="00FD56C1" w:rsidRPr="004C1F6C" w:rsidRDefault="004C1F6C" w:rsidP="00CC62CF">
            <w:pPr>
              <w:jc w:val="center"/>
              <w:rPr>
                <w:rFonts w:ascii="Arial Narrow" w:hAnsi="Arial Narrow"/>
                <w:b/>
                <w:sz w:val="20"/>
                <w:highlight w:val="black"/>
              </w:rPr>
            </w:pPr>
            <w:r>
              <w:rPr>
                <w:rFonts w:ascii="Arial Narrow" w:hAnsi="Arial Narrow"/>
                <w:b/>
                <w:noProof/>
                <w:color w:val="000000"/>
                <w:sz w:val="20"/>
                <w:highlight w:val="black"/>
              </w:rPr>
              <w:t>'''''''''''' '''''''''''</w:t>
            </w:r>
          </w:p>
        </w:tc>
      </w:tr>
      <w:tr w:rsidR="00FD56C1" w:rsidRPr="00201FA1" w:rsidTr="00C61E98">
        <w:tc>
          <w:tcPr>
            <w:tcW w:w="1187" w:type="pct"/>
            <w:vAlign w:val="bottom"/>
          </w:tcPr>
          <w:p w:rsidR="00FD56C1" w:rsidRPr="004C1F6C" w:rsidRDefault="004C1F6C" w:rsidP="00CC62CF">
            <w:pPr>
              <w:rPr>
                <w:rFonts w:ascii="Arial Narrow" w:hAnsi="Arial Narrow"/>
                <w:sz w:val="20"/>
                <w:highlight w:val="black"/>
              </w:rPr>
            </w:pPr>
            <w:r>
              <w:rPr>
                <w:rFonts w:ascii="Arial Narrow" w:hAnsi="Arial Narrow"/>
                <w:noProof/>
                <w:color w:val="000000"/>
                <w:sz w:val="20"/>
                <w:highlight w:val="black"/>
              </w:rPr>
              <w:t>''''''''''''''''''''''''''''''</w:t>
            </w:r>
          </w:p>
        </w:tc>
        <w:tc>
          <w:tcPr>
            <w:tcW w:w="1033"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86"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94" w:type="pct"/>
            <w:vAlign w:val="bottom"/>
          </w:tcPr>
          <w:p w:rsidR="00FD56C1" w:rsidRPr="004C1F6C" w:rsidRDefault="004C1F6C" w:rsidP="00CC62CF">
            <w:pPr>
              <w:jc w:val="right"/>
              <w:rPr>
                <w:rFonts w:ascii="Arial Narrow" w:hAnsi="Arial Narrow"/>
                <w:sz w:val="20"/>
                <w:highlight w:val="black"/>
              </w:rPr>
            </w:pPr>
            <w:r>
              <w:rPr>
                <w:rFonts w:ascii="Arial Narrow" w:hAnsi="Arial Narrow"/>
                <w:noProof/>
                <w:color w:val="000000"/>
                <w:sz w:val="20"/>
                <w:highlight w:val="black"/>
              </w:rPr>
              <w:t>''''''''''''''''''''</w:t>
            </w:r>
          </w:p>
        </w:tc>
      </w:tr>
      <w:tr w:rsidR="00FD56C1" w:rsidRPr="00201FA1" w:rsidTr="00C61E98">
        <w:tc>
          <w:tcPr>
            <w:tcW w:w="1187" w:type="pct"/>
            <w:vAlign w:val="bottom"/>
          </w:tcPr>
          <w:p w:rsidR="00FD56C1" w:rsidRPr="004C1F6C" w:rsidRDefault="004C1F6C" w:rsidP="00CC62CF">
            <w:pPr>
              <w:rPr>
                <w:rFonts w:ascii="Arial Narrow" w:hAnsi="Arial Narrow"/>
                <w:sz w:val="20"/>
                <w:highlight w:val="black"/>
              </w:rPr>
            </w:pPr>
            <w:r>
              <w:rPr>
                <w:rFonts w:ascii="Arial Narrow" w:hAnsi="Arial Narrow"/>
                <w:noProof/>
                <w:color w:val="000000"/>
                <w:sz w:val="20"/>
                <w:highlight w:val="black"/>
              </w:rPr>
              <w:t>'''''''''''''''''''''''''''''''</w:t>
            </w:r>
          </w:p>
        </w:tc>
        <w:tc>
          <w:tcPr>
            <w:tcW w:w="1033"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86"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94" w:type="pct"/>
            <w:vAlign w:val="bottom"/>
          </w:tcPr>
          <w:p w:rsidR="00FD56C1" w:rsidRPr="004C1F6C" w:rsidRDefault="004C1F6C" w:rsidP="00CC62CF">
            <w:pPr>
              <w:jc w:val="right"/>
              <w:rPr>
                <w:rFonts w:ascii="Arial Narrow" w:hAnsi="Arial Narrow"/>
                <w:sz w:val="20"/>
                <w:highlight w:val="black"/>
              </w:rPr>
            </w:pPr>
            <w:r>
              <w:rPr>
                <w:rFonts w:ascii="Arial Narrow" w:hAnsi="Arial Narrow"/>
                <w:noProof/>
                <w:color w:val="000000"/>
                <w:sz w:val="20"/>
                <w:highlight w:val="black"/>
              </w:rPr>
              <w:t>''''''''''''''''''</w:t>
            </w:r>
          </w:p>
        </w:tc>
      </w:tr>
      <w:tr w:rsidR="00FD56C1" w:rsidRPr="00201FA1" w:rsidTr="00C61E98">
        <w:tc>
          <w:tcPr>
            <w:tcW w:w="1187" w:type="pct"/>
            <w:vAlign w:val="bottom"/>
          </w:tcPr>
          <w:p w:rsidR="00FD56C1" w:rsidRPr="004C1F6C" w:rsidRDefault="004C1F6C" w:rsidP="00CC62CF">
            <w:pPr>
              <w:rPr>
                <w:rFonts w:ascii="Arial Narrow" w:hAnsi="Arial Narrow"/>
                <w:sz w:val="20"/>
                <w:highlight w:val="black"/>
              </w:rPr>
            </w:pPr>
            <w:r>
              <w:rPr>
                <w:rFonts w:ascii="Arial Narrow" w:hAnsi="Arial Narrow"/>
                <w:noProof/>
                <w:color w:val="000000"/>
                <w:sz w:val="20"/>
                <w:highlight w:val="black"/>
              </w:rPr>
              <w:t>'''''''''''''''''''''''''''''''</w:t>
            </w:r>
          </w:p>
        </w:tc>
        <w:tc>
          <w:tcPr>
            <w:tcW w:w="1033"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86"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94" w:type="pct"/>
            <w:vAlign w:val="bottom"/>
          </w:tcPr>
          <w:p w:rsidR="00FD56C1" w:rsidRPr="004C1F6C" w:rsidRDefault="004C1F6C" w:rsidP="00CC62CF">
            <w:pPr>
              <w:jc w:val="right"/>
              <w:rPr>
                <w:rFonts w:ascii="Arial Narrow" w:hAnsi="Arial Narrow"/>
                <w:sz w:val="20"/>
                <w:highlight w:val="black"/>
              </w:rPr>
            </w:pPr>
            <w:r>
              <w:rPr>
                <w:rFonts w:ascii="Arial Narrow" w:hAnsi="Arial Narrow"/>
                <w:noProof/>
                <w:color w:val="000000"/>
                <w:sz w:val="20"/>
                <w:highlight w:val="black"/>
              </w:rPr>
              <w:t>'''''''''''''''''</w:t>
            </w:r>
          </w:p>
        </w:tc>
      </w:tr>
      <w:tr w:rsidR="00FD56C1" w:rsidRPr="00201FA1" w:rsidTr="00C61E98">
        <w:tc>
          <w:tcPr>
            <w:tcW w:w="1187" w:type="pct"/>
            <w:vAlign w:val="bottom"/>
          </w:tcPr>
          <w:p w:rsidR="00FD56C1" w:rsidRPr="004C1F6C" w:rsidRDefault="004C1F6C" w:rsidP="00CC62CF">
            <w:pPr>
              <w:rPr>
                <w:rFonts w:ascii="Arial Narrow" w:hAnsi="Arial Narrow"/>
                <w:sz w:val="20"/>
                <w:highlight w:val="black"/>
              </w:rPr>
            </w:pPr>
            <w:r>
              <w:rPr>
                <w:rFonts w:ascii="Arial Narrow" w:hAnsi="Arial Narrow"/>
                <w:noProof/>
                <w:color w:val="000000"/>
                <w:sz w:val="20"/>
                <w:highlight w:val="black"/>
              </w:rPr>
              <w:t>'''''''''''''''''''''''''''''''</w:t>
            </w:r>
          </w:p>
        </w:tc>
        <w:tc>
          <w:tcPr>
            <w:tcW w:w="1033"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86" w:type="pct"/>
            <w:vAlign w:val="bottom"/>
          </w:tcPr>
          <w:p w:rsidR="00FD56C1" w:rsidRPr="004C1F6C" w:rsidRDefault="004C1F6C" w:rsidP="00CC62CF">
            <w:pPr>
              <w:jc w:val="right"/>
              <w:rPr>
                <w:rFonts w:ascii="Arial Narrow" w:hAnsi="Arial Narrow"/>
                <w:color w:val="000000"/>
                <w:sz w:val="20"/>
                <w:highlight w:val="black"/>
              </w:rPr>
            </w:pPr>
            <w:r>
              <w:rPr>
                <w:rFonts w:ascii="Arial Narrow" w:hAnsi="Arial Narrow"/>
                <w:noProof/>
                <w:color w:val="000000"/>
                <w:sz w:val="20"/>
                <w:highlight w:val="black"/>
              </w:rPr>
              <w:t>'''''''''''''''''''''</w:t>
            </w:r>
          </w:p>
        </w:tc>
        <w:tc>
          <w:tcPr>
            <w:tcW w:w="1394" w:type="pct"/>
            <w:vAlign w:val="bottom"/>
          </w:tcPr>
          <w:p w:rsidR="00FD56C1" w:rsidRPr="004C1F6C" w:rsidRDefault="004C1F6C" w:rsidP="00CC62CF">
            <w:pPr>
              <w:jc w:val="right"/>
              <w:rPr>
                <w:rFonts w:ascii="Arial Narrow" w:hAnsi="Arial Narrow"/>
                <w:sz w:val="20"/>
                <w:highlight w:val="black"/>
              </w:rPr>
            </w:pPr>
            <w:r>
              <w:rPr>
                <w:rFonts w:ascii="Arial Narrow" w:hAnsi="Arial Narrow"/>
                <w:noProof/>
                <w:color w:val="000000"/>
                <w:sz w:val="20"/>
                <w:highlight w:val="black"/>
              </w:rPr>
              <w:t>''''''''''''''''''</w:t>
            </w:r>
          </w:p>
        </w:tc>
      </w:tr>
    </w:tbl>
    <w:p w:rsidR="00BB7EC3" w:rsidRPr="004C1F6C" w:rsidRDefault="00BB7EC3" w:rsidP="00355A02"/>
    <w:p w:rsidR="00BB7EC3" w:rsidRPr="00EA2EF8" w:rsidRDefault="00BB7EC3" w:rsidP="00BB7EC3">
      <w:pPr>
        <w:pStyle w:val="ListParagraph"/>
        <w:ind w:left="709"/>
        <w:jc w:val="both"/>
        <w:rPr>
          <w:i/>
          <w:szCs w:val="22"/>
        </w:rPr>
      </w:pPr>
      <w:r w:rsidRPr="00EA2EF8">
        <w:rPr>
          <w:i/>
          <w:szCs w:val="22"/>
        </w:rPr>
        <w:t>For more detail on PBAC’s view, see section 7 “PBAC outcome”</w:t>
      </w:r>
    </w:p>
    <w:p w:rsidR="00F57A6D" w:rsidRPr="00400CFB" w:rsidRDefault="00F57A6D" w:rsidP="00882085">
      <w:pPr>
        <w:ind w:left="720" w:hanging="720"/>
        <w:jc w:val="both"/>
        <w:rPr>
          <w:szCs w:val="22"/>
        </w:rPr>
      </w:pPr>
    </w:p>
    <w:p w:rsidR="005A3173" w:rsidRPr="00400CFB" w:rsidRDefault="005A3173" w:rsidP="00882085">
      <w:pPr>
        <w:ind w:left="720" w:hanging="720"/>
        <w:jc w:val="both"/>
        <w:rPr>
          <w:b/>
          <w:szCs w:val="22"/>
        </w:rPr>
      </w:pPr>
      <w:r w:rsidRPr="00400CFB">
        <w:rPr>
          <w:b/>
          <w:szCs w:val="22"/>
        </w:rPr>
        <w:t>Estimated PBS usage &amp; financial implications</w:t>
      </w:r>
    </w:p>
    <w:p w:rsidR="005A3173" w:rsidRPr="00400CFB" w:rsidRDefault="005A3173" w:rsidP="00882085">
      <w:pPr>
        <w:ind w:left="720" w:hanging="720"/>
        <w:jc w:val="both"/>
        <w:rPr>
          <w:b/>
          <w:szCs w:val="22"/>
        </w:rPr>
      </w:pPr>
    </w:p>
    <w:p w:rsidR="00A14915" w:rsidRPr="00C61E98" w:rsidRDefault="00556E4D" w:rsidP="00C61E98">
      <w:pPr>
        <w:pStyle w:val="ListParagraph"/>
        <w:numPr>
          <w:ilvl w:val="1"/>
          <w:numId w:val="25"/>
        </w:numPr>
        <w:jc w:val="both"/>
        <w:rPr>
          <w:szCs w:val="22"/>
        </w:rPr>
      </w:pPr>
      <w:r w:rsidRPr="00C61E98">
        <w:rPr>
          <w:szCs w:val="22"/>
        </w:rPr>
        <w:t xml:space="preserve">The submission assumes that </w:t>
      </w:r>
      <w:proofErr w:type="spellStart"/>
      <w:r w:rsidRPr="00C61E98">
        <w:rPr>
          <w:szCs w:val="22"/>
        </w:rPr>
        <w:t>simeprevir</w:t>
      </w:r>
      <w:proofErr w:type="spellEnd"/>
      <w:r w:rsidRPr="00C61E98">
        <w:rPr>
          <w:szCs w:val="22"/>
        </w:rPr>
        <w:t xml:space="preserve"> will not contribute to the growth of the DAA market for HCV, but that </w:t>
      </w:r>
      <w:proofErr w:type="spellStart"/>
      <w:r w:rsidRPr="00C61E98">
        <w:rPr>
          <w:szCs w:val="22"/>
        </w:rPr>
        <w:t>simeprevir</w:t>
      </w:r>
      <w:proofErr w:type="spellEnd"/>
      <w:r w:rsidRPr="00C61E98">
        <w:rPr>
          <w:szCs w:val="22"/>
        </w:rPr>
        <w:t xml:space="preserve"> will substitute equally for its pharmacological analogues, </w:t>
      </w:r>
      <w:proofErr w:type="spellStart"/>
      <w:r w:rsidRPr="00C61E98">
        <w:rPr>
          <w:szCs w:val="22"/>
        </w:rPr>
        <w:t>telaprevir</w:t>
      </w:r>
      <w:proofErr w:type="spellEnd"/>
      <w:r w:rsidRPr="00C61E98">
        <w:rPr>
          <w:szCs w:val="22"/>
        </w:rPr>
        <w:t xml:space="preserve"> and </w:t>
      </w:r>
      <w:proofErr w:type="spellStart"/>
      <w:r w:rsidRPr="00C61E98">
        <w:rPr>
          <w:szCs w:val="22"/>
        </w:rPr>
        <w:t>boceprevir</w:t>
      </w:r>
      <w:proofErr w:type="spellEnd"/>
      <w:r w:rsidRPr="00C61E98">
        <w:rPr>
          <w:szCs w:val="22"/>
        </w:rPr>
        <w:t xml:space="preserve">. The submission estimates DAA script numbers and patient numbers based on the Medicare PBS data for </w:t>
      </w:r>
      <w:proofErr w:type="spellStart"/>
      <w:r w:rsidRPr="00C61E98">
        <w:rPr>
          <w:szCs w:val="22"/>
        </w:rPr>
        <w:t>telaprevir</w:t>
      </w:r>
      <w:proofErr w:type="spellEnd"/>
      <w:r w:rsidRPr="00C61E98">
        <w:rPr>
          <w:szCs w:val="22"/>
        </w:rPr>
        <w:t xml:space="preserve"> and </w:t>
      </w:r>
      <w:proofErr w:type="spellStart"/>
      <w:r w:rsidRPr="00C61E98">
        <w:rPr>
          <w:szCs w:val="22"/>
        </w:rPr>
        <w:t>boceprevir</w:t>
      </w:r>
      <w:proofErr w:type="spellEnd"/>
      <w:r w:rsidRPr="00C61E98">
        <w:rPr>
          <w:szCs w:val="22"/>
        </w:rPr>
        <w:t xml:space="preserve"> from 2013. The current estimated market share of </w:t>
      </w:r>
      <w:proofErr w:type="spellStart"/>
      <w:r w:rsidRPr="00C61E98">
        <w:rPr>
          <w:szCs w:val="22"/>
        </w:rPr>
        <w:t>telaprevir</w:t>
      </w:r>
      <w:proofErr w:type="spellEnd"/>
      <w:r w:rsidRPr="00C61E98">
        <w:rPr>
          <w:szCs w:val="22"/>
        </w:rPr>
        <w:t xml:space="preserve"> and </w:t>
      </w:r>
      <w:proofErr w:type="spellStart"/>
      <w:r w:rsidRPr="00C61E98">
        <w:rPr>
          <w:szCs w:val="22"/>
        </w:rPr>
        <w:t>boceprevir</w:t>
      </w:r>
      <w:proofErr w:type="spellEnd"/>
      <w:r w:rsidRPr="00C61E98">
        <w:rPr>
          <w:szCs w:val="22"/>
        </w:rPr>
        <w:t xml:space="preserve"> is 53% </w:t>
      </w:r>
      <w:r w:rsidRPr="00C61E98">
        <w:rPr>
          <w:szCs w:val="22"/>
        </w:rPr>
        <w:lastRenderedPageBreak/>
        <w:t xml:space="preserve">and 47% respectively. </w:t>
      </w:r>
      <w:r w:rsidRPr="00904354">
        <w:rPr>
          <w:szCs w:val="22"/>
        </w:rPr>
        <w:t xml:space="preserve">The submission expects that </w:t>
      </w:r>
      <w:proofErr w:type="spellStart"/>
      <w:r w:rsidRPr="00904354">
        <w:rPr>
          <w:szCs w:val="22"/>
        </w:rPr>
        <w:t>simeprevir</w:t>
      </w:r>
      <w:proofErr w:type="spellEnd"/>
      <w:r w:rsidRPr="00904354">
        <w:rPr>
          <w:szCs w:val="22"/>
        </w:rPr>
        <w:t xml:space="preserve"> will have a market uptake rate of </w:t>
      </w:r>
      <w:r w:rsidR="004C1F6C">
        <w:rPr>
          <w:noProof/>
          <w:color w:val="000000"/>
          <w:szCs w:val="22"/>
          <w:highlight w:val="black"/>
        </w:rPr>
        <w:t>''''''''''''</w:t>
      </w:r>
      <w:r w:rsidR="00A14915" w:rsidRPr="00C61E98">
        <w:rPr>
          <w:szCs w:val="22"/>
        </w:rPr>
        <w:t xml:space="preserve"> Given the superior safety profile for </w:t>
      </w:r>
      <w:proofErr w:type="spellStart"/>
      <w:r w:rsidR="0076595C" w:rsidRPr="00C61E98">
        <w:rPr>
          <w:szCs w:val="22"/>
        </w:rPr>
        <w:t>simeprevir</w:t>
      </w:r>
      <w:proofErr w:type="spellEnd"/>
      <w:r w:rsidR="00A14915" w:rsidRPr="00C61E98">
        <w:rPr>
          <w:szCs w:val="22"/>
        </w:rPr>
        <w:t xml:space="preserve"> over </w:t>
      </w:r>
      <w:proofErr w:type="spellStart"/>
      <w:r w:rsidR="00B27834" w:rsidRPr="00C61E98">
        <w:rPr>
          <w:szCs w:val="22"/>
        </w:rPr>
        <w:t>telaprevir</w:t>
      </w:r>
      <w:proofErr w:type="spellEnd"/>
      <w:r w:rsidR="00A14915" w:rsidRPr="00C61E98">
        <w:rPr>
          <w:szCs w:val="22"/>
        </w:rPr>
        <w:t xml:space="preserve"> and </w:t>
      </w:r>
      <w:proofErr w:type="spellStart"/>
      <w:r w:rsidR="00B27834" w:rsidRPr="00C61E98">
        <w:rPr>
          <w:szCs w:val="22"/>
        </w:rPr>
        <w:t>boceprevir</w:t>
      </w:r>
      <w:proofErr w:type="spellEnd"/>
      <w:r w:rsidR="00A14915" w:rsidRPr="00C61E98">
        <w:rPr>
          <w:szCs w:val="22"/>
        </w:rPr>
        <w:t xml:space="preserve">, the lower pill burden and that patients may be waiting for alternate treatment options with fewer side effects, the ESC considered that assumption that </w:t>
      </w:r>
      <w:proofErr w:type="spellStart"/>
      <w:r w:rsidR="00B27834" w:rsidRPr="00C61E98">
        <w:rPr>
          <w:szCs w:val="22"/>
        </w:rPr>
        <w:t>simeprevir</w:t>
      </w:r>
      <w:proofErr w:type="spellEnd"/>
      <w:r w:rsidR="00A14915" w:rsidRPr="00C61E98">
        <w:rPr>
          <w:szCs w:val="22"/>
        </w:rPr>
        <w:t xml:space="preserve"> would not contribute to market growth may not be correct and the market for NS3/4A protease inhibitors may increase.  </w:t>
      </w:r>
    </w:p>
    <w:p w:rsidR="000716E3" w:rsidRDefault="000716E3" w:rsidP="00A14915">
      <w:pPr>
        <w:rPr>
          <w:szCs w:val="22"/>
        </w:rPr>
      </w:pPr>
    </w:p>
    <w:p w:rsidR="00A14915" w:rsidRPr="004C1F6C" w:rsidRDefault="004C1F6C" w:rsidP="00C61E98">
      <w:pPr>
        <w:ind w:firstLine="720"/>
        <w:rPr>
          <w:rFonts w:ascii="Arial Narrow" w:hAnsi="Arial Narrow"/>
          <w:b/>
          <w:sz w:val="20"/>
          <w:szCs w:val="16"/>
          <w:highlight w:val="black"/>
        </w:rPr>
      </w:pPr>
      <w:r>
        <w:rPr>
          <w:rStyle w:val="CommentReference"/>
          <w:rFonts w:ascii="Arial Narrow" w:hAnsi="Arial Narrow"/>
          <w:b/>
          <w:noProof/>
          <w:color w:val="000000"/>
          <w:sz w:val="20"/>
          <w:highlight w:val="black"/>
        </w:rPr>
        <w:t>'''''''''''''''''''' ''''''' '''''''' '''''''''''''''' ''''''''''''''''''''''' '''' ''''''' '''''''''' '''' '''''''''''''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70"/>
        <w:gridCol w:w="1112"/>
        <w:gridCol w:w="1112"/>
        <w:gridCol w:w="1214"/>
        <w:gridCol w:w="1218"/>
        <w:gridCol w:w="1537"/>
      </w:tblGrid>
      <w:tr w:rsidR="00A14915" w:rsidRPr="00201FA1" w:rsidTr="00C61E98">
        <w:trPr>
          <w:trHeight w:val="227"/>
          <w:tblHeader/>
        </w:trPr>
        <w:tc>
          <w:tcPr>
            <w:tcW w:w="1297" w:type="pct"/>
            <w:shd w:val="clear" w:color="auto" w:fill="auto"/>
            <w:vAlign w:val="center"/>
          </w:tcPr>
          <w:p w:rsidR="00A14915" w:rsidRPr="004C1F6C" w:rsidRDefault="00A14915" w:rsidP="00A14915">
            <w:pPr>
              <w:tabs>
                <w:tab w:val="left" w:pos="142"/>
              </w:tabs>
              <w:rPr>
                <w:rFonts w:ascii="Arial Narrow" w:hAnsi="Arial Narrow"/>
                <w:b/>
                <w:sz w:val="18"/>
              </w:rPr>
            </w:pPr>
          </w:p>
        </w:tc>
        <w:tc>
          <w:tcPr>
            <w:tcW w:w="665" w:type="pct"/>
            <w:shd w:val="clear" w:color="auto" w:fill="auto"/>
            <w:vAlign w:val="center"/>
          </w:tcPr>
          <w:p w:rsidR="00A14915" w:rsidRPr="004C1F6C" w:rsidRDefault="004C1F6C" w:rsidP="00A14915">
            <w:pPr>
              <w:jc w:val="center"/>
              <w:rPr>
                <w:rFonts w:ascii="Arial Narrow" w:hAnsi="Arial Narrow"/>
                <w:b/>
                <w:sz w:val="20"/>
                <w:highlight w:val="black"/>
              </w:rPr>
            </w:pPr>
            <w:r>
              <w:rPr>
                <w:rFonts w:ascii="Arial Narrow" w:hAnsi="Arial Narrow"/>
                <w:b/>
                <w:noProof/>
                <w:color w:val="000000"/>
                <w:sz w:val="20"/>
                <w:highlight w:val="black"/>
              </w:rPr>
              <w:t>'''''''''' '''</w:t>
            </w:r>
          </w:p>
        </w:tc>
        <w:tc>
          <w:tcPr>
            <w:tcW w:w="665" w:type="pct"/>
            <w:shd w:val="clear" w:color="auto" w:fill="auto"/>
            <w:vAlign w:val="center"/>
          </w:tcPr>
          <w:p w:rsidR="00A14915" w:rsidRPr="004C1F6C" w:rsidRDefault="004C1F6C" w:rsidP="00A14915">
            <w:pPr>
              <w:jc w:val="center"/>
              <w:rPr>
                <w:rFonts w:ascii="Arial Narrow" w:hAnsi="Arial Narrow"/>
                <w:b/>
                <w:sz w:val="20"/>
                <w:highlight w:val="black"/>
              </w:rPr>
            </w:pPr>
            <w:r>
              <w:rPr>
                <w:rFonts w:ascii="Arial Narrow" w:hAnsi="Arial Narrow"/>
                <w:b/>
                <w:noProof/>
                <w:color w:val="000000"/>
                <w:sz w:val="20"/>
                <w:highlight w:val="black"/>
              </w:rPr>
              <w:t>''''''''' '''</w:t>
            </w:r>
          </w:p>
        </w:tc>
        <w:tc>
          <w:tcPr>
            <w:tcW w:w="726" w:type="pct"/>
            <w:shd w:val="clear" w:color="auto" w:fill="auto"/>
            <w:vAlign w:val="center"/>
          </w:tcPr>
          <w:p w:rsidR="00A14915" w:rsidRPr="004C1F6C" w:rsidRDefault="004C1F6C" w:rsidP="00A14915">
            <w:pPr>
              <w:jc w:val="center"/>
              <w:rPr>
                <w:rFonts w:ascii="Arial Narrow" w:hAnsi="Arial Narrow"/>
                <w:b/>
                <w:sz w:val="20"/>
                <w:highlight w:val="black"/>
              </w:rPr>
            </w:pPr>
            <w:r>
              <w:rPr>
                <w:rFonts w:ascii="Arial Narrow" w:hAnsi="Arial Narrow"/>
                <w:b/>
                <w:noProof/>
                <w:color w:val="000000"/>
                <w:sz w:val="20"/>
                <w:highlight w:val="black"/>
              </w:rPr>
              <w:t>''''''''' '''</w:t>
            </w:r>
          </w:p>
        </w:tc>
        <w:tc>
          <w:tcPr>
            <w:tcW w:w="728" w:type="pct"/>
            <w:shd w:val="clear" w:color="auto" w:fill="auto"/>
            <w:vAlign w:val="center"/>
          </w:tcPr>
          <w:p w:rsidR="00A14915" w:rsidRPr="004C1F6C" w:rsidRDefault="004C1F6C" w:rsidP="00A14915">
            <w:pPr>
              <w:jc w:val="center"/>
              <w:rPr>
                <w:rFonts w:ascii="Arial Narrow" w:hAnsi="Arial Narrow"/>
                <w:b/>
                <w:sz w:val="20"/>
                <w:highlight w:val="black"/>
              </w:rPr>
            </w:pPr>
            <w:r>
              <w:rPr>
                <w:rFonts w:ascii="Arial Narrow" w:hAnsi="Arial Narrow"/>
                <w:b/>
                <w:noProof/>
                <w:color w:val="000000"/>
                <w:sz w:val="20"/>
                <w:highlight w:val="black"/>
              </w:rPr>
              <w:t>'''''''''' '''</w:t>
            </w:r>
          </w:p>
        </w:tc>
        <w:tc>
          <w:tcPr>
            <w:tcW w:w="918" w:type="pct"/>
            <w:shd w:val="clear" w:color="auto" w:fill="auto"/>
            <w:vAlign w:val="center"/>
          </w:tcPr>
          <w:p w:rsidR="00A14915" w:rsidRPr="004C1F6C" w:rsidRDefault="004C1F6C" w:rsidP="00A14915">
            <w:pPr>
              <w:jc w:val="center"/>
              <w:rPr>
                <w:rFonts w:ascii="Arial Narrow" w:hAnsi="Arial Narrow"/>
                <w:b/>
                <w:sz w:val="20"/>
                <w:highlight w:val="black"/>
              </w:rPr>
            </w:pPr>
            <w:r>
              <w:rPr>
                <w:rFonts w:ascii="Arial Narrow" w:hAnsi="Arial Narrow"/>
                <w:b/>
                <w:noProof/>
                <w:color w:val="000000"/>
                <w:sz w:val="20"/>
                <w:highlight w:val="black"/>
              </w:rPr>
              <w:t>''''''''' '''</w:t>
            </w:r>
          </w:p>
        </w:tc>
      </w:tr>
      <w:tr w:rsidR="00A14915" w:rsidRPr="00201FA1" w:rsidTr="00C61E98">
        <w:trPr>
          <w:trHeight w:val="227"/>
        </w:trPr>
        <w:tc>
          <w:tcPr>
            <w:tcW w:w="5000" w:type="pct"/>
            <w:gridSpan w:val="6"/>
            <w:shd w:val="clear" w:color="auto" w:fill="auto"/>
            <w:vAlign w:val="center"/>
          </w:tcPr>
          <w:p w:rsidR="00A14915" w:rsidRPr="004C1F6C" w:rsidRDefault="004C1F6C" w:rsidP="00A14915">
            <w:pPr>
              <w:jc w:val="center"/>
              <w:rPr>
                <w:rFonts w:ascii="Arial Narrow" w:hAnsi="Arial Narrow"/>
                <w:b/>
                <w:bCs/>
                <w:color w:val="000000"/>
                <w:sz w:val="20"/>
                <w:highlight w:val="black"/>
              </w:rPr>
            </w:pPr>
            <w:r>
              <w:rPr>
                <w:rFonts w:ascii="Arial Narrow" w:hAnsi="Arial Narrow"/>
                <w:b/>
                <w:bCs/>
                <w:noProof/>
                <w:color w:val="000000"/>
                <w:sz w:val="20"/>
                <w:highlight w:val="black"/>
              </w:rPr>
              <w:t>''''''''''''''''''' ''''''''''''' '''' ''''''''</w:t>
            </w:r>
          </w:p>
        </w:tc>
      </w:tr>
      <w:tr w:rsidR="00A14915" w:rsidRPr="00201FA1" w:rsidTr="00C61E98">
        <w:trPr>
          <w:trHeight w:val="454"/>
        </w:trPr>
        <w:tc>
          <w:tcPr>
            <w:tcW w:w="1297" w:type="pct"/>
            <w:shd w:val="clear" w:color="auto" w:fill="auto"/>
            <w:vAlign w:val="center"/>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 '''''''''''''''' '''''''''' ''''''''''' ''''''''''''''</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eastAsia="SimSun" w:hAnsi="Arial Narrow"/>
                <w:noProof/>
                <w:color w:val="000000"/>
                <w:sz w:val="20"/>
                <w:highlight w:val="black"/>
                <w:lang w:eastAsia="zh-CN"/>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eastAsia="SimSun" w:hAnsi="Arial Narrow"/>
                <w:noProof/>
                <w:color w:val="000000"/>
                <w:sz w:val="20"/>
                <w:highlight w:val="black"/>
                <w:lang w:eastAsia="zh-CN"/>
              </w:rPr>
              <w:t>''''''''''</w:t>
            </w:r>
          </w:p>
        </w:tc>
        <w:tc>
          <w:tcPr>
            <w:tcW w:w="726"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eastAsia="SimSun" w:hAnsi="Arial Narrow"/>
                <w:noProof/>
                <w:color w:val="000000"/>
                <w:sz w:val="20"/>
                <w:highlight w:val="black"/>
                <w:lang w:eastAsia="zh-CN"/>
              </w:rPr>
              <w:t>'''''''''''</w:t>
            </w:r>
          </w:p>
        </w:tc>
        <w:tc>
          <w:tcPr>
            <w:tcW w:w="72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eastAsia="SimSun" w:hAnsi="Arial Narrow"/>
                <w:noProof/>
                <w:color w:val="000000"/>
                <w:sz w:val="20"/>
                <w:highlight w:val="black"/>
                <w:lang w:eastAsia="zh-CN"/>
              </w:rPr>
              <w:t>'''''''''''''</w:t>
            </w:r>
          </w:p>
        </w:tc>
        <w:tc>
          <w:tcPr>
            <w:tcW w:w="91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eastAsia="SimSun" w:hAnsi="Arial Narrow"/>
                <w:noProof/>
                <w:color w:val="000000"/>
                <w:sz w:val="20"/>
                <w:highlight w:val="black"/>
                <w:lang w:eastAsia="zh-CN"/>
              </w:rPr>
              <w:t xml:space="preserve"> '''''''''''''</w:t>
            </w:r>
          </w:p>
        </w:tc>
      </w:tr>
      <w:tr w:rsidR="00A14915" w:rsidRPr="00201FA1" w:rsidTr="00C61E98">
        <w:trPr>
          <w:trHeight w:val="454"/>
        </w:trPr>
        <w:tc>
          <w:tcPr>
            <w:tcW w:w="1297" w:type="pct"/>
            <w:shd w:val="clear" w:color="auto" w:fill="auto"/>
            <w:vAlign w:val="center"/>
          </w:tcPr>
          <w:p w:rsidR="00A14915" w:rsidRPr="004C1F6C" w:rsidRDefault="004C1F6C" w:rsidP="00A14915">
            <w:pPr>
              <w:tabs>
                <w:tab w:val="left" w:pos="142"/>
              </w:tabs>
              <w:rPr>
                <w:rFonts w:ascii="Arial Narrow" w:hAnsi="Arial Narrow"/>
                <w:b/>
                <w:sz w:val="20"/>
                <w:highlight w:val="black"/>
              </w:rPr>
            </w:pPr>
            <w:r>
              <w:rPr>
                <w:rFonts w:ascii="Arial Narrow" w:hAnsi="Arial Narrow"/>
                <w:b/>
                <w:noProof/>
                <w:color w:val="000000"/>
                <w:sz w:val="20"/>
                <w:highlight w:val="black"/>
              </w:rPr>
              <w:t>''''''''''''''''''''' '''''''''''''''' '''''''''''' ''''' '''''''''''''''''''''''</w:t>
            </w:r>
          </w:p>
        </w:tc>
        <w:tc>
          <w:tcPr>
            <w:tcW w:w="3703" w:type="pct"/>
            <w:gridSpan w:val="5"/>
            <w:shd w:val="clear" w:color="auto" w:fill="auto"/>
            <w:vAlign w:val="center"/>
          </w:tcPr>
          <w:p w:rsidR="00A14915" w:rsidRPr="004C1F6C" w:rsidRDefault="004C1F6C" w:rsidP="00A14915">
            <w:pPr>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A14915" w:rsidRPr="00201FA1" w:rsidTr="00C61E98">
        <w:trPr>
          <w:trHeight w:val="227"/>
        </w:trPr>
        <w:tc>
          <w:tcPr>
            <w:tcW w:w="5000" w:type="pct"/>
            <w:gridSpan w:val="6"/>
            <w:shd w:val="clear" w:color="auto" w:fill="auto"/>
            <w:vAlign w:val="center"/>
          </w:tcPr>
          <w:p w:rsidR="00A14915" w:rsidRPr="004C1F6C" w:rsidRDefault="004C1F6C" w:rsidP="00A14915">
            <w:pPr>
              <w:jc w:val="center"/>
              <w:rPr>
                <w:rFonts w:ascii="Arial Narrow" w:hAnsi="Arial Narrow"/>
                <w:bCs/>
                <w:color w:val="000000"/>
                <w:sz w:val="20"/>
                <w:highlight w:val="black"/>
              </w:rPr>
            </w:pPr>
            <w:r>
              <w:rPr>
                <w:rFonts w:ascii="Arial Narrow" w:hAnsi="Arial Narrow"/>
                <w:b/>
                <w:noProof/>
                <w:color w:val="000000"/>
                <w:sz w:val="20"/>
                <w:highlight w:val="black"/>
              </w:rPr>
              <w:t>''''''' '''''''''''''''' '''' ''''''''''' '''''''''''''''''''''</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6"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1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6"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1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6"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1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6"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1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center"/>
          </w:tcPr>
          <w:p w:rsidR="00A14915" w:rsidRPr="004C1F6C" w:rsidRDefault="004C1F6C" w:rsidP="00A14915">
            <w:pPr>
              <w:tabs>
                <w:tab w:val="left" w:pos="142"/>
              </w:tabs>
              <w:rPr>
                <w:rFonts w:ascii="Arial Narrow" w:hAnsi="Arial Narrow"/>
                <w:sz w:val="20"/>
                <w:highlight w:val="black"/>
              </w:rPr>
            </w:pPr>
            <w:r>
              <w:rPr>
                <w:rStyle w:val="BoldCharacterCV"/>
                <w:rFonts w:ascii="Arial Narrow" w:eastAsia="SimSun"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6"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918" w:type="pct"/>
            <w:shd w:val="clear" w:color="auto" w:fill="auto"/>
          </w:tcPr>
          <w:p w:rsidR="00A14915" w:rsidRPr="004C1F6C" w:rsidRDefault="004C1F6C" w:rsidP="00A14915">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A14915" w:rsidRPr="00201FA1" w:rsidTr="00C61E98">
        <w:trPr>
          <w:trHeight w:val="227"/>
        </w:trPr>
        <w:tc>
          <w:tcPr>
            <w:tcW w:w="5000" w:type="pct"/>
            <w:gridSpan w:val="6"/>
            <w:shd w:val="clear" w:color="auto" w:fill="auto"/>
            <w:vAlign w:val="center"/>
          </w:tcPr>
          <w:p w:rsidR="00A14915" w:rsidRPr="004C1F6C" w:rsidRDefault="004C1F6C" w:rsidP="00A14915">
            <w:pPr>
              <w:jc w:val="center"/>
              <w:rPr>
                <w:rFonts w:ascii="Arial Narrow" w:hAnsi="Arial Narrow"/>
                <w:b/>
                <w:bCs/>
                <w:color w:val="000000"/>
                <w:sz w:val="20"/>
                <w:highlight w:val="black"/>
              </w:rPr>
            </w:pPr>
            <w:r>
              <w:rPr>
                <w:rFonts w:ascii="Arial Narrow" w:hAnsi="Arial Narrow"/>
                <w:b/>
                <w:bCs/>
                <w:noProof/>
                <w:color w:val="000000"/>
                <w:sz w:val="20"/>
                <w:highlight w:val="black"/>
              </w:rPr>
              <w:t>''''''''''''''''''''''' ''''''''' ''''' ''''''''' '''''''''''''''''''''''' '''''''''''''''''''''''''</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6"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91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6"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91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6"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91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r>
      <w:tr w:rsidR="00A14915" w:rsidRPr="00201FA1" w:rsidTr="00C61E98">
        <w:trPr>
          <w:trHeight w:val="227"/>
        </w:trPr>
        <w:tc>
          <w:tcPr>
            <w:tcW w:w="1297" w:type="pct"/>
            <w:shd w:val="clear" w:color="auto" w:fill="auto"/>
            <w:vAlign w:val="bottom"/>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665"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6"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72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c>
          <w:tcPr>
            <w:tcW w:w="918" w:type="pct"/>
            <w:shd w:val="clear" w:color="auto" w:fill="auto"/>
            <w:vAlign w:val="bottom"/>
          </w:tcPr>
          <w:p w:rsidR="00A14915" w:rsidRPr="004C1F6C" w:rsidRDefault="004C1F6C" w:rsidP="00A14915">
            <w:pPr>
              <w:jc w:val="right"/>
              <w:rPr>
                <w:rFonts w:ascii="Arial Narrow" w:hAnsi="Arial Narrow"/>
                <w:sz w:val="20"/>
                <w:highlight w:val="black"/>
              </w:rPr>
            </w:pPr>
            <w:r>
              <w:rPr>
                <w:rFonts w:ascii="Arial Narrow" w:hAnsi="Arial Narrow"/>
                <w:noProof/>
                <w:color w:val="000000"/>
                <w:sz w:val="20"/>
                <w:highlight w:val="black"/>
              </w:rPr>
              <w:t>'''''''''''''''''''''''''''''</w:t>
            </w:r>
          </w:p>
        </w:tc>
      </w:tr>
      <w:tr w:rsidR="00A14915" w:rsidRPr="00201FA1" w:rsidTr="00C61E98">
        <w:trPr>
          <w:trHeight w:val="470"/>
        </w:trPr>
        <w:tc>
          <w:tcPr>
            <w:tcW w:w="1297" w:type="pct"/>
            <w:shd w:val="clear" w:color="auto" w:fill="auto"/>
            <w:vAlign w:val="center"/>
          </w:tcPr>
          <w:p w:rsidR="00A14915" w:rsidRPr="004C1F6C" w:rsidRDefault="004C1F6C" w:rsidP="00A14915">
            <w:pPr>
              <w:tabs>
                <w:tab w:val="left" w:pos="142"/>
              </w:tabs>
              <w:rPr>
                <w:rFonts w:ascii="Arial Narrow" w:hAnsi="Arial Narrow"/>
                <w:sz w:val="20"/>
                <w:highlight w:val="black"/>
              </w:rPr>
            </w:pPr>
            <w:r>
              <w:rPr>
                <w:rFonts w:ascii="Arial Narrow" w:hAnsi="Arial Narrow"/>
                <w:noProof/>
                <w:color w:val="000000"/>
                <w:sz w:val="20"/>
                <w:highlight w:val="black"/>
              </w:rPr>
              <w:t>''''''''''' '''''''' ''''''''''' ''''' '''''''''' '''''''''''''''''''''' '''''''''''''''''''''''''''''''''</w:t>
            </w:r>
          </w:p>
        </w:tc>
        <w:tc>
          <w:tcPr>
            <w:tcW w:w="665" w:type="pct"/>
            <w:shd w:val="clear" w:color="auto" w:fill="auto"/>
          </w:tcPr>
          <w:p w:rsidR="00A14915" w:rsidRPr="004C1F6C" w:rsidRDefault="004C1F6C" w:rsidP="00A14915">
            <w:pPr>
              <w:jc w:val="right"/>
              <w:rPr>
                <w:rFonts w:ascii="Arial Narrow" w:hAnsi="Arial Narrow"/>
                <w:bCs/>
                <w:color w:val="000000"/>
                <w:sz w:val="20"/>
                <w:highlight w:val="black"/>
              </w:rPr>
            </w:pPr>
            <w:r>
              <w:rPr>
                <w:rFonts w:ascii="Arial Narrow" w:hAnsi="Arial Narrow"/>
                <w:noProof/>
                <w:color w:val="000000"/>
                <w:sz w:val="20"/>
                <w:highlight w:val="black"/>
              </w:rPr>
              <w:t>'''''''''''''''''''''''''</w:t>
            </w:r>
          </w:p>
        </w:tc>
        <w:tc>
          <w:tcPr>
            <w:tcW w:w="665" w:type="pct"/>
            <w:shd w:val="clear" w:color="auto" w:fill="auto"/>
          </w:tcPr>
          <w:p w:rsidR="00A14915" w:rsidRPr="004C1F6C" w:rsidRDefault="004C1F6C" w:rsidP="00A14915">
            <w:pPr>
              <w:jc w:val="right"/>
              <w:rPr>
                <w:rFonts w:ascii="Arial Narrow" w:hAnsi="Arial Narrow"/>
                <w:bCs/>
                <w:color w:val="000000"/>
                <w:sz w:val="20"/>
                <w:highlight w:val="black"/>
              </w:rPr>
            </w:pPr>
            <w:r>
              <w:rPr>
                <w:rFonts w:ascii="Arial Narrow" w:hAnsi="Arial Narrow"/>
                <w:noProof/>
                <w:color w:val="000000"/>
                <w:sz w:val="20"/>
                <w:highlight w:val="black"/>
              </w:rPr>
              <w:t>'''''''''''''''''''''''''</w:t>
            </w:r>
          </w:p>
        </w:tc>
        <w:tc>
          <w:tcPr>
            <w:tcW w:w="726" w:type="pct"/>
            <w:shd w:val="clear" w:color="auto" w:fill="auto"/>
          </w:tcPr>
          <w:p w:rsidR="00A14915" w:rsidRPr="004C1F6C" w:rsidRDefault="004C1F6C" w:rsidP="00A14915">
            <w:pPr>
              <w:jc w:val="right"/>
              <w:rPr>
                <w:rFonts w:ascii="Arial Narrow" w:hAnsi="Arial Narrow"/>
                <w:bCs/>
                <w:color w:val="000000"/>
                <w:sz w:val="20"/>
                <w:highlight w:val="black"/>
              </w:rPr>
            </w:pPr>
            <w:r>
              <w:rPr>
                <w:rFonts w:ascii="Arial Narrow" w:hAnsi="Arial Narrow"/>
                <w:noProof/>
                <w:color w:val="000000"/>
                <w:sz w:val="20"/>
                <w:highlight w:val="black"/>
              </w:rPr>
              <w:t>''''''''''''''''''''''''</w:t>
            </w:r>
          </w:p>
        </w:tc>
        <w:tc>
          <w:tcPr>
            <w:tcW w:w="728" w:type="pct"/>
            <w:shd w:val="clear" w:color="auto" w:fill="auto"/>
          </w:tcPr>
          <w:p w:rsidR="00A14915" w:rsidRPr="004C1F6C" w:rsidRDefault="004C1F6C" w:rsidP="00A14915">
            <w:pPr>
              <w:jc w:val="right"/>
              <w:rPr>
                <w:rFonts w:ascii="Arial Narrow" w:hAnsi="Arial Narrow"/>
                <w:bCs/>
                <w:color w:val="000000"/>
                <w:sz w:val="20"/>
                <w:highlight w:val="black"/>
              </w:rPr>
            </w:pPr>
            <w:r>
              <w:rPr>
                <w:rFonts w:ascii="Arial Narrow" w:hAnsi="Arial Narrow"/>
                <w:noProof/>
                <w:color w:val="000000"/>
                <w:sz w:val="20"/>
                <w:highlight w:val="black"/>
              </w:rPr>
              <w:t>''''''''''''''''''''''''''</w:t>
            </w:r>
          </w:p>
        </w:tc>
        <w:tc>
          <w:tcPr>
            <w:tcW w:w="918" w:type="pct"/>
            <w:shd w:val="clear" w:color="auto" w:fill="auto"/>
          </w:tcPr>
          <w:p w:rsidR="00A14915" w:rsidRPr="004C1F6C" w:rsidRDefault="004C1F6C" w:rsidP="00A14915">
            <w:pPr>
              <w:jc w:val="right"/>
              <w:rPr>
                <w:rFonts w:ascii="Arial Narrow" w:hAnsi="Arial Narrow"/>
                <w:bCs/>
                <w:color w:val="000000"/>
                <w:sz w:val="20"/>
                <w:highlight w:val="black"/>
              </w:rPr>
            </w:pPr>
            <w:r>
              <w:rPr>
                <w:rFonts w:ascii="Arial Narrow" w:hAnsi="Arial Narrow"/>
                <w:noProof/>
                <w:color w:val="000000"/>
                <w:sz w:val="20"/>
                <w:highlight w:val="black"/>
              </w:rPr>
              <w:t>''''''''''''''''''''''''</w:t>
            </w:r>
          </w:p>
        </w:tc>
      </w:tr>
    </w:tbl>
    <w:p w:rsidR="00A14915" w:rsidRPr="004C1F6C" w:rsidRDefault="004C1F6C" w:rsidP="00C61E98">
      <w:pPr>
        <w:pStyle w:val="TableFooter"/>
        <w:ind w:firstLine="720"/>
        <w:rPr>
          <w:highlight w:val="black"/>
        </w:rPr>
      </w:pPr>
      <w:r>
        <w:rPr>
          <w:noProof/>
          <w:color w:val="000000"/>
          <w:highlight w:val="black"/>
        </w:rPr>
        <w:t>'''''''''' '''' ''''''''''''''''''''''''''''''' '''''''''''''''''''' ''''''''''''''' '''''''' ''' ''''''''''''''''''''''''''''' ''' ''''''''''''''''''</w:t>
      </w:r>
    </w:p>
    <w:p w:rsidR="00A14915" w:rsidRPr="004C1F6C" w:rsidRDefault="004C1F6C" w:rsidP="00C61E98">
      <w:pPr>
        <w:pStyle w:val="TableFooter"/>
        <w:ind w:left="709"/>
        <w:rPr>
          <w:highlight w:val="black"/>
        </w:rPr>
      </w:pPr>
      <w:r>
        <w:rPr>
          <w:noProof/>
          <w:color w:val="000000"/>
          <w:highlight w:val="black"/>
          <w:vertAlign w:val="superscript"/>
        </w:rPr>
        <w:t>'''' '''''''''''''''''''''' '''''''''''''''''''''''''''''''''' ''''''''''' '''''''' '''''''''' ''''''''''''''' ''''''''' ''''''''''''''''' '''''''''''''''''''''''''''' '''''' ''''''''''''''''''''''''' ''''''''''''''''''''''' '''''''' ''''''''''''''''''''''''' ''''' '''''''''''''''''''''''' '''''' ''''''' ''''''''''''''''''''''''''' '''''''''''''''''' ''''''''''''' ''''''''''''''' ''''''''''' ''''' ''''''' ''''''''''''''''''''''''''''</w:t>
      </w:r>
    </w:p>
    <w:p w:rsidR="00A14915" w:rsidRPr="00400CFB" w:rsidRDefault="00556E4D" w:rsidP="00A14915">
      <w:pPr>
        <w:jc w:val="both"/>
        <w:rPr>
          <w:color w:val="FF0000"/>
          <w:szCs w:val="22"/>
        </w:rPr>
      </w:pPr>
      <w:r w:rsidRPr="00400CFB">
        <w:rPr>
          <w:szCs w:val="22"/>
        </w:rPr>
        <w:t xml:space="preserve"> </w:t>
      </w:r>
    </w:p>
    <w:p w:rsidR="00A14915" w:rsidRPr="00C61E98" w:rsidRDefault="00556E4D" w:rsidP="00C61E98">
      <w:pPr>
        <w:pStyle w:val="ListParagraph"/>
        <w:numPr>
          <w:ilvl w:val="1"/>
          <w:numId w:val="25"/>
        </w:numPr>
        <w:jc w:val="both"/>
        <w:rPr>
          <w:szCs w:val="22"/>
        </w:rPr>
      </w:pPr>
      <w:r w:rsidRPr="00C61E98">
        <w:rPr>
          <w:szCs w:val="22"/>
        </w:rPr>
        <w:t xml:space="preserve">The submission’s estimate of cost savings to the PBS is related to the reduction in use of other DAA drugs, </w:t>
      </w:r>
      <w:proofErr w:type="spellStart"/>
      <w:r w:rsidRPr="00C61E98">
        <w:rPr>
          <w:szCs w:val="22"/>
        </w:rPr>
        <w:t>telaprevir</w:t>
      </w:r>
      <w:proofErr w:type="spellEnd"/>
      <w:r w:rsidRPr="00C61E98">
        <w:rPr>
          <w:szCs w:val="22"/>
        </w:rPr>
        <w:t xml:space="preserve"> and </w:t>
      </w:r>
      <w:proofErr w:type="spellStart"/>
      <w:r w:rsidRPr="00C61E98">
        <w:rPr>
          <w:szCs w:val="22"/>
        </w:rPr>
        <w:t>boceprevir</w:t>
      </w:r>
      <w:proofErr w:type="spellEnd"/>
      <w:r w:rsidRPr="00C61E98">
        <w:rPr>
          <w:szCs w:val="22"/>
        </w:rPr>
        <w:t>, and concomitant therapy with PR (</w:t>
      </w:r>
      <w:proofErr w:type="spellStart"/>
      <w:r w:rsidRPr="00C61E98">
        <w:rPr>
          <w:szCs w:val="22"/>
        </w:rPr>
        <w:t>peginterferon</w:t>
      </w:r>
      <w:proofErr w:type="spellEnd"/>
      <w:r w:rsidRPr="00C61E98">
        <w:rPr>
          <w:szCs w:val="22"/>
        </w:rPr>
        <w:t xml:space="preserve"> +</w:t>
      </w:r>
      <w:r w:rsidR="00793434" w:rsidRPr="00C61E98">
        <w:rPr>
          <w:szCs w:val="22"/>
        </w:rPr>
        <w:t xml:space="preserve"> </w:t>
      </w:r>
      <w:r w:rsidRPr="00C61E98">
        <w:rPr>
          <w:szCs w:val="22"/>
        </w:rPr>
        <w:t xml:space="preserve">ribavirin) due to the differences in RGT criteria and </w:t>
      </w:r>
      <w:proofErr w:type="spellStart"/>
      <w:r w:rsidRPr="00C61E98">
        <w:rPr>
          <w:szCs w:val="22"/>
        </w:rPr>
        <w:t>virologic</w:t>
      </w:r>
      <w:proofErr w:type="spellEnd"/>
      <w:r w:rsidRPr="00C61E98">
        <w:rPr>
          <w:szCs w:val="22"/>
        </w:rPr>
        <w:t xml:space="preserve"> stopping rules among these DAAs. The cost savings presented in the financial estimates of the submission are uncertain given the estimated number of prescriptions per patient for each treatment are based on </w:t>
      </w:r>
      <w:proofErr w:type="spellStart"/>
      <w:r w:rsidRPr="00C61E98">
        <w:rPr>
          <w:szCs w:val="22"/>
        </w:rPr>
        <w:t>virologic</w:t>
      </w:r>
      <w:proofErr w:type="spellEnd"/>
      <w:r w:rsidRPr="00C61E98">
        <w:rPr>
          <w:szCs w:val="22"/>
        </w:rPr>
        <w:t xml:space="preserve"> response from single treatment arms across different trials and the comparability of the populations achieving these </w:t>
      </w:r>
      <w:proofErr w:type="spellStart"/>
      <w:r w:rsidRPr="00C61E98">
        <w:rPr>
          <w:szCs w:val="22"/>
        </w:rPr>
        <w:t>virologic</w:t>
      </w:r>
      <w:proofErr w:type="spellEnd"/>
      <w:r w:rsidRPr="00C61E98">
        <w:rPr>
          <w:szCs w:val="22"/>
        </w:rPr>
        <w:t xml:space="preserve"> responses is unknown. The submission anticipates that listing </w:t>
      </w:r>
      <w:proofErr w:type="spellStart"/>
      <w:r w:rsidRPr="00C61E98">
        <w:rPr>
          <w:szCs w:val="22"/>
        </w:rPr>
        <w:t>simeprevir</w:t>
      </w:r>
      <w:proofErr w:type="spellEnd"/>
      <w:r w:rsidRPr="00C61E98">
        <w:rPr>
          <w:szCs w:val="22"/>
        </w:rPr>
        <w:t xml:space="preserve"> on the PBS will have no impact on MBS. </w:t>
      </w:r>
      <w:r w:rsidR="00F57A6D" w:rsidRPr="00C61E98">
        <w:rPr>
          <w:szCs w:val="22"/>
        </w:rPr>
        <w:t xml:space="preserve">  </w:t>
      </w:r>
      <w:r w:rsidR="00B43E90" w:rsidRPr="00C61E98">
        <w:rPr>
          <w:szCs w:val="22"/>
        </w:rPr>
        <w:t xml:space="preserve"> </w:t>
      </w:r>
    </w:p>
    <w:p w:rsidR="00A14915" w:rsidRPr="00400CFB" w:rsidRDefault="00A14915" w:rsidP="00A14915">
      <w:pPr>
        <w:jc w:val="both"/>
        <w:rPr>
          <w:szCs w:val="22"/>
        </w:rPr>
      </w:pPr>
    </w:p>
    <w:p w:rsidR="00A14915" w:rsidRPr="00C61E98" w:rsidRDefault="00A14915" w:rsidP="00C61E98">
      <w:pPr>
        <w:pStyle w:val="ListParagraph"/>
        <w:numPr>
          <w:ilvl w:val="1"/>
          <w:numId w:val="25"/>
        </w:numPr>
        <w:jc w:val="both"/>
        <w:rPr>
          <w:szCs w:val="22"/>
        </w:rPr>
      </w:pPr>
      <w:r w:rsidRPr="00C61E98">
        <w:rPr>
          <w:szCs w:val="22"/>
        </w:rPr>
        <w:t>The ESC considered that cost savings through reduced use of PR and a superior safety profile, are likely to be realised but the magnitude was uncertain as:</w:t>
      </w:r>
    </w:p>
    <w:p w:rsidR="00A14915" w:rsidRPr="00400CFB" w:rsidRDefault="00A14915" w:rsidP="00C61E98">
      <w:pPr>
        <w:pStyle w:val="ListParagraph"/>
        <w:numPr>
          <w:ilvl w:val="1"/>
          <w:numId w:val="42"/>
        </w:numPr>
        <w:ind w:left="709" w:firstLine="0"/>
        <w:rPr>
          <w:szCs w:val="22"/>
        </w:rPr>
      </w:pPr>
      <w:r w:rsidRPr="00400CFB">
        <w:rPr>
          <w:szCs w:val="22"/>
        </w:rPr>
        <w:t xml:space="preserve">the listing of </w:t>
      </w:r>
      <w:proofErr w:type="spellStart"/>
      <w:r w:rsidRPr="00400CFB">
        <w:rPr>
          <w:szCs w:val="22"/>
        </w:rPr>
        <w:t>simeprevir</w:t>
      </w:r>
      <w:proofErr w:type="spellEnd"/>
      <w:r w:rsidRPr="00400CFB">
        <w:rPr>
          <w:szCs w:val="22"/>
        </w:rPr>
        <w:t xml:space="preserve">, with fewer side effects as </w:t>
      </w:r>
      <w:proofErr w:type="spellStart"/>
      <w:r w:rsidRPr="00400CFB">
        <w:rPr>
          <w:szCs w:val="22"/>
        </w:rPr>
        <w:t>telaprevir</w:t>
      </w:r>
      <w:proofErr w:type="spellEnd"/>
      <w:r w:rsidRPr="00400CFB">
        <w:rPr>
          <w:szCs w:val="22"/>
        </w:rPr>
        <w:t>/</w:t>
      </w:r>
      <w:proofErr w:type="spellStart"/>
      <w:r w:rsidRPr="00400CFB">
        <w:rPr>
          <w:szCs w:val="22"/>
        </w:rPr>
        <w:t>boceprevir</w:t>
      </w:r>
      <w:proofErr w:type="spellEnd"/>
      <w:r w:rsidRPr="00400CFB">
        <w:rPr>
          <w:szCs w:val="22"/>
        </w:rPr>
        <w:t>, may increase the market of NS3/4A protease inhibitors;</w:t>
      </w:r>
    </w:p>
    <w:p w:rsidR="00BB7EC3" w:rsidRPr="00400CFB" w:rsidRDefault="00A14915" w:rsidP="00C61E98">
      <w:pPr>
        <w:pStyle w:val="ListParagraph"/>
        <w:numPr>
          <w:ilvl w:val="1"/>
          <w:numId w:val="42"/>
        </w:numPr>
        <w:ind w:left="709" w:firstLine="0"/>
        <w:jc w:val="both"/>
        <w:rPr>
          <w:szCs w:val="22"/>
        </w:rPr>
      </w:pPr>
      <w:proofErr w:type="gramStart"/>
      <w:r w:rsidRPr="00400CFB">
        <w:rPr>
          <w:szCs w:val="22"/>
        </w:rPr>
        <w:t>the</w:t>
      </w:r>
      <w:proofErr w:type="gramEnd"/>
      <w:r w:rsidRPr="00400CFB">
        <w:rPr>
          <w:szCs w:val="22"/>
        </w:rPr>
        <w:t xml:space="preserve"> potential listing of other treatments could have implications for the market share of the NS3/4A inhibitor class of HCV drugs.</w:t>
      </w:r>
    </w:p>
    <w:p w:rsidR="00BB7EC3" w:rsidRPr="00400CFB" w:rsidRDefault="00BB7EC3" w:rsidP="00BB7EC3">
      <w:pPr>
        <w:pStyle w:val="ListParagraph"/>
        <w:ind w:left="709"/>
        <w:jc w:val="both"/>
        <w:rPr>
          <w:szCs w:val="22"/>
        </w:rPr>
      </w:pPr>
    </w:p>
    <w:p w:rsidR="00BB7EC3" w:rsidRPr="00C61E98" w:rsidRDefault="00055A55" w:rsidP="00C61E98">
      <w:pPr>
        <w:pStyle w:val="ListParagraph"/>
        <w:numPr>
          <w:ilvl w:val="1"/>
          <w:numId w:val="25"/>
        </w:numPr>
        <w:jc w:val="both"/>
        <w:rPr>
          <w:szCs w:val="22"/>
        </w:rPr>
      </w:pPr>
      <w:r w:rsidRPr="00C61E98">
        <w:rPr>
          <w:szCs w:val="22"/>
        </w:rPr>
        <w:t xml:space="preserve">The sponsor </w:t>
      </w:r>
      <w:r w:rsidR="00A14915" w:rsidRPr="00C61E98">
        <w:rPr>
          <w:szCs w:val="22"/>
        </w:rPr>
        <w:t xml:space="preserve">state that they </w:t>
      </w:r>
      <w:r w:rsidRPr="00C61E98">
        <w:rPr>
          <w:szCs w:val="22"/>
        </w:rPr>
        <w:t>would be willing to join the Deed of Agreement that currently exists in relation to the supply of direct anti-viral medicines and be subject to the requirement and obligations that it sets ou</w:t>
      </w:r>
      <w:r w:rsidR="002644DE" w:rsidRPr="00C61E98">
        <w:rPr>
          <w:szCs w:val="22"/>
        </w:rPr>
        <w:t>t</w:t>
      </w:r>
      <w:r w:rsidRPr="00C61E98">
        <w:rPr>
          <w:szCs w:val="22"/>
        </w:rPr>
        <w:t xml:space="preserve">. </w:t>
      </w:r>
      <w:r w:rsidR="00046E85" w:rsidRPr="00C61E98">
        <w:rPr>
          <w:szCs w:val="22"/>
        </w:rPr>
        <w:t xml:space="preserve"> The PBAC agreed that </w:t>
      </w:r>
      <w:proofErr w:type="spellStart"/>
      <w:r w:rsidR="00046E85" w:rsidRPr="00C61E98">
        <w:rPr>
          <w:szCs w:val="22"/>
        </w:rPr>
        <w:t>simeprevir</w:t>
      </w:r>
      <w:proofErr w:type="spellEnd"/>
      <w:r w:rsidR="00046E85" w:rsidRPr="00C61E98">
        <w:rPr>
          <w:szCs w:val="22"/>
        </w:rPr>
        <w:t xml:space="preserve"> should join into the same risk share agreement as </w:t>
      </w:r>
      <w:proofErr w:type="spellStart"/>
      <w:r w:rsidR="00B27834" w:rsidRPr="00C61E98">
        <w:rPr>
          <w:szCs w:val="22"/>
        </w:rPr>
        <w:t>telaprevir</w:t>
      </w:r>
      <w:proofErr w:type="spellEnd"/>
      <w:r w:rsidR="00B27834" w:rsidRPr="00C61E98">
        <w:rPr>
          <w:szCs w:val="22"/>
        </w:rPr>
        <w:t xml:space="preserve"> </w:t>
      </w:r>
      <w:r w:rsidR="00046E85" w:rsidRPr="00C61E98">
        <w:rPr>
          <w:szCs w:val="22"/>
        </w:rPr>
        <w:t xml:space="preserve">and </w:t>
      </w:r>
      <w:proofErr w:type="spellStart"/>
      <w:r w:rsidR="00046E85" w:rsidRPr="00C61E98">
        <w:rPr>
          <w:szCs w:val="22"/>
        </w:rPr>
        <w:t>boceprevir</w:t>
      </w:r>
      <w:proofErr w:type="spellEnd"/>
      <w:r w:rsidR="00046E85" w:rsidRPr="00C61E98">
        <w:rPr>
          <w:szCs w:val="22"/>
        </w:rPr>
        <w:t>.</w:t>
      </w:r>
    </w:p>
    <w:p w:rsidR="003764BB" w:rsidRPr="003764BB" w:rsidRDefault="003764BB" w:rsidP="003764BB">
      <w:pPr>
        <w:jc w:val="both"/>
        <w:rPr>
          <w:szCs w:val="22"/>
        </w:rPr>
      </w:pPr>
    </w:p>
    <w:p w:rsidR="00887CE1" w:rsidRDefault="00BB7EC3" w:rsidP="00887CE1">
      <w:pPr>
        <w:ind w:firstLine="709"/>
        <w:jc w:val="both"/>
        <w:rPr>
          <w:i/>
          <w:szCs w:val="22"/>
        </w:rPr>
      </w:pPr>
      <w:r w:rsidRPr="00A22660">
        <w:rPr>
          <w:i/>
          <w:szCs w:val="22"/>
        </w:rPr>
        <w:t>For more detail on PBAC’s view, see section 7 “PBA</w:t>
      </w:r>
      <w:r w:rsidR="00872D84">
        <w:rPr>
          <w:i/>
          <w:szCs w:val="22"/>
        </w:rPr>
        <w:t>C outcome”</w:t>
      </w:r>
    </w:p>
    <w:p w:rsidR="00C61E98" w:rsidRDefault="00C61E98" w:rsidP="00887CE1">
      <w:pPr>
        <w:ind w:firstLine="709"/>
        <w:jc w:val="both"/>
        <w:rPr>
          <w:i/>
          <w:szCs w:val="22"/>
        </w:rPr>
      </w:pPr>
    </w:p>
    <w:p w:rsidR="00C61E98" w:rsidRPr="00872D84" w:rsidRDefault="00C61E98" w:rsidP="00887CE1">
      <w:pPr>
        <w:ind w:firstLine="709"/>
        <w:jc w:val="both"/>
        <w:rPr>
          <w:i/>
          <w:szCs w:val="22"/>
        </w:rPr>
      </w:pPr>
    </w:p>
    <w:p w:rsidR="00C61E98" w:rsidRPr="00407F2D" w:rsidRDefault="00C61E98" w:rsidP="00C61E98">
      <w:pPr>
        <w:pStyle w:val="ListParagraph"/>
        <w:numPr>
          <w:ilvl w:val="0"/>
          <w:numId w:val="25"/>
        </w:numPr>
        <w:jc w:val="both"/>
        <w:rPr>
          <w:b/>
          <w:szCs w:val="22"/>
        </w:rPr>
      </w:pPr>
      <w:r w:rsidRPr="00407F2D">
        <w:rPr>
          <w:b/>
          <w:szCs w:val="22"/>
        </w:rPr>
        <w:lastRenderedPageBreak/>
        <w:t xml:space="preserve">PBAC Outcome </w:t>
      </w:r>
    </w:p>
    <w:p w:rsidR="00EE3677" w:rsidRPr="00400CFB" w:rsidRDefault="00EE3677" w:rsidP="00C61E98">
      <w:pPr>
        <w:ind w:left="709" w:hanging="709"/>
        <w:jc w:val="both"/>
        <w:rPr>
          <w:szCs w:val="22"/>
        </w:rPr>
      </w:pPr>
    </w:p>
    <w:p w:rsidR="004B3850" w:rsidRPr="00C61E98" w:rsidRDefault="002265F3" w:rsidP="00C61E98">
      <w:pPr>
        <w:pStyle w:val="ListParagraph"/>
        <w:numPr>
          <w:ilvl w:val="1"/>
          <w:numId w:val="25"/>
        </w:numPr>
        <w:jc w:val="both"/>
        <w:rPr>
          <w:szCs w:val="22"/>
        </w:rPr>
      </w:pPr>
      <w:r w:rsidRPr="00400CFB">
        <w:t xml:space="preserve">The PBAC recommended the </w:t>
      </w:r>
      <w:r w:rsidRPr="00C61E98">
        <w:rPr>
          <w:szCs w:val="22"/>
        </w:rPr>
        <w:t xml:space="preserve">Section 100 (Highly Specialised Drugs Program) listing of </w:t>
      </w:r>
      <w:proofErr w:type="spellStart"/>
      <w:r w:rsidRPr="00C61E98">
        <w:rPr>
          <w:szCs w:val="22"/>
        </w:rPr>
        <w:t>simeprevir</w:t>
      </w:r>
      <w:proofErr w:type="spellEnd"/>
      <w:r w:rsidRPr="00C61E98">
        <w:rPr>
          <w:szCs w:val="22"/>
        </w:rPr>
        <w:t>, in combination with PR, to treat hepatitis C virus (HCV) genotype 1 infection in treatment naïve and treatment experienced patients who meet certain criteria</w:t>
      </w:r>
      <w:r w:rsidR="00CB2A61" w:rsidRPr="00C61E98">
        <w:rPr>
          <w:szCs w:val="22"/>
        </w:rPr>
        <w:t>,</w:t>
      </w:r>
      <w:r w:rsidRPr="00400CFB">
        <w:t xml:space="preserve"> </w:t>
      </w:r>
      <w:r w:rsidR="00B77FCF" w:rsidRPr="00400CFB">
        <w:t>with a maximum quantity of 6 packs with 0 repeats</w:t>
      </w:r>
      <w:r w:rsidR="00B77FCF">
        <w:t xml:space="preserve">. The listing is </w:t>
      </w:r>
      <w:r w:rsidRPr="00400CFB">
        <w:t xml:space="preserve">on the basis of </w:t>
      </w:r>
      <w:r w:rsidR="009D34C3" w:rsidRPr="00400CFB">
        <w:t>non-inferiority to</w:t>
      </w:r>
      <w:r w:rsidRPr="00400CFB">
        <w:t xml:space="preserve"> </w:t>
      </w:r>
      <w:proofErr w:type="spellStart"/>
      <w:r w:rsidRPr="00400CFB">
        <w:t>telaprevir</w:t>
      </w:r>
      <w:proofErr w:type="spellEnd"/>
      <w:r w:rsidR="009D34C3" w:rsidRPr="00400CFB">
        <w:t xml:space="preserve"> and </w:t>
      </w:r>
      <w:proofErr w:type="spellStart"/>
      <w:r w:rsidR="009D34C3" w:rsidRPr="00C61E98">
        <w:rPr>
          <w:szCs w:val="22"/>
        </w:rPr>
        <w:t>boceprevir</w:t>
      </w:r>
      <w:proofErr w:type="spellEnd"/>
      <w:r w:rsidRPr="00400CFB">
        <w:t>.</w:t>
      </w:r>
      <w:r w:rsidR="00A92DE8" w:rsidRPr="00C61E98">
        <w:rPr>
          <w:szCs w:val="22"/>
        </w:rPr>
        <w:t xml:space="preserve"> </w:t>
      </w:r>
      <w:r w:rsidR="00A92DE8" w:rsidRPr="00C61E98">
        <w:rPr>
          <w:rFonts w:cs="Arial"/>
          <w:iCs/>
        </w:rPr>
        <w:t xml:space="preserve">The </w:t>
      </w:r>
      <w:proofErr w:type="spellStart"/>
      <w:r w:rsidR="00A92DE8" w:rsidRPr="00C61E98">
        <w:rPr>
          <w:rFonts w:cs="Arial"/>
          <w:iCs/>
        </w:rPr>
        <w:t>equi</w:t>
      </w:r>
      <w:proofErr w:type="spellEnd"/>
      <w:r w:rsidR="00A92DE8" w:rsidRPr="00C61E98">
        <w:rPr>
          <w:rFonts w:cs="Arial"/>
          <w:iCs/>
        </w:rPr>
        <w:t xml:space="preserve">-effective doses are </w:t>
      </w:r>
      <w:proofErr w:type="spellStart"/>
      <w:r w:rsidR="00A92DE8" w:rsidRPr="00C61E98">
        <w:rPr>
          <w:rFonts w:cs="Arial"/>
          <w:iCs/>
        </w:rPr>
        <w:t>simeprevir</w:t>
      </w:r>
      <w:proofErr w:type="spellEnd"/>
      <w:r w:rsidR="00A92DE8" w:rsidRPr="00C61E98">
        <w:rPr>
          <w:rFonts w:cs="Arial"/>
          <w:iCs/>
        </w:rPr>
        <w:t xml:space="preserve"> 150mg once daily being </w:t>
      </w:r>
      <w:proofErr w:type="spellStart"/>
      <w:r w:rsidR="00A92DE8" w:rsidRPr="00C61E98">
        <w:rPr>
          <w:rFonts w:cs="Arial"/>
          <w:iCs/>
        </w:rPr>
        <w:t>equi</w:t>
      </w:r>
      <w:proofErr w:type="spellEnd"/>
      <w:r w:rsidR="00A92DE8" w:rsidRPr="00C61E98">
        <w:rPr>
          <w:rFonts w:cs="Arial"/>
          <w:iCs/>
        </w:rPr>
        <w:t xml:space="preserve">-effective to </w:t>
      </w:r>
      <w:proofErr w:type="spellStart"/>
      <w:r w:rsidR="00A92DE8" w:rsidRPr="00C61E98">
        <w:rPr>
          <w:rFonts w:cs="Arial"/>
          <w:iCs/>
        </w:rPr>
        <w:t>telaprevir</w:t>
      </w:r>
      <w:proofErr w:type="spellEnd"/>
      <w:r w:rsidR="00A92DE8" w:rsidRPr="00C61E98">
        <w:rPr>
          <w:rFonts w:cs="Arial"/>
          <w:iCs/>
        </w:rPr>
        <w:t xml:space="preserve"> 750mg three times per day.</w:t>
      </w:r>
      <w:r w:rsidR="00A92DE8" w:rsidRPr="00C61E98">
        <w:rPr>
          <w:sz w:val="24"/>
        </w:rPr>
        <w:t xml:space="preserve"> </w:t>
      </w:r>
    </w:p>
    <w:p w:rsidR="004B3850" w:rsidRPr="00400CFB" w:rsidRDefault="004B3850" w:rsidP="004B3850">
      <w:pPr>
        <w:jc w:val="both"/>
        <w:rPr>
          <w:szCs w:val="22"/>
        </w:rPr>
      </w:pPr>
    </w:p>
    <w:p w:rsidR="00CB2A61" w:rsidRPr="00C61E98" w:rsidRDefault="00EE3677" w:rsidP="00C61E98">
      <w:pPr>
        <w:pStyle w:val="ListParagraph"/>
        <w:numPr>
          <w:ilvl w:val="1"/>
          <w:numId w:val="25"/>
        </w:numPr>
        <w:jc w:val="both"/>
        <w:rPr>
          <w:szCs w:val="22"/>
        </w:rPr>
      </w:pPr>
      <w:r w:rsidRPr="00C61E98">
        <w:rPr>
          <w:szCs w:val="22"/>
        </w:rPr>
        <w:t xml:space="preserve">The PBAC considered </w:t>
      </w:r>
      <w:r w:rsidR="00CE5131" w:rsidRPr="00C61E98">
        <w:rPr>
          <w:szCs w:val="22"/>
        </w:rPr>
        <w:t xml:space="preserve">that </w:t>
      </w:r>
      <w:proofErr w:type="spellStart"/>
      <w:r w:rsidR="00CE5131" w:rsidRPr="00C61E98">
        <w:rPr>
          <w:szCs w:val="22"/>
        </w:rPr>
        <w:t>telaprevir</w:t>
      </w:r>
      <w:proofErr w:type="spellEnd"/>
      <w:r w:rsidR="00CE5131" w:rsidRPr="00C61E98">
        <w:rPr>
          <w:szCs w:val="22"/>
        </w:rPr>
        <w:t xml:space="preserve"> and </w:t>
      </w:r>
      <w:proofErr w:type="spellStart"/>
      <w:r w:rsidR="00CE5131" w:rsidRPr="00C61E98">
        <w:rPr>
          <w:szCs w:val="22"/>
        </w:rPr>
        <w:t>boceprevir</w:t>
      </w:r>
      <w:proofErr w:type="spellEnd"/>
      <w:r w:rsidR="00CE5131" w:rsidRPr="00C61E98">
        <w:rPr>
          <w:szCs w:val="22"/>
        </w:rPr>
        <w:t xml:space="preserve"> were appropriate comparators</w:t>
      </w:r>
      <w:r w:rsidRPr="00C61E98">
        <w:rPr>
          <w:szCs w:val="22"/>
        </w:rPr>
        <w:t xml:space="preserve"> </w:t>
      </w:r>
      <w:r w:rsidR="001B7473" w:rsidRPr="00C61E98">
        <w:rPr>
          <w:szCs w:val="22"/>
        </w:rPr>
        <w:t xml:space="preserve">on the basis that they are </w:t>
      </w:r>
      <w:r w:rsidRPr="00C61E98">
        <w:rPr>
          <w:szCs w:val="22"/>
        </w:rPr>
        <w:t>pharmacological analogue</w:t>
      </w:r>
      <w:r w:rsidR="00CE5131" w:rsidRPr="00C61E98">
        <w:rPr>
          <w:szCs w:val="22"/>
        </w:rPr>
        <w:t>s</w:t>
      </w:r>
      <w:r w:rsidR="00424678" w:rsidRPr="00C61E98">
        <w:rPr>
          <w:szCs w:val="22"/>
        </w:rPr>
        <w:t xml:space="preserve">, </w:t>
      </w:r>
      <w:r w:rsidR="00424678" w:rsidRPr="00C61E98">
        <w:rPr>
          <w:rFonts w:cs="Arial"/>
          <w:szCs w:val="22"/>
        </w:rPr>
        <w:t xml:space="preserve">and </w:t>
      </w:r>
      <w:r w:rsidR="001B7473" w:rsidRPr="00C61E98">
        <w:rPr>
          <w:rFonts w:cs="Arial"/>
          <w:szCs w:val="22"/>
        </w:rPr>
        <w:t>are</w:t>
      </w:r>
      <w:r w:rsidR="00424678" w:rsidRPr="00C61E98">
        <w:rPr>
          <w:rFonts w:cs="Arial"/>
          <w:szCs w:val="22"/>
        </w:rPr>
        <w:t xml:space="preserve"> the therapies most likely to be replaced in Australia at the time of consideration</w:t>
      </w:r>
      <w:r w:rsidR="00CB2A61" w:rsidRPr="00C61E98">
        <w:rPr>
          <w:rFonts w:cs="Arial"/>
          <w:szCs w:val="22"/>
        </w:rPr>
        <w:t xml:space="preserve"> of the submission</w:t>
      </w:r>
      <w:r w:rsidRPr="00C61E98">
        <w:rPr>
          <w:szCs w:val="22"/>
        </w:rPr>
        <w:t xml:space="preserve">.  </w:t>
      </w:r>
      <w:r w:rsidR="00CB2A61" w:rsidRPr="00C61E98">
        <w:rPr>
          <w:szCs w:val="22"/>
        </w:rPr>
        <w:t>However, t</w:t>
      </w:r>
      <w:r w:rsidRPr="00C61E98">
        <w:rPr>
          <w:szCs w:val="22"/>
        </w:rPr>
        <w:t xml:space="preserve">he PBAC noted that the likely treatment algorithm for HCV is changing rapidly, particularly with the development of interferon-free regimens. </w:t>
      </w:r>
      <w:r w:rsidR="00CB2A61" w:rsidRPr="00C61E98">
        <w:rPr>
          <w:szCs w:val="22"/>
        </w:rPr>
        <w:t>As an example of the rapidly evolving treatment landscape, bot</w:t>
      </w:r>
      <w:r w:rsidR="00A22660" w:rsidRPr="00C61E98">
        <w:rPr>
          <w:szCs w:val="22"/>
        </w:rPr>
        <w:t xml:space="preserve">h </w:t>
      </w:r>
      <w:proofErr w:type="spellStart"/>
      <w:r w:rsidR="00A22660" w:rsidRPr="00C61E98">
        <w:rPr>
          <w:szCs w:val="22"/>
        </w:rPr>
        <w:t>telaprevir</w:t>
      </w:r>
      <w:proofErr w:type="spellEnd"/>
      <w:r w:rsidR="00A22660" w:rsidRPr="00C61E98">
        <w:rPr>
          <w:szCs w:val="22"/>
        </w:rPr>
        <w:t xml:space="preserve"> and </w:t>
      </w:r>
      <w:proofErr w:type="spellStart"/>
      <w:r w:rsidR="00A22660" w:rsidRPr="00C61E98">
        <w:rPr>
          <w:szCs w:val="22"/>
        </w:rPr>
        <w:t>boceprevir</w:t>
      </w:r>
      <w:proofErr w:type="spellEnd"/>
      <w:r w:rsidR="00CB2A61" w:rsidRPr="00C61E98">
        <w:rPr>
          <w:szCs w:val="22"/>
        </w:rPr>
        <w:t xml:space="preserve"> are now not recommended for the treatment of patients with HCV genotype 1 in the guidelines of the </w:t>
      </w:r>
      <w:r w:rsidR="004B3850" w:rsidRPr="00C61E98">
        <w:rPr>
          <w:szCs w:val="22"/>
        </w:rPr>
        <w:t>AASLD</w:t>
      </w:r>
      <w:r w:rsidR="00CB2A61" w:rsidRPr="00C61E98">
        <w:rPr>
          <w:szCs w:val="22"/>
        </w:rPr>
        <w:t xml:space="preserve"> and the Infectious Disease Society of America. The PBAC noted that over 30 DAAs are in clinical development, including inhibitors of NS5A, NS5B and NS3/4A as well as host-targeting antivirals. </w:t>
      </w:r>
    </w:p>
    <w:p w:rsidR="00CB2A61" w:rsidRPr="009D3008" w:rsidRDefault="00CB2A61" w:rsidP="009D3008">
      <w:pPr>
        <w:jc w:val="both"/>
        <w:rPr>
          <w:szCs w:val="22"/>
        </w:rPr>
      </w:pPr>
    </w:p>
    <w:p w:rsidR="002918D7" w:rsidRPr="00C61E98" w:rsidRDefault="00EE3677" w:rsidP="00C61E98">
      <w:pPr>
        <w:pStyle w:val="ListParagraph"/>
        <w:numPr>
          <w:ilvl w:val="1"/>
          <w:numId w:val="25"/>
        </w:numPr>
        <w:jc w:val="both"/>
        <w:rPr>
          <w:szCs w:val="22"/>
        </w:rPr>
      </w:pPr>
      <w:r w:rsidRPr="00C61E98">
        <w:rPr>
          <w:szCs w:val="22"/>
        </w:rPr>
        <w:t xml:space="preserve">The PBAC agreed with the ESC that patients with HCV Genotype 1 may not </w:t>
      </w:r>
      <w:r w:rsidR="00CE5131" w:rsidRPr="00C61E98">
        <w:rPr>
          <w:szCs w:val="22"/>
        </w:rPr>
        <w:t xml:space="preserve">be </w:t>
      </w:r>
      <w:r w:rsidRPr="00C61E98">
        <w:rPr>
          <w:szCs w:val="22"/>
        </w:rPr>
        <w:t>immediately seek</w:t>
      </w:r>
      <w:r w:rsidR="00CE5131" w:rsidRPr="00C61E98">
        <w:rPr>
          <w:szCs w:val="22"/>
        </w:rPr>
        <w:t>ing</w:t>
      </w:r>
      <w:r w:rsidRPr="00C61E98">
        <w:rPr>
          <w:szCs w:val="22"/>
        </w:rPr>
        <w:t xml:space="preserve"> treatment to avoid the adverse side effect profile of </w:t>
      </w:r>
      <w:proofErr w:type="spellStart"/>
      <w:r w:rsidRPr="00C61E98">
        <w:rPr>
          <w:szCs w:val="22"/>
        </w:rPr>
        <w:t>telaprevir</w:t>
      </w:r>
      <w:proofErr w:type="spellEnd"/>
      <w:r w:rsidRPr="00C61E98">
        <w:rPr>
          <w:szCs w:val="22"/>
        </w:rPr>
        <w:t xml:space="preserve"> and </w:t>
      </w:r>
      <w:proofErr w:type="spellStart"/>
      <w:r w:rsidRPr="00C61E98">
        <w:rPr>
          <w:szCs w:val="22"/>
        </w:rPr>
        <w:t>boceprevir</w:t>
      </w:r>
      <w:proofErr w:type="spellEnd"/>
      <w:r w:rsidRPr="00C61E98">
        <w:rPr>
          <w:szCs w:val="22"/>
        </w:rPr>
        <w:t xml:space="preserve"> or are waiting for short course and/or IFN-free treatments.</w:t>
      </w:r>
      <w:r w:rsidR="00CE5131" w:rsidRPr="00C61E98">
        <w:rPr>
          <w:szCs w:val="22"/>
        </w:rPr>
        <w:t xml:space="preserve"> </w:t>
      </w:r>
      <w:r w:rsidR="00734EB0" w:rsidRPr="00C61E98">
        <w:rPr>
          <w:szCs w:val="22"/>
        </w:rPr>
        <w:t xml:space="preserve">With the listing of </w:t>
      </w:r>
      <w:proofErr w:type="spellStart"/>
      <w:r w:rsidR="00734EB0" w:rsidRPr="00C61E98">
        <w:rPr>
          <w:szCs w:val="22"/>
        </w:rPr>
        <w:t>simeprevir</w:t>
      </w:r>
      <w:proofErr w:type="spellEnd"/>
      <w:r w:rsidR="00734EB0" w:rsidRPr="00C61E98">
        <w:rPr>
          <w:szCs w:val="22"/>
        </w:rPr>
        <w:t xml:space="preserve">, </w:t>
      </w:r>
      <w:r w:rsidR="00CE5131" w:rsidRPr="00C61E98">
        <w:rPr>
          <w:szCs w:val="22"/>
        </w:rPr>
        <w:t xml:space="preserve">some patients may opt to be treated with </w:t>
      </w:r>
      <w:proofErr w:type="spellStart"/>
      <w:r w:rsidR="00CE5131" w:rsidRPr="00C61E98">
        <w:rPr>
          <w:szCs w:val="22"/>
        </w:rPr>
        <w:t>simeprevir</w:t>
      </w:r>
      <w:proofErr w:type="spellEnd"/>
      <w:r w:rsidR="00CE5131" w:rsidRPr="00C61E98">
        <w:rPr>
          <w:szCs w:val="22"/>
        </w:rPr>
        <w:t xml:space="preserve"> </w:t>
      </w:r>
      <w:r w:rsidR="00734EB0" w:rsidRPr="00C61E98">
        <w:rPr>
          <w:szCs w:val="22"/>
        </w:rPr>
        <w:t>given the reduced side effect profile compared to other NS3/4A inhibitors. Considering the</w:t>
      </w:r>
      <w:r w:rsidR="00CE5131" w:rsidRPr="00C61E98">
        <w:rPr>
          <w:szCs w:val="22"/>
        </w:rPr>
        <w:t xml:space="preserve"> </w:t>
      </w:r>
      <w:r w:rsidR="00C3580F" w:rsidRPr="00C61E98">
        <w:rPr>
          <w:szCs w:val="22"/>
        </w:rPr>
        <w:t xml:space="preserve">likely larger </w:t>
      </w:r>
      <w:r w:rsidR="00CE5131" w:rsidRPr="00C61E98">
        <w:rPr>
          <w:szCs w:val="22"/>
        </w:rPr>
        <w:t xml:space="preserve">patient population who </w:t>
      </w:r>
      <w:r w:rsidR="00DE751B" w:rsidRPr="00C61E98">
        <w:rPr>
          <w:szCs w:val="22"/>
        </w:rPr>
        <w:t>would prefer to wait</w:t>
      </w:r>
      <w:r w:rsidR="00CE5131" w:rsidRPr="00C61E98">
        <w:rPr>
          <w:szCs w:val="22"/>
        </w:rPr>
        <w:t xml:space="preserve"> for </w:t>
      </w:r>
      <w:r w:rsidR="00734EB0" w:rsidRPr="00C61E98">
        <w:rPr>
          <w:szCs w:val="22"/>
        </w:rPr>
        <w:t xml:space="preserve">IFN-free </w:t>
      </w:r>
      <w:r w:rsidR="00CE5131" w:rsidRPr="00C61E98">
        <w:rPr>
          <w:szCs w:val="22"/>
        </w:rPr>
        <w:t>treatment options</w:t>
      </w:r>
      <w:r w:rsidR="00734EB0" w:rsidRPr="00C61E98">
        <w:rPr>
          <w:szCs w:val="22"/>
        </w:rPr>
        <w:t xml:space="preserve"> (which may include </w:t>
      </w:r>
      <w:proofErr w:type="spellStart"/>
      <w:r w:rsidR="00734EB0" w:rsidRPr="00C61E98">
        <w:rPr>
          <w:szCs w:val="22"/>
        </w:rPr>
        <w:t>simeprevir</w:t>
      </w:r>
      <w:proofErr w:type="spellEnd"/>
      <w:r w:rsidR="00734EB0" w:rsidRPr="00C61E98">
        <w:rPr>
          <w:szCs w:val="22"/>
        </w:rPr>
        <w:t>)</w:t>
      </w:r>
      <w:r w:rsidR="00CE5131" w:rsidRPr="00C61E98">
        <w:rPr>
          <w:szCs w:val="22"/>
        </w:rPr>
        <w:t xml:space="preserve">, </w:t>
      </w:r>
      <w:r w:rsidR="00734EB0" w:rsidRPr="00C61E98">
        <w:rPr>
          <w:szCs w:val="22"/>
        </w:rPr>
        <w:t xml:space="preserve">a </w:t>
      </w:r>
      <w:proofErr w:type="spellStart"/>
      <w:r w:rsidR="00734EB0" w:rsidRPr="00C61E98">
        <w:rPr>
          <w:szCs w:val="22"/>
        </w:rPr>
        <w:t>peginterferon</w:t>
      </w:r>
      <w:proofErr w:type="spellEnd"/>
      <w:r w:rsidR="00734EB0" w:rsidRPr="00C61E98">
        <w:rPr>
          <w:szCs w:val="22"/>
        </w:rPr>
        <w:t xml:space="preserve">-associated comparator </w:t>
      </w:r>
      <w:r w:rsidR="00CE5131" w:rsidRPr="00C61E98">
        <w:rPr>
          <w:szCs w:val="22"/>
        </w:rPr>
        <w:t xml:space="preserve">may </w:t>
      </w:r>
      <w:r w:rsidR="00DE751B" w:rsidRPr="00C61E98">
        <w:rPr>
          <w:szCs w:val="22"/>
        </w:rPr>
        <w:t xml:space="preserve">be </w:t>
      </w:r>
      <w:r w:rsidR="00734EB0" w:rsidRPr="00C61E98">
        <w:rPr>
          <w:szCs w:val="22"/>
        </w:rPr>
        <w:t>inappropriate</w:t>
      </w:r>
      <w:r w:rsidR="00CE5131" w:rsidRPr="00C61E98">
        <w:rPr>
          <w:szCs w:val="22"/>
        </w:rPr>
        <w:t xml:space="preserve">. </w:t>
      </w:r>
      <w:r w:rsidR="00DE751B" w:rsidRPr="00C61E98">
        <w:rPr>
          <w:szCs w:val="22"/>
        </w:rPr>
        <w:t>In this context, t</w:t>
      </w:r>
      <w:r w:rsidR="00734EB0" w:rsidRPr="00C61E98">
        <w:rPr>
          <w:szCs w:val="22"/>
        </w:rPr>
        <w:t xml:space="preserve">he PBAC considered that the long term validity of the cost-minimisation analysis was uncertain and should be reviewed as </w:t>
      </w:r>
      <w:r w:rsidR="00C210E6" w:rsidRPr="00C61E98">
        <w:rPr>
          <w:szCs w:val="22"/>
        </w:rPr>
        <w:t xml:space="preserve">other hepatitis C treatments become available. </w:t>
      </w:r>
    </w:p>
    <w:p w:rsidR="002918D7" w:rsidRPr="00400CFB" w:rsidRDefault="002918D7" w:rsidP="00F10C13">
      <w:pPr>
        <w:pStyle w:val="ListParagraph"/>
        <w:ind w:left="709"/>
        <w:jc w:val="both"/>
        <w:rPr>
          <w:szCs w:val="22"/>
        </w:rPr>
      </w:pPr>
    </w:p>
    <w:p w:rsidR="002918D7" w:rsidRPr="00C61E98" w:rsidRDefault="002918D7" w:rsidP="00C61E98">
      <w:pPr>
        <w:pStyle w:val="ListParagraph"/>
        <w:numPr>
          <w:ilvl w:val="1"/>
          <w:numId w:val="25"/>
        </w:numPr>
        <w:jc w:val="both"/>
        <w:rPr>
          <w:szCs w:val="22"/>
        </w:rPr>
      </w:pPr>
      <w:r w:rsidRPr="00C61E98">
        <w:rPr>
          <w:szCs w:val="22"/>
        </w:rPr>
        <w:t xml:space="preserve">In addition to the trial evidence provided in the submission, the PBAC noted the sponsor’s addendum providing the </w:t>
      </w:r>
      <w:r w:rsidR="00F10C13" w:rsidRPr="00C61E98">
        <w:rPr>
          <w:szCs w:val="22"/>
        </w:rPr>
        <w:t>SVR24</w:t>
      </w:r>
      <w:r w:rsidRPr="00C61E98">
        <w:rPr>
          <w:szCs w:val="22"/>
        </w:rPr>
        <w:t xml:space="preserve"> data of the ATTAIN trial</w:t>
      </w:r>
      <w:r w:rsidR="004C1F6C">
        <w:rPr>
          <w:noProof/>
          <w:color w:val="000000"/>
          <w:szCs w:val="22"/>
          <w:highlight w:val="black"/>
        </w:rPr>
        <w:t xml:space="preserve"> ''''''''''' ''''''''''''''''</w:t>
      </w:r>
      <w:r w:rsidRPr="00C61E98">
        <w:rPr>
          <w:szCs w:val="22"/>
        </w:rPr>
        <w:t>, which was provided after the ESC meeting, which showed similar SVR as observed at week 12.</w:t>
      </w:r>
    </w:p>
    <w:p w:rsidR="00346A6D" w:rsidRPr="00400CFB" w:rsidRDefault="00346A6D" w:rsidP="00F10C13">
      <w:pPr>
        <w:pStyle w:val="ListParagraph"/>
        <w:rPr>
          <w:szCs w:val="22"/>
        </w:rPr>
      </w:pPr>
    </w:p>
    <w:p w:rsidR="00346A6D" w:rsidRPr="00C61E98" w:rsidRDefault="00346A6D" w:rsidP="00C61E98">
      <w:pPr>
        <w:pStyle w:val="ListParagraph"/>
        <w:numPr>
          <w:ilvl w:val="1"/>
          <w:numId w:val="25"/>
        </w:numPr>
        <w:jc w:val="both"/>
        <w:rPr>
          <w:szCs w:val="22"/>
        </w:rPr>
      </w:pPr>
      <w:r w:rsidRPr="00C61E98">
        <w:rPr>
          <w:szCs w:val="22"/>
        </w:rPr>
        <w:t xml:space="preserve">The PBAC considered that the submission supported the claim that </w:t>
      </w:r>
      <w:proofErr w:type="spellStart"/>
      <w:r w:rsidRPr="00C61E98">
        <w:rPr>
          <w:szCs w:val="22"/>
        </w:rPr>
        <w:t>simeprevir</w:t>
      </w:r>
      <w:proofErr w:type="spellEnd"/>
      <w:r w:rsidRPr="00C61E98">
        <w:rPr>
          <w:szCs w:val="22"/>
        </w:rPr>
        <w:t xml:space="preserve"> is non-inferior in terms of comparative effectiveness (in achieving an SVR) and superior in terms of safety when compared with </w:t>
      </w:r>
      <w:proofErr w:type="spellStart"/>
      <w:r w:rsidRPr="00C61E98">
        <w:rPr>
          <w:szCs w:val="22"/>
        </w:rPr>
        <w:t>boceprevir</w:t>
      </w:r>
      <w:proofErr w:type="spellEnd"/>
      <w:r w:rsidRPr="00C61E98">
        <w:rPr>
          <w:szCs w:val="22"/>
        </w:rPr>
        <w:t xml:space="preserve"> and </w:t>
      </w:r>
      <w:proofErr w:type="spellStart"/>
      <w:r w:rsidRPr="00C61E98">
        <w:rPr>
          <w:szCs w:val="22"/>
        </w:rPr>
        <w:t>telaprevir</w:t>
      </w:r>
      <w:proofErr w:type="spellEnd"/>
      <w:r w:rsidRPr="00C61E98">
        <w:rPr>
          <w:szCs w:val="22"/>
        </w:rPr>
        <w:t>. The PBAC considered that a cost-minimisation analysis was the appropriate approach</w:t>
      </w:r>
      <w:r w:rsidR="00CB2A61" w:rsidRPr="00C61E98">
        <w:rPr>
          <w:szCs w:val="22"/>
        </w:rPr>
        <w:t xml:space="preserve"> at present, but as</w:t>
      </w:r>
      <w:r w:rsidR="00400CFB" w:rsidRPr="00C61E98">
        <w:rPr>
          <w:szCs w:val="22"/>
        </w:rPr>
        <w:t xml:space="preserve"> the likely treatment algorithm for HCV is changing rapidly, this approach of valuing the </w:t>
      </w:r>
      <w:r w:rsidR="00B77FCF" w:rsidRPr="00C61E98">
        <w:rPr>
          <w:szCs w:val="22"/>
        </w:rPr>
        <w:t xml:space="preserve">comparative </w:t>
      </w:r>
      <w:r w:rsidR="00400CFB" w:rsidRPr="00C61E98">
        <w:rPr>
          <w:szCs w:val="22"/>
        </w:rPr>
        <w:t xml:space="preserve">efficacy of </w:t>
      </w:r>
      <w:proofErr w:type="spellStart"/>
      <w:r w:rsidR="00400CFB" w:rsidRPr="00C61E98">
        <w:rPr>
          <w:szCs w:val="22"/>
        </w:rPr>
        <w:t>simeprevir</w:t>
      </w:r>
      <w:proofErr w:type="spellEnd"/>
      <w:r w:rsidR="00400CFB" w:rsidRPr="00C61E98">
        <w:rPr>
          <w:szCs w:val="22"/>
        </w:rPr>
        <w:t xml:space="preserve"> </w:t>
      </w:r>
      <w:r w:rsidR="00CB2A61" w:rsidRPr="00C61E98">
        <w:rPr>
          <w:szCs w:val="22"/>
        </w:rPr>
        <w:t xml:space="preserve">may require early review. </w:t>
      </w:r>
    </w:p>
    <w:p w:rsidR="00346A6D" w:rsidRPr="00400CFB" w:rsidRDefault="00346A6D" w:rsidP="00400CFB">
      <w:pPr>
        <w:rPr>
          <w:szCs w:val="22"/>
        </w:rPr>
      </w:pPr>
    </w:p>
    <w:p w:rsidR="00346A6D" w:rsidRPr="00C61E98" w:rsidRDefault="00346A6D" w:rsidP="00C61E98">
      <w:pPr>
        <w:pStyle w:val="ListParagraph"/>
        <w:numPr>
          <w:ilvl w:val="1"/>
          <w:numId w:val="25"/>
        </w:numPr>
        <w:jc w:val="both"/>
        <w:rPr>
          <w:szCs w:val="22"/>
        </w:rPr>
      </w:pPr>
      <w:r w:rsidRPr="00C61E98">
        <w:rPr>
          <w:szCs w:val="22"/>
        </w:rPr>
        <w:t xml:space="preserve">The PBAC agreed with ESC that cost savings would likely be realised through reduced use of PR and a superior safety profile but the magnitude of the savings was uncertain. </w:t>
      </w:r>
    </w:p>
    <w:p w:rsidR="00AF2FB0" w:rsidRPr="00AF2FB0" w:rsidRDefault="00AF2FB0" w:rsidP="00AF2FB0">
      <w:pPr>
        <w:pStyle w:val="ListParagraph"/>
        <w:rPr>
          <w:szCs w:val="22"/>
        </w:rPr>
      </w:pPr>
    </w:p>
    <w:p w:rsidR="00AF2FB0" w:rsidRPr="00C61E98" w:rsidRDefault="00AF2FB0" w:rsidP="00C61E98">
      <w:pPr>
        <w:pStyle w:val="ListParagraph"/>
        <w:numPr>
          <w:ilvl w:val="1"/>
          <w:numId w:val="25"/>
        </w:numPr>
        <w:jc w:val="both"/>
        <w:rPr>
          <w:szCs w:val="22"/>
        </w:rPr>
      </w:pPr>
      <w:r w:rsidRPr="00C61E98">
        <w:rPr>
          <w:szCs w:val="22"/>
        </w:rPr>
        <w:t>The PBAC considered, as the clinical management of individuals with HCV is moving so rapidly, that a broader Government and community approach is needed to maximise clinical outcomes and patient access to treatment. As well as subsidising new treatments on the PBS, other factors that increase the capacity to treat patients need to be explored.</w:t>
      </w:r>
    </w:p>
    <w:p w:rsidR="00346A6D" w:rsidRPr="00400CFB" w:rsidRDefault="00346A6D" w:rsidP="00F10C13">
      <w:pPr>
        <w:pStyle w:val="ListParagraph"/>
        <w:ind w:left="0"/>
        <w:jc w:val="both"/>
        <w:rPr>
          <w:szCs w:val="22"/>
        </w:rPr>
      </w:pPr>
    </w:p>
    <w:p w:rsidR="00346A6D" w:rsidRPr="00C61E98" w:rsidRDefault="00346A6D" w:rsidP="00C61E98">
      <w:pPr>
        <w:pStyle w:val="ListParagraph"/>
        <w:numPr>
          <w:ilvl w:val="1"/>
          <w:numId w:val="25"/>
        </w:numPr>
        <w:jc w:val="both"/>
        <w:rPr>
          <w:szCs w:val="22"/>
        </w:rPr>
      </w:pPr>
      <w:r w:rsidRPr="00C61E98">
        <w:rPr>
          <w:szCs w:val="22"/>
        </w:rPr>
        <w:lastRenderedPageBreak/>
        <w:t xml:space="preserve">The PBAC noted that, with the listing of </w:t>
      </w:r>
      <w:proofErr w:type="spellStart"/>
      <w:r w:rsidRPr="00C61E98">
        <w:rPr>
          <w:szCs w:val="22"/>
        </w:rPr>
        <w:t>simeprevir</w:t>
      </w:r>
      <w:proofErr w:type="spellEnd"/>
      <w:r w:rsidRPr="00C61E98">
        <w:rPr>
          <w:szCs w:val="22"/>
        </w:rPr>
        <w:t>, that there are flow-on implications to the PBS-listings of other medicines, which may take time to finalise in consultation with affected sponsors.</w:t>
      </w:r>
    </w:p>
    <w:p w:rsidR="00346A6D" w:rsidRPr="00400CFB" w:rsidRDefault="00346A6D" w:rsidP="00F10C13">
      <w:pPr>
        <w:pStyle w:val="ListParagraph"/>
        <w:ind w:left="709"/>
        <w:rPr>
          <w:szCs w:val="22"/>
        </w:rPr>
      </w:pPr>
    </w:p>
    <w:p w:rsidR="00CB2A61" w:rsidRPr="00C61E98" w:rsidRDefault="00A22660" w:rsidP="00C61E98">
      <w:pPr>
        <w:pStyle w:val="ListParagraph"/>
        <w:numPr>
          <w:ilvl w:val="1"/>
          <w:numId w:val="25"/>
        </w:numPr>
        <w:jc w:val="both"/>
        <w:rPr>
          <w:szCs w:val="22"/>
        </w:rPr>
      </w:pPr>
      <w:r w:rsidRPr="00C61E98">
        <w:rPr>
          <w:szCs w:val="22"/>
        </w:rPr>
        <w:t>The PBAC recommended</w:t>
      </w:r>
      <w:r w:rsidR="00BB7EC3" w:rsidRPr="00C61E98">
        <w:rPr>
          <w:szCs w:val="22"/>
        </w:rPr>
        <w:t xml:space="preserve"> that </w:t>
      </w:r>
      <w:proofErr w:type="spellStart"/>
      <w:r w:rsidR="00F33538" w:rsidRPr="00C61E98">
        <w:rPr>
          <w:szCs w:val="22"/>
        </w:rPr>
        <w:t>simeprevir</w:t>
      </w:r>
      <w:proofErr w:type="spellEnd"/>
      <w:r w:rsidR="00F33538" w:rsidRPr="00C61E98">
        <w:rPr>
          <w:szCs w:val="22"/>
        </w:rPr>
        <w:t xml:space="preserve"> </w:t>
      </w:r>
      <w:r w:rsidR="00BB7EC3" w:rsidRPr="00C61E98">
        <w:rPr>
          <w:szCs w:val="22"/>
        </w:rPr>
        <w:t xml:space="preserve">is not suitable for prescribing by </w:t>
      </w:r>
      <w:r w:rsidR="00B43E90" w:rsidRPr="00C61E98">
        <w:rPr>
          <w:szCs w:val="22"/>
        </w:rPr>
        <w:t>nurse practitioner</w:t>
      </w:r>
      <w:r w:rsidR="00BB7EC3" w:rsidRPr="00C61E98">
        <w:rPr>
          <w:szCs w:val="22"/>
        </w:rPr>
        <w:t>s</w:t>
      </w:r>
      <w:r w:rsidR="00F33538" w:rsidRPr="00C61E98">
        <w:rPr>
          <w:szCs w:val="22"/>
        </w:rPr>
        <w:t xml:space="preserve"> as it is a Section 100 medicine. </w:t>
      </w:r>
    </w:p>
    <w:p w:rsidR="00346A6D" w:rsidRPr="00400CFB" w:rsidRDefault="00BB7EC3" w:rsidP="00CB2A61">
      <w:pPr>
        <w:jc w:val="both"/>
        <w:rPr>
          <w:szCs w:val="22"/>
        </w:rPr>
      </w:pPr>
      <w:r w:rsidRPr="00400CFB">
        <w:rPr>
          <w:szCs w:val="22"/>
        </w:rPr>
        <w:t xml:space="preserve"> </w:t>
      </w:r>
      <w:r w:rsidR="00B43E90" w:rsidRPr="00400CFB">
        <w:rPr>
          <w:szCs w:val="22"/>
        </w:rPr>
        <w:t xml:space="preserve"> </w:t>
      </w:r>
    </w:p>
    <w:p w:rsidR="00346A6D" w:rsidRPr="00C61E98" w:rsidRDefault="00346A6D" w:rsidP="00C61E98">
      <w:pPr>
        <w:pStyle w:val="ListParagraph"/>
        <w:numPr>
          <w:ilvl w:val="1"/>
          <w:numId w:val="25"/>
        </w:numPr>
        <w:jc w:val="both"/>
        <w:rPr>
          <w:szCs w:val="22"/>
        </w:rPr>
      </w:pPr>
      <w:r w:rsidRPr="00C61E98">
        <w:rPr>
          <w:szCs w:val="22"/>
        </w:rPr>
        <w:t xml:space="preserve">The PBAC recommended that the Safety Net 20 Day Rule should not apply to </w:t>
      </w:r>
      <w:proofErr w:type="spellStart"/>
      <w:r w:rsidRPr="00C61E98">
        <w:rPr>
          <w:szCs w:val="22"/>
        </w:rPr>
        <w:t>simeprevir</w:t>
      </w:r>
      <w:proofErr w:type="spellEnd"/>
      <w:r w:rsidRPr="00C61E98">
        <w:rPr>
          <w:szCs w:val="22"/>
        </w:rPr>
        <w:t xml:space="preserve">, as it does not apply to items supplied under Section 100. </w:t>
      </w:r>
      <w:r w:rsidRPr="00C61E98" w:rsidDel="00F33538">
        <w:rPr>
          <w:szCs w:val="22"/>
        </w:rPr>
        <w:t xml:space="preserve"> </w:t>
      </w:r>
    </w:p>
    <w:p w:rsidR="00346A6D" w:rsidRPr="00400CFB" w:rsidRDefault="00346A6D" w:rsidP="00F10C13">
      <w:pPr>
        <w:jc w:val="both"/>
        <w:rPr>
          <w:szCs w:val="22"/>
        </w:rPr>
      </w:pPr>
    </w:p>
    <w:p w:rsidR="00346A6D" w:rsidRPr="00C61E98" w:rsidRDefault="00346A6D" w:rsidP="00C61E98">
      <w:pPr>
        <w:pStyle w:val="ListParagraph"/>
        <w:numPr>
          <w:ilvl w:val="1"/>
          <w:numId w:val="25"/>
        </w:numPr>
        <w:jc w:val="both"/>
        <w:rPr>
          <w:szCs w:val="22"/>
          <w:u w:val="single"/>
        </w:rPr>
      </w:pPr>
      <w:r w:rsidRPr="00C61E98">
        <w:rPr>
          <w:szCs w:val="22"/>
          <w:u w:val="single"/>
        </w:rPr>
        <w:t>Advice to the Minister under Section 101 3BA of the National Health Act</w:t>
      </w:r>
      <w:r w:rsidR="00B77FCF" w:rsidRPr="00C61E98">
        <w:rPr>
          <w:szCs w:val="22"/>
          <w:u w:val="single"/>
        </w:rPr>
        <w:t>:</w:t>
      </w:r>
    </w:p>
    <w:p w:rsidR="00346A6D" w:rsidRPr="00400CFB" w:rsidRDefault="00346A6D" w:rsidP="00346A6D">
      <w:pPr>
        <w:pStyle w:val="ListParagraph"/>
        <w:ind w:left="709"/>
        <w:jc w:val="both"/>
        <w:rPr>
          <w:szCs w:val="22"/>
        </w:rPr>
      </w:pPr>
      <w:r w:rsidRPr="00400CFB">
        <w:rPr>
          <w:szCs w:val="22"/>
        </w:rPr>
        <w:t xml:space="preserve">The PBAC </w:t>
      </w:r>
      <w:r w:rsidR="005156D3">
        <w:rPr>
          <w:szCs w:val="22"/>
        </w:rPr>
        <w:t>advised</w:t>
      </w:r>
      <w:r w:rsidRPr="00400CFB">
        <w:rPr>
          <w:szCs w:val="22"/>
        </w:rPr>
        <w:t xml:space="preserve"> the Minister that under Section 101 3BA of the National Health Act, </w:t>
      </w:r>
      <w:proofErr w:type="spellStart"/>
      <w:r w:rsidRPr="00400CFB">
        <w:rPr>
          <w:szCs w:val="22"/>
        </w:rPr>
        <w:t>simeprevir</w:t>
      </w:r>
      <w:proofErr w:type="spellEnd"/>
      <w:r w:rsidRPr="00400CFB">
        <w:rPr>
          <w:szCs w:val="22"/>
        </w:rPr>
        <w:t xml:space="preserve"> should be treated as interchangeable on an individual patient basis with </w:t>
      </w:r>
      <w:proofErr w:type="spellStart"/>
      <w:r w:rsidRPr="00400CFB">
        <w:rPr>
          <w:szCs w:val="22"/>
        </w:rPr>
        <w:t>boceprevir</w:t>
      </w:r>
      <w:proofErr w:type="spellEnd"/>
      <w:r w:rsidRPr="00400CFB">
        <w:rPr>
          <w:szCs w:val="22"/>
        </w:rPr>
        <w:t xml:space="preserve"> and </w:t>
      </w:r>
      <w:proofErr w:type="spellStart"/>
      <w:r w:rsidRPr="00400CFB">
        <w:rPr>
          <w:szCs w:val="22"/>
        </w:rPr>
        <w:t>telaprevir</w:t>
      </w:r>
      <w:proofErr w:type="spellEnd"/>
      <w:r w:rsidRPr="00400CFB">
        <w:rPr>
          <w:szCs w:val="22"/>
        </w:rPr>
        <w:t xml:space="preserve">. </w:t>
      </w:r>
    </w:p>
    <w:p w:rsidR="00F33538" w:rsidRDefault="00F33538" w:rsidP="00F10C13">
      <w:pPr>
        <w:pStyle w:val="ListParagraph"/>
        <w:ind w:left="709"/>
        <w:jc w:val="both"/>
      </w:pPr>
    </w:p>
    <w:p w:rsidR="00C61E98" w:rsidRPr="00400CFB" w:rsidRDefault="00C61E98" w:rsidP="00F10C13">
      <w:pPr>
        <w:pStyle w:val="ListParagraph"/>
        <w:ind w:left="709"/>
        <w:jc w:val="both"/>
      </w:pPr>
    </w:p>
    <w:p w:rsidR="002644DE" w:rsidRPr="00400CFB" w:rsidRDefault="009C703C" w:rsidP="00882085">
      <w:pPr>
        <w:jc w:val="both"/>
        <w:rPr>
          <w:szCs w:val="22"/>
        </w:rPr>
      </w:pPr>
      <w:r w:rsidRPr="00400CFB">
        <w:rPr>
          <w:b/>
          <w:szCs w:val="22"/>
        </w:rPr>
        <w:t>Outcome:</w:t>
      </w:r>
    </w:p>
    <w:p w:rsidR="009C703C" w:rsidRPr="00400CFB" w:rsidRDefault="009C703C" w:rsidP="00F23F22">
      <w:pPr>
        <w:jc w:val="both"/>
        <w:rPr>
          <w:szCs w:val="22"/>
        </w:rPr>
      </w:pPr>
      <w:r w:rsidRPr="00400CFB">
        <w:rPr>
          <w:szCs w:val="22"/>
        </w:rPr>
        <w:t xml:space="preserve">Recommended </w:t>
      </w:r>
    </w:p>
    <w:p w:rsidR="005727A9" w:rsidRDefault="005727A9" w:rsidP="00882085">
      <w:pPr>
        <w:jc w:val="both"/>
        <w:rPr>
          <w:b/>
          <w:szCs w:val="22"/>
        </w:rPr>
      </w:pPr>
    </w:p>
    <w:p w:rsidR="00C61E98" w:rsidRPr="00400CFB" w:rsidRDefault="00C61E98" w:rsidP="00882085">
      <w:pPr>
        <w:jc w:val="both"/>
        <w:rPr>
          <w:b/>
          <w:szCs w:val="22"/>
        </w:rPr>
      </w:pPr>
    </w:p>
    <w:p w:rsidR="00C61E98" w:rsidRPr="00407F2D" w:rsidRDefault="00C61E98" w:rsidP="00C61E98">
      <w:pPr>
        <w:pStyle w:val="ListParagraph"/>
        <w:numPr>
          <w:ilvl w:val="0"/>
          <w:numId w:val="25"/>
        </w:numPr>
        <w:jc w:val="both"/>
        <w:rPr>
          <w:b/>
          <w:szCs w:val="22"/>
        </w:rPr>
      </w:pPr>
      <w:r w:rsidRPr="00407F2D">
        <w:rPr>
          <w:rFonts w:cs="Arial"/>
          <w:b/>
          <w:szCs w:val="22"/>
        </w:rPr>
        <w:t>Recommended listing</w:t>
      </w:r>
    </w:p>
    <w:p w:rsidR="00811368" w:rsidRPr="00400CFB" w:rsidRDefault="00811368" w:rsidP="00F10C13">
      <w:pPr>
        <w:pStyle w:val="ListParagraph"/>
        <w:ind w:left="360"/>
        <w:jc w:val="both"/>
        <w:rPr>
          <w:b/>
          <w:szCs w:val="22"/>
        </w:rPr>
      </w:pPr>
    </w:p>
    <w:p w:rsidR="005727A9" w:rsidRPr="00085394" w:rsidRDefault="00D0321E" w:rsidP="00F10C13">
      <w:pPr>
        <w:pStyle w:val="ListParagraph"/>
        <w:numPr>
          <w:ilvl w:val="1"/>
          <w:numId w:val="25"/>
        </w:numPr>
        <w:jc w:val="both"/>
        <w:rPr>
          <w:szCs w:val="22"/>
        </w:rPr>
      </w:pPr>
      <w:r w:rsidRPr="00400CFB">
        <w:t>Add new item:</w:t>
      </w:r>
    </w:p>
    <w:p w:rsidR="00085394" w:rsidRDefault="00085394" w:rsidP="00085394">
      <w:pPr>
        <w:jc w:val="both"/>
        <w:rPr>
          <w:szCs w:val="22"/>
        </w:rPr>
      </w:pPr>
    </w:p>
    <w:tbl>
      <w:tblPr>
        <w:tblW w:w="8505" w:type="dxa"/>
        <w:tblInd w:w="817" w:type="dxa"/>
        <w:tblLayout w:type="fixed"/>
        <w:tblLook w:val="0000" w:firstRow="0" w:lastRow="0" w:firstColumn="0" w:lastColumn="0" w:noHBand="0" w:noVBand="0"/>
        <w:tblDescription w:val="simeprevir listing"/>
      </w:tblPr>
      <w:tblGrid>
        <w:gridCol w:w="1985"/>
        <w:gridCol w:w="1864"/>
        <w:gridCol w:w="1049"/>
        <w:gridCol w:w="1224"/>
        <w:gridCol w:w="1225"/>
        <w:gridCol w:w="1049"/>
        <w:gridCol w:w="109"/>
      </w:tblGrid>
      <w:tr w:rsidR="00085394" w:rsidRPr="00400CFB" w:rsidTr="00085394">
        <w:trPr>
          <w:gridAfter w:val="1"/>
          <w:wAfter w:w="109" w:type="dxa"/>
          <w:cantSplit/>
          <w:trHeight w:val="477"/>
        </w:trPr>
        <w:tc>
          <w:tcPr>
            <w:tcW w:w="3849" w:type="dxa"/>
            <w:gridSpan w:val="2"/>
            <w:tcBorders>
              <w:bottom w:val="single" w:sz="4" w:space="0" w:color="auto"/>
            </w:tcBorders>
          </w:tcPr>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Name, Restriction,</w:t>
            </w:r>
          </w:p>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 xml:space="preserve">Manner of administration </w:t>
            </w:r>
          </w:p>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and form</w:t>
            </w:r>
          </w:p>
        </w:tc>
        <w:tc>
          <w:tcPr>
            <w:tcW w:w="1049" w:type="dxa"/>
            <w:tcBorders>
              <w:bottom w:val="single" w:sz="4" w:space="0" w:color="auto"/>
            </w:tcBorders>
          </w:tcPr>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Max.</w:t>
            </w:r>
          </w:p>
          <w:p w:rsidR="00085394" w:rsidRPr="00400CFB" w:rsidRDefault="00085394" w:rsidP="003E02BD">
            <w:pPr>
              <w:keepNext/>
              <w:ind w:left="-108"/>
              <w:rPr>
                <w:rFonts w:ascii="Arial Narrow" w:hAnsi="Arial Narrow"/>
                <w:sz w:val="20"/>
                <w:szCs w:val="20"/>
              </w:rPr>
            </w:pPr>
            <w:proofErr w:type="spellStart"/>
            <w:r w:rsidRPr="00400CFB">
              <w:rPr>
                <w:rFonts w:ascii="Arial Narrow" w:hAnsi="Arial Narrow"/>
                <w:sz w:val="20"/>
                <w:szCs w:val="20"/>
              </w:rPr>
              <w:t>Qty</w:t>
            </w:r>
            <w:proofErr w:type="spellEnd"/>
          </w:p>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(packs)</w:t>
            </w:r>
          </w:p>
        </w:tc>
        <w:tc>
          <w:tcPr>
            <w:tcW w:w="1224" w:type="dxa"/>
            <w:tcBorders>
              <w:bottom w:val="single" w:sz="4" w:space="0" w:color="auto"/>
            </w:tcBorders>
          </w:tcPr>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№.of</w:t>
            </w:r>
          </w:p>
          <w:p w:rsidR="00085394" w:rsidRPr="00400CFB" w:rsidRDefault="00085394" w:rsidP="003E02BD">
            <w:pPr>
              <w:keepNext/>
              <w:ind w:left="-108"/>
              <w:rPr>
                <w:rFonts w:ascii="Arial Narrow" w:hAnsi="Arial Narrow"/>
                <w:sz w:val="20"/>
                <w:szCs w:val="20"/>
              </w:rPr>
            </w:pPr>
            <w:proofErr w:type="spellStart"/>
            <w:r w:rsidRPr="00400CFB">
              <w:rPr>
                <w:rFonts w:ascii="Arial Narrow" w:hAnsi="Arial Narrow"/>
                <w:sz w:val="20"/>
                <w:szCs w:val="20"/>
              </w:rPr>
              <w:t>Rpts</w:t>
            </w:r>
            <w:proofErr w:type="spellEnd"/>
          </w:p>
        </w:tc>
        <w:tc>
          <w:tcPr>
            <w:tcW w:w="2274" w:type="dxa"/>
            <w:gridSpan w:val="2"/>
            <w:tcBorders>
              <w:bottom w:val="single" w:sz="4" w:space="0" w:color="auto"/>
            </w:tcBorders>
          </w:tcPr>
          <w:p w:rsidR="00085394" w:rsidRPr="00400CFB" w:rsidRDefault="00085394" w:rsidP="003E02BD">
            <w:pPr>
              <w:keepNext/>
              <w:rPr>
                <w:rFonts w:ascii="Arial Narrow" w:hAnsi="Arial Narrow"/>
                <w:sz w:val="20"/>
                <w:szCs w:val="20"/>
              </w:rPr>
            </w:pPr>
            <w:r w:rsidRPr="00400CFB">
              <w:rPr>
                <w:rFonts w:ascii="Arial Narrow" w:hAnsi="Arial Narrow"/>
                <w:sz w:val="20"/>
                <w:szCs w:val="20"/>
              </w:rPr>
              <w:t xml:space="preserve">Proprietary Name </w:t>
            </w:r>
          </w:p>
          <w:p w:rsidR="00085394" w:rsidRPr="00400CFB" w:rsidRDefault="00085394" w:rsidP="003E02BD">
            <w:pPr>
              <w:keepNext/>
              <w:rPr>
                <w:rFonts w:ascii="Arial Narrow" w:hAnsi="Arial Narrow"/>
                <w:sz w:val="20"/>
                <w:szCs w:val="20"/>
                <w:lang w:val="fr-FR"/>
              </w:rPr>
            </w:pPr>
            <w:r w:rsidRPr="00400CFB">
              <w:rPr>
                <w:rFonts w:ascii="Arial Narrow" w:hAnsi="Arial Narrow"/>
                <w:sz w:val="20"/>
                <w:szCs w:val="20"/>
              </w:rPr>
              <w:t>and Manufacturer</w:t>
            </w:r>
          </w:p>
        </w:tc>
      </w:tr>
      <w:tr w:rsidR="00085394" w:rsidRPr="00400CFB" w:rsidTr="00085394">
        <w:trPr>
          <w:gridAfter w:val="1"/>
          <w:wAfter w:w="109" w:type="dxa"/>
          <w:cantSplit/>
          <w:trHeight w:val="584"/>
        </w:trPr>
        <w:tc>
          <w:tcPr>
            <w:tcW w:w="3849" w:type="dxa"/>
            <w:gridSpan w:val="2"/>
          </w:tcPr>
          <w:p w:rsidR="00085394" w:rsidRPr="00400CFB" w:rsidRDefault="00085394" w:rsidP="003E02BD">
            <w:pPr>
              <w:keepNext/>
              <w:rPr>
                <w:rFonts w:ascii="Arial Narrow" w:hAnsi="Arial Narrow"/>
                <w:sz w:val="20"/>
                <w:szCs w:val="20"/>
              </w:rPr>
            </w:pPr>
            <w:r w:rsidRPr="00400CFB">
              <w:rPr>
                <w:rFonts w:ascii="Arial Narrow" w:hAnsi="Arial Narrow"/>
                <w:smallCaps/>
                <w:sz w:val="20"/>
                <w:szCs w:val="20"/>
              </w:rPr>
              <w:t xml:space="preserve">SIMEPREVIR </w:t>
            </w:r>
          </w:p>
          <w:p w:rsidR="00085394" w:rsidRPr="00400CFB" w:rsidRDefault="00085394" w:rsidP="003E02BD">
            <w:pPr>
              <w:keepNext/>
              <w:ind w:left="-108"/>
              <w:rPr>
                <w:rFonts w:ascii="Arial Narrow" w:hAnsi="Arial Narrow"/>
                <w:sz w:val="20"/>
                <w:szCs w:val="20"/>
              </w:rPr>
            </w:pPr>
            <w:proofErr w:type="spellStart"/>
            <w:r w:rsidRPr="00400CFB">
              <w:rPr>
                <w:rFonts w:ascii="Arial Narrow" w:hAnsi="Arial Narrow"/>
                <w:sz w:val="20"/>
                <w:szCs w:val="20"/>
              </w:rPr>
              <w:t>simeprevir</w:t>
            </w:r>
            <w:proofErr w:type="spellEnd"/>
            <w:r w:rsidRPr="00400CFB">
              <w:rPr>
                <w:rFonts w:ascii="Arial Narrow" w:hAnsi="Arial Narrow"/>
                <w:sz w:val="20"/>
                <w:szCs w:val="20"/>
              </w:rPr>
              <w:t xml:space="preserve"> sodium 150 mg capsule, 7 </w:t>
            </w:r>
          </w:p>
        </w:tc>
        <w:tc>
          <w:tcPr>
            <w:tcW w:w="1049" w:type="dxa"/>
          </w:tcPr>
          <w:p w:rsidR="00085394" w:rsidRPr="00400CFB" w:rsidRDefault="00085394" w:rsidP="003E02BD">
            <w:pPr>
              <w:keepNext/>
              <w:ind w:left="-108"/>
              <w:rPr>
                <w:rFonts w:ascii="Arial Narrow" w:hAnsi="Arial Narrow"/>
                <w:sz w:val="20"/>
                <w:szCs w:val="20"/>
              </w:rPr>
            </w:pPr>
          </w:p>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6</w:t>
            </w:r>
          </w:p>
        </w:tc>
        <w:tc>
          <w:tcPr>
            <w:tcW w:w="1224" w:type="dxa"/>
          </w:tcPr>
          <w:p w:rsidR="00085394" w:rsidRPr="00400CFB" w:rsidRDefault="00085394" w:rsidP="003E02BD">
            <w:pPr>
              <w:keepNext/>
              <w:ind w:left="-108"/>
              <w:rPr>
                <w:rFonts w:ascii="Arial Narrow" w:hAnsi="Arial Narrow"/>
                <w:sz w:val="20"/>
                <w:szCs w:val="20"/>
              </w:rPr>
            </w:pPr>
          </w:p>
          <w:p w:rsidR="00085394" w:rsidRPr="00400CFB" w:rsidRDefault="00085394" w:rsidP="003E02BD">
            <w:pPr>
              <w:keepNext/>
              <w:ind w:left="-108"/>
              <w:rPr>
                <w:rFonts w:ascii="Arial Narrow" w:hAnsi="Arial Narrow"/>
                <w:sz w:val="20"/>
                <w:szCs w:val="20"/>
              </w:rPr>
            </w:pPr>
            <w:r w:rsidRPr="00400CFB">
              <w:rPr>
                <w:rFonts w:ascii="Arial Narrow" w:hAnsi="Arial Narrow"/>
                <w:sz w:val="20"/>
                <w:szCs w:val="20"/>
              </w:rPr>
              <w:t>0</w:t>
            </w:r>
          </w:p>
        </w:tc>
        <w:tc>
          <w:tcPr>
            <w:tcW w:w="1225" w:type="dxa"/>
          </w:tcPr>
          <w:p w:rsidR="00085394" w:rsidRPr="00400CFB" w:rsidRDefault="00085394" w:rsidP="003E02BD">
            <w:pPr>
              <w:keepNext/>
              <w:rPr>
                <w:rFonts w:ascii="Arial Narrow" w:hAnsi="Arial Narrow"/>
                <w:sz w:val="20"/>
                <w:szCs w:val="20"/>
              </w:rPr>
            </w:pPr>
            <w:proofErr w:type="spellStart"/>
            <w:r w:rsidRPr="00400CFB">
              <w:rPr>
                <w:rFonts w:ascii="Arial Narrow" w:hAnsi="Arial Narrow"/>
                <w:sz w:val="20"/>
                <w:szCs w:val="20"/>
              </w:rPr>
              <w:t>Olysio</w:t>
            </w:r>
            <w:proofErr w:type="spellEnd"/>
            <w:r w:rsidRPr="00400CFB">
              <w:rPr>
                <w:rFonts w:ascii="Arial Narrow" w:hAnsi="Arial Narrow"/>
                <w:sz w:val="20"/>
                <w:szCs w:val="20"/>
              </w:rPr>
              <w:t>®</w:t>
            </w:r>
          </w:p>
        </w:tc>
        <w:tc>
          <w:tcPr>
            <w:tcW w:w="1049" w:type="dxa"/>
          </w:tcPr>
          <w:p w:rsidR="00085394" w:rsidRPr="00400CFB" w:rsidRDefault="00085394" w:rsidP="003E02BD">
            <w:pPr>
              <w:keepNext/>
              <w:rPr>
                <w:rFonts w:ascii="Arial Narrow" w:hAnsi="Arial Narrow"/>
                <w:sz w:val="20"/>
                <w:szCs w:val="20"/>
              </w:rPr>
            </w:pPr>
            <w:r w:rsidRPr="00400CFB">
              <w:rPr>
                <w:rFonts w:ascii="Arial Narrow" w:hAnsi="Arial Narrow"/>
                <w:sz w:val="20"/>
                <w:szCs w:val="20"/>
              </w:rPr>
              <w:t>JC</w:t>
            </w:r>
          </w:p>
        </w:tc>
      </w:tr>
      <w:tr w:rsidR="004C4A2F" w:rsidRPr="00400CFB" w:rsidTr="00085394">
        <w:trPr>
          <w:cantSplit/>
          <w:trHeight w:val="577"/>
        </w:trPr>
        <w:tc>
          <w:tcPr>
            <w:tcW w:w="8505" w:type="dxa"/>
            <w:gridSpan w:val="7"/>
          </w:tcPr>
          <w:p w:rsidR="004C4A2F" w:rsidRPr="00400CFB" w:rsidRDefault="004C4A2F" w:rsidP="00046E85">
            <w:pPr>
              <w:keepNext/>
              <w:rPr>
                <w:rFonts w:ascii="Arial Narrow" w:hAnsi="Arial Narrow"/>
                <w:b/>
                <w:sz w:val="20"/>
                <w:szCs w:val="20"/>
              </w:rPr>
            </w:pPr>
            <w:r w:rsidRPr="00400CFB">
              <w:rPr>
                <w:rFonts w:ascii="Arial Narrow" w:hAnsi="Arial Narrow"/>
                <w:b/>
                <w:sz w:val="20"/>
                <w:szCs w:val="20"/>
              </w:rPr>
              <w:t>Treatment naïve patients:</w:t>
            </w:r>
          </w:p>
          <w:p w:rsidR="004C4A2F" w:rsidRPr="00400CFB" w:rsidRDefault="004C4A2F" w:rsidP="00046E85">
            <w:pPr>
              <w:keepNext/>
              <w:rPr>
                <w:rFonts w:ascii="Arial Narrow" w:hAnsi="Arial Narrow"/>
                <w:sz w:val="20"/>
                <w:szCs w:val="20"/>
              </w:rPr>
            </w:pPr>
          </w:p>
        </w:tc>
      </w:tr>
      <w:tr w:rsidR="002E6707" w:rsidRPr="00400CFB" w:rsidTr="00085394">
        <w:trPr>
          <w:trHeight w:val="360"/>
        </w:trPr>
        <w:tc>
          <w:tcPr>
            <w:tcW w:w="1985" w:type="dxa"/>
            <w:tcBorders>
              <w:top w:val="single" w:sz="4" w:space="0" w:color="auto"/>
              <w:left w:val="single" w:sz="4" w:space="0" w:color="auto"/>
              <w:bottom w:val="single" w:sz="4" w:space="0" w:color="auto"/>
              <w:right w:val="single" w:sz="4" w:space="0" w:color="auto"/>
            </w:tcBorders>
          </w:tcPr>
          <w:p w:rsidR="002E6707" w:rsidRPr="00400CFB" w:rsidRDefault="002E6707" w:rsidP="00046E85">
            <w:pPr>
              <w:rPr>
                <w:rFonts w:ascii="Arial Narrow" w:hAnsi="Arial Narrow"/>
                <w:b/>
                <w:sz w:val="20"/>
                <w:szCs w:val="20"/>
              </w:rPr>
            </w:pPr>
            <w:r w:rsidRPr="00400CFB">
              <w:rPr>
                <w:rFonts w:ascii="Arial Narrow" w:hAnsi="Arial Narrow"/>
                <w:b/>
                <w:sz w:val="20"/>
                <w:szCs w:val="20"/>
              </w:rPr>
              <w:t xml:space="preserve">Category/Program </w:t>
            </w:r>
          </w:p>
        </w:tc>
        <w:tc>
          <w:tcPr>
            <w:tcW w:w="6520" w:type="dxa"/>
            <w:gridSpan w:val="6"/>
            <w:tcBorders>
              <w:top w:val="single" w:sz="4" w:space="0" w:color="auto"/>
              <w:left w:val="single" w:sz="4" w:space="0" w:color="auto"/>
              <w:bottom w:val="single" w:sz="4" w:space="0" w:color="auto"/>
              <w:right w:val="single" w:sz="4" w:space="0" w:color="auto"/>
            </w:tcBorders>
          </w:tcPr>
          <w:p w:rsidR="002E6707" w:rsidRPr="00400CFB" w:rsidRDefault="002E6707" w:rsidP="00046E85">
            <w:pPr>
              <w:rPr>
                <w:rFonts w:ascii="Arial Narrow" w:hAnsi="Arial Narrow"/>
                <w:sz w:val="20"/>
                <w:szCs w:val="20"/>
                <w:lang w:val="en-US"/>
              </w:rPr>
            </w:pPr>
            <w:r w:rsidRPr="00400CFB">
              <w:rPr>
                <w:rFonts w:ascii="Arial Narrow" w:hAnsi="Arial Narrow"/>
                <w:sz w:val="20"/>
                <w:szCs w:val="20"/>
                <w:lang w:val="en-US"/>
              </w:rPr>
              <w:t xml:space="preserve">Section 100 (Highly </w:t>
            </w:r>
            <w:proofErr w:type="spellStart"/>
            <w:r w:rsidRPr="00400CFB">
              <w:rPr>
                <w:rFonts w:ascii="Arial Narrow" w:hAnsi="Arial Narrow"/>
                <w:sz w:val="20"/>
                <w:szCs w:val="20"/>
                <w:lang w:val="en-US"/>
              </w:rPr>
              <w:t>Specialised</w:t>
            </w:r>
            <w:proofErr w:type="spellEnd"/>
            <w:r w:rsidRPr="00400CFB">
              <w:rPr>
                <w:rFonts w:ascii="Arial Narrow" w:hAnsi="Arial Narrow"/>
                <w:sz w:val="20"/>
                <w:szCs w:val="20"/>
                <w:lang w:val="en-US"/>
              </w:rPr>
              <w:t xml:space="preserve"> Drugs Program) </w:t>
            </w:r>
          </w:p>
        </w:tc>
      </w:tr>
      <w:tr w:rsidR="00E824C1" w:rsidRPr="00400CFB" w:rsidTr="00085394">
        <w:trPr>
          <w:trHeight w:val="360"/>
        </w:trPr>
        <w:tc>
          <w:tcPr>
            <w:tcW w:w="1985" w:type="dxa"/>
            <w:tcBorders>
              <w:top w:val="single" w:sz="4" w:space="0" w:color="auto"/>
              <w:left w:val="single" w:sz="4" w:space="0" w:color="auto"/>
              <w:bottom w:val="single" w:sz="4" w:space="0" w:color="auto"/>
              <w:right w:val="single" w:sz="4" w:space="0" w:color="auto"/>
            </w:tcBorders>
          </w:tcPr>
          <w:p w:rsidR="00E824C1" w:rsidRPr="00400CFB" w:rsidRDefault="00E824C1" w:rsidP="00046E85">
            <w:pPr>
              <w:rPr>
                <w:rFonts w:ascii="Arial Narrow" w:hAnsi="Arial Narrow"/>
                <w:b/>
                <w:sz w:val="20"/>
                <w:szCs w:val="20"/>
              </w:rPr>
            </w:pPr>
            <w:proofErr w:type="spellStart"/>
            <w:r w:rsidRPr="00400CFB">
              <w:rPr>
                <w:rFonts w:ascii="Arial Narrow" w:hAnsi="Arial Narrow"/>
                <w:b/>
                <w:sz w:val="20"/>
                <w:szCs w:val="20"/>
              </w:rPr>
              <w:t>Episodicity</w:t>
            </w:r>
            <w:proofErr w:type="spellEnd"/>
            <w:r w:rsidRPr="00400CFB">
              <w:rPr>
                <w:rFonts w:ascii="Arial Narrow" w:hAnsi="Arial Narrow"/>
                <w:b/>
                <w:sz w:val="20"/>
                <w:szCs w:val="20"/>
              </w:rPr>
              <w:t xml:space="preserve">: </w:t>
            </w:r>
          </w:p>
        </w:tc>
        <w:tc>
          <w:tcPr>
            <w:tcW w:w="6520" w:type="dxa"/>
            <w:gridSpan w:val="6"/>
            <w:tcBorders>
              <w:top w:val="single" w:sz="4" w:space="0" w:color="auto"/>
              <w:left w:val="single" w:sz="4" w:space="0" w:color="auto"/>
              <w:bottom w:val="single" w:sz="4" w:space="0" w:color="auto"/>
              <w:right w:val="single" w:sz="4" w:space="0" w:color="auto"/>
            </w:tcBorders>
          </w:tcPr>
          <w:p w:rsidR="00E824C1" w:rsidRPr="00400CFB" w:rsidRDefault="00E824C1" w:rsidP="00046E85">
            <w:pPr>
              <w:rPr>
                <w:rFonts w:ascii="Arial Narrow" w:hAnsi="Arial Narrow"/>
                <w:sz w:val="20"/>
                <w:szCs w:val="20"/>
                <w:lang w:val="en-US"/>
              </w:rPr>
            </w:pPr>
          </w:p>
        </w:tc>
      </w:tr>
      <w:tr w:rsidR="00E824C1" w:rsidRPr="00400CFB" w:rsidTr="00085394">
        <w:trPr>
          <w:trHeight w:val="360"/>
        </w:trPr>
        <w:tc>
          <w:tcPr>
            <w:tcW w:w="1985" w:type="dxa"/>
            <w:tcBorders>
              <w:top w:val="single" w:sz="4" w:space="0" w:color="auto"/>
              <w:left w:val="single" w:sz="4" w:space="0" w:color="auto"/>
              <w:bottom w:val="single" w:sz="4" w:space="0" w:color="auto"/>
              <w:right w:val="single" w:sz="4" w:space="0" w:color="auto"/>
            </w:tcBorders>
          </w:tcPr>
          <w:p w:rsidR="00E824C1" w:rsidRPr="00400CFB" w:rsidRDefault="00E824C1" w:rsidP="00046E85">
            <w:pPr>
              <w:rPr>
                <w:rFonts w:ascii="Arial Narrow" w:hAnsi="Arial Narrow"/>
                <w:b/>
                <w:sz w:val="20"/>
                <w:szCs w:val="20"/>
              </w:rPr>
            </w:pPr>
            <w:r w:rsidRPr="00400CFB">
              <w:rPr>
                <w:rFonts w:ascii="Arial Narrow" w:hAnsi="Arial Narrow"/>
                <w:b/>
                <w:sz w:val="20"/>
                <w:szCs w:val="20"/>
              </w:rPr>
              <w:t xml:space="preserve">Severity: </w:t>
            </w:r>
          </w:p>
        </w:tc>
        <w:tc>
          <w:tcPr>
            <w:tcW w:w="6520" w:type="dxa"/>
            <w:gridSpan w:val="6"/>
            <w:tcBorders>
              <w:top w:val="single" w:sz="4" w:space="0" w:color="auto"/>
              <w:left w:val="single" w:sz="4" w:space="0" w:color="auto"/>
              <w:bottom w:val="single" w:sz="4" w:space="0" w:color="auto"/>
              <w:right w:val="single" w:sz="4" w:space="0" w:color="auto"/>
            </w:tcBorders>
          </w:tcPr>
          <w:p w:rsidR="00E824C1" w:rsidRPr="00400CFB" w:rsidRDefault="00E824C1" w:rsidP="00046E85">
            <w:pPr>
              <w:rPr>
                <w:rFonts w:ascii="Arial Narrow" w:hAnsi="Arial Narrow"/>
                <w:sz w:val="20"/>
                <w:szCs w:val="20"/>
                <w:lang w:val="en-US"/>
              </w:rPr>
            </w:pPr>
          </w:p>
        </w:tc>
      </w:tr>
      <w:tr w:rsidR="004C4A2F" w:rsidRPr="00400CFB" w:rsidTr="00085394">
        <w:trPr>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Condition:</w:t>
            </w: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sz w:val="20"/>
                <w:szCs w:val="20"/>
              </w:rPr>
            </w:pPr>
            <w:r w:rsidRPr="00400CFB">
              <w:rPr>
                <w:rFonts w:ascii="Arial Narrow" w:hAnsi="Arial Narrow"/>
                <w:sz w:val="20"/>
                <w:szCs w:val="20"/>
                <w:lang w:val="en-US"/>
              </w:rPr>
              <w:t>Chronic genotype 1 hepatitis C infection</w:t>
            </w:r>
          </w:p>
        </w:tc>
      </w:tr>
      <w:tr w:rsidR="00E824C1" w:rsidRPr="00400CFB" w:rsidTr="00085394">
        <w:trPr>
          <w:trHeight w:val="360"/>
        </w:trPr>
        <w:tc>
          <w:tcPr>
            <w:tcW w:w="1985" w:type="dxa"/>
            <w:tcBorders>
              <w:top w:val="single" w:sz="4" w:space="0" w:color="auto"/>
              <w:left w:val="single" w:sz="4" w:space="0" w:color="auto"/>
              <w:bottom w:val="single" w:sz="4" w:space="0" w:color="auto"/>
              <w:right w:val="single" w:sz="4" w:space="0" w:color="auto"/>
            </w:tcBorders>
          </w:tcPr>
          <w:p w:rsidR="00E824C1" w:rsidRPr="00400CFB" w:rsidRDefault="00E824C1" w:rsidP="00046E85">
            <w:pPr>
              <w:rPr>
                <w:rFonts w:ascii="Arial Narrow" w:hAnsi="Arial Narrow"/>
                <w:b/>
                <w:sz w:val="20"/>
                <w:szCs w:val="20"/>
              </w:rPr>
            </w:pPr>
            <w:r w:rsidRPr="00400CFB">
              <w:rPr>
                <w:rFonts w:ascii="Arial Narrow" w:hAnsi="Arial Narrow"/>
                <w:b/>
                <w:sz w:val="20"/>
                <w:szCs w:val="20"/>
              </w:rPr>
              <w:t xml:space="preserve">Indication: </w:t>
            </w:r>
          </w:p>
        </w:tc>
        <w:tc>
          <w:tcPr>
            <w:tcW w:w="6520" w:type="dxa"/>
            <w:gridSpan w:val="6"/>
            <w:tcBorders>
              <w:top w:val="single" w:sz="4" w:space="0" w:color="auto"/>
              <w:left w:val="single" w:sz="4" w:space="0" w:color="auto"/>
              <w:bottom w:val="single" w:sz="4" w:space="0" w:color="auto"/>
              <w:right w:val="single" w:sz="4" w:space="0" w:color="auto"/>
            </w:tcBorders>
          </w:tcPr>
          <w:p w:rsidR="00E824C1" w:rsidRPr="00400CFB" w:rsidRDefault="00E824C1" w:rsidP="00046E85">
            <w:pPr>
              <w:rPr>
                <w:rFonts w:ascii="Arial Narrow" w:hAnsi="Arial Narrow"/>
                <w:sz w:val="20"/>
                <w:szCs w:val="20"/>
                <w:lang w:val="en-US"/>
              </w:rPr>
            </w:pPr>
            <w:r w:rsidRPr="00400CFB">
              <w:rPr>
                <w:rFonts w:ascii="Arial Narrow" w:hAnsi="Arial Narrow"/>
                <w:sz w:val="20"/>
                <w:szCs w:val="20"/>
                <w:lang w:val="en-US"/>
              </w:rPr>
              <w:t xml:space="preserve">Chronic genotype 1 hepatitis C infection </w:t>
            </w:r>
          </w:p>
        </w:tc>
      </w:tr>
      <w:tr w:rsidR="004C4A2F" w:rsidRPr="00400CFB" w:rsidTr="00085394">
        <w:trPr>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Restriction:</w:t>
            </w:r>
          </w:p>
          <w:p w:rsidR="004C4A2F" w:rsidRPr="00400CFB" w:rsidRDefault="004C4A2F" w:rsidP="00046E85">
            <w:pPr>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sz w:val="20"/>
                <w:szCs w:val="20"/>
              </w:rPr>
            </w:pPr>
            <w:r w:rsidRPr="00400CFB">
              <w:rPr>
                <w:rFonts w:ascii="Arial Narrow" w:hAnsi="Arial Narrow"/>
                <w:sz w:val="20"/>
                <w:szCs w:val="20"/>
              </w:rPr>
              <w:t>Public Hospital Authority Required (Streamlined)</w:t>
            </w:r>
          </w:p>
          <w:p w:rsidR="004C4A2F" w:rsidRPr="00400CFB" w:rsidRDefault="004C4A2F" w:rsidP="00046E85">
            <w:pPr>
              <w:rPr>
                <w:rFonts w:ascii="Arial Narrow" w:hAnsi="Arial Narrow"/>
                <w:sz w:val="20"/>
                <w:szCs w:val="20"/>
              </w:rPr>
            </w:pPr>
            <w:r w:rsidRPr="00400CFB">
              <w:rPr>
                <w:rFonts w:ascii="Arial Narrow" w:hAnsi="Arial Narrow"/>
                <w:sz w:val="20"/>
                <w:szCs w:val="20"/>
              </w:rPr>
              <w:t>Private Hospital Authority Required</w:t>
            </w:r>
          </w:p>
          <w:p w:rsidR="004C4A2F" w:rsidRPr="00400CFB" w:rsidRDefault="004C4A2F" w:rsidP="00046E85">
            <w:pPr>
              <w:rPr>
                <w:rFonts w:ascii="Arial Narrow" w:hAnsi="Arial Narrow"/>
                <w:sz w:val="20"/>
                <w:szCs w:val="20"/>
              </w:rPr>
            </w:pPr>
          </w:p>
        </w:tc>
      </w:tr>
      <w:tr w:rsidR="004C4A2F" w:rsidRPr="00400CFB" w:rsidTr="00085394">
        <w:trPr>
          <w:trHeight w:val="533"/>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Treatment criteria:</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rPr>
              <w:t>Must be treated in an accredited treatment centre</w:t>
            </w:r>
          </w:p>
        </w:tc>
      </w:tr>
      <w:tr w:rsidR="004C4A2F" w:rsidRPr="00400CFB" w:rsidTr="000853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lastRenderedPageBreak/>
              <w:t>Clinical criteria:</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Patient must have compensated liver disease</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Patient must not have received prior treatment with interferon </w:t>
            </w:r>
            <w:proofErr w:type="spellStart"/>
            <w:r w:rsidRPr="00400CFB">
              <w:rPr>
                <w:rFonts w:ascii="Arial Narrow" w:hAnsi="Arial Narrow"/>
                <w:sz w:val="20"/>
                <w:szCs w:val="20"/>
                <w:lang w:val="en-US"/>
              </w:rPr>
              <w:t>alfa</w:t>
            </w:r>
            <w:proofErr w:type="spellEnd"/>
            <w:r w:rsidRPr="00400CFB">
              <w:rPr>
                <w:rFonts w:ascii="Arial Narrow" w:hAnsi="Arial Narrow"/>
                <w:sz w:val="20"/>
                <w:szCs w:val="20"/>
                <w:lang w:val="en-US"/>
              </w:rPr>
              <w:t xml:space="preserve"> or </w:t>
            </w:r>
            <w:proofErr w:type="spellStart"/>
            <w:r w:rsidRPr="00400CFB">
              <w:rPr>
                <w:rFonts w:ascii="Arial Narrow" w:hAnsi="Arial Narrow"/>
                <w:sz w:val="20"/>
                <w:szCs w:val="20"/>
                <w:lang w:val="en-US"/>
              </w:rPr>
              <w:t>peginterferon</w:t>
            </w:r>
            <w:proofErr w:type="spellEnd"/>
            <w:r w:rsidRPr="00400CFB">
              <w:rPr>
                <w:rFonts w:ascii="Arial Narrow" w:hAnsi="Arial Narrow"/>
                <w:sz w:val="20"/>
                <w:szCs w:val="20"/>
                <w:lang w:val="en-US"/>
              </w:rPr>
              <w:t xml:space="preserve"> </w:t>
            </w:r>
            <w:proofErr w:type="spellStart"/>
            <w:r w:rsidRPr="00400CFB">
              <w:rPr>
                <w:rFonts w:ascii="Arial Narrow" w:hAnsi="Arial Narrow"/>
                <w:sz w:val="20"/>
                <w:szCs w:val="20"/>
                <w:lang w:val="en-US"/>
              </w:rPr>
              <w:t>alfa</w:t>
            </w:r>
            <w:proofErr w:type="spellEnd"/>
            <w:r w:rsidRPr="00400CFB">
              <w:rPr>
                <w:rFonts w:ascii="Arial Narrow" w:hAnsi="Arial Narrow"/>
                <w:sz w:val="20"/>
                <w:szCs w:val="20"/>
                <w:lang w:val="en-US"/>
              </w:rPr>
              <w:t xml:space="preserve"> for hepatitis C</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The treatment must be in combination with </w:t>
            </w:r>
            <w:proofErr w:type="spellStart"/>
            <w:r w:rsidRPr="00400CFB">
              <w:rPr>
                <w:rFonts w:ascii="Arial Narrow" w:hAnsi="Arial Narrow"/>
                <w:sz w:val="20"/>
                <w:szCs w:val="20"/>
                <w:lang w:val="en-US"/>
              </w:rPr>
              <w:t>peginterferon</w:t>
            </w:r>
            <w:proofErr w:type="spellEnd"/>
            <w:r w:rsidRPr="00400CFB">
              <w:rPr>
                <w:rFonts w:ascii="Arial Narrow" w:hAnsi="Arial Narrow"/>
                <w:sz w:val="20"/>
                <w:szCs w:val="20"/>
                <w:lang w:val="en-US"/>
              </w:rPr>
              <w:t xml:space="preserve"> </w:t>
            </w:r>
            <w:proofErr w:type="spellStart"/>
            <w:r w:rsidRPr="00400CFB">
              <w:rPr>
                <w:rFonts w:ascii="Arial Narrow" w:hAnsi="Arial Narrow"/>
                <w:sz w:val="20"/>
                <w:szCs w:val="20"/>
                <w:lang w:val="en-US"/>
              </w:rPr>
              <w:t>alfa</w:t>
            </w:r>
            <w:proofErr w:type="spellEnd"/>
            <w:r w:rsidRPr="00400CFB">
              <w:rPr>
                <w:rFonts w:ascii="Arial Narrow" w:hAnsi="Arial Narrow"/>
                <w:sz w:val="20"/>
                <w:szCs w:val="20"/>
                <w:lang w:val="en-US"/>
              </w:rPr>
              <w:t xml:space="preserve"> and ribavirin</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ind w:left="72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The treatment with </w:t>
            </w:r>
            <w:proofErr w:type="spellStart"/>
            <w:r w:rsidRPr="00400CFB">
              <w:rPr>
                <w:rFonts w:ascii="Arial Narrow" w:hAnsi="Arial Narrow"/>
                <w:sz w:val="20"/>
                <w:szCs w:val="20"/>
                <w:lang w:val="en-US"/>
              </w:rPr>
              <w:t>simeprevir</w:t>
            </w:r>
            <w:proofErr w:type="spellEnd"/>
            <w:r w:rsidRPr="00400CFB">
              <w:rPr>
                <w:rFonts w:ascii="Arial Narrow" w:hAnsi="Arial Narrow"/>
                <w:sz w:val="20"/>
                <w:szCs w:val="20"/>
                <w:lang w:val="en-US"/>
              </w:rPr>
              <w:t xml:space="preserve"> must be limited to a maximum duration of 12 weeks</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5727A9"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The treatment must cease if the results of an HCV RNA quantitative assay at week 4 show that the plasma HCV RNA is </w:t>
            </w:r>
            <w:r w:rsidR="00D4248D" w:rsidRPr="00400CFB">
              <w:rPr>
                <w:rFonts w:ascii="Arial Narrow" w:hAnsi="Arial Narrow"/>
                <w:sz w:val="20"/>
                <w:szCs w:val="20"/>
                <w:lang w:val="en-US"/>
              </w:rPr>
              <w:t>25 IU/mL or greater</w:t>
            </w:r>
          </w:p>
          <w:p w:rsidR="005727A9" w:rsidRPr="00400CFB" w:rsidRDefault="005727A9" w:rsidP="00046E85">
            <w:pPr>
              <w:autoSpaceDE w:val="0"/>
              <w:autoSpaceDN w:val="0"/>
              <w:adjustRightInd w:val="0"/>
              <w:rPr>
                <w:rFonts w:ascii="Arial Narrow" w:hAnsi="Arial Narrow"/>
                <w:sz w:val="20"/>
                <w:szCs w:val="20"/>
                <w:lang w:val="en-US"/>
              </w:rPr>
            </w:pPr>
          </w:p>
          <w:p w:rsidR="004C4A2F" w:rsidRPr="00400CFB" w:rsidRDefault="004C4A2F" w:rsidP="00C31F4C">
            <w:pPr>
              <w:autoSpaceDE w:val="0"/>
              <w:autoSpaceDN w:val="0"/>
              <w:adjustRightInd w:val="0"/>
              <w:rPr>
                <w:rFonts w:ascii="Arial Narrow" w:hAnsi="Arial Narrow"/>
                <w:sz w:val="20"/>
                <w:szCs w:val="20"/>
                <w:lang w:val="en-US"/>
              </w:rPr>
            </w:pPr>
          </w:p>
        </w:tc>
      </w:tr>
      <w:tr w:rsidR="004C4A2F" w:rsidRPr="00400CFB" w:rsidTr="00085394">
        <w:trPr>
          <w:cantSplit/>
          <w:trHeight w:val="1816"/>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Population criteria:</w:t>
            </w:r>
          </w:p>
          <w:p w:rsidR="004C4A2F" w:rsidRPr="00400CFB" w:rsidRDefault="004C4A2F" w:rsidP="00046E85">
            <w:pPr>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Patient must be 18 years or older</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rPr>
            </w:pPr>
            <w:r w:rsidRPr="00400CFB">
              <w:rPr>
                <w:rFonts w:ascii="Arial Narrow" w:hAnsi="Arial Narrow"/>
                <w:sz w:val="20"/>
                <w:szCs w:val="20"/>
                <w:lang w:val="en-US"/>
              </w:rPr>
              <w:t>Patient must not be pregnant or breastfeeding. Female partners of male patients must not be pregnant.  Patients and their partners must each be using an effective form of contraception if of child-bearing age</w:t>
            </w:r>
          </w:p>
        </w:tc>
      </w:tr>
      <w:tr w:rsidR="004C4A2F" w:rsidRPr="00400CFB" w:rsidTr="000853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Prescriber instructions:</w:t>
            </w: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Evidence of chronic genotype 1 hepatitis C infection (repeatedly anti-HCV positive and HCV RNA positive) must be documented in the patient's medical records. </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rPr>
                <w:rFonts w:ascii="Arial Narrow" w:hAnsi="Arial Narrow"/>
                <w:sz w:val="20"/>
                <w:szCs w:val="20"/>
              </w:rPr>
            </w:pPr>
            <w:r w:rsidRPr="00400CFB">
              <w:rPr>
                <w:rFonts w:ascii="Arial Narrow" w:hAnsi="Arial Narrow"/>
                <w:sz w:val="20"/>
                <w:szCs w:val="20"/>
                <w:lang w:val="en-US"/>
              </w:rPr>
              <w:t>Patients who have received prior treatment with an NS3/4A protease inhibitor are not eligible to receive PBS-</w:t>
            </w:r>
            <w:proofErr w:type="spellStart"/>
            <w:r w:rsidRPr="00400CFB">
              <w:rPr>
                <w:rFonts w:ascii="Arial Narrow" w:hAnsi="Arial Narrow"/>
                <w:sz w:val="20"/>
                <w:szCs w:val="20"/>
                <w:lang w:val="en-US"/>
              </w:rPr>
              <w:t>subsidised</w:t>
            </w:r>
            <w:proofErr w:type="spellEnd"/>
            <w:r w:rsidRPr="00400CFB">
              <w:rPr>
                <w:rFonts w:ascii="Arial Narrow" w:hAnsi="Arial Narrow"/>
                <w:sz w:val="20"/>
                <w:szCs w:val="20"/>
                <w:lang w:val="en-US"/>
              </w:rPr>
              <w:t xml:space="preserve"> </w:t>
            </w:r>
            <w:proofErr w:type="spellStart"/>
            <w:r w:rsidRPr="00400CFB">
              <w:rPr>
                <w:rFonts w:ascii="Arial Narrow" w:hAnsi="Arial Narrow"/>
                <w:sz w:val="20"/>
                <w:szCs w:val="20"/>
                <w:lang w:val="en-US"/>
              </w:rPr>
              <w:t>simeprevir</w:t>
            </w:r>
            <w:proofErr w:type="spellEnd"/>
            <w:r w:rsidRPr="00400CFB">
              <w:rPr>
                <w:rFonts w:ascii="Arial Narrow" w:hAnsi="Arial Narrow"/>
                <w:sz w:val="20"/>
                <w:szCs w:val="20"/>
                <w:lang w:val="en-US"/>
              </w:rPr>
              <w:t xml:space="preserve">, except where the patient has developed </w:t>
            </w:r>
            <w:proofErr w:type="gramStart"/>
            <w:r w:rsidRPr="00400CFB">
              <w:rPr>
                <w:rFonts w:ascii="Arial Narrow" w:hAnsi="Arial Narrow"/>
                <w:sz w:val="20"/>
                <w:szCs w:val="20"/>
                <w:lang w:val="en-US"/>
              </w:rPr>
              <w:t>an intolerance</w:t>
            </w:r>
            <w:proofErr w:type="gramEnd"/>
            <w:r w:rsidRPr="00400CFB">
              <w:rPr>
                <w:rFonts w:ascii="Arial Narrow" w:hAnsi="Arial Narrow"/>
                <w:sz w:val="20"/>
                <w:szCs w:val="20"/>
                <w:lang w:val="en-US"/>
              </w:rPr>
              <w:t xml:space="preserve"> to the other NS3/4A protease inhibitor of a severity necessitating permanent treatment withdrawal. Details of the intolerance must be documented in the patient's medical records.</w:t>
            </w:r>
          </w:p>
        </w:tc>
      </w:tr>
      <w:tr w:rsidR="004C4A2F" w:rsidRPr="00400CFB" w:rsidTr="00085394">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Administrative Advice</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p>
        </w:tc>
        <w:tc>
          <w:tcPr>
            <w:tcW w:w="6520" w:type="dxa"/>
            <w:gridSpan w:val="6"/>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sz w:val="20"/>
                <w:szCs w:val="20"/>
              </w:rPr>
            </w:pPr>
            <w:r w:rsidRPr="00400CFB">
              <w:rPr>
                <w:rFonts w:ascii="Arial Narrow" w:hAnsi="Arial Narrow"/>
                <w:sz w:val="20"/>
                <w:szCs w:val="20"/>
              </w:rPr>
              <w:t>Note</w:t>
            </w:r>
          </w:p>
          <w:p w:rsidR="004C4A2F" w:rsidRPr="00400CFB" w:rsidRDefault="004C4A2F" w:rsidP="00046E85">
            <w:pPr>
              <w:rPr>
                <w:rFonts w:ascii="Arial Narrow" w:hAnsi="Arial Narrow"/>
                <w:sz w:val="20"/>
                <w:szCs w:val="20"/>
              </w:rPr>
            </w:pPr>
            <w:r w:rsidRPr="00400CFB">
              <w:rPr>
                <w:rFonts w:ascii="Arial Narrow" w:hAnsi="Arial Narrow"/>
                <w:sz w:val="20"/>
                <w:szCs w:val="20"/>
              </w:rPr>
              <w:t>No increase in the maximum quantity or number of units may be authorised</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r w:rsidRPr="00400CFB">
              <w:rPr>
                <w:rFonts w:ascii="Arial Narrow" w:hAnsi="Arial Narrow"/>
                <w:sz w:val="20"/>
                <w:szCs w:val="20"/>
              </w:rPr>
              <w:t>Note</w:t>
            </w:r>
          </w:p>
          <w:p w:rsidR="004C4A2F" w:rsidRPr="00400CFB" w:rsidRDefault="004C4A2F" w:rsidP="00046E85">
            <w:pPr>
              <w:rPr>
                <w:rFonts w:ascii="Arial Narrow" w:hAnsi="Arial Narrow"/>
                <w:sz w:val="20"/>
                <w:szCs w:val="20"/>
              </w:rPr>
            </w:pPr>
            <w:r w:rsidRPr="00400CFB">
              <w:rPr>
                <w:rFonts w:ascii="Arial Narrow" w:hAnsi="Arial Narrow"/>
                <w:sz w:val="20"/>
                <w:szCs w:val="20"/>
              </w:rPr>
              <w:t>No increase in the maximum number of repeats may be authorised</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r w:rsidRPr="00400CFB">
              <w:rPr>
                <w:rFonts w:ascii="Arial Narrow" w:hAnsi="Arial Narrow"/>
                <w:sz w:val="20"/>
                <w:szCs w:val="20"/>
              </w:rPr>
              <w:t>Note</w:t>
            </w:r>
          </w:p>
          <w:p w:rsidR="004C4A2F" w:rsidRPr="00400CFB" w:rsidRDefault="004C4A2F" w:rsidP="00046E85">
            <w:pPr>
              <w:rPr>
                <w:rFonts w:ascii="Arial Narrow" w:hAnsi="Arial Narrow"/>
                <w:sz w:val="20"/>
                <w:szCs w:val="20"/>
              </w:rPr>
            </w:pPr>
            <w:r w:rsidRPr="00400CFB">
              <w:rPr>
                <w:rFonts w:ascii="Arial Narrow" w:hAnsi="Arial Narrow"/>
                <w:sz w:val="20"/>
                <w:szCs w:val="20"/>
              </w:rPr>
              <w:t>Treatment centres are required to have access to the following appropriate specialist facilities for the provision of clinical support services for hepatitis C:</w:t>
            </w:r>
          </w:p>
          <w:p w:rsidR="004C4A2F" w:rsidRPr="00400CFB" w:rsidRDefault="004C4A2F" w:rsidP="00046E85">
            <w:pPr>
              <w:rPr>
                <w:rFonts w:ascii="Arial Narrow" w:hAnsi="Arial Narrow"/>
                <w:sz w:val="20"/>
                <w:szCs w:val="20"/>
              </w:rPr>
            </w:pPr>
            <w:r w:rsidRPr="00400CFB">
              <w:rPr>
                <w:rFonts w:ascii="Arial Narrow" w:hAnsi="Arial Narrow"/>
                <w:sz w:val="20"/>
                <w:szCs w:val="20"/>
              </w:rPr>
              <w:t>(a) a nurse education/counsellor for patients; and</w:t>
            </w:r>
          </w:p>
          <w:p w:rsidR="004C4A2F" w:rsidRPr="00400CFB" w:rsidRDefault="004C4A2F" w:rsidP="00046E85">
            <w:pPr>
              <w:rPr>
                <w:rFonts w:ascii="Arial Narrow" w:hAnsi="Arial Narrow"/>
                <w:sz w:val="20"/>
                <w:szCs w:val="20"/>
              </w:rPr>
            </w:pPr>
            <w:r w:rsidRPr="00400CFB">
              <w:rPr>
                <w:rFonts w:ascii="Arial Narrow" w:hAnsi="Arial Narrow"/>
                <w:sz w:val="20"/>
                <w:szCs w:val="20"/>
              </w:rPr>
              <w:t>(b) 24-hour access by patients to medical advice; and</w:t>
            </w:r>
          </w:p>
          <w:p w:rsidR="004C4A2F" w:rsidRPr="00400CFB" w:rsidRDefault="004C4A2F" w:rsidP="00046E85">
            <w:pPr>
              <w:rPr>
                <w:rFonts w:ascii="Arial Narrow" w:hAnsi="Arial Narrow"/>
                <w:sz w:val="20"/>
                <w:szCs w:val="20"/>
              </w:rPr>
            </w:pPr>
            <w:r w:rsidRPr="00400CFB">
              <w:rPr>
                <w:rFonts w:ascii="Arial Narrow" w:hAnsi="Arial Narrow"/>
                <w:sz w:val="20"/>
                <w:szCs w:val="20"/>
              </w:rPr>
              <w:t>(c) an established liver clinic</w:t>
            </w:r>
          </w:p>
          <w:p w:rsidR="004C4A2F" w:rsidRPr="00400CFB" w:rsidRDefault="004C4A2F" w:rsidP="00046E85">
            <w:pPr>
              <w:rPr>
                <w:rFonts w:ascii="Arial Narrow" w:hAnsi="Arial Narrow"/>
                <w:sz w:val="20"/>
                <w:szCs w:val="20"/>
              </w:rPr>
            </w:pPr>
          </w:p>
        </w:tc>
      </w:tr>
    </w:tbl>
    <w:p w:rsidR="004C4A2F" w:rsidRPr="00400CFB" w:rsidRDefault="004C4A2F" w:rsidP="00536965">
      <w:pPr>
        <w:ind w:firstLine="720"/>
        <w:rPr>
          <w:rFonts w:ascii="Arial Narrow" w:hAnsi="Arial Narrow"/>
          <w:b/>
          <w:sz w:val="20"/>
          <w:szCs w:val="20"/>
        </w:rPr>
      </w:pPr>
      <w:r w:rsidRPr="00400CFB">
        <w:rPr>
          <w:rFonts w:ascii="Arial Narrow" w:hAnsi="Arial Narrow"/>
          <w:b/>
          <w:sz w:val="20"/>
          <w:szCs w:val="20"/>
        </w:rPr>
        <w:t>Treatment experienced patients:</w:t>
      </w:r>
    </w:p>
    <w:p w:rsidR="004C4A2F" w:rsidRPr="00400CFB" w:rsidRDefault="004C4A2F" w:rsidP="004C4A2F">
      <w:pPr>
        <w:rPr>
          <w:rFonts w:ascii="Arial Narrow" w:hAnsi="Arial Narrow"/>
          <w:sz w:val="20"/>
          <w:szCs w:val="20"/>
        </w:rPr>
      </w:pPr>
    </w:p>
    <w:tbl>
      <w:tblPr>
        <w:tblW w:w="8505" w:type="dxa"/>
        <w:tblInd w:w="817" w:type="dxa"/>
        <w:tblLayout w:type="fixed"/>
        <w:tblLook w:val="0000" w:firstRow="0" w:lastRow="0" w:firstColumn="0" w:lastColumn="0" w:noHBand="0" w:noVBand="0"/>
        <w:tblDescription w:val="simprevir listing"/>
      </w:tblPr>
      <w:tblGrid>
        <w:gridCol w:w="1985"/>
        <w:gridCol w:w="6520"/>
      </w:tblGrid>
      <w:tr w:rsidR="004C4A2F" w:rsidRPr="00400CFB" w:rsidTr="0053696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Condition:</w:t>
            </w: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sz w:val="20"/>
                <w:szCs w:val="20"/>
              </w:rPr>
            </w:pPr>
            <w:r w:rsidRPr="00400CFB">
              <w:rPr>
                <w:rFonts w:ascii="Arial Narrow" w:hAnsi="Arial Narrow"/>
                <w:sz w:val="20"/>
                <w:szCs w:val="20"/>
                <w:lang w:val="en-US"/>
              </w:rPr>
              <w:t>Chronic genotype 1 hepatitis C infection</w:t>
            </w:r>
          </w:p>
        </w:tc>
      </w:tr>
      <w:tr w:rsidR="004C4A2F" w:rsidRPr="00400CFB" w:rsidTr="00536965">
        <w:trPr>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Restriction:</w:t>
            </w:r>
          </w:p>
          <w:p w:rsidR="004C4A2F" w:rsidRPr="00400CFB" w:rsidRDefault="004C4A2F" w:rsidP="00046E85">
            <w:pPr>
              <w:rPr>
                <w:rFonts w:ascii="Arial Narrow" w:hAnsi="Arial Narrow"/>
                <w:sz w:val="20"/>
                <w:szCs w:val="20"/>
              </w:rPr>
            </w:pP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sz w:val="20"/>
                <w:szCs w:val="20"/>
              </w:rPr>
            </w:pPr>
            <w:r w:rsidRPr="00400CFB">
              <w:rPr>
                <w:rFonts w:ascii="Arial Narrow" w:hAnsi="Arial Narrow"/>
                <w:sz w:val="20"/>
                <w:szCs w:val="20"/>
              </w:rPr>
              <w:t xml:space="preserve">Section 100 (Highly Specialised Drugs Program) </w:t>
            </w:r>
          </w:p>
          <w:p w:rsidR="004C4A2F" w:rsidRPr="00400CFB" w:rsidRDefault="004C4A2F" w:rsidP="00046E85">
            <w:pPr>
              <w:rPr>
                <w:rFonts w:ascii="Arial Narrow" w:hAnsi="Arial Narrow"/>
                <w:sz w:val="20"/>
                <w:szCs w:val="20"/>
              </w:rPr>
            </w:pPr>
            <w:r w:rsidRPr="00400CFB">
              <w:rPr>
                <w:rFonts w:ascii="Arial Narrow" w:hAnsi="Arial Narrow"/>
                <w:sz w:val="20"/>
                <w:szCs w:val="20"/>
              </w:rPr>
              <w:t>Public Hospital -Authority Required (Streamlined)</w:t>
            </w:r>
          </w:p>
          <w:p w:rsidR="004C4A2F" w:rsidRPr="00400CFB" w:rsidRDefault="004C4A2F" w:rsidP="00046E85">
            <w:pPr>
              <w:rPr>
                <w:rFonts w:ascii="Arial Narrow" w:hAnsi="Arial Narrow"/>
                <w:sz w:val="20"/>
                <w:szCs w:val="20"/>
              </w:rPr>
            </w:pPr>
            <w:r w:rsidRPr="00400CFB">
              <w:rPr>
                <w:rFonts w:ascii="Arial Narrow" w:hAnsi="Arial Narrow"/>
                <w:sz w:val="20"/>
                <w:szCs w:val="20"/>
              </w:rPr>
              <w:t>Private Hospital-Authority Required</w:t>
            </w:r>
          </w:p>
          <w:p w:rsidR="004C4A2F" w:rsidRPr="00400CFB" w:rsidRDefault="004C4A2F" w:rsidP="00046E85">
            <w:pPr>
              <w:rPr>
                <w:rFonts w:ascii="Arial Narrow" w:hAnsi="Arial Narrow"/>
                <w:sz w:val="20"/>
                <w:szCs w:val="20"/>
              </w:rPr>
            </w:pPr>
          </w:p>
        </w:tc>
      </w:tr>
      <w:tr w:rsidR="004C4A2F" w:rsidRPr="00400CFB" w:rsidTr="00536965">
        <w:trPr>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Treatment criteria:</w:t>
            </w:r>
          </w:p>
          <w:p w:rsidR="004C4A2F" w:rsidRPr="00400CFB" w:rsidRDefault="004C4A2F" w:rsidP="00046E85">
            <w:pPr>
              <w:rPr>
                <w:rFonts w:ascii="Arial Narrow" w:hAnsi="Arial Narrow"/>
                <w:sz w:val="20"/>
                <w:szCs w:val="20"/>
              </w:rPr>
            </w:pP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Must be treated in an accredited treatment </w:t>
            </w:r>
            <w:proofErr w:type="spellStart"/>
            <w:r w:rsidRPr="00400CFB">
              <w:rPr>
                <w:rFonts w:ascii="Arial Narrow" w:hAnsi="Arial Narrow"/>
                <w:sz w:val="20"/>
                <w:szCs w:val="20"/>
                <w:lang w:val="en-US"/>
              </w:rPr>
              <w:t>centre</w:t>
            </w:r>
            <w:proofErr w:type="spellEnd"/>
          </w:p>
          <w:p w:rsidR="004C4A2F" w:rsidRPr="00400CFB" w:rsidRDefault="004C4A2F" w:rsidP="00046E85">
            <w:pPr>
              <w:autoSpaceDE w:val="0"/>
              <w:autoSpaceDN w:val="0"/>
              <w:adjustRightInd w:val="0"/>
              <w:rPr>
                <w:rFonts w:ascii="Arial Narrow" w:hAnsi="Arial Narrow"/>
                <w:sz w:val="20"/>
                <w:szCs w:val="20"/>
                <w:lang w:val="en-US"/>
              </w:rPr>
            </w:pPr>
          </w:p>
        </w:tc>
      </w:tr>
      <w:tr w:rsidR="004C4A2F" w:rsidRPr="00400CFB" w:rsidTr="0053696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lastRenderedPageBreak/>
              <w:t>Clinical criteria:</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Patient must have compensated liver disease,</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Patient must have received prior treatment with interferon </w:t>
            </w:r>
            <w:proofErr w:type="spellStart"/>
            <w:r w:rsidRPr="00400CFB">
              <w:rPr>
                <w:rFonts w:ascii="Arial Narrow" w:hAnsi="Arial Narrow"/>
                <w:sz w:val="20"/>
                <w:szCs w:val="20"/>
                <w:lang w:val="en-US"/>
              </w:rPr>
              <w:t>alfa</w:t>
            </w:r>
            <w:proofErr w:type="spellEnd"/>
            <w:r w:rsidRPr="00400CFB">
              <w:rPr>
                <w:rFonts w:ascii="Arial Narrow" w:hAnsi="Arial Narrow"/>
                <w:sz w:val="20"/>
                <w:szCs w:val="20"/>
                <w:lang w:val="en-US"/>
              </w:rPr>
              <w:t xml:space="preserve"> or </w:t>
            </w:r>
            <w:proofErr w:type="spellStart"/>
            <w:r w:rsidRPr="00400CFB">
              <w:rPr>
                <w:rFonts w:ascii="Arial Narrow" w:hAnsi="Arial Narrow"/>
                <w:sz w:val="20"/>
                <w:szCs w:val="20"/>
                <w:lang w:val="en-US"/>
              </w:rPr>
              <w:t>peginterferon</w:t>
            </w:r>
            <w:proofErr w:type="spellEnd"/>
            <w:r w:rsidRPr="00400CFB">
              <w:rPr>
                <w:rFonts w:ascii="Arial Narrow" w:hAnsi="Arial Narrow"/>
                <w:sz w:val="20"/>
                <w:szCs w:val="20"/>
                <w:lang w:val="en-US"/>
              </w:rPr>
              <w:t xml:space="preserve"> </w:t>
            </w:r>
            <w:proofErr w:type="spellStart"/>
            <w:r w:rsidRPr="00400CFB">
              <w:rPr>
                <w:rFonts w:ascii="Arial Narrow" w:hAnsi="Arial Narrow"/>
                <w:sz w:val="20"/>
                <w:szCs w:val="20"/>
                <w:lang w:val="en-US"/>
              </w:rPr>
              <w:t>alfa</w:t>
            </w:r>
            <w:proofErr w:type="spellEnd"/>
            <w:r w:rsidRPr="00400CFB">
              <w:rPr>
                <w:rFonts w:ascii="Arial Narrow" w:hAnsi="Arial Narrow"/>
                <w:sz w:val="20"/>
                <w:szCs w:val="20"/>
                <w:lang w:val="en-US"/>
              </w:rPr>
              <w:t xml:space="preserve"> for hepatitis C,</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The treatmen</w:t>
            </w:r>
            <w:bookmarkStart w:id="0" w:name="_GoBack"/>
            <w:bookmarkEnd w:id="0"/>
            <w:r w:rsidRPr="00400CFB">
              <w:rPr>
                <w:rFonts w:ascii="Arial Narrow" w:hAnsi="Arial Narrow"/>
                <w:sz w:val="20"/>
                <w:szCs w:val="20"/>
                <w:lang w:val="en-US"/>
              </w:rPr>
              <w:t xml:space="preserve">t must be in combination with </w:t>
            </w:r>
            <w:proofErr w:type="spellStart"/>
            <w:r w:rsidRPr="00400CFB">
              <w:rPr>
                <w:rFonts w:ascii="Arial Narrow" w:hAnsi="Arial Narrow"/>
                <w:sz w:val="20"/>
                <w:szCs w:val="20"/>
                <w:lang w:val="en-US"/>
              </w:rPr>
              <w:t>peginterferon</w:t>
            </w:r>
            <w:proofErr w:type="spellEnd"/>
            <w:r w:rsidRPr="00400CFB">
              <w:rPr>
                <w:rFonts w:ascii="Arial Narrow" w:hAnsi="Arial Narrow"/>
                <w:sz w:val="20"/>
                <w:szCs w:val="20"/>
                <w:lang w:val="en-US"/>
              </w:rPr>
              <w:t xml:space="preserve"> </w:t>
            </w:r>
            <w:proofErr w:type="spellStart"/>
            <w:r w:rsidRPr="00400CFB">
              <w:rPr>
                <w:rFonts w:ascii="Arial Narrow" w:hAnsi="Arial Narrow"/>
                <w:sz w:val="20"/>
                <w:szCs w:val="20"/>
                <w:lang w:val="en-US"/>
              </w:rPr>
              <w:t>alfa</w:t>
            </w:r>
            <w:proofErr w:type="spellEnd"/>
            <w:r w:rsidRPr="00400CFB">
              <w:rPr>
                <w:rFonts w:ascii="Arial Narrow" w:hAnsi="Arial Narrow"/>
                <w:sz w:val="20"/>
                <w:szCs w:val="20"/>
                <w:lang w:val="en-US"/>
              </w:rPr>
              <w:t xml:space="preserve"> and ribavirin,</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ind w:left="72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The treatment with </w:t>
            </w:r>
            <w:proofErr w:type="spellStart"/>
            <w:r w:rsidRPr="00400CFB">
              <w:rPr>
                <w:rFonts w:ascii="Arial Narrow" w:hAnsi="Arial Narrow"/>
                <w:sz w:val="20"/>
                <w:szCs w:val="20"/>
                <w:lang w:val="en-US"/>
              </w:rPr>
              <w:t>simeprevir</w:t>
            </w:r>
            <w:proofErr w:type="spellEnd"/>
            <w:r w:rsidRPr="00400CFB">
              <w:rPr>
                <w:rFonts w:ascii="Arial Narrow" w:hAnsi="Arial Narrow"/>
                <w:sz w:val="20"/>
                <w:szCs w:val="20"/>
                <w:lang w:val="en-US"/>
              </w:rPr>
              <w:t xml:space="preserve"> must be limited to a maximum duration of 12 weeks,</w:t>
            </w:r>
          </w:p>
          <w:p w:rsidR="004C4A2F" w:rsidRPr="00400CFB" w:rsidRDefault="004C4A2F" w:rsidP="00046E85">
            <w:pPr>
              <w:autoSpaceDE w:val="0"/>
              <w:autoSpaceDN w:val="0"/>
              <w:adjustRightInd w:val="0"/>
              <w:ind w:left="36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5727A9" w:rsidRPr="00400CFB" w:rsidRDefault="005727A9" w:rsidP="005727A9">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The treatment must cease if the results of an HCV RNA quantitative assay at week 4 show that the plasma HCV RNA is </w:t>
            </w:r>
            <w:r w:rsidR="00D4248D" w:rsidRPr="00400CFB">
              <w:rPr>
                <w:rFonts w:ascii="Arial Narrow" w:hAnsi="Arial Narrow"/>
                <w:sz w:val="20"/>
                <w:szCs w:val="20"/>
                <w:lang w:val="en-US"/>
              </w:rPr>
              <w:t>25 IU/mL or greater</w:t>
            </w:r>
          </w:p>
          <w:p w:rsidR="00D4248D" w:rsidRPr="00400CFB" w:rsidRDefault="00D4248D" w:rsidP="005727A9">
            <w:pPr>
              <w:autoSpaceDE w:val="0"/>
              <w:autoSpaceDN w:val="0"/>
              <w:adjustRightInd w:val="0"/>
              <w:rPr>
                <w:rFonts w:ascii="Arial Narrow" w:hAnsi="Arial Narrow"/>
                <w:sz w:val="20"/>
                <w:szCs w:val="20"/>
                <w:lang w:val="en-US"/>
              </w:rPr>
            </w:pPr>
          </w:p>
          <w:p w:rsidR="004C4A2F" w:rsidRPr="00400CFB" w:rsidRDefault="004C4A2F" w:rsidP="00C31F4C">
            <w:pPr>
              <w:autoSpaceDE w:val="0"/>
              <w:autoSpaceDN w:val="0"/>
              <w:adjustRightInd w:val="0"/>
              <w:rPr>
                <w:rFonts w:ascii="Arial Narrow" w:hAnsi="Arial Narrow"/>
                <w:sz w:val="20"/>
                <w:szCs w:val="20"/>
                <w:lang w:val="en-US"/>
              </w:rPr>
            </w:pPr>
          </w:p>
        </w:tc>
      </w:tr>
      <w:tr w:rsidR="004C4A2F" w:rsidRPr="00400CFB" w:rsidTr="0053696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Population criteria:</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Patient must be 18 years or older,</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AND</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Patient must not be pregnant or breastfeeding. Female partners of male patients must not be pregnant. Patients and their partners must each be using an effective form of contraception if of child-bearing age. </w:t>
            </w:r>
          </w:p>
          <w:p w:rsidR="004C4A2F" w:rsidRPr="00400CFB" w:rsidRDefault="004C4A2F" w:rsidP="00046E85">
            <w:pPr>
              <w:autoSpaceDE w:val="0"/>
              <w:autoSpaceDN w:val="0"/>
              <w:adjustRightInd w:val="0"/>
              <w:rPr>
                <w:rFonts w:ascii="Arial Narrow" w:hAnsi="Arial Narrow"/>
                <w:strike/>
                <w:sz w:val="20"/>
                <w:szCs w:val="20"/>
                <w:lang w:val="en-US"/>
              </w:rPr>
            </w:pPr>
          </w:p>
        </w:tc>
      </w:tr>
      <w:tr w:rsidR="004C4A2F" w:rsidRPr="00400CFB" w:rsidTr="0053696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Prescriber instructions</w:t>
            </w: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Evidence of chronic genotype 1 hepatitis C infection (repeatedly anti-HCV positive and HCV RNA positive) must be documented in the patient's medical records. </w:t>
            </w:r>
          </w:p>
          <w:p w:rsidR="004C4A2F" w:rsidRPr="00400CFB" w:rsidRDefault="004C4A2F" w:rsidP="00046E85">
            <w:pPr>
              <w:autoSpaceDE w:val="0"/>
              <w:autoSpaceDN w:val="0"/>
              <w:adjustRightInd w:val="0"/>
              <w:rPr>
                <w:rFonts w:ascii="Arial Narrow" w:hAnsi="Arial Narrow"/>
                <w:sz w:val="20"/>
                <w:szCs w:val="20"/>
                <w:lang w:val="en-US"/>
              </w:rPr>
            </w:pP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Patients who have received prior treatment with an NS3/4A protease inhibitor are not eligible to receive PBS-</w:t>
            </w:r>
            <w:proofErr w:type="spellStart"/>
            <w:r w:rsidRPr="00400CFB">
              <w:rPr>
                <w:rFonts w:ascii="Arial Narrow" w:hAnsi="Arial Narrow"/>
                <w:sz w:val="20"/>
                <w:szCs w:val="20"/>
                <w:lang w:val="en-US"/>
              </w:rPr>
              <w:t>subsidised</w:t>
            </w:r>
            <w:proofErr w:type="spellEnd"/>
            <w:r w:rsidRPr="00400CFB">
              <w:rPr>
                <w:rFonts w:ascii="Arial Narrow" w:hAnsi="Arial Narrow"/>
                <w:sz w:val="20"/>
                <w:szCs w:val="20"/>
                <w:lang w:val="en-US"/>
              </w:rPr>
              <w:t xml:space="preserve"> </w:t>
            </w:r>
            <w:proofErr w:type="spellStart"/>
            <w:r w:rsidRPr="00400CFB">
              <w:rPr>
                <w:rFonts w:ascii="Arial Narrow" w:hAnsi="Arial Narrow"/>
                <w:sz w:val="20"/>
                <w:szCs w:val="20"/>
                <w:lang w:val="en-US"/>
              </w:rPr>
              <w:t>simeprevir</w:t>
            </w:r>
            <w:proofErr w:type="spellEnd"/>
            <w:r w:rsidRPr="00400CFB">
              <w:rPr>
                <w:rFonts w:ascii="Arial Narrow" w:hAnsi="Arial Narrow"/>
                <w:sz w:val="20"/>
                <w:szCs w:val="20"/>
                <w:lang w:val="en-US"/>
              </w:rPr>
              <w:t xml:space="preserve">, except where the patient has developed </w:t>
            </w:r>
            <w:proofErr w:type="gramStart"/>
            <w:r w:rsidRPr="00400CFB">
              <w:rPr>
                <w:rFonts w:ascii="Arial Narrow" w:hAnsi="Arial Narrow"/>
                <w:sz w:val="20"/>
                <w:szCs w:val="20"/>
                <w:lang w:val="en-US"/>
              </w:rPr>
              <w:t>an intolerance</w:t>
            </w:r>
            <w:proofErr w:type="gramEnd"/>
            <w:r w:rsidRPr="00400CFB">
              <w:rPr>
                <w:rFonts w:ascii="Arial Narrow" w:hAnsi="Arial Narrow"/>
                <w:sz w:val="20"/>
                <w:szCs w:val="20"/>
                <w:lang w:val="en-US"/>
              </w:rPr>
              <w:t xml:space="preserve"> to the other NS3/4A protease inhibitor of a severity necessitating permanent treatment withdrawal. Details of the intolerance must be documented in the patient's medical records.</w:t>
            </w:r>
          </w:p>
          <w:p w:rsidR="004C4A2F" w:rsidRPr="00400CFB" w:rsidRDefault="004C4A2F" w:rsidP="00046E85">
            <w:pPr>
              <w:autoSpaceDE w:val="0"/>
              <w:autoSpaceDN w:val="0"/>
              <w:adjustRightInd w:val="0"/>
              <w:rPr>
                <w:rFonts w:ascii="Arial Narrow" w:hAnsi="Arial Narrow"/>
                <w:bCs/>
                <w:sz w:val="20"/>
                <w:szCs w:val="20"/>
                <w:lang w:val="en-US"/>
              </w:rPr>
            </w:pPr>
          </w:p>
        </w:tc>
      </w:tr>
      <w:tr w:rsidR="004C4A2F" w:rsidRPr="00400CFB" w:rsidTr="00536965">
        <w:trPr>
          <w:cantSplit/>
          <w:trHeight w:val="360"/>
        </w:trPr>
        <w:tc>
          <w:tcPr>
            <w:tcW w:w="1985"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rPr>
                <w:rFonts w:ascii="Arial Narrow" w:hAnsi="Arial Narrow"/>
                <w:b/>
                <w:sz w:val="20"/>
                <w:szCs w:val="20"/>
              </w:rPr>
            </w:pPr>
            <w:r w:rsidRPr="00400CFB">
              <w:rPr>
                <w:rFonts w:ascii="Arial Narrow" w:hAnsi="Arial Narrow"/>
                <w:b/>
                <w:sz w:val="20"/>
                <w:szCs w:val="20"/>
              </w:rPr>
              <w:t>Administrative Advice</w:t>
            </w:r>
          </w:p>
          <w:p w:rsidR="004C4A2F" w:rsidRPr="00400CFB" w:rsidRDefault="004C4A2F" w:rsidP="00046E85">
            <w:pPr>
              <w:rPr>
                <w:rFonts w:ascii="Arial Narrow" w:hAnsi="Arial Narrow"/>
                <w:sz w:val="20"/>
                <w:szCs w:val="20"/>
              </w:rPr>
            </w:pPr>
          </w:p>
          <w:p w:rsidR="004C4A2F" w:rsidRPr="00400CFB" w:rsidRDefault="004C4A2F" w:rsidP="00046E85">
            <w:pPr>
              <w:rPr>
                <w:rFonts w:ascii="Arial Narrow" w:hAnsi="Arial Narrow"/>
                <w:sz w:val="20"/>
                <w:szCs w:val="20"/>
              </w:rPr>
            </w:pPr>
          </w:p>
        </w:tc>
        <w:tc>
          <w:tcPr>
            <w:tcW w:w="6520" w:type="dxa"/>
            <w:tcBorders>
              <w:top w:val="single" w:sz="4" w:space="0" w:color="auto"/>
              <w:left w:val="single" w:sz="4" w:space="0" w:color="auto"/>
              <w:bottom w:val="single" w:sz="4" w:space="0" w:color="auto"/>
              <w:right w:val="single" w:sz="4" w:space="0" w:color="auto"/>
            </w:tcBorders>
          </w:tcPr>
          <w:p w:rsidR="004C4A2F" w:rsidRPr="00400CFB" w:rsidRDefault="004C4A2F" w:rsidP="00046E85">
            <w:pPr>
              <w:autoSpaceDE w:val="0"/>
              <w:autoSpaceDN w:val="0"/>
              <w:adjustRightInd w:val="0"/>
              <w:rPr>
                <w:rFonts w:ascii="Arial Narrow" w:hAnsi="Arial Narrow"/>
                <w:bCs/>
                <w:sz w:val="20"/>
                <w:szCs w:val="20"/>
                <w:lang w:val="en-US"/>
              </w:rPr>
            </w:pPr>
            <w:r w:rsidRPr="00400CFB">
              <w:rPr>
                <w:rFonts w:ascii="Arial Narrow" w:hAnsi="Arial Narrow"/>
                <w:bCs/>
                <w:sz w:val="20"/>
                <w:szCs w:val="20"/>
                <w:lang w:val="en-US"/>
              </w:rPr>
              <w:t>Note</w:t>
            </w: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No increase in the maximum quantity or number of units may be </w:t>
            </w:r>
            <w:proofErr w:type="spellStart"/>
            <w:r w:rsidRPr="00400CFB">
              <w:rPr>
                <w:rFonts w:ascii="Arial Narrow" w:hAnsi="Arial Narrow"/>
                <w:sz w:val="20"/>
                <w:szCs w:val="20"/>
                <w:lang w:val="en-US"/>
              </w:rPr>
              <w:t>authorised</w:t>
            </w:r>
            <w:proofErr w:type="spellEnd"/>
            <w:r w:rsidRPr="00400CFB">
              <w:rPr>
                <w:rFonts w:ascii="Arial Narrow" w:hAnsi="Arial Narrow"/>
                <w:sz w:val="20"/>
                <w:szCs w:val="20"/>
                <w:lang w:val="en-US"/>
              </w:rPr>
              <w:t>.</w:t>
            </w:r>
          </w:p>
          <w:p w:rsidR="004C4A2F" w:rsidRPr="00400CFB" w:rsidRDefault="004C4A2F" w:rsidP="00046E85">
            <w:pPr>
              <w:autoSpaceDE w:val="0"/>
              <w:autoSpaceDN w:val="0"/>
              <w:adjustRightInd w:val="0"/>
              <w:rPr>
                <w:rFonts w:ascii="Arial Narrow" w:hAnsi="Arial Narrow"/>
                <w:b/>
                <w:bCs/>
                <w:sz w:val="20"/>
                <w:szCs w:val="20"/>
                <w:lang w:val="en-US"/>
              </w:rPr>
            </w:pPr>
          </w:p>
          <w:p w:rsidR="004C4A2F" w:rsidRPr="00400CFB" w:rsidRDefault="004C4A2F" w:rsidP="00046E85">
            <w:pPr>
              <w:autoSpaceDE w:val="0"/>
              <w:autoSpaceDN w:val="0"/>
              <w:adjustRightInd w:val="0"/>
              <w:rPr>
                <w:rFonts w:ascii="Arial Narrow" w:hAnsi="Arial Narrow"/>
                <w:bCs/>
                <w:sz w:val="20"/>
                <w:szCs w:val="20"/>
                <w:lang w:val="en-US"/>
              </w:rPr>
            </w:pPr>
            <w:r w:rsidRPr="00400CFB">
              <w:rPr>
                <w:rFonts w:ascii="Arial Narrow" w:hAnsi="Arial Narrow"/>
                <w:bCs/>
                <w:sz w:val="20"/>
                <w:szCs w:val="20"/>
                <w:lang w:val="en-US"/>
              </w:rPr>
              <w:t>Note</w:t>
            </w: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No increase in the maximum number of repeats may be </w:t>
            </w:r>
            <w:proofErr w:type="spellStart"/>
            <w:r w:rsidRPr="00400CFB">
              <w:rPr>
                <w:rFonts w:ascii="Arial Narrow" w:hAnsi="Arial Narrow"/>
                <w:sz w:val="20"/>
                <w:szCs w:val="20"/>
                <w:lang w:val="en-US"/>
              </w:rPr>
              <w:t>authorised</w:t>
            </w:r>
            <w:proofErr w:type="spellEnd"/>
            <w:r w:rsidRPr="00400CFB">
              <w:rPr>
                <w:rFonts w:ascii="Arial Narrow" w:hAnsi="Arial Narrow"/>
                <w:sz w:val="20"/>
                <w:szCs w:val="20"/>
                <w:lang w:val="en-US"/>
              </w:rPr>
              <w:t>.</w:t>
            </w:r>
          </w:p>
          <w:p w:rsidR="004C4A2F" w:rsidRPr="00400CFB" w:rsidRDefault="004C4A2F" w:rsidP="00046E85">
            <w:pPr>
              <w:autoSpaceDE w:val="0"/>
              <w:autoSpaceDN w:val="0"/>
              <w:adjustRightInd w:val="0"/>
              <w:rPr>
                <w:rFonts w:ascii="Arial Narrow" w:hAnsi="Arial Narrow"/>
                <w:b/>
                <w:bCs/>
                <w:sz w:val="20"/>
                <w:szCs w:val="20"/>
                <w:lang w:val="en-US"/>
              </w:rPr>
            </w:pPr>
          </w:p>
          <w:p w:rsidR="004C4A2F" w:rsidRPr="00400CFB" w:rsidRDefault="004C4A2F" w:rsidP="00046E85">
            <w:pPr>
              <w:autoSpaceDE w:val="0"/>
              <w:autoSpaceDN w:val="0"/>
              <w:adjustRightInd w:val="0"/>
              <w:rPr>
                <w:rFonts w:ascii="Arial Narrow" w:hAnsi="Arial Narrow"/>
                <w:bCs/>
                <w:sz w:val="20"/>
                <w:szCs w:val="20"/>
                <w:lang w:val="en-US"/>
              </w:rPr>
            </w:pPr>
            <w:r w:rsidRPr="00400CFB">
              <w:rPr>
                <w:rFonts w:ascii="Arial Narrow" w:hAnsi="Arial Narrow"/>
                <w:bCs/>
                <w:sz w:val="20"/>
                <w:szCs w:val="20"/>
                <w:lang w:val="en-US"/>
              </w:rPr>
              <w:t>Note</w:t>
            </w: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 xml:space="preserve">Treatment </w:t>
            </w:r>
            <w:proofErr w:type="spellStart"/>
            <w:r w:rsidRPr="00400CFB">
              <w:rPr>
                <w:rFonts w:ascii="Arial Narrow" w:hAnsi="Arial Narrow"/>
                <w:sz w:val="20"/>
                <w:szCs w:val="20"/>
                <w:lang w:val="en-US"/>
              </w:rPr>
              <w:t>centres</w:t>
            </w:r>
            <w:proofErr w:type="spellEnd"/>
            <w:r w:rsidRPr="00400CFB">
              <w:rPr>
                <w:rFonts w:ascii="Arial Narrow" w:hAnsi="Arial Narrow"/>
                <w:sz w:val="20"/>
                <w:szCs w:val="20"/>
                <w:lang w:val="en-US"/>
              </w:rPr>
              <w:t xml:space="preserve"> are required to have access to the following appropriate specialist facilities for the provision of clinical support services for hepatitis C:</w:t>
            </w: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(a) a nurse educator/counsellor for patients; and</w:t>
            </w:r>
          </w:p>
          <w:p w:rsidR="004C4A2F" w:rsidRPr="00400CFB" w:rsidRDefault="004C4A2F" w:rsidP="00046E85">
            <w:pPr>
              <w:autoSpaceDE w:val="0"/>
              <w:autoSpaceDN w:val="0"/>
              <w:adjustRightInd w:val="0"/>
              <w:rPr>
                <w:rFonts w:ascii="Arial Narrow" w:hAnsi="Arial Narrow"/>
                <w:sz w:val="20"/>
                <w:szCs w:val="20"/>
                <w:lang w:val="en-US"/>
              </w:rPr>
            </w:pPr>
            <w:r w:rsidRPr="00400CFB">
              <w:rPr>
                <w:rFonts w:ascii="Arial Narrow" w:hAnsi="Arial Narrow"/>
                <w:sz w:val="20"/>
                <w:szCs w:val="20"/>
                <w:lang w:val="en-US"/>
              </w:rPr>
              <w:t>(b) 24-hour access by patients to medical advice; and</w:t>
            </w:r>
          </w:p>
          <w:p w:rsidR="004C4A2F" w:rsidRPr="00400CFB" w:rsidRDefault="004C4A2F" w:rsidP="00046E85">
            <w:pPr>
              <w:rPr>
                <w:rFonts w:ascii="Arial Narrow" w:hAnsi="Arial Narrow"/>
                <w:b/>
                <w:sz w:val="20"/>
                <w:szCs w:val="20"/>
              </w:rPr>
            </w:pPr>
            <w:r w:rsidRPr="00400CFB">
              <w:rPr>
                <w:rFonts w:ascii="Arial Narrow" w:hAnsi="Arial Narrow"/>
                <w:sz w:val="20"/>
                <w:szCs w:val="20"/>
                <w:lang w:val="en-US"/>
              </w:rPr>
              <w:t xml:space="preserve">(c) </w:t>
            </w:r>
            <w:proofErr w:type="gramStart"/>
            <w:r w:rsidRPr="00400CFB">
              <w:rPr>
                <w:rFonts w:ascii="Arial Narrow" w:hAnsi="Arial Narrow"/>
                <w:sz w:val="20"/>
                <w:szCs w:val="20"/>
                <w:lang w:val="en-US"/>
              </w:rPr>
              <w:t>an</w:t>
            </w:r>
            <w:proofErr w:type="gramEnd"/>
            <w:r w:rsidRPr="00400CFB">
              <w:rPr>
                <w:rFonts w:ascii="Arial Narrow" w:hAnsi="Arial Narrow"/>
                <w:sz w:val="20"/>
                <w:szCs w:val="20"/>
                <w:lang w:val="en-US"/>
              </w:rPr>
              <w:t xml:space="preserve"> established liver clinic.</w:t>
            </w:r>
          </w:p>
          <w:p w:rsidR="004C4A2F" w:rsidRPr="00400CFB" w:rsidRDefault="004C4A2F" w:rsidP="00046E85">
            <w:pPr>
              <w:rPr>
                <w:rFonts w:ascii="Arial Narrow" w:hAnsi="Arial Narrow"/>
                <w:sz w:val="20"/>
                <w:szCs w:val="20"/>
              </w:rPr>
            </w:pPr>
          </w:p>
        </w:tc>
      </w:tr>
    </w:tbl>
    <w:p w:rsidR="008D447E" w:rsidRDefault="008D447E" w:rsidP="00536965"/>
    <w:p w:rsidR="00324798" w:rsidRDefault="00324798" w:rsidP="00324798">
      <w:pPr>
        <w:pStyle w:val="ListParagraph"/>
        <w:numPr>
          <w:ilvl w:val="0"/>
          <w:numId w:val="25"/>
        </w:numPr>
        <w:jc w:val="both"/>
        <w:rPr>
          <w:rFonts w:cs="Arial"/>
          <w:b/>
        </w:rPr>
      </w:pPr>
      <w:r w:rsidRPr="00D4420F">
        <w:rPr>
          <w:rFonts w:cs="Arial"/>
          <w:b/>
        </w:rPr>
        <w:t>Context for Decision</w:t>
      </w:r>
    </w:p>
    <w:p w:rsidR="00324798" w:rsidRPr="00D4420F" w:rsidRDefault="00324798" w:rsidP="00324798">
      <w:pPr>
        <w:pStyle w:val="ListParagraph"/>
        <w:jc w:val="both"/>
        <w:rPr>
          <w:rFonts w:cs="Arial"/>
          <w:b/>
        </w:rPr>
      </w:pPr>
    </w:p>
    <w:p w:rsidR="00324798" w:rsidRPr="00D4420F" w:rsidRDefault="00324798" w:rsidP="00324798">
      <w:pPr>
        <w:ind w:left="720"/>
        <w:jc w:val="both"/>
        <w:rPr>
          <w:rFonts w:cs="Arial"/>
        </w:rPr>
      </w:pPr>
      <w:r w:rsidRPr="00D4420F">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24798" w:rsidRPr="00D4420F" w:rsidRDefault="00324798" w:rsidP="00324798">
      <w:pPr>
        <w:jc w:val="both"/>
        <w:rPr>
          <w:rFonts w:cs="Arial"/>
        </w:rPr>
      </w:pPr>
    </w:p>
    <w:p w:rsidR="00324798" w:rsidRDefault="00324798" w:rsidP="00324798">
      <w:pPr>
        <w:pStyle w:val="ListParagraph"/>
        <w:numPr>
          <w:ilvl w:val="0"/>
          <w:numId w:val="25"/>
        </w:numPr>
        <w:jc w:val="both"/>
        <w:rPr>
          <w:rFonts w:cs="Arial"/>
          <w:b/>
        </w:rPr>
      </w:pPr>
      <w:r w:rsidRPr="00D4420F">
        <w:rPr>
          <w:rFonts w:cs="Arial"/>
          <w:b/>
        </w:rPr>
        <w:t>Sponsor’s Comment</w:t>
      </w:r>
    </w:p>
    <w:p w:rsidR="00904354" w:rsidRPr="00D4420F" w:rsidRDefault="00904354" w:rsidP="00904354">
      <w:pPr>
        <w:pStyle w:val="ListParagraph"/>
        <w:jc w:val="both"/>
        <w:rPr>
          <w:rFonts w:cs="Arial"/>
          <w:b/>
        </w:rPr>
      </w:pPr>
    </w:p>
    <w:p w:rsidR="00324798" w:rsidRPr="00400CFB" w:rsidRDefault="00201FA1" w:rsidP="00201FA1">
      <w:pPr>
        <w:ind w:left="709" w:hanging="709"/>
      </w:pPr>
      <w:r>
        <w:tab/>
        <w:t xml:space="preserve">Janssen is pleased that patients will soon be able to access </w:t>
      </w:r>
      <w:proofErr w:type="spellStart"/>
      <w:r>
        <w:t>Simeprevir</w:t>
      </w:r>
      <w:proofErr w:type="spellEnd"/>
      <w:r>
        <w:t xml:space="preserve"> under the PBS.</w:t>
      </w:r>
    </w:p>
    <w:sectPr w:rsidR="00324798" w:rsidRPr="00400CFB"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2BD" w:rsidRDefault="003E02BD">
      <w:r>
        <w:separator/>
      </w:r>
    </w:p>
    <w:p w:rsidR="003E02BD" w:rsidRDefault="003E02BD"/>
  </w:endnote>
  <w:endnote w:type="continuationSeparator" w:id="0">
    <w:p w:rsidR="003E02BD" w:rsidRDefault="003E02BD">
      <w:r>
        <w:continuationSeparator/>
      </w:r>
    </w:p>
    <w:p w:rsidR="003E02BD" w:rsidRDefault="003E0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00"/>
    <w:family w:val="auto"/>
    <w:notTrueType/>
    <w:pitch w:val="default"/>
    <w:sig w:usb0="00000001" w:usb1="08070000" w:usb2="00000010" w:usb3="00000000" w:csb0="0002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E02BD" w:rsidTr="005A3173">
      <w:trPr>
        <w:trHeight w:val="151"/>
      </w:trPr>
      <w:tc>
        <w:tcPr>
          <w:tcW w:w="2250" w:type="pct"/>
          <w:tcBorders>
            <w:top w:val="nil"/>
            <w:left w:val="nil"/>
            <w:bottom w:val="single" w:sz="4" w:space="0" w:color="4F81BD"/>
            <w:right w:val="nil"/>
          </w:tcBorders>
        </w:tcPr>
        <w:p w:rsidR="003E02BD" w:rsidRPr="005A3173" w:rsidRDefault="003E02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E02BD" w:rsidRPr="005A3173" w:rsidRDefault="003E02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E02BD" w:rsidRPr="005A3173" w:rsidRDefault="003E02BD" w:rsidP="005A3173">
          <w:pPr>
            <w:pStyle w:val="Header"/>
            <w:spacing w:line="276" w:lineRule="auto"/>
            <w:rPr>
              <w:rFonts w:ascii="Calibri" w:eastAsia="MS Gothic" w:hAnsi="Calibri"/>
              <w:b/>
              <w:bCs/>
              <w:color w:val="4F81BD"/>
            </w:rPr>
          </w:pPr>
        </w:p>
      </w:tc>
    </w:tr>
    <w:tr w:rsidR="003E02BD" w:rsidTr="005A3173">
      <w:trPr>
        <w:trHeight w:val="150"/>
      </w:trPr>
      <w:tc>
        <w:tcPr>
          <w:tcW w:w="2250" w:type="pct"/>
          <w:tcBorders>
            <w:top w:val="single" w:sz="4" w:space="0" w:color="4F81BD"/>
            <w:left w:val="nil"/>
            <w:bottom w:val="nil"/>
            <w:right w:val="nil"/>
          </w:tcBorders>
        </w:tcPr>
        <w:p w:rsidR="003E02BD" w:rsidRPr="005A3173" w:rsidRDefault="003E02BD" w:rsidP="005A3173">
          <w:pPr>
            <w:pStyle w:val="Header"/>
            <w:spacing w:line="276" w:lineRule="auto"/>
            <w:rPr>
              <w:rFonts w:ascii="Calibri" w:eastAsia="MS Gothic" w:hAnsi="Calibri"/>
              <w:b/>
              <w:bCs/>
              <w:color w:val="4F81BD"/>
            </w:rPr>
          </w:pPr>
        </w:p>
      </w:tc>
      <w:tc>
        <w:tcPr>
          <w:tcW w:w="0" w:type="auto"/>
          <w:vMerge/>
          <w:vAlign w:val="center"/>
          <w:hideMark/>
        </w:tcPr>
        <w:p w:rsidR="003E02BD" w:rsidRPr="005A3173" w:rsidRDefault="003E02BD" w:rsidP="005A3173">
          <w:pPr>
            <w:rPr>
              <w:rFonts w:ascii="Calibri" w:hAnsi="Calibri"/>
              <w:color w:val="365F91"/>
              <w:szCs w:val="22"/>
            </w:rPr>
          </w:pPr>
        </w:p>
      </w:tc>
      <w:tc>
        <w:tcPr>
          <w:tcW w:w="2250" w:type="pct"/>
          <w:tcBorders>
            <w:top w:val="single" w:sz="4" w:space="0" w:color="4F81BD"/>
            <w:left w:val="nil"/>
            <w:bottom w:val="nil"/>
            <w:right w:val="nil"/>
          </w:tcBorders>
        </w:tcPr>
        <w:p w:rsidR="003E02BD" w:rsidRPr="005A3173" w:rsidRDefault="003E02BD" w:rsidP="005A3173">
          <w:pPr>
            <w:pStyle w:val="Header"/>
            <w:spacing w:line="276" w:lineRule="auto"/>
            <w:rPr>
              <w:rFonts w:ascii="Calibri" w:eastAsia="MS Gothic" w:hAnsi="Calibri"/>
              <w:b/>
              <w:bCs/>
              <w:color w:val="4F81BD"/>
            </w:rPr>
          </w:pPr>
        </w:p>
      </w:tc>
    </w:tr>
  </w:tbl>
  <w:p w:rsidR="003E02BD" w:rsidRDefault="003E02B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02BD" w:rsidRDefault="003E02BD">
    <w:pPr>
      <w:pStyle w:val="Footer"/>
    </w:pPr>
  </w:p>
  <w:p w:rsidR="003E02BD" w:rsidRDefault="003E02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cs="Arial"/>
        <w:noProof/>
        <w:sz w:val="20"/>
        <w:szCs w:val="20"/>
      </w:rPr>
    </w:sdtEndPr>
    <w:sdtContent>
      <w:p w:rsidR="003E02BD" w:rsidRDefault="003E02BD">
        <w:pPr>
          <w:pStyle w:val="Footer"/>
          <w:jc w:val="center"/>
        </w:pPr>
      </w:p>
      <w:p w:rsidR="003E02BD" w:rsidRPr="00651169" w:rsidRDefault="003E02BD">
        <w:pPr>
          <w:pStyle w:val="Footer"/>
          <w:jc w:val="center"/>
          <w:rPr>
            <w:rFonts w:cs="Arial"/>
            <w:sz w:val="20"/>
            <w:szCs w:val="20"/>
          </w:rPr>
        </w:pPr>
        <w:r w:rsidRPr="00651169">
          <w:rPr>
            <w:rFonts w:cs="Arial"/>
            <w:sz w:val="20"/>
            <w:szCs w:val="20"/>
          </w:rPr>
          <w:fldChar w:fldCharType="begin"/>
        </w:r>
        <w:r w:rsidRPr="00651169">
          <w:rPr>
            <w:rFonts w:cs="Arial"/>
            <w:sz w:val="20"/>
            <w:szCs w:val="20"/>
          </w:rPr>
          <w:instrText xml:space="preserve"> PAGE   \* MERGEFORMAT </w:instrText>
        </w:r>
        <w:r w:rsidRPr="00651169">
          <w:rPr>
            <w:rFonts w:cs="Arial"/>
            <w:sz w:val="20"/>
            <w:szCs w:val="20"/>
          </w:rPr>
          <w:fldChar w:fldCharType="separate"/>
        </w:r>
        <w:r w:rsidR="00CA1534">
          <w:rPr>
            <w:rFonts w:cs="Arial"/>
            <w:noProof/>
            <w:sz w:val="20"/>
            <w:szCs w:val="20"/>
          </w:rPr>
          <w:t>16</w:t>
        </w:r>
        <w:r w:rsidRPr="00651169">
          <w:rPr>
            <w:rFonts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E02BD" w:rsidTr="005A3173">
      <w:trPr>
        <w:trHeight w:val="151"/>
      </w:trPr>
      <w:tc>
        <w:tcPr>
          <w:tcW w:w="2250" w:type="pct"/>
          <w:tcBorders>
            <w:top w:val="nil"/>
            <w:left w:val="nil"/>
            <w:bottom w:val="single" w:sz="4" w:space="0" w:color="4F81BD"/>
            <w:right w:val="nil"/>
          </w:tcBorders>
        </w:tcPr>
        <w:p w:rsidR="003E02BD" w:rsidRPr="005A3173" w:rsidRDefault="003E02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E02BD" w:rsidRPr="005A3173" w:rsidRDefault="003E02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E02BD" w:rsidRPr="005A3173" w:rsidRDefault="003E02BD" w:rsidP="005A3173">
          <w:pPr>
            <w:pStyle w:val="Header"/>
            <w:spacing w:line="276" w:lineRule="auto"/>
            <w:rPr>
              <w:rFonts w:ascii="Calibri" w:eastAsia="MS Gothic" w:hAnsi="Calibri"/>
              <w:b/>
              <w:bCs/>
              <w:color w:val="4F81BD"/>
            </w:rPr>
          </w:pPr>
        </w:p>
      </w:tc>
    </w:tr>
    <w:tr w:rsidR="003E02BD" w:rsidTr="005A3173">
      <w:trPr>
        <w:trHeight w:val="150"/>
      </w:trPr>
      <w:tc>
        <w:tcPr>
          <w:tcW w:w="2250" w:type="pct"/>
          <w:tcBorders>
            <w:top w:val="single" w:sz="4" w:space="0" w:color="4F81BD"/>
            <w:left w:val="nil"/>
            <w:bottom w:val="nil"/>
            <w:right w:val="nil"/>
          </w:tcBorders>
        </w:tcPr>
        <w:p w:rsidR="003E02BD" w:rsidRPr="005A3173" w:rsidRDefault="003E02BD" w:rsidP="005A3173">
          <w:pPr>
            <w:pStyle w:val="Header"/>
            <w:spacing w:line="276" w:lineRule="auto"/>
            <w:rPr>
              <w:rFonts w:ascii="Calibri" w:eastAsia="MS Gothic" w:hAnsi="Calibri"/>
              <w:b/>
              <w:bCs/>
              <w:color w:val="4F81BD"/>
            </w:rPr>
          </w:pPr>
        </w:p>
      </w:tc>
      <w:tc>
        <w:tcPr>
          <w:tcW w:w="0" w:type="auto"/>
          <w:vMerge/>
          <w:vAlign w:val="center"/>
          <w:hideMark/>
        </w:tcPr>
        <w:p w:rsidR="003E02BD" w:rsidRPr="005A3173" w:rsidRDefault="003E02BD" w:rsidP="005A3173">
          <w:pPr>
            <w:rPr>
              <w:rFonts w:ascii="Calibri" w:hAnsi="Calibri"/>
              <w:color w:val="365F91"/>
              <w:szCs w:val="22"/>
            </w:rPr>
          </w:pPr>
        </w:p>
      </w:tc>
      <w:tc>
        <w:tcPr>
          <w:tcW w:w="2250" w:type="pct"/>
          <w:tcBorders>
            <w:top w:val="single" w:sz="4" w:space="0" w:color="4F81BD"/>
            <w:left w:val="nil"/>
            <w:bottom w:val="nil"/>
            <w:right w:val="nil"/>
          </w:tcBorders>
        </w:tcPr>
        <w:p w:rsidR="003E02BD" w:rsidRPr="005A3173" w:rsidRDefault="003E02B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E02BD" w:rsidTr="005A3173">
      <w:trPr>
        <w:trHeight w:val="151"/>
      </w:trPr>
      <w:tc>
        <w:tcPr>
          <w:tcW w:w="2250" w:type="pct"/>
          <w:tcBorders>
            <w:top w:val="nil"/>
            <w:left w:val="nil"/>
            <w:bottom w:val="single" w:sz="4" w:space="0" w:color="4F81BD"/>
            <w:right w:val="nil"/>
          </w:tcBorders>
        </w:tcPr>
        <w:p w:rsidR="003E02BD" w:rsidRPr="005A3173" w:rsidRDefault="003E02B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E02BD" w:rsidRPr="005A3173" w:rsidRDefault="003E02B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E02BD" w:rsidRPr="005A3173" w:rsidRDefault="003E02BD" w:rsidP="005A3173">
          <w:pPr>
            <w:pStyle w:val="Header"/>
            <w:spacing w:line="276" w:lineRule="auto"/>
            <w:rPr>
              <w:rFonts w:ascii="Calibri" w:eastAsia="MS Gothic" w:hAnsi="Calibri"/>
              <w:b/>
              <w:bCs/>
              <w:color w:val="4F81BD"/>
            </w:rPr>
          </w:pPr>
        </w:p>
      </w:tc>
    </w:tr>
    <w:tr w:rsidR="003E02BD" w:rsidTr="005A3173">
      <w:trPr>
        <w:trHeight w:val="150"/>
      </w:trPr>
      <w:tc>
        <w:tcPr>
          <w:tcW w:w="2250" w:type="pct"/>
          <w:tcBorders>
            <w:top w:val="single" w:sz="4" w:space="0" w:color="4F81BD"/>
            <w:left w:val="nil"/>
            <w:bottom w:val="nil"/>
            <w:right w:val="nil"/>
          </w:tcBorders>
        </w:tcPr>
        <w:p w:rsidR="003E02BD" w:rsidRPr="005A3173" w:rsidRDefault="003E02BD" w:rsidP="005A3173">
          <w:pPr>
            <w:pStyle w:val="Header"/>
            <w:spacing w:line="276" w:lineRule="auto"/>
            <w:rPr>
              <w:rFonts w:ascii="Calibri" w:eastAsia="MS Gothic" w:hAnsi="Calibri"/>
              <w:b/>
              <w:bCs/>
              <w:color w:val="4F81BD"/>
            </w:rPr>
          </w:pPr>
        </w:p>
      </w:tc>
      <w:tc>
        <w:tcPr>
          <w:tcW w:w="0" w:type="auto"/>
          <w:vMerge/>
          <w:vAlign w:val="center"/>
          <w:hideMark/>
        </w:tcPr>
        <w:p w:rsidR="003E02BD" w:rsidRPr="005A3173" w:rsidRDefault="003E02BD" w:rsidP="005A3173">
          <w:pPr>
            <w:rPr>
              <w:rFonts w:ascii="Calibri" w:hAnsi="Calibri"/>
              <w:color w:val="365F91"/>
              <w:szCs w:val="22"/>
            </w:rPr>
          </w:pPr>
        </w:p>
      </w:tc>
      <w:tc>
        <w:tcPr>
          <w:tcW w:w="2250" w:type="pct"/>
          <w:tcBorders>
            <w:top w:val="single" w:sz="4" w:space="0" w:color="4F81BD"/>
            <w:left w:val="nil"/>
            <w:bottom w:val="nil"/>
            <w:right w:val="nil"/>
          </w:tcBorders>
        </w:tcPr>
        <w:p w:rsidR="003E02BD" w:rsidRPr="005A3173" w:rsidRDefault="003E02BD" w:rsidP="005A3173">
          <w:pPr>
            <w:pStyle w:val="Header"/>
            <w:spacing w:line="276" w:lineRule="auto"/>
            <w:rPr>
              <w:rFonts w:ascii="Calibri" w:eastAsia="MS Gothic" w:hAnsi="Calibri"/>
              <w:b/>
              <w:bCs/>
              <w:color w:val="4F81BD"/>
            </w:rPr>
          </w:pPr>
        </w:p>
      </w:tc>
    </w:tr>
  </w:tbl>
  <w:p w:rsidR="003E02BD" w:rsidRPr="007C0F57" w:rsidRDefault="003E02B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E02BD" w:rsidRPr="007C0F57" w:rsidRDefault="003E02BD" w:rsidP="007C0F57">
    <w:pPr>
      <w:pStyle w:val="Footer"/>
      <w:jc w:val="center"/>
      <w:rPr>
        <w:b/>
        <w:i/>
        <w:sz w:val="20"/>
        <w:szCs w:val="20"/>
      </w:rPr>
    </w:pPr>
    <w:r w:rsidRPr="007C0F57">
      <w:rPr>
        <w:b/>
        <w:i/>
        <w:sz w:val="20"/>
        <w:szCs w:val="20"/>
      </w:rPr>
      <w:t>Commercial-in-Confidence</w:t>
    </w:r>
  </w:p>
  <w:p w:rsidR="003E02BD" w:rsidRDefault="003E02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2BD" w:rsidRDefault="003E02BD">
      <w:r>
        <w:separator/>
      </w:r>
    </w:p>
    <w:p w:rsidR="003E02BD" w:rsidRDefault="003E02BD"/>
  </w:footnote>
  <w:footnote w:type="continuationSeparator" w:id="0">
    <w:p w:rsidR="003E02BD" w:rsidRDefault="003E02BD">
      <w:r>
        <w:continuationSeparator/>
      </w:r>
    </w:p>
    <w:p w:rsidR="003E02BD" w:rsidRDefault="003E02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E02BD" w:rsidRPr="008E0D90" w:rsidTr="00A06225">
      <w:trPr>
        <w:trHeight w:val="151"/>
      </w:trPr>
      <w:tc>
        <w:tcPr>
          <w:tcW w:w="2389" w:type="pct"/>
          <w:tcBorders>
            <w:top w:val="nil"/>
            <w:left w:val="nil"/>
            <w:bottom w:val="single" w:sz="4" w:space="0" w:color="4F81BD"/>
            <w:right w:val="nil"/>
          </w:tcBorders>
        </w:tcPr>
        <w:p w:rsidR="003E02BD" w:rsidRPr="00A06225" w:rsidRDefault="003E02BD">
          <w:pPr>
            <w:pStyle w:val="Header"/>
            <w:spacing w:line="276" w:lineRule="auto"/>
            <w:rPr>
              <w:rFonts w:ascii="Cambria" w:eastAsia="MS Gothic" w:hAnsi="Cambria"/>
              <w:b/>
              <w:bCs/>
              <w:color w:val="4F81BD"/>
            </w:rPr>
          </w:pPr>
        </w:p>
      </w:tc>
      <w:tc>
        <w:tcPr>
          <w:tcW w:w="333" w:type="pct"/>
          <w:vMerge w:val="restart"/>
          <w:noWrap/>
          <w:vAlign w:val="center"/>
          <w:hideMark/>
        </w:tcPr>
        <w:p w:rsidR="003E02BD" w:rsidRPr="00A06225" w:rsidRDefault="003E02B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E02BD" w:rsidRPr="00A06225" w:rsidRDefault="003E02BD">
          <w:pPr>
            <w:pStyle w:val="Header"/>
            <w:spacing w:line="276" w:lineRule="auto"/>
            <w:rPr>
              <w:rFonts w:ascii="Cambria" w:eastAsia="MS Gothic" w:hAnsi="Cambria"/>
              <w:b/>
              <w:bCs/>
              <w:color w:val="4F81BD"/>
            </w:rPr>
          </w:pPr>
        </w:p>
      </w:tc>
    </w:tr>
    <w:tr w:rsidR="003E02BD" w:rsidRPr="008E0D90" w:rsidTr="00A06225">
      <w:trPr>
        <w:trHeight w:val="150"/>
      </w:trPr>
      <w:tc>
        <w:tcPr>
          <w:tcW w:w="2389" w:type="pct"/>
          <w:tcBorders>
            <w:top w:val="single" w:sz="4" w:space="0" w:color="4F81BD"/>
            <w:left w:val="nil"/>
            <w:bottom w:val="nil"/>
            <w:right w:val="nil"/>
          </w:tcBorders>
        </w:tcPr>
        <w:p w:rsidR="003E02BD" w:rsidRPr="00A06225" w:rsidRDefault="003E02BD">
          <w:pPr>
            <w:pStyle w:val="Header"/>
            <w:spacing w:line="276" w:lineRule="auto"/>
            <w:rPr>
              <w:rFonts w:ascii="Cambria" w:eastAsia="MS Gothic" w:hAnsi="Cambria"/>
              <w:b/>
              <w:bCs/>
              <w:color w:val="4F81BD"/>
            </w:rPr>
          </w:pPr>
        </w:p>
      </w:tc>
      <w:tc>
        <w:tcPr>
          <w:tcW w:w="0" w:type="auto"/>
          <w:vMerge/>
          <w:vAlign w:val="center"/>
          <w:hideMark/>
        </w:tcPr>
        <w:p w:rsidR="003E02BD" w:rsidRPr="00A06225" w:rsidRDefault="003E02BD">
          <w:pPr>
            <w:rPr>
              <w:rFonts w:ascii="Cambria" w:hAnsi="Cambria"/>
              <w:color w:val="4F81BD"/>
              <w:szCs w:val="22"/>
            </w:rPr>
          </w:pPr>
        </w:p>
      </w:tc>
      <w:tc>
        <w:tcPr>
          <w:tcW w:w="2278" w:type="pct"/>
          <w:tcBorders>
            <w:top w:val="single" w:sz="4" w:space="0" w:color="4F81BD"/>
            <w:left w:val="nil"/>
            <w:bottom w:val="nil"/>
            <w:right w:val="nil"/>
          </w:tcBorders>
        </w:tcPr>
        <w:p w:rsidR="003E02BD" w:rsidRPr="00A06225" w:rsidRDefault="003E02BD">
          <w:pPr>
            <w:pStyle w:val="Header"/>
            <w:spacing w:line="276" w:lineRule="auto"/>
            <w:rPr>
              <w:rFonts w:ascii="Cambria" w:eastAsia="MS Gothic" w:hAnsi="Cambria"/>
              <w:b/>
              <w:bCs/>
              <w:color w:val="4F81BD"/>
            </w:rPr>
          </w:pPr>
        </w:p>
      </w:tc>
    </w:tr>
  </w:tbl>
  <w:p w:rsidR="003E02BD" w:rsidRDefault="003E02BD">
    <w:pPr>
      <w:pStyle w:val="Header"/>
    </w:pPr>
  </w:p>
  <w:p w:rsidR="003E02BD" w:rsidRDefault="003E02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2BD" w:rsidRPr="00DF217D" w:rsidRDefault="003E02BD" w:rsidP="00324798">
    <w:pPr>
      <w:pStyle w:val="Header"/>
      <w:jc w:val="center"/>
      <w:rPr>
        <w:rFonts w:cs="Arial"/>
        <w:i/>
        <w:color w:val="808080"/>
      </w:rPr>
    </w:pPr>
    <w:r>
      <w:rPr>
        <w:rFonts w:cs="Arial"/>
        <w:i/>
        <w:color w:val="808080"/>
      </w:rPr>
      <w:t>Public Summary Document</w:t>
    </w:r>
    <w:r w:rsidRPr="00DF217D">
      <w:rPr>
        <w:rFonts w:cs="Arial"/>
        <w:i/>
        <w:color w:val="808080"/>
      </w:rPr>
      <w:t xml:space="preserve">– </w:t>
    </w:r>
    <w:r>
      <w:rPr>
        <w:rFonts w:cs="Arial"/>
        <w:i/>
        <w:color w:val="808080"/>
      </w:rPr>
      <w:t xml:space="preserve">July 2014 </w:t>
    </w:r>
    <w:r w:rsidRPr="00DF217D">
      <w:rPr>
        <w:rFonts w:cs="Arial"/>
        <w:i/>
        <w:color w:val="808080"/>
      </w:rPr>
      <w:t>PBAC</w:t>
    </w:r>
    <w:r>
      <w:rPr>
        <w:rFonts w:cs="Arial"/>
        <w:i/>
        <w:color w:val="808080"/>
      </w:rPr>
      <w:t xml:space="preserve"> </w:t>
    </w:r>
    <w:r w:rsidRPr="00DF217D">
      <w:rPr>
        <w:rFonts w:cs="Arial"/>
        <w:i/>
        <w:color w:val="808080"/>
      </w:rPr>
      <w:t>Meeting</w:t>
    </w:r>
  </w:p>
  <w:p w:rsidR="003E02BD" w:rsidRPr="00DF217D" w:rsidRDefault="003E02BD" w:rsidP="00A06225">
    <w:pPr>
      <w:pStyle w:val="Header"/>
      <w:rPr>
        <w:rFonts w:cs="Arial"/>
        <w:i/>
        <w:color w:val="80808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8872EA4"/>
    <w:multiLevelType w:val="multilevel"/>
    <w:tmpl w:val="8FB22DD8"/>
    <w:lvl w:ilvl="0">
      <w:start w:val="4"/>
      <w:numFmt w:val="decimal"/>
      <w:lvlText w:val="%1"/>
      <w:lvlJc w:val="left"/>
      <w:pPr>
        <w:ind w:left="0" w:firstLine="0"/>
      </w:pPr>
      <w:rPr>
        <w:rFonts w:hint="default"/>
        <w:i w:val="0"/>
      </w:rPr>
    </w:lvl>
    <w:lvl w:ilvl="1">
      <w:start w:val="1"/>
      <w:numFmt w:val="decimal"/>
      <w:lvlText w:val="%1.%2"/>
      <w:lvlJc w:val="left"/>
      <w:pPr>
        <w:ind w:left="0" w:firstLine="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360" w:hanging="36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0325564"/>
    <w:multiLevelType w:val="multilevel"/>
    <w:tmpl w:val="D5EAE904"/>
    <w:lvl w:ilvl="0">
      <w:start w:val="7"/>
      <w:numFmt w:val="decimal"/>
      <w:lvlText w:val="%1"/>
      <w:lvlJc w:val="left"/>
      <w:pPr>
        <w:ind w:left="0" w:firstLine="0"/>
      </w:pPr>
      <w:rPr>
        <w:rFonts w:hint="default"/>
        <w:i w:val="0"/>
      </w:rPr>
    </w:lvl>
    <w:lvl w:ilvl="1">
      <w:start w:val="1"/>
      <w:numFmt w:val="decimal"/>
      <w:lvlText w:val="%1.%2"/>
      <w:lvlJc w:val="left"/>
      <w:pPr>
        <w:ind w:left="0" w:firstLine="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360" w:hanging="36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12">
    <w:nsid w:val="217C4C63"/>
    <w:multiLevelType w:val="hybridMultilevel"/>
    <w:tmpl w:val="996A0B28"/>
    <w:lvl w:ilvl="0" w:tplc="54026BD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9DB6B2F"/>
    <w:multiLevelType w:val="multilevel"/>
    <w:tmpl w:val="8EF0F98E"/>
    <w:lvl w:ilvl="0">
      <w:start w:val="30"/>
      <w:numFmt w:val="decimal"/>
      <w:lvlText w:val="%1"/>
      <w:lvlJc w:val="left"/>
      <w:pPr>
        <w:ind w:left="0" w:firstLine="0"/>
      </w:pPr>
      <w:rPr>
        <w:rFonts w:hint="default"/>
        <w:i w:val="0"/>
      </w:rPr>
    </w:lvl>
    <w:lvl w:ilvl="1">
      <w:start w:val="1"/>
      <w:numFmt w:val="decimal"/>
      <w:lvlText w:val="%1.%2"/>
      <w:lvlJc w:val="left"/>
      <w:pPr>
        <w:ind w:left="0" w:firstLine="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360" w:hanging="36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15">
    <w:nsid w:val="2B411477"/>
    <w:multiLevelType w:val="hybridMultilevel"/>
    <w:tmpl w:val="7CAEC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0834B52"/>
    <w:multiLevelType w:val="hybridMultilevel"/>
    <w:tmpl w:val="41D878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2B63FA0"/>
    <w:multiLevelType w:val="multilevel"/>
    <w:tmpl w:val="EA94DC5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0">
    <w:nsid w:val="38393339"/>
    <w:multiLevelType w:val="multilevel"/>
    <w:tmpl w:val="670EEAF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3">
    <w:nsid w:val="3DAF141A"/>
    <w:multiLevelType w:val="multilevel"/>
    <w:tmpl w:val="A36AACA2"/>
    <w:lvl w:ilvl="0">
      <w:start w:val="7"/>
      <w:numFmt w:val="decimal"/>
      <w:lvlText w:val="%1"/>
      <w:lvlJc w:val="left"/>
      <w:pPr>
        <w:ind w:left="360" w:hanging="360"/>
      </w:pPr>
      <w:rPr>
        <w:rFonts w:hint="default"/>
        <w:i w:val="0"/>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94947EE"/>
    <w:multiLevelType w:val="hybridMultilevel"/>
    <w:tmpl w:val="C788374E"/>
    <w:lvl w:ilvl="0" w:tplc="3C4E105A">
      <w:start w:val="1"/>
      <w:numFmt w:val="bullet"/>
      <w:lvlText w:val=""/>
      <w:lvlJc w:val="left"/>
      <w:pPr>
        <w:ind w:left="180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4FAC337D"/>
    <w:multiLevelType w:val="hybridMultilevel"/>
    <w:tmpl w:val="0A62A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1">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59BC5196"/>
    <w:multiLevelType w:val="multilevel"/>
    <w:tmpl w:val="63D0BED8"/>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B470D18"/>
    <w:multiLevelType w:val="hybridMultilevel"/>
    <w:tmpl w:val="FF84EF9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6">
    <w:nsid w:val="5ED00A85"/>
    <w:multiLevelType w:val="hybridMultilevel"/>
    <w:tmpl w:val="06A8D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1041C16"/>
    <w:multiLevelType w:val="multilevel"/>
    <w:tmpl w:val="91F4E70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BD0B19"/>
    <w:multiLevelType w:val="multilevel"/>
    <w:tmpl w:val="A2784642"/>
    <w:lvl w:ilvl="0">
      <w:start w:val="5"/>
      <w:numFmt w:val="decimal"/>
      <w:lvlText w:val="%1"/>
      <w:lvlJc w:val="left"/>
      <w:pPr>
        <w:ind w:left="0" w:firstLine="0"/>
      </w:pPr>
      <w:rPr>
        <w:rFonts w:hint="default"/>
        <w:i w:val="0"/>
      </w:rPr>
    </w:lvl>
    <w:lvl w:ilvl="1">
      <w:start w:val="1"/>
      <w:numFmt w:val="decimal"/>
      <w:lvlText w:val="%1.%2"/>
      <w:lvlJc w:val="left"/>
      <w:pPr>
        <w:ind w:left="0" w:firstLine="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360" w:hanging="36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40">
    <w:nsid w:val="63D11B48"/>
    <w:multiLevelType w:val="hybridMultilevel"/>
    <w:tmpl w:val="7BCA53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42">
    <w:nsid w:val="6BAA1E6F"/>
    <w:multiLevelType w:val="multilevel"/>
    <w:tmpl w:val="D5EAE904"/>
    <w:lvl w:ilvl="0">
      <w:start w:val="7"/>
      <w:numFmt w:val="decimal"/>
      <w:lvlText w:val="%1"/>
      <w:lvlJc w:val="left"/>
      <w:pPr>
        <w:ind w:left="0" w:firstLine="0"/>
      </w:pPr>
      <w:rPr>
        <w:rFonts w:hint="default"/>
        <w:i w:val="0"/>
      </w:rPr>
    </w:lvl>
    <w:lvl w:ilvl="1">
      <w:start w:val="1"/>
      <w:numFmt w:val="decimal"/>
      <w:lvlText w:val="%1.%2"/>
      <w:lvlJc w:val="left"/>
      <w:pPr>
        <w:ind w:left="0" w:firstLine="0"/>
      </w:pPr>
      <w:rPr>
        <w:rFonts w:hint="default"/>
        <w:i w:val="0"/>
      </w:rPr>
    </w:lvl>
    <w:lvl w:ilvl="2">
      <w:start w:val="1"/>
      <w:numFmt w:val="decimal"/>
      <w:lvlText w:val="%1.%2.%3"/>
      <w:lvlJc w:val="left"/>
      <w:pPr>
        <w:ind w:left="360" w:hanging="360"/>
      </w:pPr>
      <w:rPr>
        <w:rFonts w:hint="default"/>
        <w:i w:val="0"/>
      </w:rPr>
    </w:lvl>
    <w:lvl w:ilvl="3">
      <w:start w:val="1"/>
      <w:numFmt w:val="decimal"/>
      <w:lvlText w:val="%1.%2.%3.%4"/>
      <w:lvlJc w:val="left"/>
      <w:pPr>
        <w:ind w:left="360" w:hanging="36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720" w:hanging="72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080" w:hanging="1080"/>
      </w:pPr>
      <w:rPr>
        <w:rFonts w:hint="default"/>
        <w:i w:val="0"/>
      </w:rPr>
    </w:lvl>
    <w:lvl w:ilvl="8">
      <w:start w:val="1"/>
      <w:numFmt w:val="decimal"/>
      <w:lvlText w:val="%1.%2.%3.%4.%5.%6.%7.%8.%9"/>
      <w:lvlJc w:val="left"/>
      <w:pPr>
        <w:ind w:left="1440" w:hanging="1440"/>
      </w:pPr>
      <w:rPr>
        <w:rFonts w:hint="default"/>
        <w:i w:val="0"/>
      </w:rPr>
    </w:lvl>
  </w:abstractNum>
  <w:abstractNum w:abstractNumId="4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6">
    <w:nsid w:val="75964857"/>
    <w:multiLevelType w:val="multilevel"/>
    <w:tmpl w:val="E1B0D908"/>
    <w:lvl w:ilvl="0">
      <w:start w:val="1"/>
      <w:numFmt w:val="decimal"/>
      <w:lvlText w:val="%1"/>
      <w:lvlJc w:val="left"/>
      <w:pPr>
        <w:ind w:left="720" w:hanging="720"/>
      </w:pPr>
      <w:rPr>
        <w:rFonts w:hint="default"/>
        <w:b/>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8">
    <w:nsid w:val="77762C1E"/>
    <w:multiLevelType w:val="hybridMultilevel"/>
    <w:tmpl w:val="41D878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50">
    <w:nsid w:val="784D033C"/>
    <w:multiLevelType w:val="multilevel"/>
    <w:tmpl w:val="1426565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796F60D5"/>
    <w:multiLevelType w:val="multilevel"/>
    <w:tmpl w:val="34DEA2B4"/>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4">
    <w:nsid w:val="7EF55792"/>
    <w:multiLevelType w:val="hybridMultilevel"/>
    <w:tmpl w:val="70A6F4B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8"/>
  </w:num>
  <w:num w:numId="2">
    <w:abstractNumId w:val="44"/>
  </w:num>
  <w:num w:numId="3">
    <w:abstractNumId w:val="25"/>
  </w:num>
  <w:num w:numId="4">
    <w:abstractNumId w:val="0"/>
  </w:num>
  <w:num w:numId="5">
    <w:abstractNumId w:val="4"/>
  </w:num>
  <w:num w:numId="6">
    <w:abstractNumId w:val="22"/>
  </w:num>
  <w:num w:numId="7">
    <w:abstractNumId w:val="19"/>
  </w:num>
  <w:num w:numId="8">
    <w:abstractNumId w:val="3"/>
  </w:num>
  <w:num w:numId="9">
    <w:abstractNumId w:val="6"/>
  </w:num>
  <w:num w:numId="10">
    <w:abstractNumId w:val="41"/>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5"/>
  </w:num>
  <w:num w:numId="15">
    <w:abstractNumId w:val="33"/>
  </w:num>
  <w:num w:numId="16">
    <w:abstractNumId w:val="29"/>
  </w:num>
  <w:num w:numId="17">
    <w:abstractNumId w:val="49"/>
  </w:num>
  <w:num w:numId="18">
    <w:abstractNumId w:val="13"/>
  </w:num>
  <w:num w:numId="19">
    <w:abstractNumId w:val="21"/>
  </w:num>
  <w:num w:numId="20">
    <w:abstractNumId w:val="2"/>
  </w:num>
  <w:num w:numId="21">
    <w:abstractNumId w:val="38"/>
  </w:num>
  <w:num w:numId="22">
    <w:abstractNumId w:val="43"/>
  </w:num>
  <w:num w:numId="23">
    <w:abstractNumId w:val="52"/>
  </w:num>
  <w:num w:numId="24">
    <w:abstractNumId w:val="18"/>
  </w:num>
  <w:num w:numId="25">
    <w:abstractNumId w:val="50"/>
  </w:num>
  <w:num w:numId="26">
    <w:abstractNumId w:val="34"/>
  </w:num>
  <w:num w:numId="27">
    <w:abstractNumId w:val="10"/>
  </w:num>
  <w:num w:numId="28">
    <w:abstractNumId w:val="5"/>
  </w:num>
  <w:num w:numId="29">
    <w:abstractNumId w:val="31"/>
  </w:num>
  <w:num w:numId="30">
    <w:abstractNumId w:val="1"/>
  </w:num>
  <w:num w:numId="31">
    <w:abstractNumId w:val="32"/>
  </w:num>
  <w:num w:numId="32">
    <w:abstractNumId w:val="47"/>
  </w:num>
  <w:num w:numId="33">
    <w:abstractNumId w:val="30"/>
  </w:num>
  <w:num w:numId="34">
    <w:abstractNumId w:val="53"/>
  </w:num>
  <w:num w:numId="35">
    <w:abstractNumId w:val="9"/>
  </w:num>
  <w:num w:numId="36">
    <w:abstractNumId w:val="27"/>
  </w:num>
  <w:num w:numId="37">
    <w:abstractNumId w:val="48"/>
  </w:num>
  <w:num w:numId="38">
    <w:abstractNumId w:val="54"/>
  </w:num>
  <w:num w:numId="39">
    <w:abstractNumId w:val="46"/>
  </w:num>
  <w:num w:numId="40">
    <w:abstractNumId w:val="36"/>
  </w:num>
  <w:num w:numId="41">
    <w:abstractNumId w:val="15"/>
  </w:num>
  <w:num w:numId="42">
    <w:abstractNumId w:val="51"/>
  </w:num>
  <w:num w:numId="43">
    <w:abstractNumId w:val="28"/>
  </w:num>
  <w:num w:numId="44">
    <w:abstractNumId w:val="40"/>
  </w:num>
  <w:num w:numId="45">
    <w:abstractNumId w:val="24"/>
  </w:num>
  <w:num w:numId="46">
    <w:abstractNumId w:val="12"/>
  </w:num>
  <w:num w:numId="47">
    <w:abstractNumId w:val="17"/>
  </w:num>
  <w:num w:numId="48">
    <w:abstractNumId w:val="20"/>
  </w:num>
  <w:num w:numId="49">
    <w:abstractNumId w:val="42"/>
  </w:num>
  <w:num w:numId="50">
    <w:abstractNumId w:val="37"/>
  </w:num>
  <w:num w:numId="51">
    <w:abstractNumId w:val="23"/>
  </w:num>
  <w:num w:numId="52">
    <w:abstractNumId w:val="14"/>
  </w:num>
  <w:num w:numId="53">
    <w:abstractNumId w:val="7"/>
  </w:num>
  <w:num w:numId="54">
    <w:abstractNumId w:val="11"/>
  </w:num>
  <w:num w:numId="55">
    <w:abstractNumId w:val="39"/>
  </w:num>
  <w:num w:numId="56">
    <w:abstractNumId w:val="35"/>
  </w:num>
  <w:num w:numId="57">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730"/>
    <w:rsid w:val="0002464A"/>
    <w:rsid w:val="00025EC6"/>
    <w:rsid w:val="0003106B"/>
    <w:rsid w:val="000420AD"/>
    <w:rsid w:val="000421A1"/>
    <w:rsid w:val="0004240E"/>
    <w:rsid w:val="00045E26"/>
    <w:rsid w:val="00046E85"/>
    <w:rsid w:val="000514B5"/>
    <w:rsid w:val="00055A55"/>
    <w:rsid w:val="00060E64"/>
    <w:rsid w:val="000716E3"/>
    <w:rsid w:val="00083A5E"/>
    <w:rsid w:val="00085394"/>
    <w:rsid w:val="000969AD"/>
    <w:rsid w:val="000B558D"/>
    <w:rsid w:val="000B6835"/>
    <w:rsid w:val="000C6996"/>
    <w:rsid w:val="000D23BA"/>
    <w:rsid w:val="000E681E"/>
    <w:rsid w:val="000E6828"/>
    <w:rsid w:val="000F4E6A"/>
    <w:rsid w:val="000F7786"/>
    <w:rsid w:val="00104A10"/>
    <w:rsid w:val="001107BF"/>
    <w:rsid w:val="0012417C"/>
    <w:rsid w:val="00131CE6"/>
    <w:rsid w:val="00133A9D"/>
    <w:rsid w:val="001366FE"/>
    <w:rsid w:val="00142395"/>
    <w:rsid w:val="00142714"/>
    <w:rsid w:val="001452ED"/>
    <w:rsid w:val="0015125D"/>
    <w:rsid w:val="001830CE"/>
    <w:rsid w:val="00196307"/>
    <w:rsid w:val="00197F1A"/>
    <w:rsid w:val="001A2FA2"/>
    <w:rsid w:val="001B017F"/>
    <w:rsid w:val="001B5129"/>
    <w:rsid w:val="001B7473"/>
    <w:rsid w:val="001C1195"/>
    <w:rsid w:val="001D618E"/>
    <w:rsid w:val="00201FA1"/>
    <w:rsid w:val="002162D7"/>
    <w:rsid w:val="002265F3"/>
    <w:rsid w:val="00262800"/>
    <w:rsid w:val="002644DE"/>
    <w:rsid w:val="002671A8"/>
    <w:rsid w:val="00271BA1"/>
    <w:rsid w:val="00277505"/>
    <w:rsid w:val="002918D7"/>
    <w:rsid w:val="0029458F"/>
    <w:rsid w:val="002A4960"/>
    <w:rsid w:val="002B1AE6"/>
    <w:rsid w:val="002B30F8"/>
    <w:rsid w:val="002C212F"/>
    <w:rsid w:val="002E6389"/>
    <w:rsid w:val="002E6707"/>
    <w:rsid w:val="002F4686"/>
    <w:rsid w:val="00324798"/>
    <w:rsid w:val="00326E79"/>
    <w:rsid w:val="003367EF"/>
    <w:rsid w:val="00341418"/>
    <w:rsid w:val="00341AE4"/>
    <w:rsid w:val="00344878"/>
    <w:rsid w:val="00346A6D"/>
    <w:rsid w:val="00355A02"/>
    <w:rsid w:val="003764BB"/>
    <w:rsid w:val="00381D9D"/>
    <w:rsid w:val="003A5B4A"/>
    <w:rsid w:val="003A7470"/>
    <w:rsid w:val="003B23C5"/>
    <w:rsid w:val="003B2A75"/>
    <w:rsid w:val="003B7983"/>
    <w:rsid w:val="003C11F8"/>
    <w:rsid w:val="003D4AC4"/>
    <w:rsid w:val="003D63B7"/>
    <w:rsid w:val="003D7F42"/>
    <w:rsid w:val="003E02BD"/>
    <w:rsid w:val="003E468B"/>
    <w:rsid w:val="003F5C8C"/>
    <w:rsid w:val="003F71CF"/>
    <w:rsid w:val="00400CFB"/>
    <w:rsid w:val="00424678"/>
    <w:rsid w:val="00466ADA"/>
    <w:rsid w:val="00467706"/>
    <w:rsid w:val="004B3850"/>
    <w:rsid w:val="004B5640"/>
    <w:rsid w:val="004B6A9E"/>
    <w:rsid w:val="004C1BD7"/>
    <w:rsid w:val="004C1F6C"/>
    <w:rsid w:val="004C4A2F"/>
    <w:rsid w:val="004C691D"/>
    <w:rsid w:val="004E6193"/>
    <w:rsid w:val="004E692D"/>
    <w:rsid w:val="004F6C5F"/>
    <w:rsid w:val="00514CD7"/>
    <w:rsid w:val="005156D3"/>
    <w:rsid w:val="00534E2E"/>
    <w:rsid w:val="00536965"/>
    <w:rsid w:val="00543DBA"/>
    <w:rsid w:val="00544552"/>
    <w:rsid w:val="00556E4D"/>
    <w:rsid w:val="005727A9"/>
    <w:rsid w:val="00581932"/>
    <w:rsid w:val="005A3173"/>
    <w:rsid w:val="005A3223"/>
    <w:rsid w:val="005A3DA3"/>
    <w:rsid w:val="005A52C4"/>
    <w:rsid w:val="005D03AB"/>
    <w:rsid w:val="005D5017"/>
    <w:rsid w:val="005D7A82"/>
    <w:rsid w:val="005E2D9A"/>
    <w:rsid w:val="00601A91"/>
    <w:rsid w:val="00602BA3"/>
    <w:rsid w:val="0061267A"/>
    <w:rsid w:val="00614159"/>
    <w:rsid w:val="00617C00"/>
    <w:rsid w:val="006241CB"/>
    <w:rsid w:val="006263BF"/>
    <w:rsid w:val="00630A2C"/>
    <w:rsid w:val="00651169"/>
    <w:rsid w:val="00653D69"/>
    <w:rsid w:val="00670A76"/>
    <w:rsid w:val="006711AA"/>
    <w:rsid w:val="00675622"/>
    <w:rsid w:val="006906DB"/>
    <w:rsid w:val="006A12A5"/>
    <w:rsid w:val="006A198B"/>
    <w:rsid w:val="006B0D94"/>
    <w:rsid w:val="006B485D"/>
    <w:rsid w:val="006C4125"/>
    <w:rsid w:val="006C6BB1"/>
    <w:rsid w:val="006D5D43"/>
    <w:rsid w:val="006D63A1"/>
    <w:rsid w:val="006D6EC7"/>
    <w:rsid w:val="006F5125"/>
    <w:rsid w:val="007013D2"/>
    <w:rsid w:val="007174BB"/>
    <w:rsid w:val="00734EB0"/>
    <w:rsid w:val="00762524"/>
    <w:rsid w:val="0076595C"/>
    <w:rsid w:val="007753C2"/>
    <w:rsid w:val="007838B8"/>
    <w:rsid w:val="0078571B"/>
    <w:rsid w:val="00793434"/>
    <w:rsid w:val="007A6BA3"/>
    <w:rsid w:val="007B5A10"/>
    <w:rsid w:val="007C0F57"/>
    <w:rsid w:val="007C40B6"/>
    <w:rsid w:val="007C729F"/>
    <w:rsid w:val="007E049B"/>
    <w:rsid w:val="007E1D28"/>
    <w:rsid w:val="007F2641"/>
    <w:rsid w:val="007F7090"/>
    <w:rsid w:val="00806796"/>
    <w:rsid w:val="008075A5"/>
    <w:rsid w:val="00810004"/>
    <w:rsid w:val="00811368"/>
    <w:rsid w:val="00863E68"/>
    <w:rsid w:val="00872D84"/>
    <w:rsid w:val="00882085"/>
    <w:rsid w:val="00883188"/>
    <w:rsid w:val="00887CE1"/>
    <w:rsid w:val="0089262C"/>
    <w:rsid w:val="00897D58"/>
    <w:rsid w:val="008A0F06"/>
    <w:rsid w:val="008A4937"/>
    <w:rsid w:val="008C0B57"/>
    <w:rsid w:val="008D3C82"/>
    <w:rsid w:val="008D447E"/>
    <w:rsid w:val="008E3680"/>
    <w:rsid w:val="008E5870"/>
    <w:rsid w:val="008F1434"/>
    <w:rsid w:val="008F7355"/>
    <w:rsid w:val="00904354"/>
    <w:rsid w:val="0091406E"/>
    <w:rsid w:val="00930937"/>
    <w:rsid w:val="00942160"/>
    <w:rsid w:val="009602C5"/>
    <w:rsid w:val="00971316"/>
    <w:rsid w:val="00974C21"/>
    <w:rsid w:val="00993950"/>
    <w:rsid w:val="00993E36"/>
    <w:rsid w:val="009C703C"/>
    <w:rsid w:val="009D3008"/>
    <w:rsid w:val="009D34C3"/>
    <w:rsid w:val="009D3CAA"/>
    <w:rsid w:val="009E0A17"/>
    <w:rsid w:val="009E0AC9"/>
    <w:rsid w:val="009F5B65"/>
    <w:rsid w:val="00A06225"/>
    <w:rsid w:val="00A14915"/>
    <w:rsid w:val="00A15C8B"/>
    <w:rsid w:val="00A22660"/>
    <w:rsid w:val="00A37C8D"/>
    <w:rsid w:val="00A5273B"/>
    <w:rsid w:val="00A53A9D"/>
    <w:rsid w:val="00A62C1A"/>
    <w:rsid w:val="00A6426D"/>
    <w:rsid w:val="00A7053B"/>
    <w:rsid w:val="00A70622"/>
    <w:rsid w:val="00A70977"/>
    <w:rsid w:val="00A729B6"/>
    <w:rsid w:val="00A8390C"/>
    <w:rsid w:val="00A92DE8"/>
    <w:rsid w:val="00AA4D1C"/>
    <w:rsid w:val="00AC5206"/>
    <w:rsid w:val="00AC5448"/>
    <w:rsid w:val="00AD2C64"/>
    <w:rsid w:val="00AD5C00"/>
    <w:rsid w:val="00AE11A5"/>
    <w:rsid w:val="00AF2FB0"/>
    <w:rsid w:val="00AF68CC"/>
    <w:rsid w:val="00B072DB"/>
    <w:rsid w:val="00B145FB"/>
    <w:rsid w:val="00B205AA"/>
    <w:rsid w:val="00B25F75"/>
    <w:rsid w:val="00B26672"/>
    <w:rsid w:val="00B27834"/>
    <w:rsid w:val="00B3115F"/>
    <w:rsid w:val="00B31B07"/>
    <w:rsid w:val="00B31D10"/>
    <w:rsid w:val="00B33C89"/>
    <w:rsid w:val="00B43E90"/>
    <w:rsid w:val="00B462E0"/>
    <w:rsid w:val="00B56118"/>
    <w:rsid w:val="00B65ED0"/>
    <w:rsid w:val="00B77411"/>
    <w:rsid w:val="00B77FCF"/>
    <w:rsid w:val="00BB3B0E"/>
    <w:rsid w:val="00BB69F5"/>
    <w:rsid w:val="00BB6F18"/>
    <w:rsid w:val="00BB73CF"/>
    <w:rsid w:val="00BB7EC3"/>
    <w:rsid w:val="00BC1942"/>
    <w:rsid w:val="00BC4B9A"/>
    <w:rsid w:val="00BD1AA3"/>
    <w:rsid w:val="00BD6BAF"/>
    <w:rsid w:val="00BE48BF"/>
    <w:rsid w:val="00BE6B7E"/>
    <w:rsid w:val="00BF4CB6"/>
    <w:rsid w:val="00C12768"/>
    <w:rsid w:val="00C20432"/>
    <w:rsid w:val="00C210E6"/>
    <w:rsid w:val="00C31F4C"/>
    <w:rsid w:val="00C3580F"/>
    <w:rsid w:val="00C35996"/>
    <w:rsid w:val="00C45984"/>
    <w:rsid w:val="00C5342C"/>
    <w:rsid w:val="00C55ADB"/>
    <w:rsid w:val="00C61E98"/>
    <w:rsid w:val="00C6256A"/>
    <w:rsid w:val="00C91449"/>
    <w:rsid w:val="00C92D10"/>
    <w:rsid w:val="00C93DAA"/>
    <w:rsid w:val="00CA1534"/>
    <w:rsid w:val="00CB2A61"/>
    <w:rsid w:val="00CB3850"/>
    <w:rsid w:val="00CC62CF"/>
    <w:rsid w:val="00CD4B77"/>
    <w:rsid w:val="00CE10C4"/>
    <w:rsid w:val="00CE27B5"/>
    <w:rsid w:val="00CE5131"/>
    <w:rsid w:val="00CE53B8"/>
    <w:rsid w:val="00D0321E"/>
    <w:rsid w:val="00D3280C"/>
    <w:rsid w:val="00D3406A"/>
    <w:rsid w:val="00D4248D"/>
    <w:rsid w:val="00D469B2"/>
    <w:rsid w:val="00D6383E"/>
    <w:rsid w:val="00D741EB"/>
    <w:rsid w:val="00D91271"/>
    <w:rsid w:val="00DA4BAC"/>
    <w:rsid w:val="00DE6D27"/>
    <w:rsid w:val="00DE751B"/>
    <w:rsid w:val="00DF217D"/>
    <w:rsid w:val="00DF26A7"/>
    <w:rsid w:val="00E16910"/>
    <w:rsid w:val="00E34DF4"/>
    <w:rsid w:val="00E35A9C"/>
    <w:rsid w:val="00E42116"/>
    <w:rsid w:val="00E65E54"/>
    <w:rsid w:val="00E74068"/>
    <w:rsid w:val="00E80155"/>
    <w:rsid w:val="00E824C1"/>
    <w:rsid w:val="00E83D36"/>
    <w:rsid w:val="00E848C0"/>
    <w:rsid w:val="00E91B96"/>
    <w:rsid w:val="00E941A1"/>
    <w:rsid w:val="00E95CE3"/>
    <w:rsid w:val="00EA0846"/>
    <w:rsid w:val="00EA2825"/>
    <w:rsid w:val="00EA2EF8"/>
    <w:rsid w:val="00EB5088"/>
    <w:rsid w:val="00EC3FA9"/>
    <w:rsid w:val="00ED1644"/>
    <w:rsid w:val="00ED5DA1"/>
    <w:rsid w:val="00EE3677"/>
    <w:rsid w:val="00F050BD"/>
    <w:rsid w:val="00F05657"/>
    <w:rsid w:val="00F10C13"/>
    <w:rsid w:val="00F23F22"/>
    <w:rsid w:val="00F25578"/>
    <w:rsid w:val="00F258E5"/>
    <w:rsid w:val="00F300BC"/>
    <w:rsid w:val="00F3334E"/>
    <w:rsid w:val="00F33538"/>
    <w:rsid w:val="00F36AE0"/>
    <w:rsid w:val="00F50EC4"/>
    <w:rsid w:val="00F57A6D"/>
    <w:rsid w:val="00F638CC"/>
    <w:rsid w:val="00F74A0E"/>
    <w:rsid w:val="00F8247A"/>
    <w:rsid w:val="00F95F19"/>
    <w:rsid w:val="00FA5883"/>
    <w:rsid w:val="00FA6055"/>
    <w:rsid w:val="00FB322F"/>
    <w:rsid w:val="00FB442F"/>
    <w:rsid w:val="00FC1929"/>
    <w:rsid w:val="00FC5B46"/>
    <w:rsid w:val="00FC5EB0"/>
    <w:rsid w:val="00FD155D"/>
    <w:rsid w:val="00FD444A"/>
    <w:rsid w:val="00FD56C1"/>
    <w:rsid w:val="00FF1ED4"/>
    <w:rsid w:val="00FF1F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31D10"/>
    <w:rPr>
      <w:rFonts w:ascii="Arial" w:hAnsi="Arial"/>
      <w:sz w:val="22"/>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C93DAA"/>
    <w:pPr>
      <w:widowControl w:val="0"/>
      <w:jc w:val="both"/>
    </w:pPr>
    <w:rPr>
      <w:rFonts w:ascii="Arial Narrow" w:hAnsi="Arial Narrow" w:cs="Arial"/>
      <w:snapToGrid w:val="0"/>
      <w:sz w:val="18"/>
      <w:szCs w:val="20"/>
      <w:lang w:eastAsia="en-US"/>
    </w:rPr>
  </w:style>
  <w:style w:type="character" w:customStyle="1" w:styleId="BoldCharacterCV">
    <w:name w:val="Bold Character CV"/>
    <w:uiPriority w:val="1"/>
    <w:qFormat/>
    <w:rsid w:val="00A14915"/>
    <w:rPr>
      <w:b/>
      <w:bCs w:val="0"/>
    </w:rPr>
  </w:style>
  <w:style w:type="character" w:styleId="Hyperlink">
    <w:name w:val="Hyperlink"/>
    <w:basedOn w:val="DefaultParagraphFont"/>
    <w:rsid w:val="00EC3FA9"/>
    <w:rPr>
      <w:color w:val="0000FF" w:themeColor="hyperlink"/>
      <w:u w:val="single"/>
    </w:rPr>
  </w:style>
  <w:style w:type="paragraph" w:styleId="Revision">
    <w:name w:val="Revision"/>
    <w:hidden/>
    <w:uiPriority w:val="71"/>
    <w:rsid w:val="00BC1942"/>
    <w:rPr>
      <w:rFonts w:ascii="Arial" w:hAnsi="Arial"/>
      <w:sz w:val="22"/>
      <w:szCs w:val="24"/>
    </w:rPr>
  </w:style>
  <w:style w:type="character" w:customStyle="1" w:styleId="ListParagraphChar">
    <w:name w:val="List Paragraph Char"/>
    <w:link w:val="ListParagraph"/>
    <w:uiPriority w:val="72"/>
    <w:locked/>
    <w:rsid w:val="003C11F8"/>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31D10"/>
    <w:rPr>
      <w:rFonts w:ascii="Arial" w:hAnsi="Arial"/>
      <w:sz w:val="22"/>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Footer">
    <w:name w:val="Table Footer"/>
    <w:basedOn w:val="Normal"/>
    <w:qFormat/>
    <w:rsid w:val="00C93DAA"/>
    <w:pPr>
      <w:widowControl w:val="0"/>
      <w:jc w:val="both"/>
    </w:pPr>
    <w:rPr>
      <w:rFonts w:ascii="Arial Narrow" w:hAnsi="Arial Narrow" w:cs="Arial"/>
      <w:snapToGrid w:val="0"/>
      <w:sz w:val="18"/>
      <w:szCs w:val="20"/>
      <w:lang w:eastAsia="en-US"/>
    </w:rPr>
  </w:style>
  <w:style w:type="character" w:customStyle="1" w:styleId="BoldCharacterCV">
    <w:name w:val="Bold Character CV"/>
    <w:uiPriority w:val="1"/>
    <w:qFormat/>
    <w:rsid w:val="00A14915"/>
    <w:rPr>
      <w:b/>
      <w:bCs w:val="0"/>
    </w:rPr>
  </w:style>
  <w:style w:type="character" w:styleId="Hyperlink">
    <w:name w:val="Hyperlink"/>
    <w:basedOn w:val="DefaultParagraphFont"/>
    <w:rsid w:val="00EC3FA9"/>
    <w:rPr>
      <w:color w:val="0000FF" w:themeColor="hyperlink"/>
      <w:u w:val="single"/>
    </w:rPr>
  </w:style>
  <w:style w:type="paragraph" w:styleId="Revision">
    <w:name w:val="Revision"/>
    <w:hidden/>
    <w:uiPriority w:val="71"/>
    <w:rsid w:val="00BC1942"/>
    <w:rPr>
      <w:rFonts w:ascii="Arial" w:hAnsi="Arial"/>
      <w:sz w:val="22"/>
      <w:szCs w:val="24"/>
    </w:rPr>
  </w:style>
  <w:style w:type="character" w:customStyle="1" w:styleId="ListParagraphChar">
    <w:name w:val="List Paragraph Char"/>
    <w:link w:val="ListParagraph"/>
    <w:uiPriority w:val="72"/>
    <w:locked/>
    <w:rsid w:val="003C11F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2837164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9383237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6299</Words>
  <Characters>40921</Characters>
  <Application>Microsoft Office Word</Application>
  <DocSecurity>0</DocSecurity>
  <Lines>341</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2014-10-15T04:49:00Z</dcterms:created>
  <dcterms:modified xsi:type="dcterms:W3CDTF">2014-11-03T04:20:00Z</dcterms:modified>
</cp:coreProperties>
</file>