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D0" w:rsidRDefault="00335BD0" w:rsidP="00176AC8">
      <w:pPr>
        <w:pStyle w:val="Heading1"/>
      </w:pPr>
      <w:r>
        <w:t>7.8</w:t>
      </w:r>
      <w:r w:rsidR="00DC056F" w:rsidRPr="009B6653">
        <w:tab/>
        <w:t xml:space="preserve">RUXOLITINIB, 5mg, 15mg, 20mg tablets, </w:t>
      </w:r>
    </w:p>
    <w:p w:rsidR="00DC056F" w:rsidRPr="009B6653" w:rsidRDefault="00DC056F" w:rsidP="00176AC8">
      <w:pPr>
        <w:pStyle w:val="Heading1"/>
      </w:pPr>
      <w:proofErr w:type="spellStart"/>
      <w:r w:rsidRPr="009B6653">
        <w:t>Jakavi</w:t>
      </w:r>
      <w:proofErr w:type="spellEnd"/>
      <w:r w:rsidRPr="009B6653">
        <w:rPr>
          <w:vertAlign w:val="superscript"/>
        </w:rPr>
        <w:t>®</w:t>
      </w:r>
      <w:r w:rsidRPr="009B6653">
        <w:t>, Novartis Pharmaceuticals Australia Pty Ltd</w:t>
      </w:r>
    </w:p>
    <w:p w:rsidR="00DC056F" w:rsidRPr="009B6653" w:rsidRDefault="00DC056F" w:rsidP="00DC056F">
      <w:pPr>
        <w:rPr>
          <w:rFonts w:ascii="Arial" w:hAnsi="Arial"/>
          <w:b/>
        </w:rPr>
      </w:pPr>
    </w:p>
    <w:p w:rsidR="00DC056F" w:rsidRPr="009B6653" w:rsidRDefault="00DC056F" w:rsidP="00DC056F">
      <w:pPr>
        <w:pStyle w:val="ListParagraph"/>
        <w:numPr>
          <w:ilvl w:val="0"/>
          <w:numId w:val="25"/>
        </w:numPr>
        <w:jc w:val="both"/>
        <w:rPr>
          <w:rFonts w:ascii="Arial" w:hAnsi="Arial"/>
          <w:b/>
          <w:sz w:val="22"/>
          <w:szCs w:val="22"/>
        </w:rPr>
      </w:pPr>
      <w:r w:rsidRPr="009B6653">
        <w:rPr>
          <w:rFonts w:ascii="Arial" w:hAnsi="Arial"/>
          <w:b/>
          <w:sz w:val="22"/>
          <w:szCs w:val="22"/>
        </w:rPr>
        <w:t>Purpose of Application</w:t>
      </w:r>
    </w:p>
    <w:p w:rsidR="00DC056F" w:rsidRPr="009B6653" w:rsidRDefault="00DC056F" w:rsidP="00DC056F">
      <w:pPr>
        <w:pStyle w:val="ListParagraph"/>
        <w:jc w:val="both"/>
        <w:rPr>
          <w:rFonts w:ascii="Arial" w:hAnsi="Arial"/>
          <w:b/>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sz w:val="22"/>
          <w:szCs w:val="22"/>
        </w:rPr>
        <w:t xml:space="preserve">The submission requested an Authority </w:t>
      </w:r>
      <w:proofErr w:type="gramStart"/>
      <w:r w:rsidRPr="009B6653">
        <w:rPr>
          <w:rFonts w:ascii="Arial" w:hAnsi="Arial"/>
          <w:sz w:val="22"/>
          <w:szCs w:val="22"/>
        </w:rPr>
        <w:t>Required</w:t>
      </w:r>
      <w:proofErr w:type="gramEnd"/>
      <w:r w:rsidRPr="009B6653">
        <w:rPr>
          <w:rFonts w:ascii="Arial" w:hAnsi="Arial"/>
          <w:sz w:val="22"/>
          <w:szCs w:val="22"/>
        </w:rPr>
        <w:t xml:space="preserve"> listing for </w:t>
      </w:r>
      <w:proofErr w:type="spellStart"/>
      <w:r w:rsidRPr="009B6653">
        <w:rPr>
          <w:rFonts w:ascii="Arial" w:hAnsi="Arial"/>
          <w:sz w:val="22"/>
          <w:szCs w:val="22"/>
        </w:rPr>
        <w:t>ruxolitinib</w:t>
      </w:r>
      <w:proofErr w:type="spellEnd"/>
      <w:r w:rsidRPr="009B6653">
        <w:rPr>
          <w:rFonts w:ascii="Arial" w:hAnsi="Arial"/>
          <w:sz w:val="22"/>
          <w:szCs w:val="22"/>
        </w:rPr>
        <w:t xml:space="preserve"> for second line management of </w:t>
      </w:r>
      <w:proofErr w:type="spellStart"/>
      <w:r w:rsidRPr="009B6653">
        <w:rPr>
          <w:rFonts w:ascii="Arial" w:hAnsi="Arial"/>
          <w:sz w:val="22"/>
          <w:szCs w:val="22"/>
        </w:rPr>
        <w:t>myelofibrosis</w:t>
      </w:r>
      <w:proofErr w:type="spellEnd"/>
      <w:r w:rsidRPr="009B6653">
        <w:rPr>
          <w:rFonts w:ascii="Arial" w:hAnsi="Arial"/>
          <w:sz w:val="22"/>
          <w:szCs w:val="22"/>
        </w:rPr>
        <w:t xml:space="preserve"> in patients satisfyi</w:t>
      </w:r>
      <w:r w:rsidR="00335BD0">
        <w:rPr>
          <w:rFonts w:ascii="Arial" w:hAnsi="Arial"/>
          <w:sz w:val="22"/>
          <w:szCs w:val="22"/>
        </w:rPr>
        <w:t xml:space="preserve">ng certain clinical criteria. </w:t>
      </w:r>
    </w:p>
    <w:p w:rsidR="00DC056F" w:rsidRPr="009B6653" w:rsidRDefault="00DC056F" w:rsidP="00DC056F">
      <w:pPr>
        <w:jc w:val="both"/>
        <w:rPr>
          <w:rFonts w:ascii="Arial" w:hAnsi="Arial"/>
          <w:b/>
          <w:sz w:val="22"/>
          <w:szCs w:val="22"/>
        </w:rPr>
      </w:pPr>
    </w:p>
    <w:p w:rsidR="00DC056F" w:rsidRPr="009B6653" w:rsidRDefault="00DC056F" w:rsidP="00DC056F">
      <w:pPr>
        <w:pStyle w:val="ListParagraph"/>
        <w:numPr>
          <w:ilvl w:val="0"/>
          <w:numId w:val="25"/>
        </w:numPr>
        <w:jc w:val="both"/>
        <w:rPr>
          <w:rFonts w:ascii="Arial" w:hAnsi="Arial"/>
          <w:b/>
          <w:sz w:val="22"/>
          <w:szCs w:val="22"/>
        </w:rPr>
      </w:pPr>
      <w:r w:rsidRPr="009B6653">
        <w:rPr>
          <w:rFonts w:ascii="Arial" w:hAnsi="Arial"/>
          <w:b/>
          <w:sz w:val="22"/>
          <w:szCs w:val="22"/>
        </w:rPr>
        <w:t>Requested listing</w:t>
      </w:r>
    </w:p>
    <w:p w:rsidR="00DC056F" w:rsidRPr="009B6653" w:rsidRDefault="00DC056F" w:rsidP="00DC056F">
      <w:pPr>
        <w:jc w:val="both"/>
        <w:rPr>
          <w:rFonts w:ascii="Arial" w:hAnsi="Arial"/>
          <w:b/>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 xml:space="preserve">The main differences to the July 2013 submission are: 1) change from first line to second line listing; 2) two alternate initiation criteria; 3) an additional </w:t>
      </w:r>
      <w:r w:rsidR="005022D5">
        <w:rPr>
          <w:rFonts w:ascii="Arial" w:hAnsi="Arial" w:cs="Arial"/>
          <w:noProof/>
          <w:color w:val="000000"/>
          <w:sz w:val="22"/>
          <w:szCs w:val="22"/>
          <w:highlight w:val="black"/>
        </w:rPr>
        <w:t>'''''</w:t>
      </w:r>
      <w:r w:rsidRPr="0007072F">
        <w:rPr>
          <w:rFonts w:ascii="Arial" w:hAnsi="Arial" w:cs="Arial"/>
          <w:sz w:val="22"/>
          <w:szCs w:val="22"/>
        </w:rPr>
        <w:t>%</w:t>
      </w:r>
      <w:r w:rsidRPr="009B6653">
        <w:rPr>
          <w:rFonts w:ascii="Arial" w:hAnsi="Arial" w:cs="Arial"/>
          <w:sz w:val="22"/>
          <w:szCs w:val="22"/>
        </w:rPr>
        <w:t xml:space="preserve"> price reduction via risk sharing; 4) a new continuation criteria; and 5) six months rather than three months initial treatment.</w:t>
      </w:r>
      <w:r w:rsidRPr="009B6653">
        <w:rPr>
          <w:rFonts w:ascii="Arial" w:hAnsi="Arial" w:cs="Arial"/>
          <w:color w:val="FF0000"/>
          <w:sz w:val="22"/>
          <w:szCs w:val="22"/>
        </w:rPr>
        <w:t xml:space="preserve"> </w:t>
      </w:r>
    </w:p>
    <w:p w:rsidR="00DC056F" w:rsidRPr="009B6653" w:rsidRDefault="00DC056F" w:rsidP="00DC056F">
      <w:pPr>
        <w:rPr>
          <w:rFonts w:ascii="Arial" w:hAnsi="Arial" w:cs="Arial"/>
          <w:sz w:val="22"/>
          <w:szCs w:val="22"/>
        </w:rPr>
      </w:pPr>
    </w:p>
    <w:tbl>
      <w:tblPr>
        <w:tblW w:w="8284" w:type="dxa"/>
        <w:tblInd w:w="822" w:type="dxa"/>
        <w:tblLayout w:type="fixed"/>
        <w:tblCellMar>
          <w:left w:w="113" w:type="dxa"/>
          <w:right w:w="85" w:type="dxa"/>
        </w:tblCellMar>
        <w:tblLook w:val="0000" w:firstRow="0" w:lastRow="0" w:firstColumn="0" w:lastColumn="0" w:noHBand="0" w:noVBand="0"/>
        <w:tblDescription w:val="Requested listing"/>
      </w:tblPr>
      <w:tblGrid>
        <w:gridCol w:w="3189"/>
        <w:gridCol w:w="1276"/>
        <w:gridCol w:w="1056"/>
        <w:gridCol w:w="1488"/>
        <w:gridCol w:w="1275"/>
      </w:tblGrid>
      <w:tr w:rsidR="00FD36E9" w:rsidRPr="009B6653" w:rsidTr="00FD36E9">
        <w:trPr>
          <w:trHeight w:val="499"/>
        </w:trPr>
        <w:tc>
          <w:tcPr>
            <w:tcW w:w="3189" w:type="dxa"/>
            <w:tcBorders>
              <w:bottom w:val="single" w:sz="4" w:space="0" w:color="auto"/>
            </w:tcBorders>
          </w:tcPr>
          <w:p w:rsidR="00FD36E9" w:rsidRPr="009B6653" w:rsidRDefault="00FD36E9" w:rsidP="00FD7377">
            <w:pPr>
              <w:keepNext/>
              <w:ind w:left="-108"/>
              <w:rPr>
                <w:rFonts w:ascii="Arial" w:hAnsi="Arial" w:cs="Arial"/>
                <w:sz w:val="20"/>
                <w:szCs w:val="20"/>
              </w:rPr>
            </w:pPr>
            <w:r w:rsidRPr="009B6653">
              <w:rPr>
                <w:rFonts w:ascii="Arial" w:hAnsi="Arial" w:cs="Arial"/>
                <w:sz w:val="20"/>
                <w:szCs w:val="20"/>
              </w:rPr>
              <w:t>Name, Restriction,</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Manner of administration and form</w:t>
            </w:r>
          </w:p>
        </w:tc>
        <w:tc>
          <w:tcPr>
            <w:tcW w:w="1276" w:type="dxa"/>
            <w:tcBorders>
              <w:bottom w:val="single" w:sz="4" w:space="0" w:color="auto"/>
            </w:tcBorders>
          </w:tcPr>
          <w:p w:rsidR="00FD36E9" w:rsidRPr="009B6653" w:rsidRDefault="00FD36E9" w:rsidP="00FD7377">
            <w:pPr>
              <w:keepNext/>
              <w:ind w:left="-108"/>
              <w:jc w:val="center"/>
              <w:rPr>
                <w:rFonts w:ascii="Arial" w:hAnsi="Arial" w:cs="Arial"/>
                <w:sz w:val="20"/>
                <w:szCs w:val="20"/>
              </w:rPr>
            </w:pPr>
            <w:r w:rsidRPr="009B6653">
              <w:rPr>
                <w:rFonts w:ascii="Arial" w:hAnsi="Arial" w:cs="Arial"/>
                <w:sz w:val="20"/>
                <w:szCs w:val="20"/>
              </w:rPr>
              <w:t>Max.</w:t>
            </w:r>
          </w:p>
          <w:p w:rsidR="00FD36E9" w:rsidRPr="009B6653" w:rsidRDefault="00FD36E9" w:rsidP="00FD7377">
            <w:pPr>
              <w:keepNext/>
              <w:ind w:left="-108"/>
              <w:jc w:val="center"/>
              <w:rPr>
                <w:rFonts w:ascii="Arial" w:hAnsi="Arial" w:cs="Arial"/>
                <w:sz w:val="20"/>
                <w:szCs w:val="20"/>
              </w:rPr>
            </w:pPr>
            <w:proofErr w:type="spellStart"/>
            <w:r w:rsidRPr="009B6653">
              <w:rPr>
                <w:rFonts w:ascii="Arial" w:hAnsi="Arial" w:cs="Arial"/>
                <w:sz w:val="20"/>
                <w:szCs w:val="20"/>
              </w:rPr>
              <w:t>Qty</w:t>
            </w:r>
            <w:proofErr w:type="spellEnd"/>
          </w:p>
        </w:tc>
        <w:tc>
          <w:tcPr>
            <w:tcW w:w="1056" w:type="dxa"/>
            <w:tcBorders>
              <w:bottom w:val="single" w:sz="4" w:space="0" w:color="auto"/>
            </w:tcBorders>
          </w:tcPr>
          <w:p w:rsidR="00FD36E9" w:rsidRPr="009B6653" w:rsidRDefault="00FD36E9" w:rsidP="00FD7377">
            <w:pPr>
              <w:keepNext/>
              <w:ind w:left="-108"/>
              <w:rPr>
                <w:rFonts w:ascii="Arial" w:hAnsi="Arial" w:cs="Arial"/>
                <w:sz w:val="20"/>
                <w:szCs w:val="20"/>
              </w:rPr>
            </w:pPr>
            <w:r w:rsidRPr="009B6653">
              <w:rPr>
                <w:rFonts w:ascii="Arial" w:hAnsi="Arial" w:cs="Arial"/>
                <w:sz w:val="20"/>
                <w:szCs w:val="20"/>
              </w:rPr>
              <w:t>№.of</w:t>
            </w:r>
          </w:p>
          <w:p w:rsidR="00FD36E9" w:rsidRPr="009B6653" w:rsidRDefault="00FD36E9" w:rsidP="00FD7377">
            <w:pPr>
              <w:keepNext/>
              <w:ind w:left="-108"/>
              <w:rPr>
                <w:rFonts w:ascii="Arial" w:hAnsi="Arial" w:cs="Arial"/>
                <w:sz w:val="20"/>
                <w:szCs w:val="20"/>
              </w:rPr>
            </w:pPr>
            <w:proofErr w:type="spellStart"/>
            <w:r w:rsidRPr="009B6653">
              <w:rPr>
                <w:rFonts w:ascii="Arial" w:hAnsi="Arial" w:cs="Arial"/>
                <w:sz w:val="20"/>
                <w:szCs w:val="20"/>
              </w:rPr>
              <w:t>Rpts</w:t>
            </w:r>
            <w:proofErr w:type="spellEnd"/>
          </w:p>
        </w:tc>
        <w:tc>
          <w:tcPr>
            <w:tcW w:w="2763" w:type="dxa"/>
            <w:gridSpan w:val="2"/>
            <w:tcBorders>
              <w:bottom w:val="single" w:sz="4" w:space="0" w:color="auto"/>
            </w:tcBorders>
          </w:tcPr>
          <w:p w:rsidR="00FD36E9" w:rsidRPr="009B6653" w:rsidRDefault="00FD36E9" w:rsidP="00FD7377">
            <w:pPr>
              <w:keepNext/>
              <w:rPr>
                <w:rFonts w:ascii="Arial" w:hAnsi="Arial" w:cs="Arial"/>
                <w:sz w:val="20"/>
                <w:szCs w:val="20"/>
                <w:lang w:val="fr-FR"/>
              </w:rPr>
            </w:pPr>
            <w:r w:rsidRPr="009B6653">
              <w:rPr>
                <w:rFonts w:ascii="Arial" w:hAnsi="Arial" w:cs="Arial"/>
                <w:sz w:val="20"/>
                <w:szCs w:val="20"/>
              </w:rPr>
              <w:t>Proprietary Name and Manufacturer</w:t>
            </w:r>
          </w:p>
        </w:tc>
      </w:tr>
      <w:tr w:rsidR="00FD36E9" w:rsidRPr="009B6653" w:rsidTr="00FD36E9">
        <w:trPr>
          <w:trHeight w:val="611"/>
        </w:trPr>
        <w:tc>
          <w:tcPr>
            <w:tcW w:w="3189" w:type="dxa"/>
          </w:tcPr>
          <w:p w:rsidR="00FD36E9" w:rsidRPr="009B6653" w:rsidRDefault="00FD36E9" w:rsidP="00FD7377">
            <w:pPr>
              <w:keepNext/>
              <w:ind w:left="-108"/>
              <w:rPr>
                <w:rFonts w:ascii="Arial" w:hAnsi="Arial" w:cs="Arial"/>
                <w:sz w:val="20"/>
                <w:szCs w:val="20"/>
              </w:rPr>
            </w:pPr>
            <w:proofErr w:type="spellStart"/>
            <w:r w:rsidRPr="009B6653">
              <w:rPr>
                <w:rFonts w:ascii="Arial" w:hAnsi="Arial" w:cs="Arial"/>
                <w:smallCaps/>
                <w:sz w:val="20"/>
                <w:szCs w:val="20"/>
              </w:rPr>
              <w:t>Ruxolitinib</w:t>
            </w:r>
            <w:proofErr w:type="spellEnd"/>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Tablet 5 mg</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Tablet 5 mg</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Tablet 15 mg</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Tablet 20 mg</w:t>
            </w:r>
          </w:p>
        </w:tc>
        <w:tc>
          <w:tcPr>
            <w:tcW w:w="1276" w:type="dxa"/>
          </w:tcPr>
          <w:p w:rsidR="00FD36E9" w:rsidRPr="009B6653" w:rsidRDefault="00FD36E9" w:rsidP="00FD7377">
            <w:pPr>
              <w:keepNext/>
              <w:ind w:left="-108"/>
              <w:rPr>
                <w:rFonts w:ascii="Arial" w:hAnsi="Arial" w:cs="Arial"/>
                <w:sz w:val="20"/>
                <w:szCs w:val="20"/>
              </w:rPr>
            </w:pPr>
          </w:p>
          <w:p w:rsidR="00FD36E9" w:rsidRPr="009B6653" w:rsidRDefault="00FD36E9" w:rsidP="00FD7377">
            <w:pPr>
              <w:keepNext/>
              <w:ind w:left="-108"/>
              <w:jc w:val="center"/>
              <w:rPr>
                <w:rFonts w:ascii="Arial" w:hAnsi="Arial" w:cs="Arial"/>
                <w:sz w:val="20"/>
                <w:szCs w:val="20"/>
              </w:rPr>
            </w:pPr>
            <w:r w:rsidRPr="009B6653">
              <w:rPr>
                <w:rFonts w:ascii="Arial" w:hAnsi="Arial" w:cs="Arial"/>
                <w:sz w:val="20"/>
                <w:szCs w:val="20"/>
              </w:rPr>
              <w:t>56</w:t>
            </w:r>
          </w:p>
          <w:p w:rsidR="00FD36E9" w:rsidRPr="009B6653" w:rsidRDefault="00FD36E9" w:rsidP="00FD7377">
            <w:pPr>
              <w:keepNext/>
              <w:ind w:left="-108"/>
              <w:jc w:val="center"/>
              <w:rPr>
                <w:rFonts w:ascii="Arial" w:hAnsi="Arial" w:cs="Arial"/>
                <w:sz w:val="20"/>
                <w:szCs w:val="20"/>
              </w:rPr>
            </w:pPr>
            <w:r w:rsidRPr="009B6653">
              <w:rPr>
                <w:rFonts w:ascii="Arial" w:hAnsi="Arial" w:cs="Arial"/>
                <w:sz w:val="20"/>
                <w:szCs w:val="20"/>
              </w:rPr>
              <w:t>112</w:t>
            </w:r>
          </w:p>
          <w:p w:rsidR="00FD36E9" w:rsidRPr="009B6653" w:rsidRDefault="00FD36E9" w:rsidP="00FD7377">
            <w:pPr>
              <w:keepNext/>
              <w:ind w:left="-108"/>
              <w:jc w:val="center"/>
              <w:rPr>
                <w:rFonts w:ascii="Arial" w:hAnsi="Arial" w:cs="Arial"/>
                <w:sz w:val="20"/>
                <w:szCs w:val="20"/>
              </w:rPr>
            </w:pPr>
            <w:r w:rsidRPr="009B6653">
              <w:rPr>
                <w:rFonts w:ascii="Arial" w:hAnsi="Arial" w:cs="Arial"/>
                <w:sz w:val="20"/>
                <w:szCs w:val="20"/>
              </w:rPr>
              <w:t>56</w:t>
            </w:r>
          </w:p>
          <w:p w:rsidR="00FD36E9" w:rsidRPr="009B6653" w:rsidRDefault="00FD36E9" w:rsidP="00FD7377">
            <w:pPr>
              <w:keepNext/>
              <w:ind w:left="-108"/>
              <w:jc w:val="center"/>
              <w:rPr>
                <w:rFonts w:ascii="Arial" w:hAnsi="Arial" w:cs="Arial"/>
                <w:sz w:val="20"/>
                <w:szCs w:val="20"/>
              </w:rPr>
            </w:pPr>
            <w:r w:rsidRPr="009B6653">
              <w:rPr>
                <w:rFonts w:ascii="Arial" w:hAnsi="Arial" w:cs="Arial"/>
                <w:sz w:val="20"/>
                <w:szCs w:val="20"/>
              </w:rPr>
              <w:t>56</w:t>
            </w:r>
          </w:p>
        </w:tc>
        <w:tc>
          <w:tcPr>
            <w:tcW w:w="1056" w:type="dxa"/>
          </w:tcPr>
          <w:p w:rsidR="00FD36E9" w:rsidRPr="009B6653" w:rsidRDefault="00FD36E9" w:rsidP="00FD7377">
            <w:pPr>
              <w:keepNext/>
              <w:ind w:left="-108"/>
              <w:rPr>
                <w:rFonts w:ascii="Arial" w:hAnsi="Arial" w:cs="Arial"/>
                <w:sz w:val="20"/>
                <w:szCs w:val="20"/>
              </w:rPr>
            </w:pP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5</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5</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5</w:t>
            </w:r>
          </w:p>
          <w:p w:rsidR="00FD36E9" w:rsidRPr="009B6653" w:rsidRDefault="00FD36E9" w:rsidP="00FD7377">
            <w:pPr>
              <w:keepNext/>
              <w:ind w:left="-108"/>
              <w:rPr>
                <w:rFonts w:ascii="Arial" w:hAnsi="Arial" w:cs="Arial"/>
                <w:sz w:val="20"/>
                <w:szCs w:val="20"/>
              </w:rPr>
            </w:pPr>
            <w:r w:rsidRPr="009B6653">
              <w:rPr>
                <w:rFonts w:ascii="Arial" w:hAnsi="Arial" w:cs="Arial"/>
                <w:sz w:val="20"/>
                <w:szCs w:val="20"/>
              </w:rPr>
              <w:t>5</w:t>
            </w:r>
          </w:p>
        </w:tc>
        <w:tc>
          <w:tcPr>
            <w:tcW w:w="1488" w:type="dxa"/>
          </w:tcPr>
          <w:p w:rsidR="00FD36E9" w:rsidRPr="009B6653" w:rsidRDefault="00FD36E9" w:rsidP="00FD7377">
            <w:pPr>
              <w:keepNext/>
              <w:rPr>
                <w:rFonts w:ascii="Arial" w:hAnsi="Arial" w:cs="Arial"/>
                <w:sz w:val="20"/>
                <w:szCs w:val="20"/>
              </w:rPr>
            </w:pPr>
          </w:p>
          <w:p w:rsidR="00FD36E9" w:rsidRPr="009B6653" w:rsidRDefault="00FD36E9" w:rsidP="00FD7377">
            <w:pPr>
              <w:keepNext/>
              <w:rPr>
                <w:rFonts w:ascii="Arial" w:hAnsi="Arial" w:cs="Arial"/>
                <w:sz w:val="20"/>
                <w:szCs w:val="20"/>
                <w:vertAlign w:val="superscript"/>
              </w:rPr>
            </w:pPr>
            <w:proofErr w:type="spellStart"/>
            <w:r w:rsidRPr="009B6653">
              <w:rPr>
                <w:rFonts w:ascii="Arial" w:hAnsi="Arial" w:cs="Arial"/>
                <w:sz w:val="20"/>
                <w:szCs w:val="20"/>
              </w:rPr>
              <w:t>Jakavi</w:t>
            </w:r>
            <w:proofErr w:type="spellEnd"/>
            <w:r w:rsidRPr="009B6653">
              <w:rPr>
                <w:rFonts w:ascii="Arial" w:hAnsi="Arial" w:cs="Arial"/>
                <w:sz w:val="20"/>
                <w:szCs w:val="20"/>
                <w:vertAlign w:val="superscript"/>
              </w:rPr>
              <w:t>®</w:t>
            </w:r>
          </w:p>
          <w:p w:rsidR="00FD36E9" w:rsidRPr="009B6653" w:rsidRDefault="00FD36E9" w:rsidP="00FD7377">
            <w:pPr>
              <w:keepNext/>
              <w:rPr>
                <w:rFonts w:ascii="Arial" w:hAnsi="Arial" w:cs="Arial"/>
                <w:sz w:val="20"/>
                <w:szCs w:val="20"/>
                <w:vertAlign w:val="superscript"/>
              </w:rPr>
            </w:pPr>
            <w:proofErr w:type="spellStart"/>
            <w:r w:rsidRPr="009B6653">
              <w:rPr>
                <w:rFonts w:ascii="Arial" w:hAnsi="Arial" w:cs="Arial"/>
                <w:sz w:val="20"/>
                <w:szCs w:val="20"/>
              </w:rPr>
              <w:t>Jakavi</w:t>
            </w:r>
            <w:proofErr w:type="spellEnd"/>
            <w:r w:rsidRPr="009B6653">
              <w:rPr>
                <w:rFonts w:ascii="Arial" w:hAnsi="Arial" w:cs="Arial"/>
                <w:sz w:val="20"/>
                <w:szCs w:val="20"/>
                <w:vertAlign w:val="superscript"/>
              </w:rPr>
              <w:t>®</w:t>
            </w:r>
          </w:p>
          <w:p w:rsidR="00FD36E9" w:rsidRPr="009B6653" w:rsidRDefault="00FD36E9" w:rsidP="00FD7377">
            <w:pPr>
              <w:keepNext/>
              <w:rPr>
                <w:rFonts w:ascii="Arial" w:hAnsi="Arial" w:cs="Arial"/>
                <w:sz w:val="20"/>
                <w:szCs w:val="20"/>
                <w:vertAlign w:val="superscript"/>
              </w:rPr>
            </w:pPr>
            <w:proofErr w:type="spellStart"/>
            <w:r w:rsidRPr="009B6653">
              <w:rPr>
                <w:rFonts w:ascii="Arial" w:hAnsi="Arial" w:cs="Arial"/>
                <w:sz w:val="20"/>
                <w:szCs w:val="20"/>
              </w:rPr>
              <w:t>Jakavi</w:t>
            </w:r>
            <w:proofErr w:type="spellEnd"/>
            <w:r w:rsidRPr="009B6653">
              <w:rPr>
                <w:rFonts w:ascii="Arial" w:hAnsi="Arial" w:cs="Arial"/>
                <w:sz w:val="20"/>
                <w:szCs w:val="20"/>
                <w:vertAlign w:val="superscript"/>
              </w:rPr>
              <w:t>®</w:t>
            </w:r>
          </w:p>
          <w:p w:rsidR="00FD36E9" w:rsidRPr="009B6653" w:rsidRDefault="00FD36E9" w:rsidP="00FD7377">
            <w:pPr>
              <w:keepNext/>
              <w:rPr>
                <w:rFonts w:ascii="Arial" w:hAnsi="Arial" w:cs="Arial"/>
                <w:sz w:val="20"/>
                <w:szCs w:val="20"/>
                <w:vertAlign w:val="superscript"/>
              </w:rPr>
            </w:pPr>
            <w:proofErr w:type="spellStart"/>
            <w:r w:rsidRPr="009B6653">
              <w:rPr>
                <w:rFonts w:ascii="Arial" w:hAnsi="Arial" w:cs="Arial"/>
                <w:sz w:val="20"/>
                <w:szCs w:val="20"/>
              </w:rPr>
              <w:t>Jakavi</w:t>
            </w:r>
            <w:proofErr w:type="spellEnd"/>
            <w:r w:rsidRPr="009B6653">
              <w:rPr>
                <w:rFonts w:ascii="Arial" w:hAnsi="Arial" w:cs="Arial"/>
                <w:sz w:val="20"/>
                <w:szCs w:val="20"/>
                <w:vertAlign w:val="superscript"/>
              </w:rPr>
              <w:t>®</w:t>
            </w:r>
          </w:p>
        </w:tc>
        <w:tc>
          <w:tcPr>
            <w:tcW w:w="1275" w:type="dxa"/>
          </w:tcPr>
          <w:p w:rsidR="00FD36E9" w:rsidRPr="009B6653" w:rsidRDefault="00FD36E9" w:rsidP="00FD7377">
            <w:pPr>
              <w:keepNext/>
              <w:rPr>
                <w:rFonts w:ascii="Arial" w:hAnsi="Arial" w:cs="Arial"/>
                <w:sz w:val="20"/>
                <w:szCs w:val="20"/>
              </w:rPr>
            </w:pPr>
          </w:p>
          <w:p w:rsidR="00FD36E9" w:rsidRPr="009B6653" w:rsidRDefault="00FD36E9" w:rsidP="00FD7377">
            <w:pPr>
              <w:keepNext/>
              <w:rPr>
                <w:rFonts w:ascii="Arial" w:hAnsi="Arial" w:cs="Arial"/>
                <w:sz w:val="20"/>
                <w:szCs w:val="20"/>
              </w:rPr>
            </w:pPr>
            <w:r w:rsidRPr="009B6653">
              <w:rPr>
                <w:rFonts w:ascii="Arial" w:hAnsi="Arial" w:cs="Arial"/>
                <w:sz w:val="20"/>
                <w:szCs w:val="20"/>
              </w:rPr>
              <w:t>NM</w:t>
            </w:r>
          </w:p>
          <w:p w:rsidR="00FD36E9" w:rsidRPr="009B6653" w:rsidRDefault="00FD36E9" w:rsidP="00FD7377">
            <w:pPr>
              <w:keepNext/>
              <w:rPr>
                <w:rFonts w:ascii="Arial" w:hAnsi="Arial" w:cs="Arial"/>
                <w:sz w:val="20"/>
                <w:szCs w:val="20"/>
              </w:rPr>
            </w:pPr>
            <w:r w:rsidRPr="009B6653">
              <w:rPr>
                <w:rFonts w:ascii="Arial" w:hAnsi="Arial" w:cs="Arial"/>
                <w:sz w:val="20"/>
                <w:szCs w:val="20"/>
              </w:rPr>
              <w:t>NM</w:t>
            </w:r>
          </w:p>
          <w:p w:rsidR="00FD36E9" w:rsidRPr="009B6653" w:rsidRDefault="00FD36E9" w:rsidP="00FD7377">
            <w:pPr>
              <w:keepNext/>
              <w:rPr>
                <w:rFonts w:ascii="Arial" w:hAnsi="Arial" w:cs="Arial"/>
                <w:sz w:val="20"/>
                <w:szCs w:val="20"/>
              </w:rPr>
            </w:pPr>
            <w:r w:rsidRPr="009B6653">
              <w:rPr>
                <w:rFonts w:ascii="Arial" w:hAnsi="Arial" w:cs="Arial"/>
                <w:sz w:val="20"/>
                <w:szCs w:val="20"/>
              </w:rPr>
              <w:t>NM</w:t>
            </w:r>
          </w:p>
          <w:p w:rsidR="00FD36E9" w:rsidRPr="009B6653" w:rsidRDefault="00FD36E9" w:rsidP="00FD7377">
            <w:pPr>
              <w:keepNext/>
              <w:rPr>
                <w:rFonts w:ascii="Arial" w:hAnsi="Arial" w:cs="Arial"/>
                <w:sz w:val="20"/>
                <w:szCs w:val="20"/>
              </w:rPr>
            </w:pPr>
            <w:r w:rsidRPr="009B6653">
              <w:rPr>
                <w:rFonts w:ascii="Arial" w:hAnsi="Arial" w:cs="Arial"/>
                <w:sz w:val="20"/>
                <w:szCs w:val="20"/>
              </w:rPr>
              <w:t>NM</w:t>
            </w:r>
          </w:p>
        </w:tc>
      </w:tr>
      <w:tr w:rsidR="00FD36E9" w:rsidRPr="009B6653" w:rsidTr="00FD36E9">
        <w:trPr>
          <w:trHeight w:val="611"/>
        </w:trPr>
        <w:tc>
          <w:tcPr>
            <w:tcW w:w="3189" w:type="dxa"/>
          </w:tcPr>
          <w:p w:rsidR="00FD36E9" w:rsidRDefault="00FD36E9" w:rsidP="00FD7377">
            <w:pPr>
              <w:keepNext/>
              <w:ind w:left="-108"/>
              <w:rPr>
                <w:rFonts w:ascii="Arial" w:hAnsi="Arial" w:cs="Arial"/>
                <w:smallCaps/>
                <w:sz w:val="20"/>
                <w:szCs w:val="20"/>
              </w:rPr>
            </w:pPr>
          </w:p>
          <w:p w:rsidR="00FD36E9" w:rsidRPr="009B6653" w:rsidRDefault="00FD36E9" w:rsidP="00FD7377">
            <w:pPr>
              <w:keepNext/>
              <w:ind w:left="-108"/>
              <w:rPr>
                <w:rFonts w:ascii="Arial" w:hAnsi="Arial" w:cs="Arial"/>
                <w:smallCaps/>
                <w:sz w:val="20"/>
                <w:szCs w:val="20"/>
              </w:rPr>
            </w:pPr>
          </w:p>
        </w:tc>
        <w:tc>
          <w:tcPr>
            <w:tcW w:w="1276" w:type="dxa"/>
          </w:tcPr>
          <w:p w:rsidR="00FD36E9" w:rsidRPr="009B6653" w:rsidRDefault="00FD36E9" w:rsidP="00FD7377">
            <w:pPr>
              <w:keepNext/>
              <w:ind w:left="-108"/>
              <w:rPr>
                <w:rFonts w:ascii="Arial" w:hAnsi="Arial" w:cs="Arial"/>
                <w:sz w:val="20"/>
                <w:szCs w:val="20"/>
              </w:rPr>
            </w:pPr>
          </w:p>
        </w:tc>
        <w:tc>
          <w:tcPr>
            <w:tcW w:w="1056" w:type="dxa"/>
          </w:tcPr>
          <w:p w:rsidR="00FD36E9" w:rsidRPr="009B6653" w:rsidRDefault="00FD36E9" w:rsidP="00FD7377">
            <w:pPr>
              <w:keepNext/>
              <w:ind w:left="-108"/>
              <w:rPr>
                <w:rFonts w:ascii="Arial" w:hAnsi="Arial" w:cs="Arial"/>
                <w:sz w:val="20"/>
                <w:szCs w:val="20"/>
              </w:rPr>
            </w:pPr>
          </w:p>
        </w:tc>
        <w:tc>
          <w:tcPr>
            <w:tcW w:w="1488" w:type="dxa"/>
          </w:tcPr>
          <w:p w:rsidR="00FD36E9" w:rsidRPr="009B6653" w:rsidRDefault="00FD36E9" w:rsidP="00FD7377">
            <w:pPr>
              <w:keepNext/>
              <w:rPr>
                <w:rFonts w:ascii="Arial" w:hAnsi="Arial" w:cs="Arial"/>
                <w:sz w:val="20"/>
                <w:szCs w:val="20"/>
              </w:rPr>
            </w:pPr>
          </w:p>
        </w:tc>
        <w:tc>
          <w:tcPr>
            <w:tcW w:w="1275" w:type="dxa"/>
          </w:tcPr>
          <w:p w:rsidR="00FD36E9" w:rsidRPr="009B6653" w:rsidRDefault="00FD36E9" w:rsidP="00FD7377">
            <w:pPr>
              <w:keepNext/>
              <w:rPr>
                <w:rFonts w:ascii="Arial" w:hAnsi="Arial" w:cs="Arial"/>
                <w:sz w:val="20"/>
                <w:szCs w:val="20"/>
              </w:rPr>
            </w:pPr>
          </w:p>
        </w:tc>
      </w:tr>
    </w:tbl>
    <w:p w:rsidR="00FD36E9" w:rsidRPr="00FD36E9" w:rsidRDefault="00FD36E9" w:rsidP="00FD36E9">
      <w:pPr>
        <w:ind w:firstLine="720"/>
        <w:rPr>
          <w:rFonts w:ascii="Arial Narrow" w:hAnsi="Arial Narrow"/>
          <w:b/>
          <w:sz w:val="20"/>
        </w:rPr>
      </w:pPr>
      <w:r w:rsidRPr="00FD36E9">
        <w:rPr>
          <w:rFonts w:ascii="Arial Narrow" w:hAnsi="Arial Narrow"/>
          <w:b/>
          <w:sz w:val="20"/>
        </w:rPr>
        <w:t>Option 1 (trial based)</w:t>
      </w:r>
    </w:p>
    <w:tbl>
      <w:tblPr>
        <w:tblW w:w="8104" w:type="dxa"/>
        <w:tblInd w:w="940" w:type="dxa"/>
        <w:tblLayout w:type="fixed"/>
        <w:tblLook w:val="0000" w:firstRow="0" w:lastRow="0" w:firstColumn="0" w:lastColumn="0" w:noHBand="0" w:noVBand="0"/>
        <w:tblDescription w:val="Restriction for Option 1 (trial based)"/>
      </w:tblPr>
      <w:tblGrid>
        <w:gridCol w:w="1520"/>
        <w:gridCol w:w="6584"/>
      </w:tblGrid>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Condition:</w:t>
            </w: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proofErr w:type="spellStart"/>
            <w:r w:rsidRPr="009B6653">
              <w:rPr>
                <w:rFonts w:ascii="Arial Narrow" w:hAnsi="Arial Narrow"/>
                <w:sz w:val="20"/>
              </w:rPr>
              <w:t>Myelofibrosis</w:t>
            </w:r>
            <w:proofErr w:type="spellEnd"/>
          </w:p>
        </w:tc>
      </w:tr>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Treatment phase:</w:t>
            </w: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 xml:space="preserve">Initial </w:t>
            </w:r>
          </w:p>
        </w:tc>
      </w:tr>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Severity</w:t>
            </w: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Intermediate-2 or high risk</w:t>
            </w:r>
          </w:p>
        </w:tc>
      </w:tr>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Restriction:</w:t>
            </w: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Authority Required</w:t>
            </w:r>
          </w:p>
        </w:tc>
      </w:tr>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Clinical criteria:</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sz w:val="20"/>
              </w:rPr>
            </w:pP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i/>
                <w:sz w:val="20"/>
              </w:rPr>
            </w:pPr>
            <w:r w:rsidRPr="009B6653">
              <w:rPr>
                <w:rFonts w:ascii="Arial Narrow" w:hAnsi="Arial Narrow"/>
                <w:i/>
                <w:sz w:val="20"/>
              </w:rPr>
              <w:t>Patient must be resistant, refractory, intolerant or not a candidate for available therapy</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AND</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sz w:val="20"/>
              </w:rPr>
            </w:pPr>
            <w:r w:rsidRPr="009B6653">
              <w:rPr>
                <w:rFonts w:ascii="Arial Narrow" w:hAnsi="Arial Narrow"/>
                <w:i/>
                <w:sz w:val="20"/>
              </w:rPr>
              <w:t>Patient must have splenomegaly defined as a spleen palpable ≥ 5cm from the left costal margin</w:t>
            </w:r>
          </w:p>
        </w:tc>
      </w:tr>
      <w:tr w:rsidR="00FD36E9" w:rsidRPr="009B6653" w:rsidTr="00FD36E9">
        <w:trPr>
          <w:cantSplit/>
          <w:trHeight w:val="371"/>
        </w:trPr>
        <w:tc>
          <w:tcPr>
            <w:tcW w:w="1520"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Administrative Advice</w:t>
            </w:r>
          </w:p>
          <w:p w:rsidR="00FD36E9" w:rsidRPr="009B6653" w:rsidRDefault="00FD36E9" w:rsidP="00FD36E9">
            <w:pPr>
              <w:rPr>
                <w:rFonts w:ascii="Arial Narrow" w:hAnsi="Arial Narrow"/>
                <w:i/>
                <w:sz w:val="20"/>
              </w:rPr>
            </w:pPr>
          </w:p>
        </w:tc>
        <w:tc>
          <w:tcPr>
            <w:tcW w:w="6584"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i/>
                <w:sz w:val="20"/>
              </w:rPr>
            </w:pPr>
            <w:r w:rsidRPr="009B6653">
              <w:rPr>
                <w:rFonts w:ascii="Arial Narrow" w:hAnsi="Arial Narrow"/>
                <w:i/>
                <w:sz w:val="20"/>
              </w:rPr>
              <w:t xml:space="preserve">Risk of </w:t>
            </w:r>
            <w:proofErr w:type="spellStart"/>
            <w:r w:rsidRPr="009B6653">
              <w:rPr>
                <w:rFonts w:ascii="Arial Narrow" w:hAnsi="Arial Narrow"/>
                <w:i/>
                <w:sz w:val="20"/>
              </w:rPr>
              <w:t>myelofibrosis</w:t>
            </w:r>
            <w:proofErr w:type="spellEnd"/>
            <w:r w:rsidRPr="009B6653">
              <w:rPr>
                <w:rFonts w:ascii="Arial Narrow" w:hAnsi="Arial Narrow"/>
                <w:i/>
                <w:sz w:val="20"/>
              </w:rPr>
              <w:t xml:space="preserve"> is defined in accordance with the International Prognostic Scoring System (IPSS)</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No increase in the maximum quantity or  number of units may be authorised</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No increase in the maximum number of repeats may be authorised</w:t>
            </w:r>
          </w:p>
        </w:tc>
      </w:tr>
    </w:tbl>
    <w:p w:rsidR="00FD36E9" w:rsidRPr="00FD36E9" w:rsidRDefault="00FD36E9" w:rsidP="00FD36E9">
      <w:pPr>
        <w:tabs>
          <w:tab w:val="left" w:pos="-250"/>
        </w:tabs>
        <w:rPr>
          <w:rFonts w:ascii="Arial Narrow" w:hAnsi="Arial Narrow"/>
          <w:b/>
          <w:sz w:val="20"/>
          <w:u w:val="single"/>
        </w:rPr>
      </w:pPr>
    </w:p>
    <w:p w:rsidR="00FD36E9" w:rsidRPr="00FD36E9" w:rsidRDefault="00FD36E9" w:rsidP="00FD36E9">
      <w:pPr>
        <w:tabs>
          <w:tab w:val="left" w:pos="-250"/>
        </w:tabs>
        <w:rPr>
          <w:rFonts w:ascii="Arial Narrow" w:hAnsi="Arial Narrow"/>
          <w:b/>
          <w:sz w:val="20"/>
          <w:u w:val="single"/>
        </w:rPr>
      </w:pPr>
    </w:p>
    <w:p w:rsidR="00FD36E9" w:rsidRPr="00FD36E9" w:rsidRDefault="00FD36E9" w:rsidP="00FD36E9">
      <w:pPr>
        <w:tabs>
          <w:tab w:val="left" w:pos="-250"/>
        </w:tabs>
        <w:rPr>
          <w:rFonts w:ascii="Arial Narrow" w:hAnsi="Arial Narrow"/>
          <w:b/>
          <w:sz w:val="20"/>
        </w:rPr>
      </w:pPr>
      <w:r>
        <w:rPr>
          <w:rFonts w:ascii="Arial Narrow" w:hAnsi="Arial Narrow"/>
          <w:b/>
          <w:sz w:val="20"/>
        </w:rPr>
        <w:tab/>
      </w:r>
      <w:r w:rsidRPr="00FD36E9">
        <w:rPr>
          <w:rFonts w:ascii="Arial Narrow" w:hAnsi="Arial Narrow"/>
          <w:b/>
          <w:sz w:val="20"/>
        </w:rPr>
        <w:t>Option 2 (clinical needs based)</w:t>
      </w:r>
    </w:p>
    <w:p w:rsidR="00FD36E9" w:rsidRPr="00FD36E9" w:rsidRDefault="00FD36E9" w:rsidP="00FD36E9">
      <w:pPr>
        <w:tabs>
          <w:tab w:val="left" w:pos="-250"/>
        </w:tabs>
        <w:rPr>
          <w:rFonts w:ascii="Arial Narrow" w:hAnsi="Arial Narrow"/>
          <w:b/>
          <w:sz w:val="20"/>
        </w:rPr>
      </w:pPr>
    </w:p>
    <w:tbl>
      <w:tblPr>
        <w:tblW w:w="8080" w:type="dxa"/>
        <w:tblInd w:w="959" w:type="dxa"/>
        <w:tblLayout w:type="fixed"/>
        <w:tblLook w:val="0000" w:firstRow="0" w:lastRow="0" w:firstColumn="0" w:lastColumn="0" w:noHBand="0" w:noVBand="0"/>
        <w:tblDescription w:val="Restriction for Option 2 (clinical needs based)"/>
      </w:tblPr>
      <w:tblGrid>
        <w:gridCol w:w="1559"/>
        <w:gridCol w:w="6521"/>
      </w:tblGrid>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Condition:</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proofErr w:type="spellStart"/>
            <w:r w:rsidRPr="009B6653">
              <w:rPr>
                <w:rFonts w:ascii="Arial Narrow" w:hAnsi="Arial Narrow"/>
                <w:sz w:val="20"/>
              </w:rPr>
              <w:t>Myelofibrosis</w:t>
            </w:r>
            <w:proofErr w:type="spellEnd"/>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Treatment phase:</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 xml:space="preserve">Initial </w:t>
            </w:r>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Severity:</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Intermediate-1 risk</w:t>
            </w:r>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Restriction:</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Authority Required</w:t>
            </w:r>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lastRenderedPageBreak/>
              <w:t>Clinical criteria:</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sz w:val="20"/>
              </w:rPr>
            </w:pP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i/>
                <w:sz w:val="20"/>
              </w:rPr>
            </w:pPr>
            <w:r w:rsidRPr="009B6653">
              <w:rPr>
                <w:rFonts w:ascii="Arial Narrow" w:hAnsi="Arial Narrow"/>
                <w:i/>
                <w:sz w:val="20"/>
              </w:rPr>
              <w:t>Patient must be resistant, refractory, intolerant or not a candidate for available therapy</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AND</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 xml:space="preserve">Patient must have splenomegaly defined as a spleen palpable  ≥ 5cm from the left costal margin </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 xml:space="preserve">OR </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r w:rsidRPr="009B6653">
              <w:rPr>
                <w:rFonts w:ascii="Arial Narrow" w:hAnsi="Arial Narrow"/>
                <w:i/>
                <w:sz w:val="20"/>
              </w:rPr>
              <w:t>Patient must have disease related symptoms (e.g. bleeding, portal hypertension, infection, thrombosis or transformation to acute myeloid leukaemia).</w:t>
            </w:r>
          </w:p>
          <w:p w:rsidR="00FD36E9" w:rsidRPr="009B6653" w:rsidRDefault="00FD36E9" w:rsidP="00FD36E9">
            <w:pPr>
              <w:rPr>
                <w:rStyle w:val="TableText0"/>
                <w:i/>
              </w:rPr>
            </w:pPr>
          </w:p>
          <w:p w:rsidR="00FD36E9" w:rsidRPr="009B6653" w:rsidRDefault="00FD36E9" w:rsidP="00FD36E9">
            <w:pPr>
              <w:rPr>
                <w:rStyle w:val="TableText0"/>
                <w:i/>
              </w:rPr>
            </w:pPr>
            <w:r w:rsidRPr="009B6653">
              <w:rPr>
                <w:rStyle w:val="TableText0"/>
                <w:i/>
              </w:rPr>
              <w:t>AND</w:t>
            </w:r>
          </w:p>
          <w:p w:rsidR="00FD36E9" w:rsidRPr="009B6653" w:rsidRDefault="00FD36E9" w:rsidP="00FD36E9">
            <w:pPr>
              <w:rPr>
                <w:rStyle w:val="TableText0"/>
                <w:i/>
              </w:rPr>
            </w:pPr>
          </w:p>
          <w:p w:rsidR="00FD36E9" w:rsidRPr="009B6653" w:rsidRDefault="00FD36E9" w:rsidP="00FD36E9">
            <w:pPr>
              <w:rPr>
                <w:rStyle w:val="TableText0"/>
                <w:i/>
              </w:rPr>
            </w:pPr>
            <w:r w:rsidRPr="009B6653">
              <w:rPr>
                <w:rStyle w:val="TableText0"/>
                <w:i/>
              </w:rPr>
              <w:t>Patient must have splenomegaly defined as a spleen palpable ≥ 5cm from the left costal margin</w:t>
            </w:r>
          </w:p>
          <w:p w:rsidR="00FD36E9" w:rsidRPr="009B6653" w:rsidRDefault="00FD36E9" w:rsidP="00FD36E9">
            <w:pPr>
              <w:rPr>
                <w:rFonts w:ascii="Arial Narrow" w:hAnsi="Arial Narrow"/>
                <w:sz w:val="20"/>
              </w:rPr>
            </w:pPr>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Population criteria</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i/>
                <w:sz w:val="20"/>
              </w:rPr>
            </w:pPr>
            <w:r w:rsidRPr="009B6653">
              <w:rPr>
                <w:rFonts w:ascii="Arial Narrow" w:hAnsi="Arial Narrow"/>
                <w:i/>
                <w:sz w:val="20"/>
              </w:rPr>
              <w:t>Patient must be aged less than 65 years</w:t>
            </w:r>
          </w:p>
        </w:tc>
      </w:tr>
      <w:tr w:rsidR="00FD36E9" w:rsidRPr="009B6653" w:rsidTr="00FD36E9">
        <w:trPr>
          <w:cantSplit/>
          <w:trHeight w:val="365"/>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Administrative Advice</w:t>
            </w:r>
          </w:p>
          <w:p w:rsidR="00FD36E9" w:rsidRPr="009B6653" w:rsidRDefault="00FD36E9" w:rsidP="00FD36E9">
            <w:pPr>
              <w:rPr>
                <w:rFonts w:ascii="Arial Narrow" w:hAnsi="Arial Narrow"/>
                <w:i/>
                <w:sz w:val="20"/>
              </w:rPr>
            </w:pP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i/>
                <w:sz w:val="20"/>
              </w:rPr>
            </w:pPr>
            <w:r w:rsidRPr="009B6653">
              <w:rPr>
                <w:rFonts w:ascii="Arial Narrow" w:hAnsi="Arial Narrow"/>
                <w:i/>
                <w:sz w:val="20"/>
              </w:rPr>
              <w:t xml:space="preserve">Risk of </w:t>
            </w:r>
            <w:proofErr w:type="spellStart"/>
            <w:r w:rsidRPr="009B6653">
              <w:rPr>
                <w:rFonts w:ascii="Arial Narrow" w:hAnsi="Arial Narrow"/>
                <w:i/>
                <w:sz w:val="20"/>
              </w:rPr>
              <w:t>myelofibrosis</w:t>
            </w:r>
            <w:proofErr w:type="spellEnd"/>
            <w:r w:rsidRPr="009B6653">
              <w:rPr>
                <w:rFonts w:ascii="Arial Narrow" w:hAnsi="Arial Narrow"/>
                <w:i/>
                <w:sz w:val="20"/>
              </w:rPr>
              <w:t xml:space="preserve"> is defined in accordance with the International Prognostic Scoring System (IPSS)</w:t>
            </w:r>
          </w:p>
          <w:p w:rsidR="00FD36E9" w:rsidRPr="009B6653" w:rsidRDefault="00FD36E9" w:rsidP="00FD36E9">
            <w:pPr>
              <w:keepNext/>
              <w:keepLines/>
              <w:shd w:val="clear" w:color="auto" w:fill="FFFFFF"/>
              <w:rPr>
                <w:rFonts w:ascii="Arial Narrow" w:hAnsi="Arial Narrow"/>
                <w:i/>
                <w:sz w:val="20"/>
              </w:rPr>
            </w:pPr>
          </w:p>
          <w:p w:rsidR="00FD36E9" w:rsidRPr="009B6653" w:rsidRDefault="00FD36E9" w:rsidP="00FD36E9">
            <w:pPr>
              <w:keepNext/>
              <w:keepLines/>
              <w:shd w:val="clear" w:color="auto" w:fill="FFFFFF"/>
              <w:rPr>
                <w:rFonts w:ascii="Arial Narrow" w:hAnsi="Arial Narrow"/>
                <w:i/>
                <w:sz w:val="20"/>
              </w:rPr>
            </w:pPr>
            <w:r w:rsidRPr="009B6653">
              <w:rPr>
                <w:rFonts w:ascii="Arial Narrow" w:hAnsi="Arial Narrow"/>
                <w:i/>
                <w:sz w:val="20"/>
              </w:rPr>
              <w:t>No increase in the maximum quantity or  number of units may be authorised</w:t>
            </w:r>
          </w:p>
          <w:p w:rsidR="00FD36E9" w:rsidRPr="009B6653" w:rsidRDefault="00FD36E9" w:rsidP="00FD36E9">
            <w:pPr>
              <w:keepNext/>
              <w:keepLines/>
              <w:shd w:val="clear" w:color="auto" w:fill="FFFFFF"/>
              <w:rPr>
                <w:rFonts w:ascii="Arial Narrow" w:hAnsi="Arial Narrow"/>
                <w:i/>
                <w:sz w:val="20"/>
              </w:rPr>
            </w:pPr>
          </w:p>
          <w:p w:rsidR="00FD36E9" w:rsidRPr="009B6653" w:rsidRDefault="00FD36E9" w:rsidP="00FD36E9">
            <w:pPr>
              <w:keepNext/>
              <w:keepLines/>
              <w:shd w:val="clear" w:color="auto" w:fill="FFFFFF"/>
              <w:rPr>
                <w:rFonts w:ascii="Arial Narrow" w:hAnsi="Arial Narrow"/>
                <w:i/>
                <w:sz w:val="20"/>
              </w:rPr>
            </w:pPr>
            <w:r w:rsidRPr="009B6653">
              <w:rPr>
                <w:rFonts w:ascii="Arial Narrow" w:hAnsi="Arial Narrow"/>
                <w:i/>
                <w:sz w:val="20"/>
              </w:rPr>
              <w:t>No increase in the maximum number of repeats may be authorised</w:t>
            </w:r>
          </w:p>
        </w:tc>
      </w:tr>
    </w:tbl>
    <w:p w:rsidR="00FD36E9" w:rsidRDefault="00FD36E9" w:rsidP="00FD36E9">
      <w:pPr>
        <w:rPr>
          <w:rFonts w:ascii="Arial Narrow" w:hAnsi="Arial Narrow"/>
          <w:b/>
          <w:sz w:val="20"/>
        </w:rPr>
      </w:pPr>
    </w:p>
    <w:p w:rsidR="00FD36E9" w:rsidRPr="00FD36E9" w:rsidRDefault="00FD36E9" w:rsidP="00FD36E9">
      <w:pPr>
        <w:ind w:firstLine="720"/>
        <w:rPr>
          <w:rFonts w:ascii="Arial Narrow" w:hAnsi="Arial Narrow"/>
          <w:b/>
          <w:sz w:val="20"/>
        </w:rPr>
      </w:pPr>
      <w:r w:rsidRPr="00FD36E9">
        <w:rPr>
          <w:rFonts w:ascii="Arial Narrow" w:hAnsi="Arial Narrow"/>
          <w:b/>
          <w:sz w:val="20"/>
        </w:rPr>
        <w:t>Continuation criteria</w:t>
      </w:r>
    </w:p>
    <w:p w:rsidR="00FD36E9" w:rsidRPr="00FD36E9" w:rsidRDefault="00FD36E9" w:rsidP="00FD36E9">
      <w:pPr>
        <w:rPr>
          <w:rFonts w:ascii="Arial Narrow" w:hAnsi="Arial Narrow"/>
          <w:sz w:val="20"/>
        </w:rPr>
      </w:pPr>
    </w:p>
    <w:tbl>
      <w:tblPr>
        <w:tblW w:w="8080" w:type="dxa"/>
        <w:tblInd w:w="959" w:type="dxa"/>
        <w:tblLayout w:type="fixed"/>
        <w:tblLook w:val="0000" w:firstRow="0" w:lastRow="0" w:firstColumn="0" w:lastColumn="0" w:noHBand="0" w:noVBand="0"/>
        <w:tblDescription w:val="Continuation criteria"/>
      </w:tblPr>
      <w:tblGrid>
        <w:gridCol w:w="1559"/>
        <w:gridCol w:w="6521"/>
      </w:tblGrid>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u w:val="single"/>
              </w:rPr>
            </w:pPr>
            <w:r w:rsidRPr="009B6653">
              <w:rPr>
                <w:rFonts w:ascii="Arial Narrow" w:hAnsi="Arial Narrow"/>
                <w:b/>
                <w:sz w:val="20"/>
              </w:rPr>
              <w:t>Condition:</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proofErr w:type="spellStart"/>
            <w:r w:rsidRPr="009B6653">
              <w:rPr>
                <w:rFonts w:ascii="Arial Narrow" w:hAnsi="Arial Narrow"/>
                <w:sz w:val="20"/>
              </w:rPr>
              <w:t>Myelofibrosis</w:t>
            </w:r>
            <w:proofErr w:type="spellEnd"/>
          </w:p>
        </w:tc>
      </w:tr>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Treatment phase:</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Continuing</w:t>
            </w:r>
          </w:p>
        </w:tc>
      </w:tr>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Restriction:</w:t>
            </w: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z w:val="20"/>
              </w:rPr>
              <w:t>Authority Required</w:t>
            </w:r>
          </w:p>
        </w:tc>
      </w:tr>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Treatment criteria:</w:t>
            </w:r>
          </w:p>
          <w:p w:rsidR="00FD36E9" w:rsidRPr="009B6653" w:rsidRDefault="00FD36E9" w:rsidP="00FD36E9">
            <w:pPr>
              <w:rPr>
                <w:rFonts w:ascii="Arial Narrow" w:hAnsi="Arial Narrow"/>
                <w:sz w:val="20"/>
              </w:rPr>
            </w:pP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strike/>
                <w:sz w:val="20"/>
              </w:rPr>
              <w:t xml:space="preserve">Continuing Treatment of a patient previously treated with PBS subsidised </w:t>
            </w:r>
            <w:proofErr w:type="spellStart"/>
            <w:r w:rsidRPr="009B6653">
              <w:rPr>
                <w:rFonts w:ascii="Arial Narrow" w:hAnsi="Arial Narrow"/>
                <w:strike/>
                <w:sz w:val="20"/>
              </w:rPr>
              <w:t>ruxolitinib</w:t>
            </w:r>
            <w:proofErr w:type="spellEnd"/>
            <w:r w:rsidRPr="009B6653">
              <w:rPr>
                <w:rFonts w:ascii="Arial Narrow" w:hAnsi="Arial Narrow"/>
                <w:strike/>
                <w:sz w:val="20"/>
              </w:rPr>
              <w:t xml:space="preserve"> </w:t>
            </w:r>
            <w:r w:rsidRPr="009B6653">
              <w:rPr>
                <w:rFonts w:ascii="Arial Narrow" w:hAnsi="Arial Narrow"/>
                <w:i/>
                <w:sz w:val="20"/>
              </w:rPr>
              <w:t xml:space="preserve">Patient must have previously been issued with an authority prescription for </w:t>
            </w:r>
            <w:proofErr w:type="spellStart"/>
            <w:r w:rsidRPr="009B6653">
              <w:rPr>
                <w:rFonts w:ascii="Arial Narrow" w:hAnsi="Arial Narrow"/>
                <w:i/>
                <w:sz w:val="20"/>
              </w:rPr>
              <w:t>ruxolitinib</w:t>
            </w:r>
            <w:proofErr w:type="spellEnd"/>
          </w:p>
        </w:tc>
      </w:tr>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Clinical criteria:</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sz w:val="20"/>
              </w:rPr>
            </w:pP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sz w:val="20"/>
              </w:rPr>
            </w:pPr>
            <w:r w:rsidRPr="009B6653">
              <w:rPr>
                <w:rFonts w:ascii="Arial Narrow" w:hAnsi="Arial Narrow"/>
                <w:i/>
                <w:strike/>
                <w:sz w:val="20"/>
              </w:rPr>
              <w:t>Who has</w:t>
            </w:r>
            <w:r w:rsidRPr="009B6653">
              <w:rPr>
                <w:rFonts w:ascii="Arial Narrow" w:hAnsi="Arial Narrow"/>
                <w:i/>
                <w:sz w:val="20"/>
              </w:rPr>
              <w:t xml:space="preserve"> Patient must</w:t>
            </w:r>
            <w:r w:rsidRPr="009B6653">
              <w:rPr>
                <w:rFonts w:ascii="Arial Narrow" w:hAnsi="Arial Narrow"/>
                <w:sz w:val="20"/>
              </w:rPr>
              <w:t xml:space="preserve"> demonstrate</w:t>
            </w:r>
            <w:r w:rsidRPr="009B6653">
              <w:rPr>
                <w:rFonts w:ascii="Arial Narrow" w:hAnsi="Arial Narrow"/>
                <w:strike/>
                <w:sz w:val="20"/>
              </w:rPr>
              <w:t>d</w:t>
            </w:r>
            <w:r w:rsidRPr="009B6653">
              <w:rPr>
                <w:rFonts w:ascii="Arial Narrow" w:hAnsi="Arial Narrow"/>
                <w:sz w:val="20"/>
              </w:rPr>
              <w:t xml:space="preserve"> </w:t>
            </w:r>
            <w:r w:rsidRPr="009B6653">
              <w:rPr>
                <w:rFonts w:ascii="Arial Narrow" w:hAnsi="Arial Narrow"/>
                <w:strike/>
                <w:sz w:val="20"/>
              </w:rPr>
              <w:t>a splenic response</w:t>
            </w:r>
            <w:r w:rsidRPr="009B6653">
              <w:rPr>
                <w:rFonts w:ascii="Arial Narrow" w:hAnsi="Arial Narrow"/>
                <w:sz w:val="20"/>
              </w:rPr>
              <w:t xml:space="preserve"> a reduction in spleen volume of at least </w:t>
            </w:r>
            <w:r w:rsidRPr="009B6653">
              <w:rPr>
                <w:rFonts w:ascii="Arial Narrow" w:hAnsi="Arial Narrow"/>
                <w:strike/>
                <w:sz w:val="20"/>
              </w:rPr>
              <w:t>25%</w:t>
            </w:r>
            <w:r w:rsidRPr="009B6653">
              <w:rPr>
                <w:rFonts w:ascii="Arial Narrow" w:hAnsi="Arial Narrow"/>
                <w:sz w:val="20"/>
              </w:rPr>
              <w:t xml:space="preserve"> </w:t>
            </w:r>
            <w:r w:rsidRPr="009B6653">
              <w:rPr>
                <w:rFonts w:ascii="Arial Narrow" w:hAnsi="Arial Narrow"/>
                <w:i/>
                <w:sz w:val="20"/>
              </w:rPr>
              <w:t>35%</w:t>
            </w:r>
            <w:r w:rsidRPr="009B6653">
              <w:rPr>
                <w:rFonts w:ascii="Arial Narrow" w:hAnsi="Arial Narrow"/>
                <w:sz w:val="20"/>
              </w:rPr>
              <w:t xml:space="preserve"> from baseline </w:t>
            </w:r>
          </w:p>
          <w:p w:rsidR="00FD36E9" w:rsidRPr="009B6653" w:rsidRDefault="00FD36E9" w:rsidP="00FD36E9">
            <w:pPr>
              <w:rPr>
                <w:rFonts w:ascii="Arial Narrow" w:hAnsi="Arial Narrow"/>
                <w:sz w:val="20"/>
              </w:rPr>
            </w:pPr>
          </w:p>
          <w:p w:rsidR="00FD36E9" w:rsidRPr="009B6653" w:rsidRDefault="00FD36E9" w:rsidP="00FD36E9">
            <w:pPr>
              <w:rPr>
                <w:rFonts w:ascii="Arial Narrow" w:hAnsi="Arial Narrow"/>
                <w:sz w:val="20"/>
              </w:rPr>
            </w:pPr>
            <w:r w:rsidRPr="009B6653">
              <w:rPr>
                <w:rFonts w:ascii="Arial Narrow" w:hAnsi="Arial Narrow"/>
                <w:sz w:val="20"/>
              </w:rPr>
              <w:t>OR</w:t>
            </w:r>
            <w:r w:rsidRPr="009B6653">
              <w:rPr>
                <w:rFonts w:ascii="Arial Narrow" w:hAnsi="Arial Narrow"/>
                <w:sz w:val="20"/>
              </w:rPr>
              <w:br/>
            </w:r>
          </w:p>
          <w:p w:rsidR="00FD36E9" w:rsidRPr="009B6653" w:rsidRDefault="00FD36E9" w:rsidP="00FD36E9">
            <w:pPr>
              <w:rPr>
                <w:rFonts w:ascii="Arial Narrow" w:hAnsi="Arial Narrow"/>
                <w:sz w:val="20"/>
              </w:rPr>
            </w:pPr>
            <w:r w:rsidRPr="009B6653">
              <w:rPr>
                <w:rFonts w:ascii="Arial Narrow" w:hAnsi="Arial Narrow"/>
                <w:i/>
                <w:sz w:val="20"/>
              </w:rPr>
              <w:t>Patient must have</w:t>
            </w:r>
            <w:r w:rsidRPr="009B6653">
              <w:rPr>
                <w:rFonts w:ascii="Arial Narrow" w:hAnsi="Arial Narrow"/>
                <w:sz w:val="20"/>
              </w:rPr>
              <w:t xml:space="preserve"> </w:t>
            </w:r>
            <w:r w:rsidRPr="009B6653">
              <w:rPr>
                <w:rFonts w:ascii="Arial Narrow" w:hAnsi="Arial Narrow"/>
                <w:strike/>
                <w:sz w:val="20"/>
              </w:rPr>
              <w:t xml:space="preserve">has </w:t>
            </w:r>
            <w:r w:rsidRPr="009B6653">
              <w:rPr>
                <w:rFonts w:ascii="Arial Narrow" w:hAnsi="Arial Narrow"/>
                <w:sz w:val="20"/>
              </w:rPr>
              <w:t xml:space="preserve">a combined pain and fatigue score on the EORTC QLQ-C30 of ≤ 100 </w:t>
            </w:r>
          </w:p>
          <w:p w:rsidR="00FD36E9" w:rsidRPr="009B6653" w:rsidRDefault="00FD36E9" w:rsidP="00FD36E9">
            <w:pPr>
              <w:rPr>
                <w:rFonts w:ascii="Arial Narrow" w:hAnsi="Arial Narrow"/>
                <w:sz w:val="20"/>
              </w:rPr>
            </w:pPr>
          </w:p>
          <w:p w:rsidR="00FD36E9" w:rsidRPr="009B6653" w:rsidRDefault="00FD36E9" w:rsidP="00FD36E9">
            <w:pPr>
              <w:rPr>
                <w:rFonts w:ascii="Arial Narrow" w:hAnsi="Arial Narrow"/>
                <w:sz w:val="20"/>
              </w:rPr>
            </w:pPr>
            <w:r w:rsidRPr="009B6653">
              <w:rPr>
                <w:rFonts w:ascii="Arial Narrow" w:hAnsi="Arial Narrow"/>
                <w:sz w:val="20"/>
              </w:rPr>
              <w:t>AND</w:t>
            </w:r>
          </w:p>
          <w:p w:rsidR="00FD36E9" w:rsidRPr="009B6653" w:rsidRDefault="00FD36E9" w:rsidP="00FD36E9">
            <w:pPr>
              <w:rPr>
                <w:rFonts w:ascii="Arial Narrow" w:hAnsi="Arial Narrow"/>
                <w:sz w:val="20"/>
              </w:rPr>
            </w:pPr>
          </w:p>
          <w:p w:rsidR="00FD36E9" w:rsidRPr="009B6653" w:rsidRDefault="00FD36E9" w:rsidP="00FD36E9">
            <w:pPr>
              <w:rPr>
                <w:rFonts w:ascii="Arial Narrow" w:hAnsi="Arial Narrow"/>
                <w:sz w:val="20"/>
              </w:rPr>
            </w:pPr>
            <w:r w:rsidRPr="009B6653">
              <w:rPr>
                <w:rFonts w:ascii="Arial Narrow" w:hAnsi="Arial Narrow"/>
                <w:sz w:val="20"/>
              </w:rPr>
              <w:t xml:space="preserve">The patient </w:t>
            </w:r>
            <w:r w:rsidRPr="009B6653">
              <w:rPr>
                <w:rFonts w:ascii="Arial Narrow" w:hAnsi="Arial Narrow"/>
                <w:i/>
                <w:sz w:val="20"/>
              </w:rPr>
              <w:t>must</w:t>
            </w:r>
            <w:r w:rsidRPr="009B6653">
              <w:rPr>
                <w:rFonts w:ascii="Arial Narrow" w:hAnsi="Arial Narrow"/>
                <w:sz w:val="20"/>
              </w:rPr>
              <w:t xml:space="preserve"> </w:t>
            </w:r>
            <w:r w:rsidRPr="009B6653">
              <w:rPr>
                <w:rFonts w:ascii="Arial Narrow" w:hAnsi="Arial Narrow"/>
                <w:strike/>
                <w:sz w:val="20"/>
              </w:rPr>
              <w:t>is</w:t>
            </w:r>
            <w:r w:rsidRPr="009B6653">
              <w:rPr>
                <w:rFonts w:ascii="Arial Narrow" w:hAnsi="Arial Narrow"/>
                <w:sz w:val="20"/>
              </w:rPr>
              <w:t xml:space="preserve"> not </w:t>
            </w:r>
            <w:r w:rsidRPr="009B6653">
              <w:rPr>
                <w:rFonts w:ascii="Arial Narrow" w:hAnsi="Arial Narrow"/>
                <w:i/>
                <w:sz w:val="20"/>
              </w:rPr>
              <w:t>be</w:t>
            </w:r>
            <w:r w:rsidRPr="009B6653">
              <w:rPr>
                <w:rFonts w:ascii="Arial Narrow" w:hAnsi="Arial Narrow"/>
                <w:sz w:val="20"/>
              </w:rPr>
              <w:t xml:space="preserve"> experiencing disease progression</w:t>
            </w:r>
          </w:p>
        </w:tc>
      </w:tr>
      <w:tr w:rsidR="00FD36E9" w:rsidRPr="009B6653" w:rsidTr="00FD36E9">
        <w:trPr>
          <w:cantSplit/>
          <w:trHeight w:val="364"/>
        </w:trPr>
        <w:tc>
          <w:tcPr>
            <w:tcW w:w="1559"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rPr>
                <w:rFonts w:ascii="Arial Narrow" w:hAnsi="Arial Narrow"/>
                <w:b/>
                <w:sz w:val="20"/>
              </w:rPr>
            </w:pPr>
            <w:r w:rsidRPr="009B6653">
              <w:rPr>
                <w:rFonts w:ascii="Arial Narrow" w:hAnsi="Arial Narrow"/>
                <w:b/>
                <w:sz w:val="20"/>
              </w:rPr>
              <w:t>Administrative Advice</w:t>
            </w:r>
          </w:p>
          <w:p w:rsidR="00FD36E9" w:rsidRPr="009B6653" w:rsidRDefault="00FD36E9" w:rsidP="00FD36E9">
            <w:pPr>
              <w:rPr>
                <w:rFonts w:ascii="Arial Narrow" w:hAnsi="Arial Narrow"/>
                <w:i/>
                <w:sz w:val="20"/>
              </w:rPr>
            </w:pPr>
          </w:p>
          <w:p w:rsidR="00FD36E9" w:rsidRPr="009B6653" w:rsidRDefault="00FD36E9" w:rsidP="00FD36E9">
            <w:pPr>
              <w:rPr>
                <w:rFonts w:ascii="Arial Narrow" w:hAnsi="Arial Narrow"/>
                <w:i/>
                <w:sz w:val="20"/>
              </w:rPr>
            </w:pPr>
          </w:p>
        </w:tc>
        <w:tc>
          <w:tcPr>
            <w:tcW w:w="6521" w:type="dxa"/>
            <w:tcBorders>
              <w:top w:val="single" w:sz="4" w:space="0" w:color="auto"/>
              <w:left w:val="single" w:sz="4" w:space="0" w:color="auto"/>
              <w:bottom w:val="single" w:sz="4" w:space="0" w:color="auto"/>
              <w:right w:val="single" w:sz="4" w:space="0" w:color="auto"/>
            </w:tcBorders>
          </w:tcPr>
          <w:p w:rsidR="00FD36E9" w:rsidRPr="009B6653" w:rsidRDefault="00FD36E9" w:rsidP="00FD36E9">
            <w:pPr>
              <w:keepNext/>
              <w:keepLines/>
              <w:rPr>
                <w:rFonts w:ascii="Arial Narrow" w:hAnsi="Arial Narrow"/>
                <w:i/>
                <w:sz w:val="20"/>
              </w:rPr>
            </w:pPr>
            <w:r w:rsidRPr="009B6653">
              <w:rPr>
                <w:rFonts w:ascii="Arial Narrow" w:hAnsi="Arial Narrow"/>
                <w:i/>
                <w:sz w:val="20"/>
              </w:rPr>
              <w:t>Disease progression is defined as  a sustained and unexplained return of splenomegaly AND a  sustained and unexplained return of symptoms  OR transformation to acute myeloid leukaemia</w:t>
            </w:r>
          </w:p>
          <w:p w:rsidR="00FD36E9" w:rsidRPr="009B6653" w:rsidRDefault="00FD36E9" w:rsidP="00FD36E9">
            <w:pPr>
              <w:keepNext/>
              <w:keepLines/>
              <w:rPr>
                <w:rFonts w:ascii="Arial Narrow" w:hAnsi="Arial Narrow"/>
                <w:i/>
                <w:sz w:val="20"/>
              </w:rPr>
            </w:pPr>
          </w:p>
          <w:p w:rsidR="00FD36E9" w:rsidRPr="009B6653" w:rsidRDefault="00FD36E9" w:rsidP="00FD36E9">
            <w:pPr>
              <w:keepNext/>
              <w:keepLines/>
              <w:rPr>
                <w:rFonts w:ascii="Arial Narrow" w:hAnsi="Arial Narrow"/>
                <w:i/>
                <w:sz w:val="20"/>
              </w:rPr>
            </w:pPr>
            <w:r w:rsidRPr="009B6653">
              <w:rPr>
                <w:rFonts w:ascii="Arial Narrow" w:hAnsi="Arial Narrow"/>
                <w:i/>
                <w:sz w:val="20"/>
              </w:rPr>
              <w:t xml:space="preserve">Patients who </w:t>
            </w:r>
            <w:r w:rsidRPr="009B6653">
              <w:rPr>
                <w:rFonts w:ascii="Arial Narrow" w:hAnsi="Arial Narrow"/>
                <w:i/>
                <w:strike/>
                <w:sz w:val="20"/>
              </w:rPr>
              <w:t xml:space="preserve">fail to demonstrate a response to </w:t>
            </w:r>
            <w:proofErr w:type="spellStart"/>
            <w:r w:rsidRPr="009B6653">
              <w:rPr>
                <w:rFonts w:ascii="Arial Narrow" w:hAnsi="Arial Narrow"/>
                <w:i/>
                <w:strike/>
                <w:sz w:val="20"/>
              </w:rPr>
              <w:t>ruxolitinib</w:t>
            </w:r>
            <w:proofErr w:type="spellEnd"/>
            <w:r w:rsidRPr="009B6653">
              <w:rPr>
                <w:rFonts w:ascii="Arial Narrow" w:hAnsi="Arial Narrow"/>
                <w:i/>
                <w:sz w:val="20"/>
              </w:rPr>
              <w:t xml:space="preserve"> have progressive disease with </w:t>
            </w:r>
            <w:proofErr w:type="spellStart"/>
            <w:r w:rsidRPr="009B6653">
              <w:rPr>
                <w:rFonts w:ascii="Arial Narrow" w:hAnsi="Arial Narrow"/>
                <w:i/>
                <w:sz w:val="20"/>
              </w:rPr>
              <w:t>ruxolitinib</w:t>
            </w:r>
            <w:proofErr w:type="spellEnd"/>
            <w:r w:rsidRPr="009B6653">
              <w:rPr>
                <w:rFonts w:ascii="Arial Narrow" w:hAnsi="Arial Narrow"/>
                <w:i/>
                <w:sz w:val="20"/>
              </w:rPr>
              <w:t xml:space="preserve"> are no longer eligible for PBS-subsidised </w:t>
            </w:r>
            <w:proofErr w:type="spellStart"/>
            <w:r w:rsidRPr="009B6653">
              <w:rPr>
                <w:rFonts w:ascii="Arial Narrow" w:hAnsi="Arial Narrow"/>
                <w:i/>
                <w:sz w:val="20"/>
              </w:rPr>
              <w:t>ruxolitinib</w:t>
            </w:r>
            <w:proofErr w:type="spellEnd"/>
            <w:r w:rsidRPr="009B6653">
              <w:rPr>
                <w:rFonts w:ascii="Arial Narrow" w:hAnsi="Arial Narrow"/>
                <w:i/>
                <w:sz w:val="20"/>
              </w:rPr>
              <w:t>.</w:t>
            </w:r>
          </w:p>
          <w:p w:rsidR="00FD36E9" w:rsidRPr="009B6653" w:rsidRDefault="00FD36E9" w:rsidP="00FD36E9">
            <w:pPr>
              <w:keepNext/>
              <w:keepLines/>
              <w:rPr>
                <w:rFonts w:ascii="Arial Narrow" w:hAnsi="Arial Narrow"/>
                <w:i/>
                <w:sz w:val="20"/>
              </w:rPr>
            </w:pPr>
          </w:p>
          <w:p w:rsidR="00FD36E9" w:rsidRPr="009B6653" w:rsidRDefault="00FD36E9" w:rsidP="00FD36E9">
            <w:pPr>
              <w:keepNext/>
              <w:keepLines/>
              <w:shd w:val="clear" w:color="auto" w:fill="FFFFFF"/>
              <w:rPr>
                <w:rFonts w:ascii="Arial Narrow" w:hAnsi="Arial Narrow"/>
                <w:i/>
                <w:sz w:val="20"/>
              </w:rPr>
            </w:pPr>
            <w:r w:rsidRPr="009B6653">
              <w:rPr>
                <w:rFonts w:ascii="Arial Narrow" w:hAnsi="Arial Narrow"/>
                <w:i/>
                <w:sz w:val="20"/>
              </w:rPr>
              <w:t>No increase in the maximum quantity or number of units may be authorised</w:t>
            </w:r>
          </w:p>
          <w:p w:rsidR="00FD36E9" w:rsidRPr="009B6653" w:rsidRDefault="00FD36E9" w:rsidP="00FD36E9">
            <w:pPr>
              <w:keepNext/>
              <w:keepLines/>
              <w:shd w:val="clear" w:color="auto" w:fill="FFFFFF"/>
              <w:rPr>
                <w:rFonts w:ascii="Arial Narrow" w:hAnsi="Arial Narrow"/>
                <w:i/>
                <w:sz w:val="20"/>
              </w:rPr>
            </w:pPr>
          </w:p>
          <w:p w:rsidR="00FD36E9" w:rsidRPr="009B6653" w:rsidRDefault="00FD36E9" w:rsidP="00FD36E9">
            <w:pPr>
              <w:keepNext/>
              <w:keepLines/>
              <w:shd w:val="clear" w:color="auto" w:fill="FFFFFF"/>
              <w:rPr>
                <w:rFonts w:ascii="Arial Narrow" w:hAnsi="Arial Narrow"/>
                <w:i/>
                <w:sz w:val="20"/>
              </w:rPr>
            </w:pPr>
            <w:r w:rsidRPr="009B6653">
              <w:rPr>
                <w:rFonts w:ascii="Arial Narrow" w:hAnsi="Arial Narrow"/>
                <w:i/>
                <w:sz w:val="20"/>
              </w:rPr>
              <w:t>No increase in the maximum number of repeats may be authorised</w:t>
            </w:r>
          </w:p>
          <w:p w:rsidR="00FD36E9" w:rsidRPr="009B6653" w:rsidRDefault="00FD36E9" w:rsidP="00FD36E9">
            <w:pPr>
              <w:keepNext/>
              <w:keepLines/>
              <w:shd w:val="clear" w:color="auto" w:fill="FFFFFF"/>
              <w:rPr>
                <w:rFonts w:ascii="Arial Narrow" w:hAnsi="Arial Narrow"/>
                <w:sz w:val="20"/>
              </w:rPr>
            </w:pPr>
          </w:p>
        </w:tc>
      </w:tr>
    </w:tbl>
    <w:p w:rsidR="00FD36E9" w:rsidRDefault="00FD36E9" w:rsidP="00FD36E9">
      <w:pPr>
        <w:pStyle w:val="ListParagraph"/>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cs="Arial"/>
          <w:sz w:val="22"/>
          <w:szCs w:val="22"/>
        </w:rPr>
      </w:pPr>
      <w:r w:rsidRPr="009B6653">
        <w:rPr>
          <w:rFonts w:ascii="Arial" w:hAnsi="Arial" w:cs="Arial"/>
          <w:sz w:val="22"/>
          <w:szCs w:val="22"/>
        </w:rPr>
        <w:lastRenderedPageBreak/>
        <w:t xml:space="preserve">Whilst trial data support superior efficacy of second-line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over placebo in the trial population, there is no RCT evidence to inform the efficacy of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in the additional </w:t>
      </w:r>
      <w:r w:rsidR="006C3924" w:rsidRPr="009B6653">
        <w:rPr>
          <w:rFonts w:ascii="Arial" w:hAnsi="Arial" w:cs="Arial"/>
          <w:sz w:val="22"/>
          <w:szCs w:val="22"/>
        </w:rPr>
        <w:t>‘</w:t>
      </w:r>
      <w:r w:rsidRPr="009B6653">
        <w:rPr>
          <w:rFonts w:ascii="Arial" w:hAnsi="Arial" w:cs="Arial"/>
          <w:sz w:val="22"/>
          <w:szCs w:val="22"/>
        </w:rPr>
        <w:t>clinical needs</w:t>
      </w:r>
      <w:r w:rsidR="006C3924" w:rsidRPr="009B6653">
        <w:rPr>
          <w:rFonts w:ascii="Arial" w:hAnsi="Arial" w:cs="Arial"/>
          <w:sz w:val="22"/>
          <w:szCs w:val="22"/>
        </w:rPr>
        <w:t>’</w:t>
      </w:r>
      <w:r w:rsidRPr="009B6653">
        <w:rPr>
          <w:rFonts w:ascii="Arial" w:hAnsi="Arial" w:cs="Arial"/>
          <w:sz w:val="22"/>
          <w:szCs w:val="22"/>
        </w:rPr>
        <w:t xml:space="preserve"> based populations</w:t>
      </w:r>
      <w:r w:rsidR="006C3924" w:rsidRPr="009B6653">
        <w:rPr>
          <w:rFonts w:ascii="Arial" w:hAnsi="Arial" w:cs="Arial"/>
          <w:sz w:val="22"/>
          <w:szCs w:val="22"/>
        </w:rPr>
        <w:t xml:space="preserve"> that are proposed.</w:t>
      </w:r>
      <w:r w:rsidRPr="009B6653">
        <w:rPr>
          <w:rFonts w:ascii="Arial" w:hAnsi="Arial" w:cs="Arial"/>
          <w:sz w:val="22"/>
          <w:szCs w:val="22"/>
        </w:rPr>
        <w:t xml:space="preserve"> </w:t>
      </w:r>
      <w:r w:rsidR="006C3924" w:rsidRPr="009B6653">
        <w:rPr>
          <w:rFonts w:ascii="Arial" w:hAnsi="Arial" w:cs="Arial"/>
          <w:sz w:val="22"/>
          <w:szCs w:val="22"/>
        </w:rPr>
        <w:t>G</w:t>
      </w:r>
      <w:r w:rsidRPr="009B6653">
        <w:rPr>
          <w:rFonts w:ascii="Arial" w:hAnsi="Arial" w:cs="Arial"/>
          <w:sz w:val="22"/>
          <w:szCs w:val="22"/>
        </w:rPr>
        <w:t xml:space="preserve">iven </w:t>
      </w:r>
      <w:r w:rsidR="006C3924" w:rsidRPr="009B6653">
        <w:rPr>
          <w:rFonts w:ascii="Arial" w:hAnsi="Arial" w:cs="Arial"/>
          <w:sz w:val="22"/>
          <w:szCs w:val="22"/>
        </w:rPr>
        <w:t>that patients in this group have a</w:t>
      </w:r>
      <w:r w:rsidRPr="009B6653">
        <w:rPr>
          <w:rFonts w:ascii="Arial" w:hAnsi="Arial" w:cs="Arial"/>
          <w:sz w:val="22"/>
          <w:szCs w:val="22"/>
        </w:rPr>
        <w:t xml:space="preserve"> lesser symptom burden and/or better prognosis the benefits of treatment with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are likely to be less than those observed in available RCTs. The Pre-Sub-Committee Response (p1) states the sponsor is willing to consider a restriction consistent with the available evidence if the PBAC considers that extension of a listing to include these patients is not justified.</w:t>
      </w:r>
    </w:p>
    <w:p w:rsidR="00DC056F" w:rsidRPr="009B6653" w:rsidRDefault="00DC056F" w:rsidP="00DC056F">
      <w:pPr>
        <w:pStyle w:val="ListParagraph"/>
        <w:jc w:val="both"/>
        <w:rPr>
          <w:rFonts w:ascii="Arial" w:hAnsi="Arial" w:cs="Arial"/>
          <w:sz w:val="22"/>
          <w:szCs w:val="22"/>
        </w:rPr>
      </w:pPr>
    </w:p>
    <w:p w:rsidR="00DC056F" w:rsidRPr="009B6653" w:rsidRDefault="00335BD0" w:rsidP="00DC056F">
      <w:pPr>
        <w:pStyle w:val="ListParagraph"/>
        <w:numPr>
          <w:ilvl w:val="1"/>
          <w:numId w:val="25"/>
        </w:numPr>
        <w:jc w:val="both"/>
        <w:rPr>
          <w:rFonts w:ascii="Arial" w:hAnsi="Arial" w:cs="Arial"/>
          <w:b/>
          <w:sz w:val="22"/>
          <w:szCs w:val="22"/>
        </w:rPr>
      </w:pPr>
      <w:r>
        <w:rPr>
          <w:rFonts w:ascii="Arial" w:hAnsi="Arial" w:cs="Arial"/>
          <w:sz w:val="22"/>
          <w:szCs w:val="22"/>
        </w:rPr>
        <w:t xml:space="preserve">The </w:t>
      </w:r>
      <w:r w:rsidR="00DC056F" w:rsidRPr="009B6653">
        <w:rPr>
          <w:rFonts w:ascii="Arial" w:hAnsi="Arial" w:cs="Arial"/>
          <w:sz w:val="22"/>
          <w:szCs w:val="22"/>
        </w:rPr>
        <w:t xml:space="preserve">ESC also considered the continuation criteria based on a 25% or 35% reduction in spleen volume would not be manageable in clinical practice and that the continuation rule be removed. </w:t>
      </w:r>
    </w:p>
    <w:p w:rsidR="00DC056F" w:rsidRPr="009B6653" w:rsidRDefault="00DC056F" w:rsidP="00DC056F">
      <w:pPr>
        <w:pStyle w:val="ListParagraph"/>
        <w:rPr>
          <w:rFonts w:ascii="Arial" w:hAnsi="Arial" w:cs="Arial"/>
          <w:sz w:val="22"/>
          <w:szCs w:val="22"/>
        </w:rPr>
      </w:pPr>
    </w:p>
    <w:p w:rsidR="00DC056F" w:rsidRPr="009B6653" w:rsidRDefault="00DC056F" w:rsidP="00DC056F">
      <w:pPr>
        <w:pStyle w:val="ListParagraph"/>
        <w:numPr>
          <w:ilvl w:val="1"/>
          <w:numId w:val="25"/>
        </w:numPr>
        <w:jc w:val="both"/>
        <w:rPr>
          <w:rFonts w:ascii="Arial" w:hAnsi="Arial" w:cs="Arial"/>
          <w:b/>
          <w:sz w:val="22"/>
          <w:szCs w:val="22"/>
        </w:rPr>
      </w:pPr>
      <w:r w:rsidRPr="009B6653">
        <w:rPr>
          <w:rFonts w:ascii="Arial" w:hAnsi="Arial" w:cs="Arial"/>
          <w:sz w:val="22"/>
          <w:szCs w:val="22"/>
        </w:rPr>
        <w:t>The economic evaluation presented is a cost-utility analysis compared with placebo.</w:t>
      </w:r>
    </w:p>
    <w:p w:rsidR="00DC056F" w:rsidRPr="009B6653" w:rsidRDefault="00DC056F" w:rsidP="00DC056F">
      <w:pPr>
        <w:jc w:val="both"/>
        <w:rPr>
          <w:rFonts w:ascii="Arial" w:hAnsi="Arial"/>
          <w:b/>
          <w:sz w:val="22"/>
          <w:szCs w:val="22"/>
        </w:rPr>
      </w:pPr>
    </w:p>
    <w:p w:rsidR="00DC056F" w:rsidRPr="009B6653" w:rsidRDefault="00DC056F" w:rsidP="00DC056F">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jc w:val="both"/>
        <w:rPr>
          <w:rFonts w:ascii="Arial" w:hAnsi="Arial"/>
          <w:b/>
          <w:sz w:val="22"/>
          <w:szCs w:val="22"/>
        </w:rPr>
      </w:pPr>
    </w:p>
    <w:p w:rsidR="00DC056F" w:rsidRPr="009B6653" w:rsidRDefault="00DC056F" w:rsidP="00DC056F">
      <w:pPr>
        <w:pStyle w:val="ListParagraph"/>
        <w:numPr>
          <w:ilvl w:val="0"/>
          <w:numId w:val="25"/>
        </w:numPr>
        <w:jc w:val="both"/>
        <w:rPr>
          <w:rFonts w:ascii="Arial" w:hAnsi="Arial"/>
          <w:sz w:val="22"/>
          <w:szCs w:val="22"/>
        </w:rPr>
      </w:pPr>
      <w:r w:rsidRPr="009B6653">
        <w:rPr>
          <w:rFonts w:ascii="Arial" w:hAnsi="Arial"/>
          <w:b/>
          <w:sz w:val="22"/>
          <w:szCs w:val="22"/>
        </w:rPr>
        <w:t>Background</w:t>
      </w:r>
    </w:p>
    <w:p w:rsidR="00DC056F" w:rsidRPr="009B6653" w:rsidRDefault="00DC056F" w:rsidP="00DC056F">
      <w:pPr>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cs="Arial"/>
          <w:sz w:val="22"/>
          <w:szCs w:val="22"/>
        </w:rPr>
      </w:pPr>
      <w:r w:rsidRPr="009B6653">
        <w:rPr>
          <w:rFonts w:ascii="Arial" w:hAnsi="Arial" w:cs="Arial"/>
          <w:sz w:val="22"/>
          <w:szCs w:val="22"/>
        </w:rPr>
        <w:t xml:space="preserve">Since the July 2013 submission,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has been approved by the TGA (3 July 2013) for the treatment of disease related splenomegaly or symptoms in patients with primary </w:t>
      </w:r>
      <w:proofErr w:type="spellStart"/>
      <w:r w:rsidRPr="009B6653">
        <w:rPr>
          <w:rFonts w:ascii="Arial" w:hAnsi="Arial" w:cs="Arial"/>
          <w:sz w:val="22"/>
          <w:szCs w:val="22"/>
        </w:rPr>
        <w:t>myelofibrosis</w:t>
      </w:r>
      <w:proofErr w:type="spellEnd"/>
      <w:r w:rsidR="006972E2" w:rsidRPr="009B6653">
        <w:rPr>
          <w:rFonts w:ascii="Arial" w:hAnsi="Arial" w:cs="Arial"/>
          <w:sz w:val="22"/>
          <w:szCs w:val="22"/>
        </w:rPr>
        <w:t>,</w:t>
      </w:r>
      <w:r w:rsidR="00A74BB8" w:rsidRPr="009B6653">
        <w:rPr>
          <w:rFonts w:ascii="Arial" w:hAnsi="Arial" w:cs="Arial"/>
          <w:sz w:val="22"/>
          <w:szCs w:val="22"/>
        </w:rPr>
        <w:t xml:space="preserve"> </w:t>
      </w:r>
      <w:r w:rsidRPr="009B6653">
        <w:rPr>
          <w:rFonts w:ascii="Arial" w:hAnsi="Arial" w:cs="Arial"/>
          <w:sz w:val="22"/>
          <w:szCs w:val="22"/>
        </w:rPr>
        <w:t>post-</w:t>
      </w:r>
      <w:proofErr w:type="spellStart"/>
      <w:r w:rsidRPr="009B6653">
        <w:rPr>
          <w:rFonts w:ascii="Arial" w:hAnsi="Arial" w:cs="Arial"/>
          <w:sz w:val="22"/>
          <w:szCs w:val="22"/>
        </w:rPr>
        <w:t>polycythemia</w:t>
      </w:r>
      <w:proofErr w:type="spellEnd"/>
      <w:r w:rsidRPr="009B6653">
        <w:rPr>
          <w:rFonts w:ascii="Arial" w:hAnsi="Arial" w:cs="Arial"/>
          <w:sz w:val="22"/>
          <w:szCs w:val="22"/>
        </w:rPr>
        <w:t xml:space="preserve"> </w:t>
      </w:r>
      <w:proofErr w:type="spellStart"/>
      <w:proofErr w:type="gramStart"/>
      <w:r w:rsidRPr="009B6653">
        <w:rPr>
          <w:rFonts w:ascii="Arial" w:hAnsi="Arial" w:cs="Arial"/>
          <w:sz w:val="22"/>
          <w:szCs w:val="22"/>
        </w:rPr>
        <w:t>vera</w:t>
      </w:r>
      <w:proofErr w:type="spellEnd"/>
      <w:proofErr w:type="gramEnd"/>
      <w:r w:rsidRPr="009B6653">
        <w:rPr>
          <w:rFonts w:ascii="Arial" w:hAnsi="Arial" w:cs="Arial"/>
          <w:sz w:val="22"/>
          <w:szCs w:val="22"/>
        </w:rPr>
        <w:t xml:space="preserve"> </w:t>
      </w:r>
      <w:proofErr w:type="spellStart"/>
      <w:r w:rsidRPr="009B6653">
        <w:rPr>
          <w:rFonts w:ascii="Arial" w:hAnsi="Arial" w:cs="Arial"/>
          <w:sz w:val="22"/>
          <w:szCs w:val="22"/>
        </w:rPr>
        <w:t>myelofibrosis</w:t>
      </w:r>
      <w:proofErr w:type="spellEnd"/>
      <w:r w:rsidR="006972E2" w:rsidRPr="009B6653">
        <w:rPr>
          <w:rFonts w:ascii="Arial" w:hAnsi="Arial" w:cs="Arial"/>
          <w:sz w:val="22"/>
          <w:szCs w:val="22"/>
        </w:rPr>
        <w:t>,</w:t>
      </w:r>
      <w:r w:rsidR="00A74BB8" w:rsidRPr="009B6653">
        <w:rPr>
          <w:rFonts w:ascii="Arial" w:hAnsi="Arial" w:cs="Arial"/>
          <w:sz w:val="22"/>
          <w:szCs w:val="22"/>
        </w:rPr>
        <w:t xml:space="preserve"> </w:t>
      </w:r>
      <w:r w:rsidRPr="009B6653">
        <w:rPr>
          <w:rFonts w:ascii="Arial" w:hAnsi="Arial" w:cs="Arial"/>
          <w:sz w:val="22"/>
          <w:szCs w:val="22"/>
        </w:rPr>
        <w:t xml:space="preserve">or post essential thrombocytopenia </w:t>
      </w:r>
      <w:proofErr w:type="spellStart"/>
      <w:r w:rsidRPr="009B6653">
        <w:rPr>
          <w:rFonts w:ascii="Arial" w:hAnsi="Arial" w:cs="Arial"/>
          <w:sz w:val="22"/>
          <w:szCs w:val="22"/>
        </w:rPr>
        <w:t>myelofibrosis</w:t>
      </w:r>
      <w:proofErr w:type="spellEnd"/>
      <w:r w:rsidR="00A74BB8" w:rsidRPr="009B6653">
        <w:rPr>
          <w:rFonts w:ascii="Arial" w:hAnsi="Arial" w:cs="Arial"/>
          <w:sz w:val="22"/>
          <w:szCs w:val="22"/>
        </w:rPr>
        <w:t>.</w:t>
      </w:r>
    </w:p>
    <w:p w:rsidR="00DC056F" w:rsidRPr="009B6653" w:rsidRDefault="00DC056F" w:rsidP="00DC056F">
      <w:pPr>
        <w:pStyle w:val="ListParagraph"/>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cs="Arial"/>
          <w:sz w:val="22"/>
          <w:szCs w:val="22"/>
        </w:rPr>
      </w:pPr>
      <w:r w:rsidRPr="009B6653">
        <w:rPr>
          <w:rFonts w:ascii="Arial" w:hAnsi="Arial" w:cs="Arial"/>
          <w:sz w:val="22"/>
          <w:szCs w:val="22"/>
        </w:rPr>
        <w:t xml:space="preserve">The TGA approved starting dose of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is 15 mg or 20 mg twice daily, depending on patients’ platelet counts; maintenance dose is based on efficacy/safety and can be between 5 mg to 25 mg twice daily.</w:t>
      </w:r>
      <w:r w:rsidRPr="009B6653">
        <w:rPr>
          <w:rFonts w:ascii="Arial" w:hAnsi="Arial" w:cs="Arial"/>
          <w:color w:val="FF0000"/>
          <w:sz w:val="22"/>
          <w:szCs w:val="22"/>
        </w:rPr>
        <w:t xml:space="preserve"> </w:t>
      </w:r>
    </w:p>
    <w:p w:rsidR="00DC056F" w:rsidRPr="009B6653" w:rsidRDefault="00DC056F" w:rsidP="00DC056F">
      <w:pPr>
        <w:pStyle w:val="ListParagraph"/>
        <w:jc w:val="both"/>
        <w:rPr>
          <w:rFonts w:ascii="Arial" w:hAnsi="Arial"/>
          <w:sz w:val="22"/>
          <w:szCs w:val="22"/>
        </w:rPr>
      </w:pPr>
    </w:p>
    <w:p w:rsidR="00DC056F" w:rsidRPr="009B6653" w:rsidRDefault="00DC056F" w:rsidP="00DC056F">
      <w:pPr>
        <w:pStyle w:val="ListParagraph"/>
        <w:numPr>
          <w:ilvl w:val="1"/>
          <w:numId w:val="25"/>
        </w:numPr>
        <w:jc w:val="both"/>
        <w:rPr>
          <w:rFonts w:ascii="Arial" w:hAnsi="Arial" w:cs="Arial"/>
          <w:sz w:val="22"/>
          <w:szCs w:val="22"/>
        </w:rPr>
      </w:pPr>
      <w:r w:rsidRPr="009B6653">
        <w:rPr>
          <w:rFonts w:ascii="Arial" w:hAnsi="Arial" w:cs="Arial"/>
          <w:sz w:val="22"/>
          <w:szCs w:val="22"/>
        </w:rPr>
        <w:t xml:space="preserve">In July 2013 the PBAC considered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for first line treatment in patients with intermediate-1, intermediate-2 and high risk </w:t>
      </w:r>
      <w:proofErr w:type="spellStart"/>
      <w:r w:rsidRPr="009B6653">
        <w:rPr>
          <w:rFonts w:ascii="Arial" w:hAnsi="Arial" w:cs="Arial"/>
          <w:sz w:val="22"/>
          <w:szCs w:val="22"/>
        </w:rPr>
        <w:t>myelofibrosis</w:t>
      </w:r>
      <w:proofErr w:type="spellEnd"/>
      <w:r w:rsidRPr="009B6653">
        <w:rPr>
          <w:rFonts w:ascii="Arial" w:hAnsi="Arial" w:cs="Arial"/>
          <w:sz w:val="22"/>
          <w:szCs w:val="22"/>
        </w:rPr>
        <w:t xml:space="preserve">.  The submission relied on pivotal trials COMFORT </w:t>
      </w:r>
      <w:proofErr w:type="gramStart"/>
      <w:r w:rsidRPr="009B6653">
        <w:rPr>
          <w:rFonts w:ascii="Arial" w:hAnsi="Arial" w:cs="Arial"/>
          <w:sz w:val="22"/>
          <w:szCs w:val="22"/>
        </w:rPr>
        <w:t>I</w:t>
      </w:r>
      <w:proofErr w:type="gramEnd"/>
      <w:r w:rsidRPr="009B6653">
        <w:rPr>
          <w:rFonts w:ascii="Arial" w:hAnsi="Arial" w:cs="Arial"/>
          <w:sz w:val="22"/>
          <w:szCs w:val="22"/>
        </w:rPr>
        <w:t xml:space="preserve"> and COMFORT II, which enrolled high risk and intermediate-2 risk patients.  Results for overall survival (OS) reported at 112 weeks (observed in the extension study for the COMFORT II trial) were used in the modelled economic evaluation (HR=0.51; 95% CI: 0.27, 0.99). An ICER of </w:t>
      </w:r>
      <w:r w:rsidR="00473CDE">
        <w:rPr>
          <w:rFonts w:ascii="Arial" w:hAnsi="Arial" w:cs="Arial"/>
          <w:sz w:val="22"/>
          <w:szCs w:val="22"/>
        </w:rPr>
        <w:t>$45,000 – $75,000</w:t>
      </w:r>
      <w:r w:rsidRPr="009B6653">
        <w:rPr>
          <w:rFonts w:ascii="Arial" w:hAnsi="Arial" w:cs="Arial"/>
          <w:sz w:val="22"/>
          <w:szCs w:val="22"/>
        </w:rPr>
        <w:t xml:space="preserve">/QALY </w:t>
      </w:r>
      <w:proofErr w:type="gramStart"/>
      <w:r w:rsidRPr="009B6653">
        <w:rPr>
          <w:rFonts w:ascii="Arial" w:hAnsi="Arial" w:cs="Arial"/>
          <w:sz w:val="22"/>
          <w:szCs w:val="22"/>
        </w:rPr>
        <w:t>was</w:t>
      </w:r>
      <w:proofErr w:type="gramEnd"/>
      <w:r w:rsidRPr="009B6653">
        <w:rPr>
          <w:rFonts w:ascii="Arial" w:hAnsi="Arial" w:cs="Arial"/>
          <w:sz w:val="22"/>
          <w:szCs w:val="22"/>
        </w:rPr>
        <w:t xml:space="preserve"> reported (extrapolating from 2 years in the trial to 10 years).  The PBAC considered that the magnitude of the survival gain of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was hard to determine from the included trials due to design issues</w:t>
      </w:r>
      <w:r w:rsidR="00F87CAE">
        <w:rPr>
          <w:rFonts w:ascii="Arial" w:hAnsi="Arial" w:cs="Arial"/>
          <w:sz w:val="22"/>
          <w:szCs w:val="22"/>
        </w:rPr>
        <w:t xml:space="preserve"> in</w:t>
      </w:r>
      <w:r w:rsidR="006C3924" w:rsidRPr="009B6653">
        <w:rPr>
          <w:rFonts w:ascii="Arial" w:hAnsi="Arial" w:cs="Arial"/>
          <w:sz w:val="22"/>
          <w:szCs w:val="22"/>
        </w:rPr>
        <w:t>c</w:t>
      </w:r>
      <w:r w:rsidR="00F87CAE">
        <w:rPr>
          <w:rFonts w:ascii="Arial" w:hAnsi="Arial" w:cs="Arial"/>
          <w:sz w:val="22"/>
          <w:szCs w:val="22"/>
        </w:rPr>
        <w:t>l</w:t>
      </w:r>
      <w:r w:rsidR="006C3924" w:rsidRPr="009B6653">
        <w:rPr>
          <w:rFonts w:ascii="Arial" w:hAnsi="Arial" w:cs="Arial"/>
          <w:sz w:val="22"/>
          <w:szCs w:val="22"/>
        </w:rPr>
        <w:t>uding</w:t>
      </w:r>
      <w:r w:rsidRPr="009B6653">
        <w:rPr>
          <w:rFonts w:ascii="Arial" w:hAnsi="Arial" w:cs="Arial"/>
          <w:sz w:val="22"/>
          <w:szCs w:val="22"/>
        </w:rPr>
        <w:t xml:space="preserve"> the high rates of discontinuation and cross over from the control arm of the trials.  The PBAC also considered there were major issues with the model, in regards to the extrapolation of survival benefit, </w:t>
      </w:r>
      <w:proofErr w:type="spellStart"/>
      <w:r w:rsidRPr="009B6653">
        <w:rPr>
          <w:rFonts w:ascii="Arial" w:hAnsi="Arial" w:cs="Arial"/>
          <w:sz w:val="22"/>
          <w:szCs w:val="22"/>
        </w:rPr>
        <w:t>QoL</w:t>
      </w:r>
      <w:proofErr w:type="spellEnd"/>
      <w:r w:rsidRPr="009B6653">
        <w:rPr>
          <w:rFonts w:ascii="Arial" w:hAnsi="Arial" w:cs="Arial"/>
          <w:sz w:val="22"/>
          <w:szCs w:val="22"/>
        </w:rPr>
        <w:t xml:space="preserve"> gains and health resource utilisation from the trial population to the broader population; the utilities derived from the sponsor developed standard gamble study and model structure not permitting the capture of rapid progression after discontinuation in a small minority of patients.  The listing was rejected on the basis of a high and unacceptable ICER.</w:t>
      </w:r>
      <w:r w:rsidRPr="009B6653">
        <w:rPr>
          <w:rFonts w:ascii="Arial" w:hAnsi="Arial" w:cs="Arial"/>
          <w:color w:val="FF0000"/>
          <w:sz w:val="22"/>
          <w:szCs w:val="22"/>
        </w:rPr>
        <w:t xml:space="preserve"> </w:t>
      </w:r>
    </w:p>
    <w:p w:rsidR="00DC056F" w:rsidRPr="009B6653" w:rsidRDefault="00DC056F" w:rsidP="00DC056F">
      <w:pPr>
        <w:pStyle w:val="ListParagraph"/>
        <w:rPr>
          <w:rFonts w:ascii="Arial" w:hAnsi="Arial"/>
          <w:sz w:val="22"/>
          <w:szCs w:val="22"/>
        </w:rPr>
      </w:pPr>
    </w:p>
    <w:p w:rsidR="00DC056F" w:rsidRPr="009B6653" w:rsidRDefault="00DC056F" w:rsidP="00DC056F">
      <w:pPr>
        <w:pStyle w:val="ListParagraph"/>
        <w:numPr>
          <w:ilvl w:val="0"/>
          <w:numId w:val="25"/>
        </w:numPr>
        <w:jc w:val="both"/>
        <w:rPr>
          <w:rFonts w:ascii="Arial" w:hAnsi="Arial"/>
          <w:b/>
          <w:sz w:val="22"/>
          <w:szCs w:val="22"/>
        </w:rPr>
      </w:pPr>
      <w:r w:rsidRPr="009B6653">
        <w:rPr>
          <w:rFonts w:ascii="Arial" w:hAnsi="Arial"/>
          <w:b/>
          <w:sz w:val="22"/>
          <w:szCs w:val="22"/>
        </w:rPr>
        <w:t>Clinical place for the proposed therapy</w:t>
      </w:r>
    </w:p>
    <w:p w:rsidR="00DC056F" w:rsidRPr="009B6653" w:rsidRDefault="00DC056F" w:rsidP="00DC056F">
      <w:pPr>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The clinical place for the proposed therapy for this drug is s</w:t>
      </w:r>
      <w:r w:rsidRPr="009B6653">
        <w:rPr>
          <w:rFonts w:ascii="Arial" w:hAnsi="Arial" w:cs="Arial"/>
          <w:iCs/>
          <w:sz w:val="22"/>
          <w:szCs w:val="22"/>
        </w:rPr>
        <w:t xml:space="preserve">econd line treatment for patients with intermediate-2 risk or high-risk </w:t>
      </w:r>
      <w:proofErr w:type="spellStart"/>
      <w:r w:rsidR="006972E2" w:rsidRPr="009B6653">
        <w:rPr>
          <w:rFonts w:ascii="Arial" w:hAnsi="Arial" w:cs="Arial"/>
          <w:iCs/>
          <w:sz w:val="22"/>
          <w:szCs w:val="22"/>
        </w:rPr>
        <w:t>myelofibrosis</w:t>
      </w:r>
      <w:proofErr w:type="spellEnd"/>
      <w:r w:rsidRPr="009B6653">
        <w:rPr>
          <w:rFonts w:ascii="Arial" w:hAnsi="Arial" w:cs="Arial"/>
          <w:iCs/>
          <w:sz w:val="22"/>
          <w:szCs w:val="22"/>
        </w:rPr>
        <w:t xml:space="preserve"> (in accordance with IPSS) who are resistant refractory, or intolerant or not a candidate for available therapy</w:t>
      </w:r>
      <w:r w:rsidRPr="009B6653">
        <w:rPr>
          <w:iCs/>
        </w:rPr>
        <w:t xml:space="preserve">. </w:t>
      </w:r>
    </w:p>
    <w:p w:rsidR="00DC056F" w:rsidRPr="009B6653" w:rsidRDefault="00DC056F" w:rsidP="00DC056F">
      <w:pPr>
        <w:pStyle w:val="ListParagraph"/>
        <w:jc w:val="both"/>
        <w:rPr>
          <w:rFonts w:ascii="Arial" w:hAnsi="Arial"/>
          <w:sz w:val="22"/>
          <w:szCs w:val="22"/>
        </w:rPr>
      </w:pPr>
    </w:p>
    <w:p w:rsidR="00DC056F" w:rsidRPr="009B6653" w:rsidRDefault="00DC056F" w:rsidP="00DC056F">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pStyle w:val="Header"/>
        <w:tabs>
          <w:tab w:val="clear" w:pos="4153"/>
          <w:tab w:val="clear" w:pos="8306"/>
        </w:tabs>
        <w:jc w:val="both"/>
        <w:rPr>
          <w:rFonts w:ascii="Arial" w:hAnsi="Arial"/>
          <w:sz w:val="22"/>
          <w:szCs w:val="22"/>
        </w:rPr>
      </w:pPr>
    </w:p>
    <w:p w:rsidR="00DC056F" w:rsidRPr="009B6653" w:rsidRDefault="00DC056F" w:rsidP="00DC056F">
      <w:pPr>
        <w:pStyle w:val="Header"/>
        <w:numPr>
          <w:ilvl w:val="0"/>
          <w:numId w:val="25"/>
        </w:numPr>
        <w:tabs>
          <w:tab w:val="clear" w:pos="4153"/>
          <w:tab w:val="clear" w:pos="8306"/>
        </w:tabs>
        <w:jc w:val="both"/>
        <w:rPr>
          <w:rFonts w:ascii="Arial" w:hAnsi="Arial"/>
          <w:b/>
          <w:sz w:val="22"/>
          <w:szCs w:val="22"/>
        </w:rPr>
      </w:pPr>
      <w:r w:rsidRPr="009B6653">
        <w:rPr>
          <w:rFonts w:ascii="Arial" w:hAnsi="Arial"/>
          <w:b/>
          <w:sz w:val="22"/>
          <w:szCs w:val="22"/>
        </w:rPr>
        <w:t>Comparator</w:t>
      </w:r>
    </w:p>
    <w:p w:rsidR="00DC056F" w:rsidRPr="009B6653" w:rsidRDefault="00DC056F" w:rsidP="00DC056F">
      <w:pPr>
        <w:pStyle w:val="Header"/>
        <w:tabs>
          <w:tab w:val="clear" w:pos="4153"/>
          <w:tab w:val="clear" w:pos="8306"/>
        </w:tabs>
        <w:jc w:val="both"/>
        <w:rPr>
          <w:rFonts w:ascii="Arial" w:hAnsi="Arial" w:cs="Arial"/>
          <w:b/>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lastRenderedPageBreak/>
        <w:t xml:space="preserve">The nominated comparator is placebo and this was accepted by ESC.  The change from best available therapy (BAT) to placebo between submissions </w:t>
      </w:r>
      <w:r w:rsidR="006C3924" w:rsidRPr="009B6653">
        <w:rPr>
          <w:rFonts w:ascii="Arial" w:hAnsi="Arial" w:cs="Arial"/>
          <w:sz w:val="22"/>
          <w:szCs w:val="22"/>
        </w:rPr>
        <w:t>was</w:t>
      </w:r>
      <w:r w:rsidRPr="009B6653">
        <w:rPr>
          <w:rFonts w:ascii="Arial" w:hAnsi="Arial" w:cs="Arial"/>
          <w:sz w:val="22"/>
          <w:szCs w:val="22"/>
        </w:rPr>
        <w:t xml:space="preserve"> considered appropriate given the requested listing is now for a second line population.</w:t>
      </w:r>
      <w:r w:rsidRPr="009B6653">
        <w:rPr>
          <w:rFonts w:ascii="Arial" w:hAnsi="Arial" w:cs="Arial"/>
          <w:color w:val="FF0000"/>
          <w:sz w:val="22"/>
          <w:szCs w:val="22"/>
        </w:rPr>
        <w:t xml:space="preserve"> </w:t>
      </w:r>
    </w:p>
    <w:p w:rsidR="00DC056F" w:rsidRPr="009B6653" w:rsidRDefault="00DC056F" w:rsidP="00DC056F">
      <w:pPr>
        <w:pStyle w:val="ListParagraph"/>
        <w:jc w:val="both"/>
        <w:rPr>
          <w:rFonts w:ascii="Arial" w:hAnsi="Arial"/>
          <w:sz w:val="22"/>
          <w:szCs w:val="22"/>
        </w:rPr>
      </w:pPr>
    </w:p>
    <w:p w:rsidR="00DC056F" w:rsidRPr="009B6653" w:rsidRDefault="00DC056F" w:rsidP="00DC056F">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pStyle w:val="ListParagraph"/>
        <w:jc w:val="both"/>
        <w:rPr>
          <w:rFonts w:ascii="Arial" w:hAnsi="Arial"/>
          <w:sz w:val="22"/>
          <w:szCs w:val="22"/>
        </w:rPr>
      </w:pPr>
    </w:p>
    <w:p w:rsidR="00DC056F" w:rsidRPr="009B6653" w:rsidRDefault="00DC056F" w:rsidP="00DC056F">
      <w:pPr>
        <w:pStyle w:val="Header"/>
        <w:numPr>
          <w:ilvl w:val="0"/>
          <w:numId w:val="25"/>
        </w:numPr>
        <w:tabs>
          <w:tab w:val="clear" w:pos="4153"/>
          <w:tab w:val="clear" w:pos="8306"/>
        </w:tabs>
        <w:jc w:val="both"/>
        <w:rPr>
          <w:rFonts w:ascii="Arial" w:hAnsi="Arial"/>
          <w:b/>
          <w:sz w:val="22"/>
          <w:szCs w:val="22"/>
        </w:rPr>
      </w:pPr>
      <w:r w:rsidRPr="009B6653">
        <w:rPr>
          <w:rFonts w:ascii="Arial" w:hAnsi="Arial"/>
          <w:b/>
          <w:sz w:val="22"/>
          <w:szCs w:val="22"/>
        </w:rPr>
        <w:t>Consideration of the evidence</w:t>
      </w:r>
    </w:p>
    <w:p w:rsidR="00DC056F" w:rsidRPr="009B6653" w:rsidRDefault="00DC056F" w:rsidP="00DC056F">
      <w:pPr>
        <w:jc w:val="both"/>
        <w:rPr>
          <w:rFonts w:ascii="Arial" w:hAnsi="Arial"/>
          <w:b/>
          <w:sz w:val="22"/>
          <w:szCs w:val="22"/>
        </w:rPr>
      </w:pPr>
    </w:p>
    <w:p w:rsidR="00DC056F" w:rsidRPr="009B6653" w:rsidRDefault="00DC056F" w:rsidP="00DC056F">
      <w:pPr>
        <w:jc w:val="both"/>
        <w:rPr>
          <w:rFonts w:ascii="Arial" w:hAnsi="Arial"/>
          <w:b/>
          <w:sz w:val="22"/>
          <w:szCs w:val="22"/>
        </w:rPr>
      </w:pPr>
      <w:r w:rsidRPr="009B6653">
        <w:rPr>
          <w:rFonts w:ascii="Arial" w:hAnsi="Arial"/>
          <w:b/>
          <w:i/>
          <w:sz w:val="22"/>
          <w:szCs w:val="22"/>
        </w:rPr>
        <w:t>Sponsor hearing</w:t>
      </w:r>
    </w:p>
    <w:p w:rsidR="00DC056F" w:rsidRPr="009B6653" w:rsidRDefault="00DC056F" w:rsidP="00DC056F">
      <w:pPr>
        <w:pStyle w:val="ListParagraph"/>
        <w:ind w:left="709"/>
        <w:jc w:val="both"/>
        <w:rPr>
          <w:rFonts w:ascii="Arial" w:hAnsi="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sz w:val="22"/>
          <w:szCs w:val="22"/>
        </w:rPr>
        <w:t>There was no hearing for this item</w:t>
      </w:r>
      <w:r w:rsidR="006F2C1C" w:rsidRPr="009B6653">
        <w:rPr>
          <w:rFonts w:ascii="Arial" w:hAnsi="Arial"/>
          <w:sz w:val="22"/>
          <w:szCs w:val="22"/>
        </w:rPr>
        <w:t>.</w:t>
      </w:r>
    </w:p>
    <w:p w:rsidR="00DC056F" w:rsidRPr="009B6653" w:rsidRDefault="00DC056F" w:rsidP="00DC056F">
      <w:pPr>
        <w:pStyle w:val="ListParagraph"/>
        <w:ind w:left="709"/>
        <w:jc w:val="both"/>
        <w:rPr>
          <w:rFonts w:ascii="Arial" w:hAnsi="Arial"/>
          <w:sz w:val="22"/>
          <w:szCs w:val="22"/>
        </w:rPr>
      </w:pPr>
    </w:p>
    <w:p w:rsidR="00DC056F" w:rsidRPr="009B6653" w:rsidRDefault="00DC056F" w:rsidP="00DC056F">
      <w:pPr>
        <w:jc w:val="both"/>
        <w:rPr>
          <w:rFonts w:ascii="Arial" w:hAnsi="Arial"/>
          <w:b/>
          <w:i/>
          <w:sz w:val="22"/>
          <w:szCs w:val="22"/>
        </w:rPr>
      </w:pPr>
      <w:r w:rsidRPr="009B6653">
        <w:rPr>
          <w:rFonts w:ascii="Arial" w:hAnsi="Arial"/>
          <w:b/>
          <w:i/>
          <w:sz w:val="22"/>
          <w:szCs w:val="22"/>
        </w:rPr>
        <w:t>Consumer comments</w:t>
      </w:r>
    </w:p>
    <w:p w:rsidR="00DC056F" w:rsidRPr="009B6653" w:rsidRDefault="00DC056F" w:rsidP="00DC056F">
      <w:pPr>
        <w:pStyle w:val="ListParagraph"/>
        <w:ind w:left="709"/>
        <w:jc w:val="both"/>
        <w:rPr>
          <w:rFonts w:ascii="Arial" w:hAnsi="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sz w:val="22"/>
          <w:szCs w:val="22"/>
        </w:rPr>
        <w:t xml:space="preserve">The PBAC noted and welcomed the input from individuals (2) and organisations (1) via the Consumer Comments facility on the PBS website.  The comments described a range of benefits of treatment with </w:t>
      </w:r>
      <w:proofErr w:type="spellStart"/>
      <w:r w:rsidRPr="009B6653">
        <w:rPr>
          <w:rFonts w:ascii="Arial" w:hAnsi="Arial"/>
          <w:sz w:val="22"/>
          <w:szCs w:val="22"/>
        </w:rPr>
        <w:t>ruxolitinib</w:t>
      </w:r>
      <w:proofErr w:type="spellEnd"/>
      <w:r w:rsidRPr="009B6653">
        <w:rPr>
          <w:rFonts w:ascii="Arial" w:hAnsi="Arial"/>
          <w:sz w:val="22"/>
          <w:szCs w:val="22"/>
        </w:rPr>
        <w:t xml:space="preserve">, including improved prognosis, improved quality of life due to greatly reduced morbidity, and a more manageable treatment regimen. </w:t>
      </w:r>
    </w:p>
    <w:p w:rsidR="00DC056F" w:rsidRPr="009B6653" w:rsidRDefault="00DC056F" w:rsidP="00DC056F">
      <w:pPr>
        <w:jc w:val="both"/>
        <w:rPr>
          <w:rFonts w:ascii="Arial" w:hAnsi="Arial"/>
          <w:b/>
          <w:sz w:val="22"/>
          <w:szCs w:val="22"/>
        </w:rPr>
      </w:pPr>
    </w:p>
    <w:p w:rsidR="00DC056F" w:rsidRPr="009B6653" w:rsidRDefault="00DC056F" w:rsidP="00DC056F">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ind w:left="709"/>
        <w:jc w:val="both"/>
        <w:rPr>
          <w:rFonts w:ascii="Arial" w:hAnsi="Arial"/>
          <w:b/>
          <w:sz w:val="22"/>
          <w:szCs w:val="22"/>
        </w:rPr>
      </w:pPr>
    </w:p>
    <w:p w:rsidR="00DC056F" w:rsidRPr="009B6653" w:rsidRDefault="00DC056F" w:rsidP="00DC056F">
      <w:pPr>
        <w:jc w:val="both"/>
        <w:rPr>
          <w:rFonts w:ascii="Arial" w:hAnsi="Arial"/>
          <w:sz w:val="22"/>
          <w:szCs w:val="22"/>
        </w:rPr>
      </w:pPr>
      <w:r w:rsidRPr="009B6653">
        <w:rPr>
          <w:rFonts w:ascii="Arial" w:hAnsi="Arial"/>
          <w:b/>
          <w:i/>
          <w:sz w:val="22"/>
          <w:szCs w:val="22"/>
        </w:rPr>
        <w:t>Clinical trials</w:t>
      </w:r>
    </w:p>
    <w:p w:rsidR="00DC056F" w:rsidRPr="009B6653" w:rsidRDefault="00DC056F" w:rsidP="00DC056F">
      <w:pPr>
        <w:pStyle w:val="ListParagraph"/>
        <w:ind w:left="709"/>
        <w:jc w:val="both"/>
        <w:rPr>
          <w:rFonts w:ascii="Arial" w:hAnsi="Arial"/>
          <w:sz w:val="22"/>
          <w:szCs w:val="22"/>
        </w:rPr>
      </w:pPr>
    </w:p>
    <w:p w:rsidR="00DC056F" w:rsidRPr="009B6653" w:rsidRDefault="006C3924" w:rsidP="00DC056F">
      <w:pPr>
        <w:pStyle w:val="ListParagraph"/>
        <w:numPr>
          <w:ilvl w:val="1"/>
          <w:numId w:val="25"/>
        </w:numPr>
        <w:jc w:val="both"/>
        <w:rPr>
          <w:i/>
        </w:rPr>
      </w:pPr>
      <w:r w:rsidRPr="009B6653">
        <w:rPr>
          <w:rFonts w:ascii="Arial" w:hAnsi="Arial" w:cs="Arial"/>
          <w:sz w:val="22"/>
          <w:szCs w:val="22"/>
        </w:rPr>
        <w:t>T</w:t>
      </w:r>
      <w:r w:rsidR="00DC056F" w:rsidRPr="009B6653">
        <w:rPr>
          <w:rFonts w:ascii="Arial" w:hAnsi="Arial" w:cs="Arial"/>
          <w:sz w:val="22"/>
          <w:szCs w:val="22"/>
        </w:rPr>
        <w:t xml:space="preserve">he basis of the resubmission is unchanged from the July 2013 submission; although updated OS data to 3 years is presented (data up to 2 years was presented in the previous submission). </w:t>
      </w:r>
    </w:p>
    <w:p w:rsidR="00A74BB8" w:rsidRPr="009B6653" w:rsidRDefault="00A74BB8" w:rsidP="00A74BB8">
      <w:pPr>
        <w:pStyle w:val="ListParagraph"/>
        <w:jc w:val="both"/>
        <w:rPr>
          <w:i/>
        </w:rPr>
      </w:pPr>
    </w:p>
    <w:p w:rsidR="00DC056F" w:rsidRPr="009B6653" w:rsidRDefault="00DC056F" w:rsidP="004A7FF2">
      <w:pPr>
        <w:ind w:firstLine="720"/>
        <w:rPr>
          <w:rStyle w:val="CommentReference"/>
          <w:rFonts w:ascii="Arial" w:hAnsi="Arial" w:cs="Arial"/>
          <w:b/>
          <w:sz w:val="20"/>
          <w:szCs w:val="20"/>
        </w:rPr>
      </w:pPr>
      <w:r w:rsidRPr="009B6653">
        <w:rPr>
          <w:rStyle w:val="CommentReference"/>
          <w:rFonts w:ascii="Arial" w:hAnsi="Arial" w:cs="Arial"/>
          <w:b/>
          <w:sz w:val="20"/>
          <w:szCs w:val="20"/>
        </w:rPr>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features of the included evidence"/>
      </w:tblPr>
      <w:tblGrid>
        <w:gridCol w:w="1165"/>
        <w:gridCol w:w="390"/>
        <w:gridCol w:w="1973"/>
        <w:gridCol w:w="612"/>
        <w:gridCol w:w="1551"/>
        <w:gridCol w:w="1389"/>
        <w:gridCol w:w="1283"/>
      </w:tblGrid>
      <w:tr w:rsidR="004A7FF2" w:rsidRPr="009B6653" w:rsidTr="004A7FF2">
        <w:trPr>
          <w:trHeight w:val="708"/>
        </w:trPr>
        <w:tc>
          <w:tcPr>
            <w:tcW w:w="697" w:type="pct"/>
            <w:shd w:val="clear" w:color="auto" w:fill="auto"/>
            <w:vAlign w:val="center"/>
          </w:tcPr>
          <w:p w:rsidR="00DC056F" w:rsidRPr="009B6653" w:rsidRDefault="00DC056F" w:rsidP="00FD7377">
            <w:pPr>
              <w:rPr>
                <w:rFonts w:ascii="Arial" w:hAnsi="Arial" w:cs="Arial"/>
                <w:b/>
                <w:sz w:val="20"/>
                <w:szCs w:val="20"/>
                <w:lang w:val="en-US"/>
              </w:rPr>
            </w:pPr>
            <w:r w:rsidRPr="009B6653">
              <w:rPr>
                <w:rFonts w:ascii="Arial" w:hAnsi="Arial" w:cs="Arial"/>
                <w:b/>
                <w:sz w:val="20"/>
                <w:szCs w:val="20"/>
                <w:lang w:val="en-US"/>
              </w:rPr>
              <w:t>Trial</w:t>
            </w:r>
          </w:p>
        </w:tc>
        <w:tc>
          <w:tcPr>
            <w:tcW w:w="233"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N</w:t>
            </w:r>
          </w:p>
        </w:tc>
        <w:tc>
          <w:tcPr>
            <w:tcW w:w="1180"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Design/ duration</w:t>
            </w:r>
          </w:p>
        </w:tc>
        <w:tc>
          <w:tcPr>
            <w:tcW w:w="366"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Risk of bias</w:t>
            </w:r>
          </w:p>
        </w:tc>
        <w:tc>
          <w:tcPr>
            <w:tcW w:w="927"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Patient population</w:t>
            </w:r>
          </w:p>
        </w:tc>
        <w:tc>
          <w:tcPr>
            <w:tcW w:w="830"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Outcomes</w:t>
            </w:r>
          </w:p>
        </w:tc>
        <w:tc>
          <w:tcPr>
            <w:tcW w:w="767" w:type="pct"/>
            <w:shd w:val="clear" w:color="auto" w:fill="auto"/>
            <w:vAlign w:val="center"/>
          </w:tcPr>
          <w:p w:rsidR="00DC056F" w:rsidRPr="009B6653" w:rsidRDefault="00DC056F" w:rsidP="00FD7377">
            <w:pPr>
              <w:jc w:val="center"/>
              <w:rPr>
                <w:rFonts w:ascii="Arial" w:hAnsi="Arial" w:cs="Arial"/>
                <w:b/>
                <w:sz w:val="20"/>
                <w:szCs w:val="20"/>
                <w:lang w:val="en-US"/>
              </w:rPr>
            </w:pPr>
            <w:r w:rsidRPr="009B6653">
              <w:rPr>
                <w:rFonts w:ascii="Arial" w:hAnsi="Arial" w:cs="Arial"/>
                <w:b/>
                <w:sz w:val="20"/>
                <w:szCs w:val="20"/>
                <w:lang w:val="en-US"/>
              </w:rPr>
              <w:t>Use in modelled evaluation</w:t>
            </w:r>
          </w:p>
        </w:tc>
      </w:tr>
      <w:tr w:rsidR="00DC056F" w:rsidRPr="009B6653" w:rsidTr="004A7FF2">
        <w:trPr>
          <w:trHeight w:val="231"/>
        </w:trPr>
        <w:tc>
          <w:tcPr>
            <w:tcW w:w="5000" w:type="pct"/>
            <w:gridSpan w:val="7"/>
            <w:shd w:val="clear" w:color="auto" w:fill="auto"/>
            <w:vAlign w:val="center"/>
          </w:tcPr>
          <w:p w:rsidR="00DC056F" w:rsidRPr="009B6653" w:rsidRDefault="00DC056F" w:rsidP="00FD7377">
            <w:pPr>
              <w:rPr>
                <w:rFonts w:ascii="Arial" w:hAnsi="Arial" w:cs="Arial"/>
                <w:b/>
                <w:sz w:val="20"/>
                <w:szCs w:val="20"/>
                <w:lang w:val="en-US"/>
              </w:rPr>
            </w:pPr>
            <w:proofErr w:type="spellStart"/>
            <w:r w:rsidRPr="009B6653">
              <w:rPr>
                <w:rFonts w:ascii="Arial" w:hAnsi="Arial" w:cs="Arial"/>
                <w:b/>
                <w:sz w:val="20"/>
                <w:szCs w:val="20"/>
                <w:lang w:val="en-US"/>
              </w:rPr>
              <w:t>Ruxolitinib</w:t>
            </w:r>
            <w:proofErr w:type="spellEnd"/>
            <w:r w:rsidRPr="009B6653">
              <w:rPr>
                <w:rFonts w:ascii="Arial" w:hAnsi="Arial" w:cs="Arial"/>
                <w:b/>
                <w:sz w:val="20"/>
                <w:szCs w:val="20"/>
                <w:lang w:val="en-US"/>
              </w:rPr>
              <w:t xml:space="preserve"> vs Placebo</w:t>
            </w:r>
          </w:p>
        </w:tc>
      </w:tr>
      <w:tr w:rsidR="004A7FF2" w:rsidRPr="009B6653" w:rsidTr="004A7FF2">
        <w:trPr>
          <w:trHeight w:val="1401"/>
        </w:trPr>
        <w:tc>
          <w:tcPr>
            <w:tcW w:w="697" w:type="pct"/>
            <w:shd w:val="clear" w:color="auto" w:fill="auto"/>
            <w:vAlign w:val="center"/>
          </w:tcPr>
          <w:p w:rsidR="00DC056F" w:rsidRPr="009B6653" w:rsidRDefault="00DC056F" w:rsidP="00FD7377">
            <w:pPr>
              <w:rPr>
                <w:rFonts w:ascii="Arial" w:hAnsi="Arial" w:cs="Arial"/>
                <w:sz w:val="20"/>
                <w:szCs w:val="20"/>
                <w:lang w:val="en-US"/>
              </w:rPr>
            </w:pPr>
            <w:r w:rsidRPr="009B6653">
              <w:rPr>
                <w:rFonts w:ascii="Arial" w:hAnsi="Arial" w:cs="Arial"/>
                <w:sz w:val="20"/>
                <w:szCs w:val="20"/>
                <w:lang w:val="en-US"/>
              </w:rPr>
              <w:t>COMFORT I</w:t>
            </w:r>
          </w:p>
        </w:tc>
        <w:tc>
          <w:tcPr>
            <w:tcW w:w="233"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309</w:t>
            </w:r>
          </w:p>
        </w:tc>
        <w:tc>
          <w:tcPr>
            <w:tcW w:w="1180"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R, DB</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24 week plus extension study (144 weeks FU so far)</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Cross over allowed during DB period</w:t>
            </w:r>
          </w:p>
        </w:tc>
        <w:tc>
          <w:tcPr>
            <w:tcW w:w="366"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Low during R DB phase</w:t>
            </w:r>
          </w:p>
        </w:tc>
        <w:tc>
          <w:tcPr>
            <w:tcW w:w="927"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IPSS intermediate 2 or high risk, splenomegaly, refractory or intolerant to BAT</w:t>
            </w:r>
          </w:p>
        </w:tc>
        <w:tc>
          <w:tcPr>
            <w:tcW w:w="830"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 xml:space="preserve">Patients with ≥35%reduction in spleen volume </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 xml:space="preserve">OS </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MF symptom</w:t>
            </w:r>
          </w:p>
        </w:tc>
        <w:tc>
          <w:tcPr>
            <w:tcW w:w="767"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Yes primary source of evidence</w:t>
            </w:r>
          </w:p>
        </w:tc>
      </w:tr>
      <w:tr w:rsidR="00DC056F" w:rsidRPr="009B6653" w:rsidTr="004A7FF2">
        <w:trPr>
          <w:trHeight w:val="231"/>
        </w:trPr>
        <w:tc>
          <w:tcPr>
            <w:tcW w:w="5000" w:type="pct"/>
            <w:gridSpan w:val="7"/>
            <w:shd w:val="clear" w:color="auto" w:fill="auto"/>
            <w:vAlign w:val="center"/>
          </w:tcPr>
          <w:p w:rsidR="00DC056F" w:rsidRPr="009B6653" w:rsidRDefault="00DC056F" w:rsidP="00FD7377">
            <w:pPr>
              <w:rPr>
                <w:rFonts w:ascii="Arial" w:hAnsi="Arial" w:cs="Arial"/>
                <w:b/>
                <w:sz w:val="20"/>
                <w:szCs w:val="20"/>
                <w:lang w:val="en-US"/>
              </w:rPr>
            </w:pPr>
            <w:proofErr w:type="spellStart"/>
            <w:r w:rsidRPr="009B6653">
              <w:rPr>
                <w:rFonts w:ascii="Arial" w:hAnsi="Arial" w:cs="Arial"/>
                <w:b/>
                <w:sz w:val="20"/>
                <w:szCs w:val="20"/>
                <w:lang w:val="en-US"/>
              </w:rPr>
              <w:t>Ruxolitinib</w:t>
            </w:r>
            <w:proofErr w:type="spellEnd"/>
            <w:r w:rsidRPr="009B6653">
              <w:rPr>
                <w:rFonts w:ascii="Arial" w:hAnsi="Arial" w:cs="Arial"/>
                <w:b/>
                <w:sz w:val="20"/>
                <w:szCs w:val="20"/>
                <w:lang w:val="en-US"/>
              </w:rPr>
              <w:t xml:space="preserve"> versus BAT</w:t>
            </w:r>
          </w:p>
        </w:tc>
      </w:tr>
      <w:tr w:rsidR="004A7FF2" w:rsidRPr="009B6653" w:rsidTr="004A7FF2">
        <w:trPr>
          <w:trHeight w:val="2602"/>
        </w:trPr>
        <w:tc>
          <w:tcPr>
            <w:tcW w:w="697" w:type="pct"/>
            <w:shd w:val="clear" w:color="auto" w:fill="auto"/>
            <w:vAlign w:val="center"/>
          </w:tcPr>
          <w:p w:rsidR="00DC056F" w:rsidRPr="009B6653" w:rsidRDefault="00DC056F" w:rsidP="00FD7377">
            <w:pPr>
              <w:rPr>
                <w:rFonts w:ascii="Arial" w:hAnsi="Arial" w:cs="Arial"/>
                <w:sz w:val="20"/>
                <w:szCs w:val="20"/>
                <w:lang w:val="en-US"/>
              </w:rPr>
            </w:pPr>
            <w:r w:rsidRPr="009B6653">
              <w:rPr>
                <w:rFonts w:ascii="Arial" w:hAnsi="Arial" w:cs="Arial"/>
                <w:sz w:val="20"/>
                <w:szCs w:val="20"/>
                <w:lang w:val="en-US"/>
              </w:rPr>
              <w:t>COMFORT II</w:t>
            </w:r>
          </w:p>
        </w:tc>
        <w:tc>
          <w:tcPr>
            <w:tcW w:w="233"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219</w:t>
            </w:r>
          </w:p>
        </w:tc>
        <w:tc>
          <w:tcPr>
            <w:tcW w:w="1180"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R, OL</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48 weeks plus extension study (144 weeks FU so far)</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Cross over allowed at end of DB period, but those who discontinued*could continue to the crossover/extension  phase</w:t>
            </w:r>
          </w:p>
        </w:tc>
        <w:tc>
          <w:tcPr>
            <w:tcW w:w="366"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Low during R DB phase</w:t>
            </w:r>
          </w:p>
        </w:tc>
        <w:tc>
          <w:tcPr>
            <w:tcW w:w="927"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IPSS intermediate 2 or high risk patients , splenomegaly</w:t>
            </w:r>
          </w:p>
        </w:tc>
        <w:tc>
          <w:tcPr>
            <w:tcW w:w="830"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 xml:space="preserve">Patients with ≥35%reduction in spleen volume </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OS</w:t>
            </w:r>
          </w:p>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MF symptom</w:t>
            </w:r>
          </w:p>
        </w:tc>
        <w:tc>
          <w:tcPr>
            <w:tcW w:w="767" w:type="pct"/>
            <w:shd w:val="clear" w:color="auto" w:fill="auto"/>
            <w:vAlign w:val="center"/>
          </w:tcPr>
          <w:p w:rsidR="00DC056F" w:rsidRPr="009B6653" w:rsidRDefault="00DC056F" w:rsidP="00FD7377">
            <w:pPr>
              <w:jc w:val="center"/>
              <w:rPr>
                <w:rFonts w:ascii="Arial" w:hAnsi="Arial" w:cs="Arial"/>
                <w:sz w:val="20"/>
                <w:szCs w:val="20"/>
                <w:lang w:val="en-US"/>
              </w:rPr>
            </w:pPr>
            <w:r w:rsidRPr="009B6653">
              <w:rPr>
                <w:rFonts w:ascii="Arial" w:hAnsi="Arial" w:cs="Arial"/>
                <w:sz w:val="20"/>
                <w:szCs w:val="20"/>
                <w:lang w:val="en-US"/>
              </w:rPr>
              <w:t xml:space="preserve">Not used in base case </w:t>
            </w:r>
          </w:p>
        </w:tc>
      </w:tr>
    </w:tbl>
    <w:p w:rsidR="00DC056F" w:rsidRPr="009B6653" w:rsidRDefault="008818D5" w:rsidP="004A7FF2">
      <w:pPr>
        <w:pStyle w:val="TableFooter"/>
        <w:ind w:left="720"/>
        <w:rPr>
          <w:rFonts w:ascii="Arial" w:hAnsi="Arial"/>
          <w:sz w:val="20"/>
        </w:rPr>
      </w:pPr>
      <w:r w:rsidRPr="009B6653">
        <w:rPr>
          <w:rFonts w:ascii="Arial" w:hAnsi="Arial"/>
          <w:sz w:val="20"/>
        </w:rPr>
        <w:t>*</w:t>
      </w:r>
      <w:r w:rsidR="00DC056F" w:rsidRPr="009B6653">
        <w:rPr>
          <w:rFonts w:ascii="Arial" w:hAnsi="Arial"/>
          <w:sz w:val="20"/>
        </w:rPr>
        <w:t xml:space="preserve">Patients having a </w:t>
      </w:r>
      <w:r w:rsidR="00DC056F" w:rsidRPr="009B6653">
        <w:rPr>
          <w:rFonts w:ascii="Arial" w:hAnsi="Arial" w:hint="eastAsia"/>
          <w:sz w:val="20"/>
        </w:rPr>
        <w:t>≥</w:t>
      </w:r>
      <w:r w:rsidR="00DC056F" w:rsidRPr="009B6653">
        <w:rPr>
          <w:rFonts w:ascii="Arial" w:hAnsi="Arial"/>
          <w:sz w:val="20"/>
        </w:rPr>
        <w:t>25% increase in spleen volume from the on study nadir OR splenectomy</w:t>
      </w:r>
    </w:p>
    <w:p w:rsidR="00DC056F" w:rsidRPr="009B6653" w:rsidRDefault="00DC056F" w:rsidP="004A7FF2">
      <w:pPr>
        <w:pStyle w:val="TableFooter"/>
        <w:ind w:left="720"/>
        <w:rPr>
          <w:rFonts w:ascii="Arial" w:hAnsi="Arial"/>
          <w:sz w:val="20"/>
        </w:rPr>
      </w:pPr>
      <w:r w:rsidRPr="009B6653">
        <w:rPr>
          <w:rFonts w:ascii="Arial" w:hAnsi="Arial"/>
          <w:sz w:val="20"/>
        </w:rPr>
        <w:t xml:space="preserve">DB=double blind; MC=multi-centre; OL=open label; OS=overall survival; PFS=progression-free survival; R=randomised, FU=follow up; IPSS= </w:t>
      </w:r>
      <w:proofErr w:type="spellStart"/>
      <w:r w:rsidRPr="009B6653">
        <w:rPr>
          <w:rFonts w:ascii="Arial" w:hAnsi="Arial"/>
          <w:sz w:val="20"/>
        </w:rPr>
        <w:t>myelofibrosis</w:t>
      </w:r>
      <w:proofErr w:type="spellEnd"/>
      <w:r w:rsidRPr="009B6653">
        <w:rPr>
          <w:rFonts w:ascii="Arial" w:hAnsi="Arial"/>
          <w:sz w:val="20"/>
        </w:rPr>
        <w:t xml:space="preserve"> international prognostic scoring system</w:t>
      </w:r>
      <w:r w:rsidR="006972E2" w:rsidRPr="009B6653">
        <w:rPr>
          <w:rFonts w:ascii="Arial" w:hAnsi="Arial"/>
          <w:sz w:val="20"/>
        </w:rPr>
        <w:t>, MF=</w:t>
      </w:r>
      <w:proofErr w:type="spellStart"/>
      <w:r w:rsidR="006972E2" w:rsidRPr="009B6653">
        <w:rPr>
          <w:rFonts w:ascii="Arial" w:hAnsi="Arial"/>
          <w:sz w:val="20"/>
        </w:rPr>
        <w:t>myelofibrosis</w:t>
      </w:r>
      <w:proofErr w:type="spellEnd"/>
      <w:r w:rsidRPr="009B6653">
        <w:rPr>
          <w:rFonts w:ascii="Arial" w:hAnsi="Arial"/>
          <w:sz w:val="20"/>
        </w:rPr>
        <w:t>.  Source: Table 1, p 3 of the commentary</w:t>
      </w:r>
    </w:p>
    <w:p w:rsidR="00DC056F" w:rsidRPr="009B6653" w:rsidRDefault="00DC056F" w:rsidP="00DC056F">
      <w:pPr>
        <w:jc w:val="both"/>
        <w:rPr>
          <w:rFonts w:ascii="Arial" w:hAnsi="Arial"/>
          <w:sz w:val="22"/>
          <w:szCs w:val="22"/>
        </w:rPr>
      </w:pPr>
    </w:p>
    <w:p w:rsidR="00DC056F" w:rsidRPr="009B6653" w:rsidRDefault="00DC056F" w:rsidP="004A7FF2">
      <w:pPr>
        <w:ind w:firstLine="720"/>
        <w:jc w:val="both"/>
        <w:rPr>
          <w:rFonts w:ascii="Arial" w:hAnsi="Arial"/>
          <w:i/>
          <w:sz w:val="22"/>
          <w:szCs w:val="22"/>
        </w:rPr>
      </w:pPr>
      <w:r w:rsidRPr="009B6653">
        <w:rPr>
          <w:rFonts w:ascii="Arial" w:hAnsi="Arial"/>
          <w:i/>
          <w:sz w:val="22"/>
          <w:szCs w:val="22"/>
        </w:rPr>
        <w:lastRenderedPageBreak/>
        <w:t>For more detail on PBAC’s view, see section 7 “PBAC outcome”</w:t>
      </w:r>
    </w:p>
    <w:p w:rsidR="00DC056F" w:rsidRPr="009B6653" w:rsidRDefault="00DC056F" w:rsidP="00DC056F">
      <w:pPr>
        <w:ind w:left="709"/>
        <w:jc w:val="both"/>
        <w:rPr>
          <w:rFonts w:ascii="Arial" w:hAnsi="Arial"/>
          <w:sz w:val="22"/>
          <w:szCs w:val="22"/>
        </w:rPr>
      </w:pPr>
    </w:p>
    <w:p w:rsidR="00DC056F" w:rsidRPr="009B6653" w:rsidRDefault="00DC056F" w:rsidP="00DC056F">
      <w:pPr>
        <w:jc w:val="both"/>
        <w:rPr>
          <w:rFonts w:ascii="Arial" w:hAnsi="Arial"/>
          <w:b/>
          <w:i/>
          <w:sz w:val="22"/>
          <w:szCs w:val="22"/>
        </w:rPr>
      </w:pPr>
      <w:r w:rsidRPr="009B6653">
        <w:rPr>
          <w:rFonts w:ascii="Arial" w:hAnsi="Arial"/>
          <w:b/>
          <w:i/>
          <w:sz w:val="22"/>
          <w:szCs w:val="22"/>
        </w:rPr>
        <w:t>Comparative effectiveness</w:t>
      </w:r>
    </w:p>
    <w:p w:rsidR="00DC056F" w:rsidRPr="009B6653" w:rsidRDefault="00DC056F" w:rsidP="00DC056F">
      <w:pPr>
        <w:jc w:val="both"/>
        <w:rPr>
          <w:rFonts w:ascii="Arial" w:hAnsi="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 xml:space="preserve">Results of pre-planned Week 144 (3 year) results </w:t>
      </w:r>
      <w:r w:rsidR="006C3924" w:rsidRPr="009B6653">
        <w:rPr>
          <w:rFonts w:ascii="Arial" w:hAnsi="Arial" w:cs="Arial"/>
          <w:sz w:val="22"/>
          <w:szCs w:val="22"/>
        </w:rPr>
        <w:t>were</w:t>
      </w:r>
      <w:r w:rsidRPr="009B6653">
        <w:rPr>
          <w:rFonts w:ascii="Arial" w:hAnsi="Arial" w:cs="Arial"/>
          <w:sz w:val="22"/>
          <w:szCs w:val="22"/>
        </w:rPr>
        <w:t xml:space="preserve"> presented in this resubmission. At 144 weeks, 73.5% and 61.6% of patients originally treated with placebo or BAT in the COMFORT I and II trials had crossed over to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respectively</w:t>
      </w:r>
      <w:r w:rsidRPr="009B6653">
        <w:rPr>
          <w:i/>
        </w:rPr>
        <w:t xml:space="preserve">. </w:t>
      </w:r>
    </w:p>
    <w:p w:rsidR="00DC056F" w:rsidRPr="009B6653" w:rsidRDefault="00DC056F" w:rsidP="00DC056F">
      <w:pPr>
        <w:pStyle w:val="ListParagraph"/>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The results of OS reported at Week 144 in the COMFORT I and II trials are summarised in the figure below.</w:t>
      </w:r>
      <w:r w:rsidRPr="009B6653">
        <w:rPr>
          <w:rFonts w:ascii="Arial" w:hAnsi="Arial" w:cs="Arial"/>
          <w:color w:val="FF0000"/>
          <w:sz w:val="22"/>
          <w:szCs w:val="22"/>
        </w:rPr>
        <w:t xml:space="preserve"> </w:t>
      </w:r>
    </w:p>
    <w:p w:rsidR="00A74BB8" w:rsidRPr="009B6653" w:rsidRDefault="00A74BB8" w:rsidP="00DC056F">
      <w:pPr>
        <w:rPr>
          <w:rFonts w:ascii="Arial Narrow" w:hAnsi="Arial Narrow"/>
          <w:b/>
          <w:sz w:val="20"/>
        </w:rPr>
      </w:pPr>
    </w:p>
    <w:p w:rsidR="00DC056F" w:rsidRPr="009B6653" w:rsidRDefault="00DC056F" w:rsidP="00DC056F">
      <w:pPr>
        <w:rPr>
          <w:rFonts w:ascii="Arial Narrow" w:hAnsi="Arial Narrow"/>
          <w:b/>
          <w:sz w:val="20"/>
        </w:rPr>
      </w:pPr>
      <w:r w:rsidRPr="009B6653">
        <w:rPr>
          <w:rFonts w:ascii="Arial Narrow" w:hAnsi="Arial Narrow"/>
          <w:b/>
          <w:sz w:val="20"/>
        </w:rPr>
        <w:t xml:space="preserve">A: COMFORT I: ITT </w:t>
      </w:r>
      <w:r w:rsidRPr="009B6653">
        <w:rPr>
          <w:rFonts w:ascii="Arial Narrow" w:hAnsi="Arial Narrow"/>
          <w:b/>
          <w:sz w:val="20"/>
        </w:rPr>
        <w:tab/>
      </w:r>
      <w:r w:rsidRPr="009B6653">
        <w:rPr>
          <w:rFonts w:ascii="Arial Narrow" w:hAnsi="Arial Narrow"/>
          <w:b/>
          <w:sz w:val="20"/>
        </w:rPr>
        <w:tab/>
      </w:r>
      <w:r w:rsidRPr="009B6653">
        <w:rPr>
          <w:rFonts w:ascii="Arial Narrow" w:hAnsi="Arial Narrow"/>
          <w:b/>
          <w:sz w:val="20"/>
        </w:rPr>
        <w:tab/>
      </w:r>
      <w:r w:rsidRPr="009B6653">
        <w:rPr>
          <w:rFonts w:ascii="Arial Narrow" w:hAnsi="Arial Narrow"/>
          <w:b/>
          <w:sz w:val="20"/>
        </w:rPr>
        <w:tab/>
      </w:r>
      <w:r w:rsidRPr="009B6653">
        <w:rPr>
          <w:rFonts w:ascii="Arial Narrow" w:hAnsi="Arial Narrow"/>
          <w:b/>
          <w:noProof/>
          <w:sz w:val="20"/>
          <w:lang w:eastAsia="zh-CN"/>
        </w:rPr>
        <w:t>B: COMFORT I (Per Protocol , censoring at cross over)</w:t>
      </w:r>
    </w:p>
    <w:p w:rsidR="00DC056F" w:rsidRPr="00350640" w:rsidRDefault="00DC056F" w:rsidP="00DC056F">
      <w:pPr>
        <w:rPr>
          <w:noProof/>
          <w:lang w:eastAsia="zh-CN"/>
        </w:rPr>
      </w:pPr>
      <w:r w:rsidRPr="009B6653">
        <w:rPr>
          <w:noProof/>
        </w:rPr>
        <w:drawing>
          <wp:inline distT="0" distB="0" distL="0" distR="0" wp14:anchorId="47A839A8" wp14:editId="1BB8CB75">
            <wp:extent cx="2727297" cy="1679473"/>
            <wp:effectExtent l="0" t="0" r="0" b="0"/>
            <wp:docPr id="2" name="Picture 2" descr=" COMFORT I: IT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27530" cy="1679617"/>
                    </a:xfrm>
                    <a:prstGeom prst="rect">
                      <a:avLst/>
                    </a:prstGeom>
                  </pic:spPr>
                </pic:pic>
              </a:graphicData>
            </a:graphic>
          </wp:inline>
        </w:drawing>
      </w:r>
      <w:r w:rsidR="005022D5">
        <w:rPr>
          <w:noProof/>
        </w:rPr>
        <w:drawing>
          <wp:inline distT="0" distB="0" distL="0" distR="0">
            <wp:extent cx="2782570" cy="1697990"/>
            <wp:effectExtent l="0" t="0" r="0" b="0"/>
            <wp:docPr id="3" name="Picture 3" descr="COMFORT I (Per Protocol , censoring at cross ov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82570" cy="1697990"/>
                    </a:xfrm>
                    <a:prstGeom prst="rect">
                      <a:avLst/>
                    </a:prstGeom>
                  </pic:spPr>
                </pic:pic>
              </a:graphicData>
            </a:graphic>
          </wp:inline>
        </w:drawing>
      </w:r>
    </w:p>
    <w:p w:rsidR="00DC056F" w:rsidRPr="009B6653" w:rsidRDefault="00DC056F" w:rsidP="00DC056F">
      <w:pPr>
        <w:rPr>
          <w:rFonts w:ascii="Arial Narrow" w:hAnsi="Arial Narrow"/>
          <w:sz w:val="16"/>
          <w:szCs w:val="16"/>
        </w:rPr>
      </w:pPr>
      <w:r w:rsidRPr="009B6653">
        <w:rPr>
          <w:rFonts w:ascii="Arial Narrow" w:hAnsi="Arial Narrow"/>
          <w:sz w:val="16"/>
          <w:szCs w:val="16"/>
        </w:rPr>
        <w:t>Source: Figure B.6.13, p129 of the resubmission. Pg. 2659, Figure 14.4.5.1, COMFORT I Week 144 CSR; B - Pg. 2960, Figure 14.4.5.2, COMFORT I Week 144 CSR</w:t>
      </w:r>
    </w:p>
    <w:p w:rsidR="00DC056F" w:rsidRPr="009B6653" w:rsidRDefault="00DC056F" w:rsidP="00DC056F">
      <w:pPr>
        <w:rPr>
          <w:rFonts w:ascii="Arial Narrow" w:hAnsi="Arial Narrow"/>
          <w:b/>
          <w:sz w:val="20"/>
        </w:rPr>
      </w:pPr>
    </w:p>
    <w:p w:rsidR="00DC056F" w:rsidRPr="009B6653" w:rsidRDefault="00DC056F" w:rsidP="00DC056F">
      <w:pPr>
        <w:rPr>
          <w:rFonts w:ascii="Arial Narrow" w:hAnsi="Arial Narrow"/>
          <w:b/>
          <w:noProof/>
          <w:sz w:val="20"/>
          <w:lang w:eastAsia="zh-CN"/>
        </w:rPr>
      </w:pPr>
      <w:r w:rsidRPr="009B6653">
        <w:rPr>
          <w:rFonts w:ascii="Arial Narrow" w:hAnsi="Arial Narrow"/>
          <w:b/>
          <w:sz w:val="20"/>
        </w:rPr>
        <w:t>C: COMFORT II: ITT</w:t>
      </w:r>
      <w:r w:rsidRPr="009B6653">
        <w:rPr>
          <w:rFonts w:ascii="Arial Narrow" w:hAnsi="Arial Narrow"/>
          <w:b/>
          <w:sz w:val="20"/>
        </w:rPr>
        <w:tab/>
      </w:r>
      <w:r w:rsidRPr="009B6653">
        <w:rPr>
          <w:rFonts w:ascii="Arial Narrow" w:hAnsi="Arial Narrow"/>
          <w:b/>
          <w:sz w:val="20"/>
        </w:rPr>
        <w:tab/>
      </w:r>
      <w:r w:rsidRPr="009B6653">
        <w:rPr>
          <w:rFonts w:ascii="Arial Narrow" w:hAnsi="Arial Narrow"/>
          <w:b/>
          <w:sz w:val="20"/>
        </w:rPr>
        <w:tab/>
      </w:r>
      <w:r w:rsidRPr="009B6653">
        <w:rPr>
          <w:rFonts w:ascii="Arial Narrow" w:hAnsi="Arial Narrow"/>
          <w:b/>
          <w:sz w:val="20"/>
        </w:rPr>
        <w:tab/>
        <w:t xml:space="preserve">D: </w:t>
      </w:r>
      <w:r w:rsidRPr="009B6653">
        <w:rPr>
          <w:rFonts w:ascii="Arial Narrow" w:hAnsi="Arial Narrow"/>
          <w:b/>
          <w:noProof/>
          <w:sz w:val="20"/>
          <w:lang w:eastAsia="zh-CN"/>
        </w:rPr>
        <w:t>COMFORT II (Per Protocol , censoring at cross over)</w:t>
      </w:r>
    </w:p>
    <w:p w:rsidR="00DC056F" w:rsidRPr="009B6653" w:rsidRDefault="00DC056F" w:rsidP="00DC056F">
      <w:pPr>
        <w:rPr>
          <w:rStyle w:val="CommentReference"/>
        </w:rPr>
      </w:pPr>
      <w:r w:rsidRPr="009B6653">
        <w:rPr>
          <w:noProof/>
        </w:rPr>
        <w:drawing>
          <wp:inline distT="0" distB="0" distL="0" distR="0" wp14:anchorId="2E5D4922" wp14:editId="4BCB6582">
            <wp:extent cx="2949934" cy="1794120"/>
            <wp:effectExtent l="0" t="0" r="3175" b="0"/>
            <wp:docPr id="7" name="Picture 7" descr="COMFORT II: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61821" cy="1801350"/>
                    </a:xfrm>
                    <a:prstGeom prst="rect">
                      <a:avLst/>
                    </a:prstGeom>
                  </pic:spPr>
                </pic:pic>
              </a:graphicData>
            </a:graphic>
          </wp:inline>
        </w:drawing>
      </w:r>
      <w:r w:rsidR="005022D5">
        <w:rPr>
          <w:noProof/>
          <w:sz w:val="16"/>
          <w:szCs w:val="16"/>
        </w:rPr>
        <w:drawing>
          <wp:inline distT="0" distB="0" distL="0" distR="0">
            <wp:extent cx="2512060" cy="1833880"/>
            <wp:effectExtent l="0" t="0" r="2540" b="0"/>
            <wp:docPr id="1" name="Picture 1" descr="COMFORT II (Per Protocol , censoring at cross ov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12060" cy="1833880"/>
                    </a:xfrm>
                    <a:prstGeom prst="rect">
                      <a:avLst/>
                    </a:prstGeom>
                  </pic:spPr>
                </pic:pic>
              </a:graphicData>
            </a:graphic>
          </wp:inline>
        </w:drawing>
      </w:r>
      <w:r w:rsidRPr="009B6653">
        <w:rPr>
          <w:rStyle w:val="CommentReference"/>
        </w:rPr>
        <w:t xml:space="preserve"> Results of overall survival reported at 144 weeks in the COMFORT I and II trials, ITT and per protocol analyses</w:t>
      </w:r>
    </w:p>
    <w:p w:rsidR="00DC056F" w:rsidRPr="009B6653" w:rsidRDefault="00DC056F" w:rsidP="00DC056F">
      <w:pPr>
        <w:rPr>
          <w:rStyle w:val="CommentReference"/>
        </w:rPr>
      </w:pPr>
      <w:r w:rsidRPr="009B6653">
        <w:rPr>
          <w:rFonts w:ascii="Arial Narrow" w:hAnsi="Arial Narrow"/>
          <w:sz w:val="18"/>
        </w:rPr>
        <w:t>Source: Figure B-15, p131 of the resubmission. Pg.41, Figure 11-2, COMFORT II Week 144 CSR</w:t>
      </w:r>
    </w:p>
    <w:p w:rsidR="00DC056F" w:rsidRPr="009B6653" w:rsidRDefault="00DC056F" w:rsidP="00DC056F">
      <w:pPr>
        <w:pStyle w:val="ListParagraph"/>
      </w:pPr>
    </w:p>
    <w:p w:rsidR="00DC056F" w:rsidRPr="009B6653" w:rsidRDefault="00DC056F" w:rsidP="00DC056F">
      <w:pPr>
        <w:pStyle w:val="ListParagraph"/>
        <w:numPr>
          <w:ilvl w:val="1"/>
          <w:numId w:val="25"/>
        </w:numPr>
        <w:jc w:val="both"/>
        <w:rPr>
          <w:rFonts w:ascii="Arial" w:hAnsi="Arial" w:cs="Arial"/>
          <w:sz w:val="22"/>
          <w:szCs w:val="22"/>
        </w:rPr>
      </w:pPr>
      <w:proofErr w:type="gramStart"/>
      <w:r w:rsidRPr="009B6653">
        <w:rPr>
          <w:rFonts w:ascii="Arial" w:hAnsi="Arial" w:cs="Arial"/>
          <w:sz w:val="22"/>
          <w:szCs w:val="22"/>
        </w:rPr>
        <w:t>The per</w:t>
      </w:r>
      <w:proofErr w:type="gramEnd"/>
      <w:r w:rsidRPr="009B6653">
        <w:rPr>
          <w:rFonts w:ascii="Arial" w:hAnsi="Arial" w:cs="Arial"/>
          <w:sz w:val="22"/>
          <w:szCs w:val="22"/>
        </w:rPr>
        <w:t xml:space="preserve"> protocol results of the COMFORT I trial </w:t>
      </w:r>
      <w:r w:rsidR="006C3924" w:rsidRPr="009B6653">
        <w:rPr>
          <w:rFonts w:ascii="Arial" w:hAnsi="Arial" w:cs="Arial"/>
          <w:sz w:val="22"/>
          <w:szCs w:val="22"/>
        </w:rPr>
        <w:t>were</w:t>
      </w:r>
      <w:r w:rsidRPr="009B6653">
        <w:rPr>
          <w:rFonts w:ascii="Arial" w:hAnsi="Arial" w:cs="Arial"/>
          <w:sz w:val="22"/>
          <w:szCs w:val="22"/>
        </w:rPr>
        <w:t xml:space="preserve"> applied in the model.</w:t>
      </w:r>
    </w:p>
    <w:p w:rsidR="00DC056F" w:rsidRPr="009B6653" w:rsidRDefault="00DC056F" w:rsidP="00DC056F">
      <w:pPr>
        <w:pStyle w:val="ListParagraph"/>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cs="Arial"/>
          <w:sz w:val="22"/>
          <w:szCs w:val="22"/>
        </w:rPr>
      </w:pPr>
      <w:r w:rsidRPr="009B6653">
        <w:rPr>
          <w:rFonts w:ascii="Arial" w:hAnsi="Arial" w:cs="Arial"/>
          <w:sz w:val="22"/>
          <w:szCs w:val="22"/>
        </w:rPr>
        <w:t>The PSCR (p2) explain</w:t>
      </w:r>
      <w:r w:rsidR="006C3924" w:rsidRPr="009B6653">
        <w:rPr>
          <w:rFonts w:ascii="Arial" w:hAnsi="Arial" w:cs="Arial"/>
          <w:sz w:val="22"/>
          <w:szCs w:val="22"/>
        </w:rPr>
        <w:t>ed</w:t>
      </w:r>
      <w:r w:rsidRPr="009B6653">
        <w:rPr>
          <w:rFonts w:ascii="Arial" w:hAnsi="Arial" w:cs="Arial"/>
          <w:sz w:val="22"/>
          <w:szCs w:val="22"/>
        </w:rPr>
        <w:t xml:space="preserve"> that the sponsor’s position is that the true magnitude of OS is not likely to lie between the ITT and PP analyses, as</w:t>
      </w:r>
      <w:r w:rsidR="006C3924" w:rsidRPr="009B6653">
        <w:rPr>
          <w:rFonts w:ascii="Arial" w:hAnsi="Arial" w:cs="Arial"/>
          <w:sz w:val="22"/>
          <w:szCs w:val="22"/>
        </w:rPr>
        <w:t xml:space="preserve"> would</w:t>
      </w:r>
      <w:r w:rsidRPr="009B6653">
        <w:rPr>
          <w:rFonts w:ascii="Arial" w:hAnsi="Arial" w:cs="Arial"/>
          <w:sz w:val="22"/>
          <w:szCs w:val="22"/>
        </w:rPr>
        <w:t xml:space="preserve"> generally be expect</w:t>
      </w:r>
      <w:r w:rsidR="006C3924" w:rsidRPr="009B6653">
        <w:rPr>
          <w:rFonts w:ascii="Arial" w:hAnsi="Arial" w:cs="Arial"/>
          <w:sz w:val="22"/>
          <w:szCs w:val="22"/>
        </w:rPr>
        <w:t>ed</w:t>
      </w:r>
      <w:r w:rsidRPr="009B6653">
        <w:rPr>
          <w:rFonts w:ascii="Arial" w:hAnsi="Arial" w:cs="Arial"/>
          <w:sz w:val="22"/>
          <w:szCs w:val="22"/>
        </w:rPr>
        <w:t xml:space="preserve">. Instead the submission contends that patients crossing over in the COMFORT I trial are likely to be those with the greatest clinical need for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w:t>
      </w:r>
      <w:r w:rsidR="006C3924" w:rsidRPr="009B6653">
        <w:rPr>
          <w:rFonts w:ascii="Arial" w:hAnsi="Arial" w:cs="Arial"/>
          <w:sz w:val="22"/>
          <w:szCs w:val="22"/>
        </w:rPr>
        <w:t xml:space="preserve">because </w:t>
      </w:r>
      <w:r w:rsidRPr="009B6653">
        <w:rPr>
          <w:rFonts w:ascii="Arial" w:hAnsi="Arial" w:cs="Arial"/>
          <w:sz w:val="22"/>
          <w:szCs w:val="22"/>
        </w:rPr>
        <w:t xml:space="preserve">no spontaneous resolution </w:t>
      </w:r>
      <w:r w:rsidR="006C3924" w:rsidRPr="009B6653">
        <w:rPr>
          <w:rFonts w:ascii="Arial" w:hAnsi="Arial" w:cs="Arial"/>
          <w:sz w:val="22"/>
          <w:szCs w:val="22"/>
        </w:rPr>
        <w:t xml:space="preserve">is </w:t>
      </w:r>
      <w:r w:rsidRPr="009B6653">
        <w:rPr>
          <w:rFonts w:ascii="Arial" w:hAnsi="Arial" w:cs="Arial"/>
          <w:sz w:val="22"/>
          <w:szCs w:val="22"/>
        </w:rPr>
        <w:t xml:space="preserve">expected, and </w:t>
      </w:r>
      <w:r w:rsidR="006C3924" w:rsidRPr="009B6653">
        <w:rPr>
          <w:rFonts w:ascii="Arial" w:hAnsi="Arial" w:cs="Arial"/>
          <w:sz w:val="22"/>
          <w:szCs w:val="22"/>
        </w:rPr>
        <w:t xml:space="preserve">they </w:t>
      </w:r>
      <w:r w:rsidRPr="009B6653">
        <w:rPr>
          <w:rFonts w:ascii="Arial" w:hAnsi="Arial" w:cs="Arial"/>
          <w:sz w:val="22"/>
          <w:szCs w:val="22"/>
        </w:rPr>
        <w:t>have exhausted all other treatment options. Therefore, the results from the PP analysis are suggested to be more applicable than the ITT analysis. The PSCR highlight</w:t>
      </w:r>
      <w:r w:rsidR="006C3924" w:rsidRPr="009B6653">
        <w:rPr>
          <w:rFonts w:ascii="Arial" w:hAnsi="Arial" w:cs="Arial"/>
          <w:sz w:val="22"/>
          <w:szCs w:val="22"/>
        </w:rPr>
        <w:t xml:space="preserve">ed that </w:t>
      </w:r>
      <w:r w:rsidRPr="009B6653">
        <w:rPr>
          <w:rFonts w:ascii="Arial" w:hAnsi="Arial" w:cs="Arial"/>
          <w:sz w:val="22"/>
          <w:szCs w:val="22"/>
        </w:rPr>
        <w:t xml:space="preserve">the external validity of the PP model results was demonstrated with survival for the placebo arm aligning with observed survival in a historical cohort of patients with intermediate-2 and high risk </w:t>
      </w:r>
      <w:proofErr w:type="spellStart"/>
      <w:r w:rsidRPr="009B6653">
        <w:rPr>
          <w:rFonts w:ascii="Arial" w:hAnsi="Arial" w:cs="Arial"/>
          <w:sz w:val="22"/>
          <w:szCs w:val="22"/>
        </w:rPr>
        <w:t>myelofibrosis</w:t>
      </w:r>
      <w:proofErr w:type="spellEnd"/>
      <w:r w:rsidR="006972E2" w:rsidRPr="009B6653">
        <w:rPr>
          <w:rFonts w:ascii="Arial" w:hAnsi="Arial" w:cs="Arial"/>
          <w:sz w:val="22"/>
          <w:szCs w:val="22"/>
        </w:rPr>
        <w:t>,</w:t>
      </w:r>
      <w:r w:rsidRPr="009B6653">
        <w:rPr>
          <w:rFonts w:ascii="Arial" w:hAnsi="Arial" w:cs="Arial"/>
          <w:sz w:val="22"/>
          <w:szCs w:val="22"/>
        </w:rPr>
        <w:t xml:space="preserve"> as reported by Cervantes 2009. Since the preparation of the submission, another report has been published (Price et al 2014) and the PSCR also suggest</w:t>
      </w:r>
      <w:r w:rsidR="006C3924" w:rsidRPr="009B6653">
        <w:rPr>
          <w:rFonts w:ascii="Arial" w:hAnsi="Arial" w:cs="Arial"/>
          <w:sz w:val="22"/>
          <w:szCs w:val="22"/>
        </w:rPr>
        <w:t>ed that</w:t>
      </w:r>
      <w:r w:rsidRPr="009B6653">
        <w:rPr>
          <w:rFonts w:ascii="Arial" w:hAnsi="Arial" w:cs="Arial"/>
          <w:sz w:val="22"/>
          <w:szCs w:val="22"/>
        </w:rPr>
        <w:t xml:space="preserve"> this supports the external validity of the PP model, although survival </w:t>
      </w:r>
      <w:r w:rsidRPr="009B6653">
        <w:rPr>
          <w:rFonts w:ascii="Arial" w:hAnsi="Arial" w:cs="Arial"/>
          <w:sz w:val="22"/>
          <w:szCs w:val="22"/>
        </w:rPr>
        <w:lastRenderedPageBreak/>
        <w:t xml:space="preserve">may be overestimated in the Price et al 2014 report given patients were not limited to intermediate-2 or high risk </w:t>
      </w:r>
      <w:proofErr w:type="spellStart"/>
      <w:r w:rsidRPr="009B6653">
        <w:rPr>
          <w:rFonts w:ascii="Arial" w:hAnsi="Arial" w:cs="Arial"/>
          <w:sz w:val="22"/>
          <w:szCs w:val="22"/>
        </w:rPr>
        <w:t>myelofibrosis</w:t>
      </w:r>
      <w:proofErr w:type="spellEnd"/>
      <w:r w:rsidRPr="009B6653">
        <w:rPr>
          <w:rFonts w:ascii="Arial" w:hAnsi="Arial" w:cs="Arial"/>
          <w:sz w:val="22"/>
          <w:szCs w:val="22"/>
        </w:rPr>
        <w:t xml:space="preserve">. </w:t>
      </w:r>
    </w:p>
    <w:p w:rsidR="00DC056F" w:rsidRPr="009B6653" w:rsidRDefault="00DC056F" w:rsidP="00DC056F">
      <w:pPr>
        <w:pStyle w:val="ListParagraph"/>
        <w:jc w:val="both"/>
        <w:rPr>
          <w:rFonts w:ascii="Arial" w:hAnsi="Arial" w:cs="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ESC considered sensitivity analyses using the ITT population, adjusted for cross over using RPSFT would be informative.</w:t>
      </w:r>
    </w:p>
    <w:p w:rsidR="00DC056F" w:rsidRPr="009B6653" w:rsidRDefault="00DC056F" w:rsidP="00DC056F">
      <w:pPr>
        <w:pStyle w:val="ListParagraph"/>
        <w:ind w:left="709"/>
        <w:jc w:val="both"/>
      </w:pPr>
    </w:p>
    <w:p w:rsidR="00DC056F" w:rsidRPr="009B6653" w:rsidRDefault="00DC056F" w:rsidP="00A74BB8">
      <w:pPr>
        <w:ind w:firstLine="720"/>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ind w:left="709"/>
        <w:jc w:val="both"/>
        <w:rPr>
          <w:rFonts w:ascii="Arial" w:hAnsi="Arial"/>
          <w:sz w:val="22"/>
          <w:szCs w:val="22"/>
        </w:rPr>
      </w:pPr>
    </w:p>
    <w:p w:rsidR="00DC056F" w:rsidRPr="009B6653" w:rsidRDefault="00DC056F" w:rsidP="00DC056F">
      <w:pPr>
        <w:jc w:val="both"/>
        <w:rPr>
          <w:rFonts w:ascii="Arial" w:hAnsi="Arial"/>
          <w:sz w:val="22"/>
          <w:szCs w:val="22"/>
        </w:rPr>
      </w:pPr>
      <w:r w:rsidRPr="009B6653">
        <w:rPr>
          <w:rFonts w:ascii="Arial" w:hAnsi="Arial"/>
          <w:b/>
          <w:i/>
          <w:sz w:val="22"/>
          <w:szCs w:val="22"/>
        </w:rPr>
        <w:t>Comparative harms</w:t>
      </w:r>
    </w:p>
    <w:p w:rsidR="00DC056F" w:rsidRPr="009B6653" w:rsidRDefault="00DC056F" w:rsidP="00DC056F">
      <w:pPr>
        <w:pStyle w:val="ListParagraph"/>
        <w:ind w:left="709"/>
        <w:jc w:val="both"/>
        <w:rPr>
          <w:rFonts w:ascii="Arial" w:hAnsi="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 xml:space="preserve">At 144 weeks, the </w:t>
      </w:r>
      <w:r w:rsidR="00C30948" w:rsidRPr="009B6653">
        <w:rPr>
          <w:rFonts w:ascii="Arial" w:hAnsi="Arial" w:cs="Arial"/>
          <w:sz w:val="22"/>
          <w:szCs w:val="22"/>
        </w:rPr>
        <w:t xml:space="preserve">nature of </w:t>
      </w:r>
      <w:r w:rsidRPr="009B6653">
        <w:rPr>
          <w:rFonts w:ascii="Arial" w:hAnsi="Arial" w:cs="Arial"/>
          <w:sz w:val="22"/>
          <w:szCs w:val="22"/>
        </w:rPr>
        <w:t xml:space="preserve">adverse events does not differ greatly from the data presented for the Week 24 and Week 48 analyses of the COMFORT I and COMFORT II trials.  Across both trials and all follow up periods, significantly more patients treated with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experienced anaemia and thrombocytopenia.  The resubmission also examined the risk for developing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withdrawal syndrome, a phenomenon first reported by </w:t>
      </w:r>
      <w:proofErr w:type="spellStart"/>
      <w:r w:rsidRPr="009B6653">
        <w:rPr>
          <w:rFonts w:ascii="Arial" w:hAnsi="Arial" w:cs="Arial"/>
          <w:sz w:val="22"/>
          <w:szCs w:val="22"/>
        </w:rPr>
        <w:t>Tefferi</w:t>
      </w:r>
      <w:proofErr w:type="spellEnd"/>
      <w:r w:rsidRPr="009B6653">
        <w:rPr>
          <w:rFonts w:ascii="Arial" w:hAnsi="Arial" w:cs="Arial"/>
          <w:sz w:val="22"/>
          <w:szCs w:val="22"/>
        </w:rPr>
        <w:t xml:space="preserve"> et al (2011). No cases of rebound had occurred in the COMFORT trials.  The rate of severe adverse events </w:t>
      </w:r>
      <w:r w:rsidR="00C30948" w:rsidRPr="009B6653">
        <w:rPr>
          <w:rFonts w:ascii="Arial" w:hAnsi="Arial" w:cs="Arial"/>
          <w:sz w:val="22"/>
          <w:szCs w:val="22"/>
        </w:rPr>
        <w:t xml:space="preserve">was similar for </w:t>
      </w:r>
      <w:r w:rsidRPr="009B6653">
        <w:rPr>
          <w:rFonts w:ascii="Arial" w:hAnsi="Arial" w:cs="Arial"/>
          <w:sz w:val="22"/>
          <w:szCs w:val="22"/>
        </w:rPr>
        <w:t xml:space="preserve">patients who discontinued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or placebo</w:t>
      </w:r>
      <w:r w:rsidR="00C30948" w:rsidRPr="009B6653">
        <w:rPr>
          <w:rFonts w:ascii="Arial" w:hAnsi="Arial" w:cs="Arial"/>
          <w:sz w:val="22"/>
          <w:szCs w:val="22"/>
        </w:rPr>
        <w:t>.</w:t>
      </w:r>
      <w:r w:rsidRPr="009B6653">
        <w:rPr>
          <w:rFonts w:ascii="Arial" w:hAnsi="Arial" w:cs="Arial"/>
          <w:sz w:val="22"/>
          <w:szCs w:val="22"/>
        </w:rPr>
        <w:t xml:space="preserve"> </w:t>
      </w:r>
    </w:p>
    <w:p w:rsidR="00DC056F" w:rsidRPr="009B6653" w:rsidRDefault="00DC056F" w:rsidP="00DC056F">
      <w:pPr>
        <w:pStyle w:val="ListParagraph"/>
        <w:ind w:left="360"/>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sz w:val="22"/>
          <w:szCs w:val="22"/>
        </w:rPr>
        <w:t xml:space="preserve">A summary of the comparative benefits and harms for </w:t>
      </w:r>
      <w:proofErr w:type="spellStart"/>
      <w:r w:rsidRPr="009B6653">
        <w:rPr>
          <w:rFonts w:ascii="Arial" w:hAnsi="Arial"/>
          <w:sz w:val="22"/>
          <w:szCs w:val="22"/>
        </w:rPr>
        <w:t>ruxolitinib</w:t>
      </w:r>
      <w:proofErr w:type="spellEnd"/>
      <w:r w:rsidRPr="009B6653">
        <w:rPr>
          <w:rFonts w:ascii="Arial" w:hAnsi="Arial"/>
          <w:sz w:val="22"/>
          <w:szCs w:val="22"/>
        </w:rPr>
        <w:t xml:space="preserve"> versus placebo is presented in the following table. </w:t>
      </w:r>
    </w:p>
    <w:p w:rsidR="00DC056F" w:rsidRPr="009B6653" w:rsidRDefault="00DC056F" w:rsidP="00DC056F">
      <w:pPr>
        <w:pStyle w:val="ListParagraph"/>
        <w:ind w:left="709"/>
        <w:jc w:val="both"/>
        <w:rPr>
          <w:rFonts w:ascii="Arial" w:hAnsi="Arial"/>
          <w:sz w:val="22"/>
          <w:szCs w:val="22"/>
        </w:rPr>
      </w:pPr>
    </w:p>
    <w:p w:rsidR="00DC056F" w:rsidRPr="009B6653" w:rsidRDefault="00DC056F" w:rsidP="00A74BB8">
      <w:pPr>
        <w:ind w:firstLine="720"/>
        <w:rPr>
          <w:rStyle w:val="CommentReference"/>
          <w:rFonts w:ascii="Arial" w:hAnsi="Arial" w:cs="Arial"/>
          <w:b/>
          <w:sz w:val="20"/>
          <w:szCs w:val="20"/>
        </w:rPr>
      </w:pPr>
      <w:r w:rsidRPr="009B6653">
        <w:rPr>
          <w:rStyle w:val="CommentReference"/>
          <w:rFonts w:ascii="Arial" w:hAnsi="Arial" w:cs="Arial"/>
          <w:b/>
          <w:sz w:val="20"/>
          <w:szCs w:val="20"/>
        </w:rPr>
        <w:t xml:space="preserve">Summary of comparative benefits and harms for </w:t>
      </w:r>
      <w:proofErr w:type="spellStart"/>
      <w:r w:rsidRPr="009B6653">
        <w:rPr>
          <w:rStyle w:val="CommentReference"/>
          <w:rFonts w:ascii="Arial" w:hAnsi="Arial" w:cs="Arial"/>
          <w:b/>
          <w:sz w:val="20"/>
          <w:szCs w:val="20"/>
        </w:rPr>
        <w:t>ruxolitinib</w:t>
      </w:r>
      <w:proofErr w:type="spellEnd"/>
      <w:r w:rsidRPr="009B6653">
        <w:rPr>
          <w:rStyle w:val="CommentReference"/>
          <w:rFonts w:ascii="Arial" w:hAnsi="Arial" w:cs="Arial"/>
          <w:b/>
          <w:sz w:val="20"/>
          <w:szCs w:val="20"/>
        </w:rPr>
        <w:t xml:space="preserve"> and comparator</w:t>
      </w:r>
    </w:p>
    <w:tbl>
      <w:tblPr>
        <w:tblW w:w="4564" w:type="pct"/>
        <w:tblInd w:w="8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Description w:val="Summary of comparative benefits and harms for ruxolitinib and comparator"/>
      </w:tblPr>
      <w:tblGrid>
        <w:gridCol w:w="1027"/>
        <w:gridCol w:w="1113"/>
        <w:gridCol w:w="1321"/>
        <w:gridCol w:w="1121"/>
        <w:gridCol w:w="38"/>
        <w:gridCol w:w="1209"/>
        <w:gridCol w:w="1010"/>
        <w:gridCol w:w="58"/>
        <w:gridCol w:w="1393"/>
      </w:tblGrid>
      <w:tr w:rsidR="00DC056F" w:rsidRPr="009B6653" w:rsidTr="00335BD0">
        <w:trPr>
          <w:trHeight w:val="160"/>
        </w:trPr>
        <w:tc>
          <w:tcPr>
            <w:tcW w:w="620" w:type="pct"/>
            <w:vMerge w:val="restart"/>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Trial</w:t>
            </w:r>
          </w:p>
        </w:tc>
        <w:tc>
          <w:tcPr>
            <w:tcW w:w="671" w:type="pct"/>
            <w:vMerge w:val="restar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797" w:type="pct"/>
            <w:vMerge w:val="restar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PBO/BAT</w:t>
            </w:r>
          </w:p>
        </w:tc>
        <w:tc>
          <w:tcPr>
            <w:tcW w:w="676" w:type="pct"/>
            <w:vMerge w:val="restar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RR (95% CI)</w:t>
            </w:r>
          </w:p>
        </w:tc>
        <w:tc>
          <w:tcPr>
            <w:tcW w:w="1396" w:type="pct"/>
            <w:gridSpan w:val="4"/>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 xml:space="preserve">Event rate/100 patients* </w:t>
            </w:r>
          </w:p>
        </w:tc>
        <w:tc>
          <w:tcPr>
            <w:tcW w:w="840" w:type="pct"/>
            <w:vMerge w:val="restar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RD</w:t>
            </w:r>
          </w:p>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(95% CI)</w:t>
            </w:r>
          </w:p>
        </w:tc>
      </w:tr>
      <w:tr w:rsidR="00DC056F" w:rsidRPr="009B6653" w:rsidTr="00335BD0">
        <w:trPr>
          <w:trHeight w:val="189"/>
        </w:trPr>
        <w:tc>
          <w:tcPr>
            <w:tcW w:w="620" w:type="pct"/>
            <w:vMerge/>
            <w:shd w:val="clear" w:color="auto" w:fill="auto"/>
            <w:vAlign w:val="center"/>
          </w:tcPr>
          <w:p w:rsidR="00DC056F" w:rsidRPr="009B6653" w:rsidRDefault="00DC056F" w:rsidP="00FD7377">
            <w:pPr>
              <w:rPr>
                <w:rFonts w:ascii="Arial Narrow" w:hAnsi="Arial Narrow" w:cs="Arial"/>
                <w:b/>
                <w:color w:val="000000"/>
                <w:sz w:val="20"/>
                <w:szCs w:val="20"/>
              </w:rPr>
            </w:pPr>
          </w:p>
        </w:tc>
        <w:tc>
          <w:tcPr>
            <w:tcW w:w="671" w:type="pct"/>
            <w:vMerge/>
            <w:vAlign w:val="center"/>
          </w:tcPr>
          <w:p w:rsidR="00DC056F" w:rsidRPr="009B6653" w:rsidRDefault="00DC056F" w:rsidP="00FD7377">
            <w:pPr>
              <w:jc w:val="center"/>
              <w:rPr>
                <w:rFonts w:ascii="Arial Narrow" w:hAnsi="Arial Narrow" w:cs="Arial"/>
                <w:b/>
                <w:color w:val="000000"/>
                <w:sz w:val="20"/>
                <w:szCs w:val="20"/>
              </w:rPr>
            </w:pPr>
          </w:p>
        </w:tc>
        <w:tc>
          <w:tcPr>
            <w:tcW w:w="797" w:type="pct"/>
            <w:vMerge/>
            <w:vAlign w:val="center"/>
          </w:tcPr>
          <w:p w:rsidR="00DC056F" w:rsidRPr="009B6653" w:rsidRDefault="00DC056F" w:rsidP="00FD7377">
            <w:pPr>
              <w:jc w:val="center"/>
              <w:rPr>
                <w:rFonts w:ascii="Arial Narrow" w:hAnsi="Arial Narrow" w:cs="Arial"/>
                <w:b/>
                <w:color w:val="000000"/>
                <w:sz w:val="20"/>
                <w:szCs w:val="20"/>
              </w:rPr>
            </w:pPr>
          </w:p>
        </w:tc>
        <w:tc>
          <w:tcPr>
            <w:tcW w:w="676" w:type="pct"/>
            <w:vMerge/>
            <w:vAlign w:val="center"/>
          </w:tcPr>
          <w:p w:rsidR="00DC056F" w:rsidRPr="009B6653" w:rsidRDefault="00DC056F" w:rsidP="00FD7377">
            <w:pPr>
              <w:jc w:val="center"/>
              <w:rPr>
                <w:rFonts w:ascii="Arial Narrow" w:hAnsi="Arial Narrow" w:cs="Arial"/>
                <w:b/>
                <w:color w:val="000000"/>
                <w:sz w:val="20"/>
                <w:szCs w:val="20"/>
              </w:rPr>
            </w:pPr>
          </w:p>
        </w:tc>
        <w:tc>
          <w:tcPr>
            <w:tcW w:w="752"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644" w:type="pct"/>
            <w:gridSpan w:val="2"/>
            <w:vAlign w:val="center"/>
          </w:tcPr>
          <w:p w:rsidR="00DC056F" w:rsidRPr="009B6653" w:rsidRDefault="00DC056F" w:rsidP="00FD7377">
            <w:pPr>
              <w:jc w:val="center"/>
              <w:rPr>
                <w:rFonts w:ascii="Arial Narrow" w:hAnsi="Arial Narrow" w:cs="Arial"/>
                <w:b/>
                <w:color w:val="000000"/>
                <w:sz w:val="20"/>
                <w:szCs w:val="20"/>
              </w:rPr>
            </w:pPr>
            <w:proofErr w:type="spellStart"/>
            <w:r w:rsidRPr="009B6653">
              <w:rPr>
                <w:rFonts w:ascii="Arial Narrow" w:hAnsi="Arial Narrow" w:cs="Arial"/>
                <w:b/>
                <w:color w:val="000000"/>
                <w:sz w:val="20"/>
                <w:szCs w:val="20"/>
              </w:rPr>
              <w:t>Pbo</w:t>
            </w:r>
            <w:proofErr w:type="spellEnd"/>
            <w:r w:rsidRPr="009B6653">
              <w:rPr>
                <w:rFonts w:ascii="Arial Narrow" w:hAnsi="Arial Narrow" w:cs="Arial"/>
                <w:b/>
                <w:color w:val="000000"/>
                <w:sz w:val="20"/>
                <w:szCs w:val="20"/>
              </w:rPr>
              <w:t>/BAT</w:t>
            </w:r>
          </w:p>
        </w:tc>
        <w:tc>
          <w:tcPr>
            <w:tcW w:w="840" w:type="pct"/>
            <w:vMerge/>
            <w:vAlign w:val="center"/>
          </w:tcPr>
          <w:p w:rsidR="00DC056F" w:rsidRPr="009B6653" w:rsidRDefault="00DC056F" w:rsidP="00FD7377">
            <w:pPr>
              <w:jc w:val="center"/>
              <w:rPr>
                <w:rFonts w:ascii="Arial Narrow" w:hAnsi="Arial Narrow" w:cs="Arial"/>
                <w:b/>
                <w:color w:val="000000"/>
                <w:sz w:val="20"/>
                <w:szCs w:val="20"/>
              </w:rPr>
            </w:pPr>
          </w:p>
        </w:tc>
      </w:tr>
      <w:tr w:rsidR="00DC056F" w:rsidRPr="009B6653" w:rsidTr="00335BD0">
        <w:trPr>
          <w:trHeight w:val="87"/>
        </w:trPr>
        <w:tc>
          <w:tcPr>
            <w:tcW w:w="5000" w:type="pct"/>
            <w:gridSpan w:val="9"/>
            <w:shd w:val="clear" w:color="auto" w:fill="auto"/>
            <w:vAlign w:val="center"/>
          </w:tcPr>
          <w:p w:rsidR="00DC056F" w:rsidRPr="009B6653" w:rsidRDefault="00DC056F" w:rsidP="00FD7377">
            <w:pPr>
              <w:rPr>
                <w:rFonts w:ascii="Arial Narrow" w:hAnsi="Arial Narrow" w:cs="Arial"/>
                <w:b/>
                <w:smallCaps/>
                <w:color w:val="000000"/>
                <w:sz w:val="20"/>
                <w:szCs w:val="20"/>
              </w:rPr>
            </w:pPr>
            <w:r w:rsidRPr="009B6653">
              <w:rPr>
                <w:rFonts w:ascii="Arial Narrow" w:hAnsi="Arial Narrow" w:cs="Arial"/>
                <w:b/>
                <w:smallCaps/>
                <w:color w:val="000000"/>
                <w:sz w:val="20"/>
                <w:szCs w:val="20"/>
              </w:rPr>
              <w:t>Benefits</w:t>
            </w:r>
          </w:p>
        </w:tc>
      </w:tr>
      <w:tr w:rsidR="00DC056F" w:rsidRPr="009B6653" w:rsidTr="00335BD0">
        <w:trPr>
          <w:trHeight w:val="70"/>
        </w:trPr>
        <w:tc>
          <w:tcPr>
            <w:tcW w:w="5000" w:type="pct"/>
            <w:gridSpan w:val="9"/>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Spleen response defined as (≥35% reduction in volume) (at end of weeks 24 and 48 respectively)</w:t>
            </w:r>
          </w:p>
        </w:tc>
      </w:tr>
      <w:tr w:rsidR="00DC056F" w:rsidRPr="009B6653" w:rsidTr="00335BD0">
        <w:trPr>
          <w:trHeight w:val="70"/>
        </w:trPr>
        <w:tc>
          <w:tcPr>
            <w:tcW w:w="620" w:type="pct"/>
            <w:shd w:val="clear" w:color="auto" w:fill="auto"/>
            <w:vAlign w:val="center"/>
          </w:tcPr>
          <w:p w:rsidR="00DC056F" w:rsidRPr="009B6653" w:rsidRDefault="00DC056F" w:rsidP="00FD7377">
            <w:pPr>
              <w:rPr>
                <w:rFonts w:ascii="Arial Narrow" w:hAnsi="Arial Narrow" w:cs="Arial"/>
                <w:color w:val="000000"/>
                <w:sz w:val="20"/>
                <w:szCs w:val="20"/>
                <w:vertAlign w:val="superscript"/>
              </w:rPr>
            </w:pPr>
            <w:r w:rsidRPr="009B6653">
              <w:rPr>
                <w:rFonts w:ascii="Arial Narrow" w:hAnsi="Arial Narrow" w:cs="Arial"/>
                <w:color w:val="000000"/>
                <w:sz w:val="20"/>
                <w:szCs w:val="20"/>
              </w:rPr>
              <w:t>COMFORT I</w:t>
            </w:r>
            <w:r w:rsidRPr="009B6653">
              <w:rPr>
                <w:rFonts w:ascii="Arial Narrow" w:hAnsi="Arial Narrow" w:cs="Arial"/>
                <w:color w:val="000000"/>
                <w:sz w:val="20"/>
                <w:szCs w:val="20"/>
                <w:vertAlign w:val="superscript"/>
              </w:rPr>
              <w:t>#</w:t>
            </w:r>
          </w:p>
        </w:tc>
        <w:tc>
          <w:tcPr>
            <w:tcW w:w="671" w:type="pct"/>
            <w:vAlign w:val="center"/>
          </w:tcPr>
          <w:p w:rsidR="00DC056F" w:rsidRPr="009B6653" w:rsidRDefault="00DC056F" w:rsidP="00FD7377">
            <w:pPr>
              <w:ind w:left="-28" w:firstLine="28"/>
              <w:jc w:val="center"/>
              <w:rPr>
                <w:rFonts w:ascii="Arial Narrow" w:hAnsi="Arial Narrow" w:cs="Arial"/>
                <w:color w:val="000000"/>
                <w:sz w:val="20"/>
                <w:szCs w:val="20"/>
              </w:rPr>
            </w:pPr>
            <w:r w:rsidRPr="009B6653">
              <w:rPr>
                <w:rFonts w:ascii="Arial Narrow" w:hAnsi="Arial Narrow" w:cs="Arial"/>
                <w:color w:val="000000"/>
                <w:sz w:val="20"/>
                <w:szCs w:val="20"/>
              </w:rPr>
              <w:t>65/155</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1/154</w:t>
            </w:r>
          </w:p>
        </w:tc>
        <w:tc>
          <w:tcPr>
            <w:tcW w:w="676"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63.59</w:t>
            </w:r>
          </w:p>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 xml:space="preserve"> (8.9, 452.6)</w:t>
            </w:r>
          </w:p>
        </w:tc>
        <w:tc>
          <w:tcPr>
            <w:tcW w:w="752"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41.9</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0.6</w:t>
            </w:r>
          </w:p>
        </w:tc>
        <w:tc>
          <w:tcPr>
            <w:tcW w:w="840" w:type="pct"/>
            <w:vAlign w:val="center"/>
          </w:tcPr>
          <w:p w:rsidR="00335BD0"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 xml:space="preserve">0.41 </w:t>
            </w:r>
          </w:p>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(0.33, 0.49)</w:t>
            </w:r>
          </w:p>
        </w:tc>
      </w:tr>
      <w:tr w:rsidR="00DC056F" w:rsidRPr="009B6653" w:rsidTr="00335BD0">
        <w:trPr>
          <w:trHeight w:val="496"/>
        </w:trPr>
        <w:tc>
          <w:tcPr>
            <w:tcW w:w="620" w:type="pct"/>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COMFORT II^</w:t>
            </w:r>
          </w:p>
        </w:tc>
        <w:tc>
          <w:tcPr>
            <w:tcW w:w="671"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46/144</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0/73</w:t>
            </w:r>
          </w:p>
        </w:tc>
        <w:tc>
          <w:tcPr>
            <w:tcW w:w="676"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41.8</w:t>
            </w:r>
          </w:p>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 xml:space="preserve"> (2.6, 669.7)</w:t>
            </w:r>
          </w:p>
        </w:tc>
        <w:tc>
          <w:tcPr>
            <w:tcW w:w="752"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31.9</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w:t>
            </w:r>
          </w:p>
        </w:tc>
        <w:tc>
          <w:tcPr>
            <w:tcW w:w="840" w:type="pct"/>
            <w:vAlign w:val="center"/>
          </w:tcPr>
          <w:p w:rsidR="00335BD0"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 xml:space="preserve">0.28 </w:t>
            </w:r>
          </w:p>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(0.21, 0.36)</w:t>
            </w:r>
          </w:p>
        </w:tc>
      </w:tr>
      <w:tr w:rsidR="00DC056F" w:rsidRPr="009B6653" w:rsidTr="00335BD0">
        <w:trPr>
          <w:trHeight w:val="150"/>
        </w:trPr>
        <w:tc>
          <w:tcPr>
            <w:tcW w:w="5000" w:type="pct"/>
            <w:gridSpan w:val="9"/>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OS: COMFORT I (week 144)</w:t>
            </w:r>
          </w:p>
        </w:tc>
      </w:tr>
      <w:tr w:rsidR="00DC056F" w:rsidRPr="009B6653" w:rsidTr="00335BD0">
        <w:trPr>
          <w:trHeight w:val="256"/>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b/>
                <w:color w:val="000000"/>
                <w:sz w:val="20"/>
                <w:szCs w:val="20"/>
              </w:rPr>
              <w:t>ITT</w:t>
            </w:r>
          </w:p>
        </w:tc>
        <w:tc>
          <w:tcPr>
            <w:tcW w:w="797"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699"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PBO</w:t>
            </w:r>
          </w:p>
        </w:tc>
        <w:tc>
          <w:tcPr>
            <w:tcW w:w="1338"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Absolute Difference</w:t>
            </w:r>
          </w:p>
        </w:tc>
        <w:tc>
          <w:tcPr>
            <w:tcW w:w="875"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HR (95% CI)</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Dead*</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42/155</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54/154</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0.69 (0.49, 1.03)</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Median (</w:t>
            </w:r>
            <w:proofErr w:type="spellStart"/>
            <w:r w:rsidRPr="009B6653">
              <w:rPr>
                <w:rFonts w:ascii="Arial Narrow" w:hAnsi="Arial Narrow" w:cs="Arial"/>
                <w:color w:val="000000"/>
                <w:sz w:val="20"/>
                <w:szCs w:val="20"/>
              </w:rPr>
              <w:t>mths</w:t>
            </w:r>
            <w:proofErr w:type="spellEnd"/>
            <w:r w:rsidRPr="009B6653">
              <w:rPr>
                <w:rFonts w:ascii="Arial Narrow" w:hAnsi="Arial Narrow" w:cs="Arial"/>
                <w:color w:val="000000"/>
                <w:sz w:val="20"/>
                <w:szCs w:val="20"/>
              </w:rPr>
              <w:t>)</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Cannot estimate</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b/>
                <w:color w:val="000000"/>
                <w:sz w:val="20"/>
                <w:szCs w:val="20"/>
              </w:rPr>
              <w:t>PP (censoring at cross over)</w:t>
            </w:r>
          </w:p>
        </w:tc>
        <w:tc>
          <w:tcPr>
            <w:tcW w:w="797" w:type="pct"/>
            <w:vAlign w:val="center"/>
          </w:tcPr>
          <w:p w:rsidR="00DC056F" w:rsidRPr="009B6653" w:rsidRDefault="00DC056F" w:rsidP="00FD7377">
            <w:pPr>
              <w:jc w:val="center"/>
              <w:rPr>
                <w:rFonts w:ascii="Arial Narrow" w:hAnsi="Arial Narrow" w:cs="Arial"/>
                <w:b/>
                <w:color w:val="000000"/>
                <w:sz w:val="20"/>
                <w:szCs w:val="20"/>
              </w:rPr>
            </w:pPr>
          </w:p>
        </w:tc>
        <w:tc>
          <w:tcPr>
            <w:tcW w:w="699" w:type="pct"/>
            <w:gridSpan w:val="2"/>
            <w:vAlign w:val="center"/>
          </w:tcPr>
          <w:p w:rsidR="00DC056F" w:rsidRPr="009B6653" w:rsidRDefault="00DC056F" w:rsidP="00FD7377">
            <w:pPr>
              <w:jc w:val="center"/>
              <w:rPr>
                <w:rFonts w:ascii="Arial Narrow" w:hAnsi="Arial Narrow" w:cs="Arial"/>
                <w:b/>
                <w:color w:val="000000"/>
                <w:sz w:val="20"/>
                <w:szCs w:val="20"/>
              </w:rPr>
            </w:pPr>
          </w:p>
        </w:tc>
        <w:tc>
          <w:tcPr>
            <w:tcW w:w="1338"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Absolute Difference</w:t>
            </w:r>
          </w:p>
        </w:tc>
        <w:tc>
          <w:tcPr>
            <w:tcW w:w="875"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HR (95% CI)</w:t>
            </w:r>
          </w:p>
        </w:tc>
      </w:tr>
      <w:tr w:rsidR="00DC056F" w:rsidRPr="009B6653" w:rsidTr="00335BD0">
        <w:trPr>
          <w:trHeight w:val="256"/>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Dead*</w:t>
            </w:r>
          </w:p>
        </w:tc>
        <w:tc>
          <w:tcPr>
            <w:tcW w:w="797" w:type="pct"/>
          </w:tcPr>
          <w:p w:rsidR="00DC056F" w:rsidRPr="005022D5" w:rsidRDefault="005022D5" w:rsidP="00FD737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99" w:type="pct"/>
            <w:gridSpan w:val="2"/>
          </w:tcPr>
          <w:p w:rsidR="00DC056F" w:rsidRPr="005022D5" w:rsidRDefault="005022D5" w:rsidP="00FD7377">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338" w:type="pct"/>
            <w:gridSpan w:val="2"/>
            <w:vAlign w:val="center"/>
          </w:tcPr>
          <w:p w:rsidR="00DC056F" w:rsidRPr="00755EFD" w:rsidRDefault="00DC056F" w:rsidP="00FD7377">
            <w:pPr>
              <w:jc w:val="center"/>
              <w:rPr>
                <w:rFonts w:ascii="Arial Narrow" w:hAnsi="Arial Narrow" w:cs="Arial"/>
                <w:color w:val="000000"/>
                <w:sz w:val="20"/>
                <w:szCs w:val="20"/>
              </w:rPr>
            </w:pPr>
            <w:r w:rsidRPr="00755EFD">
              <w:rPr>
                <w:rFonts w:ascii="Arial Narrow" w:hAnsi="Arial Narrow" w:cs="Arial"/>
                <w:color w:val="000000"/>
                <w:sz w:val="20"/>
                <w:szCs w:val="20"/>
              </w:rPr>
              <w:t>-</w:t>
            </w:r>
          </w:p>
        </w:tc>
        <w:tc>
          <w:tcPr>
            <w:tcW w:w="875" w:type="pct"/>
            <w:gridSpan w:val="2"/>
            <w:vAlign w:val="center"/>
          </w:tcPr>
          <w:p w:rsidR="00DC056F" w:rsidRPr="005022D5" w:rsidRDefault="005022D5" w:rsidP="00FD737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 ''''''''''''' ''''''''''''''</w:t>
            </w:r>
          </w:p>
        </w:tc>
      </w:tr>
      <w:tr w:rsidR="00DC056F" w:rsidRPr="009B6653" w:rsidTr="00335BD0">
        <w:trPr>
          <w:trHeight w:val="232"/>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Median (</w:t>
            </w:r>
            <w:proofErr w:type="spellStart"/>
            <w:r w:rsidRPr="009B6653">
              <w:rPr>
                <w:rFonts w:ascii="Arial Narrow" w:hAnsi="Arial Narrow" w:cs="Arial"/>
                <w:color w:val="000000"/>
                <w:sz w:val="20"/>
                <w:szCs w:val="20"/>
              </w:rPr>
              <w:t>mths</w:t>
            </w:r>
            <w:proofErr w:type="spellEnd"/>
            <w:r w:rsidRPr="009B6653">
              <w:rPr>
                <w:rFonts w:ascii="Arial Narrow" w:hAnsi="Arial Narrow" w:cs="Arial"/>
                <w:color w:val="000000"/>
                <w:sz w:val="20"/>
                <w:szCs w:val="20"/>
              </w:rPr>
              <w:t>)</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Cannot estimate</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r>
      <w:tr w:rsidR="00DC056F" w:rsidRPr="009B6653" w:rsidTr="00335BD0">
        <w:trPr>
          <w:trHeight w:val="150"/>
        </w:trPr>
        <w:tc>
          <w:tcPr>
            <w:tcW w:w="5000" w:type="pct"/>
            <w:gridSpan w:val="9"/>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OS: COMFORT II (week 144)</w:t>
            </w:r>
          </w:p>
        </w:tc>
      </w:tr>
      <w:tr w:rsidR="00DC056F" w:rsidRPr="009B6653" w:rsidTr="00335BD0">
        <w:trPr>
          <w:trHeight w:val="256"/>
        </w:trPr>
        <w:tc>
          <w:tcPr>
            <w:tcW w:w="1291" w:type="pct"/>
            <w:gridSpan w:val="2"/>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ITT</w:t>
            </w:r>
          </w:p>
        </w:tc>
        <w:tc>
          <w:tcPr>
            <w:tcW w:w="797"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699"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BAT</w:t>
            </w:r>
          </w:p>
        </w:tc>
        <w:tc>
          <w:tcPr>
            <w:tcW w:w="1338"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Absolute Difference</w:t>
            </w:r>
          </w:p>
        </w:tc>
        <w:tc>
          <w:tcPr>
            <w:tcW w:w="875"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HR (95% CI)</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Dead*</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29/146</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22/73</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0.48 (0.28, 0.85)</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Median (</w:t>
            </w:r>
            <w:proofErr w:type="spellStart"/>
            <w:r w:rsidRPr="009B6653">
              <w:rPr>
                <w:rFonts w:ascii="Arial Narrow" w:hAnsi="Arial Narrow" w:cs="Arial"/>
                <w:color w:val="000000"/>
                <w:sz w:val="20"/>
                <w:szCs w:val="20"/>
              </w:rPr>
              <w:t>mths</w:t>
            </w:r>
            <w:proofErr w:type="spellEnd"/>
            <w:r w:rsidRPr="009B6653">
              <w:rPr>
                <w:rFonts w:ascii="Arial Narrow" w:hAnsi="Arial Narrow" w:cs="Arial"/>
                <w:color w:val="000000"/>
                <w:sz w:val="20"/>
                <w:szCs w:val="20"/>
              </w:rPr>
              <w:t>)</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Cannot estimate</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r>
      <w:tr w:rsidR="00DC056F" w:rsidRPr="009B6653" w:rsidTr="00335BD0">
        <w:trPr>
          <w:trHeight w:val="256"/>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b/>
                <w:color w:val="000000"/>
                <w:sz w:val="20"/>
                <w:szCs w:val="20"/>
              </w:rPr>
              <w:t>PP (censoring at cross over)</w:t>
            </w:r>
          </w:p>
        </w:tc>
        <w:tc>
          <w:tcPr>
            <w:tcW w:w="797" w:type="pct"/>
            <w:vAlign w:val="center"/>
          </w:tcPr>
          <w:p w:rsidR="00DC056F" w:rsidRPr="009B6653" w:rsidRDefault="00DC056F" w:rsidP="00FD7377">
            <w:pPr>
              <w:jc w:val="center"/>
              <w:rPr>
                <w:rFonts w:ascii="Arial Narrow" w:hAnsi="Arial Narrow" w:cs="Arial"/>
                <w:b/>
                <w:color w:val="000000"/>
                <w:sz w:val="20"/>
                <w:szCs w:val="20"/>
              </w:rPr>
            </w:pPr>
          </w:p>
        </w:tc>
        <w:tc>
          <w:tcPr>
            <w:tcW w:w="699" w:type="pct"/>
            <w:gridSpan w:val="2"/>
            <w:vAlign w:val="center"/>
          </w:tcPr>
          <w:p w:rsidR="00DC056F" w:rsidRPr="009B6653" w:rsidRDefault="00DC056F" w:rsidP="00FD7377">
            <w:pPr>
              <w:jc w:val="center"/>
              <w:rPr>
                <w:rFonts w:ascii="Arial Narrow" w:hAnsi="Arial Narrow" w:cs="Arial"/>
                <w:b/>
                <w:color w:val="000000"/>
                <w:sz w:val="20"/>
                <w:szCs w:val="20"/>
              </w:rPr>
            </w:pPr>
          </w:p>
        </w:tc>
        <w:tc>
          <w:tcPr>
            <w:tcW w:w="1338"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Absolute Difference</w:t>
            </w:r>
          </w:p>
        </w:tc>
        <w:tc>
          <w:tcPr>
            <w:tcW w:w="875"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HR (95% CI)</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Dead*</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NR</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NR</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c>
          <w:tcPr>
            <w:tcW w:w="875" w:type="pct"/>
            <w:gridSpan w:val="2"/>
            <w:vAlign w:val="center"/>
          </w:tcPr>
          <w:p w:rsidR="00DC056F" w:rsidRPr="005022D5" w:rsidRDefault="005022D5" w:rsidP="00FD737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 '''''''''''''' '''''''''''</w:t>
            </w:r>
          </w:p>
        </w:tc>
      </w:tr>
      <w:tr w:rsidR="00DC056F" w:rsidRPr="009B6653" w:rsidTr="00335BD0">
        <w:trPr>
          <w:trHeight w:val="240"/>
        </w:trPr>
        <w:tc>
          <w:tcPr>
            <w:tcW w:w="1291" w:type="pct"/>
            <w:gridSpan w:val="2"/>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Median (</w:t>
            </w:r>
            <w:proofErr w:type="spellStart"/>
            <w:r w:rsidRPr="009B6653">
              <w:rPr>
                <w:rFonts w:ascii="Arial Narrow" w:hAnsi="Arial Narrow" w:cs="Arial"/>
                <w:color w:val="000000"/>
                <w:sz w:val="20"/>
                <w:szCs w:val="20"/>
              </w:rPr>
              <w:t>mths</w:t>
            </w:r>
            <w:proofErr w:type="spellEnd"/>
            <w:r w:rsidRPr="009B6653">
              <w:rPr>
                <w:rFonts w:ascii="Arial Narrow" w:hAnsi="Arial Narrow" w:cs="Arial"/>
                <w:color w:val="000000"/>
                <w:sz w:val="20"/>
                <w:szCs w:val="20"/>
              </w:rPr>
              <w:t>)</w:t>
            </w:r>
          </w:p>
        </w:tc>
        <w:tc>
          <w:tcPr>
            <w:tcW w:w="797" w:type="pct"/>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699" w:type="pct"/>
            <w:gridSpan w:val="2"/>
          </w:tcPr>
          <w:p w:rsidR="00DC056F" w:rsidRPr="009B6653" w:rsidRDefault="00DC056F" w:rsidP="00FD7377">
            <w:pPr>
              <w:jc w:val="center"/>
              <w:rPr>
                <w:rFonts w:ascii="Arial Narrow" w:hAnsi="Arial Narrow" w:cs="Arial"/>
                <w:sz w:val="20"/>
                <w:szCs w:val="20"/>
              </w:rPr>
            </w:pPr>
            <w:r w:rsidRPr="009B6653">
              <w:rPr>
                <w:rFonts w:ascii="Arial Narrow" w:hAnsi="Arial Narrow" w:cs="Arial"/>
                <w:sz w:val="20"/>
                <w:szCs w:val="20"/>
              </w:rPr>
              <w:t>Not reached</w:t>
            </w:r>
          </w:p>
        </w:tc>
        <w:tc>
          <w:tcPr>
            <w:tcW w:w="1338"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Cannot estimate</w:t>
            </w:r>
          </w:p>
        </w:tc>
        <w:tc>
          <w:tcPr>
            <w:tcW w:w="875"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w:t>
            </w:r>
          </w:p>
        </w:tc>
      </w:tr>
      <w:tr w:rsidR="00DC056F" w:rsidRPr="009B6653" w:rsidTr="00335BD0">
        <w:trPr>
          <w:trHeight w:val="163"/>
        </w:trPr>
        <w:tc>
          <w:tcPr>
            <w:tcW w:w="2787" w:type="pct"/>
            <w:gridSpan w:val="5"/>
            <w:shd w:val="clear" w:color="auto" w:fill="auto"/>
            <w:vAlign w:val="center"/>
          </w:tcPr>
          <w:p w:rsidR="00DC056F" w:rsidRPr="009B6653" w:rsidRDefault="00DC056F" w:rsidP="00FD7377">
            <w:pPr>
              <w:rPr>
                <w:rFonts w:ascii="Arial Narrow" w:hAnsi="Arial Narrow" w:cs="Arial"/>
                <w:b/>
                <w:smallCaps/>
                <w:color w:val="000000"/>
                <w:sz w:val="20"/>
                <w:szCs w:val="20"/>
              </w:rPr>
            </w:pPr>
            <w:r w:rsidRPr="009B6653">
              <w:rPr>
                <w:rFonts w:ascii="Arial Narrow" w:hAnsi="Arial Narrow" w:cs="Arial"/>
                <w:b/>
                <w:smallCaps/>
                <w:color w:val="000000"/>
                <w:sz w:val="20"/>
                <w:szCs w:val="20"/>
              </w:rPr>
              <w:t>Harms  ( week 144)</w:t>
            </w:r>
          </w:p>
        </w:tc>
        <w:tc>
          <w:tcPr>
            <w:tcW w:w="2213" w:type="pct"/>
            <w:gridSpan w:val="4"/>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Event rate/100 patients*</w:t>
            </w:r>
          </w:p>
        </w:tc>
      </w:tr>
      <w:tr w:rsidR="00DC056F" w:rsidRPr="009B6653" w:rsidTr="00335BD0">
        <w:trPr>
          <w:trHeight w:val="74"/>
        </w:trPr>
        <w:tc>
          <w:tcPr>
            <w:tcW w:w="620" w:type="pct"/>
            <w:shd w:val="clear" w:color="auto" w:fill="auto"/>
            <w:vAlign w:val="bottom"/>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Anaemia</w:t>
            </w:r>
          </w:p>
        </w:tc>
        <w:tc>
          <w:tcPr>
            <w:tcW w:w="671"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797"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PBO/BAT</w:t>
            </w:r>
            <w:r w:rsidRPr="009B6653">
              <w:rPr>
                <w:rFonts w:ascii="Arial Narrow" w:hAnsi="Arial Narrow" w:cs="Arial"/>
                <w:b/>
                <w:color w:val="000000"/>
                <w:sz w:val="20"/>
                <w:szCs w:val="20"/>
                <w:vertAlign w:val="superscript"/>
              </w:rPr>
              <w:t># ^</w:t>
            </w:r>
          </w:p>
        </w:tc>
        <w:tc>
          <w:tcPr>
            <w:tcW w:w="699"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RR (95% CI)</w:t>
            </w:r>
          </w:p>
        </w:tc>
        <w:tc>
          <w:tcPr>
            <w:tcW w:w="729"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RUX</w:t>
            </w:r>
          </w:p>
        </w:tc>
        <w:tc>
          <w:tcPr>
            <w:tcW w:w="644" w:type="pct"/>
            <w:gridSpan w:val="2"/>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PBO/BAT</w:t>
            </w:r>
            <w:r w:rsidRPr="009B6653">
              <w:rPr>
                <w:rFonts w:ascii="Arial Narrow" w:hAnsi="Arial Narrow" w:cs="Arial"/>
                <w:b/>
                <w:color w:val="000000"/>
                <w:sz w:val="20"/>
                <w:szCs w:val="20"/>
                <w:vertAlign w:val="superscript"/>
              </w:rPr>
              <w:t># ^</w:t>
            </w:r>
          </w:p>
        </w:tc>
        <w:tc>
          <w:tcPr>
            <w:tcW w:w="840" w:type="pct"/>
            <w:vAlign w:val="center"/>
          </w:tcPr>
          <w:p w:rsidR="00DC056F" w:rsidRPr="009B6653" w:rsidRDefault="00DC056F" w:rsidP="00FD7377">
            <w:pPr>
              <w:jc w:val="center"/>
              <w:rPr>
                <w:rFonts w:ascii="Arial Narrow" w:hAnsi="Arial Narrow" w:cs="Arial"/>
                <w:b/>
                <w:color w:val="000000"/>
                <w:sz w:val="20"/>
                <w:szCs w:val="20"/>
              </w:rPr>
            </w:pPr>
            <w:r w:rsidRPr="009B6653">
              <w:rPr>
                <w:rFonts w:ascii="Arial Narrow" w:hAnsi="Arial Narrow" w:cs="Arial"/>
                <w:b/>
                <w:color w:val="000000"/>
                <w:sz w:val="20"/>
                <w:szCs w:val="20"/>
              </w:rPr>
              <w:t>RD(95% CI)</w:t>
            </w:r>
          </w:p>
        </w:tc>
      </w:tr>
      <w:tr w:rsidR="00DC056F" w:rsidRPr="009B6653" w:rsidTr="00335BD0">
        <w:trPr>
          <w:trHeight w:val="240"/>
        </w:trPr>
        <w:tc>
          <w:tcPr>
            <w:tcW w:w="620" w:type="pct"/>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COMFORT I</w:t>
            </w:r>
          </w:p>
        </w:tc>
        <w:tc>
          <w:tcPr>
            <w:tcW w:w="671"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64</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21</w:t>
            </w:r>
          </w:p>
        </w:tc>
        <w:tc>
          <w:tcPr>
            <w:tcW w:w="699"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2.97 (1.9, 4.6)</w:t>
            </w:r>
          </w:p>
        </w:tc>
        <w:tc>
          <w:tcPr>
            <w:tcW w:w="729"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41.3</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13.9</w:t>
            </w:r>
          </w:p>
        </w:tc>
        <w:tc>
          <w:tcPr>
            <w:tcW w:w="840"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0.27 (0.2,0.4)</w:t>
            </w:r>
          </w:p>
        </w:tc>
      </w:tr>
      <w:tr w:rsidR="00DC056F" w:rsidRPr="009B6653" w:rsidTr="00335BD0">
        <w:trPr>
          <w:trHeight w:val="240"/>
        </w:trPr>
        <w:tc>
          <w:tcPr>
            <w:tcW w:w="620" w:type="pct"/>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COMFORT II</w:t>
            </w:r>
          </w:p>
        </w:tc>
        <w:tc>
          <w:tcPr>
            <w:tcW w:w="671"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64</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12</w:t>
            </w:r>
          </w:p>
        </w:tc>
        <w:tc>
          <w:tcPr>
            <w:tcW w:w="699"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2.67 (1.5, 4.6)</w:t>
            </w:r>
          </w:p>
        </w:tc>
        <w:tc>
          <w:tcPr>
            <w:tcW w:w="729"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43.8</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16.4</w:t>
            </w:r>
          </w:p>
        </w:tc>
        <w:tc>
          <w:tcPr>
            <w:tcW w:w="840"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0.27 (0.2, 0.4)</w:t>
            </w:r>
          </w:p>
        </w:tc>
      </w:tr>
      <w:tr w:rsidR="00DC056F" w:rsidRPr="009B6653" w:rsidTr="00335BD0">
        <w:trPr>
          <w:trHeight w:val="256"/>
        </w:trPr>
        <w:tc>
          <w:tcPr>
            <w:tcW w:w="5000" w:type="pct"/>
            <w:gridSpan w:val="9"/>
            <w:shd w:val="clear" w:color="auto" w:fill="auto"/>
            <w:vAlign w:val="center"/>
          </w:tcPr>
          <w:p w:rsidR="00DC056F" w:rsidRPr="009B6653" w:rsidRDefault="00DC056F" w:rsidP="00FD7377">
            <w:pPr>
              <w:rPr>
                <w:rFonts w:ascii="Arial Narrow" w:hAnsi="Arial Narrow" w:cs="Arial"/>
                <w:b/>
                <w:color w:val="000000"/>
                <w:sz w:val="20"/>
                <w:szCs w:val="20"/>
              </w:rPr>
            </w:pPr>
            <w:r w:rsidRPr="009B6653">
              <w:rPr>
                <w:rFonts w:ascii="Arial Narrow" w:hAnsi="Arial Narrow" w:cs="Arial"/>
                <w:b/>
                <w:color w:val="000000"/>
                <w:sz w:val="20"/>
                <w:szCs w:val="20"/>
              </w:rPr>
              <w:t>Thrombocytopenia</w:t>
            </w:r>
          </w:p>
        </w:tc>
      </w:tr>
      <w:tr w:rsidR="00DC056F" w:rsidRPr="009B6653" w:rsidTr="00335BD0">
        <w:trPr>
          <w:trHeight w:val="240"/>
        </w:trPr>
        <w:tc>
          <w:tcPr>
            <w:tcW w:w="620" w:type="pct"/>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COMFORT I</w:t>
            </w:r>
          </w:p>
        </w:tc>
        <w:tc>
          <w:tcPr>
            <w:tcW w:w="671"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77</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16</w:t>
            </w:r>
          </w:p>
        </w:tc>
        <w:tc>
          <w:tcPr>
            <w:tcW w:w="699"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4.69 (2.9, 7.7)</w:t>
            </w:r>
          </w:p>
        </w:tc>
        <w:tc>
          <w:tcPr>
            <w:tcW w:w="729"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49.7</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10.6</w:t>
            </w:r>
          </w:p>
        </w:tc>
        <w:tc>
          <w:tcPr>
            <w:tcW w:w="840"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0.39 (0.3, 0.5)</w:t>
            </w:r>
          </w:p>
        </w:tc>
      </w:tr>
      <w:tr w:rsidR="00DC056F" w:rsidRPr="009B6653" w:rsidTr="00335BD0">
        <w:trPr>
          <w:trHeight w:val="240"/>
        </w:trPr>
        <w:tc>
          <w:tcPr>
            <w:tcW w:w="620" w:type="pct"/>
            <w:shd w:val="clear" w:color="auto" w:fill="auto"/>
            <w:vAlign w:val="center"/>
          </w:tcPr>
          <w:p w:rsidR="00DC056F" w:rsidRPr="009B6653" w:rsidRDefault="00DC056F" w:rsidP="00FD7377">
            <w:pPr>
              <w:rPr>
                <w:rFonts w:ascii="Arial Narrow" w:hAnsi="Arial Narrow" w:cs="Arial"/>
                <w:color w:val="000000"/>
                <w:sz w:val="20"/>
                <w:szCs w:val="20"/>
              </w:rPr>
            </w:pPr>
            <w:r w:rsidRPr="009B6653">
              <w:rPr>
                <w:rFonts w:ascii="Arial Narrow" w:hAnsi="Arial Narrow" w:cs="Arial"/>
                <w:color w:val="000000"/>
                <w:sz w:val="20"/>
                <w:szCs w:val="20"/>
              </w:rPr>
              <w:t>COMFORT II</w:t>
            </w:r>
          </w:p>
        </w:tc>
        <w:tc>
          <w:tcPr>
            <w:tcW w:w="671"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67</w:t>
            </w:r>
          </w:p>
        </w:tc>
        <w:tc>
          <w:tcPr>
            <w:tcW w:w="797"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10</w:t>
            </w:r>
          </w:p>
        </w:tc>
        <w:tc>
          <w:tcPr>
            <w:tcW w:w="699"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3.35 (1.8, 6.1)</w:t>
            </w:r>
          </w:p>
        </w:tc>
        <w:tc>
          <w:tcPr>
            <w:tcW w:w="729"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45.9</w:t>
            </w:r>
          </w:p>
        </w:tc>
        <w:tc>
          <w:tcPr>
            <w:tcW w:w="644" w:type="pct"/>
            <w:gridSpan w:val="2"/>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13.7</w:t>
            </w:r>
          </w:p>
        </w:tc>
        <w:tc>
          <w:tcPr>
            <w:tcW w:w="840" w:type="pct"/>
            <w:vAlign w:val="center"/>
          </w:tcPr>
          <w:p w:rsidR="00DC056F" w:rsidRPr="009B6653" w:rsidRDefault="00DC056F" w:rsidP="00FD7377">
            <w:pPr>
              <w:jc w:val="center"/>
              <w:rPr>
                <w:rFonts w:ascii="Arial Narrow" w:hAnsi="Arial Narrow" w:cs="Arial"/>
                <w:color w:val="000000"/>
                <w:sz w:val="20"/>
                <w:szCs w:val="20"/>
              </w:rPr>
            </w:pPr>
            <w:r w:rsidRPr="009B6653">
              <w:rPr>
                <w:rFonts w:ascii="Arial Narrow" w:hAnsi="Arial Narrow" w:cs="Arial"/>
                <w:color w:val="000000"/>
                <w:sz w:val="20"/>
                <w:szCs w:val="20"/>
              </w:rPr>
              <w:t>0.32 (0.2, 0.4)</w:t>
            </w:r>
          </w:p>
        </w:tc>
      </w:tr>
    </w:tbl>
    <w:p w:rsidR="00A74BB8" w:rsidRPr="00335BD0" w:rsidRDefault="00A74BB8" w:rsidP="00A74BB8">
      <w:pPr>
        <w:pStyle w:val="TableFooter"/>
        <w:ind w:left="720"/>
        <w:rPr>
          <w:sz w:val="20"/>
          <w:vertAlign w:val="superscript"/>
        </w:rPr>
      </w:pPr>
      <w:r w:rsidRPr="00335BD0">
        <w:rPr>
          <w:sz w:val="20"/>
        </w:rPr>
        <w:t>*</w:t>
      </w:r>
      <w:r w:rsidR="00DC056F" w:rsidRPr="00335BD0">
        <w:rPr>
          <w:sz w:val="20"/>
        </w:rPr>
        <w:t>Maximum duration of follow-up: COMFORT I = 144 weeks; COMFORT II=144.5weeks</w:t>
      </w:r>
    </w:p>
    <w:p w:rsidR="00DC056F" w:rsidRPr="00335BD0" w:rsidRDefault="00DC056F" w:rsidP="00A74BB8">
      <w:pPr>
        <w:pStyle w:val="TableFooter"/>
        <w:ind w:left="720"/>
        <w:rPr>
          <w:sz w:val="20"/>
        </w:rPr>
      </w:pPr>
      <w:r w:rsidRPr="00335BD0">
        <w:rPr>
          <w:sz w:val="20"/>
          <w:vertAlign w:val="superscript"/>
        </w:rPr>
        <w:lastRenderedPageBreak/>
        <w:t>#</w:t>
      </w:r>
      <w:r w:rsidRPr="00335BD0">
        <w:rPr>
          <w:sz w:val="20"/>
        </w:rPr>
        <w:t>COMFORT I, primary outcome assessed at 24 weeks, versus PBO</w:t>
      </w:r>
    </w:p>
    <w:p w:rsidR="00DC056F" w:rsidRPr="00335BD0" w:rsidRDefault="00DC056F" w:rsidP="00A74BB8">
      <w:pPr>
        <w:pStyle w:val="TableFooter"/>
        <w:ind w:firstLine="720"/>
        <w:rPr>
          <w:sz w:val="20"/>
        </w:rPr>
      </w:pPr>
      <w:r w:rsidRPr="00335BD0">
        <w:rPr>
          <w:sz w:val="20"/>
        </w:rPr>
        <w:t>^COMFORT II, primary outcome assessed at 48 weeks, versus BAT</w:t>
      </w:r>
    </w:p>
    <w:p w:rsidR="00DC056F" w:rsidRPr="00335BD0" w:rsidRDefault="00DC056F" w:rsidP="00A74BB8">
      <w:pPr>
        <w:pStyle w:val="TableFooter"/>
        <w:ind w:left="720"/>
        <w:rPr>
          <w:sz w:val="20"/>
        </w:rPr>
      </w:pPr>
      <w:r w:rsidRPr="00335BD0">
        <w:rPr>
          <w:sz w:val="20"/>
        </w:rPr>
        <w:t>Abbreviations: RUX=</w:t>
      </w:r>
      <w:proofErr w:type="spellStart"/>
      <w:r w:rsidRPr="00335BD0">
        <w:rPr>
          <w:sz w:val="20"/>
        </w:rPr>
        <w:t>ruxolitinib</w:t>
      </w:r>
      <w:proofErr w:type="spellEnd"/>
      <w:r w:rsidRPr="00335BD0">
        <w:rPr>
          <w:sz w:val="20"/>
        </w:rPr>
        <w:t>; BAT=best available therapy; PBO = placebo; RD = risk difference; RR = risk ratio; ITT=intention to treat, PP=per protocol</w:t>
      </w:r>
    </w:p>
    <w:p w:rsidR="00DC056F" w:rsidRPr="00335BD0" w:rsidRDefault="00DC056F" w:rsidP="00A74BB8">
      <w:pPr>
        <w:pStyle w:val="TableFooter"/>
        <w:ind w:firstLine="720"/>
        <w:rPr>
          <w:sz w:val="20"/>
        </w:rPr>
      </w:pPr>
      <w:r w:rsidRPr="00335BD0">
        <w:rPr>
          <w:sz w:val="20"/>
        </w:rPr>
        <w:t>Source: Table 2, p 5 of the commentary</w:t>
      </w:r>
    </w:p>
    <w:p w:rsidR="00DC056F" w:rsidRPr="009B6653" w:rsidRDefault="00DC056F" w:rsidP="00DC056F">
      <w:pPr>
        <w:rPr>
          <w:rFonts w:ascii="Arial" w:hAnsi="Arial" w:cs="Arial"/>
          <w:sz w:val="22"/>
          <w:szCs w:val="22"/>
        </w:rPr>
      </w:pPr>
    </w:p>
    <w:p w:rsidR="00DC056F" w:rsidRPr="009B6653" w:rsidRDefault="00DC056F" w:rsidP="00DC056F">
      <w:pPr>
        <w:pStyle w:val="ListParagraph"/>
        <w:numPr>
          <w:ilvl w:val="1"/>
          <w:numId w:val="25"/>
        </w:numPr>
        <w:jc w:val="both"/>
        <w:rPr>
          <w:rFonts w:ascii="Arial" w:hAnsi="Arial"/>
          <w:sz w:val="22"/>
          <w:szCs w:val="22"/>
        </w:rPr>
      </w:pPr>
      <w:r w:rsidRPr="009B6653">
        <w:rPr>
          <w:rFonts w:ascii="Arial" w:hAnsi="Arial" w:cs="Arial"/>
          <w:sz w:val="22"/>
          <w:szCs w:val="22"/>
        </w:rPr>
        <w:t xml:space="preserve">Based on the direct evidence presented by the resubmission, for every 100 patients treated with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in comparison to placebo (PBO) or best available therapy (BAT):</w:t>
      </w:r>
      <w:r w:rsidRPr="009B6653">
        <w:rPr>
          <w:rFonts w:ascii="Arial" w:hAnsi="Arial" w:cs="Arial"/>
          <w:color w:val="FF0000"/>
          <w:sz w:val="22"/>
          <w:szCs w:val="22"/>
        </w:rPr>
        <w:t xml:space="preserve"> </w:t>
      </w:r>
    </w:p>
    <w:p w:rsidR="00DC056F" w:rsidRPr="009B6653" w:rsidRDefault="00DC056F"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 xml:space="preserve">Approximately 41 additional patients who are intolerant or irresponsive to BAT would experience a spleen response over a maximum duration of follow-up of 24 weeks. </w:t>
      </w:r>
    </w:p>
    <w:p w:rsidR="00DC056F" w:rsidRPr="009B6653" w:rsidRDefault="00DC056F"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Approximately 28 additional patients would experience a spleen response over the maximum duration of follow-up of 48 weeks, compared to BAT.</w:t>
      </w:r>
    </w:p>
    <w:p w:rsidR="00DC056F" w:rsidRPr="009B6653" w:rsidRDefault="00DC056F"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 xml:space="preserve">Approximately 27 additional patients would experience at least one episode </w:t>
      </w:r>
      <w:r w:rsidR="003131F8" w:rsidRPr="009B6653">
        <w:rPr>
          <w:rFonts w:ascii="Arial" w:hAnsi="Arial" w:cs="Arial"/>
          <w:sz w:val="22"/>
          <w:szCs w:val="22"/>
        </w:rPr>
        <w:t xml:space="preserve">of anaemia </w:t>
      </w:r>
      <w:r w:rsidRPr="009B6653">
        <w:rPr>
          <w:rFonts w:ascii="Arial" w:hAnsi="Arial" w:cs="Arial"/>
          <w:sz w:val="22"/>
          <w:szCs w:val="22"/>
        </w:rPr>
        <w:t>over a median duration of follow-up of 144 weeks, compared to PBO or BAT.</w:t>
      </w:r>
    </w:p>
    <w:p w:rsidR="00DC056F" w:rsidRPr="009B6653" w:rsidRDefault="00DC056F"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 xml:space="preserve">Approximately 39 additional patients would experience at least one </w:t>
      </w:r>
      <w:r w:rsidR="00167040" w:rsidRPr="009B6653">
        <w:rPr>
          <w:rFonts w:ascii="Arial" w:hAnsi="Arial" w:cs="Arial"/>
          <w:sz w:val="22"/>
          <w:szCs w:val="22"/>
        </w:rPr>
        <w:t xml:space="preserve">episode of </w:t>
      </w:r>
      <w:r w:rsidRPr="009B6653">
        <w:rPr>
          <w:rFonts w:ascii="Arial" w:hAnsi="Arial" w:cs="Arial"/>
          <w:sz w:val="22"/>
          <w:szCs w:val="22"/>
        </w:rPr>
        <w:t>thrombocytopenia episode over a median duration of follow-up of 144 weeks, compared to PBO.</w:t>
      </w:r>
    </w:p>
    <w:p w:rsidR="00DC056F" w:rsidRPr="009B6653" w:rsidRDefault="00DC056F"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Approximately 32 additional patients would experience at least one thrombocytopenia episode over a median duration of follow-up of 144 weeks, compared to BAT.</w:t>
      </w:r>
    </w:p>
    <w:p w:rsidR="0096351A" w:rsidRPr="009B6653" w:rsidRDefault="0096351A"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 xml:space="preserve">Approximately </w:t>
      </w:r>
      <w:r w:rsidR="004F795E" w:rsidRPr="009B6653">
        <w:rPr>
          <w:rFonts w:ascii="Arial" w:hAnsi="Arial" w:cs="Arial"/>
          <w:sz w:val="22"/>
          <w:szCs w:val="22"/>
        </w:rPr>
        <w:t>7</w:t>
      </w:r>
      <w:r w:rsidRPr="009B6653">
        <w:rPr>
          <w:rFonts w:ascii="Arial" w:hAnsi="Arial" w:cs="Arial"/>
          <w:sz w:val="22"/>
          <w:szCs w:val="22"/>
        </w:rPr>
        <w:t xml:space="preserve"> additional patients will be alive after 48 weeks and </w:t>
      </w:r>
      <w:r w:rsidR="004F795E" w:rsidRPr="009B6653">
        <w:rPr>
          <w:rFonts w:ascii="Arial" w:hAnsi="Arial" w:cs="Arial"/>
          <w:sz w:val="22"/>
          <w:szCs w:val="22"/>
        </w:rPr>
        <w:t>9</w:t>
      </w:r>
      <w:r w:rsidRPr="009B6653">
        <w:rPr>
          <w:rFonts w:ascii="Arial" w:hAnsi="Arial" w:cs="Arial"/>
          <w:sz w:val="22"/>
          <w:szCs w:val="22"/>
        </w:rPr>
        <w:t xml:space="preserve"> additional patients at 112 weeks compared with </w:t>
      </w:r>
      <w:r w:rsidR="00A377F2" w:rsidRPr="009B6653">
        <w:rPr>
          <w:rFonts w:ascii="Arial" w:hAnsi="Arial" w:cs="Arial"/>
          <w:sz w:val="22"/>
          <w:szCs w:val="22"/>
        </w:rPr>
        <w:t>PBO</w:t>
      </w:r>
      <w:r w:rsidRPr="009B6653">
        <w:rPr>
          <w:rFonts w:ascii="Arial" w:hAnsi="Arial" w:cs="Arial"/>
          <w:sz w:val="22"/>
          <w:szCs w:val="22"/>
        </w:rPr>
        <w:t xml:space="preserve">. Due to crossover of patients from </w:t>
      </w:r>
      <w:r w:rsidR="00A377F2" w:rsidRPr="009B6653">
        <w:rPr>
          <w:rFonts w:ascii="Arial" w:hAnsi="Arial" w:cs="Arial"/>
          <w:sz w:val="22"/>
          <w:szCs w:val="22"/>
        </w:rPr>
        <w:t>PBO</w:t>
      </w:r>
      <w:r w:rsidRPr="009B6653">
        <w:rPr>
          <w:rFonts w:ascii="Arial" w:hAnsi="Arial" w:cs="Arial"/>
          <w:sz w:val="22"/>
          <w:szCs w:val="22"/>
        </w:rPr>
        <w:t xml:space="preserve"> to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the degree of improvement in overall survival is uncertain</w:t>
      </w:r>
      <w:r w:rsidR="00F86D93" w:rsidRPr="009B6653">
        <w:rPr>
          <w:rFonts w:ascii="Arial" w:hAnsi="Arial" w:cs="Arial"/>
          <w:sz w:val="22"/>
          <w:szCs w:val="22"/>
        </w:rPr>
        <w:t>, and may be greater than the observed estimates which are based on the intention-to-treat analyses</w:t>
      </w:r>
      <w:r w:rsidRPr="009B6653">
        <w:rPr>
          <w:rFonts w:ascii="Arial" w:hAnsi="Arial" w:cs="Arial"/>
          <w:sz w:val="22"/>
          <w:szCs w:val="22"/>
        </w:rPr>
        <w:t>.</w:t>
      </w:r>
    </w:p>
    <w:p w:rsidR="0096351A" w:rsidRPr="009B6653" w:rsidRDefault="0096351A" w:rsidP="00335BD0">
      <w:pPr>
        <w:pStyle w:val="ListParagraph"/>
        <w:numPr>
          <w:ilvl w:val="0"/>
          <w:numId w:val="38"/>
        </w:numPr>
        <w:tabs>
          <w:tab w:val="left" w:pos="142"/>
        </w:tabs>
        <w:ind w:left="993" w:hanging="284"/>
        <w:jc w:val="both"/>
        <w:rPr>
          <w:rFonts w:ascii="Arial" w:hAnsi="Arial" w:cs="Arial"/>
          <w:sz w:val="22"/>
          <w:szCs w:val="22"/>
        </w:rPr>
      </w:pPr>
      <w:r w:rsidRPr="009B6653">
        <w:rPr>
          <w:rFonts w:ascii="Arial" w:hAnsi="Arial" w:cs="Arial"/>
          <w:sz w:val="22"/>
          <w:szCs w:val="22"/>
        </w:rPr>
        <w:t xml:space="preserve">Approximately </w:t>
      </w:r>
      <w:r w:rsidR="004F795E" w:rsidRPr="009B6653">
        <w:rPr>
          <w:rFonts w:ascii="Arial" w:hAnsi="Arial" w:cs="Arial"/>
          <w:sz w:val="22"/>
          <w:szCs w:val="22"/>
        </w:rPr>
        <w:t>8</w:t>
      </w:r>
      <w:r w:rsidRPr="009B6653">
        <w:rPr>
          <w:rFonts w:ascii="Arial" w:hAnsi="Arial" w:cs="Arial"/>
          <w:sz w:val="22"/>
          <w:szCs w:val="22"/>
        </w:rPr>
        <w:t xml:space="preserve"> additional patients will be alive after 112 weeks </w:t>
      </w:r>
      <w:r w:rsidR="00A377F2" w:rsidRPr="009B6653">
        <w:rPr>
          <w:rFonts w:ascii="Arial" w:hAnsi="Arial" w:cs="Arial"/>
          <w:sz w:val="22"/>
          <w:szCs w:val="22"/>
        </w:rPr>
        <w:t xml:space="preserve">and </w:t>
      </w:r>
      <w:r w:rsidR="004F795E" w:rsidRPr="009B6653">
        <w:rPr>
          <w:rFonts w:ascii="Arial" w:hAnsi="Arial" w:cs="Arial"/>
          <w:sz w:val="22"/>
          <w:szCs w:val="22"/>
        </w:rPr>
        <w:t>10 additional</w:t>
      </w:r>
      <w:r w:rsidR="00A377F2" w:rsidRPr="009B6653">
        <w:rPr>
          <w:rFonts w:ascii="Arial" w:hAnsi="Arial" w:cs="Arial"/>
          <w:sz w:val="22"/>
          <w:szCs w:val="22"/>
        </w:rPr>
        <w:t xml:space="preserve"> patients at 144 weeks </w:t>
      </w:r>
      <w:r w:rsidRPr="009B6653">
        <w:rPr>
          <w:rFonts w:ascii="Arial" w:hAnsi="Arial" w:cs="Arial"/>
          <w:sz w:val="22"/>
          <w:szCs w:val="22"/>
        </w:rPr>
        <w:t xml:space="preserve">compared with </w:t>
      </w:r>
      <w:r w:rsidR="00A377F2" w:rsidRPr="009B6653">
        <w:rPr>
          <w:rFonts w:ascii="Arial" w:hAnsi="Arial" w:cs="Arial"/>
          <w:sz w:val="22"/>
          <w:szCs w:val="22"/>
        </w:rPr>
        <w:t>BAT</w:t>
      </w:r>
      <w:r w:rsidRPr="009B6653">
        <w:rPr>
          <w:rFonts w:ascii="Arial" w:hAnsi="Arial" w:cs="Arial"/>
          <w:sz w:val="22"/>
          <w:szCs w:val="22"/>
        </w:rPr>
        <w:t xml:space="preserve">. Due to crossover of patients from </w:t>
      </w:r>
      <w:r w:rsidR="00A377F2" w:rsidRPr="009B6653">
        <w:rPr>
          <w:rFonts w:ascii="Arial" w:hAnsi="Arial" w:cs="Arial"/>
          <w:sz w:val="22"/>
          <w:szCs w:val="22"/>
        </w:rPr>
        <w:t>BAT</w:t>
      </w:r>
      <w:r w:rsidRPr="009B6653">
        <w:rPr>
          <w:rFonts w:ascii="Arial" w:hAnsi="Arial" w:cs="Arial"/>
          <w:sz w:val="22"/>
          <w:szCs w:val="22"/>
        </w:rPr>
        <w:t xml:space="preserve"> to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the degree of improvement in overall survival is uncertain</w:t>
      </w:r>
      <w:r w:rsidR="00F86D93" w:rsidRPr="009B6653">
        <w:rPr>
          <w:rFonts w:ascii="Arial" w:hAnsi="Arial" w:cs="Arial"/>
          <w:sz w:val="22"/>
          <w:szCs w:val="22"/>
        </w:rPr>
        <w:t>, and may be greater than the observed estimates which are based on the intention-to-treat analyses</w:t>
      </w:r>
      <w:r w:rsidRPr="009B6653">
        <w:rPr>
          <w:rFonts w:ascii="Arial" w:hAnsi="Arial" w:cs="Arial"/>
          <w:sz w:val="22"/>
          <w:szCs w:val="22"/>
        </w:rPr>
        <w:t>.</w:t>
      </w:r>
    </w:p>
    <w:p w:rsidR="00DC056F" w:rsidRPr="009B6653" w:rsidRDefault="00DC056F" w:rsidP="00DC056F">
      <w:pPr>
        <w:jc w:val="both"/>
        <w:rPr>
          <w:rFonts w:ascii="Arial" w:hAnsi="Arial"/>
          <w:sz w:val="22"/>
          <w:szCs w:val="22"/>
        </w:rPr>
      </w:pPr>
    </w:p>
    <w:p w:rsidR="00DC056F" w:rsidRPr="009B6653" w:rsidRDefault="00DC056F" w:rsidP="00DC056F">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DC056F" w:rsidRPr="009B6653" w:rsidRDefault="00DC056F" w:rsidP="00DC056F">
      <w:pPr>
        <w:pStyle w:val="ListParagraph"/>
        <w:ind w:left="709"/>
        <w:jc w:val="both"/>
        <w:rPr>
          <w:rFonts w:ascii="Arial" w:hAnsi="Arial"/>
          <w:i/>
          <w:sz w:val="22"/>
          <w:szCs w:val="22"/>
        </w:rPr>
      </w:pPr>
    </w:p>
    <w:p w:rsidR="005A3173" w:rsidRPr="009B6653" w:rsidRDefault="005A3173" w:rsidP="00882085">
      <w:pPr>
        <w:jc w:val="both"/>
        <w:rPr>
          <w:rFonts w:ascii="Arial" w:hAnsi="Arial"/>
          <w:b/>
          <w:i/>
          <w:sz w:val="22"/>
          <w:szCs w:val="22"/>
        </w:rPr>
      </w:pPr>
      <w:r w:rsidRPr="009B6653">
        <w:rPr>
          <w:rFonts w:ascii="Arial" w:hAnsi="Arial"/>
          <w:b/>
          <w:i/>
          <w:sz w:val="22"/>
          <w:szCs w:val="22"/>
        </w:rPr>
        <w:t>Clinical claim</w:t>
      </w:r>
    </w:p>
    <w:p w:rsidR="005A3173" w:rsidRPr="009B6653" w:rsidRDefault="005A3173" w:rsidP="00882085">
      <w:pPr>
        <w:ind w:left="720" w:hanging="720"/>
        <w:jc w:val="both"/>
        <w:rPr>
          <w:rFonts w:ascii="Arial" w:hAnsi="Arial" w:cs="Arial"/>
          <w:sz w:val="22"/>
          <w:szCs w:val="22"/>
        </w:rPr>
      </w:pPr>
    </w:p>
    <w:p w:rsidR="00FD7377" w:rsidRPr="009B6653" w:rsidRDefault="00FD7377" w:rsidP="00FD7377">
      <w:pPr>
        <w:pStyle w:val="ListParagraph"/>
        <w:numPr>
          <w:ilvl w:val="1"/>
          <w:numId w:val="25"/>
        </w:numPr>
        <w:jc w:val="both"/>
        <w:rPr>
          <w:rFonts w:ascii="Arial" w:hAnsi="Arial" w:cs="Arial"/>
          <w:sz w:val="22"/>
          <w:szCs w:val="22"/>
        </w:rPr>
      </w:pPr>
      <w:r w:rsidRPr="009B6653">
        <w:rPr>
          <w:rFonts w:ascii="Arial" w:hAnsi="Arial" w:cs="Arial"/>
          <w:sz w:val="22"/>
          <w:szCs w:val="22"/>
        </w:rPr>
        <w:t xml:space="preserve">The submission describes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as superior in terms of comparative effectiveness and inferior yet manageable in terms of comparative safety over placebo.</w:t>
      </w:r>
    </w:p>
    <w:p w:rsidR="00FD7377" w:rsidRPr="009B6653" w:rsidRDefault="00FD7377" w:rsidP="00FD7377">
      <w:pPr>
        <w:pStyle w:val="ListParagraph"/>
        <w:jc w:val="both"/>
        <w:rPr>
          <w:rFonts w:ascii="Arial" w:hAnsi="Arial" w:cs="Arial"/>
          <w:sz w:val="22"/>
          <w:szCs w:val="22"/>
        </w:rPr>
      </w:pPr>
    </w:p>
    <w:p w:rsidR="003219AD" w:rsidRPr="009B6653" w:rsidRDefault="00FD7377" w:rsidP="00C84AB2">
      <w:pPr>
        <w:pStyle w:val="ListParagraph"/>
        <w:numPr>
          <w:ilvl w:val="1"/>
          <w:numId w:val="25"/>
        </w:numPr>
        <w:ind w:left="709"/>
        <w:jc w:val="both"/>
        <w:rPr>
          <w:rFonts w:ascii="Arial" w:hAnsi="Arial" w:cs="Arial"/>
          <w:sz w:val="22"/>
          <w:szCs w:val="22"/>
        </w:rPr>
      </w:pPr>
      <w:r w:rsidRPr="009B6653">
        <w:rPr>
          <w:rFonts w:ascii="Arial" w:hAnsi="Arial" w:cs="Arial"/>
          <w:sz w:val="22"/>
          <w:szCs w:val="22"/>
        </w:rPr>
        <w:t xml:space="preserve">ESC considered that although all evidence supports a conclusion of superior survival, estimating the magnitude of the benefit remains difficult. An expanded array of sensitivity analyses, including a non-pooled RPFST-cross-over correction (at the level of the COMFORT I trial) may assist in reducing the uncertainty around the OS benefit attributable to </w:t>
      </w:r>
      <w:proofErr w:type="spellStart"/>
      <w:r w:rsidRPr="009B6653">
        <w:rPr>
          <w:rFonts w:ascii="Arial" w:hAnsi="Arial" w:cs="Arial"/>
          <w:sz w:val="22"/>
          <w:szCs w:val="22"/>
        </w:rPr>
        <w:t>ruxolitinib</w:t>
      </w:r>
      <w:proofErr w:type="spellEnd"/>
      <w:r w:rsidRPr="009B6653">
        <w:rPr>
          <w:rFonts w:ascii="Arial" w:hAnsi="Arial" w:cs="Arial"/>
          <w:sz w:val="22"/>
          <w:szCs w:val="22"/>
        </w:rPr>
        <w:t>.</w:t>
      </w:r>
      <w:r w:rsidR="003219AD" w:rsidRPr="009B6653">
        <w:rPr>
          <w:rFonts w:ascii="Arial" w:hAnsi="Arial" w:cs="Arial"/>
          <w:sz w:val="22"/>
          <w:szCs w:val="22"/>
        </w:rPr>
        <w:t xml:space="preserve"> </w:t>
      </w:r>
    </w:p>
    <w:p w:rsidR="008818D5" w:rsidRPr="009B6653" w:rsidRDefault="008818D5" w:rsidP="008818D5">
      <w:pPr>
        <w:jc w:val="both"/>
        <w:rPr>
          <w:rFonts w:ascii="Arial" w:hAnsi="Arial" w:cs="Arial"/>
          <w:sz w:val="22"/>
          <w:szCs w:val="22"/>
        </w:rPr>
      </w:pPr>
    </w:p>
    <w:p w:rsidR="00AA2CC2" w:rsidRPr="009B6653" w:rsidRDefault="00AA2CC2" w:rsidP="00AA2CC2">
      <w:pPr>
        <w:pStyle w:val="ListParagraph"/>
        <w:numPr>
          <w:ilvl w:val="1"/>
          <w:numId w:val="25"/>
        </w:numPr>
        <w:jc w:val="both"/>
        <w:rPr>
          <w:rFonts w:ascii="Arial" w:hAnsi="Arial" w:cs="Arial"/>
          <w:sz w:val="22"/>
          <w:szCs w:val="22"/>
        </w:rPr>
      </w:pPr>
      <w:r w:rsidRPr="009B6653">
        <w:rPr>
          <w:rFonts w:ascii="Arial" w:hAnsi="Arial" w:cs="Arial"/>
          <w:sz w:val="22"/>
          <w:szCs w:val="22"/>
        </w:rPr>
        <w:t xml:space="preserve">In reply to the ESC recommendation </w:t>
      </w:r>
      <w:r w:rsidR="009B6653" w:rsidRPr="009B6653">
        <w:rPr>
          <w:rFonts w:ascii="Arial" w:hAnsi="Arial" w:cs="Arial"/>
          <w:sz w:val="22"/>
          <w:szCs w:val="22"/>
        </w:rPr>
        <w:t>regarding</w:t>
      </w:r>
      <w:r w:rsidRPr="009B6653">
        <w:rPr>
          <w:rFonts w:ascii="Arial" w:hAnsi="Arial" w:cs="Arial"/>
          <w:sz w:val="22"/>
          <w:szCs w:val="22"/>
        </w:rPr>
        <w:t xml:space="preserve"> the non-pooled RPFST-cross-over correction, the sponsor advised that “A non-pooled RPFST cross-over analysis of COMFORT I estimates a hazard ratio of </w:t>
      </w:r>
      <w:r w:rsidR="005022D5">
        <w:rPr>
          <w:rFonts w:ascii="Arial" w:hAnsi="Arial" w:cs="Arial"/>
          <w:noProof/>
          <w:color w:val="000000"/>
          <w:sz w:val="22"/>
          <w:szCs w:val="22"/>
          <w:highlight w:val="black"/>
        </w:rPr>
        <w:t>''''''''''</w:t>
      </w:r>
      <w:r w:rsidRPr="009B6653">
        <w:rPr>
          <w:rFonts w:ascii="Arial" w:hAnsi="Arial" w:cs="Arial"/>
          <w:sz w:val="22"/>
          <w:szCs w:val="22"/>
        </w:rPr>
        <w:t xml:space="preserve">, which is close to that generated for the PP placebo-treated analysis of </w:t>
      </w:r>
      <w:r w:rsidR="005022D5">
        <w:rPr>
          <w:rFonts w:ascii="Arial" w:hAnsi="Arial" w:cs="Arial"/>
          <w:noProof/>
          <w:color w:val="000000"/>
          <w:sz w:val="22"/>
          <w:szCs w:val="22"/>
          <w:highlight w:val="black"/>
        </w:rPr>
        <w:t>'''''''''''</w:t>
      </w:r>
      <w:r w:rsidRPr="009B6653">
        <w:rPr>
          <w:rFonts w:ascii="Arial" w:hAnsi="Arial" w:cs="Arial"/>
          <w:sz w:val="22"/>
          <w:szCs w:val="22"/>
        </w:rPr>
        <w:t xml:space="preserve">. That is, survival estimated using RPSFT modelling methods for placebo-treated patients in COMFORT I is similar to that estimated by the PP analysis. This justifies use of the PP analysis within the base case of the economic model” (Pre-PBAC response, p3). </w:t>
      </w:r>
    </w:p>
    <w:p w:rsidR="00AA2CC2" w:rsidRPr="009B6653" w:rsidRDefault="00AA2CC2" w:rsidP="00D0199F">
      <w:pPr>
        <w:pStyle w:val="ListParagraph"/>
        <w:jc w:val="both"/>
        <w:rPr>
          <w:rFonts w:ascii="Arial" w:hAnsi="Arial"/>
          <w:sz w:val="22"/>
          <w:szCs w:val="22"/>
        </w:rPr>
      </w:pPr>
    </w:p>
    <w:p w:rsidR="00BB7EC3" w:rsidRPr="009B6653" w:rsidRDefault="00BB7EC3" w:rsidP="00C84AB2">
      <w:pPr>
        <w:pStyle w:val="ListParagraph"/>
        <w:numPr>
          <w:ilvl w:val="1"/>
          <w:numId w:val="25"/>
        </w:numPr>
        <w:jc w:val="both"/>
        <w:rPr>
          <w:rFonts w:ascii="Arial" w:hAnsi="Arial"/>
          <w:sz w:val="22"/>
          <w:szCs w:val="22"/>
        </w:rPr>
      </w:pPr>
      <w:r w:rsidRPr="009B6653">
        <w:rPr>
          <w:rFonts w:ascii="Arial" w:hAnsi="Arial"/>
          <w:sz w:val="22"/>
          <w:szCs w:val="22"/>
        </w:rPr>
        <w:t xml:space="preserve">The PBAC </w:t>
      </w:r>
      <w:r w:rsidR="00933604" w:rsidRPr="009B6653">
        <w:rPr>
          <w:rFonts w:ascii="Arial" w:hAnsi="Arial"/>
          <w:sz w:val="22"/>
          <w:szCs w:val="22"/>
        </w:rPr>
        <w:t>agreed</w:t>
      </w:r>
      <w:r w:rsidR="00FB6AEC" w:rsidRPr="009B6653">
        <w:rPr>
          <w:rFonts w:ascii="Arial" w:hAnsi="Arial"/>
          <w:sz w:val="22"/>
          <w:szCs w:val="22"/>
        </w:rPr>
        <w:t xml:space="preserve"> with ESC</w:t>
      </w:r>
      <w:r w:rsidR="0080200B" w:rsidRPr="009B6653">
        <w:rPr>
          <w:rFonts w:ascii="Arial" w:hAnsi="Arial"/>
          <w:sz w:val="22"/>
          <w:szCs w:val="22"/>
        </w:rPr>
        <w:t xml:space="preserve"> t</w:t>
      </w:r>
      <w:r w:rsidR="00FB6AEC" w:rsidRPr="009B6653">
        <w:rPr>
          <w:rFonts w:ascii="Arial" w:hAnsi="Arial"/>
          <w:sz w:val="22"/>
          <w:szCs w:val="22"/>
        </w:rPr>
        <w:t>hat</w:t>
      </w:r>
      <w:r w:rsidR="003952E7" w:rsidRPr="009B6653">
        <w:rPr>
          <w:rFonts w:ascii="Arial" w:hAnsi="Arial"/>
          <w:sz w:val="22"/>
          <w:szCs w:val="22"/>
        </w:rPr>
        <w:t>,</w:t>
      </w:r>
      <w:r w:rsidR="00FB6AEC" w:rsidRPr="009B6653">
        <w:rPr>
          <w:rFonts w:ascii="Arial" w:hAnsi="Arial"/>
          <w:sz w:val="22"/>
          <w:szCs w:val="22"/>
        </w:rPr>
        <w:t xml:space="preserve"> while</w:t>
      </w:r>
      <w:r w:rsidRPr="009B6653">
        <w:rPr>
          <w:rFonts w:ascii="Arial" w:hAnsi="Arial"/>
          <w:sz w:val="22"/>
          <w:szCs w:val="22"/>
        </w:rPr>
        <w:t xml:space="preserve"> the claim of superior comparative effectiveness was reasonable</w:t>
      </w:r>
      <w:r w:rsidR="000141FB" w:rsidRPr="009B6653">
        <w:rPr>
          <w:rFonts w:ascii="Arial" w:hAnsi="Arial"/>
          <w:sz w:val="22"/>
          <w:szCs w:val="22"/>
        </w:rPr>
        <w:t>, es</w:t>
      </w:r>
      <w:r w:rsidR="00FB6AEC" w:rsidRPr="009B6653">
        <w:rPr>
          <w:rFonts w:ascii="Arial" w:hAnsi="Arial"/>
          <w:sz w:val="22"/>
          <w:szCs w:val="22"/>
        </w:rPr>
        <w:t>timating the magnitu</w:t>
      </w:r>
      <w:r w:rsidR="000141FB" w:rsidRPr="009B6653">
        <w:rPr>
          <w:rFonts w:ascii="Arial" w:hAnsi="Arial"/>
          <w:sz w:val="22"/>
          <w:szCs w:val="22"/>
        </w:rPr>
        <w:t>de of the benefit remains</w:t>
      </w:r>
      <w:r w:rsidR="00FB6AEC" w:rsidRPr="009B6653">
        <w:rPr>
          <w:rFonts w:ascii="Arial" w:hAnsi="Arial"/>
          <w:sz w:val="22"/>
          <w:szCs w:val="22"/>
        </w:rPr>
        <w:t xml:space="preserve"> difficult. </w:t>
      </w:r>
    </w:p>
    <w:p w:rsidR="00BB7EC3" w:rsidRPr="009B6653" w:rsidRDefault="00BB7EC3" w:rsidP="00BB7EC3">
      <w:pPr>
        <w:pStyle w:val="ListParagraph"/>
        <w:rPr>
          <w:rFonts w:ascii="Arial" w:hAnsi="Arial"/>
          <w:sz w:val="22"/>
          <w:szCs w:val="22"/>
        </w:rPr>
      </w:pPr>
    </w:p>
    <w:p w:rsidR="00BB7EC3" w:rsidRPr="009B6653" w:rsidRDefault="00BB7EC3" w:rsidP="00C84AB2">
      <w:pPr>
        <w:pStyle w:val="ListParagraph"/>
        <w:numPr>
          <w:ilvl w:val="1"/>
          <w:numId w:val="25"/>
        </w:numPr>
        <w:jc w:val="both"/>
        <w:rPr>
          <w:rFonts w:ascii="Arial" w:hAnsi="Arial"/>
          <w:sz w:val="22"/>
          <w:szCs w:val="22"/>
        </w:rPr>
      </w:pPr>
      <w:r w:rsidRPr="009B6653">
        <w:rPr>
          <w:rFonts w:ascii="Arial" w:hAnsi="Arial"/>
          <w:sz w:val="22"/>
          <w:szCs w:val="22"/>
        </w:rPr>
        <w:t>The PBAC considered that the claim of inferior comparative safety was reasonable</w:t>
      </w:r>
      <w:r w:rsidR="00FB6AEC" w:rsidRPr="009B6653">
        <w:rPr>
          <w:rFonts w:ascii="Arial" w:hAnsi="Arial"/>
          <w:sz w:val="22"/>
          <w:szCs w:val="22"/>
        </w:rPr>
        <w:t>.</w:t>
      </w:r>
    </w:p>
    <w:p w:rsidR="00F57A6D" w:rsidRPr="009B6653" w:rsidRDefault="00F57A6D" w:rsidP="00882085">
      <w:pPr>
        <w:ind w:left="720" w:hanging="720"/>
        <w:jc w:val="both"/>
        <w:rPr>
          <w:rFonts w:ascii="Arial" w:hAnsi="Arial"/>
          <w:sz w:val="22"/>
          <w:szCs w:val="22"/>
        </w:rPr>
      </w:pPr>
    </w:p>
    <w:p w:rsidR="005A3173" w:rsidRPr="009B6653" w:rsidRDefault="005A3173" w:rsidP="00C84AB2">
      <w:pPr>
        <w:jc w:val="both"/>
        <w:rPr>
          <w:rFonts w:ascii="Arial" w:hAnsi="Arial"/>
          <w:b/>
          <w:i/>
          <w:sz w:val="22"/>
          <w:szCs w:val="22"/>
        </w:rPr>
      </w:pPr>
      <w:r w:rsidRPr="009B6653">
        <w:rPr>
          <w:rFonts w:ascii="Arial" w:hAnsi="Arial"/>
          <w:b/>
          <w:i/>
          <w:sz w:val="22"/>
          <w:szCs w:val="22"/>
        </w:rPr>
        <w:t>Economic analysis</w:t>
      </w:r>
    </w:p>
    <w:p w:rsidR="005A3173" w:rsidRPr="009B6653" w:rsidRDefault="005A3173" w:rsidP="00882085">
      <w:pPr>
        <w:ind w:left="720" w:hanging="720"/>
        <w:jc w:val="both"/>
        <w:rPr>
          <w:rFonts w:ascii="Arial" w:hAnsi="Arial"/>
          <w:sz w:val="22"/>
          <w:szCs w:val="22"/>
        </w:rPr>
      </w:pPr>
    </w:p>
    <w:p w:rsidR="000F3A86" w:rsidRPr="009B6653" w:rsidRDefault="00FD7377" w:rsidP="00FD7377">
      <w:pPr>
        <w:pStyle w:val="ListParagraph"/>
        <w:numPr>
          <w:ilvl w:val="1"/>
          <w:numId w:val="25"/>
        </w:numPr>
        <w:jc w:val="both"/>
        <w:rPr>
          <w:rFonts w:ascii="Arial" w:hAnsi="Arial"/>
          <w:sz w:val="22"/>
          <w:szCs w:val="22"/>
        </w:rPr>
      </w:pPr>
      <w:r w:rsidRPr="009B6653">
        <w:rPr>
          <w:rFonts w:ascii="Arial" w:hAnsi="Arial" w:cs="Arial"/>
          <w:sz w:val="22"/>
          <w:szCs w:val="22"/>
        </w:rPr>
        <w:t>The resubmission present</w:t>
      </w:r>
      <w:r w:rsidR="00C30948" w:rsidRPr="009B6653">
        <w:rPr>
          <w:rFonts w:ascii="Arial" w:hAnsi="Arial" w:cs="Arial"/>
          <w:sz w:val="22"/>
          <w:szCs w:val="22"/>
        </w:rPr>
        <w:t>ed</w:t>
      </w:r>
      <w:r w:rsidRPr="009B6653">
        <w:rPr>
          <w:rFonts w:ascii="Arial" w:hAnsi="Arial" w:cs="Arial"/>
          <w:sz w:val="22"/>
          <w:szCs w:val="22"/>
        </w:rPr>
        <w:t xml:space="preserve"> a completely revised economic evaluation.  The structure of model </w:t>
      </w:r>
      <w:r w:rsidR="00C30948" w:rsidRPr="009B6653">
        <w:rPr>
          <w:rFonts w:ascii="Arial" w:hAnsi="Arial" w:cs="Arial"/>
          <w:sz w:val="22"/>
          <w:szCs w:val="22"/>
        </w:rPr>
        <w:t xml:space="preserve">was </w:t>
      </w:r>
      <w:r w:rsidRPr="009B6653">
        <w:rPr>
          <w:rFonts w:ascii="Arial" w:hAnsi="Arial" w:cs="Arial"/>
          <w:sz w:val="22"/>
          <w:szCs w:val="22"/>
        </w:rPr>
        <w:t>changed to one that permits tracking of patients through progression of</w:t>
      </w:r>
      <w:r w:rsidR="006972E2" w:rsidRPr="009B6653">
        <w:rPr>
          <w:rFonts w:ascii="Arial" w:hAnsi="Arial" w:cs="Arial"/>
          <w:sz w:val="22"/>
          <w:szCs w:val="22"/>
        </w:rPr>
        <w:t xml:space="preserve"> </w:t>
      </w:r>
      <w:proofErr w:type="spellStart"/>
      <w:r w:rsidR="006972E2" w:rsidRPr="009B6653">
        <w:rPr>
          <w:rFonts w:ascii="Arial" w:hAnsi="Arial" w:cs="Arial"/>
          <w:sz w:val="22"/>
          <w:szCs w:val="22"/>
        </w:rPr>
        <w:t>myelofibrosis</w:t>
      </w:r>
      <w:proofErr w:type="spellEnd"/>
      <w:r w:rsidRPr="009B6653">
        <w:rPr>
          <w:rFonts w:ascii="Arial" w:hAnsi="Arial" w:cs="Arial"/>
          <w:sz w:val="22"/>
          <w:szCs w:val="22"/>
        </w:rPr>
        <w:t xml:space="preserve"> and the presence of symptoms</w:t>
      </w:r>
      <w:r w:rsidR="00C30948" w:rsidRPr="009B6653">
        <w:rPr>
          <w:rFonts w:ascii="Arial" w:hAnsi="Arial" w:cs="Arial"/>
          <w:sz w:val="22"/>
          <w:szCs w:val="22"/>
        </w:rPr>
        <w:t>. T</w:t>
      </w:r>
      <w:r w:rsidRPr="009B6653">
        <w:rPr>
          <w:rFonts w:ascii="Arial" w:hAnsi="Arial" w:cs="Arial"/>
          <w:sz w:val="22"/>
          <w:szCs w:val="22"/>
        </w:rPr>
        <w:t>he model is informed by individual patient data from the COMFORT I trial, applying the per protocol efficacy results</w:t>
      </w:r>
      <w:r w:rsidR="009B6653" w:rsidRPr="009B6653">
        <w:rPr>
          <w:rFonts w:ascii="Arial" w:hAnsi="Arial" w:cs="Arial"/>
          <w:sz w:val="22"/>
          <w:szCs w:val="22"/>
        </w:rPr>
        <w:t>.</w:t>
      </w:r>
      <w:r w:rsidR="00B667CF" w:rsidRPr="009B6653">
        <w:rPr>
          <w:rFonts w:ascii="Arial" w:hAnsi="Arial" w:cs="Arial"/>
          <w:color w:val="FF0000"/>
          <w:sz w:val="22"/>
          <w:szCs w:val="22"/>
        </w:rPr>
        <w:t xml:space="preserve"> </w:t>
      </w:r>
    </w:p>
    <w:p w:rsidR="000F3A86" w:rsidRPr="009B6653" w:rsidRDefault="000F3A86" w:rsidP="000F3A86">
      <w:pPr>
        <w:rPr>
          <w:i/>
        </w:rPr>
      </w:pPr>
    </w:p>
    <w:p w:rsidR="000F3A86" w:rsidRPr="009B6653" w:rsidRDefault="000F3A86" w:rsidP="00A74BB8">
      <w:pPr>
        <w:ind w:firstLine="720"/>
        <w:rPr>
          <w:rStyle w:val="CommentReference"/>
          <w:rFonts w:ascii="Arial" w:hAnsi="Arial" w:cs="Arial"/>
          <w:b/>
          <w:sz w:val="20"/>
          <w:szCs w:val="20"/>
        </w:rPr>
      </w:pPr>
      <w:r w:rsidRPr="009B6653">
        <w:rPr>
          <w:rStyle w:val="CommentReference"/>
          <w:rFonts w:ascii="Arial" w:hAnsi="Arial" w:cs="Arial"/>
          <w:b/>
          <w:sz w:val="20"/>
          <w:szCs w:val="20"/>
        </w:rPr>
        <w:t>Summary of model structure and rationale</w:t>
      </w:r>
    </w:p>
    <w:tbl>
      <w:tblPr>
        <w:tblW w:w="4537"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1184"/>
        <w:gridCol w:w="3601"/>
        <w:gridCol w:w="3456"/>
      </w:tblGrid>
      <w:tr w:rsidR="000F3A86" w:rsidRPr="009B6653" w:rsidTr="00226682">
        <w:trPr>
          <w:trHeight w:val="263"/>
          <w:tblHeader/>
        </w:trPr>
        <w:tc>
          <w:tcPr>
            <w:tcW w:w="718" w:type="pct"/>
            <w:shd w:val="clear" w:color="auto" w:fill="auto"/>
          </w:tcPr>
          <w:p w:rsidR="000F3A86" w:rsidRPr="009B6653" w:rsidRDefault="000F3A86" w:rsidP="00393B70">
            <w:pPr>
              <w:rPr>
                <w:rFonts w:ascii="Arial Narrow" w:hAnsi="Arial Narrow" w:cs="Arial"/>
                <w:b/>
                <w:sz w:val="20"/>
                <w:szCs w:val="20"/>
              </w:rPr>
            </w:pPr>
            <w:r w:rsidRPr="009B6653">
              <w:rPr>
                <w:rFonts w:ascii="Arial Narrow" w:hAnsi="Arial Narrow" w:cs="Arial"/>
                <w:b/>
                <w:sz w:val="20"/>
                <w:szCs w:val="20"/>
              </w:rPr>
              <w:t>Component</w:t>
            </w:r>
          </w:p>
        </w:tc>
        <w:tc>
          <w:tcPr>
            <w:tcW w:w="4282" w:type="pct"/>
            <w:gridSpan w:val="2"/>
            <w:shd w:val="clear" w:color="auto" w:fill="auto"/>
          </w:tcPr>
          <w:p w:rsidR="000F3A86" w:rsidRPr="009B6653" w:rsidRDefault="000F3A86" w:rsidP="00393B70">
            <w:pPr>
              <w:jc w:val="center"/>
              <w:rPr>
                <w:rFonts w:ascii="Arial Narrow" w:hAnsi="Arial Narrow" w:cs="Arial"/>
                <w:b/>
                <w:sz w:val="20"/>
                <w:szCs w:val="20"/>
              </w:rPr>
            </w:pPr>
            <w:r w:rsidRPr="009B6653">
              <w:rPr>
                <w:rFonts w:ascii="Arial Narrow" w:hAnsi="Arial Narrow" w:cs="Arial"/>
                <w:b/>
                <w:sz w:val="20"/>
                <w:szCs w:val="20"/>
              </w:rPr>
              <w:t>Summary</w:t>
            </w:r>
          </w:p>
        </w:tc>
      </w:tr>
      <w:tr w:rsidR="000F3A86" w:rsidRPr="009B6653" w:rsidTr="00226682">
        <w:trPr>
          <w:trHeight w:val="246"/>
        </w:trPr>
        <w:tc>
          <w:tcPr>
            <w:tcW w:w="71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Time horizon</w:t>
            </w:r>
          </w:p>
        </w:tc>
        <w:tc>
          <w:tcPr>
            <w:tcW w:w="4282" w:type="pct"/>
            <w:gridSpan w:val="2"/>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20 years in the model base case versus 3 years in trial</w:t>
            </w:r>
          </w:p>
        </w:tc>
      </w:tr>
      <w:tr w:rsidR="000F3A86" w:rsidRPr="009B6653" w:rsidTr="00226682">
        <w:trPr>
          <w:trHeight w:val="77"/>
        </w:trPr>
        <w:tc>
          <w:tcPr>
            <w:tcW w:w="71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Outcomes</w:t>
            </w:r>
          </w:p>
        </w:tc>
        <w:tc>
          <w:tcPr>
            <w:tcW w:w="4282" w:type="pct"/>
            <w:gridSpan w:val="2"/>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LYG and QALYs</w:t>
            </w:r>
          </w:p>
        </w:tc>
      </w:tr>
      <w:tr w:rsidR="000F3A86" w:rsidRPr="009B6653" w:rsidTr="00226682">
        <w:trPr>
          <w:trHeight w:val="77"/>
        </w:trPr>
        <w:tc>
          <w:tcPr>
            <w:tcW w:w="71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Methods used to generate results</w:t>
            </w:r>
          </w:p>
        </w:tc>
        <w:tc>
          <w:tcPr>
            <w:tcW w:w="4282" w:type="pct"/>
            <w:gridSpan w:val="2"/>
            <w:shd w:val="clear" w:color="auto" w:fill="auto"/>
            <w:vAlign w:val="center"/>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Cohort expected value analysis</w:t>
            </w:r>
          </w:p>
        </w:tc>
      </w:tr>
      <w:tr w:rsidR="000F3A86" w:rsidRPr="009B6653" w:rsidTr="00226682">
        <w:trPr>
          <w:trHeight w:val="77"/>
        </w:trPr>
        <w:tc>
          <w:tcPr>
            <w:tcW w:w="718" w:type="pct"/>
            <w:vMerge w:val="restar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Health states</w:t>
            </w:r>
          </w:p>
        </w:tc>
        <w:tc>
          <w:tcPr>
            <w:tcW w:w="4282" w:type="pct"/>
            <w:gridSpan w:val="2"/>
            <w:tcBorders>
              <w:bottom w:val="nil"/>
            </w:tcBorders>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In the model, patients are cycled through the following health states over the modelled time horizon:</w:t>
            </w:r>
          </w:p>
        </w:tc>
      </w:tr>
      <w:tr w:rsidR="000F3A86" w:rsidRPr="009B6653" w:rsidTr="00226682">
        <w:trPr>
          <w:trHeight w:val="748"/>
        </w:trPr>
        <w:tc>
          <w:tcPr>
            <w:tcW w:w="718" w:type="pct"/>
            <w:vMerge/>
            <w:shd w:val="clear" w:color="auto" w:fill="auto"/>
          </w:tcPr>
          <w:p w:rsidR="000F3A86" w:rsidRPr="009B6653" w:rsidRDefault="000F3A86" w:rsidP="00393B70">
            <w:pPr>
              <w:rPr>
                <w:rFonts w:ascii="Arial Narrow" w:hAnsi="Arial Narrow" w:cs="Arial"/>
                <w:sz w:val="20"/>
                <w:szCs w:val="20"/>
              </w:rPr>
            </w:pPr>
          </w:p>
        </w:tc>
        <w:tc>
          <w:tcPr>
            <w:tcW w:w="2185" w:type="pct"/>
            <w:tcBorders>
              <w:top w:val="nil"/>
              <w:right w:val="nil"/>
            </w:tcBorders>
            <w:shd w:val="clear" w:color="auto" w:fill="auto"/>
          </w:tcPr>
          <w:p w:rsidR="000F3A86" w:rsidRPr="009B6653" w:rsidRDefault="004F3C4B" w:rsidP="00393B70">
            <w:pPr>
              <w:rPr>
                <w:rFonts w:ascii="Arial Narrow" w:hAnsi="Arial Narrow" w:cs="Arial"/>
                <w:sz w:val="20"/>
                <w:szCs w:val="20"/>
              </w:rPr>
            </w:pPr>
            <w:r w:rsidRPr="009B6653">
              <w:rPr>
                <w:rFonts w:ascii="Arial Narrow" w:hAnsi="Arial Narrow" w:cs="Arial"/>
                <w:sz w:val="20"/>
                <w:szCs w:val="20"/>
              </w:rPr>
              <w:t xml:space="preserve"> • </w:t>
            </w:r>
            <w:r w:rsidR="000F3A86" w:rsidRPr="009B6653">
              <w:rPr>
                <w:rFonts w:ascii="Arial Narrow" w:hAnsi="Arial Narrow" w:cs="Arial"/>
                <w:sz w:val="20"/>
                <w:szCs w:val="20"/>
              </w:rPr>
              <w:t xml:space="preserve">baseline state with controlled pain/fatigue </w:t>
            </w:r>
          </w:p>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w:t>
            </w:r>
            <w:r w:rsidR="004F3C4B" w:rsidRPr="009B6653">
              <w:rPr>
                <w:rFonts w:ascii="Arial Narrow" w:hAnsi="Arial Narrow" w:cs="Arial"/>
                <w:sz w:val="20"/>
                <w:szCs w:val="20"/>
              </w:rPr>
              <w:t xml:space="preserve"> </w:t>
            </w:r>
            <w:r w:rsidRPr="009B6653">
              <w:rPr>
                <w:rFonts w:ascii="Arial Narrow" w:hAnsi="Arial Narrow" w:cs="Arial"/>
                <w:sz w:val="20"/>
                <w:szCs w:val="20"/>
              </w:rPr>
              <w:t>spleen response with controlled pain/fatigue</w:t>
            </w:r>
          </w:p>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w:t>
            </w:r>
            <w:r w:rsidR="004F3C4B" w:rsidRPr="009B6653">
              <w:rPr>
                <w:rFonts w:ascii="Arial Narrow" w:hAnsi="Arial Narrow" w:cs="Arial"/>
                <w:sz w:val="20"/>
                <w:szCs w:val="20"/>
              </w:rPr>
              <w:t xml:space="preserve"> </w:t>
            </w:r>
            <w:r w:rsidRPr="009B6653">
              <w:rPr>
                <w:rFonts w:ascii="Arial Narrow" w:hAnsi="Arial Narrow" w:cs="Arial"/>
                <w:sz w:val="20"/>
                <w:szCs w:val="20"/>
              </w:rPr>
              <w:t>no spleen response but controlled pain/fatigue</w:t>
            </w:r>
          </w:p>
          <w:p w:rsidR="000F3A86" w:rsidRPr="009B6653" w:rsidRDefault="000F3A86" w:rsidP="004F3C4B">
            <w:pPr>
              <w:rPr>
                <w:rFonts w:ascii="Arial Narrow" w:hAnsi="Arial Narrow" w:cs="Arial"/>
                <w:sz w:val="20"/>
                <w:szCs w:val="20"/>
              </w:rPr>
            </w:pPr>
            <w:r w:rsidRPr="009B6653">
              <w:rPr>
                <w:rFonts w:ascii="Arial Narrow" w:hAnsi="Arial Narrow" w:cs="Arial"/>
                <w:sz w:val="20"/>
                <w:szCs w:val="20"/>
              </w:rPr>
              <w:t>•</w:t>
            </w:r>
            <w:r w:rsidR="004F3C4B" w:rsidRPr="009B6653">
              <w:rPr>
                <w:rFonts w:ascii="Arial Narrow" w:hAnsi="Arial Narrow" w:cs="Arial"/>
                <w:sz w:val="20"/>
                <w:szCs w:val="20"/>
              </w:rPr>
              <w:t xml:space="preserve"> </w:t>
            </w:r>
            <w:r w:rsidRPr="009B6653">
              <w:rPr>
                <w:rFonts w:ascii="Arial Narrow" w:hAnsi="Arial Narrow" w:cs="Arial"/>
                <w:sz w:val="20"/>
                <w:szCs w:val="20"/>
              </w:rPr>
              <w:t>dead</w:t>
            </w:r>
          </w:p>
        </w:tc>
        <w:tc>
          <w:tcPr>
            <w:tcW w:w="2097" w:type="pct"/>
            <w:tcBorders>
              <w:top w:val="nil"/>
              <w:left w:val="nil"/>
            </w:tcBorders>
            <w:shd w:val="clear" w:color="auto" w:fill="auto"/>
          </w:tcPr>
          <w:p w:rsidR="000F3A86" w:rsidRPr="009B6653" w:rsidRDefault="000F3A86" w:rsidP="000F3A86">
            <w:pPr>
              <w:pStyle w:val="ListParagraph"/>
              <w:widowControl w:val="0"/>
              <w:numPr>
                <w:ilvl w:val="0"/>
                <w:numId w:val="39"/>
              </w:numPr>
              <w:tabs>
                <w:tab w:val="left" w:pos="126"/>
              </w:tabs>
              <w:ind w:left="113" w:hanging="113"/>
              <w:jc w:val="both"/>
              <w:rPr>
                <w:rFonts w:ascii="Arial Narrow" w:hAnsi="Arial Narrow" w:cs="Arial"/>
                <w:sz w:val="20"/>
                <w:szCs w:val="20"/>
              </w:rPr>
            </w:pPr>
            <w:r w:rsidRPr="009B6653">
              <w:rPr>
                <w:rFonts w:ascii="Arial Narrow" w:hAnsi="Arial Narrow" w:cs="Arial"/>
                <w:sz w:val="20"/>
                <w:szCs w:val="20"/>
              </w:rPr>
              <w:t xml:space="preserve">baseline state with uncontrolled pain/fatigue </w:t>
            </w:r>
          </w:p>
          <w:p w:rsidR="000F3A86" w:rsidRPr="009B6653" w:rsidRDefault="000F3A86" w:rsidP="000F3A86">
            <w:pPr>
              <w:pStyle w:val="ListParagraph"/>
              <w:widowControl w:val="0"/>
              <w:numPr>
                <w:ilvl w:val="0"/>
                <w:numId w:val="39"/>
              </w:numPr>
              <w:tabs>
                <w:tab w:val="left" w:pos="126"/>
              </w:tabs>
              <w:ind w:left="113" w:hanging="113"/>
              <w:jc w:val="both"/>
              <w:rPr>
                <w:rFonts w:ascii="Arial Narrow" w:hAnsi="Arial Narrow" w:cs="Arial"/>
                <w:sz w:val="20"/>
                <w:szCs w:val="20"/>
              </w:rPr>
            </w:pPr>
            <w:r w:rsidRPr="009B6653">
              <w:rPr>
                <w:rFonts w:ascii="Arial Narrow" w:hAnsi="Arial Narrow" w:cs="Arial"/>
                <w:sz w:val="20"/>
                <w:szCs w:val="20"/>
              </w:rPr>
              <w:t>spleen response but uncontrolled pain/fatigue</w:t>
            </w:r>
          </w:p>
          <w:p w:rsidR="000F3A86" w:rsidRPr="009B6653" w:rsidRDefault="000F3A86" w:rsidP="000F3A86">
            <w:pPr>
              <w:pStyle w:val="ListParagraph"/>
              <w:widowControl w:val="0"/>
              <w:numPr>
                <w:ilvl w:val="0"/>
                <w:numId w:val="39"/>
              </w:numPr>
              <w:tabs>
                <w:tab w:val="left" w:pos="126"/>
              </w:tabs>
              <w:ind w:left="113" w:hanging="113"/>
              <w:jc w:val="both"/>
              <w:rPr>
                <w:rFonts w:ascii="Arial Narrow" w:hAnsi="Arial Narrow" w:cs="Arial"/>
                <w:sz w:val="20"/>
                <w:szCs w:val="20"/>
              </w:rPr>
            </w:pPr>
            <w:r w:rsidRPr="009B6653">
              <w:rPr>
                <w:rFonts w:ascii="Arial Narrow" w:hAnsi="Arial Narrow" w:cs="Arial"/>
                <w:sz w:val="20"/>
                <w:szCs w:val="20"/>
              </w:rPr>
              <w:t>no spleen response and uncontrolled pain/fatigue</w:t>
            </w:r>
          </w:p>
        </w:tc>
      </w:tr>
      <w:tr w:rsidR="000F3A86" w:rsidRPr="009B6653" w:rsidTr="00226682">
        <w:trPr>
          <w:trHeight w:val="263"/>
        </w:trPr>
        <w:tc>
          <w:tcPr>
            <w:tcW w:w="71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Cycle length</w:t>
            </w:r>
          </w:p>
        </w:tc>
        <w:tc>
          <w:tcPr>
            <w:tcW w:w="4282" w:type="pct"/>
            <w:gridSpan w:val="2"/>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24 weeks/44 cycles</w:t>
            </w:r>
          </w:p>
        </w:tc>
      </w:tr>
      <w:tr w:rsidR="000F3A86" w:rsidRPr="009B6653" w:rsidTr="00226682">
        <w:trPr>
          <w:trHeight w:val="77"/>
        </w:trPr>
        <w:tc>
          <w:tcPr>
            <w:tcW w:w="71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Transition probabilities</w:t>
            </w:r>
          </w:p>
        </w:tc>
        <w:tc>
          <w:tcPr>
            <w:tcW w:w="4282" w:type="pct"/>
            <w:gridSpan w:val="2"/>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Derived from the COMFORT I trial using individual patient data (IPD) and following the per protocol principle (see Section C.2.1 for more details)</w:t>
            </w:r>
          </w:p>
        </w:tc>
      </w:tr>
    </w:tbl>
    <w:p w:rsidR="000F3A86" w:rsidRPr="009B6653" w:rsidRDefault="000F3A86" w:rsidP="00226682">
      <w:pPr>
        <w:pStyle w:val="TableFooter"/>
        <w:ind w:firstLine="720"/>
        <w:rPr>
          <w:rFonts w:ascii="Arial" w:hAnsi="Arial"/>
          <w:sz w:val="20"/>
        </w:rPr>
      </w:pPr>
      <w:r w:rsidRPr="009B6653">
        <w:rPr>
          <w:rFonts w:ascii="Arial" w:hAnsi="Arial"/>
          <w:sz w:val="20"/>
        </w:rPr>
        <w:t xml:space="preserve">Source: </w:t>
      </w:r>
      <w:r w:rsidR="00933604" w:rsidRPr="009B6653">
        <w:rPr>
          <w:rFonts w:ascii="Arial" w:hAnsi="Arial"/>
          <w:sz w:val="20"/>
        </w:rPr>
        <w:t>T</w:t>
      </w:r>
      <w:r w:rsidR="004C4935" w:rsidRPr="009B6653">
        <w:rPr>
          <w:rFonts w:ascii="Arial" w:hAnsi="Arial"/>
          <w:sz w:val="20"/>
        </w:rPr>
        <w:t>able 3, p6</w:t>
      </w:r>
      <w:r w:rsidR="00933604" w:rsidRPr="009B6653">
        <w:rPr>
          <w:rFonts w:ascii="Arial" w:hAnsi="Arial"/>
          <w:sz w:val="20"/>
        </w:rPr>
        <w:t xml:space="preserve"> of the commentary</w:t>
      </w:r>
      <w:r w:rsidR="004C4935" w:rsidRPr="009B6653">
        <w:rPr>
          <w:rFonts w:ascii="Arial" w:hAnsi="Arial"/>
          <w:sz w:val="20"/>
        </w:rPr>
        <w:t xml:space="preserve"> </w:t>
      </w:r>
    </w:p>
    <w:p w:rsidR="00B667CF" w:rsidRPr="009B6653" w:rsidRDefault="00B667CF" w:rsidP="000F3A86">
      <w:pPr>
        <w:rPr>
          <w:rStyle w:val="CommentReference"/>
          <w:rFonts w:ascii="Arial" w:hAnsi="Arial" w:cs="Arial"/>
          <w:b/>
          <w:sz w:val="20"/>
          <w:szCs w:val="20"/>
        </w:rPr>
      </w:pPr>
    </w:p>
    <w:p w:rsidR="000F3A86" w:rsidRPr="009B6653" w:rsidRDefault="000F3A86" w:rsidP="00226682">
      <w:pPr>
        <w:ind w:firstLine="720"/>
        <w:rPr>
          <w:rStyle w:val="CommentReference"/>
          <w:rFonts w:ascii="Arial" w:hAnsi="Arial" w:cs="Arial"/>
          <w:b/>
          <w:sz w:val="20"/>
          <w:szCs w:val="20"/>
        </w:rPr>
      </w:pPr>
      <w:r w:rsidRPr="009B6653">
        <w:rPr>
          <w:rStyle w:val="CommentReference"/>
          <w:rFonts w:ascii="Arial" w:hAnsi="Arial" w:cs="Arial"/>
          <w:b/>
          <w:sz w:val="20"/>
          <w:szCs w:val="20"/>
        </w:rPr>
        <w:t>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drivers of the model"/>
      </w:tblPr>
      <w:tblGrid>
        <w:gridCol w:w="1084"/>
        <w:gridCol w:w="5762"/>
        <w:gridCol w:w="1517"/>
      </w:tblGrid>
      <w:tr w:rsidR="000F3A86" w:rsidRPr="009B6653" w:rsidTr="002952BE">
        <w:trPr>
          <w:trHeight w:val="211"/>
          <w:tblHeader/>
        </w:trPr>
        <w:tc>
          <w:tcPr>
            <w:tcW w:w="648" w:type="pct"/>
            <w:shd w:val="clear" w:color="auto" w:fill="auto"/>
          </w:tcPr>
          <w:p w:rsidR="000F3A86" w:rsidRPr="009B6653" w:rsidRDefault="000F3A86" w:rsidP="00393B70">
            <w:pPr>
              <w:rPr>
                <w:rFonts w:ascii="Arial Narrow" w:hAnsi="Arial Narrow" w:cs="Arial"/>
                <w:b/>
                <w:sz w:val="20"/>
                <w:szCs w:val="20"/>
              </w:rPr>
            </w:pPr>
            <w:r w:rsidRPr="009B6653">
              <w:rPr>
                <w:rFonts w:ascii="Arial Narrow" w:hAnsi="Arial Narrow" w:cs="Arial"/>
                <w:b/>
                <w:sz w:val="20"/>
                <w:szCs w:val="20"/>
              </w:rPr>
              <w:t>Description</w:t>
            </w:r>
          </w:p>
        </w:tc>
        <w:tc>
          <w:tcPr>
            <w:tcW w:w="3445" w:type="pct"/>
            <w:shd w:val="clear" w:color="auto" w:fill="auto"/>
          </w:tcPr>
          <w:p w:rsidR="000F3A86" w:rsidRPr="009B6653" w:rsidRDefault="000F3A86" w:rsidP="00393B70">
            <w:pPr>
              <w:jc w:val="center"/>
              <w:rPr>
                <w:rFonts w:ascii="Arial Narrow" w:hAnsi="Arial Narrow" w:cs="Arial"/>
                <w:b/>
                <w:sz w:val="20"/>
                <w:szCs w:val="20"/>
              </w:rPr>
            </w:pPr>
            <w:r w:rsidRPr="009B6653">
              <w:rPr>
                <w:rFonts w:ascii="Arial Narrow" w:hAnsi="Arial Narrow" w:cs="Arial"/>
                <w:b/>
                <w:sz w:val="20"/>
                <w:szCs w:val="20"/>
              </w:rPr>
              <w:t>Method/Value</w:t>
            </w:r>
          </w:p>
        </w:tc>
        <w:tc>
          <w:tcPr>
            <w:tcW w:w="907" w:type="pct"/>
            <w:shd w:val="clear" w:color="auto" w:fill="auto"/>
          </w:tcPr>
          <w:p w:rsidR="000F3A86" w:rsidRPr="009B6653" w:rsidRDefault="000F3A86" w:rsidP="00393B70">
            <w:pPr>
              <w:jc w:val="center"/>
              <w:rPr>
                <w:rFonts w:ascii="Arial" w:hAnsi="Arial" w:cs="Arial"/>
                <w:b/>
                <w:sz w:val="20"/>
                <w:szCs w:val="20"/>
              </w:rPr>
            </w:pPr>
            <w:r w:rsidRPr="009B6653">
              <w:rPr>
                <w:rFonts w:ascii="Arial" w:hAnsi="Arial" w:cs="Arial"/>
                <w:b/>
                <w:sz w:val="20"/>
                <w:szCs w:val="20"/>
              </w:rPr>
              <w:t xml:space="preserve">Impact </w:t>
            </w:r>
          </w:p>
        </w:tc>
      </w:tr>
      <w:tr w:rsidR="000F3A86" w:rsidRPr="009B6653" w:rsidTr="002952BE">
        <w:trPr>
          <w:trHeight w:val="437"/>
        </w:trPr>
        <w:tc>
          <w:tcPr>
            <w:tcW w:w="64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 xml:space="preserve">Cost of </w:t>
            </w:r>
            <w:proofErr w:type="spellStart"/>
            <w:r w:rsidRPr="009B6653">
              <w:rPr>
                <w:rFonts w:ascii="Arial Narrow" w:hAnsi="Arial Narrow" w:cs="Arial"/>
                <w:sz w:val="20"/>
                <w:szCs w:val="20"/>
              </w:rPr>
              <w:t>ruxolitinib</w:t>
            </w:r>
            <w:proofErr w:type="spellEnd"/>
          </w:p>
        </w:tc>
        <w:tc>
          <w:tcPr>
            <w:tcW w:w="3445"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 xml:space="preserve">Reducing costs for </w:t>
            </w:r>
            <w:proofErr w:type="spellStart"/>
            <w:r w:rsidRPr="009B6653">
              <w:rPr>
                <w:rFonts w:ascii="Arial Narrow" w:hAnsi="Arial Narrow" w:cs="Arial"/>
                <w:sz w:val="20"/>
                <w:szCs w:val="20"/>
              </w:rPr>
              <w:t>ruxolitinib</w:t>
            </w:r>
            <w:proofErr w:type="spellEnd"/>
            <w:r w:rsidRPr="009B6653">
              <w:rPr>
                <w:rFonts w:ascii="Arial Narrow" w:hAnsi="Arial Narrow" w:cs="Arial"/>
                <w:sz w:val="20"/>
                <w:szCs w:val="20"/>
              </w:rPr>
              <w:t xml:space="preserve"> by 10% due to discontinuing patients not utilising full 6 months therapy.</w:t>
            </w:r>
          </w:p>
        </w:tc>
        <w:tc>
          <w:tcPr>
            <w:tcW w:w="907" w:type="pct"/>
            <w:shd w:val="clear" w:color="auto" w:fill="auto"/>
            <w:vAlign w:val="center"/>
          </w:tcPr>
          <w:p w:rsidR="000F3A86" w:rsidRPr="002952BE" w:rsidRDefault="000F3A86" w:rsidP="00393B70">
            <w:pPr>
              <w:jc w:val="center"/>
              <w:rPr>
                <w:rFonts w:ascii="Arial Narrow" w:hAnsi="Arial Narrow" w:cs="Arial"/>
                <w:sz w:val="20"/>
                <w:szCs w:val="20"/>
              </w:rPr>
            </w:pPr>
            <w:r w:rsidRPr="002952BE">
              <w:rPr>
                <w:rFonts w:ascii="Arial Narrow" w:hAnsi="Arial Narrow" w:cs="Arial"/>
                <w:sz w:val="20"/>
                <w:szCs w:val="20"/>
              </w:rPr>
              <w:t>Minor</w:t>
            </w:r>
          </w:p>
        </w:tc>
      </w:tr>
      <w:tr w:rsidR="000F3A86" w:rsidRPr="009B6653" w:rsidTr="002952BE">
        <w:trPr>
          <w:trHeight w:val="211"/>
        </w:trPr>
        <w:tc>
          <w:tcPr>
            <w:tcW w:w="64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 xml:space="preserve">Efficacy </w:t>
            </w:r>
          </w:p>
        </w:tc>
        <w:tc>
          <w:tcPr>
            <w:tcW w:w="3445"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In the trial based economic evaluation the use of ITT rather than PP results resulted in a doubling of the ICER ($/LY gained) over 3 years in both the COMFORT I and II trials indicating sensitivity of the results to this efficacy outcome.</w:t>
            </w:r>
          </w:p>
        </w:tc>
        <w:tc>
          <w:tcPr>
            <w:tcW w:w="907" w:type="pct"/>
            <w:shd w:val="clear" w:color="auto" w:fill="auto"/>
            <w:vAlign w:val="center"/>
          </w:tcPr>
          <w:p w:rsidR="000F3A86" w:rsidRPr="002952BE" w:rsidRDefault="000F3A86" w:rsidP="00393B70">
            <w:pPr>
              <w:jc w:val="center"/>
              <w:rPr>
                <w:rFonts w:ascii="Arial Narrow" w:hAnsi="Arial Narrow" w:cs="Arial"/>
                <w:sz w:val="20"/>
                <w:szCs w:val="20"/>
              </w:rPr>
            </w:pPr>
            <w:r w:rsidRPr="002952BE">
              <w:rPr>
                <w:rFonts w:ascii="Arial Narrow" w:hAnsi="Arial Narrow" w:cs="Arial"/>
                <w:sz w:val="20"/>
                <w:szCs w:val="20"/>
              </w:rPr>
              <w:t>Major</w:t>
            </w:r>
          </w:p>
        </w:tc>
      </w:tr>
      <w:tr w:rsidR="000F3A86" w:rsidRPr="009B6653" w:rsidTr="002952BE">
        <w:trPr>
          <w:trHeight w:val="211"/>
        </w:trPr>
        <w:tc>
          <w:tcPr>
            <w:tcW w:w="648"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Health state utilities</w:t>
            </w:r>
          </w:p>
        </w:tc>
        <w:tc>
          <w:tcPr>
            <w:tcW w:w="3445" w:type="pct"/>
            <w:shd w:val="clear" w:color="auto" w:fill="auto"/>
          </w:tcPr>
          <w:p w:rsidR="000F3A86" w:rsidRPr="009B6653" w:rsidRDefault="000F3A86" w:rsidP="00393B70">
            <w:pPr>
              <w:rPr>
                <w:rFonts w:ascii="Arial Narrow" w:hAnsi="Arial Narrow" w:cs="Arial"/>
                <w:sz w:val="20"/>
                <w:szCs w:val="20"/>
              </w:rPr>
            </w:pPr>
            <w:r w:rsidRPr="009B6653">
              <w:rPr>
                <w:rFonts w:ascii="Arial Narrow" w:hAnsi="Arial Narrow" w:cs="Arial"/>
                <w:sz w:val="20"/>
                <w:szCs w:val="20"/>
              </w:rPr>
              <w:t xml:space="preserve">The utilities estimated in the resubmission show a large difference in utility for individuals with or without symptom control </w:t>
            </w:r>
            <w:r w:rsidR="005022D5">
              <w:rPr>
                <w:rFonts w:ascii="Arial Narrow" w:hAnsi="Arial Narrow" w:cs="Arial"/>
                <w:noProof/>
                <w:color w:val="000000"/>
                <w:sz w:val="20"/>
                <w:szCs w:val="20"/>
                <w:highlight w:val="black"/>
              </w:rPr>
              <w:t xml:space="preserve">'''''''''''''''' </w:t>
            </w:r>
            <w:r w:rsidRPr="009B6653">
              <w:rPr>
                <w:rFonts w:ascii="Arial Narrow" w:hAnsi="Arial Narrow" w:cs="Arial"/>
                <w:sz w:val="20"/>
                <w:szCs w:val="20"/>
              </w:rPr>
              <w:t xml:space="preserve">but only minimal difference in utility between spleen responders and non-responders </w:t>
            </w:r>
            <w:r w:rsidR="005022D5">
              <w:rPr>
                <w:rFonts w:ascii="Arial Narrow" w:hAnsi="Arial Narrow" w:cs="Arial"/>
                <w:noProof/>
                <w:color w:val="000000"/>
                <w:sz w:val="20"/>
                <w:szCs w:val="20"/>
                <w:highlight w:val="black"/>
              </w:rPr>
              <w:t>''''''''''''''''</w:t>
            </w:r>
            <w:r w:rsidRPr="009B6653">
              <w:rPr>
                <w:rFonts w:ascii="Arial Narrow" w:hAnsi="Arial Narrow" w:cs="Arial"/>
                <w:sz w:val="20"/>
                <w:szCs w:val="20"/>
              </w:rPr>
              <w:t xml:space="preserve">  Although the approach taken by the resubmission appears appropriate, other reported utility weights in MF indicate smaller impact of symptoms on health state utilities </w:t>
            </w:r>
            <w:proofErr w:type="spellStart"/>
            <w:r w:rsidRPr="009B6653">
              <w:rPr>
                <w:rFonts w:ascii="Arial Narrow" w:hAnsi="Arial Narrow" w:cs="Arial"/>
                <w:sz w:val="20"/>
                <w:szCs w:val="20"/>
              </w:rPr>
              <w:t>eg</w:t>
            </w:r>
            <w:proofErr w:type="spellEnd"/>
            <w:r w:rsidRPr="009B6653">
              <w:rPr>
                <w:rFonts w:ascii="Arial Narrow" w:hAnsi="Arial Narrow" w:cs="Arial"/>
                <w:sz w:val="20"/>
                <w:szCs w:val="20"/>
              </w:rPr>
              <w:t xml:space="preserve">, </w:t>
            </w:r>
            <w:proofErr w:type="spellStart"/>
            <w:r w:rsidRPr="009B6653">
              <w:rPr>
                <w:rFonts w:ascii="Arial Narrow" w:hAnsi="Arial Narrow" w:cs="Arial"/>
                <w:sz w:val="20"/>
                <w:szCs w:val="20"/>
              </w:rPr>
              <w:t>Roskell</w:t>
            </w:r>
            <w:proofErr w:type="spellEnd"/>
            <w:r w:rsidRPr="009B6653">
              <w:rPr>
                <w:rFonts w:ascii="Arial Narrow" w:hAnsi="Arial Narrow" w:cs="Arial"/>
                <w:sz w:val="20"/>
                <w:szCs w:val="20"/>
              </w:rPr>
              <w:t xml:space="preserve"> et al (2012) reported a 0.191 difference between patients with and without constitutional symptoms.  This is tested in the model applying a 0.191 difference between patients with and without controlled pain/fatigue in the model.</w:t>
            </w:r>
          </w:p>
        </w:tc>
        <w:tc>
          <w:tcPr>
            <w:tcW w:w="907" w:type="pct"/>
            <w:shd w:val="clear" w:color="auto" w:fill="auto"/>
            <w:vAlign w:val="center"/>
          </w:tcPr>
          <w:p w:rsidR="000F3A86" w:rsidRPr="002952BE" w:rsidRDefault="000F3A86" w:rsidP="00393B70">
            <w:pPr>
              <w:jc w:val="center"/>
              <w:rPr>
                <w:rFonts w:ascii="Arial Narrow" w:hAnsi="Arial Narrow" w:cs="Arial"/>
                <w:sz w:val="20"/>
                <w:szCs w:val="20"/>
              </w:rPr>
            </w:pPr>
            <w:r w:rsidRPr="002952BE">
              <w:rPr>
                <w:rFonts w:ascii="Arial Narrow" w:hAnsi="Arial Narrow" w:cs="Arial"/>
                <w:sz w:val="20"/>
                <w:szCs w:val="20"/>
              </w:rPr>
              <w:t>Moderate</w:t>
            </w:r>
          </w:p>
        </w:tc>
      </w:tr>
    </w:tbl>
    <w:p w:rsidR="002D368E" w:rsidRPr="002952BE" w:rsidRDefault="000F3A86" w:rsidP="00226682">
      <w:pPr>
        <w:ind w:firstLine="720"/>
        <w:rPr>
          <w:rFonts w:ascii="Arial" w:hAnsi="Arial"/>
          <w:sz w:val="16"/>
        </w:rPr>
      </w:pPr>
      <w:r w:rsidRPr="002952BE">
        <w:rPr>
          <w:rFonts w:ascii="Arial" w:hAnsi="Arial"/>
          <w:sz w:val="16"/>
        </w:rPr>
        <w:t xml:space="preserve">Source: </w:t>
      </w:r>
      <w:r w:rsidR="00933604" w:rsidRPr="002952BE">
        <w:rPr>
          <w:rFonts w:ascii="Arial" w:hAnsi="Arial"/>
          <w:sz w:val="16"/>
        </w:rPr>
        <w:t>Table</w:t>
      </w:r>
      <w:r w:rsidR="004C4935" w:rsidRPr="002952BE">
        <w:rPr>
          <w:rFonts w:ascii="Arial" w:hAnsi="Arial"/>
          <w:sz w:val="16"/>
        </w:rPr>
        <w:t xml:space="preserve"> 4, </w:t>
      </w:r>
      <w:r w:rsidR="00933604" w:rsidRPr="002952BE">
        <w:rPr>
          <w:rFonts w:ascii="Arial" w:hAnsi="Arial"/>
          <w:sz w:val="16"/>
        </w:rPr>
        <w:t>p6 of the commentary</w:t>
      </w:r>
      <w:r w:rsidR="004C4935" w:rsidRPr="002952BE">
        <w:rPr>
          <w:rFonts w:ascii="Arial" w:hAnsi="Arial"/>
          <w:sz w:val="16"/>
        </w:rPr>
        <w:t xml:space="preserve">. </w:t>
      </w:r>
    </w:p>
    <w:p w:rsidR="004F3C4B" w:rsidRPr="009B6653" w:rsidRDefault="004F3C4B" w:rsidP="000F3A86">
      <w:pPr>
        <w:rPr>
          <w:rFonts w:ascii="Arial" w:hAnsi="Arial"/>
          <w:sz w:val="20"/>
        </w:rPr>
      </w:pPr>
    </w:p>
    <w:p w:rsidR="004F3C4B" w:rsidRPr="009B6653" w:rsidRDefault="002952BE" w:rsidP="004F3C4B">
      <w:pPr>
        <w:pStyle w:val="ListParagraph"/>
        <w:numPr>
          <w:ilvl w:val="1"/>
          <w:numId w:val="25"/>
        </w:numPr>
        <w:jc w:val="both"/>
        <w:rPr>
          <w:rStyle w:val="CommentReference"/>
          <w:rFonts w:ascii="Arial" w:hAnsi="Arial" w:cs="Arial"/>
          <w:sz w:val="22"/>
          <w:szCs w:val="22"/>
        </w:rPr>
      </w:pPr>
      <w:r>
        <w:rPr>
          <w:rStyle w:val="CommentReference"/>
          <w:rFonts w:ascii="Arial" w:hAnsi="Arial" w:cs="Arial"/>
          <w:sz w:val="22"/>
          <w:szCs w:val="22"/>
        </w:rPr>
        <w:t xml:space="preserve">The </w:t>
      </w:r>
      <w:r w:rsidR="004F3C4B" w:rsidRPr="009B6653">
        <w:rPr>
          <w:rStyle w:val="CommentReference"/>
          <w:rFonts w:ascii="Arial" w:hAnsi="Arial" w:cs="Arial"/>
          <w:sz w:val="22"/>
          <w:szCs w:val="22"/>
        </w:rPr>
        <w:t xml:space="preserve">ESC noted that the choice of utilities algorithm favoured </w:t>
      </w:r>
      <w:proofErr w:type="spellStart"/>
      <w:r w:rsidR="004F3C4B" w:rsidRPr="009B6653">
        <w:rPr>
          <w:rStyle w:val="CommentReference"/>
          <w:rFonts w:ascii="Arial" w:hAnsi="Arial" w:cs="Arial"/>
          <w:sz w:val="22"/>
          <w:szCs w:val="22"/>
        </w:rPr>
        <w:t>ruxolitinib</w:t>
      </w:r>
      <w:proofErr w:type="spellEnd"/>
      <w:r w:rsidR="004F3C4B" w:rsidRPr="009B6653">
        <w:rPr>
          <w:rStyle w:val="CommentReference"/>
          <w:rFonts w:ascii="Arial" w:hAnsi="Arial" w:cs="Arial"/>
          <w:sz w:val="22"/>
          <w:szCs w:val="22"/>
        </w:rPr>
        <w:t xml:space="preserve"> and expressed concerns as to whether the algorithm used was best for the data analysed. The model however is only moderately sensitive to changes in utilities.</w:t>
      </w:r>
    </w:p>
    <w:p w:rsidR="00F84D52" w:rsidRPr="009B6653" w:rsidRDefault="00F84D52" w:rsidP="000F3A86">
      <w:pPr>
        <w:rPr>
          <w:rStyle w:val="CommentReference"/>
          <w:rFonts w:ascii="Arial" w:hAnsi="Arial" w:cs="Arial"/>
          <w:b/>
          <w:sz w:val="20"/>
          <w:szCs w:val="20"/>
        </w:rPr>
      </w:pPr>
    </w:p>
    <w:p w:rsidR="000F3A86" w:rsidRPr="009B6653" w:rsidRDefault="000F3A86" w:rsidP="00226682">
      <w:pPr>
        <w:ind w:firstLine="720"/>
        <w:rPr>
          <w:rStyle w:val="CommentReference"/>
          <w:rFonts w:ascii="Arial" w:hAnsi="Arial" w:cs="Arial"/>
          <w:b/>
          <w:sz w:val="20"/>
          <w:szCs w:val="20"/>
        </w:rPr>
      </w:pPr>
      <w:r w:rsidRPr="009B6653">
        <w:rPr>
          <w:rStyle w:val="CommentReference"/>
          <w:rFonts w:ascii="Arial" w:hAnsi="Arial" w:cs="Arial"/>
          <w:b/>
          <w:sz w:val="20"/>
          <w:szCs w:val="20"/>
        </w:rPr>
        <w:t>Results of the stepped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stepped economic evaluation"/>
      </w:tblPr>
      <w:tblGrid>
        <w:gridCol w:w="3136"/>
        <w:gridCol w:w="1614"/>
        <w:gridCol w:w="1616"/>
        <w:gridCol w:w="1997"/>
      </w:tblGrid>
      <w:tr w:rsidR="000F3A86" w:rsidRPr="00762CA7" w:rsidTr="007A09FF">
        <w:trPr>
          <w:trHeight w:val="255"/>
        </w:trPr>
        <w:tc>
          <w:tcPr>
            <w:tcW w:w="1875" w:type="pct"/>
            <w:vAlign w:val="center"/>
          </w:tcPr>
          <w:p w:rsidR="000F3A86" w:rsidRPr="005022D5" w:rsidRDefault="000F3A86" w:rsidP="00393B70">
            <w:pPr>
              <w:rPr>
                <w:rFonts w:ascii="Arial Narrow" w:hAnsi="Arial Narrow" w:cs="Arial"/>
                <w:b/>
                <w:sz w:val="20"/>
                <w:szCs w:val="20"/>
              </w:rPr>
            </w:pPr>
            <w:r w:rsidRPr="0007072F">
              <w:rPr>
                <w:rFonts w:ascii="Arial Narrow" w:hAnsi="Arial Narrow" w:cs="Arial"/>
                <w:b/>
                <w:sz w:val="20"/>
                <w:szCs w:val="20"/>
              </w:rPr>
              <w:lastRenderedPageBreak/>
              <w:t>Step and component</w:t>
            </w:r>
          </w:p>
        </w:tc>
        <w:tc>
          <w:tcPr>
            <w:tcW w:w="965" w:type="pct"/>
          </w:tcPr>
          <w:p w:rsidR="000F3A86" w:rsidRPr="005022D5" w:rsidRDefault="000F3A86" w:rsidP="00393B70">
            <w:pPr>
              <w:jc w:val="center"/>
              <w:rPr>
                <w:rFonts w:ascii="Arial Narrow" w:hAnsi="Arial Narrow" w:cs="Arial"/>
                <w:b/>
                <w:sz w:val="20"/>
                <w:szCs w:val="20"/>
              </w:rPr>
            </w:pPr>
            <w:proofErr w:type="spellStart"/>
            <w:r w:rsidRPr="0007072F">
              <w:rPr>
                <w:rFonts w:ascii="Arial Narrow" w:hAnsi="Arial Narrow" w:cs="Arial"/>
                <w:b/>
                <w:sz w:val="20"/>
                <w:szCs w:val="20"/>
              </w:rPr>
              <w:t>Ruxolitinib</w:t>
            </w:r>
            <w:proofErr w:type="spellEnd"/>
          </w:p>
        </w:tc>
        <w:tc>
          <w:tcPr>
            <w:tcW w:w="966" w:type="pct"/>
            <w:vAlign w:val="center"/>
          </w:tcPr>
          <w:p w:rsidR="000F3A86" w:rsidRPr="005022D5" w:rsidRDefault="000F3A86" w:rsidP="00393B70">
            <w:pPr>
              <w:jc w:val="center"/>
              <w:rPr>
                <w:rFonts w:ascii="Arial Narrow" w:hAnsi="Arial Narrow" w:cs="Arial"/>
                <w:b/>
                <w:sz w:val="20"/>
                <w:szCs w:val="20"/>
              </w:rPr>
            </w:pPr>
            <w:r w:rsidRPr="0007072F">
              <w:rPr>
                <w:rFonts w:ascii="Arial Narrow" w:hAnsi="Arial Narrow" w:cs="Arial"/>
                <w:b/>
                <w:sz w:val="20"/>
                <w:szCs w:val="20"/>
              </w:rPr>
              <w:t>Placebo</w:t>
            </w:r>
          </w:p>
        </w:tc>
        <w:tc>
          <w:tcPr>
            <w:tcW w:w="1194" w:type="pct"/>
          </w:tcPr>
          <w:p w:rsidR="000F3A86" w:rsidRPr="005022D5" w:rsidRDefault="000F3A86" w:rsidP="00393B70">
            <w:pPr>
              <w:jc w:val="center"/>
              <w:rPr>
                <w:rFonts w:ascii="Arial Narrow" w:hAnsi="Arial Narrow" w:cs="Arial"/>
                <w:b/>
                <w:sz w:val="20"/>
                <w:szCs w:val="20"/>
              </w:rPr>
            </w:pPr>
            <w:r w:rsidRPr="0007072F">
              <w:rPr>
                <w:rFonts w:ascii="Arial Narrow" w:hAnsi="Arial Narrow" w:cs="Arial"/>
                <w:b/>
                <w:sz w:val="20"/>
                <w:szCs w:val="20"/>
              </w:rPr>
              <w:t>Increment</w:t>
            </w:r>
          </w:p>
        </w:tc>
      </w:tr>
      <w:tr w:rsidR="000F3A86" w:rsidRPr="00762CA7" w:rsidTr="007A09FF">
        <w:trPr>
          <w:trHeight w:val="255"/>
        </w:trPr>
        <w:tc>
          <w:tcPr>
            <w:tcW w:w="5000" w:type="pct"/>
            <w:gridSpan w:val="4"/>
            <w:vAlign w:val="center"/>
          </w:tcPr>
          <w:p w:rsidR="000F3A86" w:rsidRPr="005022D5" w:rsidRDefault="005022D5" w:rsidP="00393B70">
            <w:pPr>
              <w:pStyle w:val="TableHeading"/>
              <w:widowControl w:val="0"/>
              <w:spacing w:before="0" w:after="0"/>
              <w:rPr>
                <w:rFonts w:cs="Arial"/>
                <w:snapToGrid w:val="0"/>
                <w:highlight w:val="black"/>
              </w:rPr>
            </w:pPr>
            <w:r>
              <w:rPr>
                <w:rFonts w:cs="Arial"/>
                <w:noProof/>
                <w:snapToGrid w:val="0"/>
                <w:color w:val="000000"/>
                <w:highlight w:val="black"/>
              </w:rPr>
              <w:t>'''''''''' ''''''' ''''''''''''''''''''''' '''''''''''' ''''''''' ''''''''''''''''''''' ''''''''' ''''''''''''' '''''''''' ''''''''''''''''''''''' ''' ''' '''''''' ''''''''''' ''''''</w:t>
            </w:r>
          </w:p>
        </w:tc>
      </w:tr>
      <w:tr w:rsidR="000F3A86" w:rsidRPr="00762CA7" w:rsidTr="007A09FF">
        <w:trPr>
          <w:trHeight w:val="255"/>
        </w:trPr>
        <w:tc>
          <w:tcPr>
            <w:tcW w:w="1875" w:type="pct"/>
            <w:vAlign w:val="center"/>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5" w:type="pct"/>
          </w:tcPr>
          <w:p w:rsidR="000F3A86" w:rsidRPr="005022D5" w:rsidRDefault="005022D5" w:rsidP="00FD36E9">
            <w:pPr>
              <w:tabs>
                <w:tab w:val="left" w:pos="375"/>
                <w:tab w:val="center" w:pos="850"/>
              </w:tabs>
              <w:ind w:left="142"/>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vAlign w:val="center"/>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965" w:type="pct"/>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3806" w:type="pct"/>
            <w:gridSpan w:val="3"/>
            <w:vAlign w:val="center"/>
          </w:tcPr>
          <w:p w:rsidR="000F3A86" w:rsidRPr="005022D5" w:rsidRDefault="005022D5" w:rsidP="00393B70">
            <w:pPr>
              <w:pStyle w:val="Tabletext"/>
              <w:widowControl w:val="0"/>
              <w:spacing w:after="0"/>
              <w:ind w:left="142"/>
              <w:rPr>
                <w:rFonts w:ascii="Arial Narrow" w:hAnsi="Arial Narrow" w:cs="Arial"/>
                <w:snapToGrid w:val="0"/>
                <w:highlight w:val="black"/>
              </w:rPr>
            </w:pPr>
            <w:r>
              <w:rPr>
                <w:rFonts w:ascii="Arial Narrow" w:hAnsi="Arial Narrow" w:cs="Arial"/>
                <w:b/>
                <w:noProof/>
                <w:color w:val="000000"/>
                <w:highlight w:val="black"/>
              </w:rPr>
              <w:t>'''''''''''''''''''''' ''''''''''''''''''' ''''''''' '''''''''''''</w:t>
            </w:r>
          </w:p>
        </w:tc>
        <w:tc>
          <w:tcPr>
            <w:tcW w:w="1194" w:type="pct"/>
          </w:tcPr>
          <w:p w:rsidR="000F3A86" w:rsidRPr="005022D5" w:rsidRDefault="005022D5" w:rsidP="00393B70">
            <w:pPr>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255"/>
        </w:trPr>
        <w:tc>
          <w:tcPr>
            <w:tcW w:w="5000" w:type="pct"/>
            <w:gridSpan w:val="4"/>
            <w:vAlign w:val="center"/>
          </w:tcPr>
          <w:p w:rsidR="000F3A86" w:rsidRPr="005022D5" w:rsidRDefault="005022D5" w:rsidP="00393B70">
            <w:pPr>
              <w:pStyle w:val="TableHeading"/>
              <w:widowControl w:val="0"/>
              <w:spacing w:before="0" w:after="0"/>
              <w:rPr>
                <w:rFonts w:cs="Arial"/>
                <w:snapToGrid w:val="0"/>
                <w:highlight w:val="black"/>
              </w:rPr>
            </w:pPr>
            <w:r>
              <w:rPr>
                <w:rFonts w:cs="Arial"/>
                <w:noProof/>
                <w:snapToGrid w:val="0"/>
                <w:color w:val="000000"/>
                <w:highlight w:val="black"/>
              </w:rPr>
              <w:t>'''''''''' ''''''' '''''''''''''''''''''''' ''''''''''' '''''''' '''''''''''''''''''' '''''''' '''''''''''''''' '''''''''' '''''''''''''''''''''''' '''  ''' ''''''''' '''''''''''' '''''</w:t>
            </w:r>
          </w:p>
        </w:tc>
      </w:tr>
      <w:tr w:rsidR="000F3A86" w:rsidRPr="00762CA7" w:rsidTr="007A09FF">
        <w:trPr>
          <w:trHeight w:val="255"/>
        </w:trPr>
        <w:tc>
          <w:tcPr>
            <w:tcW w:w="1875" w:type="pct"/>
            <w:vAlign w:val="center"/>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5" w:type="pct"/>
            <w:vAlign w:val="center"/>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vAlign w:val="center"/>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xml:space="preserve">''''''''' '''''''''''' </w:t>
            </w:r>
          </w:p>
        </w:tc>
        <w:tc>
          <w:tcPr>
            <w:tcW w:w="965" w:type="pct"/>
            <w:vAlign w:val="center"/>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ind w:left="142"/>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72"/>
        </w:trPr>
        <w:tc>
          <w:tcPr>
            <w:tcW w:w="3806" w:type="pct"/>
            <w:gridSpan w:val="3"/>
            <w:vAlign w:val="center"/>
          </w:tcPr>
          <w:p w:rsidR="000F3A86" w:rsidRPr="005022D5" w:rsidRDefault="005022D5" w:rsidP="00393B70">
            <w:pPr>
              <w:pStyle w:val="Tabletext"/>
              <w:widowControl w:val="0"/>
              <w:spacing w:after="0"/>
              <w:ind w:left="142"/>
              <w:rPr>
                <w:rFonts w:ascii="Arial Narrow" w:hAnsi="Arial Narrow" w:cs="Arial"/>
                <w:snapToGrid w:val="0"/>
                <w:highlight w:val="black"/>
              </w:rPr>
            </w:pPr>
            <w:r>
              <w:rPr>
                <w:rFonts w:ascii="Arial Narrow" w:hAnsi="Arial Narrow" w:cs="Arial"/>
                <w:b/>
                <w:noProof/>
                <w:color w:val="000000"/>
                <w:highlight w:val="black"/>
              </w:rPr>
              <w:t>''''''''''''''''''''''''' '''''''''''''''''' '''''''''' ''''''''''''</w:t>
            </w:r>
          </w:p>
        </w:tc>
        <w:tc>
          <w:tcPr>
            <w:tcW w:w="1194" w:type="pct"/>
          </w:tcPr>
          <w:p w:rsidR="000F3A86" w:rsidRPr="005022D5" w:rsidRDefault="005022D5" w:rsidP="00393B70">
            <w:pPr>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511"/>
        </w:trPr>
        <w:tc>
          <w:tcPr>
            <w:tcW w:w="5000" w:type="pct"/>
            <w:gridSpan w:val="4"/>
            <w:vAlign w:val="center"/>
          </w:tcPr>
          <w:p w:rsidR="000F3A86" w:rsidRPr="005022D5" w:rsidRDefault="005022D5" w:rsidP="00393B70">
            <w:pPr>
              <w:pStyle w:val="TableHeading"/>
              <w:widowControl w:val="0"/>
              <w:spacing w:before="0" w:after="0"/>
              <w:rPr>
                <w:rFonts w:cs="Arial"/>
                <w:snapToGrid w:val="0"/>
                <w:highlight w:val="black"/>
              </w:rPr>
            </w:pPr>
            <w:r>
              <w:rPr>
                <w:rFonts w:cs="Arial"/>
                <w:noProof/>
                <w:snapToGrid w:val="0"/>
                <w:color w:val="000000"/>
                <w:highlight w:val="black"/>
              </w:rPr>
              <w:t>''''''''' '''' ''''''''' '''''''''''' '''''''''' '''''''''' '''''''''' '''''''''' '''''''' '''''''''''''''''''' ''''''''''''''''''''' '''''' ''''''''''''' ''''''' '''''''''''''''''' '''''''''''''' '''' '''''''''''''''''' ''''''''''''''' '''''''''' ''' ''''''''''</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5022D5" w:rsidP="00393B70">
            <w:pPr>
              <w:pStyle w:val="Tabletext"/>
              <w:widowControl w:val="0"/>
              <w:spacing w:after="0"/>
              <w:ind w:left="142"/>
              <w:rPr>
                <w:rFonts w:ascii="Arial Narrow" w:hAnsi="Arial Narrow" w:cs="Arial"/>
                <w:snapToGrid w:val="0"/>
                <w:highlight w:val="black"/>
              </w:rPr>
            </w:pPr>
            <w:r>
              <w:rPr>
                <w:rFonts w:ascii="Arial Narrow" w:hAnsi="Arial Narrow" w:cs="Arial"/>
                <w:b/>
                <w:noProof/>
                <w:color w:val="000000"/>
                <w:highlight w:val="black"/>
              </w:rPr>
              <w:t>''''''''''''''''''''''' ''''''''''''''''''''' ''''' ''''''''''''''' ''''''''' ''' ''''''''''''</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5022D5" w:rsidP="00393B70">
            <w:pPr>
              <w:pStyle w:val="Tabletext"/>
              <w:widowControl w:val="0"/>
              <w:spacing w:after="0"/>
              <w:ind w:left="142"/>
              <w:rPr>
                <w:rFonts w:ascii="Arial Narrow" w:hAnsi="Arial Narrow" w:cs="Arial"/>
                <w:b/>
                <w:highlight w:val="black"/>
              </w:rPr>
            </w:pPr>
            <w:r>
              <w:rPr>
                <w:rFonts w:ascii="Arial Narrow" w:hAnsi="Arial Narrow" w:cs="Arial"/>
                <w:b/>
                <w:noProof/>
                <w:color w:val="000000"/>
                <w:highlight w:val="black"/>
              </w:rPr>
              <w:t>'''''''''''''''''''''''''' '''''''''''''''''''' '''''''''''' ''''''''''''' ''''''''' ''' ''''''''''</w:t>
            </w:r>
          </w:p>
        </w:tc>
        <w:tc>
          <w:tcPr>
            <w:tcW w:w="1194" w:type="pct"/>
            <w:vAlign w:val="center"/>
          </w:tcPr>
          <w:p w:rsidR="000F3A86" w:rsidRPr="005022D5" w:rsidRDefault="005022D5" w:rsidP="00393B70">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511"/>
        </w:trPr>
        <w:tc>
          <w:tcPr>
            <w:tcW w:w="5000" w:type="pct"/>
            <w:gridSpan w:val="4"/>
            <w:vAlign w:val="center"/>
          </w:tcPr>
          <w:p w:rsidR="000F3A86" w:rsidRPr="005022D5" w:rsidRDefault="005022D5" w:rsidP="00393B70">
            <w:pPr>
              <w:pStyle w:val="TableHeading"/>
              <w:widowControl w:val="0"/>
              <w:spacing w:before="0" w:after="0"/>
              <w:rPr>
                <w:rFonts w:cs="Arial"/>
                <w:snapToGrid w:val="0"/>
                <w:highlight w:val="black"/>
              </w:rPr>
            </w:pPr>
            <w:r>
              <w:rPr>
                <w:rFonts w:cs="Arial"/>
                <w:noProof/>
                <w:snapToGrid w:val="0"/>
                <w:color w:val="000000"/>
                <w:highlight w:val="black"/>
              </w:rPr>
              <w:t>''''''''' ''''' '''''''''''''''''' '''''''''''''''''''''' ''''''''' '''''' '''''''''''''' '''''''''' '''' ''''''''''''''''''''''''' '''''''''''''''''''' '''''''''''''''''' ''''''''''''''' '''''''''''''''''''''''''''''''' ''''''''''''''''''''''' '''' ''''''' '''''''' ''' '''''''''''''''' '''' ''''''' ''''''' '''''''''''''''''' '''''''''''''''''''''' '''''''''' '''''''' '''''''''''''''' ''''''''''''''' ''''''''' ''' '''''''' ''''''' ''''''''''''''''</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xml:space="preserve">''''''''''''''''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xml:space="preserve">''''''''''''''''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5022D5" w:rsidP="00393B70">
            <w:pPr>
              <w:pStyle w:val="Tabletext"/>
              <w:widowControl w:val="0"/>
              <w:spacing w:after="0"/>
              <w:ind w:left="142"/>
              <w:jc w:val="right"/>
              <w:rPr>
                <w:rFonts w:ascii="Arial Narrow" w:hAnsi="Arial Narrow" w:cs="Arial"/>
                <w:snapToGrid w:val="0"/>
                <w:highlight w:val="black"/>
              </w:rPr>
            </w:pPr>
            <w:r>
              <w:rPr>
                <w:rFonts w:ascii="Arial Narrow" w:hAnsi="Arial Narrow" w:cs="Arial"/>
                <w:b/>
                <w:noProof/>
                <w:color w:val="000000"/>
                <w:highlight w:val="black"/>
              </w:rPr>
              <w:t>'''''''''''''''''''''' ''''''''''''''''''' '''''' '''''''''''''' ''''''''' ''''' ''''''''''''</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5022D5" w:rsidP="00393B70">
            <w:pPr>
              <w:pStyle w:val="Tabletext"/>
              <w:widowControl w:val="0"/>
              <w:spacing w:after="0"/>
              <w:ind w:left="142"/>
              <w:jc w:val="right"/>
              <w:rPr>
                <w:rFonts w:ascii="Arial Narrow" w:hAnsi="Arial Narrow" w:cs="Arial"/>
                <w:b/>
                <w:highlight w:val="black"/>
              </w:rPr>
            </w:pPr>
            <w:r>
              <w:rPr>
                <w:rFonts w:ascii="Arial Narrow" w:hAnsi="Arial Narrow" w:cs="Arial"/>
                <w:b/>
                <w:noProof/>
                <w:color w:val="000000"/>
                <w:highlight w:val="black"/>
              </w:rPr>
              <w:t>'''''''''''''''''''''''''' ''''''''''''''''''''' ''''''''''''' ''''''''''''''' '''''''''' '''' ''''''''''''</w:t>
            </w:r>
          </w:p>
        </w:tc>
        <w:tc>
          <w:tcPr>
            <w:tcW w:w="1194" w:type="pct"/>
            <w:vAlign w:val="center"/>
          </w:tcPr>
          <w:p w:rsidR="000F3A86" w:rsidRPr="005022D5" w:rsidRDefault="005022D5" w:rsidP="00393B70">
            <w:pPr>
              <w:jc w:val="center"/>
              <w:rPr>
                <w:rFonts w:ascii="Arial Narrow" w:hAnsi="Arial Narrow" w:cs="Arial"/>
                <w:b/>
                <w:sz w:val="20"/>
                <w:szCs w:val="20"/>
                <w:highlight w:val="black"/>
              </w:rPr>
            </w:pPr>
            <w:r>
              <w:rPr>
                <w:rFonts w:ascii="Arial Narrow" w:hAnsi="Arial Narrow" w:cs="Arial"/>
                <w:b/>
                <w:noProof/>
                <w:color w:val="000000"/>
                <w:sz w:val="20"/>
                <w:szCs w:val="20"/>
                <w:highlight w:val="black"/>
              </w:rPr>
              <w:t>'''''''''''''''''</w:t>
            </w:r>
          </w:p>
        </w:tc>
      </w:tr>
      <w:tr w:rsidR="000F3A86" w:rsidRPr="00762CA7" w:rsidTr="007A09FF">
        <w:trPr>
          <w:trHeight w:val="511"/>
        </w:trPr>
        <w:tc>
          <w:tcPr>
            <w:tcW w:w="5000" w:type="pct"/>
            <w:gridSpan w:val="4"/>
            <w:vAlign w:val="center"/>
          </w:tcPr>
          <w:p w:rsidR="000F3A86" w:rsidRPr="005022D5" w:rsidRDefault="005022D5" w:rsidP="00393B70">
            <w:pPr>
              <w:pStyle w:val="TableHeading"/>
              <w:widowControl w:val="0"/>
              <w:spacing w:before="0" w:after="0"/>
              <w:rPr>
                <w:rFonts w:cs="Arial"/>
                <w:snapToGrid w:val="0"/>
                <w:highlight w:val="black"/>
              </w:rPr>
            </w:pPr>
            <w:r>
              <w:rPr>
                <w:rFonts w:cs="Arial"/>
                <w:noProof/>
                <w:snapToGrid w:val="0"/>
                <w:color w:val="000000"/>
                <w:highlight w:val="black"/>
              </w:rPr>
              <w:t>''''''''' '''' '''''''''''''''''''' ''''''''''''''''''''' ''''''''' '''''' '''''''''''''' '''''''''''''''''' ''''''''''''''''''''''''' ''''''''' ''''''''''''''''''' ''''''''' ''''' '''''''''''''' '''''''''''''''''' '''''''' '''''''''''''''''''''''' ''''''''''''''''''''' '''''''''''''''''''''' ''''''''''''''''''''''' '''' ''''''' '''''''''''''''''''''' '''''' '''''''''''' '''''''' ''''''''''''''''''' '''''''''''''''''''''' ''''''''' '''''''''''''''''''</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xml:space="preserve">''''''''''''''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255"/>
        </w:trPr>
        <w:tc>
          <w:tcPr>
            <w:tcW w:w="1875" w:type="pct"/>
          </w:tcPr>
          <w:p w:rsidR="000F3A86" w:rsidRPr="005022D5" w:rsidRDefault="005022D5" w:rsidP="00393B70">
            <w:pPr>
              <w:ind w:left="142"/>
              <w:rPr>
                <w:rFonts w:ascii="Arial Narrow" w:hAnsi="Arial Narrow" w:cs="Arial"/>
                <w:sz w:val="20"/>
                <w:szCs w:val="20"/>
                <w:highlight w:val="black"/>
              </w:rPr>
            </w:pPr>
            <w:r>
              <w:rPr>
                <w:rFonts w:ascii="Arial Narrow" w:hAnsi="Arial Narrow" w:cs="Arial"/>
                <w:noProof/>
                <w:color w:val="000000"/>
                <w:sz w:val="20"/>
                <w:szCs w:val="20"/>
                <w:highlight w:val="black"/>
              </w:rPr>
              <w:t xml:space="preserve">''''''''''''''''' '''''''''' '''''' '''''''''''''' </w:t>
            </w:r>
          </w:p>
        </w:tc>
        <w:tc>
          <w:tcPr>
            <w:tcW w:w="965"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966"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194" w:type="pct"/>
            <w:vAlign w:val="center"/>
          </w:tcPr>
          <w:p w:rsidR="000F3A86" w:rsidRPr="005022D5" w:rsidRDefault="005022D5" w:rsidP="00393B70">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0F3A86" w:rsidP="00393B70">
            <w:pPr>
              <w:pStyle w:val="Tabletext"/>
              <w:widowControl w:val="0"/>
              <w:spacing w:after="0"/>
              <w:ind w:left="142"/>
              <w:rPr>
                <w:rFonts w:ascii="Arial Narrow" w:hAnsi="Arial Narrow" w:cs="Arial"/>
                <w:snapToGrid w:val="0"/>
              </w:rPr>
            </w:pPr>
            <w:r w:rsidRPr="0007072F">
              <w:rPr>
                <w:rFonts w:ascii="Arial Narrow" w:hAnsi="Arial Narrow" w:cs="Arial"/>
                <w:b/>
              </w:rPr>
              <w:t>Incremental cost/extra LY gained over 20 years</w:t>
            </w:r>
          </w:p>
        </w:tc>
        <w:tc>
          <w:tcPr>
            <w:tcW w:w="1194" w:type="pct"/>
            <w:vAlign w:val="center"/>
          </w:tcPr>
          <w:p w:rsidR="000F3A86" w:rsidRPr="005022D5" w:rsidRDefault="000F3A86" w:rsidP="00393B70">
            <w:pPr>
              <w:jc w:val="center"/>
              <w:rPr>
                <w:rFonts w:ascii="Arial Narrow" w:hAnsi="Arial Narrow" w:cs="Arial"/>
                <w:sz w:val="20"/>
                <w:szCs w:val="20"/>
              </w:rPr>
            </w:pPr>
            <w:r w:rsidRPr="0007072F">
              <w:rPr>
                <w:rFonts w:ascii="Arial Narrow" w:hAnsi="Arial Narrow" w:cs="Arial"/>
                <w:b/>
                <w:sz w:val="20"/>
                <w:szCs w:val="20"/>
              </w:rPr>
              <w:t>$</w:t>
            </w:r>
            <w:r w:rsidR="005022D5">
              <w:rPr>
                <w:rFonts w:ascii="Arial Narrow" w:hAnsi="Arial Narrow" w:cs="Arial"/>
                <w:b/>
                <w:noProof/>
                <w:color w:val="000000"/>
                <w:sz w:val="20"/>
                <w:szCs w:val="20"/>
                <w:highlight w:val="black"/>
              </w:rPr>
              <w:t>'''''''''''''</w:t>
            </w:r>
          </w:p>
        </w:tc>
      </w:tr>
      <w:tr w:rsidR="000F3A86" w:rsidRPr="00762CA7" w:rsidTr="007A09FF">
        <w:trPr>
          <w:trHeight w:val="79"/>
        </w:trPr>
        <w:tc>
          <w:tcPr>
            <w:tcW w:w="3806" w:type="pct"/>
            <w:gridSpan w:val="3"/>
            <w:vAlign w:val="center"/>
          </w:tcPr>
          <w:p w:rsidR="000F3A86" w:rsidRPr="005022D5" w:rsidRDefault="000F3A86" w:rsidP="00393B70">
            <w:pPr>
              <w:pStyle w:val="Tabletext"/>
              <w:widowControl w:val="0"/>
              <w:spacing w:after="0"/>
              <w:ind w:left="142"/>
              <w:rPr>
                <w:rFonts w:ascii="Arial Narrow" w:hAnsi="Arial Narrow" w:cs="Arial"/>
                <w:b/>
              </w:rPr>
            </w:pPr>
            <w:r w:rsidRPr="0007072F">
              <w:rPr>
                <w:rFonts w:ascii="Arial Narrow" w:hAnsi="Arial Narrow" w:cs="Arial"/>
                <w:b/>
              </w:rPr>
              <w:t>Incremental cost/extra QALY gained over 20 years</w:t>
            </w:r>
          </w:p>
        </w:tc>
        <w:tc>
          <w:tcPr>
            <w:tcW w:w="1194" w:type="pct"/>
            <w:vAlign w:val="center"/>
          </w:tcPr>
          <w:p w:rsidR="000F3A86" w:rsidRPr="005022D5" w:rsidRDefault="000F3A86" w:rsidP="00393B70">
            <w:pPr>
              <w:jc w:val="center"/>
              <w:rPr>
                <w:rFonts w:ascii="Arial Narrow" w:hAnsi="Arial Narrow" w:cs="Arial"/>
                <w:b/>
                <w:sz w:val="20"/>
                <w:szCs w:val="20"/>
              </w:rPr>
            </w:pPr>
            <w:r w:rsidRPr="0007072F">
              <w:rPr>
                <w:rFonts w:ascii="Arial Narrow" w:hAnsi="Arial Narrow" w:cs="Arial"/>
                <w:b/>
                <w:sz w:val="20"/>
                <w:szCs w:val="20"/>
              </w:rPr>
              <w:t>$</w:t>
            </w:r>
            <w:r w:rsidR="005022D5">
              <w:rPr>
                <w:rFonts w:ascii="Arial Narrow" w:hAnsi="Arial Narrow" w:cs="Arial"/>
                <w:b/>
                <w:noProof/>
                <w:color w:val="000000"/>
                <w:sz w:val="20"/>
                <w:szCs w:val="20"/>
                <w:highlight w:val="black"/>
              </w:rPr>
              <w:t>''''''''''''</w:t>
            </w:r>
          </w:p>
        </w:tc>
      </w:tr>
    </w:tbl>
    <w:p w:rsidR="002D368E" w:rsidRPr="009B6653" w:rsidRDefault="002D368E" w:rsidP="000F3A86">
      <w:pPr>
        <w:pStyle w:val="TableFooter"/>
      </w:pPr>
    </w:p>
    <w:p w:rsidR="00A206F1" w:rsidRPr="009B6653" w:rsidRDefault="00725AA3" w:rsidP="00725AA3">
      <w:pPr>
        <w:pStyle w:val="ListParagraph"/>
        <w:numPr>
          <w:ilvl w:val="1"/>
          <w:numId w:val="25"/>
        </w:numPr>
        <w:jc w:val="both"/>
        <w:rPr>
          <w:rFonts w:ascii="Arial" w:hAnsi="Arial"/>
          <w:sz w:val="22"/>
          <w:szCs w:val="22"/>
        </w:rPr>
      </w:pPr>
      <w:r w:rsidRPr="009B6653">
        <w:rPr>
          <w:rFonts w:ascii="Arial" w:hAnsi="Arial"/>
          <w:sz w:val="22"/>
          <w:szCs w:val="22"/>
        </w:rPr>
        <w:t xml:space="preserve">The model is most sensitive to changes in the price of </w:t>
      </w:r>
      <w:proofErr w:type="spellStart"/>
      <w:r w:rsidRPr="009B6653">
        <w:rPr>
          <w:rFonts w:ascii="Arial" w:hAnsi="Arial"/>
          <w:sz w:val="22"/>
          <w:szCs w:val="22"/>
        </w:rPr>
        <w:t>ruxolitinib</w:t>
      </w:r>
      <w:proofErr w:type="spellEnd"/>
      <w:r w:rsidRPr="009B6653">
        <w:rPr>
          <w:rFonts w:ascii="Arial" w:hAnsi="Arial"/>
          <w:sz w:val="22"/>
          <w:szCs w:val="22"/>
        </w:rPr>
        <w:t xml:space="preserve">; therefore alternate assumptions regarding the price of </w:t>
      </w:r>
      <w:proofErr w:type="spellStart"/>
      <w:r w:rsidRPr="009B6653">
        <w:rPr>
          <w:rFonts w:ascii="Arial" w:hAnsi="Arial"/>
          <w:sz w:val="22"/>
          <w:szCs w:val="22"/>
        </w:rPr>
        <w:t>ruxolitinib</w:t>
      </w:r>
      <w:proofErr w:type="spellEnd"/>
      <w:r w:rsidRPr="009B6653">
        <w:rPr>
          <w:rFonts w:ascii="Arial" w:hAnsi="Arial"/>
          <w:sz w:val="22"/>
          <w:szCs w:val="22"/>
        </w:rPr>
        <w:t xml:space="preserve"> were tested in sensitivity analyses during the evaluation; differing time horizons and health state utilities were also analysed. For results see the table below</w:t>
      </w:r>
      <w:r w:rsidR="00E24111" w:rsidRPr="009B6653">
        <w:rPr>
          <w:rFonts w:ascii="Arial" w:hAnsi="Arial"/>
          <w:sz w:val="22"/>
          <w:szCs w:val="22"/>
        </w:rPr>
        <w:t>:</w:t>
      </w:r>
    </w:p>
    <w:p w:rsidR="000141FB" w:rsidRPr="009B6653" w:rsidRDefault="000141FB" w:rsidP="00933604"/>
    <w:p w:rsidR="000141FB" w:rsidRPr="009B6653" w:rsidRDefault="000141FB" w:rsidP="00226682">
      <w:pPr>
        <w:ind w:firstLine="720"/>
        <w:rPr>
          <w:rStyle w:val="CommentReference"/>
          <w:rFonts w:ascii="Arial" w:hAnsi="Arial" w:cs="Arial"/>
          <w:b/>
          <w:sz w:val="20"/>
          <w:szCs w:val="20"/>
        </w:rPr>
      </w:pPr>
      <w:r w:rsidRPr="009B6653">
        <w:rPr>
          <w:rStyle w:val="CommentReference"/>
          <w:rFonts w:ascii="Arial" w:hAnsi="Arial" w:cs="Arial"/>
          <w:b/>
          <w:sz w:val="20"/>
          <w:szCs w:val="20"/>
        </w:rPr>
        <w:t xml:space="preserve">Results of </w:t>
      </w:r>
      <w:proofErr w:type="spellStart"/>
      <w:r w:rsidRPr="009B6653">
        <w:rPr>
          <w:rStyle w:val="CommentReference"/>
          <w:rFonts w:ascii="Arial" w:hAnsi="Arial" w:cs="Arial"/>
          <w:b/>
          <w:sz w:val="20"/>
          <w:szCs w:val="20"/>
        </w:rPr>
        <w:t>univariate</w:t>
      </w:r>
      <w:proofErr w:type="spellEnd"/>
      <w:r w:rsidRPr="009B6653">
        <w:rPr>
          <w:rStyle w:val="CommentReference"/>
          <w:rFonts w:ascii="Arial" w:hAnsi="Arial" w:cs="Arial"/>
          <w:b/>
          <w:sz w:val="20"/>
          <w:szCs w:val="20"/>
        </w:rPr>
        <w:t xml:space="preserve"> sensitivity analyses</w:t>
      </w:r>
    </w:p>
    <w:tbl>
      <w:tblPr>
        <w:tblStyle w:val="TableGrid"/>
        <w:tblW w:w="8363" w:type="dxa"/>
        <w:tblInd w:w="737" w:type="dxa"/>
        <w:tblCellMar>
          <w:left w:w="28" w:type="dxa"/>
          <w:right w:w="28" w:type="dxa"/>
        </w:tblCellMar>
        <w:tblLook w:val="04A0" w:firstRow="1" w:lastRow="0" w:firstColumn="1" w:lastColumn="0" w:noHBand="0" w:noVBand="1"/>
        <w:tblDescription w:val="Results of univariate sensitivity analyses"/>
      </w:tblPr>
      <w:tblGrid>
        <w:gridCol w:w="3119"/>
        <w:gridCol w:w="708"/>
        <w:gridCol w:w="1418"/>
        <w:gridCol w:w="1276"/>
        <w:gridCol w:w="1842"/>
      </w:tblGrid>
      <w:tr w:rsidR="000141FB" w:rsidRPr="00762CA7" w:rsidTr="002E5EA5">
        <w:trPr>
          <w:trHeight w:val="161"/>
          <w:tblHeader/>
        </w:trPr>
        <w:tc>
          <w:tcPr>
            <w:tcW w:w="3827" w:type="dxa"/>
            <w:gridSpan w:val="2"/>
          </w:tcPr>
          <w:p w:rsidR="000141FB" w:rsidRPr="005022D5" w:rsidRDefault="000141FB" w:rsidP="004820D7">
            <w:pPr>
              <w:rPr>
                <w:rFonts w:ascii="Arial Narrow" w:hAnsi="Arial Narrow" w:cs="Arial"/>
                <w:color w:val="000000"/>
                <w:sz w:val="20"/>
                <w:szCs w:val="20"/>
              </w:rPr>
            </w:pPr>
            <w:r w:rsidRPr="0007072F">
              <w:rPr>
                <w:rFonts w:ascii="Arial Narrow" w:hAnsi="Arial Narrow" w:cs="Arial"/>
                <w:b/>
                <w:sz w:val="20"/>
                <w:szCs w:val="20"/>
              </w:rPr>
              <w:t>Variables altered in sensitivity analysis</w:t>
            </w:r>
          </w:p>
        </w:tc>
        <w:tc>
          <w:tcPr>
            <w:tcW w:w="1418" w:type="dxa"/>
            <w:vAlign w:val="center"/>
          </w:tcPr>
          <w:p w:rsidR="000141FB" w:rsidRPr="005022D5" w:rsidRDefault="000141FB" w:rsidP="004820D7">
            <w:pPr>
              <w:jc w:val="center"/>
              <w:rPr>
                <w:rFonts w:ascii="Arial Narrow" w:hAnsi="Arial Narrow" w:cs="Arial"/>
                <w:color w:val="000000"/>
                <w:sz w:val="20"/>
                <w:szCs w:val="20"/>
              </w:rPr>
            </w:pPr>
            <w:r w:rsidRPr="0007072F">
              <w:rPr>
                <w:rFonts w:ascii="Arial Narrow" w:hAnsi="Arial Narrow" w:cs="Arial"/>
                <w:b/>
                <w:sz w:val="20"/>
                <w:szCs w:val="20"/>
              </w:rPr>
              <w:t>Incremental costs</w:t>
            </w:r>
          </w:p>
        </w:tc>
        <w:tc>
          <w:tcPr>
            <w:tcW w:w="1276" w:type="dxa"/>
            <w:vAlign w:val="center"/>
          </w:tcPr>
          <w:p w:rsidR="000141FB" w:rsidRPr="005022D5" w:rsidRDefault="000141FB" w:rsidP="004820D7">
            <w:pPr>
              <w:jc w:val="center"/>
              <w:rPr>
                <w:rFonts w:ascii="Arial Narrow" w:hAnsi="Arial Narrow" w:cs="Arial"/>
                <w:color w:val="000000"/>
                <w:sz w:val="20"/>
                <w:szCs w:val="20"/>
              </w:rPr>
            </w:pPr>
            <w:r w:rsidRPr="0007072F">
              <w:rPr>
                <w:rFonts w:ascii="Arial Narrow" w:hAnsi="Arial Narrow" w:cs="Arial"/>
                <w:b/>
                <w:sz w:val="20"/>
                <w:szCs w:val="20"/>
              </w:rPr>
              <w:t>Incremental QALYs</w:t>
            </w:r>
          </w:p>
        </w:tc>
        <w:tc>
          <w:tcPr>
            <w:tcW w:w="1842" w:type="dxa"/>
            <w:vAlign w:val="center"/>
          </w:tcPr>
          <w:p w:rsidR="000141FB" w:rsidRPr="005022D5" w:rsidRDefault="000141FB" w:rsidP="004820D7">
            <w:pPr>
              <w:jc w:val="center"/>
              <w:rPr>
                <w:rFonts w:ascii="Arial Narrow" w:hAnsi="Arial Narrow" w:cs="Arial"/>
                <w:color w:val="000000"/>
                <w:sz w:val="20"/>
                <w:szCs w:val="20"/>
              </w:rPr>
            </w:pPr>
            <w:r w:rsidRPr="0007072F">
              <w:rPr>
                <w:rFonts w:ascii="Arial Narrow" w:hAnsi="Arial Narrow" w:cs="Arial"/>
                <w:b/>
                <w:sz w:val="20"/>
                <w:szCs w:val="20"/>
              </w:rPr>
              <w:t>ICER</w:t>
            </w:r>
          </w:p>
        </w:tc>
      </w:tr>
      <w:tr w:rsidR="000141FB" w:rsidRPr="00762CA7" w:rsidTr="002952BE">
        <w:trPr>
          <w:trHeight w:val="161"/>
        </w:trPr>
        <w:tc>
          <w:tcPr>
            <w:tcW w:w="3827" w:type="dxa"/>
            <w:gridSpan w:val="2"/>
          </w:tcPr>
          <w:p w:rsidR="000141FB" w:rsidRPr="005022D5" w:rsidRDefault="005022D5" w:rsidP="004820D7">
            <w:pPr>
              <w:rPr>
                <w:rFonts w:ascii="Arial Narrow" w:hAnsi="Arial Narrow" w:cs="Arial"/>
                <w:color w:val="000000"/>
                <w:sz w:val="20"/>
                <w:szCs w:val="20"/>
                <w:highlight w:val="black"/>
              </w:rPr>
            </w:pPr>
            <w:r>
              <w:rPr>
                <w:rFonts w:ascii="Arial Narrow" w:hAnsi="Arial Narrow" w:cs="Arial"/>
                <w:b/>
                <w:noProof/>
                <w:color w:val="000000"/>
                <w:sz w:val="20"/>
                <w:szCs w:val="20"/>
                <w:highlight w:val="black"/>
              </w:rPr>
              <w:t>'''''''''''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b/>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b/>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b/>
                <w:noProof/>
                <w:color w:val="000000"/>
                <w:sz w:val="20"/>
                <w:szCs w:val="20"/>
                <w:highlight w:val="black"/>
              </w:rPr>
              <w:t>'''''''''''''''</w:t>
            </w:r>
          </w:p>
        </w:tc>
      </w:tr>
      <w:tr w:rsidR="000141FB" w:rsidRPr="00762CA7" w:rsidTr="00226682">
        <w:trPr>
          <w:trHeight w:val="161"/>
        </w:trPr>
        <w:tc>
          <w:tcPr>
            <w:tcW w:w="8363" w:type="dxa"/>
            <w:gridSpan w:val="5"/>
          </w:tcPr>
          <w:p w:rsidR="000141FB" w:rsidRPr="005022D5" w:rsidRDefault="005022D5" w:rsidP="004820D7">
            <w:pPr>
              <w:rPr>
                <w:rFonts w:ascii="Arial Narrow" w:hAnsi="Arial Narrow" w:cs="Arial"/>
                <w:b/>
                <w:color w:val="000000"/>
                <w:sz w:val="20"/>
                <w:szCs w:val="20"/>
              </w:rPr>
            </w:pPr>
            <w:r>
              <w:rPr>
                <w:rFonts w:ascii="Arial Narrow" w:hAnsi="Arial Narrow" w:cs="Arial"/>
                <w:b/>
                <w:noProof/>
                <w:color w:val="000000"/>
                <w:sz w:val="20"/>
                <w:szCs w:val="20"/>
                <w:highlight w:val="black"/>
              </w:rPr>
              <w:t>'''''''''' '''''''''''''''</w:t>
            </w:r>
            <w:r w:rsidR="000141FB" w:rsidRPr="0007072F">
              <w:rPr>
                <w:rFonts w:ascii="Arial Narrow" w:hAnsi="Arial Narrow" w:cs="Arial"/>
                <w:b/>
                <w:color w:val="000000"/>
                <w:sz w:val="20"/>
                <w:szCs w:val="20"/>
              </w:rPr>
              <w:t xml:space="preserve"> </w:t>
            </w:r>
            <w:r>
              <w:rPr>
                <w:rFonts w:ascii="Arial Narrow" w:hAnsi="Arial Narrow" w:cs="Arial"/>
                <w:b/>
                <w:noProof/>
                <w:color w:val="000000"/>
                <w:sz w:val="20"/>
                <w:szCs w:val="20"/>
                <w:highlight w:val="black"/>
              </w:rPr>
              <w:t>'''''''''''' '''''''''' ''' '''''' '''''''''''''</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26682">
        <w:trPr>
          <w:trHeight w:val="161"/>
        </w:trPr>
        <w:tc>
          <w:tcPr>
            <w:tcW w:w="8363" w:type="dxa"/>
            <w:gridSpan w:val="5"/>
          </w:tcPr>
          <w:p w:rsidR="000141FB" w:rsidRPr="005022D5" w:rsidRDefault="005022D5" w:rsidP="004820D7">
            <w:pPr>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 ''''''''''''''''''' '''' ''''''''' '''''''''''''''''''' '''' '''''''''' ''''''''''''</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 ''''''''' '''''''''''''''''' ''''''''''''''''''''' '''''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26682">
        <w:trPr>
          <w:trHeight w:val="161"/>
        </w:trPr>
        <w:tc>
          <w:tcPr>
            <w:tcW w:w="8363" w:type="dxa"/>
            <w:gridSpan w:val="5"/>
          </w:tcPr>
          <w:p w:rsidR="000141FB" w:rsidRPr="005022D5" w:rsidRDefault="005022D5" w:rsidP="004820D7">
            <w:pPr>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 '''''''' ''''''''''''''''''''''''''' '''''''''''''''''''' '''''''''''''''''''''''' ''''''''' '''''''' ''''''''''''''''' '''' '''''' '''''''' '''' '''''''''''''''''''''' ''''''''' '''''''''''''''' ''''' ''''''''''''''''''' '''''''''''' ''''''''' ''' '''''''''''</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26682">
        <w:trPr>
          <w:trHeight w:val="161"/>
        </w:trPr>
        <w:tc>
          <w:tcPr>
            <w:tcW w:w="8363" w:type="dxa"/>
            <w:gridSpan w:val="5"/>
          </w:tcPr>
          <w:p w:rsidR="000141FB" w:rsidRPr="005022D5" w:rsidRDefault="005022D5" w:rsidP="004820D7">
            <w:pPr>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xml:space="preserve">'''''''''''''''''''''''''''' ''''''''''''' ''''''''''''''''''' ''''''''''''' '''''' </w:t>
            </w:r>
            <w:r>
              <w:rPr>
                <w:noProof/>
                <w:color w:val="000000"/>
                <w:sz w:val="20"/>
                <w:szCs w:val="20"/>
                <w:highlight w:val="black"/>
              </w:rPr>
              <w:lastRenderedPageBreak/>
              <w:t>''''''''''''''''''''''' '''''' '''''''''' ''''''''' '''' '''''''''''''''''''''''''''''' ''''''''''''''''' ''''''''' ''''''''''''''''''''''' '''''''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lastRenderedPageBreak/>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lastRenderedPageBreak/>
              <w:t>'''''''''''''''''''''''''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26682">
        <w:trPr>
          <w:trHeight w:val="161"/>
        </w:trPr>
        <w:tc>
          <w:tcPr>
            <w:tcW w:w="8363" w:type="dxa"/>
            <w:gridSpan w:val="5"/>
          </w:tcPr>
          <w:p w:rsidR="000141FB" w:rsidRPr="005022D5" w:rsidRDefault="005022D5" w:rsidP="004820D7">
            <w:pPr>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 '''''''''''' '''''''''' '''''''''' ''''''''''''''' ''''''''''''''' ''''''''''' ''''''' '''''''''' ''''''''''''''''''''' '''</w:t>
            </w:r>
          </w:p>
        </w:tc>
      </w:tr>
      <w:tr w:rsidR="000141FB" w:rsidRPr="00762CA7" w:rsidTr="002952BE">
        <w:trPr>
          <w:trHeight w:val="161"/>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756"/>
        </w:trPr>
        <w:tc>
          <w:tcPr>
            <w:tcW w:w="3827" w:type="dxa"/>
            <w:gridSpan w:val="2"/>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 '''''' ''''''''''''''''''''' ''''''''''' '''''''''' ''''''''''''''''''' '''' ''''' ''''''''''''''''''' '''''''''''''''''''''''' '''''''''''''' '''''''''''''''' ''''' '''''''''''</w:t>
            </w:r>
          </w:p>
        </w:tc>
        <w:tc>
          <w:tcPr>
            <w:tcW w:w="1418"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26682">
        <w:trPr>
          <w:trHeight w:val="252"/>
        </w:trPr>
        <w:tc>
          <w:tcPr>
            <w:tcW w:w="8363" w:type="dxa"/>
            <w:gridSpan w:val="5"/>
          </w:tcPr>
          <w:p w:rsidR="000141FB" w:rsidRPr="005022D5" w:rsidRDefault="005022D5" w:rsidP="004820D7">
            <w:pPr>
              <w:rPr>
                <w:rFonts w:ascii="Arial Narrow" w:hAnsi="Arial Narrow" w:cs="Arial"/>
                <w:b/>
                <w:color w:val="000000"/>
                <w:sz w:val="20"/>
                <w:szCs w:val="20"/>
                <w:highlight w:val="black"/>
              </w:rPr>
            </w:pPr>
            <w:r>
              <w:rPr>
                <w:rFonts w:ascii="Arial Narrow" w:hAnsi="Arial Narrow" w:cs="Arial"/>
                <w:b/>
                <w:noProof/>
                <w:color w:val="000000"/>
                <w:sz w:val="20"/>
                <w:szCs w:val="20"/>
                <w:highlight w:val="black"/>
              </w:rPr>
              <w:t xml:space="preserve">''''''''''''''''''''''''' ''''''''''''''''''''''' '''' '''''''''''''''''' ''''''''' ''''''' ''''''''''''''''''''''''''''''''''''''''''''' '''''''''' ''''''''''' '''''''''''''''''' ''' ''''''''''''''''' ''''''' ''''''' '''''''''''' </w:t>
            </w:r>
          </w:p>
        </w:tc>
      </w:tr>
      <w:tr w:rsidR="000141FB" w:rsidRPr="00762CA7" w:rsidTr="002952BE">
        <w:trPr>
          <w:trHeight w:val="772"/>
        </w:trPr>
        <w:tc>
          <w:tcPr>
            <w:tcW w:w="3119" w:type="dxa"/>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 '''''''''''' '''''''''''' '''' '''''''''' ''''''''''''''' ''''''''' '''''''''''''''''''''''''''' '''' ''''''''' ''''' ''''''''' '''''''''''''''' ''''''''''' '''''''''' ''''' '''''''' ''''' '''''''' ''''''' '''''''''''''' '''''''''' '''''''''''''''''</w:t>
            </w:r>
          </w:p>
        </w:tc>
        <w:tc>
          <w:tcPr>
            <w:tcW w:w="2126" w:type="dxa"/>
            <w:gridSpan w:val="2"/>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504"/>
        </w:trPr>
        <w:tc>
          <w:tcPr>
            <w:tcW w:w="3119" w:type="dxa"/>
          </w:tcPr>
          <w:p w:rsidR="000141FB" w:rsidRPr="005022D5" w:rsidRDefault="005022D5" w:rsidP="005022D5">
            <w:pPr>
              <w:tabs>
                <w:tab w:val="left" w:pos="276"/>
              </w:tabs>
              <w:ind w:left="318" w:hanging="284"/>
              <w:rPr>
                <w:rFonts w:ascii="Arial Narrow" w:hAnsi="Arial Narrow" w:cs="Arial"/>
                <w:color w:val="000000"/>
                <w:sz w:val="20"/>
                <w:szCs w:val="20"/>
                <w:highlight w:val="black"/>
              </w:rPr>
            </w:pPr>
            <w:r>
              <w:rPr>
                <w:noProof/>
                <w:color w:val="000000"/>
                <w:sz w:val="20"/>
                <w:szCs w:val="20"/>
                <w:highlight w:val="black"/>
              </w:rPr>
              <w:t>''''''''''''''''''''''' ''''' '''''''''''''''''''''' '''' ''''''''' '''''''''''''''''''''''' '''' '''''''''''''''''''''''''''''''''''''''''''''''''''''' '''''''''''''''''</w:t>
            </w:r>
          </w:p>
        </w:tc>
        <w:tc>
          <w:tcPr>
            <w:tcW w:w="2126" w:type="dxa"/>
            <w:gridSpan w:val="2"/>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797"/>
        </w:trPr>
        <w:tc>
          <w:tcPr>
            <w:tcW w:w="3119" w:type="dxa"/>
          </w:tcPr>
          <w:p w:rsidR="000141FB" w:rsidRPr="005022D5" w:rsidRDefault="005022D5" w:rsidP="004820D7">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 ''''''''''''''''''''' '''''''''''''''''''''''''' '''''''' ''''''''''''''''''''''''''''''''''''''''''''' ''''' '''''''''''''''''' ''''''''''''''''''' ''''''''''' ''''''''''''' '''''' ''''''''''''''''''''''' ''''' '''''''''''''''''''''''''''''' ''' ''''''''' '''' ''''''''''' '''''''''''' ''''''''''' '''' '''''' ''''''''''''' ''''''''''''''''''''''''''''' ''''' ''''''''''''''''''''''' '''''''' '''''''''''''''''' '''''''' ''''' ''''''''''''' '''''''' '''''''''''' '''' ''''''''''' ''''''''' ''''' '''' ''''''''''''''''''''' '''''''''''''''' ''''' ''''''' '''''''''''' ''''''''''''''''' '''''''' '''''''''''''''''''''' '''''''' ''''''''''''''''' '''''''' '''' '''''''' '''''''' '''' '''''''''''''' '''''''''''''''''''''''' ''''' '''''' '''''''''''''''''''''''''''' ''''''''' '''''''''''' '''''''''''''' '''''''''''''</w:t>
            </w:r>
          </w:p>
        </w:tc>
        <w:tc>
          <w:tcPr>
            <w:tcW w:w="2126" w:type="dxa"/>
            <w:gridSpan w:val="2"/>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780"/>
        </w:trPr>
        <w:tc>
          <w:tcPr>
            <w:tcW w:w="3119" w:type="dxa"/>
          </w:tcPr>
          <w:p w:rsidR="000141FB" w:rsidRPr="005022D5" w:rsidRDefault="005022D5" w:rsidP="004820D7">
            <w:pPr>
              <w:rPr>
                <w:rFonts w:ascii="Arial Narrow" w:hAnsi="Arial Narrow" w:cs="Arial"/>
                <w:color w:val="000000"/>
                <w:sz w:val="20"/>
                <w:szCs w:val="20"/>
                <w:highlight w:val="black"/>
              </w:rPr>
            </w:pPr>
            <w:r>
              <w:rPr>
                <w:rFonts w:ascii="Arial Narrow" w:hAnsi="Arial Narrow" w:cs="Arial"/>
                <w:noProof/>
                <w:color w:val="000000"/>
                <w:sz w:val="20"/>
                <w:szCs w:val="20"/>
                <w:highlight w:val="black"/>
                <w:u w:val="single"/>
              </w:rPr>
              <w:t>'''''''''''''''''''''''''' '''''''''''''''''' ''''''''''''''''''''''' '''''''''''''''''''''''''''''''''''''''''' '''' ''''''''''''''''' ''''''''''''''''' ''''''''' '''''' '''''''' '''''''''' '''''''''''''''''''''''''''''''''' ''''' ''''''''''''''''''' ''''''' '''''''''' ''''''''''''''''''''''''''''' '''''''''' '''''''''' '''''''''''''''''' ''''''''''''''''''''''''' '''''' '''''''''''''''''''''''' ''''''''''''''''''''''''''''''''''''''' ''''' '''''''' '''''''''''''''''''' ''''' ''''''''''''''''' '''''''''''' ''''''''''''''''''''''' ''''' ''''''''''''''''''''' ''''''''' ''''' '''''''''''''''' '''''''' '''''''''''''''''' '''''''''''''''''''''''''''''''''''''' '''' ''''''' '''''''''''''''''''''' ''''''''''''''' ''''' '''''</w:t>
            </w:r>
          </w:p>
        </w:tc>
        <w:tc>
          <w:tcPr>
            <w:tcW w:w="2126" w:type="dxa"/>
            <w:gridSpan w:val="2"/>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0141FB" w:rsidRPr="00762CA7" w:rsidTr="002952BE">
        <w:trPr>
          <w:trHeight w:val="1041"/>
        </w:trPr>
        <w:tc>
          <w:tcPr>
            <w:tcW w:w="3119" w:type="dxa"/>
          </w:tcPr>
          <w:p w:rsidR="000141FB" w:rsidRPr="005022D5" w:rsidRDefault="005022D5" w:rsidP="004820D7">
            <w:pPr>
              <w:rPr>
                <w:rFonts w:ascii="Arial Narrow" w:hAnsi="Arial Narrow" w:cs="Arial"/>
                <w:color w:val="000000"/>
                <w:sz w:val="20"/>
                <w:szCs w:val="20"/>
              </w:rPr>
            </w:pPr>
            <w:r>
              <w:rPr>
                <w:rFonts w:ascii="Arial Narrow" w:hAnsi="Arial Narrow" w:cs="Arial"/>
                <w:b/>
                <w:noProof/>
                <w:color w:val="000000"/>
                <w:sz w:val="20"/>
                <w:szCs w:val="20"/>
                <w:highlight w:val="black"/>
              </w:rPr>
              <w:t>''''''''''''''' '''''' '''''''''''''''' '''''''''''''''''' '''''''''''''' ''''''''''''''''''''''''''''''</w:t>
            </w:r>
            <w:r>
              <w:rPr>
                <w:rFonts w:ascii="Arial Narrow" w:hAnsi="Arial Narrow" w:cs="Arial"/>
                <w:noProof/>
                <w:color w:val="000000"/>
                <w:sz w:val="20"/>
                <w:szCs w:val="20"/>
                <w:highlight w:val="black"/>
              </w:rPr>
              <w:t xml:space="preserve"> '''''''''''''''''''''' ''''''''''''''''''''''''''' '''''''''''''''''' '''''''''''''''''''' '''''''''' '''''''''''''' '''''''''''''''''''''''''''''''''' '''' '''''''''''' ''''''''''''''''' ''''''''''' '''''''''''''''''''''</w:t>
            </w:r>
          </w:p>
          <w:p w:rsidR="000141FB" w:rsidRPr="005022D5" w:rsidRDefault="005022D5" w:rsidP="004820D7">
            <w:pPr>
              <w:rPr>
                <w:rFonts w:ascii="Arial Narrow" w:hAnsi="Arial Narrow" w:cs="Arial"/>
                <w:color w:val="000000"/>
                <w:sz w:val="20"/>
                <w:szCs w:val="20"/>
                <w:highlight w:val="black"/>
              </w:rPr>
            </w:pPr>
            <w:r>
              <w:rPr>
                <w:rFonts w:ascii="Arial Narrow" w:hAnsi="Arial Narrow" w:cs="Arial"/>
                <w:noProof/>
                <w:color w:val="000000"/>
                <w:sz w:val="20"/>
                <w:szCs w:val="20"/>
                <w:highlight w:val="black"/>
              </w:rPr>
              <w:t>'''''''''' ''''' '''''''''''''</w:t>
            </w:r>
          </w:p>
        </w:tc>
        <w:tc>
          <w:tcPr>
            <w:tcW w:w="2126" w:type="dxa"/>
            <w:gridSpan w:val="2"/>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76"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842" w:type="dxa"/>
            <w:vAlign w:val="center"/>
          </w:tcPr>
          <w:p w:rsidR="000141FB" w:rsidRPr="005022D5" w:rsidRDefault="005022D5" w:rsidP="004820D7">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bl>
    <w:p w:rsidR="000141FB" w:rsidRPr="009B6653" w:rsidRDefault="000141FB" w:rsidP="00226682">
      <w:pPr>
        <w:pStyle w:val="TableFooter"/>
        <w:ind w:firstLine="720"/>
        <w:rPr>
          <w:rFonts w:ascii="Arial" w:hAnsi="Arial"/>
          <w:i/>
          <w:szCs w:val="18"/>
        </w:rPr>
      </w:pPr>
      <w:r w:rsidRPr="009B6653">
        <w:rPr>
          <w:rFonts w:ascii="Arial" w:hAnsi="Arial"/>
          <w:i/>
          <w:szCs w:val="18"/>
        </w:rPr>
        <w:t>Italics represent additional sensitivity analysis conducted during the evaluation</w:t>
      </w:r>
    </w:p>
    <w:p w:rsidR="000141FB" w:rsidRPr="009B6653" w:rsidRDefault="00226682" w:rsidP="00226682">
      <w:pPr>
        <w:pStyle w:val="TableFooter"/>
        <w:ind w:left="720"/>
        <w:rPr>
          <w:rFonts w:ascii="Arial" w:hAnsi="Arial"/>
          <w:szCs w:val="18"/>
        </w:rPr>
      </w:pPr>
      <w:r w:rsidRPr="009B6653">
        <w:rPr>
          <w:rFonts w:ascii="Arial" w:hAnsi="Arial"/>
          <w:szCs w:val="18"/>
        </w:rPr>
        <w:t>^</w:t>
      </w:r>
      <w:r w:rsidR="000141FB" w:rsidRPr="009B6653">
        <w:rPr>
          <w:rFonts w:ascii="Arial" w:hAnsi="Arial"/>
          <w:szCs w:val="18"/>
        </w:rPr>
        <w:t xml:space="preserve">See Table D.1 of Attachment D for the effective prices of </w:t>
      </w:r>
      <w:proofErr w:type="spellStart"/>
      <w:r w:rsidR="000141FB" w:rsidRPr="009B6653">
        <w:rPr>
          <w:rFonts w:ascii="Arial" w:hAnsi="Arial"/>
          <w:szCs w:val="18"/>
        </w:rPr>
        <w:t>ruxolitinib</w:t>
      </w:r>
      <w:proofErr w:type="spellEnd"/>
      <w:r w:rsidR="000141FB" w:rsidRPr="009B6653">
        <w:rPr>
          <w:rFonts w:ascii="Arial" w:hAnsi="Arial"/>
          <w:szCs w:val="18"/>
        </w:rPr>
        <w:t xml:space="preserve"> after application of the rebates.</w:t>
      </w:r>
    </w:p>
    <w:p w:rsidR="000141FB" w:rsidRPr="005022D5" w:rsidRDefault="005022D5" w:rsidP="00226682">
      <w:pPr>
        <w:pStyle w:val="TableFooter"/>
        <w:ind w:left="720"/>
        <w:rPr>
          <w:rFonts w:ascii="Arial" w:hAnsi="Arial"/>
          <w:szCs w:val="18"/>
          <w:highlight w:val="black"/>
        </w:rPr>
      </w:pPr>
      <w:r>
        <w:rPr>
          <w:rFonts w:ascii="Arial" w:hAnsi="Arial"/>
          <w:noProof/>
          <w:color w:val="000000"/>
          <w:szCs w:val="18"/>
          <w:highlight w:val="black"/>
        </w:rPr>
        <w:t>''''''''''''' ''''''''''''''''''''''' '''''''''' '''''''''''''''''''''''' '''''''''''''''''''''''''''' ''''''''''' '''''''''''''''''''' ''''''''' '''''''''''''''''''''''''''' '''''''''''''''''''''''''''''' '''''''''''' '''''''''''''''''''' ''''''''''''''''''''''' '''''''''' '''''''''''''''''''''''' '''''''''''''''''''''''''''' '''''''''' '''''''''''''''''''' ''''''''''''''''''''''' ''''''''''' ''''''''''''''''''''''''''''''' '''''''''''''''''''''''''''' '''''''''''' ''''''''''''''''''''''''''''''''' ''''''''' ''''''''''''''''''''''' ''''''''''''''''''''''''''''' ''''''''''' '''''''''''''''''''''''''''''''''''' ''''''''' '''''''''''''''''''''''''' '''''''''''''''''''''''''''''''</w:t>
      </w:r>
    </w:p>
    <w:p w:rsidR="000141FB" w:rsidRPr="005022D5" w:rsidRDefault="005022D5" w:rsidP="00226682">
      <w:pPr>
        <w:pStyle w:val="TableFooter"/>
        <w:ind w:firstLine="720"/>
        <w:rPr>
          <w:rFonts w:ascii="Arial" w:hAnsi="Arial"/>
          <w:sz w:val="20"/>
          <w:highlight w:val="black"/>
        </w:rPr>
      </w:pPr>
      <w:r>
        <w:rPr>
          <w:rFonts w:ascii="Arial" w:hAnsi="Arial"/>
          <w:noProof/>
          <w:color w:val="000000"/>
          <w:szCs w:val="18"/>
          <w:highlight w:val="black"/>
        </w:rPr>
        <w:t>'''''''''''''''''' ''''''''''''' ''''''''' ''''' ''''''' '''''''''''''''''''''''''''''''</w:t>
      </w:r>
    </w:p>
    <w:p w:rsidR="000141FB" w:rsidRPr="009B6653" w:rsidRDefault="000141FB" w:rsidP="00933604">
      <w:pPr>
        <w:pStyle w:val="ListParagraph"/>
        <w:ind w:left="360"/>
        <w:jc w:val="both"/>
        <w:rPr>
          <w:rFonts w:ascii="Arial" w:hAnsi="Arial"/>
          <w:sz w:val="22"/>
          <w:szCs w:val="22"/>
        </w:rPr>
      </w:pPr>
    </w:p>
    <w:p w:rsidR="000A2D6C" w:rsidRPr="009B6653" w:rsidRDefault="000A2D6C" w:rsidP="000A2D6C">
      <w:pPr>
        <w:pStyle w:val="ListParagraph"/>
        <w:numPr>
          <w:ilvl w:val="1"/>
          <w:numId w:val="25"/>
        </w:numPr>
        <w:rPr>
          <w:rFonts w:ascii="Arial" w:hAnsi="Arial"/>
          <w:sz w:val="22"/>
          <w:szCs w:val="22"/>
        </w:rPr>
      </w:pPr>
      <w:r w:rsidRPr="009B6653">
        <w:rPr>
          <w:rFonts w:ascii="Arial" w:hAnsi="Arial"/>
          <w:sz w:val="22"/>
          <w:szCs w:val="22"/>
        </w:rPr>
        <w:t xml:space="preserve">The modelled economic evaluation is based on the results of COMFORT I per protocol analyses. As pointed out by the resubmission the point estimates generated </w:t>
      </w:r>
      <w:r w:rsidRPr="009B6653">
        <w:rPr>
          <w:rFonts w:ascii="Arial" w:hAnsi="Arial"/>
          <w:sz w:val="22"/>
          <w:szCs w:val="22"/>
        </w:rPr>
        <w:lastRenderedPageBreak/>
        <w:t>by the Week 144 Kaplan Meier analyses for the ITT and PP populations should represent a lower and upper bound for the likely OS benefit.  Thus ESC considered the base case ICER of $</w:t>
      </w:r>
      <w:r w:rsidR="00236898">
        <w:rPr>
          <w:rFonts w:ascii="Arial" w:hAnsi="Arial"/>
          <w:sz w:val="22"/>
          <w:szCs w:val="22"/>
        </w:rPr>
        <w:t>75,000 – $10</w:t>
      </w:r>
      <w:r w:rsidR="004C126C">
        <w:rPr>
          <w:rFonts w:ascii="Arial" w:hAnsi="Arial"/>
          <w:sz w:val="22"/>
          <w:szCs w:val="22"/>
        </w:rPr>
        <w:t>5</w:t>
      </w:r>
      <w:r w:rsidR="00236898">
        <w:rPr>
          <w:rFonts w:ascii="Arial" w:hAnsi="Arial"/>
          <w:sz w:val="22"/>
          <w:szCs w:val="22"/>
        </w:rPr>
        <w:t>,000</w:t>
      </w:r>
      <w:r w:rsidRPr="009B6653">
        <w:rPr>
          <w:rFonts w:ascii="Arial" w:hAnsi="Arial"/>
          <w:sz w:val="22"/>
          <w:szCs w:val="22"/>
        </w:rPr>
        <w:t xml:space="preserve"> would represent an optimistic scenario</w:t>
      </w:r>
      <w:r w:rsidR="00226682" w:rsidRPr="009B6653">
        <w:rPr>
          <w:rFonts w:ascii="Arial" w:hAnsi="Arial"/>
          <w:sz w:val="22"/>
          <w:szCs w:val="22"/>
        </w:rPr>
        <w:t>.</w:t>
      </w:r>
      <w:r w:rsidRPr="009B6653">
        <w:rPr>
          <w:rFonts w:ascii="Arial" w:hAnsi="Arial"/>
          <w:sz w:val="22"/>
          <w:szCs w:val="22"/>
        </w:rPr>
        <w:t xml:space="preserve"> </w:t>
      </w:r>
    </w:p>
    <w:p w:rsidR="000A2D6C" w:rsidRPr="009B6653" w:rsidRDefault="000A2D6C" w:rsidP="000A2D6C">
      <w:pPr>
        <w:pStyle w:val="ListParagraph"/>
        <w:jc w:val="both"/>
        <w:rPr>
          <w:rFonts w:ascii="Arial" w:hAnsi="Arial"/>
          <w:sz w:val="22"/>
          <w:szCs w:val="22"/>
        </w:rPr>
      </w:pPr>
    </w:p>
    <w:p w:rsidR="00A90EBD" w:rsidRPr="009B6653" w:rsidRDefault="00A90EBD" w:rsidP="00A90EBD">
      <w:pPr>
        <w:pStyle w:val="ListParagraph"/>
        <w:numPr>
          <w:ilvl w:val="1"/>
          <w:numId w:val="25"/>
        </w:numPr>
        <w:jc w:val="both"/>
        <w:rPr>
          <w:rFonts w:ascii="Arial" w:hAnsi="Arial"/>
          <w:sz w:val="22"/>
          <w:szCs w:val="22"/>
        </w:rPr>
      </w:pPr>
      <w:r w:rsidRPr="009B6653">
        <w:rPr>
          <w:rFonts w:ascii="Arial" w:hAnsi="Arial"/>
          <w:sz w:val="22"/>
          <w:szCs w:val="22"/>
        </w:rPr>
        <w:t xml:space="preserve">Given the high clinical need for treatments for patients with </w:t>
      </w:r>
      <w:proofErr w:type="spellStart"/>
      <w:r w:rsidR="006972E2" w:rsidRPr="009B6653">
        <w:rPr>
          <w:rFonts w:ascii="Arial" w:hAnsi="Arial"/>
          <w:sz w:val="22"/>
          <w:szCs w:val="22"/>
        </w:rPr>
        <w:t>myelofibrosis</w:t>
      </w:r>
      <w:proofErr w:type="spellEnd"/>
      <w:r w:rsidRPr="009B6653">
        <w:rPr>
          <w:rFonts w:ascii="Arial" w:hAnsi="Arial"/>
          <w:sz w:val="22"/>
          <w:szCs w:val="22"/>
        </w:rPr>
        <w:t xml:space="preserve">, the PBAC was </w:t>
      </w:r>
      <w:r w:rsidR="003131F8" w:rsidRPr="009B6653">
        <w:rPr>
          <w:rFonts w:ascii="Arial" w:hAnsi="Arial"/>
          <w:sz w:val="22"/>
          <w:szCs w:val="22"/>
        </w:rPr>
        <w:t xml:space="preserve">concerned about exclusion of patients </w:t>
      </w:r>
      <w:r w:rsidRPr="009B6653">
        <w:rPr>
          <w:rFonts w:ascii="Arial" w:hAnsi="Arial"/>
          <w:sz w:val="22"/>
          <w:szCs w:val="22"/>
        </w:rPr>
        <w:t xml:space="preserve">who </w:t>
      </w:r>
      <w:r w:rsidR="003131F8" w:rsidRPr="009B6653">
        <w:rPr>
          <w:rFonts w:ascii="Arial" w:hAnsi="Arial"/>
          <w:sz w:val="22"/>
          <w:szCs w:val="22"/>
        </w:rPr>
        <w:t xml:space="preserve">may </w:t>
      </w:r>
      <w:r w:rsidRPr="009B6653">
        <w:rPr>
          <w:rFonts w:ascii="Arial" w:hAnsi="Arial"/>
          <w:sz w:val="22"/>
          <w:szCs w:val="22"/>
        </w:rPr>
        <w:t xml:space="preserve">benefit from </w:t>
      </w:r>
      <w:proofErr w:type="spellStart"/>
      <w:r w:rsidRPr="009B6653">
        <w:rPr>
          <w:rFonts w:ascii="Arial" w:hAnsi="Arial"/>
          <w:sz w:val="22"/>
          <w:szCs w:val="22"/>
        </w:rPr>
        <w:t>ruxol</w:t>
      </w:r>
      <w:r w:rsidR="00DA3216" w:rsidRPr="009B6653">
        <w:rPr>
          <w:rFonts w:ascii="Arial" w:hAnsi="Arial"/>
          <w:sz w:val="22"/>
          <w:szCs w:val="22"/>
        </w:rPr>
        <w:t>i</w:t>
      </w:r>
      <w:r w:rsidRPr="009B6653">
        <w:rPr>
          <w:rFonts w:ascii="Arial" w:hAnsi="Arial"/>
          <w:sz w:val="22"/>
          <w:szCs w:val="22"/>
        </w:rPr>
        <w:t>tinib</w:t>
      </w:r>
      <w:proofErr w:type="spellEnd"/>
      <w:r w:rsidR="003131F8" w:rsidRPr="009B6653">
        <w:rPr>
          <w:rFonts w:ascii="Arial" w:hAnsi="Arial"/>
          <w:sz w:val="22"/>
          <w:szCs w:val="22"/>
        </w:rPr>
        <w:t xml:space="preserve"> through a restriction that reflected only trial-based entry criteria</w:t>
      </w:r>
      <w:r w:rsidRPr="009B6653">
        <w:rPr>
          <w:rFonts w:ascii="Arial" w:hAnsi="Arial"/>
          <w:sz w:val="22"/>
          <w:szCs w:val="22"/>
        </w:rPr>
        <w:t xml:space="preserve">. </w:t>
      </w:r>
      <w:r w:rsidR="003131F8" w:rsidRPr="009B6653">
        <w:rPr>
          <w:rFonts w:ascii="Arial" w:hAnsi="Arial"/>
          <w:sz w:val="22"/>
          <w:szCs w:val="22"/>
        </w:rPr>
        <w:t xml:space="preserve">Given the lack of specific treatment for </w:t>
      </w:r>
      <w:proofErr w:type="spellStart"/>
      <w:r w:rsidR="006972E2" w:rsidRPr="009B6653">
        <w:rPr>
          <w:rFonts w:ascii="Arial" w:hAnsi="Arial"/>
          <w:sz w:val="22"/>
          <w:szCs w:val="22"/>
        </w:rPr>
        <w:t>myelofibrosis</w:t>
      </w:r>
      <w:proofErr w:type="spellEnd"/>
      <w:r w:rsidR="003131F8" w:rsidRPr="009B6653">
        <w:rPr>
          <w:rFonts w:ascii="Arial" w:hAnsi="Arial"/>
          <w:sz w:val="22"/>
          <w:szCs w:val="22"/>
        </w:rPr>
        <w:t xml:space="preserve"> and the clinical need of symptomatic patients with poor prognosis, </w:t>
      </w:r>
      <w:r w:rsidRPr="009B6653">
        <w:rPr>
          <w:rFonts w:ascii="Arial" w:hAnsi="Arial"/>
          <w:sz w:val="22"/>
          <w:szCs w:val="22"/>
        </w:rPr>
        <w:t xml:space="preserve">PBAC was willing to consider </w:t>
      </w:r>
      <w:r w:rsidR="003131F8" w:rsidRPr="009B6653">
        <w:rPr>
          <w:rFonts w:ascii="Arial" w:hAnsi="Arial"/>
          <w:sz w:val="22"/>
          <w:szCs w:val="22"/>
        </w:rPr>
        <w:t xml:space="preserve">that </w:t>
      </w:r>
      <w:r w:rsidRPr="009B6653">
        <w:rPr>
          <w:rFonts w:ascii="Arial" w:hAnsi="Arial"/>
          <w:sz w:val="22"/>
          <w:szCs w:val="22"/>
        </w:rPr>
        <w:t>an ICER in a higher than usual range (up to $70,000/QALY)</w:t>
      </w:r>
      <w:r w:rsidR="003131F8" w:rsidRPr="009B6653">
        <w:rPr>
          <w:rFonts w:ascii="Arial" w:hAnsi="Arial"/>
          <w:sz w:val="22"/>
          <w:szCs w:val="22"/>
        </w:rPr>
        <w:t xml:space="preserve"> may be justified.</w:t>
      </w:r>
      <w:r w:rsidRPr="009B6653">
        <w:rPr>
          <w:rFonts w:ascii="Arial" w:hAnsi="Arial"/>
          <w:sz w:val="22"/>
          <w:szCs w:val="22"/>
        </w:rPr>
        <w:t xml:space="preserve"> </w:t>
      </w:r>
      <w:r w:rsidR="003131F8" w:rsidRPr="009B6653">
        <w:rPr>
          <w:rFonts w:ascii="Arial" w:hAnsi="Arial"/>
          <w:sz w:val="22"/>
          <w:szCs w:val="22"/>
        </w:rPr>
        <w:t>H</w:t>
      </w:r>
      <w:r w:rsidRPr="009B6653">
        <w:rPr>
          <w:rFonts w:ascii="Arial" w:hAnsi="Arial"/>
          <w:sz w:val="22"/>
          <w:szCs w:val="22"/>
        </w:rPr>
        <w:t xml:space="preserve">owever, the current </w:t>
      </w:r>
      <w:r w:rsidR="0034275B" w:rsidRPr="009B6653">
        <w:rPr>
          <w:rFonts w:ascii="Arial" w:hAnsi="Arial"/>
          <w:sz w:val="22"/>
          <w:szCs w:val="22"/>
        </w:rPr>
        <w:t>submission</w:t>
      </w:r>
      <w:r w:rsidRPr="009B6653">
        <w:rPr>
          <w:rFonts w:ascii="Arial" w:hAnsi="Arial"/>
          <w:sz w:val="22"/>
          <w:szCs w:val="22"/>
        </w:rPr>
        <w:t xml:space="preserve"> base case of $</w:t>
      </w:r>
      <w:r w:rsidR="00236898">
        <w:rPr>
          <w:rFonts w:ascii="Arial" w:hAnsi="Arial"/>
          <w:sz w:val="22"/>
          <w:szCs w:val="22"/>
        </w:rPr>
        <w:t>75,000 – $10</w:t>
      </w:r>
      <w:r w:rsidR="004C126C">
        <w:rPr>
          <w:rFonts w:ascii="Arial" w:hAnsi="Arial"/>
          <w:sz w:val="22"/>
          <w:szCs w:val="22"/>
        </w:rPr>
        <w:t>5</w:t>
      </w:r>
      <w:r w:rsidR="00236898">
        <w:rPr>
          <w:rFonts w:ascii="Arial" w:hAnsi="Arial"/>
          <w:sz w:val="22"/>
          <w:szCs w:val="22"/>
        </w:rPr>
        <w:t>,000</w:t>
      </w:r>
      <w:r w:rsidR="0034275B" w:rsidRPr="009B6653">
        <w:rPr>
          <w:rFonts w:ascii="Arial" w:hAnsi="Arial"/>
          <w:sz w:val="22"/>
          <w:szCs w:val="22"/>
        </w:rPr>
        <w:t>/QALY</w:t>
      </w:r>
      <w:r w:rsidRPr="009B6653">
        <w:rPr>
          <w:rFonts w:ascii="Arial" w:hAnsi="Arial"/>
          <w:sz w:val="22"/>
          <w:szCs w:val="22"/>
        </w:rPr>
        <w:t xml:space="preserve"> was optimistic and </w:t>
      </w:r>
      <w:r w:rsidR="003131F8" w:rsidRPr="009B6653">
        <w:rPr>
          <w:rFonts w:ascii="Arial" w:hAnsi="Arial"/>
          <w:sz w:val="22"/>
          <w:szCs w:val="22"/>
        </w:rPr>
        <w:t xml:space="preserve">unacceptable </w:t>
      </w:r>
      <w:r w:rsidR="00DA3216" w:rsidRPr="009B6653">
        <w:rPr>
          <w:rFonts w:ascii="Arial" w:hAnsi="Arial"/>
          <w:sz w:val="22"/>
          <w:szCs w:val="22"/>
        </w:rPr>
        <w:t xml:space="preserve">as a basis for concluding that </w:t>
      </w:r>
      <w:proofErr w:type="spellStart"/>
      <w:r w:rsidR="00DA3216" w:rsidRPr="009B6653">
        <w:rPr>
          <w:rFonts w:ascii="Arial" w:hAnsi="Arial"/>
          <w:sz w:val="22"/>
          <w:szCs w:val="22"/>
        </w:rPr>
        <w:t>ruxolitinib</w:t>
      </w:r>
      <w:proofErr w:type="spellEnd"/>
      <w:r w:rsidR="00DA3216" w:rsidRPr="009B6653">
        <w:rPr>
          <w:rFonts w:ascii="Arial" w:hAnsi="Arial"/>
          <w:sz w:val="22"/>
          <w:szCs w:val="22"/>
        </w:rPr>
        <w:t xml:space="preserve"> was cost-effective</w:t>
      </w:r>
      <w:r w:rsidR="003131F8" w:rsidRPr="009B6653">
        <w:rPr>
          <w:rFonts w:ascii="Arial" w:hAnsi="Arial"/>
          <w:sz w:val="22"/>
          <w:szCs w:val="22"/>
        </w:rPr>
        <w:t xml:space="preserve">. Consequently, </w:t>
      </w:r>
      <w:r w:rsidRPr="009B6653">
        <w:rPr>
          <w:rFonts w:ascii="Arial" w:hAnsi="Arial"/>
          <w:sz w:val="22"/>
          <w:szCs w:val="22"/>
        </w:rPr>
        <w:t>the PBS listing could not be recommended</w:t>
      </w:r>
      <w:r w:rsidR="0034275B" w:rsidRPr="009B6653">
        <w:rPr>
          <w:rFonts w:ascii="Arial" w:hAnsi="Arial"/>
          <w:sz w:val="22"/>
          <w:szCs w:val="22"/>
        </w:rPr>
        <w:t xml:space="preserve"> at th</w:t>
      </w:r>
      <w:r w:rsidR="003131F8" w:rsidRPr="009B6653">
        <w:rPr>
          <w:rFonts w:ascii="Arial" w:hAnsi="Arial"/>
          <w:sz w:val="22"/>
          <w:szCs w:val="22"/>
        </w:rPr>
        <w:t>e price offered by the sponsor</w:t>
      </w:r>
      <w:r w:rsidR="0034275B" w:rsidRPr="009B6653">
        <w:rPr>
          <w:rFonts w:ascii="Arial" w:hAnsi="Arial"/>
          <w:sz w:val="22"/>
          <w:szCs w:val="22"/>
        </w:rPr>
        <w:t>.</w:t>
      </w:r>
    </w:p>
    <w:p w:rsidR="00A90EBD" w:rsidRPr="009B6653" w:rsidRDefault="00A90EBD" w:rsidP="00A90EBD">
      <w:pPr>
        <w:pStyle w:val="ListParagraph"/>
        <w:jc w:val="both"/>
        <w:rPr>
          <w:rFonts w:ascii="Arial" w:hAnsi="Arial"/>
          <w:sz w:val="22"/>
          <w:szCs w:val="22"/>
        </w:rPr>
      </w:pPr>
    </w:p>
    <w:p w:rsidR="00725AA3" w:rsidRPr="0007072F" w:rsidRDefault="001E0AFA" w:rsidP="00725AA3">
      <w:pPr>
        <w:pStyle w:val="ListParagraph"/>
        <w:numPr>
          <w:ilvl w:val="1"/>
          <w:numId w:val="25"/>
        </w:numPr>
        <w:jc w:val="both"/>
        <w:rPr>
          <w:rFonts w:ascii="Arial" w:hAnsi="Arial"/>
          <w:sz w:val="22"/>
          <w:szCs w:val="22"/>
        </w:rPr>
      </w:pPr>
      <w:r w:rsidRPr="0007072F">
        <w:rPr>
          <w:rFonts w:ascii="Arial" w:hAnsi="Arial"/>
          <w:sz w:val="22"/>
          <w:szCs w:val="22"/>
        </w:rPr>
        <w:t>The drug cost/patient/year based on the average cost in the COMFORT trial was $</w:t>
      </w:r>
      <w:r w:rsidR="005022D5">
        <w:rPr>
          <w:rFonts w:ascii="Arial" w:hAnsi="Arial"/>
          <w:noProof/>
          <w:color w:val="000000"/>
          <w:sz w:val="22"/>
          <w:szCs w:val="22"/>
          <w:highlight w:val="black"/>
        </w:rPr>
        <w:t>''''''''''''''''''</w:t>
      </w:r>
      <w:r w:rsidRPr="0007072F">
        <w:rPr>
          <w:rFonts w:ascii="Arial" w:hAnsi="Arial"/>
          <w:sz w:val="22"/>
          <w:szCs w:val="22"/>
        </w:rPr>
        <w:t xml:space="preserve"> over 48 weeks. </w:t>
      </w:r>
    </w:p>
    <w:p w:rsidR="00BB7EC3" w:rsidRPr="002952BE" w:rsidRDefault="00BB7EC3" w:rsidP="002952BE">
      <w:pPr>
        <w:ind w:left="720" w:hanging="720"/>
        <w:jc w:val="both"/>
        <w:rPr>
          <w:rFonts w:ascii="Arial" w:hAnsi="Arial"/>
          <w:sz w:val="22"/>
          <w:szCs w:val="22"/>
        </w:rPr>
      </w:pPr>
    </w:p>
    <w:p w:rsidR="00BB7EC3" w:rsidRPr="009B6653" w:rsidRDefault="00BB7EC3" w:rsidP="00BB7EC3">
      <w:pPr>
        <w:pStyle w:val="ListParagraph"/>
        <w:ind w:left="709"/>
        <w:jc w:val="both"/>
        <w:rPr>
          <w:rFonts w:ascii="Arial" w:hAnsi="Arial"/>
          <w:i/>
          <w:sz w:val="22"/>
          <w:szCs w:val="22"/>
        </w:rPr>
      </w:pPr>
      <w:r w:rsidRPr="009B6653">
        <w:rPr>
          <w:rFonts w:ascii="Arial" w:hAnsi="Arial"/>
          <w:i/>
          <w:sz w:val="22"/>
          <w:szCs w:val="22"/>
        </w:rPr>
        <w:t>For more detail on PBAC’s view, see section 7 “PBAC outcome”</w:t>
      </w:r>
    </w:p>
    <w:p w:rsidR="00F57A6D" w:rsidRPr="009B6653" w:rsidRDefault="00F57A6D" w:rsidP="00882085">
      <w:pPr>
        <w:ind w:left="720" w:hanging="720"/>
        <w:jc w:val="both"/>
        <w:rPr>
          <w:rFonts w:ascii="Arial" w:hAnsi="Arial"/>
          <w:sz w:val="22"/>
          <w:szCs w:val="22"/>
        </w:rPr>
      </w:pPr>
    </w:p>
    <w:p w:rsidR="005A3173" w:rsidRPr="009B6653" w:rsidRDefault="005A3173" w:rsidP="00882085">
      <w:pPr>
        <w:ind w:left="720" w:hanging="720"/>
        <w:jc w:val="both"/>
        <w:rPr>
          <w:rFonts w:ascii="Arial" w:hAnsi="Arial"/>
          <w:b/>
          <w:i/>
          <w:sz w:val="22"/>
          <w:szCs w:val="22"/>
        </w:rPr>
      </w:pPr>
      <w:r w:rsidRPr="009B6653">
        <w:rPr>
          <w:rFonts w:ascii="Arial" w:hAnsi="Arial"/>
          <w:b/>
          <w:i/>
          <w:sz w:val="22"/>
          <w:szCs w:val="22"/>
        </w:rPr>
        <w:t>Estimated PBS usage &amp; financial implications</w:t>
      </w:r>
    </w:p>
    <w:p w:rsidR="001275DB" w:rsidRPr="009B6653" w:rsidRDefault="001275DB" w:rsidP="00933604"/>
    <w:p w:rsidR="00725AA3" w:rsidRPr="009B6653" w:rsidRDefault="00910E51" w:rsidP="001E0AFA">
      <w:pPr>
        <w:pStyle w:val="ListParagraph"/>
        <w:numPr>
          <w:ilvl w:val="1"/>
          <w:numId w:val="25"/>
        </w:numPr>
        <w:jc w:val="both"/>
        <w:rPr>
          <w:rFonts w:ascii="Arial" w:hAnsi="Arial"/>
          <w:sz w:val="22"/>
          <w:szCs w:val="22"/>
        </w:rPr>
      </w:pPr>
      <w:r w:rsidRPr="009B6653">
        <w:rPr>
          <w:rFonts w:ascii="Arial" w:hAnsi="Arial"/>
          <w:sz w:val="22"/>
          <w:szCs w:val="22"/>
        </w:rPr>
        <w:t>This</w:t>
      </w:r>
      <w:r w:rsidR="001E0AFA" w:rsidRPr="009B6653">
        <w:rPr>
          <w:rFonts w:ascii="Arial" w:hAnsi="Arial"/>
          <w:sz w:val="22"/>
          <w:szCs w:val="22"/>
        </w:rPr>
        <w:t xml:space="preserve"> submission was considered by the D</w:t>
      </w:r>
      <w:r w:rsidR="00606AAF" w:rsidRPr="009B6653">
        <w:rPr>
          <w:rFonts w:ascii="Arial" w:hAnsi="Arial"/>
          <w:sz w:val="22"/>
          <w:szCs w:val="22"/>
        </w:rPr>
        <w:t>rug Utilisation Sub Committee (DUSC)</w:t>
      </w:r>
      <w:r w:rsidR="001E0AFA" w:rsidRPr="009B6653">
        <w:rPr>
          <w:rFonts w:ascii="Arial" w:hAnsi="Arial"/>
          <w:sz w:val="22"/>
          <w:szCs w:val="22"/>
        </w:rPr>
        <w:t>.</w:t>
      </w:r>
    </w:p>
    <w:p w:rsidR="001275DB" w:rsidRPr="009B6653" w:rsidRDefault="001275DB" w:rsidP="00933604">
      <w:pPr>
        <w:rPr>
          <w:rFonts w:ascii="Arial" w:hAnsi="Arial" w:cs="Arial"/>
          <w:sz w:val="22"/>
          <w:szCs w:val="22"/>
        </w:rPr>
      </w:pPr>
    </w:p>
    <w:p w:rsidR="001275DB" w:rsidRPr="009B6653" w:rsidRDefault="005E6513" w:rsidP="00933604">
      <w:pPr>
        <w:pStyle w:val="ListParagraph"/>
        <w:numPr>
          <w:ilvl w:val="1"/>
          <w:numId w:val="25"/>
        </w:numPr>
        <w:jc w:val="both"/>
        <w:rPr>
          <w:rFonts w:ascii="Arial" w:hAnsi="Arial"/>
          <w:sz w:val="22"/>
          <w:szCs w:val="22"/>
        </w:rPr>
      </w:pPr>
      <w:r w:rsidRPr="009B6653">
        <w:rPr>
          <w:rFonts w:ascii="Arial" w:hAnsi="Arial" w:cs="Arial"/>
          <w:color w:val="000000"/>
          <w:sz w:val="22"/>
          <w:szCs w:val="22"/>
        </w:rPr>
        <w:t>The estimated PBS usage and financial implications are presented in the table</w:t>
      </w:r>
      <w:r w:rsidR="008B563B" w:rsidRPr="009B6653">
        <w:rPr>
          <w:rFonts w:ascii="Arial" w:hAnsi="Arial" w:cs="Arial"/>
          <w:color w:val="000000"/>
          <w:sz w:val="22"/>
          <w:szCs w:val="22"/>
        </w:rPr>
        <w:t>s</w:t>
      </w:r>
      <w:r w:rsidRPr="009B6653">
        <w:rPr>
          <w:rFonts w:ascii="Arial" w:hAnsi="Arial" w:cs="Arial"/>
          <w:color w:val="000000"/>
          <w:sz w:val="22"/>
          <w:szCs w:val="22"/>
        </w:rPr>
        <w:t xml:space="preserve"> below</w:t>
      </w:r>
      <w:r w:rsidR="001275DB" w:rsidRPr="009B6653">
        <w:rPr>
          <w:rFonts w:ascii="Arial" w:hAnsi="Arial" w:cs="Arial"/>
          <w:sz w:val="22"/>
          <w:szCs w:val="22"/>
        </w:rPr>
        <w:t>.</w:t>
      </w:r>
      <w:r w:rsidR="001275DB" w:rsidRPr="009B6653">
        <w:rPr>
          <w:rFonts w:ascii="Arial" w:hAnsi="Arial"/>
          <w:color w:val="00B050"/>
          <w:sz w:val="22"/>
          <w:szCs w:val="22"/>
        </w:rPr>
        <w:t xml:space="preserve"> </w:t>
      </w:r>
    </w:p>
    <w:p w:rsidR="001275DB" w:rsidRPr="009B6653" w:rsidRDefault="001275DB" w:rsidP="001275DB">
      <w:pPr>
        <w:rPr>
          <w:rFonts w:ascii="Arial Narrow" w:hAnsi="Arial Narrow"/>
          <w:sz w:val="20"/>
          <w:szCs w:val="20"/>
        </w:rPr>
      </w:pPr>
      <w:bookmarkStart w:id="0" w:name="_Toc341702034"/>
      <w:bookmarkStart w:id="1" w:name="_Toc380679759"/>
      <w:bookmarkStart w:id="2" w:name="_Toc380742616"/>
      <w:bookmarkStart w:id="3" w:name="_Toc380746183"/>
      <w:bookmarkStart w:id="4" w:name="_Toc380746309"/>
      <w:bookmarkStart w:id="5" w:name="_Toc380746590"/>
    </w:p>
    <w:p w:rsidR="005E6513" w:rsidRPr="009B6653" w:rsidRDefault="005E6513" w:rsidP="008818D5">
      <w:pPr>
        <w:ind w:firstLine="720"/>
        <w:jc w:val="both"/>
        <w:rPr>
          <w:rFonts w:ascii="Arial" w:hAnsi="Arial" w:cs="Arial"/>
          <w:b/>
          <w:snapToGrid w:val="0"/>
          <w:sz w:val="20"/>
          <w:szCs w:val="20"/>
          <w:lang w:eastAsia="en-US"/>
        </w:rPr>
      </w:pPr>
      <w:r w:rsidRPr="009B6653">
        <w:rPr>
          <w:rFonts w:ascii="Arial" w:hAnsi="Arial" w:cs="Arial"/>
          <w:b/>
          <w:snapToGrid w:val="0"/>
          <w:sz w:val="20"/>
          <w:szCs w:val="20"/>
          <w:lang w:eastAsia="en-US"/>
        </w:rPr>
        <w:t xml:space="preserve">Base case estimates (adjusted during evaluation) </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Base case estimates (adjusted during evaluation) "/>
      </w:tblPr>
      <w:tblGrid>
        <w:gridCol w:w="2693"/>
        <w:gridCol w:w="993"/>
        <w:gridCol w:w="1134"/>
        <w:gridCol w:w="1134"/>
        <w:gridCol w:w="1134"/>
        <w:gridCol w:w="1275"/>
      </w:tblGrid>
      <w:tr w:rsidR="005E6513" w:rsidRPr="009B6653" w:rsidTr="002952BE">
        <w:trPr>
          <w:trHeight w:val="211"/>
          <w:tblHeader/>
        </w:trPr>
        <w:tc>
          <w:tcPr>
            <w:tcW w:w="2693" w:type="dxa"/>
            <w:shd w:val="clear" w:color="auto" w:fill="auto"/>
            <w:vAlign w:val="center"/>
          </w:tcPr>
          <w:p w:rsidR="005E6513" w:rsidRPr="009B6653" w:rsidRDefault="005E6513" w:rsidP="005E6513">
            <w:pPr>
              <w:tabs>
                <w:tab w:val="left" w:pos="142"/>
              </w:tabs>
              <w:rPr>
                <w:rFonts w:ascii="Arial Narrow" w:hAnsi="Arial Narrow" w:cs="Arial"/>
                <w:b/>
                <w:snapToGrid w:val="0"/>
                <w:sz w:val="20"/>
                <w:szCs w:val="20"/>
                <w:lang w:eastAsia="en-US"/>
              </w:rPr>
            </w:pPr>
          </w:p>
        </w:tc>
        <w:tc>
          <w:tcPr>
            <w:tcW w:w="993" w:type="dxa"/>
            <w:shd w:val="clear" w:color="auto" w:fill="auto"/>
            <w:vAlign w:val="center"/>
          </w:tcPr>
          <w:p w:rsidR="005E6513" w:rsidRPr="009B6653" w:rsidRDefault="005E6513" w:rsidP="005E6513">
            <w:pPr>
              <w:jc w:val="center"/>
              <w:rPr>
                <w:rFonts w:ascii="Arial Narrow" w:hAnsi="Arial Narrow" w:cs="Arial"/>
                <w:b/>
                <w:snapToGrid w:val="0"/>
                <w:sz w:val="20"/>
                <w:szCs w:val="20"/>
                <w:lang w:eastAsia="en-US"/>
              </w:rPr>
            </w:pPr>
            <w:r w:rsidRPr="009B6653">
              <w:rPr>
                <w:rFonts w:ascii="Arial Narrow" w:hAnsi="Arial Narrow" w:cs="Arial"/>
                <w:b/>
                <w:snapToGrid w:val="0"/>
                <w:sz w:val="20"/>
                <w:szCs w:val="20"/>
                <w:lang w:eastAsia="en-US"/>
              </w:rPr>
              <w:t>Year 1</w:t>
            </w:r>
          </w:p>
        </w:tc>
        <w:tc>
          <w:tcPr>
            <w:tcW w:w="1134" w:type="dxa"/>
            <w:shd w:val="clear" w:color="auto" w:fill="auto"/>
            <w:vAlign w:val="center"/>
          </w:tcPr>
          <w:p w:rsidR="005E6513" w:rsidRPr="009B6653" w:rsidRDefault="005E6513" w:rsidP="005E6513">
            <w:pPr>
              <w:jc w:val="center"/>
              <w:rPr>
                <w:rFonts w:ascii="Arial Narrow" w:hAnsi="Arial Narrow" w:cs="Arial"/>
                <w:b/>
                <w:snapToGrid w:val="0"/>
                <w:sz w:val="20"/>
                <w:szCs w:val="20"/>
                <w:lang w:eastAsia="en-US"/>
              </w:rPr>
            </w:pPr>
            <w:r w:rsidRPr="009B6653">
              <w:rPr>
                <w:rFonts w:ascii="Arial Narrow" w:hAnsi="Arial Narrow" w:cs="Arial"/>
                <w:b/>
                <w:snapToGrid w:val="0"/>
                <w:sz w:val="20"/>
                <w:szCs w:val="20"/>
                <w:lang w:eastAsia="en-US"/>
              </w:rPr>
              <w:t>Year 2</w:t>
            </w:r>
          </w:p>
        </w:tc>
        <w:tc>
          <w:tcPr>
            <w:tcW w:w="1134" w:type="dxa"/>
            <w:shd w:val="clear" w:color="auto" w:fill="auto"/>
            <w:vAlign w:val="center"/>
          </w:tcPr>
          <w:p w:rsidR="005E6513" w:rsidRPr="009B6653" w:rsidRDefault="005E6513" w:rsidP="005E6513">
            <w:pPr>
              <w:jc w:val="center"/>
              <w:rPr>
                <w:rFonts w:ascii="Arial Narrow" w:hAnsi="Arial Narrow" w:cs="Arial"/>
                <w:b/>
                <w:snapToGrid w:val="0"/>
                <w:sz w:val="20"/>
                <w:szCs w:val="20"/>
                <w:lang w:eastAsia="en-US"/>
              </w:rPr>
            </w:pPr>
            <w:r w:rsidRPr="009B6653">
              <w:rPr>
                <w:rFonts w:ascii="Arial Narrow" w:hAnsi="Arial Narrow" w:cs="Arial"/>
                <w:b/>
                <w:snapToGrid w:val="0"/>
                <w:sz w:val="20"/>
                <w:szCs w:val="20"/>
                <w:lang w:eastAsia="en-US"/>
              </w:rPr>
              <w:t>Year 3</w:t>
            </w:r>
          </w:p>
        </w:tc>
        <w:tc>
          <w:tcPr>
            <w:tcW w:w="1134" w:type="dxa"/>
            <w:shd w:val="clear" w:color="auto" w:fill="auto"/>
            <w:vAlign w:val="center"/>
          </w:tcPr>
          <w:p w:rsidR="005E6513" w:rsidRPr="009B6653" w:rsidRDefault="005E6513" w:rsidP="005E6513">
            <w:pPr>
              <w:jc w:val="center"/>
              <w:rPr>
                <w:rFonts w:ascii="Arial Narrow" w:hAnsi="Arial Narrow" w:cs="Arial"/>
                <w:b/>
                <w:snapToGrid w:val="0"/>
                <w:sz w:val="20"/>
                <w:szCs w:val="20"/>
                <w:lang w:eastAsia="en-US"/>
              </w:rPr>
            </w:pPr>
            <w:r w:rsidRPr="009B6653">
              <w:rPr>
                <w:rFonts w:ascii="Arial Narrow" w:hAnsi="Arial Narrow" w:cs="Arial"/>
                <w:b/>
                <w:snapToGrid w:val="0"/>
                <w:sz w:val="20"/>
                <w:szCs w:val="20"/>
                <w:lang w:eastAsia="en-US"/>
              </w:rPr>
              <w:t>Year 4</w:t>
            </w:r>
          </w:p>
        </w:tc>
        <w:tc>
          <w:tcPr>
            <w:tcW w:w="1275" w:type="dxa"/>
            <w:shd w:val="clear" w:color="auto" w:fill="auto"/>
            <w:vAlign w:val="center"/>
          </w:tcPr>
          <w:p w:rsidR="005E6513" w:rsidRPr="009B6653" w:rsidRDefault="005E6513" w:rsidP="005E6513">
            <w:pPr>
              <w:jc w:val="center"/>
              <w:rPr>
                <w:rFonts w:ascii="Arial Narrow" w:hAnsi="Arial Narrow" w:cs="Arial"/>
                <w:b/>
                <w:snapToGrid w:val="0"/>
                <w:sz w:val="20"/>
                <w:szCs w:val="20"/>
                <w:lang w:eastAsia="en-US"/>
              </w:rPr>
            </w:pPr>
            <w:r w:rsidRPr="009B6653">
              <w:rPr>
                <w:rFonts w:ascii="Arial Narrow" w:hAnsi="Arial Narrow" w:cs="Arial"/>
                <w:b/>
                <w:snapToGrid w:val="0"/>
                <w:sz w:val="20"/>
                <w:szCs w:val="20"/>
                <w:lang w:eastAsia="en-US"/>
              </w:rPr>
              <w:t>Year 5</w:t>
            </w:r>
          </w:p>
        </w:tc>
      </w:tr>
      <w:tr w:rsidR="005E6513" w:rsidRPr="009B6653" w:rsidTr="008818D5">
        <w:trPr>
          <w:trHeight w:val="227"/>
        </w:trPr>
        <w:tc>
          <w:tcPr>
            <w:tcW w:w="8363" w:type="dxa"/>
            <w:gridSpan w:val="6"/>
            <w:shd w:val="clear" w:color="auto" w:fill="auto"/>
            <w:vAlign w:val="center"/>
          </w:tcPr>
          <w:p w:rsidR="005E6513" w:rsidRPr="009B6653" w:rsidRDefault="005E6513" w:rsidP="005E6513">
            <w:pPr>
              <w:rPr>
                <w:rFonts w:ascii="Arial Narrow" w:hAnsi="Arial Narrow" w:cs="Arial"/>
                <w:b/>
                <w:bCs/>
                <w:snapToGrid w:val="0"/>
                <w:color w:val="000000"/>
                <w:sz w:val="20"/>
                <w:szCs w:val="20"/>
                <w:lang w:eastAsia="en-US"/>
              </w:rPr>
            </w:pPr>
            <w:r w:rsidRPr="009B6653">
              <w:rPr>
                <w:rFonts w:ascii="Arial Narrow" w:hAnsi="Arial Narrow" w:cs="Arial"/>
                <w:b/>
                <w:bCs/>
                <w:snapToGrid w:val="0"/>
                <w:color w:val="000000"/>
                <w:sz w:val="20"/>
                <w:szCs w:val="20"/>
                <w:lang w:eastAsia="en-US"/>
              </w:rPr>
              <w:t xml:space="preserve">Estimated use of </w:t>
            </w:r>
            <w:proofErr w:type="spellStart"/>
            <w:r w:rsidRPr="009B6653">
              <w:rPr>
                <w:rFonts w:ascii="Arial Narrow" w:hAnsi="Arial Narrow" w:cs="Arial"/>
                <w:b/>
                <w:bCs/>
                <w:snapToGrid w:val="0"/>
                <w:color w:val="000000"/>
                <w:sz w:val="20"/>
                <w:szCs w:val="20"/>
                <w:lang w:eastAsia="en-US"/>
              </w:rPr>
              <w:t>ruxolitinib</w:t>
            </w:r>
            <w:proofErr w:type="spellEnd"/>
            <w:r w:rsidRPr="009B6653">
              <w:rPr>
                <w:rFonts w:ascii="Arial Narrow" w:hAnsi="Arial Narrow" w:cs="Arial"/>
                <w:b/>
                <w:bCs/>
                <w:snapToGrid w:val="0"/>
                <w:color w:val="000000"/>
                <w:sz w:val="20"/>
                <w:szCs w:val="20"/>
                <w:lang w:eastAsia="en-US"/>
              </w:rPr>
              <w:t xml:space="preserve"> and financial implication to PBS/RPBS</w:t>
            </w:r>
          </w:p>
        </w:tc>
      </w:tr>
      <w:tr w:rsidR="00B454E2" w:rsidRPr="009B6653" w:rsidTr="002952BE">
        <w:trPr>
          <w:trHeight w:val="211"/>
        </w:trPr>
        <w:tc>
          <w:tcPr>
            <w:tcW w:w="2693" w:type="dxa"/>
            <w:shd w:val="clear" w:color="auto" w:fill="EEECE1"/>
            <w:vAlign w:val="center"/>
          </w:tcPr>
          <w:p w:rsidR="005E6513" w:rsidRPr="0007072F" w:rsidRDefault="005E6513" w:rsidP="005E6513">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Total eligible population (trial based restriction)</w:t>
            </w:r>
          </w:p>
        </w:tc>
        <w:tc>
          <w:tcPr>
            <w:tcW w:w="993"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B454E2" w:rsidRPr="009B6653" w:rsidTr="002952BE">
        <w:trPr>
          <w:trHeight w:val="211"/>
        </w:trPr>
        <w:tc>
          <w:tcPr>
            <w:tcW w:w="2693" w:type="dxa"/>
            <w:shd w:val="clear" w:color="auto" w:fill="EEECE1"/>
            <w:vAlign w:val="center"/>
          </w:tcPr>
          <w:p w:rsidR="005E6513" w:rsidRPr="0007072F" w:rsidRDefault="005E6513" w:rsidP="005E6513">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Total eligible population (clinical need based restriction)</w:t>
            </w:r>
          </w:p>
        </w:tc>
        <w:tc>
          <w:tcPr>
            <w:tcW w:w="993"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B454E2" w:rsidRPr="009B6653" w:rsidTr="002952BE">
        <w:trPr>
          <w:trHeight w:val="227"/>
        </w:trPr>
        <w:tc>
          <w:tcPr>
            <w:tcW w:w="2693" w:type="dxa"/>
            <w:shd w:val="clear" w:color="auto" w:fill="EEECE1"/>
            <w:vAlign w:val="center"/>
          </w:tcPr>
          <w:p w:rsidR="005E6513" w:rsidRPr="0007072F" w:rsidRDefault="005E6513" w:rsidP="005E6513">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Total patients likely to be treated (trial based restriction)</w:t>
            </w:r>
          </w:p>
        </w:tc>
        <w:tc>
          <w:tcPr>
            <w:tcW w:w="993"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B454E2" w:rsidRPr="009B6653" w:rsidTr="002952BE">
        <w:trPr>
          <w:trHeight w:val="211"/>
        </w:trPr>
        <w:tc>
          <w:tcPr>
            <w:tcW w:w="2693" w:type="dxa"/>
            <w:shd w:val="clear" w:color="auto" w:fill="EEECE1"/>
            <w:vAlign w:val="center"/>
          </w:tcPr>
          <w:p w:rsidR="005E6513" w:rsidRPr="0007072F" w:rsidRDefault="005E6513" w:rsidP="005E6513">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Total patients likely to be treated (clinical need based restriction)</w:t>
            </w:r>
          </w:p>
        </w:tc>
        <w:tc>
          <w:tcPr>
            <w:tcW w:w="993"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B454E2" w:rsidRPr="009B6653" w:rsidTr="002952BE">
        <w:trPr>
          <w:trHeight w:val="211"/>
        </w:trPr>
        <w:tc>
          <w:tcPr>
            <w:tcW w:w="2693" w:type="dxa"/>
            <w:shd w:val="clear" w:color="auto" w:fill="auto"/>
            <w:vAlign w:val="center"/>
          </w:tcPr>
          <w:p w:rsidR="005E6513" w:rsidRPr="0007072F" w:rsidRDefault="005E6513" w:rsidP="005E6513">
            <w:pPr>
              <w:tabs>
                <w:tab w:val="left" w:pos="114"/>
              </w:tabs>
              <w:ind w:firstLine="114"/>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Symptomatic int-1 patients</w:t>
            </w:r>
          </w:p>
        </w:tc>
        <w:tc>
          <w:tcPr>
            <w:tcW w:w="993" w:type="dxa"/>
            <w:shd w:val="clear" w:color="auto" w:fill="auto"/>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auto"/>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auto"/>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auto"/>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auto"/>
            <w:vAlign w:val="center"/>
          </w:tcPr>
          <w:p w:rsidR="005E6513" w:rsidRPr="005022D5" w:rsidRDefault="005022D5" w:rsidP="005E6513">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7377DB" w:rsidRPr="009B6653" w:rsidRDefault="008818D5" w:rsidP="007377DB">
      <w:pPr>
        <w:tabs>
          <w:tab w:val="left" w:pos="180"/>
        </w:tabs>
        <w:ind w:left="170" w:hanging="170"/>
        <w:jc w:val="both"/>
        <w:rPr>
          <w:rFonts w:ascii="Arial Narrow" w:hAnsi="Arial Narrow"/>
          <w:snapToGrid w:val="0"/>
          <w:sz w:val="18"/>
          <w:szCs w:val="18"/>
          <w:lang w:eastAsia="en-US"/>
        </w:rPr>
      </w:pPr>
      <w:r w:rsidRPr="009B6653">
        <w:rPr>
          <w:rFonts w:ascii="Arial" w:hAnsi="Arial" w:cs="Arial"/>
          <w:i/>
          <w:snapToGrid w:val="0"/>
          <w:sz w:val="18"/>
          <w:szCs w:val="18"/>
          <w:lang w:eastAsia="en-US"/>
        </w:rPr>
        <w:tab/>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Base case estimates (adjusted during evaluation) "/>
      </w:tblPr>
      <w:tblGrid>
        <w:gridCol w:w="2693"/>
        <w:gridCol w:w="993"/>
        <w:gridCol w:w="1134"/>
        <w:gridCol w:w="1134"/>
        <w:gridCol w:w="1134"/>
        <w:gridCol w:w="1275"/>
      </w:tblGrid>
      <w:tr w:rsidR="007377DB" w:rsidRPr="007377DB" w:rsidTr="00D75569">
        <w:trPr>
          <w:trHeight w:val="211"/>
        </w:trPr>
        <w:tc>
          <w:tcPr>
            <w:tcW w:w="2693" w:type="dxa"/>
            <w:shd w:val="clear" w:color="auto" w:fill="EEECE1"/>
            <w:vAlign w:val="center"/>
          </w:tcPr>
          <w:p w:rsidR="007377DB" w:rsidRPr="005022D5" w:rsidRDefault="007377DB" w:rsidP="00D75569">
            <w:pPr>
              <w:tabs>
                <w:tab w:val="left" w:pos="142"/>
              </w:tabs>
              <w:rPr>
                <w:rFonts w:ascii="Arial Narrow" w:hAnsi="Arial Narrow" w:cs="Arial"/>
                <w:snapToGrid w:val="0"/>
                <w:sz w:val="20"/>
                <w:szCs w:val="20"/>
                <w:lang w:eastAsia="en-US"/>
              </w:rPr>
            </w:pPr>
            <w:proofErr w:type="spellStart"/>
            <w:r w:rsidRPr="0007072F">
              <w:rPr>
                <w:rFonts w:ascii="Arial Narrow" w:hAnsi="Arial Narrow" w:cs="Arial"/>
                <w:snapToGrid w:val="0"/>
                <w:sz w:val="20"/>
                <w:szCs w:val="20"/>
                <w:lang w:eastAsia="en-US"/>
              </w:rPr>
              <w:t>Ruxolitinib</w:t>
            </w:r>
            <w:proofErr w:type="spellEnd"/>
            <w:r w:rsidRPr="0007072F">
              <w:rPr>
                <w:rFonts w:ascii="Arial Narrow" w:hAnsi="Arial Narrow" w:cs="Arial"/>
                <w:snapToGrid w:val="0"/>
                <w:sz w:val="20"/>
                <w:szCs w:val="20"/>
                <w:lang w:eastAsia="en-US"/>
              </w:rPr>
              <w:t xml:space="preserve"> scripts (trial based restriction)</w:t>
            </w:r>
          </w:p>
        </w:tc>
        <w:tc>
          <w:tcPr>
            <w:tcW w:w="993"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227"/>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vertAlign w:val="superscript"/>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r>
      <w:tr w:rsidR="007377DB" w:rsidRPr="007377DB" w:rsidTr="00D75569">
        <w:trPr>
          <w:trHeight w:val="211"/>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vertAlign w:val="superscript"/>
                <w:lang w:eastAsia="en-US"/>
              </w:rPr>
            </w:pPr>
            <w:r>
              <w:rPr>
                <w:rFonts w:ascii="Arial Narrow" w:hAnsi="Arial Narrow" w:cs="Arial"/>
                <w:noProof/>
                <w:snapToGrid w:val="0"/>
                <w:color w:val="000000"/>
                <w:sz w:val="20"/>
                <w:szCs w:val="20"/>
                <w:highlight w:val="black"/>
                <w:lang w:eastAsia="en-US"/>
              </w:rPr>
              <w:t>'''''''''' '''''''''' ''''''''''''''''</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r>
      <w:tr w:rsidR="007377DB" w:rsidRPr="007377DB" w:rsidTr="00D75569">
        <w:trPr>
          <w:trHeight w:val="211"/>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r>
      <w:tr w:rsidR="007377DB" w:rsidRPr="007377DB" w:rsidTr="00D75569">
        <w:trPr>
          <w:trHeight w:val="227"/>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vertAlign w:val="superscript"/>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zh-TW"/>
              </w:rPr>
              <w:t>''''''''''''</w:t>
            </w:r>
          </w:p>
        </w:tc>
      </w:tr>
      <w:tr w:rsidR="007377DB" w:rsidRPr="007377DB" w:rsidTr="00D75569">
        <w:trPr>
          <w:trHeight w:val="211"/>
        </w:trPr>
        <w:tc>
          <w:tcPr>
            <w:tcW w:w="2693" w:type="dxa"/>
            <w:shd w:val="clear" w:color="auto" w:fill="EEECE1"/>
            <w:vAlign w:val="center"/>
          </w:tcPr>
          <w:p w:rsidR="007377DB" w:rsidRPr="005022D5" w:rsidRDefault="007377DB" w:rsidP="00D75569">
            <w:pPr>
              <w:tabs>
                <w:tab w:val="left" w:pos="142"/>
              </w:tabs>
              <w:rPr>
                <w:rFonts w:ascii="Arial Narrow" w:hAnsi="Arial Narrow" w:cs="Arial"/>
                <w:snapToGrid w:val="0"/>
                <w:sz w:val="20"/>
                <w:szCs w:val="20"/>
                <w:lang w:eastAsia="en-US"/>
              </w:rPr>
            </w:pPr>
            <w:proofErr w:type="spellStart"/>
            <w:r w:rsidRPr="0007072F">
              <w:rPr>
                <w:rFonts w:ascii="Arial Narrow" w:hAnsi="Arial Narrow" w:cs="Arial"/>
                <w:snapToGrid w:val="0"/>
                <w:sz w:val="20"/>
                <w:szCs w:val="20"/>
                <w:lang w:eastAsia="en-US"/>
              </w:rPr>
              <w:t>Ruxolitinib</w:t>
            </w:r>
            <w:proofErr w:type="spellEnd"/>
            <w:r w:rsidRPr="0007072F">
              <w:rPr>
                <w:rFonts w:ascii="Arial Narrow" w:hAnsi="Arial Narrow" w:cs="Arial"/>
                <w:snapToGrid w:val="0"/>
                <w:sz w:val="20"/>
                <w:szCs w:val="20"/>
                <w:lang w:eastAsia="en-US"/>
              </w:rPr>
              <w:t xml:space="preserve"> scripts (clinical need based restriction)</w:t>
            </w:r>
          </w:p>
        </w:tc>
        <w:tc>
          <w:tcPr>
            <w:tcW w:w="993"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211"/>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r>
      <w:tr w:rsidR="007377DB" w:rsidRPr="007377DB" w:rsidTr="00D75569">
        <w:trPr>
          <w:trHeight w:val="227"/>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r>
      <w:tr w:rsidR="007377DB" w:rsidRPr="007377DB" w:rsidTr="00D75569">
        <w:trPr>
          <w:trHeight w:val="211"/>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r>
      <w:tr w:rsidR="007377DB" w:rsidRPr="007377DB" w:rsidTr="00D75569">
        <w:trPr>
          <w:trHeight w:val="211"/>
        </w:trPr>
        <w:tc>
          <w:tcPr>
            <w:tcW w:w="2693" w:type="dxa"/>
            <w:shd w:val="clear" w:color="auto" w:fill="auto"/>
            <w:vAlign w:val="center"/>
          </w:tcPr>
          <w:p w:rsidR="007377DB" w:rsidRPr="005022D5" w:rsidRDefault="005022D5" w:rsidP="00D75569">
            <w:pPr>
              <w:tabs>
                <w:tab w:val="left" w:pos="142"/>
              </w:tabs>
              <w:ind w:left="152"/>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93"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134"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c>
          <w:tcPr>
            <w:tcW w:w="1275" w:type="dxa"/>
            <w:shd w:val="clear" w:color="auto" w:fill="auto"/>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val="en-US" w:eastAsia="en-US"/>
              </w:rPr>
              <w:t>''''''''''''</w:t>
            </w:r>
          </w:p>
        </w:tc>
      </w:tr>
      <w:tr w:rsidR="007377DB" w:rsidRPr="007377DB" w:rsidTr="00D75569">
        <w:trPr>
          <w:trHeight w:val="438"/>
        </w:trPr>
        <w:tc>
          <w:tcPr>
            <w:tcW w:w="2693" w:type="dxa"/>
            <w:shd w:val="clear" w:color="auto" w:fill="EEECE1" w:themeFill="background2"/>
            <w:vAlign w:val="center"/>
          </w:tcPr>
          <w:p w:rsidR="007377DB" w:rsidRPr="0007072F" w:rsidRDefault="007377DB" w:rsidP="00D75569">
            <w:pPr>
              <w:tabs>
                <w:tab w:val="left" w:pos="142"/>
              </w:tabs>
              <w:rPr>
                <w:rFonts w:ascii="Arial Narrow" w:hAnsi="Arial Narrow" w:cs="Arial"/>
                <w:snapToGrid w:val="0"/>
                <w:sz w:val="20"/>
                <w:szCs w:val="20"/>
                <w:vertAlign w:val="superscript"/>
                <w:lang w:eastAsia="en-US"/>
              </w:rPr>
            </w:pPr>
            <w:proofErr w:type="spellStart"/>
            <w:r w:rsidRPr="0007072F">
              <w:rPr>
                <w:rFonts w:ascii="Arial Narrow" w:hAnsi="Arial Narrow" w:cs="Arial"/>
                <w:snapToGrid w:val="0"/>
                <w:sz w:val="20"/>
                <w:szCs w:val="20"/>
                <w:lang w:eastAsia="en-US"/>
              </w:rPr>
              <w:t>Ruxolitinib</w:t>
            </w:r>
            <w:proofErr w:type="spellEnd"/>
            <w:r w:rsidRPr="0007072F">
              <w:rPr>
                <w:rFonts w:ascii="Arial Narrow" w:hAnsi="Arial Narrow" w:cs="Arial"/>
                <w:snapToGrid w:val="0"/>
                <w:sz w:val="20"/>
                <w:szCs w:val="20"/>
                <w:lang w:eastAsia="en-US"/>
              </w:rPr>
              <w:t xml:space="preserve"> cost^ to PBS/</w:t>
            </w:r>
            <w:proofErr w:type="spellStart"/>
            <w:r w:rsidRPr="0007072F">
              <w:rPr>
                <w:rFonts w:ascii="Arial Narrow" w:hAnsi="Arial Narrow" w:cs="Arial"/>
                <w:snapToGrid w:val="0"/>
                <w:sz w:val="20"/>
                <w:szCs w:val="20"/>
                <w:lang w:eastAsia="en-US"/>
              </w:rPr>
              <w:t>RPBS</w:t>
            </w:r>
            <w:r w:rsidRPr="0007072F">
              <w:rPr>
                <w:rFonts w:ascii="Arial Narrow" w:hAnsi="Arial Narrow" w:cs="Arial"/>
                <w:snapToGrid w:val="0"/>
                <w:sz w:val="20"/>
                <w:szCs w:val="20"/>
                <w:vertAlign w:val="superscript"/>
                <w:lang w:eastAsia="en-US"/>
              </w:rPr>
              <w:t>d</w:t>
            </w:r>
            <w:proofErr w:type="spellEnd"/>
          </w:p>
          <w:p w:rsidR="007377DB" w:rsidRPr="005022D5" w:rsidRDefault="007377DB" w:rsidP="00D75569">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(trial based restriction)</w:t>
            </w:r>
          </w:p>
        </w:tc>
        <w:tc>
          <w:tcPr>
            <w:tcW w:w="993"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438"/>
        </w:trPr>
        <w:tc>
          <w:tcPr>
            <w:tcW w:w="2693" w:type="dxa"/>
            <w:shd w:val="clear" w:color="auto" w:fill="EEECE1" w:themeFill="background2"/>
            <w:vAlign w:val="center"/>
          </w:tcPr>
          <w:p w:rsidR="007377DB" w:rsidRPr="0007072F" w:rsidRDefault="007377DB" w:rsidP="00D75569">
            <w:pPr>
              <w:tabs>
                <w:tab w:val="left" w:pos="142"/>
              </w:tabs>
              <w:rPr>
                <w:rFonts w:ascii="Arial Narrow" w:hAnsi="Arial Narrow" w:cs="Arial"/>
                <w:snapToGrid w:val="0"/>
                <w:sz w:val="20"/>
                <w:szCs w:val="20"/>
                <w:vertAlign w:val="superscript"/>
                <w:lang w:eastAsia="en-US"/>
              </w:rPr>
            </w:pPr>
            <w:proofErr w:type="spellStart"/>
            <w:r w:rsidRPr="0007072F">
              <w:rPr>
                <w:rFonts w:ascii="Arial Narrow" w:hAnsi="Arial Narrow" w:cs="Arial"/>
                <w:snapToGrid w:val="0"/>
                <w:sz w:val="20"/>
                <w:szCs w:val="20"/>
                <w:lang w:eastAsia="en-US"/>
              </w:rPr>
              <w:t>Ruxolitinib</w:t>
            </w:r>
            <w:proofErr w:type="spellEnd"/>
            <w:r w:rsidRPr="0007072F">
              <w:rPr>
                <w:rFonts w:ascii="Arial Narrow" w:hAnsi="Arial Narrow" w:cs="Arial"/>
                <w:snapToGrid w:val="0"/>
                <w:sz w:val="20"/>
                <w:szCs w:val="20"/>
                <w:lang w:eastAsia="en-US"/>
              </w:rPr>
              <w:t xml:space="preserve"> cost to PBS/</w:t>
            </w:r>
            <w:proofErr w:type="spellStart"/>
            <w:r w:rsidRPr="0007072F">
              <w:rPr>
                <w:rFonts w:ascii="Arial Narrow" w:hAnsi="Arial Narrow" w:cs="Arial"/>
                <w:snapToGrid w:val="0"/>
                <w:sz w:val="20"/>
                <w:szCs w:val="20"/>
                <w:lang w:eastAsia="en-US"/>
              </w:rPr>
              <w:t>RPBS</w:t>
            </w:r>
            <w:r w:rsidRPr="0007072F">
              <w:rPr>
                <w:rFonts w:ascii="Arial Narrow" w:hAnsi="Arial Narrow" w:cs="Arial"/>
                <w:snapToGrid w:val="0"/>
                <w:sz w:val="20"/>
                <w:szCs w:val="20"/>
                <w:vertAlign w:val="superscript"/>
                <w:lang w:eastAsia="en-US"/>
              </w:rPr>
              <w:t>d</w:t>
            </w:r>
            <w:proofErr w:type="spellEnd"/>
          </w:p>
          <w:p w:rsidR="007377DB" w:rsidRPr="005022D5" w:rsidRDefault="007377DB" w:rsidP="00D75569">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 xml:space="preserve">(clinical need based restriction) </w:t>
            </w:r>
          </w:p>
        </w:tc>
        <w:tc>
          <w:tcPr>
            <w:tcW w:w="993"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7377DB" w:rsidRPr="007377DB" w:rsidRDefault="007377DB" w:rsidP="007377DB">
      <w:pPr>
        <w:tabs>
          <w:tab w:val="left" w:pos="180"/>
        </w:tabs>
        <w:ind w:left="170" w:hanging="170"/>
        <w:jc w:val="both"/>
        <w:rPr>
          <w:rFonts w:ascii="Arial Narrow" w:hAnsi="Arial Narrow"/>
          <w:snapToGrid w:val="0"/>
          <w:sz w:val="18"/>
          <w:szCs w:val="18"/>
          <w:lang w:eastAsia="en-US"/>
        </w:rPr>
      </w:pPr>
    </w:p>
    <w:p w:rsidR="00910E51" w:rsidRPr="009B6653" w:rsidRDefault="007377DB" w:rsidP="007377DB">
      <w:pPr>
        <w:ind w:firstLine="720"/>
        <w:jc w:val="both"/>
        <w:rPr>
          <w:snapToGrid w:val="0"/>
          <w:szCs w:val="20"/>
          <w:lang w:eastAsia="en-US"/>
        </w:rPr>
      </w:pPr>
      <w:r w:rsidRPr="009B6653">
        <w:rPr>
          <w:rFonts w:ascii="Arial Narrow" w:hAnsi="Arial Narrow" w:cs="Arial"/>
          <w:b/>
          <w:snapToGrid w:val="0"/>
          <w:color w:val="000000"/>
          <w:sz w:val="20"/>
          <w:szCs w:val="20"/>
          <w:lang w:eastAsia="en-US"/>
        </w:rPr>
        <w:t>Estimated financial implications for government health budgets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Base case estimates (adjusted during evaluation) "/>
      </w:tblPr>
      <w:tblGrid>
        <w:gridCol w:w="2693"/>
        <w:gridCol w:w="993"/>
        <w:gridCol w:w="1134"/>
        <w:gridCol w:w="1134"/>
        <w:gridCol w:w="1134"/>
        <w:gridCol w:w="1275"/>
      </w:tblGrid>
      <w:tr w:rsidR="007377DB" w:rsidRPr="007377DB" w:rsidTr="00D75569">
        <w:trPr>
          <w:trHeight w:val="455"/>
        </w:trPr>
        <w:tc>
          <w:tcPr>
            <w:tcW w:w="2693" w:type="dxa"/>
            <w:shd w:val="clear" w:color="auto" w:fill="EEECE1" w:themeFill="background2"/>
            <w:vAlign w:val="center"/>
          </w:tcPr>
          <w:p w:rsidR="007377DB" w:rsidRPr="005022D5" w:rsidRDefault="007377DB" w:rsidP="00D75569">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lastRenderedPageBreak/>
              <w:t>Additional cost to MBS and state governments (trial based restriction</w:t>
            </w:r>
            <w:r w:rsidR="005022D5">
              <w:rPr>
                <w:rFonts w:ascii="Arial Narrow" w:hAnsi="Arial Narrow" w:cs="Arial"/>
                <w:noProof/>
                <w:snapToGrid w:val="0"/>
                <w:color w:val="000000"/>
                <w:sz w:val="20"/>
                <w:szCs w:val="20"/>
                <w:highlight w:val="black"/>
                <w:lang w:eastAsia="en-US"/>
              </w:rPr>
              <w:t>'''</w:t>
            </w:r>
          </w:p>
        </w:tc>
        <w:tc>
          <w:tcPr>
            <w:tcW w:w="993"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438"/>
        </w:trPr>
        <w:tc>
          <w:tcPr>
            <w:tcW w:w="2693" w:type="dxa"/>
            <w:shd w:val="clear" w:color="auto" w:fill="EEECE1" w:themeFill="background2"/>
            <w:vAlign w:val="center"/>
          </w:tcPr>
          <w:p w:rsidR="007377DB" w:rsidRPr="005022D5" w:rsidRDefault="007377DB" w:rsidP="00D75569">
            <w:pPr>
              <w:tabs>
                <w:tab w:val="left" w:pos="142"/>
              </w:tabs>
              <w:rPr>
                <w:rFonts w:ascii="Arial Narrow" w:hAnsi="Arial Narrow" w:cs="Arial"/>
                <w:snapToGrid w:val="0"/>
                <w:sz w:val="20"/>
                <w:szCs w:val="20"/>
                <w:lang w:eastAsia="en-US"/>
              </w:rPr>
            </w:pPr>
            <w:r w:rsidRPr="0007072F">
              <w:rPr>
                <w:rFonts w:ascii="Arial Narrow" w:hAnsi="Arial Narrow" w:cs="Arial"/>
                <w:snapToGrid w:val="0"/>
                <w:sz w:val="20"/>
                <w:szCs w:val="20"/>
                <w:lang w:eastAsia="en-US"/>
              </w:rPr>
              <w:t>Additional cost to MBS and state governments (clinical need based restriction)</w:t>
            </w:r>
          </w:p>
        </w:tc>
        <w:tc>
          <w:tcPr>
            <w:tcW w:w="993"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themeFill="background2"/>
            <w:vAlign w:val="center"/>
          </w:tcPr>
          <w:p w:rsidR="007377DB" w:rsidRPr="005022D5" w:rsidRDefault="005022D5" w:rsidP="00D75569">
            <w:pPr>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211"/>
        </w:trPr>
        <w:tc>
          <w:tcPr>
            <w:tcW w:w="2693" w:type="dxa"/>
            <w:shd w:val="clear" w:color="auto" w:fill="EEECE1"/>
            <w:vAlign w:val="center"/>
          </w:tcPr>
          <w:p w:rsidR="007377DB" w:rsidRPr="005022D5" w:rsidRDefault="007377DB" w:rsidP="00D75569">
            <w:pPr>
              <w:tabs>
                <w:tab w:val="left" w:pos="142"/>
              </w:tabs>
              <w:rPr>
                <w:rFonts w:ascii="Arial Narrow" w:hAnsi="Arial Narrow" w:cs="Arial"/>
                <w:i/>
                <w:snapToGrid w:val="0"/>
                <w:sz w:val="20"/>
                <w:szCs w:val="20"/>
                <w:lang w:eastAsia="en-US"/>
              </w:rPr>
            </w:pPr>
            <w:r w:rsidRPr="0007072F">
              <w:rPr>
                <w:rFonts w:ascii="Arial Narrow" w:hAnsi="Arial Narrow" w:cs="Arial"/>
                <w:i/>
                <w:snapToGrid w:val="0"/>
                <w:sz w:val="20"/>
                <w:szCs w:val="20"/>
                <w:lang w:eastAsia="en-US"/>
              </w:rPr>
              <w:t>Net cost^ to government health budget (trial based restriction)</w:t>
            </w:r>
          </w:p>
        </w:tc>
        <w:tc>
          <w:tcPr>
            <w:tcW w:w="993" w:type="dxa"/>
            <w:shd w:val="clear" w:color="auto" w:fill="EEECE1"/>
            <w:vAlign w:val="bottom"/>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bottom"/>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bottom"/>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4" w:type="dxa"/>
            <w:shd w:val="clear" w:color="auto" w:fill="EEECE1"/>
            <w:vAlign w:val="bottom"/>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275" w:type="dxa"/>
            <w:shd w:val="clear" w:color="auto" w:fill="EEECE1"/>
            <w:vAlign w:val="bottom"/>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377DB" w:rsidRPr="007377DB" w:rsidTr="00D75569">
        <w:trPr>
          <w:trHeight w:val="227"/>
        </w:trPr>
        <w:tc>
          <w:tcPr>
            <w:tcW w:w="2693" w:type="dxa"/>
            <w:shd w:val="clear" w:color="auto" w:fill="EEECE1"/>
            <w:vAlign w:val="center"/>
          </w:tcPr>
          <w:p w:rsidR="007377DB" w:rsidRPr="005022D5" w:rsidRDefault="007377DB" w:rsidP="00D75569">
            <w:pPr>
              <w:tabs>
                <w:tab w:val="left" w:pos="142"/>
              </w:tabs>
              <w:rPr>
                <w:rFonts w:ascii="Arial Narrow" w:hAnsi="Arial Narrow" w:cs="Arial"/>
                <w:i/>
                <w:snapToGrid w:val="0"/>
                <w:sz w:val="20"/>
                <w:szCs w:val="20"/>
                <w:lang w:eastAsia="en-US"/>
              </w:rPr>
            </w:pPr>
            <w:r w:rsidRPr="0007072F">
              <w:rPr>
                <w:rFonts w:ascii="Arial Narrow" w:hAnsi="Arial Narrow" w:cs="Arial"/>
                <w:i/>
                <w:snapToGrid w:val="0"/>
                <w:sz w:val="20"/>
                <w:szCs w:val="20"/>
                <w:lang w:eastAsia="en-US"/>
              </w:rPr>
              <w:t>Net cost^ to government health budget (trial based restriction)</w:t>
            </w:r>
          </w:p>
        </w:tc>
        <w:tc>
          <w:tcPr>
            <w:tcW w:w="993" w:type="dxa"/>
            <w:shd w:val="clear" w:color="auto" w:fill="EEECE1"/>
            <w:vAlign w:val="center"/>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1134" w:type="dxa"/>
            <w:shd w:val="clear" w:color="auto" w:fill="EEECE1"/>
            <w:vAlign w:val="center"/>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1275" w:type="dxa"/>
            <w:shd w:val="clear" w:color="auto" w:fill="EEECE1"/>
            <w:vAlign w:val="center"/>
          </w:tcPr>
          <w:p w:rsidR="007377DB" w:rsidRPr="005022D5" w:rsidRDefault="005022D5" w:rsidP="00D75569">
            <w:pPr>
              <w:jc w:val="center"/>
              <w:rPr>
                <w:rFonts w:ascii="Arial Narrow" w:hAnsi="Arial Narrow" w:cs="Arial"/>
                <w:i/>
                <w:snapToGrid w:val="0"/>
                <w:sz w:val="20"/>
                <w:szCs w:val="20"/>
                <w:highlight w:val="black"/>
                <w:lang w:eastAsia="en-US"/>
              </w:rPr>
            </w:pPr>
            <w:r>
              <w:rPr>
                <w:rFonts w:ascii="Arial Narrow" w:hAnsi="Arial Narrow" w:cs="Arial"/>
                <w:i/>
                <w:noProof/>
                <w:snapToGrid w:val="0"/>
                <w:color w:val="000000"/>
                <w:sz w:val="20"/>
                <w:szCs w:val="20"/>
                <w:highlight w:val="black"/>
                <w:lang w:eastAsia="en-US"/>
              </w:rPr>
              <w:t>''''''''''''''''''''''''''''</w:t>
            </w:r>
          </w:p>
        </w:tc>
      </w:tr>
    </w:tbl>
    <w:p w:rsidR="007377DB" w:rsidRPr="009B6653" w:rsidRDefault="007377DB" w:rsidP="007377DB">
      <w:pPr>
        <w:tabs>
          <w:tab w:val="left" w:pos="180"/>
        </w:tabs>
        <w:ind w:left="170" w:hanging="170"/>
        <w:jc w:val="both"/>
        <w:rPr>
          <w:rFonts w:ascii="Arial" w:hAnsi="Arial" w:cs="Arial"/>
          <w:i/>
          <w:snapToGrid w:val="0"/>
          <w:sz w:val="18"/>
          <w:szCs w:val="18"/>
          <w:lang w:eastAsia="en-US"/>
        </w:rPr>
      </w:pPr>
      <w:r>
        <w:rPr>
          <w:rFonts w:ascii="Arial" w:hAnsi="Arial" w:cs="Arial"/>
          <w:i/>
          <w:snapToGrid w:val="0"/>
          <w:sz w:val="18"/>
          <w:szCs w:val="18"/>
          <w:lang w:eastAsia="en-US"/>
        </w:rPr>
        <w:tab/>
      </w:r>
      <w:r>
        <w:rPr>
          <w:rFonts w:ascii="Arial" w:hAnsi="Arial" w:cs="Arial"/>
          <w:i/>
          <w:snapToGrid w:val="0"/>
          <w:sz w:val="18"/>
          <w:szCs w:val="18"/>
          <w:lang w:eastAsia="en-US"/>
        </w:rPr>
        <w:tab/>
      </w:r>
      <w:r>
        <w:rPr>
          <w:rFonts w:ascii="Arial" w:hAnsi="Arial" w:cs="Arial"/>
          <w:i/>
          <w:snapToGrid w:val="0"/>
          <w:sz w:val="18"/>
          <w:szCs w:val="18"/>
          <w:lang w:eastAsia="en-US"/>
        </w:rPr>
        <w:tab/>
      </w:r>
      <w:r w:rsidRPr="009B6653">
        <w:rPr>
          <w:rFonts w:ascii="Arial" w:hAnsi="Arial" w:cs="Arial"/>
          <w:i/>
          <w:snapToGrid w:val="0"/>
          <w:sz w:val="18"/>
          <w:szCs w:val="18"/>
          <w:lang w:eastAsia="en-US"/>
        </w:rPr>
        <w:t>Source: Table E.2-5, p73 of the commentary</w:t>
      </w:r>
    </w:p>
    <w:p w:rsidR="007377DB" w:rsidRPr="009B6653" w:rsidRDefault="007377DB" w:rsidP="007377DB">
      <w:pPr>
        <w:tabs>
          <w:tab w:val="left" w:pos="180"/>
        </w:tabs>
        <w:ind w:left="720" w:hanging="720"/>
        <w:jc w:val="both"/>
        <w:rPr>
          <w:rFonts w:ascii="Arial" w:hAnsi="Arial" w:cs="Arial"/>
          <w:snapToGrid w:val="0"/>
          <w:sz w:val="18"/>
          <w:szCs w:val="18"/>
          <w:lang w:eastAsia="en-US"/>
        </w:rPr>
      </w:pPr>
      <w:r w:rsidRPr="009B6653">
        <w:rPr>
          <w:rFonts w:ascii="Arial" w:hAnsi="Arial" w:cs="Arial"/>
          <w:i/>
          <w:snapToGrid w:val="0"/>
          <w:sz w:val="18"/>
          <w:szCs w:val="18"/>
          <w:vertAlign w:val="superscript"/>
          <w:lang w:eastAsia="en-US"/>
        </w:rPr>
        <w:tab/>
      </w:r>
      <w:r w:rsidRPr="009B6653">
        <w:rPr>
          <w:rFonts w:ascii="Arial" w:hAnsi="Arial" w:cs="Arial"/>
          <w:i/>
          <w:snapToGrid w:val="0"/>
          <w:sz w:val="18"/>
          <w:szCs w:val="18"/>
          <w:vertAlign w:val="superscript"/>
          <w:lang w:eastAsia="en-US"/>
        </w:rPr>
        <w:tab/>
      </w:r>
      <w:proofErr w:type="spellStart"/>
      <w:r w:rsidRPr="009B6653">
        <w:rPr>
          <w:rFonts w:ascii="Arial" w:hAnsi="Arial" w:cs="Arial"/>
          <w:i/>
          <w:snapToGrid w:val="0"/>
          <w:sz w:val="18"/>
          <w:szCs w:val="18"/>
          <w:vertAlign w:val="superscript"/>
          <w:lang w:eastAsia="en-US"/>
        </w:rPr>
        <w:t>a</w:t>
      </w:r>
      <w:r w:rsidRPr="009B6653">
        <w:rPr>
          <w:rFonts w:ascii="Arial" w:hAnsi="Arial" w:cs="Arial"/>
          <w:i/>
          <w:snapToGrid w:val="0"/>
          <w:sz w:val="18"/>
          <w:szCs w:val="18"/>
          <w:lang w:eastAsia="en-US"/>
        </w:rPr>
        <w:t>used</w:t>
      </w:r>
      <w:proofErr w:type="spellEnd"/>
      <w:r w:rsidRPr="009B6653">
        <w:rPr>
          <w:rFonts w:ascii="Arial" w:hAnsi="Arial" w:cs="Arial"/>
          <w:i/>
          <w:snapToGrid w:val="0"/>
          <w:sz w:val="18"/>
          <w:szCs w:val="18"/>
          <w:lang w:eastAsia="en-US"/>
        </w:rPr>
        <w:t xml:space="preserve"> for delivering 5mg </w:t>
      </w:r>
      <w:proofErr w:type="spellStart"/>
      <w:r w:rsidRPr="009B6653">
        <w:rPr>
          <w:rFonts w:ascii="Arial" w:hAnsi="Arial" w:cs="Arial"/>
          <w:i/>
          <w:snapToGrid w:val="0"/>
          <w:sz w:val="18"/>
          <w:szCs w:val="18"/>
          <w:lang w:eastAsia="en-US"/>
        </w:rPr>
        <w:t>bd</w:t>
      </w:r>
      <w:proofErr w:type="spellEnd"/>
      <w:r w:rsidRPr="009B6653">
        <w:rPr>
          <w:rFonts w:ascii="Arial" w:hAnsi="Arial" w:cs="Arial"/>
          <w:i/>
          <w:snapToGrid w:val="0"/>
          <w:sz w:val="18"/>
          <w:szCs w:val="18"/>
          <w:lang w:eastAsia="en-US"/>
        </w:rPr>
        <w:t xml:space="preserve"> and 25mg </w:t>
      </w:r>
      <w:proofErr w:type="spellStart"/>
      <w:r w:rsidRPr="009B6653">
        <w:rPr>
          <w:rFonts w:ascii="Arial" w:hAnsi="Arial" w:cs="Arial"/>
          <w:i/>
          <w:snapToGrid w:val="0"/>
          <w:sz w:val="18"/>
          <w:szCs w:val="18"/>
          <w:lang w:eastAsia="en-US"/>
        </w:rPr>
        <w:t>bd</w:t>
      </w:r>
      <w:proofErr w:type="spellEnd"/>
      <w:r w:rsidRPr="009B6653">
        <w:rPr>
          <w:rFonts w:ascii="Arial" w:hAnsi="Arial" w:cs="Arial"/>
          <w:i/>
          <w:snapToGrid w:val="0"/>
          <w:sz w:val="18"/>
          <w:szCs w:val="18"/>
          <w:lang w:eastAsia="en-US"/>
        </w:rPr>
        <w:t xml:space="preserve"> dosages  </w:t>
      </w:r>
      <w:r w:rsidRPr="009B6653">
        <w:rPr>
          <w:rFonts w:ascii="Arial" w:hAnsi="Arial" w:cs="Arial"/>
          <w:i/>
          <w:snapToGrid w:val="0"/>
          <w:sz w:val="18"/>
          <w:szCs w:val="18"/>
          <w:vertAlign w:val="superscript"/>
          <w:lang w:eastAsia="en-US"/>
        </w:rPr>
        <w:t>b</w:t>
      </w:r>
      <w:r w:rsidRPr="009B6653">
        <w:rPr>
          <w:rFonts w:ascii="Arial" w:hAnsi="Arial" w:cs="Arial"/>
          <w:i/>
          <w:snapToGrid w:val="0"/>
          <w:sz w:val="18"/>
          <w:szCs w:val="18"/>
          <w:vertAlign w:val="superscript"/>
          <w:lang w:eastAsia="en-US"/>
        </w:rPr>
        <w:tab/>
      </w:r>
      <w:r w:rsidRPr="009B6653">
        <w:rPr>
          <w:rFonts w:ascii="Arial" w:hAnsi="Arial" w:cs="Arial"/>
          <w:i/>
          <w:snapToGrid w:val="0"/>
          <w:sz w:val="18"/>
          <w:szCs w:val="18"/>
          <w:lang w:eastAsia="en-US"/>
        </w:rPr>
        <w:t xml:space="preserve">used for delivering the 10mg </w:t>
      </w:r>
      <w:proofErr w:type="spellStart"/>
      <w:r w:rsidRPr="009B6653">
        <w:rPr>
          <w:rFonts w:ascii="Arial" w:hAnsi="Arial" w:cs="Arial"/>
          <w:i/>
          <w:snapToGrid w:val="0"/>
          <w:sz w:val="18"/>
          <w:szCs w:val="18"/>
          <w:lang w:eastAsia="en-US"/>
        </w:rPr>
        <w:t>bd</w:t>
      </w:r>
      <w:proofErr w:type="spellEnd"/>
      <w:r w:rsidRPr="009B6653">
        <w:rPr>
          <w:rFonts w:ascii="Arial" w:hAnsi="Arial" w:cs="Arial"/>
          <w:i/>
          <w:snapToGrid w:val="0"/>
          <w:sz w:val="18"/>
          <w:szCs w:val="18"/>
          <w:lang w:eastAsia="en-US"/>
        </w:rPr>
        <w:t xml:space="preserve"> dosage  </w:t>
      </w:r>
      <w:proofErr w:type="spellStart"/>
      <w:r w:rsidRPr="009B6653">
        <w:rPr>
          <w:rFonts w:ascii="Arial" w:hAnsi="Arial" w:cs="Arial"/>
          <w:i/>
          <w:snapToGrid w:val="0"/>
          <w:sz w:val="18"/>
          <w:szCs w:val="18"/>
          <w:vertAlign w:val="superscript"/>
          <w:lang w:eastAsia="en-US"/>
        </w:rPr>
        <w:t>c</w:t>
      </w:r>
      <w:r w:rsidRPr="009B6653">
        <w:rPr>
          <w:rFonts w:ascii="Arial" w:hAnsi="Arial" w:cs="Arial"/>
          <w:i/>
          <w:snapToGrid w:val="0"/>
          <w:sz w:val="18"/>
          <w:szCs w:val="18"/>
          <w:lang w:eastAsia="en-US"/>
        </w:rPr>
        <w:t>used</w:t>
      </w:r>
      <w:proofErr w:type="spellEnd"/>
      <w:r w:rsidRPr="009B6653">
        <w:rPr>
          <w:rFonts w:ascii="Arial" w:hAnsi="Arial" w:cs="Arial"/>
          <w:i/>
          <w:snapToGrid w:val="0"/>
          <w:sz w:val="18"/>
          <w:szCs w:val="18"/>
          <w:lang w:eastAsia="en-US"/>
        </w:rPr>
        <w:t xml:space="preserve"> for delivering 20mg </w:t>
      </w:r>
      <w:proofErr w:type="spellStart"/>
      <w:r w:rsidRPr="009B6653">
        <w:rPr>
          <w:rFonts w:ascii="Arial" w:hAnsi="Arial" w:cs="Arial"/>
          <w:i/>
          <w:snapToGrid w:val="0"/>
          <w:sz w:val="18"/>
          <w:szCs w:val="18"/>
          <w:lang w:eastAsia="en-US"/>
        </w:rPr>
        <w:t>bd</w:t>
      </w:r>
      <w:proofErr w:type="spellEnd"/>
      <w:r w:rsidRPr="009B6653">
        <w:rPr>
          <w:rFonts w:ascii="Arial" w:hAnsi="Arial" w:cs="Arial"/>
          <w:i/>
          <w:snapToGrid w:val="0"/>
          <w:sz w:val="18"/>
          <w:szCs w:val="18"/>
          <w:lang w:eastAsia="en-US"/>
        </w:rPr>
        <w:t xml:space="preserve"> and 25mg </w:t>
      </w:r>
      <w:proofErr w:type="spellStart"/>
      <w:r w:rsidRPr="009B6653">
        <w:rPr>
          <w:rFonts w:ascii="Arial" w:hAnsi="Arial" w:cs="Arial"/>
          <w:i/>
          <w:snapToGrid w:val="0"/>
          <w:sz w:val="18"/>
          <w:szCs w:val="18"/>
          <w:lang w:eastAsia="en-US"/>
        </w:rPr>
        <w:t>bd</w:t>
      </w:r>
      <w:proofErr w:type="spellEnd"/>
      <w:r w:rsidRPr="009B6653">
        <w:rPr>
          <w:rFonts w:ascii="Arial" w:hAnsi="Arial" w:cs="Arial"/>
          <w:i/>
          <w:snapToGrid w:val="0"/>
          <w:sz w:val="18"/>
          <w:szCs w:val="18"/>
          <w:lang w:eastAsia="en-US"/>
        </w:rPr>
        <w:t xml:space="preserve"> dosages  </w:t>
      </w:r>
      <w:r w:rsidRPr="009B6653">
        <w:rPr>
          <w:rFonts w:ascii="Arial" w:hAnsi="Arial" w:cs="Arial"/>
          <w:snapToGrid w:val="0"/>
          <w:sz w:val="18"/>
          <w:szCs w:val="18"/>
          <w:vertAlign w:val="superscript"/>
          <w:lang w:eastAsia="en-US"/>
        </w:rPr>
        <w:t xml:space="preserve">d </w:t>
      </w:r>
      <w:r w:rsidRPr="009B6653">
        <w:rPr>
          <w:rFonts w:ascii="Arial" w:hAnsi="Arial" w:cs="Arial"/>
          <w:snapToGrid w:val="0"/>
          <w:sz w:val="18"/>
          <w:szCs w:val="18"/>
          <w:lang w:eastAsia="en-US"/>
        </w:rPr>
        <w:t xml:space="preserve">Net of patient co-payments, differs slightly to figure in the submission as they did not remove cost of </w:t>
      </w:r>
      <w:proofErr w:type="spellStart"/>
      <w:r w:rsidRPr="009B6653">
        <w:rPr>
          <w:rFonts w:ascii="Arial" w:hAnsi="Arial" w:cs="Arial"/>
          <w:snapToGrid w:val="0"/>
          <w:sz w:val="18"/>
          <w:szCs w:val="18"/>
          <w:lang w:eastAsia="en-US"/>
        </w:rPr>
        <w:t>copayments</w:t>
      </w:r>
      <w:proofErr w:type="spellEnd"/>
    </w:p>
    <w:p w:rsidR="007377DB" w:rsidRPr="009B6653" w:rsidRDefault="007377DB" w:rsidP="007377DB">
      <w:pPr>
        <w:tabs>
          <w:tab w:val="left" w:pos="180"/>
        </w:tabs>
        <w:jc w:val="both"/>
        <w:rPr>
          <w:rFonts w:ascii="Arial Narrow" w:hAnsi="Arial Narrow"/>
          <w:snapToGrid w:val="0"/>
          <w:sz w:val="18"/>
          <w:szCs w:val="18"/>
          <w:lang w:eastAsia="en-US"/>
        </w:rPr>
      </w:pPr>
      <w:r w:rsidRPr="009B6653">
        <w:rPr>
          <w:rFonts w:ascii="Arial" w:hAnsi="Arial" w:cs="Arial"/>
          <w:snapToGrid w:val="0"/>
          <w:sz w:val="18"/>
          <w:szCs w:val="18"/>
          <w:lang w:eastAsia="en-US"/>
        </w:rPr>
        <w:tab/>
      </w:r>
      <w:r w:rsidRPr="009B6653">
        <w:rPr>
          <w:rFonts w:ascii="Arial" w:hAnsi="Arial" w:cs="Arial"/>
          <w:snapToGrid w:val="0"/>
          <w:sz w:val="18"/>
          <w:szCs w:val="18"/>
          <w:lang w:eastAsia="en-US"/>
        </w:rPr>
        <w:tab/>
        <w:t>^The effective price (after applying the rebate) has been used in the cost calculations.</w:t>
      </w:r>
    </w:p>
    <w:p w:rsidR="007377DB" w:rsidRPr="007377DB" w:rsidRDefault="007377DB" w:rsidP="007377DB">
      <w:pPr>
        <w:jc w:val="both"/>
        <w:rPr>
          <w:rFonts w:ascii="Arial" w:hAnsi="Arial"/>
          <w:sz w:val="22"/>
          <w:szCs w:val="22"/>
        </w:rPr>
      </w:pPr>
    </w:p>
    <w:p w:rsidR="005E6513" w:rsidRPr="009B6653" w:rsidRDefault="00C30948" w:rsidP="00E24111">
      <w:pPr>
        <w:pStyle w:val="ListParagraph"/>
        <w:numPr>
          <w:ilvl w:val="1"/>
          <w:numId w:val="25"/>
        </w:numPr>
        <w:jc w:val="both"/>
        <w:rPr>
          <w:rFonts w:ascii="Arial" w:hAnsi="Arial"/>
          <w:sz w:val="22"/>
          <w:szCs w:val="22"/>
        </w:rPr>
      </w:pPr>
      <w:r w:rsidRPr="009B6653">
        <w:rPr>
          <w:rFonts w:ascii="Arial" w:hAnsi="Arial" w:cs="Arial"/>
          <w:snapToGrid w:val="0"/>
          <w:sz w:val="22"/>
          <w:szCs w:val="22"/>
          <w:lang w:eastAsia="en-US"/>
        </w:rPr>
        <w:t xml:space="preserve">The </w:t>
      </w:r>
      <w:r w:rsidR="005E6513" w:rsidRPr="009B6653">
        <w:rPr>
          <w:rFonts w:ascii="Arial" w:hAnsi="Arial" w:cs="Arial"/>
          <w:snapToGrid w:val="0"/>
          <w:sz w:val="22"/>
          <w:szCs w:val="22"/>
          <w:lang w:eastAsia="en-US"/>
        </w:rPr>
        <w:t xml:space="preserve">DUSC considered that the prevalence estimate of 4.61/100,000 used as the starting point in the submission was an overestimate. DUSC noted that this Year 1 prevalence estimate was </w:t>
      </w:r>
      <w:r w:rsidRPr="009B6653">
        <w:rPr>
          <w:rFonts w:ascii="Arial" w:hAnsi="Arial" w:cs="Arial"/>
          <w:snapToGrid w:val="0"/>
          <w:sz w:val="22"/>
          <w:szCs w:val="22"/>
          <w:lang w:eastAsia="en-US"/>
        </w:rPr>
        <w:t xml:space="preserve">calculated </w:t>
      </w:r>
      <w:r w:rsidR="005E6513" w:rsidRPr="009B6653">
        <w:rPr>
          <w:rFonts w:ascii="Arial" w:hAnsi="Arial" w:cs="Arial"/>
          <w:snapToGrid w:val="0"/>
          <w:sz w:val="22"/>
          <w:szCs w:val="22"/>
          <w:lang w:eastAsia="en-US"/>
        </w:rPr>
        <w:t xml:space="preserve">by extrapolating the age-adjusted prevalence reported in Mehta </w:t>
      </w:r>
      <w:proofErr w:type="gramStart"/>
      <w:r w:rsidR="005E6513" w:rsidRPr="009B6653">
        <w:rPr>
          <w:rFonts w:ascii="Arial" w:hAnsi="Arial" w:cs="Arial"/>
          <w:snapToGrid w:val="0"/>
          <w:sz w:val="22"/>
          <w:szCs w:val="22"/>
          <w:lang w:eastAsia="en-US"/>
        </w:rPr>
        <w:t>et</w:t>
      </w:r>
      <w:proofErr w:type="gramEnd"/>
      <w:r w:rsidR="005E6513" w:rsidRPr="009B6653">
        <w:rPr>
          <w:rFonts w:ascii="Arial" w:hAnsi="Arial" w:cs="Arial"/>
          <w:snapToGrid w:val="0"/>
          <w:sz w:val="22"/>
          <w:szCs w:val="22"/>
          <w:lang w:eastAsia="en-US"/>
        </w:rPr>
        <w:t>. al. (ranging from 2.1-3.8/100,000 for the years 2008-2010)</w:t>
      </w:r>
      <w:r w:rsidRPr="009B6653">
        <w:rPr>
          <w:rFonts w:ascii="Arial" w:hAnsi="Arial" w:cs="Arial"/>
          <w:snapToGrid w:val="0"/>
          <w:sz w:val="22"/>
          <w:szCs w:val="22"/>
          <w:lang w:eastAsia="en-US"/>
        </w:rPr>
        <w:t>,</w:t>
      </w:r>
      <w:r w:rsidR="005E6513" w:rsidRPr="009B6653">
        <w:rPr>
          <w:rFonts w:ascii="Arial" w:hAnsi="Arial" w:cs="Arial"/>
          <w:snapToGrid w:val="0"/>
          <w:sz w:val="22"/>
          <w:szCs w:val="22"/>
          <w:lang w:eastAsia="en-US"/>
        </w:rPr>
        <w:t xml:space="preserve"> assuming that prevalence is increasing in a linear fashion over time. </w:t>
      </w:r>
      <w:r w:rsidRPr="009B6653">
        <w:rPr>
          <w:rFonts w:ascii="Arial" w:hAnsi="Arial" w:cs="Arial"/>
          <w:snapToGrid w:val="0"/>
          <w:sz w:val="22"/>
          <w:szCs w:val="22"/>
          <w:lang w:eastAsia="en-US"/>
        </w:rPr>
        <w:t xml:space="preserve">The </w:t>
      </w:r>
      <w:r w:rsidR="005E6513" w:rsidRPr="009B6653">
        <w:rPr>
          <w:rFonts w:ascii="Arial" w:hAnsi="Arial" w:cs="Arial"/>
          <w:snapToGrid w:val="0"/>
          <w:sz w:val="22"/>
          <w:szCs w:val="22"/>
          <w:lang w:eastAsia="en-US"/>
        </w:rPr>
        <w:t>DUSC considered this to be an inappropriate extrapolation, as it is not reasonable to assume that a rare condition would increase at such a rate and the incidence was not expected to increase by a comparable margin.</w:t>
      </w:r>
      <w:r w:rsidR="00BF7D31" w:rsidRPr="009B6653">
        <w:rPr>
          <w:rFonts w:ascii="Arial" w:hAnsi="Arial" w:cs="Arial"/>
          <w:snapToGrid w:val="0"/>
          <w:sz w:val="22"/>
          <w:szCs w:val="22"/>
          <w:lang w:eastAsia="en-US"/>
        </w:rPr>
        <w:t xml:space="preserve"> </w:t>
      </w:r>
      <w:r w:rsidR="005E6513" w:rsidRPr="009B6653">
        <w:rPr>
          <w:rFonts w:ascii="Arial" w:hAnsi="Arial" w:cs="Arial"/>
          <w:snapToGrid w:val="0"/>
          <w:sz w:val="22"/>
          <w:szCs w:val="22"/>
          <w:lang w:eastAsia="en-US"/>
        </w:rPr>
        <w:t xml:space="preserve">To </w:t>
      </w:r>
      <w:r w:rsidRPr="009B6653">
        <w:rPr>
          <w:rFonts w:ascii="Arial" w:hAnsi="Arial" w:cs="Arial"/>
          <w:snapToGrid w:val="0"/>
          <w:sz w:val="22"/>
          <w:szCs w:val="22"/>
          <w:lang w:eastAsia="en-US"/>
        </w:rPr>
        <w:t xml:space="preserve">calculate </w:t>
      </w:r>
      <w:r w:rsidR="005E6513" w:rsidRPr="009B6653">
        <w:rPr>
          <w:rFonts w:ascii="Arial" w:hAnsi="Arial" w:cs="Arial"/>
          <w:snapToGrid w:val="0"/>
          <w:sz w:val="22"/>
          <w:szCs w:val="22"/>
          <w:lang w:eastAsia="en-US"/>
        </w:rPr>
        <w:t xml:space="preserve">prevalence estimates in Years 2 to 5, the submission added incident cases and subtracted deaths. While DUSC considered that the incidence and mortality parameters were based on appropriate data sources, as the calculations commenced from an overestimated Year 1 prevalence, these resulted in implausibly high prevalence across the five years. </w:t>
      </w:r>
      <w:r w:rsidR="00264A40" w:rsidRPr="009B6653">
        <w:rPr>
          <w:rFonts w:ascii="Arial" w:hAnsi="Arial" w:cs="Arial"/>
          <w:snapToGrid w:val="0"/>
          <w:sz w:val="22"/>
          <w:szCs w:val="22"/>
          <w:lang w:eastAsia="en-US"/>
        </w:rPr>
        <w:t xml:space="preserve">The </w:t>
      </w:r>
      <w:r w:rsidR="005E6513" w:rsidRPr="009B6653">
        <w:rPr>
          <w:rFonts w:ascii="Arial" w:hAnsi="Arial" w:cs="Arial"/>
          <w:snapToGrid w:val="0"/>
          <w:sz w:val="22"/>
          <w:szCs w:val="22"/>
          <w:lang w:eastAsia="en-US"/>
        </w:rPr>
        <w:t xml:space="preserve">DUSC requested that the base case estimates of use and financial implications be recalculated using a prevalence of 3.8/100,000; the upper limit of the range from Mehta et.al. </w:t>
      </w:r>
      <w:r w:rsidR="00326EB2" w:rsidRPr="009B6653">
        <w:rPr>
          <w:rFonts w:ascii="Arial" w:hAnsi="Arial" w:cs="Arial"/>
          <w:snapToGrid w:val="0"/>
          <w:sz w:val="22"/>
          <w:szCs w:val="22"/>
          <w:lang w:eastAsia="en-US"/>
        </w:rPr>
        <w:t xml:space="preserve">The </w:t>
      </w:r>
      <w:r w:rsidR="005E6513" w:rsidRPr="009B6653">
        <w:rPr>
          <w:rFonts w:ascii="Arial" w:hAnsi="Arial" w:cs="Arial"/>
          <w:snapToGrid w:val="0"/>
          <w:sz w:val="22"/>
          <w:szCs w:val="22"/>
          <w:lang w:eastAsia="en-US"/>
        </w:rPr>
        <w:t>DUSC requested that this method be used to calculate prevalence for each year, not just Year 1</w:t>
      </w:r>
      <w:r w:rsidR="00326EB2" w:rsidRPr="009B6653">
        <w:rPr>
          <w:rFonts w:ascii="Arial" w:hAnsi="Arial" w:cs="Arial"/>
          <w:snapToGrid w:val="0"/>
          <w:sz w:val="22"/>
          <w:szCs w:val="22"/>
          <w:lang w:eastAsia="en-US"/>
        </w:rPr>
        <w:t xml:space="preserve">, and </w:t>
      </w:r>
      <w:r w:rsidR="005E6513" w:rsidRPr="009B6653">
        <w:rPr>
          <w:rFonts w:ascii="Arial" w:hAnsi="Arial" w:cs="Arial"/>
          <w:snapToGrid w:val="0"/>
          <w:sz w:val="22"/>
          <w:szCs w:val="22"/>
          <w:lang w:eastAsia="en-US"/>
        </w:rPr>
        <w:t>that the re-estimate</w:t>
      </w:r>
      <w:r w:rsidRPr="009B6653">
        <w:rPr>
          <w:rFonts w:ascii="Arial" w:hAnsi="Arial" w:cs="Arial"/>
          <w:snapToGrid w:val="0"/>
          <w:sz w:val="22"/>
          <w:szCs w:val="22"/>
          <w:lang w:eastAsia="en-US"/>
        </w:rPr>
        <w:t>d</w:t>
      </w:r>
      <w:r w:rsidR="005E6513" w:rsidRPr="009B6653">
        <w:rPr>
          <w:rFonts w:ascii="Arial" w:hAnsi="Arial" w:cs="Arial"/>
          <w:snapToGrid w:val="0"/>
          <w:sz w:val="22"/>
          <w:szCs w:val="22"/>
          <w:lang w:eastAsia="en-US"/>
        </w:rPr>
        <w:t xml:space="preserve"> calculations use the trial based population and no continuation rule.</w:t>
      </w:r>
      <w:r w:rsidR="00326EB2" w:rsidRPr="009B6653">
        <w:rPr>
          <w:rFonts w:ascii="Arial" w:hAnsi="Arial" w:cs="Arial"/>
          <w:snapToGrid w:val="0"/>
          <w:sz w:val="22"/>
          <w:szCs w:val="22"/>
          <w:lang w:eastAsia="en-US"/>
        </w:rPr>
        <w:t xml:space="preserve">  The DUSC considered this would provide a closer estimate </w:t>
      </w:r>
      <w:r w:rsidR="00AA0A57" w:rsidRPr="009B6653">
        <w:rPr>
          <w:rFonts w:ascii="Arial" w:hAnsi="Arial" w:cs="Arial"/>
          <w:snapToGrid w:val="0"/>
          <w:sz w:val="22"/>
          <w:szCs w:val="22"/>
          <w:lang w:eastAsia="en-US"/>
        </w:rPr>
        <w:t>of the projected</w:t>
      </w:r>
      <w:r w:rsidR="00326EB2" w:rsidRPr="009B6653">
        <w:rPr>
          <w:rFonts w:ascii="Arial" w:hAnsi="Arial" w:cs="Arial"/>
          <w:snapToGrid w:val="0"/>
          <w:sz w:val="22"/>
          <w:szCs w:val="22"/>
          <w:lang w:eastAsia="en-US"/>
        </w:rPr>
        <w:t xml:space="preserve"> use in the trial based population.</w:t>
      </w:r>
    </w:p>
    <w:p w:rsidR="00280458" w:rsidRPr="009B6653" w:rsidRDefault="00280458" w:rsidP="005E6513">
      <w:pPr>
        <w:jc w:val="both"/>
        <w:rPr>
          <w:rFonts w:ascii="Arial" w:hAnsi="Arial" w:cs="Arial"/>
          <w:b/>
          <w:snapToGrid w:val="0"/>
          <w:sz w:val="20"/>
          <w:szCs w:val="20"/>
          <w:lang w:eastAsia="en-US"/>
        </w:rPr>
      </w:pPr>
    </w:p>
    <w:p w:rsidR="005E6513" w:rsidRPr="009B6653" w:rsidRDefault="005E6513" w:rsidP="008818D5">
      <w:pPr>
        <w:ind w:firstLine="720"/>
        <w:jc w:val="both"/>
        <w:rPr>
          <w:rFonts w:ascii="Arial" w:hAnsi="Arial" w:cs="Arial"/>
          <w:b/>
          <w:snapToGrid w:val="0"/>
          <w:sz w:val="20"/>
          <w:szCs w:val="20"/>
          <w:lang w:eastAsia="en-US"/>
        </w:rPr>
      </w:pPr>
      <w:r w:rsidRPr="009B6653">
        <w:rPr>
          <w:rFonts w:ascii="Arial" w:hAnsi="Arial" w:cs="Arial"/>
          <w:b/>
          <w:snapToGrid w:val="0"/>
          <w:sz w:val="20"/>
          <w:szCs w:val="20"/>
          <w:lang w:eastAsia="en-US"/>
        </w:rPr>
        <w:t>Estimated extent of use and financial implications – re-estimates.</w:t>
      </w:r>
    </w:p>
    <w:tbl>
      <w:tblPr>
        <w:tblStyle w:val="TableGrid"/>
        <w:tblW w:w="8363" w:type="dxa"/>
        <w:tblInd w:w="817" w:type="dxa"/>
        <w:tblLook w:val="04A0" w:firstRow="1" w:lastRow="0" w:firstColumn="1" w:lastColumn="0" w:noHBand="0" w:noVBand="1"/>
        <w:tblDescription w:val="Estimated extent of use and financial implications – re-estimates."/>
      </w:tblPr>
      <w:tblGrid>
        <w:gridCol w:w="2942"/>
        <w:gridCol w:w="1116"/>
        <w:gridCol w:w="1127"/>
        <w:gridCol w:w="1099"/>
        <w:gridCol w:w="1117"/>
        <w:gridCol w:w="1024"/>
      </w:tblGrid>
      <w:tr w:rsidR="002952BE" w:rsidRPr="007377DB" w:rsidTr="002E5EA5">
        <w:trPr>
          <w:trHeight w:val="302"/>
          <w:tblHeader/>
        </w:trPr>
        <w:tc>
          <w:tcPr>
            <w:tcW w:w="2976" w:type="dxa"/>
            <w:noWrap/>
            <w:hideMark/>
          </w:tcPr>
          <w:p w:rsidR="005E6513" w:rsidRPr="005022D5" w:rsidRDefault="005E6513" w:rsidP="005E6513">
            <w:pPr>
              <w:jc w:val="both"/>
              <w:rPr>
                <w:rFonts w:ascii="Arial Narrow" w:hAnsi="Arial Narrow" w:cs="Arial"/>
                <w:b/>
                <w:bCs/>
                <w:snapToGrid w:val="0"/>
                <w:sz w:val="20"/>
                <w:szCs w:val="20"/>
                <w:lang w:eastAsia="en-US"/>
              </w:rPr>
            </w:pPr>
            <w:bookmarkStart w:id="6" w:name="_GoBack" w:colFirst="0" w:colLast="6"/>
          </w:p>
        </w:tc>
        <w:tc>
          <w:tcPr>
            <w:tcW w:w="1127" w:type="dxa"/>
            <w:noWrap/>
            <w:hideMark/>
          </w:tcPr>
          <w:p w:rsidR="005E6513" w:rsidRPr="005022D5" w:rsidRDefault="005E6513" w:rsidP="005E6513">
            <w:pPr>
              <w:jc w:val="both"/>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Year 1</w:t>
            </w:r>
          </w:p>
        </w:tc>
        <w:tc>
          <w:tcPr>
            <w:tcW w:w="1138" w:type="dxa"/>
            <w:noWrap/>
            <w:hideMark/>
          </w:tcPr>
          <w:p w:rsidR="005E6513" w:rsidRPr="005022D5" w:rsidRDefault="005E6513" w:rsidP="005E6513">
            <w:pPr>
              <w:jc w:val="both"/>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Year 2</w:t>
            </w:r>
          </w:p>
        </w:tc>
        <w:tc>
          <w:tcPr>
            <w:tcW w:w="1110" w:type="dxa"/>
            <w:noWrap/>
            <w:hideMark/>
          </w:tcPr>
          <w:p w:rsidR="005E6513" w:rsidRPr="005022D5" w:rsidRDefault="005E6513" w:rsidP="005E6513">
            <w:pPr>
              <w:jc w:val="both"/>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Year 3</w:t>
            </w:r>
          </w:p>
        </w:tc>
        <w:tc>
          <w:tcPr>
            <w:tcW w:w="1037" w:type="dxa"/>
            <w:noWrap/>
            <w:hideMark/>
          </w:tcPr>
          <w:p w:rsidR="005E6513" w:rsidRPr="005022D5" w:rsidRDefault="005E6513" w:rsidP="005E6513">
            <w:pPr>
              <w:jc w:val="both"/>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Year 4</w:t>
            </w:r>
          </w:p>
        </w:tc>
        <w:tc>
          <w:tcPr>
            <w:tcW w:w="975" w:type="dxa"/>
            <w:noWrap/>
            <w:hideMark/>
          </w:tcPr>
          <w:p w:rsidR="005E6513" w:rsidRPr="005022D5" w:rsidRDefault="005E6513" w:rsidP="005E6513">
            <w:pPr>
              <w:jc w:val="both"/>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Year 5</w:t>
            </w:r>
          </w:p>
        </w:tc>
      </w:tr>
      <w:bookmarkEnd w:id="6"/>
      <w:tr w:rsidR="002952BE" w:rsidRPr="007377DB" w:rsidTr="002952BE">
        <w:trPr>
          <w:trHeight w:val="302"/>
        </w:trPr>
        <w:tc>
          <w:tcPr>
            <w:tcW w:w="2976" w:type="dxa"/>
            <w:vMerge w:val="restart"/>
            <w:noWrap/>
            <w:hideMark/>
          </w:tcPr>
          <w:p w:rsidR="005E6513" w:rsidRPr="005022D5" w:rsidRDefault="005022D5" w:rsidP="005E6513">
            <w:pP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w:t>
            </w:r>
          </w:p>
        </w:tc>
        <w:tc>
          <w:tcPr>
            <w:tcW w:w="112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5E6513" w:rsidRPr="007377DB" w:rsidTr="002952BE">
        <w:trPr>
          <w:trHeight w:val="302"/>
        </w:trPr>
        <w:tc>
          <w:tcPr>
            <w:tcW w:w="2976" w:type="dxa"/>
            <w:vMerge/>
            <w:noWrap/>
          </w:tcPr>
          <w:p w:rsidR="005E6513" w:rsidRPr="005022D5" w:rsidRDefault="005E6513" w:rsidP="005E6513">
            <w:pPr>
              <w:rPr>
                <w:rFonts w:ascii="Arial Narrow" w:hAnsi="Arial Narrow" w:cs="Arial"/>
                <w:snapToGrid w:val="0"/>
                <w:sz w:val="20"/>
                <w:szCs w:val="20"/>
                <w:lang w:eastAsia="en-US"/>
              </w:rPr>
            </w:pPr>
          </w:p>
        </w:tc>
        <w:tc>
          <w:tcPr>
            <w:tcW w:w="5387" w:type="dxa"/>
            <w:gridSpan w:val="5"/>
            <w:noWrap/>
          </w:tcPr>
          <w:p w:rsidR="005E6513" w:rsidRPr="005022D5" w:rsidRDefault="005022D5" w:rsidP="005E6513">
            <w:pPr>
              <w:jc w:val="both"/>
              <w:rPr>
                <w:rFonts w:ascii="Arial Narrow" w:hAnsi="Arial Narrow" w:cs="Arial"/>
                <w:snapToGrid w:val="0"/>
                <w:sz w:val="20"/>
                <w:szCs w:val="20"/>
                <w:highlight w:val="black"/>
                <w:lang w:eastAsia="en-US"/>
              </w:rPr>
            </w:pPr>
            <w:r>
              <w:rPr>
                <w:rFonts w:ascii="Arial Narrow" w:hAnsi="Arial Narrow" w:cs="Arial"/>
                <w:iCs/>
                <w:noProof/>
                <w:snapToGrid w:val="0"/>
                <w:color w:val="000000"/>
                <w:sz w:val="20"/>
                <w:szCs w:val="20"/>
                <w:highlight w:val="black"/>
                <w:lang w:eastAsia="en-US"/>
              </w:rPr>
              <w:t>''''''''''''''''' ''''' ''''''''' ''''''''''' '''''''''' '''' '''''''''''''''' '''''' '''''' '''''''''''''''</w:t>
            </w:r>
          </w:p>
        </w:tc>
      </w:tr>
      <w:tr w:rsidR="002952BE" w:rsidRPr="007377DB" w:rsidTr="002952BE">
        <w:trPr>
          <w:trHeight w:val="302"/>
        </w:trPr>
        <w:tc>
          <w:tcPr>
            <w:tcW w:w="2976" w:type="dxa"/>
            <w:vMerge w:val="restart"/>
            <w:noWrap/>
            <w:hideMark/>
          </w:tcPr>
          <w:p w:rsidR="005E6513" w:rsidRPr="005022D5" w:rsidRDefault="005022D5" w:rsidP="005E6513">
            <w:pP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 '''''''''' ''''''''' '''''''''''''''''''' '''''''''''' '''' '''''''''''''</w:t>
            </w:r>
          </w:p>
        </w:tc>
        <w:tc>
          <w:tcPr>
            <w:tcW w:w="112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5E6513" w:rsidRPr="007377DB" w:rsidTr="002952BE">
        <w:trPr>
          <w:trHeight w:val="302"/>
        </w:trPr>
        <w:tc>
          <w:tcPr>
            <w:tcW w:w="2976" w:type="dxa"/>
            <w:vMerge/>
            <w:noWrap/>
          </w:tcPr>
          <w:p w:rsidR="005E6513" w:rsidRPr="005022D5" w:rsidRDefault="005E6513" w:rsidP="005E6513">
            <w:pPr>
              <w:rPr>
                <w:rFonts w:ascii="Arial Narrow" w:hAnsi="Arial Narrow" w:cs="Arial"/>
                <w:snapToGrid w:val="0"/>
                <w:sz w:val="20"/>
                <w:szCs w:val="20"/>
                <w:lang w:eastAsia="en-US"/>
              </w:rPr>
            </w:pPr>
          </w:p>
        </w:tc>
        <w:tc>
          <w:tcPr>
            <w:tcW w:w="5387" w:type="dxa"/>
            <w:gridSpan w:val="5"/>
            <w:noWrap/>
          </w:tcPr>
          <w:p w:rsidR="005E6513" w:rsidRPr="005022D5" w:rsidRDefault="005022D5" w:rsidP="005E6513">
            <w:pPr>
              <w:jc w:val="both"/>
              <w:rPr>
                <w:rFonts w:ascii="Arial Narrow" w:hAnsi="Arial Narrow" w:cs="Arial"/>
                <w:snapToGrid w:val="0"/>
                <w:sz w:val="20"/>
                <w:szCs w:val="20"/>
                <w:highlight w:val="black"/>
                <w:lang w:eastAsia="en-US"/>
              </w:rPr>
            </w:pPr>
            <w:r>
              <w:rPr>
                <w:rFonts w:ascii="Arial Narrow" w:hAnsi="Arial Narrow" w:cs="Arial"/>
                <w:iCs/>
                <w:noProof/>
                <w:snapToGrid w:val="0"/>
                <w:color w:val="000000"/>
                <w:sz w:val="20"/>
                <w:szCs w:val="20"/>
                <w:highlight w:val="black"/>
                <w:lang w:eastAsia="en-US"/>
              </w:rPr>
              <w:t>'''''''''''''''' ''''''''''''''''''''''''' '''''''''''''''''''''''''''' ''''''''''''' ''''''' '''''''''''' '''''''''' '''''''''' ''''''''' '''''''''''''''''''''''''''''</w:t>
            </w:r>
          </w:p>
        </w:tc>
      </w:tr>
      <w:tr w:rsidR="002952BE" w:rsidRPr="007377DB" w:rsidTr="002952BE">
        <w:trPr>
          <w:trHeight w:val="302"/>
        </w:trPr>
        <w:tc>
          <w:tcPr>
            <w:tcW w:w="2976" w:type="dxa"/>
            <w:vMerge w:val="restart"/>
            <w:noWrap/>
            <w:hideMark/>
          </w:tcPr>
          <w:p w:rsidR="005E6513" w:rsidRPr="0007072F" w:rsidRDefault="005E6513" w:rsidP="005E6513">
            <w:pPr>
              <w:rPr>
                <w:rFonts w:ascii="Arial Narrow" w:hAnsi="Arial Narrow" w:cs="Arial"/>
                <w:b/>
                <w:snapToGrid w:val="0"/>
                <w:sz w:val="20"/>
                <w:szCs w:val="20"/>
                <w:lang w:eastAsia="en-US"/>
              </w:rPr>
            </w:pPr>
            <w:r w:rsidRPr="0007072F">
              <w:rPr>
                <w:rFonts w:ascii="Arial Narrow" w:hAnsi="Arial Narrow" w:cs="Arial"/>
                <w:b/>
                <w:snapToGrid w:val="0"/>
                <w:sz w:val="20"/>
                <w:szCs w:val="20"/>
                <w:lang w:eastAsia="en-US"/>
              </w:rPr>
              <w:t xml:space="preserve">Patients expected to meet the restriction: </w:t>
            </w:r>
          </w:p>
          <w:p w:rsidR="005E6513" w:rsidRPr="005022D5" w:rsidRDefault="005022D5" w:rsidP="005E6513">
            <w:pP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w:t>
            </w:r>
          </w:p>
        </w:tc>
        <w:tc>
          <w:tcPr>
            <w:tcW w:w="112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5E6513" w:rsidRPr="007377DB" w:rsidTr="002952BE">
        <w:trPr>
          <w:trHeight w:val="302"/>
        </w:trPr>
        <w:tc>
          <w:tcPr>
            <w:tcW w:w="2976" w:type="dxa"/>
            <w:vMerge/>
            <w:noWrap/>
          </w:tcPr>
          <w:p w:rsidR="005E6513" w:rsidRPr="005022D5" w:rsidRDefault="005E6513" w:rsidP="005E6513">
            <w:pPr>
              <w:rPr>
                <w:rFonts w:ascii="Arial Narrow" w:hAnsi="Arial Narrow" w:cs="Arial"/>
                <w:b/>
                <w:snapToGrid w:val="0"/>
                <w:sz w:val="20"/>
                <w:szCs w:val="20"/>
                <w:lang w:eastAsia="en-US"/>
              </w:rPr>
            </w:pPr>
          </w:p>
        </w:tc>
        <w:tc>
          <w:tcPr>
            <w:tcW w:w="5387" w:type="dxa"/>
            <w:gridSpan w:val="5"/>
            <w:noWrap/>
          </w:tcPr>
          <w:p w:rsidR="005E6513" w:rsidRPr="005022D5" w:rsidRDefault="005022D5" w:rsidP="005E6513">
            <w:pPr>
              <w:jc w:val="both"/>
              <w:rPr>
                <w:rFonts w:ascii="Arial Narrow" w:hAnsi="Arial Narrow" w:cs="Arial"/>
                <w:snapToGrid w:val="0"/>
                <w:sz w:val="20"/>
                <w:szCs w:val="20"/>
                <w:highlight w:val="black"/>
                <w:lang w:eastAsia="en-US"/>
              </w:rPr>
            </w:pPr>
            <w:r>
              <w:rPr>
                <w:rFonts w:ascii="Arial Narrow" w:hAnsi="Arial Narrow" w:cs="Arial"/>
                <w:iCs/>
                <w:noProof/>
                <w:snapToGrid w:val="0"/>
                <w:color w:val="000000"/>
                <w:sz w:val="20"/>
                <w:szCs w:val="20"/>
                <w:highlight w:val="black"/>
                <w:lang w:eastAsia="en-US"/>
              </w:rPr>
              <w:t>'''''''''''''''' '''''''''''''''''''''' ''''''''''''''''''''''''''''' '''''''''''''''' ''''' '''''''''' '''''''''' ''''''''''' ''''''''' ''''''''''''''''''''''''''''''</w:t>
            </w:r>
          </w:p>
        </w:tc>
      </w:tr>
      <w:tr w:rsidR="002952BE" w:rsidRPr="007377DB" w:rsidTr="002952BE">
        <w:trPr>
          <w:trHeight w:val="302"/>
        </w:trPr>
        <w:tc>
          <w:tcPr>
            <w:tcW w:w="2976" w:type="dxa"/>
            <w:noWrap/>
          </w:tcPr>
          <w:p w:rsidR="005E6513" w:rsidRPr="005022D5" w:rsidRDefault="005E6513" w:rsidP="005E6513">
            <w:pPr>
              <w:rPr>
                <w:rFonts w:ascii="Arial Narrow" w:hAnsi="Arial Narrow" w:cs="Arial"/>
                <w:b/>
                <w:snapToGrid w:val="0"/>
                <w:sz w:val="20"/>
                <w:szCs w:val="20"/>
                <w:lang w:eastAsia="en-US"/>
              </w:rPr>
            </w:pPr>
            <w:r w:rsidRPr="0007072F">
              <w:rPr>
                <w:rFonts w:ascii="Arial Narrow" w:hAnsi="Arial Narrow" w:cs="Arial"/>
                <w:b/>
                <w:snapToGrid w:val="0"/>
                <w:sz w:val="20"/>
                <w:szCs w:val="20"/>
                <w:lang w:eastAsia="en-US"/>
              </w:rPr>
              <w:t>Uptake</w:t>
            </w:r>
          </w:p>
        </w:tc>
        <w:tc>
          <w:tcPr>
            <w:tcW w:w="1127" w:type="dxa"/>
            <w:noWrap/>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2952BE" w:rsidRPr="007377DB" w:rsidTr="002952BE">
        <w:trPr>
          <w:trHeight w:val="302"/>
        </w:trPr>
        <w:tc>
          <w:tcPr>
            <w:tcW w:w="2976" w:type="dxa"/>
            <w:noWrap/>
            <w:hideMark/>
          </w:tcPr>
          <w:p w:rsidR="005E6513" w:rsidRPr="005022D5" w:rsidRDefault="005E6513" w:rsidP="005E6513">
            <w:pPr>
              <w:rPr>
                <w:rFonts w:ascii="Arial Narrow" w:hAnsi="Arial Narrow" w:cs="Arial"/>
                <w:b/>
                <w:snapToGrid w:val="0"/>
                <w:sz w:val="20"/>
                <w:szCs w:val="20"/>
                <w:lang w:eastAsia="en-US"/>
              </w:rPr>
            </w:pPr>
            <w:r w:rsidRPr="0007072F">
              <w:rPr>
                <w:rFonts w:ascii="Arial Narrow" w:hAnsi="Arial Narrow" w:cs="Arial"/>
                <w:b/>
                <w:snapToGrid w:val="0"/>
                <w:sz w:val="20"/>
                <w:szCs w:val="20"/>
                <w:lang w:eastAsia="en-US"/>
              </w:rPr>
              <w:t xml:space="preserve">Eligible patients to be treated with </w:t>
            </w:r>
            <w:proofErr w:type="spellStart"/>
            <w:r w:rsidRPr="0007072F">
              <w:rPr>
                <w:rFonts w:ascii="Arial Narrow" w:hAnsi="Arial Narrow" w:cs="Arial"/>
                <w:b/>
                <w:snapToGrid w:val="0"/>
                <w:sz w:val="20"/>
                <w:szCs w:val="20"/>
                <w:lang w:eastAsia="en-US"/>
              </w:rPr>
              <w:t>ruxolitinib</w:t>
            </w:r>
            <w:proofErr w:type="spellEnd"/>
            <w:r w:rsidRPr="0007072F">
              <w:rPr>
                <w:rFonts w:ascii="Arial Narrow" w:hAnsi="Arial Narrow" w:cs="Arial"/>
                <w:b/>
                <w:snapToGrid w:val="0"/>
                <w:sz w:val="20"/>
                <w:szCs w:val="20"/>
                <w:lang w:eastAsia="en-US"/>
              </w:rPr>
              <w:t xml:space="preserve">  </w:t>
            </w:r>
          </w:p>
        </w:tc>
        <w:tc>
          <w:tcPr>
            <w:tcW w:w="112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2952BE" w:rsidRPr="007377DB" w:rsidTr="002952BE">
        <w:trPr>
          <w:trHeight w:val="302"/>
        </w:trPr>
        <w:tc>
          <w:tcPr>
            <w:tcW w:w="2976" w:type="dxa"/>
            <w:noWrap/>
            <w:vAlign w:val="center"/>
          </w:tcPr>
          <w:p w:rsidR="005E6513" w:rsidRPr="005022D5" w:rsidRDefault="005E6513" w:rsidP="005E6513">
            <w:pPr>
              <w:rPr>
                <w:rFonts w:ascii="Arial Narrow" w:hAnsi="Arial Narrow" w:cs="Arial"/>
                <w:b/>
                <w:snapToGrid w:val="0"/>
                <w:sz w:val="20"/>
                <w:szCs w:val="20"/>
                <w:lang w:eastAsia="en-US"/>
              </w:rPr>
            </w:pPr>
            <w:proofErr w:type="spellStart"/>
            <w:r w:rsidRPr="0007072F">
              <w:rPr>
                <w:rFonts w:ascii="Arial Narrow" w:hAnsi="Arial Narrow" w:cs="Arial"/>
                <w:b/>
                <w:snapToGrid w:val="0"/>
                <w:sz w:val="20"/>
                <w:szCs w:val="20"/>
                <w:lang w:eastAsia="en-US"/>
              </w:rPr>
              <w:t>Ruxolitinib</w:t>
            </w:r>
            <w:proofErr w:type="spellEnd"/>
            <w:r w:rsidRPr="0007072F">
              <w:rPr>
                <w:rFonts w:ascii="Arial Narrow" w:hAnsi="Arial Narrow" w:cs="Arial"/>
                <w:b/>
                <w:snapToGrid w:val="0"/>
                <w:sz w:val="20"/>
                <w:szCs w:val="20"/>
                <w:lang w:eastAsia="en-US"/>
              </w:rPr>
              <w:t xml:space="preserve"> scripts </w:t>
            </w:r>
          </w:p>
        </w:tc>
        <w:tc>
          <w:tcPr>
            <w:tcW w:w="1127" w:type="dxa"/>
            <w:noWrap/>
            <w:vAlign w:val="bottom"/>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vAlign w:val="bottom"/>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vAlign w:val="bottom"/>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vAlign w:val="bottom"/>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vAlign w:val="bottom"/>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2952BE" w:rsidRPr="007377DB" w:rsidTr="002952BE">
        <w:trPr>
          <w:trHeight w:val="302"/>
        </w:trPr>
        <w:tc>
          <w:tcPr>
            <w:tcW w:w="2976" w:type="dxa"/>
            <w:noWrap/>
            <w:hideMark/>
          </w:tcPr>
          <w:p w:rsidR="005E6513" w:rsidRPr="005022D5" w:rsidRDefault="005E6513" w:rsidP="005E6513">
            <w:pPr>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Cost to PBS (net of co-payments):</w:t>
            </w:r>
          </w:p>
        </w:tc>
        <w:tc>
          <w:tcPr>
            <w:tcW w:w="112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2952BE" w:rsidRPr="007377DB" w:rsidTr="002952BE">
        <w:trPr>
          <w:trHeight w:val="302"/>
        </w:trPr>
        <w:tc>
          <w:tcPr>
            <w:tcW w:w="2976" w:type="dxa"/>
            <w:noWrap/>
            <w:hideMark/>
          </w:tcPr>
          <w:p w:rsidR="005E6513" w:rsidRPr="005022D5" w:rsidRDefault="005E6513" w:rsidP="005E6513">
            <w:pPr>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Subtotal additional cost to Government health budget:</w:t>
            </w:r>
          </w:p>
        </w:tc>
        <w:tc>
          <w:tcPr>
            <w:tcW w:w="112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2952BE" w:rsidRPr="007377DB" w:rsidTr="002952BE">
        <w:trPr>
          <w:trHeight w:val="302"/>
        </w:trPr>
        <w:tc>
          <w:tcPr>
            <w:tcW w:w="2976" w:type="dxa"/>
            <w:noWrap/>
            <w:hideMark/>
          </w:tcPr>
          <w:p w:rsidR="005E6513" w:rsidRPr="005022D5" w:rsidRDefault="005E6513" w:rsidP="005E6513">
            <w:pPr>
              <w:rPr>
                <w:rFonts w:ascii="Arial Narrow" w:hAnsi="Arial Narrow" w:cs="Arial"/>
                <w:b/>
                <w:bCs/>
                <w:snapToGrid w:val="0"/>
                <w:sz w:val="20"/>
                <w:szCs w:val="20"/>
                <w:lang w:eastAsia="en-US"/>
              </w:rPr>
            </w:pPr>
            <w:r w:rsidRPr="0007072F">
              <w:rPr>
                <w:rFonts w:ascii="Arial Narrow" w:hAnsi="Arial Narrow" w:cs="Arial"/>
                <w:b/>
                <w:bCs/>
                <w:snapToGrid w:val="0"/>
                <w:sz w:val="20"/>
                <w:szCs w:val="20"/>
                <w:lang w:eastAsia="en-US"/>
              </w:rPr>
              <w:t xml:space="preserve">Net cost to </w:t>
            </w:r>
            <w:proofErr w:type="spellStart"/>
            <w:r w:rsidRPr="0007072F">
              <w:rPr>
                <w:rFonts w:ascii="Arial Narrow" w:hAnsi="Arial Narrow" w:cs="Arial"/>
                <w:b/>
                <w:bCs/>
                <w:snapToGrid w:val="0"/>
                <w:sz w:val="20"/>
                <w:szCs w:val="20"/>
                <w:lang w:eastAsia="en-US"/>
              </w:rPr>
              <w:t>Govt</w:t>
            </w:r>
            <w:proofErr w:type="spellEnd"/>
            <w:r w:rsidRPr="0007072F">
              <w:rPr>
                <w:rFonts w:ascii="Arial Narrow" w:hAnsi="Arial Narrow" w:cs="Arial"/>
                <w:b/>
                <w:bCs/>
                <w:snapToGrid w:val="0"/>
                <w:sz w:val="20"/>
                <w:szCs w:val="20"/>
                <w:lang w:eastAsia="en-US"/>
              </w:rPr>
              <w:t xml:space="preserve"> health budgets: (PBS/RPBS + additional cost to </w:t>
            </w:r>
            <w:proofErr w:type="spellStart"/>
            <w:r w:rsidRPr="0007072F">
              <w:rPr>
                <w:rFonts w:ascii="Arial Narrow" w:hAnsi="Arial Narrow" w:cs="Arial"/>
                <w:b/>
                <w:bCs/>
                <w:snapToGrid w:val="0"/>
                <w:sz w:val="20"/>
                <w:szCs w:val="20"/>
                <w:lang w:eastAsia="en-US"/>
              </w:rPr>
              <w:t>Govt</w:t>
            </w:r>
            <w:proofErr w:type="spellEnd"/>
            <w:r w:rsidRPr="0007072F">
              <w:rPr>
                <w:rFonts w:ascii="Arial Narrow" w:hAnsi="Arial Narrow" w:cs="Arial"/>
                <w:b/>
                <w:bCs/>
                <w:snapToGrid w:val="0"/>
                <w:sz w:val="20"/>
                <w:szCs w:val="20"/>
                <w:lang w:eastAsia="en-US"/>
              </w:rPr>
              <w:t>)</w:t>
            </w:r>
          </w:p>
        </w:tc>
        <w:tc>
          <w:tcPr>
            <w:tcW w:w="112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38"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10"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37"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75" w:type="dxa"/>
            <w:noWrap/>
            <w:vAlign w:val="bottom"/>
            <w:hideMark/>
          </w:tcPr>
          <w:p w:rsidR="005E6513" w:rsidRPr="005022D5" w:rsidRDefault="005022D5" w:rsidP="005E6513">
            <w:pPr>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5E6513" w:rsidRPr="002952BE" w:rsidRDefault="00413F16" w:rsidP="008818D5">
      <w:pPr>
        <w:ind w:firstLine="720"/>
        <w:rPr>
          <w:rFonts w:ascii="Arial" w:hAnsi="Arial" w:cs="Arial"/>
          <w:sz w:val="18"/>
          <w:szCs w:val="20"/>
        </w:rPr>
      </w:pPr>
      <w:r w:rsidRPr="002952BE">
        <w:rPr>
          <w:rFonts w:ascii="Arial" w:hAnsi="Arial" w:cs="Arial"/>
          <w:sz w:val="18"/>
          <w:szCs w:val="20"/>
        </w:rPr>
        <w:lastRenderedPageBreak/>
        <w:t xml:space="preserve">Source: </w:t>
      </w:r>
      <w:r w:rsidR="00FF2088" w:rsidRPr="002952BE">
        <w:rPr>
          <w:rFonts w:ascii="Arial" w:hAnsi="Arial" w:cs="Arial"/>
          <w:sz w:val="18"/>
          <w:szCs w:val="20"/>
        </w:rPr>
        <w:t xml:space="preserve">Table 2, p 4 of the DUSC advice. </w:t>
      </w:r>
    </w:p>
    <w:p w:rsidR="00C8544D" w:rsidRPr="009B6653" w:rsidRDefault="00C8544D" w:rsidP="00C8544D">
      <w:pPr>
        <w:rPr>
          <w:rFonts w:ascii="Arial" w:hAnsi="Arial" w:cs="Arial"/>
          <w:i/>
          <w:sz w:val="22"/>
          <w:szCs w:val="22"/>
        </w:rPr>
      </w:pPr>
    </w:p>
    <w:p w:rsidR="00FE2ADA" w:rsidRPr="009B6653" w:rsidRDefault="00C8544D" w:rsidP="0034275B">
      <w:pPr>
        <w:pStyle w:val="ListParagraph"/>
        <w:numPr>
          <w:ilvl w:val="1"/>
          <w:numId w:val="25"/>
        </w:numPr>
        <w:jc w:val="both"/>
        <w:rPr>
          <w:rFonts w:ascii="Arial" w:hAnsi="Arial" w:cs="Arial"/>
          <w:color w:val="FF0000"/>
          <w:sz w:val="22"/>
          <w:szCs w:val="22"/>
        </w:rPr>
      </w:pPr>
      <w:r w:rsidRPr="009B6653">
        <w:rPr>
          <w:rFonts w:ascii="Arial" w:hAnsi="Arial" w:cs="Arial"/>
          <w:sz w:val="22"/>
          <w:szCs w:val="22"/>
        </w:rPr>
        <w:t xml:space="preserve">The DUSC advised that there is high potential for use to occur beyond the requested restriction, as the distinction between first and second line is open to interpretation. </w:t>
      </w:r>
      <w:r w:rsidR="0094097D" w:rsidRPr="009B6653">
        <w:rPr>
          <w:rFonts w:ascii="Arial" w:hAnsi="Arial" w:cs="Arial"/>
          <w:sz w:val="22"/>
          <w:szCs w:val="22"/>
        </w:rPr>
        <w:t xml:space="preserve">The </w:t>
      </w:r>
      <w:r w:rsidRPr="009B6653">
        <w:rPr>
          <w:rFonts w:ascii="Arial" w:hAnsi="Arial" w:cs="Arial"/>
          <w:sz w:val="22"/>
          <w:szCs w:val="22"/>
        </w:rPr>
        <w:t xml:space="preserve">DUSC advised this is due to subjective, weakly defined terms such ‘resistant’, ‘refractory’, ‘intolerant’ and ‘not a candidate for available therapy’. </w:t>
      </w:r>
      <w:r w:rsidR="00C5232C" w:rsidRPr="009B6653">
        <w:rPr>
          <w:rFonts w:ascii="Arial" w:hAnsi="Arial" w:cs="Arial"/>
          <w:sz w:val="22"/>
          <w:szCs w:val="22"/>
        </w:rPr>
        <w:t xml:space="preserve">The </w:t>
      </w:r>
      <w:r w:rsidRPr="009B6653">
        <w:rPr>
          <w:rFonts w:ascii="Arial" w:hAnsi="Arial" w:cs="Arial"/>
          <w:sz w:val="22"/>
          <w:szCs w:val="22"/>
        </w:rPr>
        <w:t>DUSC also noted the potential for broad interpretation of symptom severity, and advised that this could lead to use in the majority of intermediate-1 patients, particularly due to the lack of available treatments for</w:t>
      </w:r>
      <w:r w:rsidR="006972E2" w:rsidRPr="009B6653">
        <w:rPr>
          <w:rFonts w:ascii="Arial" w:hAnsi="Arial" w:cs="Arial"/>
          <w:sz w:val="22"/>
          <w:szCs w:val="22"/>
        </w:rPr>
        <w:t xml:space="preserve"> </w:t>
      </w:r>
      <w:proofErr w:type="spellStart"/>
      <w:r w:rsidR="006972E2" w:rsidRPr="009B6653">
        <w:rPr>
          <w:rFonts w:ascii="Arial" w:hAnsi="Arial" w:cs="Arial"/>
          <w:sz w:val="22"/>
          <w:szCs w:val="22"/>
        </w:rPr>
        <w:t>myelofibrosis</w:t>
      </w:r>
      <w:proofErr w:type="spellEnd"/>
      <w:r w:rsidRPr="009B6653">
        <w:rPr>
          <w:rFonts w:ascii="Arial" w:hAnsi="Arial" w:cs="Arial"/>
          <w:sz w:val="22"/>
          <w:szCs w:val="22"/>
        </w:rPr>
        <w:t xml:space="preserve">, and the perceived benefit of treatment. </w:t>
      </w:r>
    </w:p>
    <w:p w:rsidR="0034275B" w:rsidRPr="009B6653" w:rsidRDefault="0034275B" w:rsidP="0034275B">
      <w:pPr>
        <w:pStyle w:val="ListParagraph"/>
        <w:jc w:val="both"/>
        <w:rPr>
          <w:rFonts w:ascii="Arial" w:hAnsi="Arial" w:cs="Arial"/>
          <w:sz w:val="22"/>
          <w:szCs w:val="22"/>
        </w:rPr>
      </w:pPr>
    </w:p>
    <w:bookmarkEnd w:id="0"/>
    <w:bookmarkEnd w:id="1"/>
    <w:bookmarkEnd w:id="2"/>
    <w:bookmarkEnd w:id="3"/>
    <w:bookmarkEnd w:id="4"/>
    <w:bookmarkEnd w:id="5"/>
    <w:p w:rsidR="00606AAF" w:rsidRPr="009B6653" w:rsidRDefault="00E24111" w:rsidP="0034275B">
      <w:pPr>
        <w:pStyle w:val="ListParagraph"/>
        <w:numPr>
          <w:ilvl w:val="1"/>
          <w:numId w:val="25"/>
        </w:numPr>
        <w:jc w:val="both"/>
        <w:rPr>
          <w:rFonts w:ascii="Arial" w:hAnsi="Arial" w:cs="Arial"/>
          <w:sz w:val="22"/>
          <w:szCs w:val="22"/>
        </w:rPr>
      </w:pPr>
      <w:r w:rsidRPr="009B6653">
        <w:rPr>
          <w:rFonts w:ascii="Arial" w:hAnsi="Arial" w:cs="Arial"/>
          <w:sz w:val="22"/>
          <w:szCs w:val="22"/>
        </w:rPr>
        <w:t xml:space="preserve">The submission states that currently more than </w:t>
      </w:r>
      <w:r w:rsidR="005022D5">
        <w:rPr>
          <w:rFonts w:ascii="Arial" w:hAnsi="Arial" w:cs="Arial"/>
          <w:noProof/>
          <w:color w:val="000000"/>
          <w:sz w:val="22"/>
          <w:szCs w:val="22"/>
          <w:highlight w:val="black"/>
        </w:rPr>
        <w:t>'''''''''</w:t>
      </w:r>
      <w:r w:rsidRPr="009B6653">
        <w:rPr>
          <w:rFonts w:ascii="Arial" w:hAnsi="Arial" w:cs="Arial"/>
          <w:sz w:val="22"/>
          <w:szCs w:val="22"/>
        </w:rPr>
        <w:t xml:space="preserve"> patients are enrolled in the compassionate access program, which has eligibility criteria in line with those of the COMFORT trials (submission, Section F, p383).  Should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be listed, the submission assumes that these patients would be grandfathered to PBS subsidised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w:t>
      </w:r>
      <w:r w:rsidR="00C5232C" w:rsidRPr="009B6653">
        <w:rPr>
          <w:rFonts w:ascii="Arial" w:hAnsi="Arial" w:cs="Arial"/>
          <w:sz w:val="22"/>
          <w:szCs w:val="22"/>
        </w:rPr>
        <w:t xml:space="preserve">The </w:t>
      </w:r>
      <w:r w:rsidRPr="009B6653">
        <w:rPr>
          <w:rFonts w:ascii="Arial" w:hAnsi="Arial" w:cs="Arial"/>
          <w:sz w:val="22"/>
          <w:szCs w:val="22"/>
        </w:rPr>
        <w:t xml:space="preserve">DUSC noted that it is unclear how long these patients continue on treatment with </w:t>
      </w:r>
      <w:proofErr w:type="spellStart"/>
      <w:r w:rsidRPr="009B6653">
        <w:rPr>
          <w:rFonts w:ascii="Arial" w:hAnsi="Arial" w:cs="Arial"/>
          <w:sz w:val="22"/>
          <w:szCs w:val="22"/>
        </w:rPr>
        <w:t>ruxolitinib</w:t>
      </w:r>
      <w:proofErr w:type="spellEnd"/>
      <w:r w:rsidRPr="009B6653">
        <w:rPr>
          <w:rFonts w:ascii="Arial" w:hAnsi="Arial" w:cs="Arial"/>
          <w:sz w:val="22"/>
          <w:szCs w:val="22"/>
        </w:rPr>
        <w:t xml:space="preserve"> and if they are required to meet continuation criteria as included in the proposed restriction.</w:t>
      </w:r>
    </w:p>
    <w:p w:rsidR="00FE2ADA" w:rsidRPr="009B6653" w:rsidRDefault="00FE2ADA">
      <w:pPr>
        <w:pStyle w:val="ListParagraph"/>
        <w:jc w:val="both"/>
        <w:rPr>
          <w:rFonts w:ascii="Arial" w:hAnsi="Arial" w:cs="Arial"/>
          <w:sz w:val="22"/>
          <w:szCs w:val="22"/>
        </w:rPr>
      </w:pPr>
    </w:p>
    <w:p w:rsidR="00606AAF" w:rsidRPr="009B6653" w:rsidRDefault="00B2799B" w:rsidP="00606AAF">
      <w:pPr>
        <w:pStyle w:val="ListParagraph"/>
        <w:numPr>
          <w:ilvl w:val="1"/>
          <w:numId w:val="25"/>
        </w:numPr>
        <w:jc w:val="both"/>
        <w:rPr>
          <w:rFonts w:ascii="Arial" w:hAnsi="Arial" w:cs="Arial"/>
          <w:sz w:val="22"/>
          <w:szCs w:val="22"/>
        </w:rPr>
      </w:pPr>
      <w:r w:rsidRPr="009B6653">
        <w:rPr>
          <w:rFonts w:ascii="Arial" w:hAnsi="Arial" w:cs="Arial"/>
          <w:sz w:val="22"/>
          <w:szCs w:val="22"/>
        </w:rPr>
        <w:t xml:space="preserve">The </w:t>
      </w:r>
      <w:r w:rsidR="00606AAF" w:rsidRPr="009B6653">
        <w:rPr>
          <w:rFonts w:ascii="Arial" w:hAnsi="Arial" w:cs="Arial"/>
          <w:sz w:val="22"/>
          <w:szCs w:val="22"/>
        </w:rPr>
        <w:t xml:space="preserve">DUSC advised that the likelihood and possible extent of usage beyond </w:t>
      </w:r>
      <w:r w:rsidR="00554999" w:rsidRPr="009B6653">
        <w:rPr>
          <w:rFonts w:ascii="Arial" w:hAnsi="Arial" w:cs="Arial"/>
          <w:sz w:val="22"/>
          <w:szCs w:val="22"/>
        </w:rPr>
        <w:t>the estimations in the submission</w:t>
      </w:r>
      <w:r w:rsidR="00606AAF" w:rsidRPr="009B6653">
        <w:rPr>
          <w:rFonts w:ascii="Arial" w:hAnsi="Arial" w:cs="Arial"/>
          <w:sz w:val="22"/>
          <w:szCs w:val="22"/>
        </w:rPr>
        <w:t xml:space="preserve"> was low for the trial based restriction due to overestimation of the prevalent population and high for the clinical need based restriction, as the proportion of patients estimated to meet the restriction criteria are substantially underestimated for the clinical need based restriction.</w:t>
      </w:r>
    </w:p>
    <w:p w:rsidR="00606AAF" w:rsidRPr="009B6653" w:rsidRDefault="00606AAF" w:rsidP="0034275B">
      <w:pPr>
        <w:rPr>
          <w:rFonts w:ascii="Arial" w:hAnsi="Arial"/>
          <w:sz w:val="22"/>
          <w:szCs w:val="22"/>
        </w:rPr>
      </w:pPr>
    </w:p>
    <w:p w:rsidR="00606AAF" w:rsidRPr="009B6653" w:rsidRDefault="00606AAF" w:rsidP="00606AAF">
      <w:pPr>
        <w:pStyle w:val="ListParagraph"/>
        <w:numPr>
          <w:ilvl w:val="1"/>
          <w:numId w:val="25"/>
        </w:numPr>
        <w:jc w:val="both"/>
        <w:rPr>
          <w:rFonts w:ascii="Arial" w:hAnsi="Arial"/>
          <w:sz w:val="22"/>
          <w:szCs w:val="22"/>
        </w:rPr>
      </w:pPr>
      <w:r w:rsidRPr="009B6653">
        <w:rPr>
          <w:rFonts w:ascii="Arial" w:hAnsi="Arial"/>
          <w:sz w:val="22"/>
          <w:szCs w:val="22"/>
        </w:rPr>
        <w:t xml:space="preserve">The ESC noted that </w:t>
      </w:r>
      <w:r w:rsidR="00C30948" w:rsidRPr="009B6653">
        <w:rPr>
          <w:rFonts w:ascii="Arial" w:hAnsi="Arial"/>
          <w:sz w:val="22"/>
          <w:szCs w:val="22"/>
        </w:rPr>
        <w:t>a</w:t>
      </w:r>
      <w:r w:rsidRPr="009B6653">
        <w:rPr>
          <w:rFonts w:ascii="Arial" w:hAnsi="Arial"/>
          <w:sz w:val="22"/>
          <w:szCs w:val="22"/>
        </w:rPr>
        <w:t xml:space="preserve"> </w:t>
      </w:r>
      <w:r w:rsidR="005022D5">
        <w:rPr>
          <w:rFonts w:ascii="Arial" w:hAnsi="Arial"/>
          <w:noProof/>
          <w:color w:val="000000"/>
          <w:sz w:val="22"/>
          <w:szCs w:val="22"/>
          <w:highlight w:val="black"/>
        </w:rPr>
        <w:t>''''''</w:t>
      </w:r>
      <w:r w:rsidRPr="0007072F">
        <w:rPr>
          <w:rFonts w:ascii="Arial" w:hAnsi="Arial"/>
          <w:sz w:val="22"/>
          <w:szCs w:val="22"/>
        </w:rPr>
        <w:t>%</w:t>
      </w:r>
      <w:r w:rsidRPr="009B6653">
        <w:rPr>
          <w:rFonts w:ascii="Arial" w:hAnsi="Arial"/>
          <w:sz w:val="22"/>
          <w:szCs w:val="22"/>
        </w:rPr>
        <w:t xml:space="preserve"> rebate on the </w:t>
      </w:r>
      <w:r w:rsidR="00C30948" w:rsidRPr="009B6653">
        <w:rPr>
          <w:rFonts w:ascii="Arial" w:hAnsi="Arial"/>
          <w:sz w:val="22"/>
          <w:szCs w:val="22"/>
        </w:rPr>
        <w:t>e</w:t>
      </w:r>
      <w:r w:rsidRPr="009B6653">
        <w:rPr>
          <w:rFonts w:ascii="Arial" w:hAnsi="Arial"/>
          <w:sz w:val="22"/>
          <w:szCs w:val="22"/>
        </w:rPr>
        <w:t xml:space="preserve">x-manufacturer price </w:t>
      </w:r>
      <w:r w:rsidR="00C30948" w:rsidRPr="009B6653">
        <w:rPr>
          <w:rFonts w:ascii="Arial" w:hAnsi="Arial"/>
          <w:sz w:val="22"/>
          <w:szCs w:val="22"/>
        </w:rPr>
        <w:t>wa</w:t>
      </w:r>
      <w:r w:rsidRPr="009B6653">
        <w:rPr>
          <w:rFonts w:ascii="Arial" w:hAnsi="Arial"/>
          <w:sz w:val="22"/>
          <w:szCs w:val="22"/>
        </w:rPr>
        <w:t>s offered (</w:t>
      </w:r>
      <w:r w:rsidR="005022D5">
        <w:rPr>
          <w:rFonts w:ascii="Arial" w:hAnsi="Arial"/>
          <w:noProof/>
          <w:color w:val="000000"/>
          <w:sz w:val="22"/>
          <w:szCs w:val="22"/>
          <w:highlight w:val="black"/>
        </w:rPr>
        <w:t>''''''</w:t>
      </w:r>
      <w:r w:rsidRPr="0007072F">
        <w:rPr>
          <w:rFonts w:ascii="Arial" w:hAnsi="Arial"/>
          <w:sz w:val="22"/>
          <w:szCs w:val="22"/>
        </w:rPr>
        <w:t>%</w:t>
      </w:r>
      <w:r w:rsidR="005022D5">
        <w:rPr>
          <w:rFonts w:ascii="Arial" w:hAnsi="Arial"/>
          <w:noProof/>
          <w:color w:val="000000"/>
          <w:sz w:val="22"/>
          <w:szCs w:val="22"/>
          <w:highlight w:val="black"/>
        </w:rPr>
        <w:t xml:space="preserve"> ''''''''''''</w:t>
      </w:r>
      <w:r w:rsidRPr="0007072F">
        <w:rPr>
          <w:rFonts w:ascii="Arial" w:hAnsi="Arial"/>
          <w:sz w:val="22"/>
          <w:szCs w:val="22"/>
        </w:rPr>
        <w:t xml:space="preserve"> compared to July 2013</w:t>
      </w:r>
      <w:r w:rsidRPr="009B6653">
        <w:rPr>
          <w:rFonts w:ascii="Arial" w:hAnsi="Arial"/>
          <w:sz w:val="22"/>
          <w:szCs w:val="22"/>
        </w:rPr>
        <w:t xml:space="preserve">).  PBAC had previously recommended the inclusion of a mechanism within risk sharing to obtain data (survival, durability of response and reasons for treatment failure) for patients treated with </w:t>
      </w:r>
      <w:proofErr w:type="spellStart"/>
      <w:r w:rsidRPr="009B6653">
        <w:rPr>
          <w:rFonts w:ascii="Arial" w:hAnsi="Arial"/>
          <w:sz w:val="22"/>
          <w:szCs w:val="22"/>
        </w:rPr>
        <w:t>ruxolitinib</w:t>
      </w:r>
      <w:proofErr w:type="spellEnd"/>
      <w:r w:rsidRPr="009B6653">
        <w:rPr>
          <w:rFonts w:ascii="Arial" w:hAnsi="Arial"/>
          <w:sz w:val="22"/>
          <w:szCs w:val="22"/>
        </w:rPr>
        <w:t xml:space="preserve"> in Australian clinical practice, to better inform future decisions about how this disease should be treated. This has not been addressed by the resubmission</w:t>
      </w:r>
      <w:r w:rsidR="008818D5" w:rsidRPr="009B6653">
        <w:rPr>
          <w:rFonts w:ascii="Arial" w:hAnsi="Arial"/>
          <w:sz w:val="22"/>
          <w:szCs w:val="22"/>
        </w:rPr>
        <w:t>.</w:t>
      </w:r>
    </w:p>
    <w:p w:rsidR="00BB7EC3" w:rsidRPr="00606AAF" w:rsidRDefault="00BB7EC3" w:rsidP="00606AAF">
      <w:pPr>
        <w:jc w:val="both"/>
        <w:rPr>
          <w:rFonts w:ascii="Arial" w:hAnsi="Arial"/>
          <w:i/>
          <w:sz w:val="22"/>
          <w:szCs w:val="22"/>
        </w:rPr>
      </w:pPr>
    </w:p>
    <w:p w:rsidR="0024686D"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62C0F" w:rsidRPr="00882085" w:rsidRDefault="00862C0F" w:rsidP="00CD1283">
      <w:pPr>
        <w:pStyle w:val="ListParagraph"/>
        <w:ind w:left="709"/>
        <w:jc w:val="both"/>
      </w:pPr>
    </w:p>
    <w:p w:rsidR="00725AA3" w:rsidRPr="00407F2D" w:rsidRDefault="00725AA3" w:rsidP="00725AA3">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3A6EFF" w:rsidRPr="00882085" w:rsidRDefault="003A6EFF" w:rsidP="00882085">
      <w:pPr>
        <w:jc w:val="both"/>
        <w:rPr>
          <w:rFonts w:ascii="Arial" w:hAnsi="Arial"/>
          <w:b/>
          <w:sz w:val="22"/>
          <w:szCs w:val="22"/>
        </w:rPr>
      </w:pPr>
    </w:p>
    <w:p w:rsidR="002A1D18" w:rsidRPr="00660AE0" w:rsidRDefault="00BF5FDC" w:rsidP="00CD1283">
      <w:pPr>
        <w:pStyle w:val="ListParagraph"/>
        <w:numPr>
          <w:ilvl w:val="1"/>
          <w:numId w:val="25"/>
        </w:numPr>
        <w:jc w:val="both"/>
        <w:rPr>
          <w:rFonts w:ascii="Arial" w:hAnsi="Arial"/>
          <w:sz w:val="22"/>
          <w:szCs w:val="22"/>
        </w:rPr>
      </w:pPr>
      <w:r w:rsidRPr="00CD1283">
        <w:rPr>
          <w:rFonts w:ascii="Arial" w:hAnsi="Arial"/>
          <w:sz w:val="22"/>
          <w:szCs w:val="22"/>
        </w:rPr>
        <w:t xml:space="preserve">The PBAC deferred the proposed </w:t>
      </w:r>
      <w:r w:rsidRPr="00CD1283">
        <w:rPr>
          <w:rFonts w:ascii="Arial" w:hAnsi="Arial" w:cs="Arial"/>
          <w:sz w:val="22"/>
          <w:szCs w:val="22"/>
        </w:rPr>
        <w:t xml:space="preserve">Authority </w:t>
      </w:r>
      <w:proofErr w:type="gramStart"/>
      <w:r w:rsidRPr="00CD1283">
        <w:rPr>
          <w:rFonts w:ascii="Arial" w:hAnsi="Arial" w:cs="Arial"/>
          <w:sz w:val="22"/>
          <w:szCs w:val="22"/>
        </w:rPr>
        <w:t>Required</w:t>
      </w:r>
      <w:proofErr w:type="gramEnd"/>
      <w:r w:rsidRPr="00CD1283">
        <w:rPr>
          <w:rFonts w:ascii="Arial" w:hAnsi="Arial" w:cs="Arial"/>
          <w:sz w:val="22"/>
          <w:szCs w:val="22"/>
        </w:rPr>
        <w:t xml:space="preserve"> listing for </w:t>
      </w:r>
      <w:proofErr w:type="spellStart"/>
      <w:r w:rsidRPr="00CD1283">
        <w:rPr>
          <w:rFonts w:ascii="Arial" w:hAnsi="Arial" w:cs="Arial"/>
          <w:sz w:val="22"/>
          <w:szCs w:val="22"/>
        </w:rPr>
        <w:t>ruxolitinib</w:t>
      </w:r>
      <w:proofErr w:type="spellEnd"/>
      <w:r w:rsidRPr="00CD1283">
        <w:rPr>
          <w:rFonts w:ascii="Arial" w:hAnsi="Arial" w:cs="Arial"/>
          <w:sz w:val="22"/>
          <w:szCs w:val="22"/>
        </w:rPr>
        <w:t xml:space="preserve"> for second line management of</w:t>
      </w:r>
      <w:r w:rsidR="006972E2">
        <w:rPr>
          <w:rFonts w:ascii="Arial" w:hAnsi="Arial" w:cs="Arial"/>
          <w:sz w:val="22"/>
          <w:szCs w:val="22"/>
        </w:rPr>
        <w:t xml:space="preserve"> </w:t>
      </w:r>
      <w:proofErr w:type="spellStart"/>
      <w:r w:rsidR="006972E2">
        <w:rPr>
          <w:rFonts w:ascii="Arial" w:hAnsi="Arial" w:cs="Arial"/>
          <w:sz w:val="22"/>
          <w:szCs w:val="22"/>
        </w:rPr>
        <w:t>myelofibrosis</w:t>
      </w:r>
      <w:proofErr w:type="spellEnd"/>
      <w:r w:rsidR="006972E2">
        <w:rPr>
          <w:rFonts w:ascii="Arial" w:hAnsi="Arial" w:cs="Arial"/>
          <w:sz w:val="22"/>
          <w:szCs w:val="22"/>
        </w:rPr>
        <w:t xml:space="preserve"> </w:t>
      </w:r>
      <w:r w:rsidRPr="00CD1283">
        <w:rPr>
          <w:rFonts w:ascii="Arial" w:hAnsi="Arial" w:cs="Arial"/>
          <w:sz w:val="22"/>
          <w:szCs w:val="22"/>
        </w:rPr>
        <w:t>in patients satisfying certain clinical criteri</w:t>
      </w:r>
      <w:r w:rsidR="002A1D18" w:rsidRPr="00CD1283">
        <w:rPr>
          <w:rFonts w:ascii="Arial" w:hAnsi="Arial" w:cs="Arial"/>
          <w:sz w:val="22"/>
          <w:szCs w:val="22"/>
        </w:rPr>
        <w:t>a</w:t>
      </w:r>
      <w:r w:rsidR="001415A1" w:rsidRPr="00CD1283">
        <w:rPr>
          <w:rFonts w:ascii="Arial" w:hAnsi="Arial" w:cs="Arial"/>
          <w:sz w:val="22"/>
          <w:szCs w:val="22"/>
        </w:rPr>
        <w:t xml:space="preserve"> due to a lack of clarity around the </w:t>
      </w:r>
      <w:r w:rsidR="00DA3216">
        <w:rPr>
          <w:rFonts w:ascii="Arial" w:hAnsi="Arial" w:cs="Arial"/>
          <w:sz w:val="22"/>
          <w:szCs w:val="22"/>
        </w:rPr>
        <w:t xml:space="preserve">appropriate </w:t>
      </w:r>
      <w:r w:rsidR="001415A1" w:rsidRPr="00CD1283">
        <w:rPr>
          <w:rFonts w:ascii="Arial" w:hAnsi="Arial" w:cs="Arial"/>
          <w:sz w:val="22"/>
          <w:szCs w:val="22"/>
        </w:rPr>
        <w:t xml:space="preserve">clinical place of </w:t>
      </w:r>
      <w:proofErr w:type="spellStart"/>
      <w:r w:rsidR="001415A1" w:rsidRPr="00CD1283">
        <w:rPr>
          <w:rFonts w:ascii="Arial" w:hAnsi="Arial" w:cs="Arial"/>
          <w:sz w:val="22"/>
          <w:szCs w:val="22"/>
        </w:rPr>
        <w:t>ruxolitinib</w:t>
      </w:r>
      <w:proofErr w:type="spellEnd"/>
      <w:r w:rsidR="00614322">
        <w:rPr>
          <w:rFonts w:ascii="Arial" w:hAnsi="Arial" w:cs="Arial"/>
          <w:sz w:val="22"/>
          <w:szCs w:val="22"/>
        </w:rPr>
        <w:t xml:space="preserve"> </w:t>
      </w:r>
      <w:r w:rsidR="00DA3216">
        <w:rPr>
          <w:rFonts w:ascii="Arial" w:hAnsi="Arial" w:cs="Arial"/>
          <w:sz w:val="22"/>
          <w:szCs w:val="22"/>
        </w:rPr>
        <w:t xml:space="preserve">in Australian practice, </w:t>
      </w:r>
      <w:r w:rsidR="00614322">
        <w:rPr>
          <w:rFonts w:ascii="Arial" w:hAnsi="Arial" w:cs="Arial"/>
          <w:sz w:val="22"/>
          <w:szCs w:val="22"/>
        </w:rPr>
        <w:t>concerns regarding the proposed restriction</w:t>
      </w:r>
      <w:r w:rsidR="00DA3216">
        <w:rPr>
          <w:rFonts w:ascii="Arial" w:hAnsi="Arial" w:cs="Arial"/>
          <w:sz w:val="22"/>
          <w:szCs w:val="22"/>
        </w:rPr>
        <w:t xml:space="preserve">, and an unacceptably high price. Each of these matters precluded the committee from reaching a conclusion that </w:t>
      </w:r>
      <w:proofErr w:type="spellStart"/>
      <w:r w:rsidR="00DA3216">
        <w:rPr>
          <w:rFonts w:ascii="Arial" w:hAnsi="Arial" w:cs="Arial"/>
          <w:sz w:val="22"/>
          <w:szCs w:val="22"/>
        </w:rPr>
        <w:t>ruxolitinib</w:t>
      </w:r>
      <w:proofErr w:type="spellEnd"/>
      <w:r w:rsidR="00DA3216">
        <w:rPr>
          <w:rFonts w:ascii="Arial" w:hAnsi="Arial" w:cs="Arial"/>
          <w:sz w:val="22"/>
          <w:szCs w:val="22"/>
        </w:rPr>
        <w:t xml:space="preserve"> was cost-effective</w:t>
      </w:r>
      <w:r w:rsidR="00F84D52">
        <w:rPr>
          <w:rFonts w:ascii="Arial" w:hAnsi="Arial" w:cs="Arial"/>
          <w:sz w:val="22"/>
          <w:szCs w:val="22"/>
        </w:rPr>
        <w:t>.</w:t>
      </w:r>
    </w:p>
    <w:p w:rsidR="00660AE0" w:rsidRPr="00660AE0" w:rsidRDefault="00660AE0" w:rsidP="00B31FF0">
      <w:pPr>
        <w:pStyle w:val="ListParagraph"/>
        <w:jc w:val="both"/>
        <w:rPr>
          <w:rFonts w:ascii="Arial" w:hAnsi="Arial"/>
          <w:sz w:val="22"/>
          <w:szCs w:val="22"/>
        </w:rPr>
      </w:pPr>
    </w:p>
    <w:p w:rsidR="00660AE0" w:rsidRPr="00DC056F" w:rsidRDefault="00660AE0" w:rsidP="00660AE0">
      <w:pPr>
        <w:pStyle w:val="ListParagraph"/>
        <w:numPr>
          <w:ilvl w:val="1"/>
          <w:numId w:val="25"/>
        </w:numPr>
        <w:jc w:val="both"/>
        <w:rPr>
          <w:rFonts w:ascii="Arial" w:hAnsi="Arial"/>
          <w:sz w:val="22"/>
          <w:szCs w:val="22"/>
        </w:rPr>
      </w:pPr>
      <w:r>
        <w:rPr>
          <w:rFonts w:ascii="Arial" w:hAnsi="Arial" w:cs="Arial"/>
          <w:sz w:val="22"/>
          <w:szCs w:val="22"/>
        </w:rPr>
        <w:t xml:space="preserve">The </w:t>
      </w:r>
      <w:r w:rsidRPr="00CD1283">
        <w:rPr>
          <w:rFonts w:ascii="Arial" w:hAnsi="Arial" w:cs="Arial"/>
          <w:sz w:val="22"/>
          <w:szCs w:val="22"/>
        </w:rPr>
        <w:t>PBAC noted</w:t>
      </w:r>
      <w:r>
        <w:rPr>
          <w:rFonts w:ascii="Arial" w:hAnsi="Arial" w:cs="Arial"/>
          <w:sz w:val="22"/>
          <w:szCs w:val="22"/>
        </w:rPr>
        <w:t xml:space="preserve"> </w:t>
      </w:r>
      <w:r w:rsidRPr="00CD1283">
        <w:rPr>
          <w:rFonts w:ascii="Arial" w:hAnsi="Arial" w:cs="Arial"/>
          <w:sz w:val="22"/>
          <w:szCs w:val="22"/>
        </w:rPr>
        <w:t>the spo</w:t>
      </w:r>
      <w:r w:rsidRPr="008812B6">
        <w:rPr>
          <w:rFonts w:ascii="Arial" w:hAnsi="Arial" w:cs="Arial"/>
          <w:sz w:val="22"/>
          <w:szCs w:val="22"/>
        </w:rPr>
        <w:t>nsor</w:t>
      </w:r>
      <w:r>
        <w:rPr>
          <w:rFonts w:ascii="Arial" w:hAnsi="Arial" w:cs="Arial"/>
          <w:sz w:val="22"/>
          <w:szCs w:val="22"/>
        </w:rPr>
        <w:t>’</w:t>
      </w:r>
      <w:r w:rsidRPr="008812B6">
        <w:rPr>
          <w:rFonts w:ascii="Arial" w:hAnsi="Arial" w:cs="Arial"/>
          <w:sz w:val="22"/>
          <w:szCs w:val="22"/>
        </w:rPr>
        <w:t>s request</w:t>
      </w:r>
      <w:r>
        <w:rPr>
          <w:rFonts w:ascii="Arial" w:hAnsi="Arial" w:cs="Arial"/>
          <w:sz w:val="22"/>
          <w:szCs w:val="22"/>
        </w:rPr>
        <w:t xml:space="preserve"> in the pre-PBAC response</w:t>
      </w:r>
      <w:r w:rsidRPr="008812B6">
        <w:rPr>
          <w:rFonts w:ascii="Arial" w:hAnsi="Arial" w:cs="Arial"/>
          <w:sz w:val="22"/>
          <w:szCs w:val="22"/>
        </w:rPr>
        <w:t xml:space="preserve"> </w:t>
      </w:r>
      <w:r>
        <w:rPr>
          <w:rFonts w:ascii="Arial" w:hAnsi="Arial" w:cs="Arial"/>
          <w:sz w:val="22"/>
          <w:szCs w:val="22"/>
        </w:rPr>
        <w:t>to limit the restriction to intermediate-2 and high risk patients, so as to ensure the restriction was consistent with the current available clinical evidence.</w:t>
      </w:r>
      <w:r w:rsidDel="00F42CEC">
        <w:rPr>
          <w:rStyle w:val="CommentReference"/>
        </w:rPr>
        <w:t xml:space="preserve"> </w:t>
      </w:r>
      <w:r>
        <w:rPr>
          <w:rFonts w:ascii="Arial" w:hAnsi="Arial" w:cs="Arial"/>
          <w:sz w:val="22"/>
          <w:szCs w:val="22"/>
        </w:rPr>
        <w:t>The committee considered this</w:t>
      </w:r>
      <w:r w:rsidRPr="00CD1283">
        <w:rPr>
          <w:rFonts w:ascii="Arial" w:hAnsi="Arial" w:cs="Arial"/>
          <w:sz w:val="22"/>
          <w:szCs w:val="22"/>
        </w:rPr>
        <w:t xml:space="preserve"> inappropriate as it </w:t>
      </w:r>
      <w:r>
        <w:rPr>
          <w:rFonts w:ascii="Arial" w:hAnsi="Arial" w:cs="Arial"/>
          <w:sz w:val="22"/>
          <w:szCs w:val="22"/>
        </w:rPr>
        <w:t xml:space="preserve">would </w:t>
      </w:r>
      <w:r w:rsidRPr="00CD1283">
        <w:rPr>
          <w:rFonts w:ascii="Arial" w:hAnsi="Arial" w:cs="Arial"/>
          <w:sz w:val="22"/>
          <w:szCs w:val="22"/>
        </w:rPr>
        <w:t>exclude</w:t>
      </w:r>
      <w:r>
        <w:rPr>
          <w:rFonts w:ascii="Arial" w:hAnsi="Arial" w:cs="Arial"/>
          <w:sz w:val="22"/>
          <w:szCs w:val="22"/>
        </w:rPr>
        <w:t xml:space="preserve"> lower risk</w:t>
      </w:r>
      <w:r w:rsidRPr="00CD1283">
        <w:rPr>
          <w:rFonts w:ascii="Arial" w:hAnsi="Arial" w:cs="Arial"/>
          <w:sz w:val="22"/>
          <w:szCs w:val="22"/>
        </w:rPr>
        <w:t xml:space="preserve"> patients</w:t>
      </w:r>
      <w:r>
        <w:rPr>
          <w:rFonts w:ascii="Arial" w:hAnsi="Arial" w:cs="Arial"/>
          <w:sz w:val="22"/>
          <w:szCs w:val="22"/>
        </w:rPr>
        <w:t xml:space="preserve"> who still demonstrated a clear clinical need</w:t>
      </w:r>
      <w:r w:rsidRPr="00CD1283">
        <w:rPr>
          <w:rFonts w:ascii="Arial" w:hAnsi="Arial" w:cs="Arial"/>
          <w:sz w:val="22"/>
          <w:szCs w:val="22"/>
        </w:rPr>
        <w:t xml:space="preserve">. </w:t>
      </w:r>
      <w:r>
        <w:rPr>
          <w:rFonts w:ascii="Arial" w:hAnsi="Arial" w:cs="Arial"/>
          <w:sz w:val="22"/>
          <w:szCs w:val="22"/>
        </w:rPr>
        <w:t xml:space="preserve">The PBAC considered there is a clinical need for </w:t>
      </w:r>
      <w:proofErr w:type="spellStart"/>
      <w:r>
        <w:rPr>
          <w:rFonts w:ascii="Arial" w:hAnsi="Arial" w:cs="Arial"/>
          <w:sz w:val="22"/>
          <w:szCs w:val="22"/>
        </w:rPr>
        <w:t>ruxolitinib</w:t>
      </w:r>
      <w:proofErr w:type="spellEnd"/>
      <w:r>
        <w:rPr>
          <w:rFonts w:ascii="Arial" w:hAnsi="Arial" w:cs="Arial"/>
          <w:sz w:val="22"/>
          <w:szCs w:val="22"/>
        </w:rPr>
        <w:t xml:space="preserve"> in the treatment of </w:t>
      </w:r>
      <w:proofErr w:type="spellStart"/>
      <w:r w:rsidR="006972E2">
        <w:rPr>
          <w:rFonts w:ascii="Arial" w:hAnsi="Arial" w:cs="Arial"/>
          <w:sz w:val="22"/>
          <w:szCs w:val="22"/>
        </w:rPr>
        <w:t>myelofibrosis</w:t>
      </w:r>
      <w:proofErr w:type="spellEnd"/>
      <w:r>
        <w:rPr>
          <w:rFonts w:ascii="Arial" w:hAnsi="Arial" w:cs="Arial"/>
          <w:sz w:val="22"/>
          <w:szCs w:val="22"/>
        </w:rPr>
        <w:t xml:space="preserve"> and that there are patients who may benefit from treatment across the risk groups.</w:t>
      </w:r>
    </w:p>
    <w:p w:rsidR="00660AE0" w:rsidRPr="00B31FF0" w:rsidRDefault="00660AE0" w:rsidP="00B31FF0">
      <w:pPr>
        <w:pStyle w:val="ListParagraph"/>
        <w:rPr>
          <w:rFonts w:ascii="Arial" w:hAnsi="Arial"/>
          <w:sz w:val="22"/>
          <w:szCs w:val="22"/>
        </w:rPr>
      </w:pPr>
    </w:p>
    <w:p w:rsidR="00660AE0" w:rsidRPr="00B31FF0" w:rsidRDefault="00660AE0">
      <w:pPr>
        <w:pStyle w:val="ListParagraph"/>
        <w:numPr>
          <w:ilvl w:val="1"/>
          <w:numId w:val="25"/>
        </w:numPr>
        <w:jc w:val="both"/>
        <w:rPr>
          <w:rFonts w:ascii="Arial" w:hAnsi="Arial"/>
          <w:sz w:val="22"/>
          <w:szCs w:val="22"/>
        </w:rPr>
      </w:pPr>
      <w:r w:rsidRPr="00CD1283">
        <w:rPr>
          <w:rFonts w:ascii="Arial" w:hAnsi="Arial"/>
          <w:sz w:val="22"/>
          <w:szCs w:val="22"/>
        </w:rPr>
        <w:t>The PBAC noted that the distinction between first and second line use was open to interpretation</w:t>
      </w:r>
      <w:r>
        <w:rPr>
          <w:rFonts w:ascii="Arial" w:hAnsi="Arial"/>
          <w:sz w:val="22"/>
          <w:szCs w:val="22"/>
        </w:rPr>
        <w:t>,</w:t>
      </w:r>
      <w:r w:rsidRPr="00CD1283">
        <w:rPr>
          <w:rFonts w:ascii="Arial" w:hAnsi="Arial"/>
          <w:sz w:val="22"/>
          <w:szCs w:val="22"/>
        </w:rPr>
        <w:t xml:space="preserve"> </w:t>
      </w:r>
      <w:r>
        <w:rPr>
          <w:rFonts w:ascii="Arial" w:hAnsi="Arial"/>
          <w:sz w:val="22"/>
          <w:szCs w:val="22"/>
        </w:rPr>
        <w:t>as differentiating definitions such as</w:t>
      </w:r>
      <w:r w:rsidRPr="00CD1283">
        <w:rPr>
          <w:rFonts w:ascii="Arial" w:hAnsi="Arial"/>
          <w:sz w:val="22"/>
          <w:szCs w:val="22"/>
        </w:rPr>
        <w:t xml:space="preserve"> </w:t>
      </w:r>
      <w:r w:rsidRPr="00CD1283">
        <w:rPr>
          <w:rFonts w:ascii="Arial" w:hAnsi="Arial" w:cs="Arial"/>
          <w:sz w:val="22"/>
          <w:szCs w:val="22"/>
        </w:rPr>
        <w:t>‘resistant’, ‘refractory’, ‘intolerant’ and ‘not a candidate for available therapy’</w:t>
      </w:r>
      <w:r>
        <w:rPr>
          <w:rFonts w:ascii="Arial" w:hAnsi="Arial" w:cs="Arial"/>
          <w:sz w:val="22"/>
          <w:szCs w:val="22"/>
        </w:rPr>
        <w:t xml:space="preserve"> were highly subjective</w:t>
      </w:r>
      <w:r w:rsidRPr="00CD1283">
        <w:rPr>
          <w:rFonts w:ascii="Arial" w:hAnsi="Arial" w:cs="Arial"/>
          <w:sz w:val="22"/>
          <w:szCs w:val="22"/>
        </w:rPr>
        <w:t xml:space="preserve">. The potential for broad interpretation of symptom severity was also noted. The PBAC, in agreement with DUSC, expressed concern that </w:t>
      </w:r>
      <w:r>
        <w:rPr>
          <w:rFonts w:ascii="Arial" w:hAnsi="Arial" w:cs="Arial"/>
          <w:sz w:val="22"/>
          <w:szCs w:val="22"/>
        </w:rPr>
        <w:t>there was potential</w:t>
      </w:r>
      <w:r w:rsidRPr="00CD1283">
        <w:rPr>
          <w:rFonts w:ascii="Arial" w:hAnsi="Arial" w:cs="Arial"/>
          <w:sz w:val="22"/>
          <w:szCs w:val="22"/>
        </w:rPr>
        <w:t xml:space="preserve"> for </w:t>
      </w:r>
      <w:proofErr w:type="spellStart"/>
      <w:r w:rsidRPr="00CD1283">
        <w:rPr>
          <w:rFonts w:ascii="Arial" w:hAnsi="Arial" w:cs="Arial"/>
          <w:sz w:val="22"/>
          <w:szCs w:val="22"/>
        </w:rPr>
        <w:t>ruxolitinib</w:t>
      </w:r>
      <w:proofErr w:type="spellEnd"/>
      <w:r w:rsidRPr="00CD1283">
        <w:rPr>
          <w:rFonts w:ascii="Arial" w:hAnsi="Arial" w:cs="Arial"/>
          <w:sz w:val="22"/>
          <w:szCs w:val="22"/>
        </w:rPr>
        <w:t xml:space="preserve"> use in the </w:t>
      </w:r>
      <w:r w:rsidRPr="00CD1283">
        <w:rPr>
          <w:rFonts w:ascii="Arial" w:hAnsi="Arial" w:cs="Arial"/>
          <w:sz w:val="22"/>
          <w:szCs w:val="22"/>
        </w:rPr>
        <w:lastRenderedPageBreak/>
        <w:t xml:space="preserve">majority of intermediate-1 patients, particularly due to the lack of available treatments for </w:t>
      </w:r>
      <w:proofErr w:type="spellStart"/>
      <w:r w:rsidR="006972E2">
        <w:rPr>
          <w:rFonts w:ascii="Arial" w:hAnsi="Arial" w:cs="Arial"/>
          <w:sz w:val="22"/>
          <w:szCs w:val="22"/>
        </w:rPr>
        <w:t>myelofibrosis</w:t>
      </w:r>
      <w:proofErr w:type="spellEnd"/>
      <w:r w:rsidRPr="00CD1283">
        <w:rPr>
          <w:rFonts w:ascii="Arial" w:hAnsi="Arial" w:cs="Arial"/>
          <w:sz w:val="22"/>
          <w:szCs w:val="22"/>
        </w:rPr>
        <w:t xml:space="preserve"> and </w:t>
      </w:r>
      <w:r>
        <w:rPr>
          <w:rFonts w:ascii="Arial" w:hAnsi="Arial" w:cs="Arial"/>
          <w:sz w:val="22"/>
          <w:szCs w:val="22"/>
        </w:rPr>
        <w:t xml:space="preserve">the </w:t>
      </w:r>
      <w:r w:rsidRPr="00CD1283">
        <w:rPr>
          <w:rFonts w:ascii="Arial" w:hAnsi="Arial" w:cs="Arial"/>
          <w:sz w:val="22"/>
          <w:szCs w:val="22"/>
        </w:rPr>
        <w:t>perceived benefit of treatment</w:t>
      </w:r>
      <w:r w:rsidR="00614322">
        <w:rPr>
          <w:rFonts w:ascii="Arial" w:hAnsi="Arial" w:cs="Arial"/>
          <w:sz w:val="22"/>
          <w:szCs w:val="22"/>
        </w:rPr>
        <w:t>.</w:t>
      </w:r>
      <w:r w:rsidRPr="00CD1283">
        <w:rPr>
          <w:rFonts w:ascii="Arial" w:hAnsi="Arial" w:cs="Arial"/>
          <w:sz w:val="22"/>
          <w:szCs w:val="22"/>
        </w:rPr>
        <w:t xml:space="preserve"> </w:t>
      </w:r>
    </w:p>
    <w:p w:rsidR="002A1D18" w:rsidRPr="00F85A75" w:rsidRDefault="002A1D18" w:rsidP="00F85A75">
      <w:pPr>
        <w:jc w:val="both"/>
        <w:rPr>
          <w:rFonts w:ascii="Arial" w:hAnsi="Arial"/>
          <w:sz w:val="22"/>
          <w:szCs w:val="22"/>
        </w:rPr>
      </w:pPr>
    </w:p>
    <w:p w:rsidR="008812B6" w:rsidRPr="00F85A75" w:rsidRDefault="008812B6" w:rsidP="00F85A75">
      <w:pPr>
        <w:pStyle w:val="ListParagraph"/>
        <w:numPr>
          <w:ilvl w:val="1"/>
          <w:numId w:val="25"/>
        </w:numPr>
        <w:jc w:val="both"/>
        <w:rPr>
          <w:rFonts w:ascii="Arial" w:hAnsi="Arial"/>
          <w:sz w:val="22"/>
          <w:szCs w:val="22"/>
        </w:rPr>
      </w:pPr>
      <w:r w:rsidRPr="00F768FB">
        <w:rPr>
          <w:rFonts w:ascii="Arial" w:hAnsi="Arial" w:cs="Arial"/>
          <w:sz w:val="22"/>
          <w:szCs w:val="22"/>
        </w:rPr>
        <w:t>The PBAC agreed with ESC that the point estimates generated by the Week 144 Kaplan Meier analyses for the ITT and PP populations should represent a lower and upper bound for the likely OS benefit base case</w:t>
      </w:r>
      <w:r w:rsidR="00B31FF0">
        <w:rPr>
          <w:rFonts w:ascii="Arial" w:hAnsi="Arial" w:cs="Arial"/>
          <w:sz w:val="22"/>
          <w:szCs w:val="22"/>
        </w:rPr>
        <w:t>.</w:t>
      </w:r>
      <w:r w:rsidRPr="00F768FB">
        <w:rPr>
          <w:rFonts w:ascii="Arial" w:hAnsi="Arial" w:cs="Arial"/>
          <w:sz w:val="22"/>
          <w:szCs w:val="22"/>
        </w:rPr>
        <w:t xml:space="preserve"> The PBAC </w:t>
      </w:r>
      <w:r w:rsidR="00AA2CC2" w:rsidRPr="00F768FB">
        <w:rPr>
          <w:rFonts w:ascii="Arial" w:hAnsi="Arial" w:cs="Arial"/>
          <w:sz w:val="22"/>
          <w:szCs w:val="22"/>
        </w:rPr>
        <w:t>noted</w:t>
      </w:r>
      <w:r w:rsidRPr="00F768FB">
        <w:rPr>
          <w:rFonts w:ascii="Arial" w:hAnsi="Arial" w:cs="Arial"/>
          <w:sz w:val="22"/>
          <w:szCs w:val="22"/>
        </w:rPr>
        <w:t xml:space="preserve"> the sponsor’s argument that the PP population are likely to represent those with the greatest clinical need and thus represent the likely OS benefit base case</w:t>
      </w:r>
      <w:r w:rsidR="005434E0" w:rsidRPr="00F768FB">
        <w:rPr>
          <w:rFonts w:ascii="Arial" w:hAnsi="Arial" w:cs="Arial"/>
          <w:sz w:val="22"/>
          <w:szCs w:val="22"/>
        </w:rPr>
        <w:t>,</w:t>
      </w:r>
      <w:r w:rsidR="00AA2CC2" w:rsidRPr="00F768FB">
        <w:rPr>
          <w:rFonts w:ascii="Arial" w:hAnsi="Arial" w:cs="Arial"/>
          <w:sz w:val="22"/>
          <w:szCs w:val="22"/>
        </w:rPr>
        <w:t xml:space="preserve"> however the committee did not agree with this logic,</w:t>
      </w:r>
      <w:r w:rsidR="005434E0" w:rsidRPr="00F768FB">
        <w:rPr>
          <w:rFonts w:ascii="Arial" w:hAnsi="Arial" w:cs="Arial"/>
          <w:sz w:val="22"/>
          <w:szCs w:val="22"/>
        </w:rPr>
        <w:t xml:space="preserve"> stating that the economic analysis conducted did not reflect conventional economic analysis</w:t>
      </w:r>
      <w:r w:rsidRPr="00F768FB">
        <w:rPr>
          <w:rFonts w:ascii="Arial" w:hAnsi="Arial" w:cs="Arial"/>
          <w:sz w:val="22"/>
          <w:szCs w:val="22"/>
        </w:rPr>
        <w:t>.</w:t>
      </w:r>
    </w:p>
    <w:p w:rsidR="006E2235" w:rsidRPr="00F85A75" w:rsidRDefault="006E2235" w:rsidP="00F85A75">
      <w:pPr>
        <w:rPr>
          <w:rFonts w:ascii="Arial" w:hAnsi="Arial" w:cs="Arial"/>
          <w:sz w:val="22"/>
          <w:szCs w:val="22"/>
        </w:rPr>
      </w:pPr>
    </w:p>
    <w:p w:rsidR="00DF2157" w:rsidRPr="00CD1283" w:rsidRDefault="00730BEA" w:rsidP="008812B6">
      <w:pPr>
        <w:pStyle w:val="ListParagraph"/>
        <w:numPr>
          <w:ilvl w:val="1"/>
          <w:numId w:val="25"/>
        </w:numPr>
        <w:jc w:val="both"/>
        <w:rPr>
          <w:rFonts w:ascii="Arial" w:hAnsi="Arial"/>
          <w:sz w:val="22"/>
          <w:szCs w:val="22"/>
        </w:rPr>
      </w:pPr>
      <w:r w:rsidRPr="00CD1283">
        <w:rPr>
          <w:rFonts w:ascii="Arial" w:hAnsi="Arial"/>
          <w:sz w:val="22"/>
          <w:szCs w:val="22"/>
        </w:rPr>
        <w:t>T</w:t>
      </w:r>
      <w:r w:rsidR="006E2235" w:rsidRPr="00CD1283">
        <w:rPr>
          <w:rFonts w:ascii="Arial" w:hAnsi="Arial"/>
          <w:sz w:val="22"/>
          <w:szCs w:val="22"/>
        </w:rPr>
        <w:t xml:space="preserve">he PBAC agreed with </w:t>
      </w:r>
      <w:r w:rsidR="00515CE7" w:rsidRPr="00CD1283">
        <w:rPr>
          <w:rFonts w:ascii="Arial" w:hAnsi="Arial"/>
          <w:sz w:val="22"/>
          <w:szCs w:val="22"/>
        </w:rPr>
        <w:t>DUSC</w:t>
      </w:r>
      <w:r w:rsidR="00515CE7" w:rsidRPr="00CD1283">
        <w:rPr>
          <w:rFonts w:ascii="Arial" w:hAnsi="Arial" w:cs="Arial"/>
          <w:sz w:val="22"/>
          <w:szCs w:val="22"/>
        </w:rPr>
        <w:t xml:space="preserve"> that the likelihood</w:t>
      </w:r>
      <w:r w:rsidR="00EB65E1">
        <w:rPr>
          <w:rFonts w:ascii="Arial" w:hAnsi="Arial" w:cs="Arial"/>
          <w:sz w:val="22"/>
          <w:szCs w:val="22"/>
        </w:rPr>
        <w:t>,</w:t>
      </w:r>
      <w:r w:rsidR="00515CE7" w:rsidRPr="00CD1283">
        <w:rPr>
          <w:rFonts w:ascii="Arial" w:hAnsi="Arial" w:cs="Arial"/>
          <w:sz w:val="22"/>
          <w:szCs w:val="22"/>
        </w:rPr>
        <w:t xml:space="preserve"> and possible extent</w:t>
      </w:r>
      <w:r w:rsidR="00EB65E1">
        <w:rPr>
          <w:rFonts w:ascii="Arial" w:hAnsi="Arial" w:cs="Arial"/>
          <w:sz w:val="22"/>
          <w:szCs w:val="22"/>
        </w:rPr>
        <w:t>,</w:t>
      </w:r>
      <w:r w:rsidR="00515CE7" w:rsidRPr="00CD1283">
        <w:rPr>
          <w:rFonts w:ascii="Arial" w:hAnsi="Arial" w:cs="Arial"/>
          <w:sz w:val="22"/>
          <w:szCs w:val="22"/>
        </w:rPr>
        <w:t xml:space="preserve"> of usage beyond </w:t>
      </w:r>
      <w:r w:rsidR="00CC6E4F">
        <w:rPr>
          <w:rFonts w:ascii="Arial" w:hAnsi="Arial" w:cs="Arial"/>
          <w:sz w:val="22"/>
          <w:szCs w:val="22"/>
        </w:rPr>
        <w:t xml:space="preserve">the estimations in the submission </w:t>
      </w:r>
      <w:r w:rsidR="00515CE7" w:rsidRPr="00CD1283">
        <w:rPr>
          <w:rFonts w:ascii="Arial" w:hAnsi="Arial" w:cs="Arial"/>
          <w:sz w:val="22"/>
          <w:szCs w:val="22"/>
        </w:rPr>
        <w:t>was low for the trial based restriction due to overestimation of the prevalent population</w:t>
      </w:r>
      <w:r w:rsidR="00EB65E1">
        <w:rPr>
          <w:rFonts w:ascii="Arial" w:hAnsi="Arial" w:cs="Arial"/>
          <w:sz w:val="22"/>
          <w:szCs w:val="22"/>
        </w:rPr>
        <w:t>,</w:t>
      </w:r>
      <w:r w:rsidR="00515CE7" w:rsidRPr="00CD1283">
        <w:rPr>
          <w:rFonts w:ascii="Arial" w:hAnsi="Arial" w:cs="Arial"/>
          <w:sz w:val="22"/>
          <w:szCs w:val="22"/>
        </w:rPr>
        <w:t xml:space="preserve"> and high for the clinical need based restriction, as the proportion of patients estimated to meet the</w:t>
      </w:r>
      <w:r w:rsidR="00FE147A">
        <w:rPr>
          <w:rFonts w:ascii="Arial" w:hAnsi="Arial" w:cs="Arial"/>
          <w:sz w:val="22"/>
          <w:szCs w:val="22"/>
        </w:rPr>
        <w:t xml:space="preserve"> </w:t>
      </w:r>
      <w:r w:rsidR="00515CE7" w:rsidRPr="00CD1283">
        <w:rPr>
          <w:rFonts w:ascii="Arial" w:hAnsi="Arial" w:cs="Arial"/>
          <w:sz w:val="22"/>
          <w:szCs w:val="22"/>
        </w:rPr>
        <w:t xml:space="preserve">restriction criteria </w:t>
      </w:r>
      <w:r w:rsidR="00EB65E1" w:rsidRPr="00614322">
        <w:rPr>
          <w:rFonts w:ascii="Arial" w:hAnsi="Arial" w:cs="Arial"/>
          <w:sz w:val="22"/>
          <w:szCs w:val="22"/>
        </w:rPr>
        <w:t>were</w:t>
      </w:r>
      <w:r w:rsidRPr="00614322">
        <w:rPr>
          <w:rFonts w:ascii="Arial" w:hAnsi="Arial" w:cs="Arial"/>
          <w:sz w:val="22"/>
          <w:szCs w:val="22"/>
        </w:rPr>
        <w:t xml:space="preserve"> substantially underestimated</w:t>
      </w:r>
      <w:r w:rsidR="00A95573" w:rsidRPr="00614322">
        <w:rPr>
          <w:rFonts w:ascii="Arial" w:hAnsi="Arial" w:cs="Arial"/>
          <w:sz w:val="22"/>
          <w:szCs w:val="22"/>
        </w:rPr>
        <w:t xml:space="preserve"> for</w:t>
      </w:r>
      <w:r w:rsidR="00A95573">
        <w:rPr>
          <w:rFonts w:ascii="Arial" w:hAnsi="Arial" w:cs="Arial"/>
          <w:sz w:val="22"/>
          <w:szCs w:val="22"/>
        </w:rPr>
        <w:t xml:space="preserve"> </w:t>
      </w:r>
      <w:r w:rsidR="00ED0A01">
        <w:rPr>
          <w:rFonts w:ascii="Arial" w:hAnsi="Arial" w:cs="Arial"/>
          <w:sz w:val="22"/>
          <w:szCs w:val="22"/>
        </w:rPr>
        <w:t>that</w:t>
      </w:r>
      <w:r w:rsidR="00A95573">
        <w:rPr>
          <w:rFonts w:ascii="Arial" w:hAnsi="Arial" w:cs="Arial"/>
          <w:sz w:val="22"/>
          <w:szCs w:val="22"/>
        </w:rPr>
        <w:t xml:space="preserve"> restriction</w:t>
      </w:r>
      <w:r w:rsidRPr="00CD1283">
        <w:rPr>
          <w:rFonts w:ascii="Arial" w:hAnsi="Arial" w:cs="Arial"/>
          <w:sz w:val="22"/>
          <w:szCs w:val="22"/>
        </w:rPr>
        <w:t>.</w:t>
      </w:r>
    </w:p>
    <w:p w:rsidR="00DF2157" w:rsidRPr="00CD1283" w:rsidRDefault="00DF2157" w:rsidP="00CD1283">
      <w:pPr>
        <w:pStyle w:val="ListParagraph"/>
        <w:rPr>
          <w:rFonts w:ascii="Arial" w:hAnsi="Arial" w:cs="Arial"/>
          <w:sz w:val="22"/>
          <w:szCs w:val="22"/>
        </w:rPr>
      </w:pPr>
    </w:p>
    <w:p w:rsidR="003D0CDF" w:rsidRPr="00F85A75" w:rsidRDefault="003D0CDF">
      <w:pPr>
        <w:pStyle w:val="ListParagraph"/>
        <w:numPr>
          <w:ilvl w:val="1"/>
          <w:numId w:val="25"/>
        </w:numPr>
        <w:jc w:val="both"/>
        <w:rPr>
          <w:rFonts w:ascii="Arial" w:hAnsi="Arial"/>
          <w:strike/>
          <w:sz w:val="22"/>
          <w:szCs w:val="22"/>
        </w:rPr>
      </w:pPr>
      <w:r w:rsidRPr="00F85A75">
        <w:rPr>
          <w:rFonts w:ascii="Arial" w:hAnsi="Arial"/>
          <w:sz w:val="22"/>
          <w:szCs w:val="22"/>
        </w:rPr>
        <w:t xml:space="preserve">The PBAC </w:t>
      </w:r>
      <w:r w:rsidR="00836A87" w:rsidRPr="00F85A75">
        <w:rPr>
          <w:rFonts w:ascii="Arial" w:hAnsi="Arial"/>
          <w:sz w:val="22"/>
          <w:szCs w:val="22"/>
        </w:rPr>
        <w:t xml:space="preserve">noted that identification of patients for the </w:t>
      </w:r>
      <w:proofErr w:type="spellStart"/>
      <w:r w:rsidR="00836A87" w:rsidRPr="00F85A75">
        <w:rPr>
          <w:rFonts w:ascii="Arial" w:hAnsi="Arial"/>
          <w:sz w:val="22"/>
          <w:szCs w:val="22"/>
        </w:rPr>
        <w:t>ruxolitinib</w:t>
      </w:r>
      <w:proofErr w:type="spellEnd"/>
      <w:r w:rsidR="00836A87" w:rsidRPr="00F85A75">
        <w:rPr>
          <w:rFonts w:ascii="Arial" w:hAnsi="Arial"/>
          <w:sz w:val="22"/>
          <w:szCs w:val="22"/>
        </w:rPr>
        <w:t xml:space="preserve"> clinical trials (COMFORT I and II) was facilitated by the International Prognostic Scoring System (IPSS)</w:t>
      </w:r>
      <w:r w:rsidR="00614322">
        <w:rPr>
          <w:rFonts w:ascii="Arial" w:hAnsi="Arial"/>
          <w:sz w:val="22"/>
          <w:szCs w:val="22"/>
        </w:rPr>
        <w:t>,</w:t>
      </w:r>
      <w:r w:rsidR="00836A87" w:rsidRPr="00F85A75">
        <w:rPr>
          <w:rFonts w:ascii="Arial" w:hAnsi="Arial"/>
          <w:sz w:val="22"/>
          <w:szCs w:val="22"/>
        </w:rPr>
        <w:t xml:space="preserve"> which uses an initial risk classification. The Committee advised</w:t>
      </w:r>
      <w:r w:rsidRPr="00F85A75">
        <w:rPr>
          <w:rFonts w:ascii="Arial" w:hAnsi="Arial"/>
          <w:sz w:val="22"/>
          <w:szCs w:val="22"/>
        </w:rPr>
        <w:t xml:space="preserve"> that the use of the </w:t>
      </w:r>
      <w:r w:rsidR="00836A87" w:rsidRPr="00F85A75">
        <w:rPr>
          <w:rFonts w:ascii="Arial" w:hAnsi="Arial"/>
          <w:sz w:val="22"/>
          <w:szCs w:val="22"/>
        </w:rPr>
        <w:t>Dynamic International Prognostic Scoring System (</w:t>
      </w:r>
      <w:r w:rsidRPr="00F85A75">
        <w:rPr>
          <w:rFonts w:ascii="Arial" w:hAnsi="Arial"/>
          <w:sz w:val="22"/>
          <w:szCs w:val="22"/>
        </w:rPr>
        <w:t>DIPSS</w:t>
      </w:r>
      <w:r w:rsidR="00836A87" w:rsidRPr="00F85A75">
        <w:rPr>
          <w:rFonts w:ascii="Arial" w:hAnsi="Arial"/>
          <w:sz w:val="22"/>
          <w:szCs w:val="22"/>
        </w:rPr>
        <w:t>) may be more beneficial than the IPSS in defining the appropriate patient population, as the DIPSS takes into account disease progression over time</w:t>
      </w:r>
      <w:r w:rsidR="00ED0A01">
        <w:rPr>
          <w:rFonts w:ascii="Arial" w:hAnsi="Arial"/>
          <w:sz w:val="22"/>
          <w:szCs w:val="22"/>
        </w:rPr>
        <w:t xml:space="preserve"> since diagnosis</w:t>
      </w:r>
      <w:r w:rsidR="00836A87" w:rsidRPr="00F85A75">
        <w:rPr>
          <w:rFonts w:ascii="Arial" w:hAnsi="Arial"/>
          <w:sz w:val="22"/>
          <w:szCs w:val="22"/>
        </w:rPr>
        <w:t>.</w:t>
      </w:r>
    </w:p>
    <w:p w:rsidR="00766AA8" w:rsidRPr="00CD1283" w:rsidRDefault="00766AA8" w:rsidP="00CD1283">
      <w:pPr>
        <w:pStyle w:val="ListParagraph"/>
        <w:rPr>
          <w:rFonts w:ascii="Arial" w:hAnsi="Arial"/>
          <w:sz w:val="22"/>
          <w:szCs w:val="22"/>
        </w:rPr>
      </w:pPr>
    </w:p>
    <w:p w:rsidR="00766AA8" w:rsidRPr="00676DC0" w:rsidRDefault="00766AA8" w:rsidP="00766AA8">
      <w:pPr>
        <w:pStyle w:val="ListParagraph"/>
        <w:numPr>
          <w:ilvl w:val="1"/>
          <w:numId w:val="25"/>
        </w:numPr>
        <w:jc w:val="both"/>
        <w:rPr>
          <w:rFonts w:ascii="Arial" w:hAnsi="Arial"/>
          <w:sz w:val="22"/>
          <w:szCs w:val="22"/>
        </w:rPr>
      </w:pPr>
      <w:r>
        <w:rPr>
          <w:rFonts w:ascii="Arial" w:hAnsi="Arial"/>
          <w:sz w:val="22"/>
          <w:szCs w:val="22"/>
        </w:rPr>
        <w:t>The PBAC</w:t>
      </w:r>
      <w:r w:rsidRPr="00D24325">
        <w:rPr>
          <w:rFonts w:ascii="Arial" w:hAnsi="Arial"/>
          <w:sz w:val="22"/>
          <w:szCs w:val="22"/>
        </w:rPr>
        <w:t xml:space="preserve"> </w:t>
      </w:r>
      <w:r w:rsidR="00B60442">
        <w:rPr>
          <w:rFonts w:ascii="Arial" w:hAnsi="Arial"/>
          <w:sz w:val="22"/>
          <w:szCs w:val="22"/>
        </w:rPr>
        <w:t>consider</w:t>
      </w:r>
      <w:r w:rsidR="00B60442" w:rsidRPr="00D24325">
        <w:rPr>
          <w:rFonts w:ascii="Arial" w:hAnsi="Arial"/>
          <w:sz w:val="22"/>
          <w:szCs w:val="22"/>
        </w:rPr>
        <w:t>ed</w:t>
      </w:r>
      <w:r w:rsidR="00B60442" w:rsidRPr="00D24325">
        <w:rPr>
          <w:rFonts w:ascii="Arial" w:hAnsi="Arial" w:cs="Arial"/>
          <w:sz w:val="22"/>
          <w:szCs w:val="22"/>
        </w:rPr>
        <w:t xml:space="preserve"> </w:t>
      </w:r>
      <w:r w:rsidRPr="00D24325">
        <w:rPr>
          <w:rFonts w:ascii="Arial" w:hAnsi="Arial" w:cs="Arial"/>
          <w:sz w:val="22"/>
          <w:szCs w:val="22"/>
        </w:rPr>
        <w:t>that the continuation criteria based on a 25% or 35% reduction in spleen volume would not be manageable in clinical practice and advised that the continuation rule be removed.</w:t>
      </w:r>
    </w:p>
    <w:p w:rsidR="00676DC0" w:rsidRPr="00F768FB" w:rsidRDefault="00676DC0" w:rsidP="00F768FB">
      <w:pPr>
        <w:pStyle w:val="ListParagraph"/>
        <w:rPr>
          <w:rFonts w:ascii="Arial" w:hAnsi="Arial"/>
          <w:sz w:val="22"/>
          <w:szCs w:val="22"/>
        </w:rPr>
      </w:pPr>
    </w:p>
    <w:p w:rsidR="00676DC0" w:rsidRPr="00CD1283" w:rsidRDefault="00676DC0" w:rsidP="00766AA8">
      <w:pPr>
        <w:pStyle w:val="ListParagraph"/>
        <w:numPr>
          <w:ilvl w:val="1"/>
          <w:numId w:val="25"/>
        </w:numPr>
        <w:jc w:val="both"/>
        <w:rPr>
          <w:rFonts w:ascii="Arial" w:hAnsi="Arial"/>
          <w:sz w:val="22"/>
          <w:szCs w:val="22"/>
        </w:rPr>
      </w:pPr>
      <w:r>
        <w:rPr>
          <w:rFonts w:ascii="Arial" w:hAnsi="Arial"/>
          <w:sz w:val="22"/>
          <w:szCs w:val="22"/>
        </w:rPr>
        <w:t xml:space="preserve">The PBAC noted the clinical need for this product and welcomed input from individuals and organisations about the range of benefits of this treatment. </w:t>
      </w:r>
    </w:p>
    <w:p w:rsidR="00D11CF6" w:rsidRPr="00CD1283" w:rsidRDefault="00D11CF6" w:rsidP="00CD1283">
      <w:pPr>
        <w:jc w:val="both"/>
        <w:rPr>
          <w:rFonts w:ascii="Arial" w:hAnsi="Arial"/>
          <w:sz w:val="22"/>
          <w:szCs w:val="22"/>
        </w:rPr>
      </w:pPr>
    </w:p>
    <w:p w:rsidR="00377377" w:rsidRPr="00F85A75" w:rsidRDefault="00D11CF6">
      <w:pPr>
        <w:pStyle w:val="ListParagraph"/>
        <w:numPr>
          <w:ilvl w:val="1"/>
          <w:numId w:val="25"/>
        </w:numPr>
        <w:jc w:val="both"/>
        <w:rPr>
          <w:rFonts w:ascii="Arial" w:hAnsi="Arial"/>
          <w:sz w:val="22"/>
          <w:szCs w:val="22"/>
        </w:rPr>
      </w:pPr>
      <w:r w:rsidRPr="00836A87">
        <w:rPr>
          <w:rFonts w:ascii="Arial" w:hAnsi="Arial"/>
          <w:sz w:val="22"/>
          <w:szCs w:val="22"/>
        </w:rPr>
        <w:t>The PBAC</w:t>
      </w:r>
      <w:r w:rsidR="00C00EEA" w:rsidRPr="00836A87">
        <w:rPr>
          <w:rFonts w:ascii="Arial" w:hAnsi="Arial"/>
          <w:sz w:val="22"/>
          <w:szCs w:val="22"/>
        </w:rPr>
        <w:t xml:space="preserve"> </w:t>
      </w:r>
      <w:r w:rsidRPr="00836A87">
        <w:rPr>
          <w:rFonts w:ascii="Arial" w:hAnsi="Arial"/>
          <w:sz w:val="22"/>
          <w:szCs w:val="22"/>
        </w:rPr>
        <w:t xml:space="preserve">recommended </w:t>
      </w:r>
      <w:r w:rsidR="00C0294B" w:rsidRPr="00836A87">
        <w:rPr>
          <w:rFonts w:ascii="Arial" w:hAnsi="Arial"/>
          <w:sz w:val="22"/>
          <w:szCs w:val="22"/>
        </w:rPr>
        <w:t>a</w:t>
      </w:r>
      <w:r w:rsidRPr="00836A87">
        <w:rPr>
          <w:rFonts w:ascii="Arial" w:hAnsi="Arial"/>
          <w:sz w:val="22"/>
          <w:szCs w:val="22"/>
        </w:rPr>
        <w:t xml:space="preserve"> stakeholder meeting</w:t>
      </w:r>
      <w:r w:rsidR="003D0CDF" w:rsidRPr="00836A87">
        <w:rPr>
          <w:rFonts w:ascii="Arial" w:hAnsi="Arial"/>
          <w:sz w:val="22"/>
          <w:szCs w:val="22"/>
        </w:rPr>
        <w:t xml:space="preserve"> be held</w:t>
      </w:r>
      <w:r w:rsidR="00B664C5" w:rsidRPr="00836A87">
        <w:rPr>
          <w:rFonts w:ascii="Arial" w:hAnsi="Arial"/>
          <w:sz w:val="22"/>
          <w:szCs w:val="22"/>
        </w:rPr>
        <w:t xml:space="preserve"> </w:t>
      </w:r>
      <w:r w:rsidR="003D0CDF" w:rsidRPr="00836A87">
        <w:rPr>
          <w:rFonts w:ascii="Arial" w:hAnsi="Arial"/>
          <w:sz w:val="22"/>
          <w:szCs w:val="22"/>
        </w:rPr>
        <w:t xml:space="preserve">between the sponsor, the Department, clinicians from applicable professional bodies, </w:t>
      </w:r>
      <w:r w:rsidR="003D0CDF" w:rsidRPr="00F85A75">
        <w:rPr>
          <w:rFonts w:ascii="Arial" w:hAnsi="Arial"/>
          <w:sz w:val="22"/>
          <w:szCs w:val="22"/>
        </w:rPr>
        <w:t xml:space="preserve">consumer representatives and </w:t>
      </w:r>
      <w:r w:rsidR="008812B6" w:rsidRPr="00F85A75">
        <w:rPr>
          <w:rFonts w:ascii="Arial" w:hAnsi="Arial"/>
          <w:sz w:val="22"/>
          <w:szCs w:val="22"/>
        </w:rPr>
        <w:t>PBAC member</w:t>
      </w:r>
      <w:r w:rsidR="003D0CDF" w:rsidRPr="00836A87">
        <w:rPr>
          <w:rFonts w:ascii="Arial" w:hAnsi="Arial"/>
          <w:sz w:val="22"/>
          <w:szCs w:val="22"/>
        </w:rPr>
        <w:t xml:space="preserve">s to </w:t>
      </w:r>
      <w:r w:rsidRPr="00836A87">
        <w:rPr>
          <w:rFonts w:ascii="Arial" w:hAnsi="Arial"/>
          <w:sz w:val="22"/>
          <w:szCs w:val="22"/>
        </w:rPr>
        <w:t xml:space="preserve">provide clarity around the clinical place for </w:t>
      </w:r>
      <w:proofErr w:type="spellStart"/>
      <w:r w:rsidRPr="00836A87">
        <w:rPr>
          <w:rFonts w:ascii="Arial" w:hAnsi="Arial"/>
          <w:sz w:val="22"/>
          <w:szCs w:val="22"/>
        </w:rPr>
        <w:t>ruxolitinib</w:t>
      </w:r>
      <w:proofErr w:type="spellEnd"/>
      <w:r w:rsidRPr="00836A87">
        <w:rPr>
          <w:rFonts w:ascii="Arial" w:hAnsi="Arial"/>
          <w:sz w:val="22"/>
          <w:szCs w:val="22"/>
        </w:rPr>
        <w:t xml:space="preserve"> and </w:t>
      </w:r>
      <w:r w:rsidR="00766AA8" w:rsidRPr="00836A87">
        <w:rPr>
          <w:rFonts w:ascii="Arial" w:hAnsi="Arial"/>
          <w:sz w:val="22"/>
          <w:szCs w:val="22"/>
        </w:rPr>
        <w:t xml:space="preserve">to </w:t>
      </w:r>
      <w:r w:rsidR="00203B4A">
        <w:rPr>
          <w:rFonts w:ascii="Arial" w:hAnsi="Arial"/>
          <w:sz w:val="22"/>
          <w:szCs w:val="22"/>
        </w:rPr>
        <w:t>consider</w:t>
      </w:r>
      <w:r w:rsidR="00766AA8" w:rsidRPr="00836A87">
        <w:rPr>
          <w:rFonts w:ascii="Arial" w:hAnsi="Arial"/>
          <w:sz w:val="22"/>
          <w:szCs w:val="22"/>
        </w:rPr>
        <w:t xml:space="preserve"> an appropriate restriction</w:t>
      </w:r>
      <w:r w:rsidR="001415A1" w:rsidRPr="00CD1283">
        <w:rPr>
          <w:rFonts w:ascii="Arial" w:hAnsi="Arial"/>
          <w:sz w:val="22"/>
          <w:szCs w:val="22"/>
        </w:rPr>
        <w:t>.</w:t>
      </w:r>
      <w:r w:rsidR="00B60442">
        <w:rPr>
          <w:rFonts w:ascii="Arial" w:hAnsi="Arial"/>
          <w:sz w:val="22"/>
          <w:szCs w:val="22"/>
        </w:rPr>
        <w:t xml:space="preserve"> This in turn would inform the cost-effectiveness analyses.</w:t>
      </w:r>
      <w:r w:rsidRPr="00CD1283">
        <w:rPr>
          <w:rFonts w:ascii="Arial" w:hAnsi="Arial"/>
          <w:sz w:val="22"/>
          <w:szCs w:val="22"/>
        </w:rPr>
        <w:t xml:space="preserve"> </w:t>
      </w:r>
    </w:p>
    <w:p w:rsidR="00C8544D" w:rsidRPr="00CD1283" w:rsidRDefault="00C8544D" w:rsidP="00CD1283">
      <w:pPr>
        <w:pStyle w:val="ListParagraph"/>
        <w:rPr>
          <w:rFonts w:ascii="Arial" w:hAnsi="Arial"/>
          <w:sz w:val="22"/>
          <w:szCs w:val="22"/>
        </w:rPr>
      </w:pPr>
    </w:p>
    <w:p w:rsidR="00C8544D" w:rsidRPr="00CD1283" w:rsidRDefault="00C8544D" w:rsidP="00CD1283">
      <w:pPr>
        <w:pStyle w:val="ListParagraph"/>
        <w:numPr>
          <w:ilvl w:val="1"/>
          <w:numId w:val="25"/>
        </w:numPr>
        <w:jc w:val="both"/>
        <w:rPr>
          <w:rFonts w:ascii="Arial" w:hAnsi="Arial"/>
          <w:sz w:val="22"/>
          <w:szCs w:val="22"/>
        </w:rPr>
      </w:pPr>
      <w:r w:rsidRPr="00372809">
        <w:rPr>
          <w:rFonts w:ascii="Arial" w:hAnsi="Arial"/>
          <w:sz w:val="22"/>
          <w:szCs w:val="22"/>
        </w:rPr>
        <w:t>The PBAC noted the sponsor</w:t>
      </w:r>
      <w:r w:rsidR="00372809">
        <w:rPr>
          <w:rFonts w:ascii="Arial" w:hAnsi="Arial"/>
          <w:sz w:val="22"/>
          <w:szCs w:val="22"/>
        </w:rPr>
        <w:t>’</w:t>
      </w:r>
      <w:r w:rsidRPr="00372809">
        <w:rPr>
          <w:rFonts w:ascii="Arial" w:hAnsi="Arial"/>
          <w:sz w:val="22"/>
          <w:szCs w:val="22"/>
        </w:rPr>
        <w:t>s willingness to enter into discussions regarding a risk share</w:t>
      </w:r>
      <w:r w:rsidR="00372809" w:rsidRPr="00CD1283">
        <w:rPr>
          <w:rFonts w:ascii="Arial" w:hAnsi="Arial"/>
          <w:sz w:val="22"/>
          <w:szCs w:val="22"/>
        </w:rPr>
        <w:t xml:space="preserve"> arrangement.</w:t>
      </w:r>
      <w:r w:rsidR="00676DC0">
        <w:rPr>
          <w:rFonts w:ascii="Arial" w:hAnsi="Arial"/>
          <w:sz w:val="22"/>
          <w:szCs w:val="22"/>
        </w:rPr>
        <w:t xml:space="preserve"> The Committee considered it appropriate for a RSA to be in place to manage associated financial risk.</w:t>
      </w:r>
    </w:p>
    <w:p w:rsidR="00DF26A7" w:rsidRPr="00882085" w:rsidRDefault="00DF26A7" w:rsidP="00CD1283"/>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4947EB" w:rsidRDefault="009C703C" w:rsidP="00C530A1">
      <w:pPr>
        <w:jc w:val="both"/>
        <w:rPr>
          <w:rFonts w:ascii="Arial" w:hAnsi="Arial"/>
          <w:sz w:val="22"/>
          <w:szCs w:val="22"/>
        </w:rPr>
      </w:pPr>
      <w:r w:rsidRPr="00882085">
        <w:rPr>
          <w:rFonts w:ascii="Arial" w:hAnsi="Arial"/>
          <w:sz w:val="22"/>
          <w:szCs w:val="22"/>
        </w:rPr>
        <w:t xml:space="preserve">Deferred </w:t>
      </w:r>
    </w:p>
    <w:p w:rsidR="002952BE" w:rsidRDefault="002952BE" w:rsidP="00C530A1">
      <w:pPr>
        <w:jc w:val="both"/>
        <w:rPr>
          <w:rFonts w:ascii="Arial" w:hAnsi="Arial"/>
          <w:sz w:val="22"/>
          <w:szCs w:val="22"/>
        </w:rPr>
      </w:pPr>
    </w:p>
    <w:p w:rsidR="00FC673E" w:rsidRPr="00FC673E" w:rsidRDefault="00FC673E" w:rsidP="00FC673E">
      <w:pPr>
        <w:pStyle w:val="ListParagraph"/>
        <w:numPr>
          <w:ilvl w:val="0"/>
          <w:numId w:val="25"/>
        </w:numPr>
        <w:jc w:val="both"/>
        <w:rPr>
          <w:rFonts w:ascii="Arial" w:hAnsi="Arial" w:cs="Arial"/>
          <w:b/>
          <w:sz w:val="22"/>
        </w:rPr>
      </w:pPr>
      <w:r w:rsidRPr="00FC673E">
        <w:rPr>
          <w:rFonts w:ascii="Arial" w:hAnsi="Arial" w:cs="Arial"/>
          <w:b/>
          <w:sz w:val="22"/>
        </w:rPr>
        <w:t>Context for Decision</w:t>
      </w:r>
    </w:p>
    <w:p w:rsidR="00FC673E" w:rsidRPr="00FC673E" w:rsidRDefault="00FC673E" w:rsidP="00FC673E">
      <w:pPr>
        <w:pStyle w:val="ListParagraph"/>
        <w:rPr>
          <w:rFonts w:ascii="Arial" w:hAnsi="Arial" w:cs="Arial"/>
          <w:b/>
          <w:sz w:val="22"/>
        </w:rPr>
      </w:pPr>
    </w:p>
    <w:p w:rsidR="00FC673E" w:rsidRPr="00FC673E" w:rsidRDefault="00FC673E" w:rsidP="00FC673E">
      <w:pPr>
        <w:ind w:left="720"/>
        <w:rPr>
          <w:rFonts w:ascii="Arial" w:hAnsi="Arial" w:cs="Arial"/>
          <w:sz w:val="22"/>
        </w:rPr>
      </w:pPr>
      <w:r w:rsidRPr="00FC673E">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673E" w:rsidRPr="00FC673E" w:rsidRDefault="00FC673E" w:rsidP="00FC673E">
      <w:pPr>
        <w:rPr>
          <w:rFonts w:ascii="Arial" w:hAnsi="Arial" w:cs="Arial"/>
          <w:sz w:val="22"/>
        </w:rPr>
      </w:pPr>
    </w:p>
    <w:p w:rsidR="00FC673E" w:rsidRDefault="00FC673E" w:rsidP="00FC673E">
      <w:pPr>
        <w:pStyle w:val="ListParagraph"/>
        <w:numPr>
          <w:ilvl w:val="0"/>
          <w:numId w:val="25"/>
        </w:numPr>
        <w:jc w:val="both"/>
        <w:rPr>
          <w:rFonts w:ascii="Arial" w:hAnsi="Arial" w:cs="Arial"/>
          <w:b/>
          <w:sz w:val="22"/>
        </w:rPr>
      </w:pPr>
      <w:r w:rsidRPr="00FC673E">
        <w:rPr>
          <w:rFonts w:ascii="Arial" w:hAnsi="Arial" w:cs="Arial"/>
          <w:b/>
          <w:sz w:val="22"/>
        </w:rPr>
        <w:t>Sponsor’s Comment</w:t>
      </w:r>
    </w:p>
    <w:p w:rsidR="0007072F" w:rsidRPr="00FC673E" w:rsidRDefault="0007072F" w:rsidP="0007072F">
      <w:pPr>
        <w:pStyle w:val="ListParagraph"/>
        <w:jc w:val="both"/>
        <w:rPr>
          <w:rFonts w:ascii="Arial" w:hAnsi="Arial" w:cs="Arial"/>
          <w:b/>
          <w:sz w:val="22"/>
        </w:rPr>
      </w:pPr>
    </w:p>
    <w:p w:rsidR="00FC673E" w:rsidRDefault="00127B26" w:rsidP="0007072F">
      <w:pPr>
        <w:ind w:left="720"/>
        <w:jc w:val="both"/>
        <w:rPr>
          <w:rFonts w:ascii="Arial" w:hAnsi="Arial"/>
          <w:sz w:val="22"/>
          <w:szCs w:val="22"/>
        </w:rPr>
      </w:pPr>
      <w:r>
        <w:rPr>
          <w:rFonts w:ascii="Arial" w:hAnsi="Arial"/>
          <w:sz w:val="22"/>
          <w:szCs w:val="22"/>
        </w:rPr>
        <w:lastRenderedPageBreak/>
        <w:t xml:space="preserve">Novartis welcomes the opportunity for a stakeholder meeting and determining </w:t>
      </w:r>
      <w:proofErr w:type="gramStart"/>
      <w:r>
        <w:rPr>
          <w:rFonts w:ascii="Arial" w:hAnsi="Arial"/>
          <w:sz w:val="22"/>
          <w:szCs w:val="22"/>
        </w:rPr>
        <w:t>the  next</w:t>
      </w:r>
      <w:proofErr w:type="gramEnd"/>
      <w:r>
        <w:rPr>
          <w:rFonts w:ascii="Arial" w:hAnsi="Arial"/>
          <w:sz w:val="22"/>
          <w:szCs w:val="22"/>
        </w:rPr>
        <w:t xml:space="preserve"> steps towards a PBS listing for </w:t>
      </w:r>
      <w:proofErr w:type="spellStart"/>
      <w:r>
        <w:rPr>
          <w:rFonts w:ascii="Arial" w:hAnsi="Arial"/>
          <w:sz w:val="22"/>
          <w:szCs w:val="22"/>
        </w:rPr>
        <w:t>ruxolitinib</w:t>
      </w:r>
      <w:proofErr w:type="spellEnd"/>
      <w:r>
        <w:rPr>
          <w:rFonts w:ascii="Arial" w:hAnsi="Arial"/>
          <w:sz w:val="22"/>
          <w:szCs w:val="22"/>
        </w:rPr>
        <w:t xml:space="preserve"> in </w:t>
      </w:r>
      <w:proofErr w:type="spellStart"/>
      <w:r>
        <w:rPr>
          <w:rFonts w:ascii="Arial" w:hAnsi="Arial"/>
          <w:sz w:val="22"/>
          <w:szCs w:val="22"/>
        </w:rPr>
        <w:t>myelofibrosis</w:t>
      </w:r>
      <w:proofErr w:type="spellEnd"/>
      <w:r>
        <w:rPr>
          <w:rFonts w:ascii="Arial" w:hAnsi="Arial"/>
          <w:sz w:val="22"/>
          <w:szCs w:val="22"/>
        </w:rPr>
        <w:t>.</w:t>
      </w:r>
    </w:p>
    <w:sectPr w:rsidR="00FC673E" w:rsidSect="002952B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69" w:rsidRDefault="00D75569">
      <w:r>
        <w:separator/>
      </w:r>
    </w:p>
  </w:endnote>
  <w:endnote w:type="continuationSeparator" w:id="0">
    <w:p w:rsidR="00D75569" w:rsidRDefault="00D7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5569" w:rsidTr="005A3173">
      <w:trPr>
        <w:trHeight w:val="151"/>
      </w:trPr>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569" w:rsidRPr="005A3173" w:rsidRDefault="00D755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r>
    <w:tr w:rsidR="00D75569" w:rsidTr="005A3173">
      <w:trPr>
        <w:trHeight w:val="150"/>
      </w:trPr>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0" w:type="auto"/>
          <w:vMerge/>
          <w:vAlign w:val="center"/>
          <w:hideMark/>
        </w:tcPr>
        <w:p w:rsidR="00D75569" w:rsidRPr="005A3173" w:rsidRDefault="00D755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r>
  </w:tbl>
  <w:p w:rsidR="00D75569" w:rsidRDefault="00D7556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5569" w:rsidRDefault="00D75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210819"/>
      <w:docPartObj>
        <w:docPartGallery w:val="Page Numbers (Bottom of Page)"/>
        <w:docPartUnique/>
      </w:docPartObj>
    </w:sdtPr>
    <w:sdtEndPr>
      <w:rPr>
        <w:rFonts w:ascii="Arial" w:hAnsi="Arial" w:cs="Arial"/>
        <w:noProof/>
        <w:sz w:val="20"/>
        <w:szCs w:val="20"/>
      </w:rPr>
    </w:sdtEndPr>
    <w:sdtContent>
      <w:p w:rsidR="00D75569" w:rsidRDefault="00D75569">
        <w:pPr>
          <w:pStyle w:val="Footer"/>
          <w:jc w:val="center"/>
        </w:pPr>
      </w:p>
      <w:p w:rsidR="00D75569" w:rsidRPr="00651169" w:rsidRDefault="00D755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E5EA5">
          <w:rPr>
            <w:rFonts w:ascii="Arial" w:hAnsi="Arial" w:cs="Arial"/>
            <w:noProof/>
            <w:sz w:val="20"/>
            <w:szCs w:val="20"/>
          </w:rPr>
          <w:t>12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75569" w:rsidTr="005A3173">
      <w:trPr>
        <w:trHeight w:val="151"/>
      </w:trPr>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569" w:rsidRPr="005A3173" w:rsidRDefault="00D755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r>
    <w:tr w:rsidR="00D75569" w:rsidTr="005A3173">
      <w:trPr>
        <w:trHeight w:val="150"/>
      </w:trPr>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0" w:type="auto"/>
          <w:vMerge/>
          <w:vAlign w:val="center"/>
          <w:hideMark/>
        </w:tcPr>
        <w:p w:rsidR="00D75569" w:rsidRPr="005A3173" w:rsidRDefault="00D755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5569" w:rsidTr="005A3173">
      <w:trPr>
        <w:trHeight w:val="151"/>
      </w:trPr>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5569" w:rsidRPr="005A3173" w:rsidRDefault="00D755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5569" w:rsidRPr="005A3173" w:rsidRDefault="00D75569" w:rsidP="005A3173">
          <w:pPr>
            <w:pStyle w:val="Header"/>
            <w:spacing w:line="276" w:lineRule="auto"/>
            <w:rPr>
              <w:rFonts w:ascii="Calibri" w:eastAsia="MS Gothic" w:hAnsi="Calibri"/>
              <w:b/>
              <w:bCs/>
              <w:color w:val="4F81BD"/>
            </w:rPr>
          </w:pPr>
        </w:p>
      </w:tc>
    </w:tr>
    <w:tr w:rsidR="00D75569" w:rsidTr="005A3173">
      <w:trPr>
        <w:trHeight w:val="150"/>
      </w:trPr>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c>
        <w:tcPr>
          <w:tcW w:w="0" w:type="auto"/>
          <w:vMerge/>
          <w:vAlign w:val="center"/>
          <w:hideMark/>
        </w:tcPr>
        <w:p w:rsidR="00D75569" w:rsidRPr="005A3173" w:rsidRDefault="00D755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5569" w:rsidRPr="005A3173" w:rsidRDefault="00D75569" w:rsidP="005A3173">
          <w:pPr>
            <w:pStyle w:val="Header"/>
            <w:spacing w:line="276" w:lineRule="auto"/>
            <w:rPr>
              <w:rFonts w:ascii="Calibri" w:eastAsia="MS Gothic" w:hAnsi="Calibri"/>
              <w:b/>
              <w:bCs/>
              <w:color w:val="4F81BD"/>
            </w:rPr>
          </w:pPr>
        </w:p>
      </w:tc>
    </w:tr>
  </w:tbl>
  <w:p w:rsidR="00D75569" w:rsidRPr="007C0F57" w:rsidRDefault="00D7556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75569" w:rsidRPr="007C0F57" w:rsidRDefault="00D7556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69" w:rsidRDefault="00D75569">
      <w:r>
        <w:separator/>
      </w:r>
    </w:p>
  </w:footnote>
  <w:footnote w:type="continuationSeparator" w:id="0">
    <w:p w:rsidR="00D75569" w:rsidRDefault="00D75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75569" w:rsidRPr="008E0D90" w:rsidTr="00A06225">
      <w:trPr>
        <w:trHeight w:val="151"/>
      </w:trPr>
      <w:tc>
        <w:tcPr>
          <w:tcW w:w="2389" w:type="pct"/>
          <w:tcBorders>
            <w:top w:val="nil"/>
            <w:left w:val="nil"/>
            <w:bottom w:val="single" w:sz="4" w:space="0" w:color="4F81BD"/>
            <w:right w:val="nil"/>
          </w:tcBorders>
        </w:tcPr>
        <w:p w:rsidR="00D75569" w:rsidRPr="00A06225" w:rsidRDefault="00D75569">
          <w:pPr>
            <w:pStyle w:val="Header"/>
            <w:spacing w:line="276" w:lineRule="auto"/>
            <w:rPr>
              <w:rFonts w:ascii="Cambria" w:eastAsia="MS Gothic" w:hAnsi="Cambria"/>
              <w:b/>
              <w:bCs/>
              <w:color w:val="4F81BD"/>
            </w:rPr>
          </w:pPr>
        </w:p>
      </w:tc>
      <w:tc>
        <w:tcPr>
          <w:tcW w:w="333" w:type="pct"/>
          <w:vMerge w:val="restart"/>
          <w:noWrap/>
          <w:vAlign w:val="center"/>
          <w:hideMark/>
        </w:tcPr>
        <w:p w:rsidR="00D75569" w:rsidRPr="00A06225" w:rsidRDefault="00D7556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75569" w:rsidRPr="00A06225" w:rsidRDefault="00D75569">
          <w:pPr>
            <w:pStyle w:val="Header"/>
            <w:spacing w:line="276" w:lineRule="auto"/>
            <w:rPr>
              <w:rFonts w:ascii="Cambria" w:eastAsia="MS Gothic" w:hAnsi="Cambria"/>
              <w:b/>
              <w:bCs/>
              <w:color w:val="4F81BD"/>
            </w:rPr>
          </w:pPr>
        </w:p>
      </w:tc>
    </w:tr>
    <w:tr w:rsidR="00D75569" w:rsidRPr="008E0D90" w:rsidTr="00A06225">
      <w:trPr>
        <w:trHeight w:val="150"/>
      </w:trPr>
      <w:tc>
        <w:tcPr>
          <w:tcW w:w="2389" w:type="pct"/>
          <w:tcBorders>
            <w:top w:val="single" w:sz="4" w:space="0" w:color="4F81BD"/>
            <w:left w:val="nil"/>
            <w:bottom w:val="nil"/>
            <w:right w:val="nil"/>
          </w:tcBorders>
        </w:tcPr>
        <w:p w:rsidR="00D75569" w:rsidRPr="00A06225" w:rsidRDefault="00D75569">
          <w:pPr>
            <w:pStyle w:val="Header"/>
            <w:spacing w:line="276" w:lineRule="auto"/>
            <w:rPr>
              <w:rFonts w:ascii="Cambria" w:eastAsia="MS Gothic" w:hAnsi="Cambria"/>
              <w:b/>
              <w:bCs/>
              <w:color w:val="4F81BD"/>
            </w:rPr>
          </w:pPr>
        </w:p>
      </w:tc>
      <w:tc>
        <w:tcPr>
          <w:tcW w:w="0" w:type="auto"/>
          <w:vMerge/>
          <w:vAlign w:val="center"/>
          <w:hideMark/>
        </w:tcPr>
        <w:p w:rsidR="00D75569" w:rsidRPr="00A06225" w:rsidRDefault="00D75569">
          <w:pPr>
            <w:rPr>
              <w:rFonts w:ascii="Cambria" w:hAnsi="Cambria"/>
              <w:color w:val="4F81BD"/>
              <w:sz w:val="22"/>
              <w:szCs w:val="22"/>
            </w:rPr>
          </w:pPr>
        </w:p>
      </w:tc>
      <w:tc>
        <w:tcPr>
          <w:tcW w:w="2278" w:type="pct"/>
          <w:tcBorders>
            <w:top w:val="single" w:sz="4" w:space="0" w:color="4F81BD"/>
            <w:left w:val="nil"/>
            <w:bottom w:val="nil"/>
            <w:right w:val="nil"/>
          </w:tcBorders>
        </w:tcPr>
        <w:p w:rsidR="00D75569" w:rsidRPr="00A06225" w:rsidRDefault="00D75569">
          <w:pPr>
            <w:pStyle w:val="Header"/>
            <w:spacing w:line="276" w:lineRule="auto"/>
            <w:rPr>
              <w:rFonts w:ascii="Cambria" w:eastAsia="MS Gothic" w:hAnsi="Cambria"/>
              <w:b/>
              <w:bCs/>
              <w:color w:val="4F81BD"/>
            </w:rPr>
          </w:pPr>
        </w:p>
      </w:tc>
    </w:tr>
  </w:tbl>
  <w:p w:rsidR="00D75569" w:rsidRDefault="00D755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69" w:rsidRPr="00DF217D" w:rsidRDefault="00D75569" w:rsidP="00FC673E">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D75569" w:rsidRPr="00FC673E" w:rsidRDefault="00D75569" w:rsidP="00FC67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69" w:rsidRDefault="00D75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4511EBD"/>
    <w:multiLevelType w:val="hybridMultilevel"/>
    <w:tmpl w:val="C850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41484B"/>
    <w:multiLevelType w:val="hybridMultilevel"/>
    <w:tmpl w:val="4A38A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11D5A1A"/>
    <w:multiLevelType w:val="hybridMultilevel"/>
    <w:tmpl w:val="B784DD2A"/>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F6E0F"/>
    <w:multiLevelType w:val="hybridMultilevel"/>
    <w:tmpl w:val="E3DC1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3E115469"/>
    <w:multiLevelType w:val="hybridMultilevel"/>
    <w:tmpl w:val="F24E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C6C196B"/>
    <w:multiLevelType w:val="hybridMultilevel"/>
    <w:tmpl w:val="8F52E97C"/>
    <w:lvl w:ilvl="0" w:tplc="F784328E">
      <w:start w:val="1"/>
      <w:numFmt w:val="bullet"/>
      <w:lvlText w:val="•"/>
      <w:lvlJc w:val="left"/>
      <w:pPr>
        <w:tabs>
          <w:tab w:val="num" w:pos="720"/>
        </w:tabs>
        <w:ind w:left="720" w:hanging="360"/>
      </w:pPr>
      <w:rPr>
        <w:rFonts w:ascii="Arial" w:hAnsi="Arial" w:hint="default"/>
      </w:rPr>
    </w:lvl>
    <w:lvl w:ilvl="1" w:tplc="BF641410" w:tentative="1">
      <w:start w:val="1"/>
      <w:numFmt w:val="bullet"/>
      <w:lvlText w:val="•"/>
      <w:lvlJc w:val="left"/>
      <w:pPr>
        <w:tabs>
          <w:tab w:val="num" w:pos="1440"/>
        </w:tabs>
        <w:ind w:left="1440" w:hanging="360"/>
      </w:pPr>
      <w:rPr>
        <w:rFonts w:ascii="Arial" w:hAnsi="Arial" w:hint="default"/>
      </w:rPr>
    </w:lvl>
    <w:lvl w:ilvl="2" w:tplc="20B078FA" w:tentative="1">
      <w:start w:val="1"/>
      <w:numFmt w:val="bullet"/>
      <w:lvlText w:val="•"/>
      <w:lvlJc w:val="left"/>
      <w:pPr>
        <w:tabs>
          <w:tab w:val="num" w:pos="2160"/>
        </w:tabs>
        <w:ind w:left="2160" w:hanging="360"/>
      </w:pPr>
      <w:rPr>
        <w:rFonts w:ascii="Arial" w:hAnsi="Arial" w:hint="default"/>
      </w:rPr>
    </w:lvl>
    <w:lvl w:ilvl="3" w:tplc="AEC666F4" w:tentative="1">
      <w:start w:val="1"/>
      <w:numFmt w:val="bullet"/>
      <w:lvlText w:val="•"/>
      <w:lvlJc w:val="left"/>
      <w:pPr>
        <w:tabs>
          <w:tab w:val="num" w:pos="2880"/>
        </w:tabs>
        <w:ind w:left="2880" w:hanging="360"/>
      </w:pPr>
      <w:rPr>
        <w:rFonts w:ascii="Arial" w:hAnsi="Arial" w:hint="default"/>
      </w:rPr>
    </w:lvl>
    <w:lvl w:ilvl="4" w:tplc="0100B880" w:tentative="1">
      <w:start w:val="1"/>
      <w:numFmt w:val="bullet"/>
      <w:lvlText w:val="•"/>
      <w:lvlJc w:val="left"/>
      <w:pPr>
        <w:tabs>
          <w:tab w:val="num" w:pos="3600"/>
        </w:tabs>
        <w:ind w:left="3600" w:hanging="360"/>
      </w:pPr>
      <w:rPr>
        <w:rFonts w:ascii="Arial" w:hAnsi="Arial" w:hint="default"/>
      </w:rPr>
    </w:lvl>
    <w:lvl w:ilvl="5" w:tplc="89EEFE72" w:tentative="1">
      <w:start w:val="1"/>
      <w:numFmt w:val="bullet"/>
      <w:lvlText w:val="•"/>
      <w:lvlJc w:val="left"/>
      <w:pPr>
        <w:tabs>
          <w:tab w:val="num" w:pos="4320"/>
        </w:tabs>
        <w:ind w:left="4320" w:hanging="360"/>
      </w:pPr>
      <w:rPr>
        <w:rFonts w:ascii="Arial" w:hAnsi="Arial" w:hint="default"/>
      </w:rPr>
    </w:lvl>
    <w:lvl w:ilvl="6" w:tplc="05168238" w:tentative="1">
      <w:start w:val="1"/>
      <w:numFmt w:val="bullet"/>
      <w:lvlText w:val="•"/>
      <w:lvlJc w:val="left"/>
      <w:pPr>
        <w:tabs>
          <w:tab w:val="num" w:pos="5040"/>
        </w:tabs>
        <w:ind w:left="5040" w:hanging="360"/>
      </w:pPr>
      <w:rPr>
        <w:rFonts w:ascii="Arial" w:hAnsi="Arial" w:hint="default"/>
      </w:rPr>
    </w:lvl>
    <w:lvl w:ilvl="7" w:tplc="103622AE" w:tentative="1">
      <w:start w:val="1"/>
      <w:numFmt w:val="bullet"/>
      <w:lvlText w:val="•"/>
      <w:lvlJc w:val="left"/>
      <w:pPr>
        <w:tabs>
          <w:tab w:val="num" w:pos="5760"/>
        </w:tabs>
        <w:ind w:left="5760" w:hanging="360"/>
      </w:pPr>
      <w:rPr>
        <w:rFonts w:ascii="Arial" w:hAnsi="Arial" w:hint="default"/>
      </w:rPr>
    </w:lvl>
    <w:lvl w:ilvl="8" w:tplc="BE4E55D0" w:tentative="1">
      <w:start w:val="1"/>
      <w:numFmt w:val="bullet"/>
      <w:lvlText w:val="•"/>
      <w:lvlJc w:val="left"/>
      <w:pPr>
        <w:tabs>
          <w:tab w:val="num" w:pos="6480"/>
        </w:tabs>
        <w:ind w:left="6480" w:hanging="360"/>
      </w:pPr>
      <w:rPr>
        <w:rFonts w:ascii="Arial" w:hAnsi="Arial" w:hint="default"/>
      </w:rPr>
    </w:lvl>
  </w:abstractNum>
  <w:abstractNum w:abstractNumId="24">
    <w:nsid w:val="4E4160C9"/>
    <w:multiLevelType w:val="hybridMultilevel"/>
    <w:tmpl w:val="A84AD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0DB2BB7"/>
    <w:multiLevelType w:val="multilevel"/>
    <w:tmpl w:val="9B0C9F44"/>
    <w:lvl w:ilvl="0">
      <w:start w:val="6"/>
      <w:numFmt w:val="decimal"/>
      <w:lvlText w:val="%1"/>
      <w:lvlJc w:val="left"/>
      <w:pPr>
        <w:ind w:left="360" w:hanging="360"/>
      </w:pPr>
      <w:rPr>
        <w:rFonts w:hint="default"/>
        <w:i w:val="0"/>
      </w:rPr>
    </w:lvl>
    <w:lvl w:ilvl="1">
      <w:start w:val="24"/>
      <w:numFmt w:val="decimal"/>
      <w:lvlText w:val="%1.%2"/>
      <w:lvlJc w:val="left"/>
      <w:pPr>
        <w:ind w:left="107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F3187F"/>
    <w:multiLevelType w:val="hybridMultilevel"/>
    <w:tmpl w:val="CE9AA524"/>
    <w:lvl w:ilvl="0" w:tplc="23DC2E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3C1BF5"/>
    <w:multiLevelType w:val="multilevel"/>
    <w:tmpl w:val="3F4CBE80"/>
    <w:lvl w:ilvl="0">
      <w:start w:val="7"/>
      <w:numFmt w:val="decimal"/>
      <w:lvlText w:val="%1"/>
      <w:lvlJc w:val="left"/>
      <w:pPr>
        <w:ind w:left="360" w:hanging="360"/>
      </w:pPr>
      <w:rPr>
        <w:rFonts w:hint="default"/>
        <w:i w:val="0"/>
      </w:rPr>
    </w:lvl>
    <w:lvl w:ilvl="1">
      <w:start w:val="24"/>
      <w:numFmt w:val="decimal"/>
      <w:lvlText w:val="%1.%2"/>
      <w:lvlJc w:val="left"/>
      <w:pPr>
        <w:ind w:left="107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9BC5196"/>
    <w:multiLevelType w:val="multilevel"/>
    <w:tmpl w:val="D72070B0"/>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1B57A51"/>
    <w:multiLevelType w:val="multilevel"/>
    <w:tmpl w:val="705C0D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3336265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nsid w:val="7EF55792"/>
    <w:multiLevelType w:val="hybridMultilevel"/>
    <w:tmpl w:val="11CAB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20"/>
  </w:num>
  <w:num w:numId="4">
    <w:abstractNumId w:val="0"/>
  </w:num>
  <w:num w:numId="5">
    <w:abstractNumId w:val="4"/>
  </w:num>
  <w:num w:numId="6">
    <w:abstractNumId w:val="18"/>
  </w:num>
  <w:num w:numId="7">
    <w:abstractNumId w:val="16"/>
  </w:num>
  <w:num w:numId="8">
    <w:abstractNumId w:val="3"/>
  </w:num>
  <w:num w:numId="9">
    <w:abstractNumId w:val="7"/>
  </w:num>
  <w:num w:numId="10">
    <w:abstractNumId w:val="35"/>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8"/>
  </w:num>
  <w:num w:numId="15">
    <w:abstractNumId w:val="31"/>
  </w:num>
  <w:num w:numId="16">
    <w:abstractNumId w:val="25"/>
  </w:num>
  <w:num w:numId="17">
    <w:abstractNumId w:val="41"/>
  </w:num>
  <w:num w:numId="18">
    <w:abstractNumId w:val="12"/>
  </w:num>
  <w:num w:numId="19">
    <w:abstractNumId w:val="17"/>
  </w:num>
  <w:num w:numId="20">
    <w:abstractNumId w:val="2"/>
  </w:num>
  <w:num w:numId="21">
    <w:abstractNumId w:val="34"/>
  </w:num>
  <w:num w:numId="22">
    <w:abstractNumId w:val="36"/>
  </w:num>
  <w:num w:numId="23">
    <w:abstractNumId w:val="43"/>
  </w:num>
  <w:num w:numId="24">
    <w:abstractNumId w:val="15"/>
  </w:num>
  <w:num w:numId="25">
    <w:abstractNumId w:val="42"/>
  </w:num>
  <w:num w:numId="26">
    <w:abstractNumId w:val="33"/>
  </w:num>
  <w:num w:numId="27">
    <w:abstractNumId w:val="11"/>
  </w:num>
  <w:num w:numId="28">
    <w:abstractNumId w:val="5"/>
  </w:num>
  <w:num w:numId="29">
    <w:abstractNumId w:val="28"/>
  </w:num>
  <w:num w:numId="30">
    <w:abstractNumId w:val="1"/>
  </w:num>
  <w:num w:numId="31">
    <w:abstractNumId w:val="29"/>
  </w:num>
  <w:num w:numId="32">
    <w:abstractNumId w:val="40"/>
  </w:num>
  <w:num w:numId="33">
    <w:abstractNumId w:val="27"/>
  </w:num>
  <w:num w:numId="34">
    <w:abstractNumId w:val="44"/>
  </w:num>
  <w:num w:numId="35">
    <w:abstractNumId w:val="10"/>
  </w:num>
  <w:num w:numId="36">
    <w:abstractNumId w:val="22"/>
  </w:num>
  <w:num w:numId="37">
    <w:abstractNumId w:val="19"/>
  </w:num>
  <w:num w:numId="38">
    <w:abstractNumId w:val="45"/>
  </w:num>
  <w:num w:numId="39">
    <w:abstractNumId w:val="30"/>
  </w:num>
  <w:num w:numId="40">
    <w:abstractNumId w:val="24"/>
  </w:num>
  <w:num w:numId="41">
    <w:abstractNumId w:val="23"/>
  </w:num>
  <w:num w:numId="42">
    <w:abstractNumId w:val="14"/>
  </w:num>
  <w:num w:numId="43">
    <w:abstractNumId w:val="39"/>
  </w:num>
  <w:num w:numId="44">
    <w:abstractNumId w:val="13"/>
  </w:num>
  <w:num w:numId="45">
    <w:abstractNumId w:val="6"/>
  </w:num>
  <w:num w:numId="46">
    <w:abstractNumId w:val="9"/>
  </w:num>
  <w:num w:numId="47">
    <w:abstractNumId w:val="2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084"/>
    <w:rsid w:val="000141FB"/>
    <w:rsid w:val="00016964"/>
    <w:rsid w:val="0002464A"/>
    <w:rsid w:val="0003106B"/>
    <w:rsid w:val="00033872"/>
    <w:rsid w:val="000421A1"/>
    <w:rsid w:val="0004234F"/>
    <w:rsid w:val="0004240E"/>
    <w:rsid w:val="00045E26"/>
    <w:rsid w:val="000514B5"/>
    <w:rsid w:val="00056D10"/>
    <w:rsid w:val="000570D9"/>
    <w:rsid w:val="00060E64"/>
    <w:rsid w:val="0007072F"/>
    <w:rsid w:val="000773C9"/>
    <w:rsid w:val="000969AD"/>
    <w:rsid w:val="000A2D6C"/>
    <w:rsid w:val="000A3BF4"/>
    <w:rsid w:val="000A78CF"/>
    <w:rsid w:val="000B414C"/>
    <w:rsid w:val="000B558D"/>
    <w:rsid w:val="000C19E8"/>
    <w:rsid w:val="000C3461"/>
    <w:rsid w:val="000C6996"/>
    <w:rsid w:val="000D23BA"/>
    <w:rsid w:val="000E681E"/>
    <w:rsid w:val="000E7E82"/>
    <w:rsid w:val="000F3A86"/>
    <w:rsid w:val="000F4E6A"/>
    <w:rsid w:val="001050FF"/>
    <w:rsid w:val="001107BF"/>
    <w:rsid w:val="0012417C"/>
    <w:rsid w:val="001275DB"/>
    <w:rsid w:val="00127B26"/>
    <w:rsid w:val="001415A1"/>
    <w:rsid w:val="00142395"/>
    <w:rsid w:val="00142714"/>
    <w:rsid w:val="001452ED"/>
    <w:rsid w:val="001477CE"/>
    <w:rsid w:val="00167040"/>
    <w:rsid w:val="001764A7"/>
    <w:rsid w:val="00176AC8"/>
    <w:rsid w:val="001800BC"/>
    <w:rsid w:val="001830CE"/>
    <w:rsid w:val="001871E5"/>
    <w:rsid w:val="00191F0C"/>
    <w:rsid w:val="00196307"/>
    <w:rsid w:val="001A3431"/>
    <w:rsid w:val="001B017F"/>
    <w:rsid w:val="001B5129"/>
    <w:rsid w:val="001C1195"/>
    <w:rsid w:val="001C1639"/>
    <w:rsid w:val="001D6329"/>
    <w:rsid w:val="001E0AFA"/>
    <w:rsid w:val="00203B4A"/>
    <w:rsid w:val="00212054"/>
    <w:rsid w:val="002120EF"/>
    <w:rsid w:val="002226FC"/>
    <w:rsid w:val="00226682"/>
    <w:rsid w:val="00236898"/>
    <w:rsid w:val="0024686D"/>
    <w:rsid w:val="00251C5A"/>
    <w:rsid w:val="00256E93"/>
    <w:rsid w:val="00264A40"/>
    <w:rsid w:val="00264C42"/>
    <w:rsid w:val="00271BA1"/>
    <w:rsid w:val="00277505"/>
    <w:rsid w:val="00280458"/>
    <w:rsid w:val="0029458F"/>
    <w:rsid w:val="002948D8"/>
    <w:rsid w:val="002952BE"/>
    <w:rsid w:val="002A1D18"/>
    <w:rsid w:val="002A4960"/>
    <w:rsid w:val="002B1AE6"/>
    <w:rsid w:val="002B30F8"/>
    <w:rsid w:val="002C212F"/>
    <w:rsid w:val="002C3109"/>
    <w:rsid w:val="002D368E"/>
    <w:rsid w:val="002E5EA5"/>
    <w:rsid w:val="003131F8"/>
    <w:rsid w:val="00320649"/>
    <w:rsid w:val="003219AD"/>
    <w:rsid w:val="0032367C"/>
    <w:rsid w:val="00324AC8"/>
    <w:rsid w:val="00326E79"/>
    <w:rsid w:val="00326EB2"/>
    <w:rsid w:val="00335BD0"/>
    <w:rsid w:val="003367EF"/>
    <w:rsid w:val="00341AE4"/>
    <w:rsid w:val="0034275B"/>
    <w:rsid w:val="00350640"/>
    <w:rsid w:val="00372809"/>
    <w:rsid w:val="00373173"/>
    <w:rsid w:val="00377377"/>
    <w:rsid w:val="00382975"/>
    <w:rsid w:val="00393B70"/>
    <w:rsid w:val="003952E7"/>
    <w:rsid w:val="003A5B4A"/>
    <w:rsid w:val="003A6EFF"/>
    <w:rsid w:val="003B0B49"/>
    <w:rsid w:val="003B0D50"/>
    <w:rsid w:val="003B23C5"/>
    <w:rsid w:val="003B2872"/>
    <w:rsid w:val="003B2A75"/>
    <w:rsid w:val="003B440A"/>
    <w:rsid w:val="003B793D"/>
    <w:rsid w:val="003C2346"/>
    <w:rsid w:val="003D0CDF"/>
    <w:rsid w:val="003D4AC4"/>
    <w:rsid w:val="003D63B7"/>
    <w:rsid w:val="003E2A3A"/>
    <w:rsid w:val="003E468B"/>
    <w:rsid w:val="003F5C8C"/>
    <w:rsid w:val="003F7DA0"/>
    <w:rsid w:val="00413F16"/>
    <w:rsid w:val="004313CC"/>
    <w:rsid w:val="00435AAF"/>
    <w:rsid w:val="00437459"/>
    <w:rsid w:val="0045633D"/>
    <w:rsid w:val="00461974"/>
    <w:rsid w:val="00466ADA"/>
    <w:rsid w:val="00472EF5"/>
    <w:rsid w:val="0047341D"/>
    <w:rsid w:val="00473CDE"/>
    <w:rsid w:val="00481D7E"/>
    <w:rsid w:val="004820D7"/>
    <w:rsid w:val="004947EB"/>
    <w:rsid w:val="004955A3"/>
    <w:rsid w:val="00496FB5"/>
    <w:rsid w:val="004A7FF2"/>
    <w:rsid w:val="004B5640"/>
    <w:rsid w:val="004C126C"/>
    <w:rsid w:val="004C1BD7"/>
    <w:rsid w:val="004C2AD5"/>
    <w:rsid w:val="004C4935"/>
    <w:rsid w:val="004C691D"/>
    <w:rsid w:val="004E692D"/>
    <w:rsid w:val="004E73FF"/>
    <w:rsid w:val="004F3C4B"/>
    <w:rsid w:val="004F795E"/>
    <w:rsid w:val="005022D5"/>
    <w:rsid w:val="00511916"/>
    <w:rsid w:val="00514CD7"/>
    <w:rsid w:val="00515CE7"/>
    <w:rsid w:val="00516B50"/>
    <w:rsid w:val="005176DE"/>
    <w:rsid w:val="005209B5"/>
    <w:rsid w:val="00532D51"/>
    <w:rsid w:val="00534E2E"/>
    <w:rsid w:val="00541F09"/>
    <w:rsid w:val="005434E0"/>
    <w:rsid w:val="00544552"/>
    <w:rsid w:val="00554999"/>
    <w:rsid w:val="00581932"/>
    <w:rsid w:val="005A3173"/>
    <w:rsid w:val="005A3223"/>
    <w:rsid w:val="005A3DA3"/>
    <w:rsid w:val="005A52C4"/>
    <w:rsid w:val="005A6868"/>
    <w:rsid w:val="005B5AC8"/>
    <w:rsid w:val="005C1968"/>
    <w:rsid w:val="005D03AB"/>
    <w:rsid w:val="005D5017"/>
    <w:rsid w:val="005E6513"/>
    <w:rsid w:val="00601A91"/>
    <w:rsid w:val="00602BA3"/>
    <w:rsid w:val="00603F07"/>
    <w:rsid w:val="00606AAF"/>
    <w:rsid w:val="00614159"/>
    <w:rsid w:val="00614322"/>
    <w:rsid w:val="00617C00"/>
    <w:rsid w:val="006263BF"/>
    <w:rsid w:val="00630A2C"/>
    <w:rsid w:val="00643AE1"/>
    <w:rsid w:val="00651169"/>
    <w:rsid w:val="00653D69"/>
    <w:rsid w:val="00655843"/>
    <w:rsid w:val="00660AE0"/>
    <w:rsid w:val="00670A76"/>
    <w:rsid w:val="00670FB2"/>
    <w:rsid w:val="006711AA"/>
    <w:rsid w:val="00675622"/>
    <w:rsid w:val="00676641"/>
    <w:rsid w:val="00676DC0"/>
    <w:rsid w:val="006877E8"/>
    <w:rsid w:val="006906DB"/>
    <w:rsid w:val="006972E2"/>
    <w:rsid w:val="006A12A5"/>
    <w:rsid w:val="006B0D94"/>
    <w:rsid w:val="006B485D"/>
    <w:rsid w:val="006C0011"/>
    <w:rsid w:val="006C3924"/>
    <w:rsid w:val="006D248D"/>
    <w:rsid w:val="006D6EC7"/>
    <w:rsid w:val="006E2235"/>
    <w:rsid w:val="006F2C1C"/>
    <w:rsid w:val="006F2CEB"/>
    <w:rsid w:val="006F5125"/>
    <w:rsid w:val="00700859"/>
    <w:rsid w:val="00715CF6"/>
    <w:rsid w:val="007169A1"/>
    <w:rsid w:val="007174BB"/>
    <w:rsid w:val="00725AA3"/>
    <w:rsid w:val="00730BEA"/>
    <w:rsid w:val="007377DB"/>
    <w:rsid w:val="00744D38"/>
    <w:rsid w:val="00755EFD"/>
    <w:rsid w:val="00762CA7"/>
    <w:rsid w:val="0076618C"/>
    <w:rsid w:val="00766AA8"/>
    <w:rsid w:val="00774CAE"/>
    <w:rsid w:val="007753C2"/>
    <w:rsid w:val="0077726D"/>
    <w:rsid w:val="0077759D"/>
    <w:rsid w:val="007838B8"/>
    <w:rsid w:val="007A09FF"/>
    <w:rsid w:val="007C0F57"/>
    <w:rsid w:val="007C40B6"/>
    <w:rsid w:val="007C729F"/>
    <w:rsid w:val="007E1D28"/>
    <w:rsid w:val="007F2641"/>
    <w:rsid w:val="0080200B"/>
    <w:rsid w:val="0080657F"/>
    <w:rsid w:val="00806796"/>
    <w:rsid w:val="00836A87"/>
    <w:rsid w:val="00862C0F"/>
    <w:rsid w:val="00863E68"/>
    <w:rsid w:val="008812B6"/>
    <w:rsid w:val="008818D5"/>
    <w:rsid w:val="00882085"/>
    <w:rsid w:val="00883188"/>
    <w:rsid w:val="00895152"/>
    <w:rsid w:val="00897D58"/>
    <w:rsid w:val="008A4937"/>
    <w:rsid w:val="008B1D8F"/>
    <w:rsid w:val="008B563B"/>
    <w:rsid w:val="008C5C57"/>
    <w:rsid w:val="008D3C82"/>
    <w:rsid w:val="008D447E"/>
    <w:rsid w:val="008E3680"/>
    <w:rsid w:val="008E55AE"/>
    <w:rsid w:val="008E5870"/>
    <w:rsid w:val="008E69E4"/>
    <w:rsid w:val="008F1434"/>
    <w:rsid w:val="008F7355"/>
    <w:rsid w:val="00907D3D"/>
    <w:rsid w:val="00910E51"/>
    <w:rsid w:val="00915CFE"/>
    <w:rsid w:val="00930937"/>
    <w:rsid w:val="00933604"/>
    <w:rsid w:val="00933C74"/>
    <w:rsid w:val="00934707"/>
    <w:rsid w:val="00934873"/>
    <w:rsid w:val="0094097D"/>
    <w:rsid w:val="00942160"/>
    <w:rsid w:val="00945539"/>
    <w:rsid w:val="009602C5"/>
    <w:rsid w:val="0096351A"/>
    <w:rsid w:val="00965550"/>
    <w:rsid w:val="00974C21"/>
    <w:rsid w:val="0097643C"/>
    <w:rsid w:val="009B6653"/>
    <w:rsid w:val="009C703C"/>
    <w:rsid w:val="009D3292"/>
    <w:rsid w:val="009D3CAA"/>
    <w:rsid w:val="009E3D2F"/>
    <w:rsid w:val="009F1FB3"/>
    <w:rsid w:val="009F5B65"/>
    <w:rsid w:val="00A06225"/>
    <w:rsid w:val="00A206F1"/>
    <w:rsid w:val="00A2526C"/>
    <w:rsid w:val="00A25314"/>
    <w:rsid w:val="00A313C3"/>
    <w:rsid w:val="00A3153F"/>
    <w:rsid w:val="00A377F2"/>
    <w:rsid w:val="00A37C8D"/>
    <w:rsid w:val="00A5273B"/>
    <w:rsid w:val="00A53A9D"/>
    <w:rsid w:val="00A550B2"/>
    <w:rsid w:val="00A62C1A"/>
    <w:rsid w:val="00A63913"/>
    <w:rsid w:val="00A6426D"/>
    <w:rsid w:val="00A65E00"/>
    <w:rsid w:val="00A70622"/>
    <w:rsid w:val="00A70977"/>
    <w:rsid w:val="00A74BB8"/>
    <w:rsid w:val="00A8390C"/>
    <w:rsid w:val="00A8405D"/>
    <w:rsid w:val="00A90EBD"/>
    <w:rsid w:val="00A95573"/>
    <w:rsid w:val="00A96AB3"/>
    <w:rsid w:val="00AA0A57"/>
    <w:rsid w:val="00AA2CC2"/>
    <w:rsid w:val="00AA4D1C"/>
    <w:rsid w:val="00AC241A"/>
    <w:rsid w:val="00AC5206"/>
    <w:rsid w:val="00AC55EC"/>
    <w:rsid w:val="00AE0BF1"/>
    <w:rsid w:val="00AE11A5"/>
    <w:rsid w:val="00AE4D01"/>
    <w:rsid w:val="00AE501F"/>
    <w:rsid w:val="00AE7ADF"/>
    <w:rsid w:val="00AF64C2"/>
    <w:rsid w:val="00AF68CC"/>
    <w:rsid w:val="00AF6ABC"/>
    <w:rsid w:val="00B03A9D"/>
    <w:rsid w:val="00B072DB"/>
    <w:rsid w:val="00B157A0"/>
    <w:rsid w:val="00B205AA"/>
    <w:rsid w:val="00B226D8"/>
    <w:rsid w:val="00B22701"/>
    <w:rsid w:val="00B25F75"/>
    <w:rsid w:val="00B2799B"/>
    <w:rsid w:val="00B31FF0"/>
    <w:rsid w:val="00B43E90"/>
    <w:rsid w:val="00B454E2"/>
    <w:rsid w:val="00B56118"/>
    <w:rsid w:val="00B60442"/>
    <w:rsid w:val="00B664C5"/>
    <w:rsid w:val="00B667CF"/>
    <w:rsid w:val="00B67475"/>
    <w:rsid w:val="00B70BC0"/>
    <w:rsid w:val="00B961B0"/>
    <w:rsid w:val="00BA1AF9"/>
    <w:rsid w:val="00BA7114"/>
    <w:rsid w:val="00BB5DAE"/>
    <w:rsid w:val="00BB69F5"/>
    <w:rsid w:val="00BB6F09"/>
    <w:rsid w:val="00BB7EC3"/>
    <w:rsid w:val="00BC4B9A"/>
    <w:rsid w:val="00BD4291"/>
    <w:rsid w:val="00BF4CB6"/>
    <w:rsid w:val="00BF5FDC"/>
    <w:rsid w:val="00BF6463"/>
    <w:rsid w:val="00BF7D31"/>
    <w:rsid w:val="00C0077F"/>
    <w:rsid w:val="00C00EEA"/>
    <w:rsid w:val="00C01460"/>
    <w:rsid w:val="00C0294B"/>
    <w:rsid w:val="00C12768"/>
    <w:rsid w:val="00C23177"/>
    <w:rsid w:val="00C30948"/>
    <w:rsid w:val="00C35996"/>
    <w:rsid w:val="00C40333"/>
    <w:rsid w:val="00C41C40"/>
    <w:rsid w:val="00C450A2"/>
    <w:rsid w:val="00C5232C"/>
    <w:rsid w:val="00C530A1"/>
    <w:rsid w:val="00C5342C"/>
    <w:rsid w:val="00C55E4A"/>
    <w:rsid w:val="00C6256A"/>
    <w:rsid w:val="00C84AB2"/>
    <w:rsid w:val="00C8544D"/>
    <w:rsid w:val="00C91449"/>
    <w:rsid w:val="00C92D10"/>
    <w:rsid w:val="00CB446F"/>
    <w:rsid w:val="00CC0044"/>
    <w:rsid w:val="00CC6E4F"/>
    <w:rsid w:val="00CD1283"/>
    <w:rsid w:val="00CD777F"/>
    <w:rsid w:val="00CE10C4"/>
    <w:rsid w:val="00CE27B5"/>
    <w:rsid w:val="00CE6343"/>
    <w:rsid w:val="00CE697E"/>
    <w:rsid w:val="00D0199F"/>
    <w:rsid w:val="00D0321E"/>
    <w:rsid w:val="00D11CF6"/>
    <w:rsid w:val="00D319B2"/>
    <w:rsid w:val="00D3280C"/>
    <w:rsid w:val="00D32FF7"/>
    <w:rsid w:val="00D3406A"/>
    <w:rsid w:val="00D4697E"/>
    <w:rsid w:val="00D469B2"/>
    <w:rsid w:val="00D741EB"/>
    <w:rsid w:val="00D75569"/>
    <w:rsid w:val="00D822C7"/>
    <w:rsid w:val="00D82B6B"/>
    <w:rsid w:val="00D91271"/>
    <w:rsid w:val="00D95ABE"/>
    <w:rsid w:val="00DA316E"/>
    <w:rsid w:val="00DA3216"/>
    <w:rsid w:val="00DA4BAC"/>
    <w:rsid w:val="00DB3ED7"/>
    <w:rsid w:val="00DC056F"/>
    <w:rsid w:val="00DC30D1"/>
    <w:rsid w:val="00DE6D27"/>
    <w:rsid w:val="00DF0281"/>
    <w:rsid w:val="00DF2157"/>
    <w:rsid w:val="00DF217D"/>
    <w:rsid w:val="00DF26A7"/>
    <w:rsid w:val="00E138FF"/>
    <w:rsid w:val="00E1442F"/>
    <w:rsid w:val="00E16910"/>
    <w:rsid w:val="00E24111"/>
    <w:rsid w:val="00E361F5"/>
    <w:rsid w:val="00E65E54"/>
    <w:rsid w:val="00E70FE1"/>
    <w:rsid w:val="00E80155"/>
    <w:rsid w:val="00E8248C"/>
    <w:rsid w:val="00E848C0"/>
    <w:rsid w:val="00E86040"/>
    <w:rsid w:val="00E91B96"/>
    <w:rsid w:val="00E941A1"/>
    <w:rsid w:val="00E95CE3"/>
    <w:rsid w:val="00EA2825"/>
    <w:rsid w:val="00EA69D8"/>
    <w:rsid w:val="00EA732F"/>
    <w:rsid w:val="00EB5088"/>
    <w:rsid w:val="00EB65E1"/>
    <w:rsid w:val="00EC6978"/>
    <w:rsid w:val="00ED0A01"/>
    <w:rsid w:val="00ED1644"/>
    <w:rsid w:val="00ED3610"/>
    <w:rsid w:val="00EF4D4E"/>
    <w:rsid w:val="00F050BD"/>
    <w:rsid w:val="00F05515"/>
    <w:rsid w:val="00F05657"/>
    <w:rsid w:val="00F07F9C"/>
    <w:rsid w:val="00F1719B"/>
    <w:rsid w:val="00F25578"/>
    <w:rsid w:val="00F258E5"/>
    <w:rsid w:val="00F264DD"/>
    <w:rsid w:val="00F300BC"/>
    <w:rsid w:val="00F3334E"/>
    <w:rsid w:val="00F42CEC"/>
    <w:rsid w:val="00F50558"/>
    <w:rsid w:val="00F50EC4"/>
    <w:rsid w:val="00F549C4"/>
    <w:rsid w:val="00F57A6D"/>
    <w:rsid w:val="00F638CC"/>
    <w:rsid w:val="00F768FB"/>
    <w:rsid w:val="00F8247A"/>
    <w:rsid w:val="00F84D52"/>
    <w:rsid w:val="00F85A75"/>
    <w:rsid w:val="00F86D93"/>
    <w:rsid w:val="00F874EB"/>
    <w:rsid w:val="00F87CAE"/>
    <w:rsid w:val="00FA5883"/>
    <w:rsid w:val="00FA6055"/>
    <w:rsid w:val="00FB322F"/>
    <w:rsid w:val="00FB442F"/>
    <w:rsid w:val="00FB6AEC"/>
    <w:rsid w:val="00FB757E"/>
    <w:rsid w:val="00FC1929"/>
    <w:rsid w:val="00FC274E"/>
    <w:rsid w:val="00FC4626"/>
    <w:rsid w:val="00FC5B46"/>
    <w:rsid w:val="00FC673E"/>
    <w:rsid w:val="00FD36E9"/>
    <w:rsid w:val="00FD7377"/>
    <w:rsid w:val="00FE147A"/>
    <w:rsid w:val="00FE2ADA"/>
    <w:rsid w:val="00FE394F"/>
    <w:rsid w:val="00FF1ED4"/>
    <w:rsid w:val="00FF208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76AC8"/>
    <w:pPr>
      <w:keepNext/>
      <w:outlineLvl w:val="0"/>
    </w:pPr>
    <w:rPr>
      <w:rFonts w:ascii="Arial" w:hAnsi="Arial"/>
      <w:b/>
      <w:sz w:val="28"/>
    </w:rPr>
  </w:style>
  <w:style w:type="paragraph" w:styleId="Heading2">
    <w:name w:val="heading 2"/>
    <w:basedOn w:val="Normal"/>
    <w:next w:val="Normal"/>
    <w:link w:val="Heading2Char"/>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rsid w:val="00033872"/>
    <w:rPr>
      <w:sz w:val="24"/>
      <w:szCs w:val="24"/>
    </w:rPr>
  </w:style>
  <w:style w:type="paragraph" w:customStyle="1" w:styleId="TableFooter">
    <w:name w:val="Table Footer"/>
    <w:basedOn w:val="Normal"/>
    <w:qFormat/>
    <w:rsid w:val="00A25314"/>
    <w:pPr>
      <w:widowControl w:val="0"/>
      <w:jc w:val="both"/>
    </w:pPr>
    <w:rPr>
      <w:rFonts w:ascii="Arial Narrow" w:eastAsia="SimSun" w:hAnsi="Arial Narrow" w:cs="Arial"/>
      <w:snapToGrid w:val="0"/>
      <w:sz w:val="18"/>
      <w:szCs w:val="20"/>
      <w:lang w:eastAsia="en-US"/>
    </w:rPr>
  </w:style>
  <w:style w:type="character" w:customStyle="1" w:styleId="Heading2Char">
    <w:name w:val="Heading 2 Char"/>
    <w:link w:val="Heading2"/>
    <w:rsid w:val="000F3A86"/>
    <w:rPr>
      <w:sz w:val="24"/>
      <w:szCs w:val="24"/>
    </w:rPr>
  </w:style>
  <w:style w:type="character" w:customStyle="1" w:styleId="TabletextChar">
    <w:name w:val="Table text Char"/>
    <w:link w:val="Tabletext"/>
    <w:rsid w:val="000F3A86"/>
    <w:rPr>
      <w:rFonts w:ascii="Arial" w:hAnsi="Arial"/>
      <w:lang w:eastAsia="en-US"/>
    </w:rPr>
  </w:style>
  <w:style w:type="paragraph" w:customStyle="1" w:styleId="RegularText">
    <w:name w:val="Regular Text"/>
    <w:basedOn w:val="BodyText"/>
    <w:link w:val="RegularTextChar"/>
    <w:rsid w:val="00382975"/>
    <w:pPr>
      <w:widowControl w:val="0"/>
      <w:spacing w:after="0"/>
    </w:pPr>
    <w:rPr>
      <w:rFonts w:ascii="Arial" w:eastAsia="SimSun" w:hAnsi="Arial" w:cs="Arial"/>
      <w:b/>
      <w:snapToGrid w:val="0"/>
      <w:sz w:val="22"/>
      <w:lang w:eastAsia="en-US"/>
    </w:rPr>
  </w:style>
  <w:style w:type="character" w:customStyle="1" w:styleId="RegularTextChar">
    <w:name w:val="Regular Text Char"/>
    <w:basedOn w:val="BodyTextChar"/>
    <w:link w:val="RegularText"/>
    <w:rsid w:val="00382975"/>
    <w:rPr>
      <w:rFonts w:ascii="Arial" w:eastAsia="SimSun" w:hAnsi="Arial" w:cs="Arial"/>
      <w:b/>
      <w:snapToGrid w:val="0"/>
      <w:sz w:val="22"/>
      <w:szCs w:val="24"/>
      <w:lang w:eastAsia="en-US"/>
    </w:rPr>
  </w:style>
  <w:style w:type="paragraph" w:styleId="BodyText">
    <w:name w:val="Body Text"/>
    <w:basedOn w:val="Normal"/>
    <w:link w:val="BodyTextChar"/>
    <w:rsid w:val="00382975"/>
    <w:pPr>
      <w:spacing w:after="120"/>
    </w:pPr>
  </w:style>
  <w:style w:type="character" w:customStyle="1" w:styleId="BodyTextChar">
    <w:name w:val="Body Text Char"/>
    <w:basedOn w:val="DefaultParagraphFont"/>
    <w:link w:val="BodyText"/>
    <w:rsid w:val="00382975"/>
    <w:rPr>
      <w:sz w:val="24"/>
      <w:szCs w:val="24"/>
    </w:rPr>
  </w:style>
  <w:style w:type="paragraph" w:styleId="Revision">
    <w:name w:val="Revision"/>
    <w:hidden/>
    <w:uiPriority w:val="71"/>
    <w:rsid w:val="00B664C5"/>
    <w:rPr>
      <w:sz w:val="24"/>
      <w:szCs w:val="24"/>
    </w:rPr>
  </w:style>
  <w:style w:type="character" w:customStyle="1" w:styleId="TableText0">
    <w:name w:val="Table Text"/>
    <w:basedOn w:val="DefaultParagraphFont"/>
    <w:uiPriority w:val="4"/>
    <w:qFormat/>
    <w:rsid w:val="00516B50"/>
    <w:rPr>
      <w:rFonts w:ascii="Arial Narrow" w:hAnsi="Arial Narrow"/>
      <w:sz w:val="20"/>
    </w:rPr>
  </w:style>
  <w:style w:type="paragraph" w:styleId="ListBullet">
    <w:name w:val="List Bullet"/>
    <w:basedOn w:val="Normal"/>
    <w:autoRedefine/>
    <w:rsid w:val="00191F0C"/>
    <w:rPr>
      <w:rFonts w:ascii="Arial" w:hAnsi="Arial" w:cs="Arial"/>
      <w:snapToGrid w:val="0"/>
      <w:sz w:val="20"/>
      <w:szCs w:val="20"/>
      <w:lang w:eastAsia="en-US"/>
    </w:rPr>
  </w:style>
  <w:style w:type="paragraph" w:styleId="NormalWeb">
    <w:name w:val="Normal (Web)"/>
    <w:basedOn w:val="Normal"/>
    <w:uiPriority w:val="99"/>
    <w:unhideWhenUsed/>
    <w:rsid w:val="00191F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176AC8"/>
    <w:pPr>
      <w:keepNext/>
      <w:outlineLvl w:val="0"/>
    </w:pPr>
    <w:rPr>
      <w:rFonts w:ascii="Arial" w:hAnsi="Arial"/>
      <w:b/>
      <w:sz w:val="28"/>
    </w:rPr>
  </w:style>
  <w:style w:type="paragraph" w:styleId="Heading2">
    <w:name w:val="heading 2"/>
    <w:basedOn w:val="Normal"/>
    <w:next w:val="Normal"/>
    <w:link w:val="Heading2Char"/>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ListParagraphChar">
    <w:name w:val="List Paragraph Char"/>
    <w:link w:val="ListParagraph"/>
    <w:uiPriority w:val="72"/>
    <w:rsid w:val="00033872"/>
    <w:rPr>
      <w:sz w:val="24"/>
      <w:szCs w:val="24"/>
    </w:rPr>
  </w:style>
  <w:style w:type="paragraph" w:customStyle="1" w:styleId="TableFooter">
    <w:name w:val="Table Footer"/>
    <w:basedOn w:val="Normal"/>
    <w:qFormat/>
    <w:rsid w:val="00A25314"/>
    <w:pPr>
      <w:widowControl w:val="0"/>
      <w:jc w:val="both"/>
    </w:pPr>
    <w:rPr>
      <w:rFonts w:ascii="Arial Narrow" w:eastAsia="SimSun" w:hAnsi="Arial Narrow" w:cs="Arial"/>
      <w:snapToGrid w:val="0"/>
      <w:sz w:val="18"/>
      <w:szCs w:val="20"/>
      <w:lang w:eastAsia="en-US"/>
    </w:rPr>
  </w:style>
  <w:style w:type="character" w:customStyle="1" w:styleId="Heading2Char">
    <w:name w:val="Heading 2 Char"/>
    <w:link w:val="Heading2"/>
    <w:rsid w:val="000F3A86"/>
    <w:rPr>
      <w:sz w:val="24"/>
      <w:szCs w:val="24"/>
    </w:rPr>
  </w:style>
  <w:style w:type="character" w:customStyle="1" w:styleId="TabletextChar">
    <w:name w:val="Table text Char"/>
    <w:link w:val="Tabletext"/>
    <w:rsid w:val="000F3A86"/>
    <w:rPr>
      <w:rFonts w:ascii="Arial" w:hAnsi="Arial"/>
      <w:lang w:eastAsia="en-US"/>
    </w:rPr>
  </w:style>
  <w:style w:type="paragraph" w:customStyle="1" w:styleId="RegularText">
    <w:name w:val="Regular Text"/>
    <w:basedOn w:val="BodyText"/>
    <w:link w:val="RegularTextChar"/>
    <w:rsid w:val="00382975"/>
    <w:pPr>
      <w:widowControl w:val="0"/>
      <w:spacing w:after="0"/>
    </w:pPr>
    <w:rPr>
      <w:rFonts w:ascii="Arial" w:eastAsia="SimSun" w:hAnsi="Arial" w:cs="Arial"/>
      <w:b/>
      <w:snapToGrid w:val="0"/>
      <w:sz w:val="22"/>
      <w:lang w:eastAsia="en-US"/>
    </w:rPr>
  </w:style>
  <w:style w:type="character" w:customStyle="1" w:styleId="RegularTextChar">
    <w:name w:val="Regular Text Char"/>
    <w:basedOn w:val="BodyTextChar"/>
    <w:link w:val="RegularText"/>
    <w:rsid w:val="00382975"/>
    <w:rPr>
      <w:rFonts w:ascii="Arial" w:eastAsia="SimSun" w:hAnsi="Arial" w:cs="Arial"/>
      <w:b/>
      <w:snapToGrid w:val="0"/>
      <w:sz w:val="22"/>
      <w:szCs w:val="24"/>
      <w:lang w:eastAsia="en-US"/>
    </w:rPr>
  </w:style>
  <w:style w:type="paragraph" w:styleId="BodyText">
    <w:name w:val="Body Text"/>
    <w:basedOn w:val="Normal"/>
    <w:link w:val="BodyTextChar"/>
    <w:rsid w:val="00382975"/>
    <w:pPr>
      <w:spacing w:after="120"/>
    </w:pPr>
  </w:style>
  <w:style w:type="character" w:customStyle="1" w:styleId="BodyTextChar">
    <w:name w:val="Body Text Char"/>
    <w:basedOn w:val="DefaultParagraphFont"/>
    <w:link w:val="BodyText"/>
    <w:rsid w:val="00382975"/>
    <w:rPr>
      <w:sz w:val="24"/>
      <w:szCs w:val="24"/>
    </w:rPr>
  </w:style>
  <w:style w:type="paragraph" w:styleId="Revision">
    <w:name w:val="Revision"/>
    <w:hidden/>
    <w:uiPriority w:val="71"/>
    <w:rsid w:val="00B664C5"/>
    <w:rPr>
      <w:sz w:val="24"/>
      <w:szCs w:val="24"/>
    </w:rPr>
  </w:style>
  <w:style w:type="character" w:customStyle="1" w:styleId="TableText0">
    <w:name w:val="Table Text"/>
    <w:basedOn w:val="DefaultParagraphFont"/>
    <w:uiPriority w:val="4"/>
    <w:qFormat/>
    <w:rsid w:val="00516B50"/>
    <w:rPr>
      <w:rFonts w:ascii="Arial Narrow" w:hAnsi="Arial Narrow"/>
      <w:sz w:val="20"/>
    </w:rPr>
  </w:style>
  <w:style w:type="paragraph" w:styleId="ListBullet">
    <w:name w:val="List Bullet"/>
    <w:basedOn w:val="Normal"/>
    <w:autoRedefine/>
    <w:rsid w:val="00191F0C"/>
    <w:rPr>
      <w:rFonts w:ascii="Arial" w:hAnsi="Arial" w:cs="Arial"/>
      <w:snapToGrid w:val="0"/>
      <w:sz w:val="20"/>
      <w:szCs w:val="20"/>
      <w:lang w:eastAsia="en-US"/>
    </w:rPr>
  </w:style>
  <w:style w:type="paragraph" w:styleId="NormalWeb">
    <w:name w:val="Normal (Web)"/>
    <w:basedOn w:val="Normal"/>
    <w:uiPriority w:val="99"/>
    <w:unhideWhenUsed/>
    <w:rsid w:val="00191F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78806736">
      <w:bodyDiv w:val="1"/>
      <w:marLeft w:val="0"/>
      <w:marRight w:val="0"/>
      <w:marTop w:val="0"/>
      <w:marBottom w:val="0"/>
      <w:divBdr>
        <w:top w:val="none" w:sz="0" w:space="0" w:color="auto"/>
        <w:left w:val="none" w:sz="0" w:space="0" w:color="auto"/>
        <w:bottom w:val="none" w:sz="0" w:space="0" w:color="auto"/>
        <w:right w:val="none" w:sz="0" w:space="0" w:color="auto"/>
      </w:divBdr>
      <w:divsChild>
        <w:div w:id="1934975645">
          <w:marLeft w:val="533"/>
          <w:marRight w:val="0"/>
          <w:marTop w:val="154"/>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5731</Words>
  <Characters>39456</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2014-11-04T06:04:00Z</dcterms:created>
  <dcterms:modified xsi:type="dcterms:W3CDTF">2014-11-10T04:35:00Z</dcterms:modified>
</cp:coreProperties>
</file>