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6D6EC7" w:rsidRDefault="00DE463B" w:rsidP="00C61A5A">
      <w:pPr>
        <w:pStyle w:val="Heading1"/>
      </w:pPr>
      <w:r>
        <w:t>6</w:t>
      </w:r>
      <w:r w:rsidR="0004240E" w:rsidRPr="006D6EC7">
        <w:t>.</w:t>
      </w:r>
      <w:r>
        <w:t>6</w:t>
      </w:r>
      <w:r w:rsidR="007C0F57" w:rsidRPr="006D6EC7">
        <w:tab/>
      </w:r>
      <w:r w:rsidRPr="00C61A5A">
        <w:rPr>
          <w:sz w:val="28"/>
          <w:szCs w:val="28"/>
        </w:rPr>
        <w:t>RITUXIMAB</w:t>
      </w:r>
      <w:r w:rsidR="0004240E" w:rsidRPr="00C61A5A">
        <w:rPr>
          <w:sz w:val="28"/>
          <w:szCs w:val="28"/>
        </w:rPr>
        <w:t xml:space="preserve">, </w:t>
      </w:r>
      <w:r w:rsidR="008F7038" w:rsidRPr="00C61A5A">
        <w:rPr>
          <w:sz w:val="28"/>
          <w:szCs w:val="28"/>
        </w:rPr>
        <w:t>solution for IV infusion</w:t>
      </w:r>
      <w:r w:rsidR="0004240E" w:rsidRPr="00C61A5A">
        <w:rPr>
          <w:sz w:val="28"/>
          <w:szCs w:val="28"/>
        </w:rPr>
        <w:t xml:space="preserve">, </w:t>
      </w:r>
      <w:r w:rsidR="008F7038" w:rsidRPr="00C61A5A">
        <w:rPr>
          <w:sz w:val="28"/>
          <w:szCs w:val="28"/>
        </w:rPr>
        <w:t>100 mg in 10 mL, 500 mg in 50 mL</w:t>
      </w:r>
      <w:r w:rsidR="0004240E" w:rsidRPr="00C61A5A">
        <w:rPr>
          <w:sz w:val="28"/>
          <w:szCs w:val="28"/>
        </w:rPr>
        <w:t xml:space="preserve">, </w:t>
      </w:r>
      <w:proofErr w:type="spellStart"/>
      <w:r w:rsidRPr="00C61A5A">
        <w:rPr>
          <w:sz w:val="28"/>
          <w:szCs w:val="28"/>
        </w:rPr>
        <w:t>Mabthera</w:t>
      </w:r>
      <w:proofErr w:type="spellEnd"/>
      <w:r w:rsidR="0004240E" w:rsidRPr="00C61A5A">
        <w:rPr>
          <w:sz w:val="28"/>
          <w:szCs w:val="28"/>
          <w:vertAlign w:val="superscript"/>
        </w:rPr>
        <w:t>®</w:t>
      </w:r>
      <w:r w:rsidR="0004240E" w:rsidRPr="00C61A5A">
        <w:rPr>
          <w:sz w:val="28"/>
          <w:szCs w:val="28"/>
        </w:rPr>
        <w:t xml:space="preserve">, </w:t>
      </w:r>
      <w:r w:rsidRPr="00C61A5A">
        <w:rPr>
          <w:sz w:val="28"/>
          <w:szCs w:val="28"/>
        </w:rPr>
        <w:t>Roche Products Pty Ltd</w:t>
      </w:r>
      <w:r w:rsidR="0004240E" w:rsidRPr="00C61A5A">
        <w:rPr>
          <w:sz w:val="28"/>
          <w:szCs w:val="28"/>
        </w:rPr>
        <w:t>.</w:t>
      </w:r>
    </w:p>
    <w:p w:rsidR="00CE10C4" w:rsidRDefault="00CE10C4" w:rsidP="00A5273B">
      <w:pPr>
        <w:rPr>
          <w:rFonts w:ascii="Arial" w:hAnsi="Arial"/>
          <w:b/>
        </w:rPr>
      </w:pPr>
    </w:p>
    <w:p w:rsidR="005F3E57" w:rsidRDefault="005F3E57" w:rsidP="00A5273B">
      <w:pPr>
        <w:rPr>
          <w:rFonts w:ascii="Arial" w:hAnsi="Arial"/>
          <w:b/>
        </w:rPr>
      </w:pPr>
    </w:p>
    <w:p w:rsidR="005F3E57" w:rsidRPr="00407F2D" w:rsidRDefault="005F3E57" w:rsidP="005F3E57">
      <w:pPr>
        <w:pStyle w:val="ListParagraph"/>
        <w:numPr>
          <w:ilvl w:val="0"/>
          <w:numId w:val="1"/>
        </w:numPr>
        <w:jc w:val="both"/>
        <w:rPr>
          <w:rFonts w:ascii="Arial" w:hAnsi="Arial"/>
          <w:b/>
          <w:sz w:val="22"/>
          <w:szCs w:val="22"/>
        </w:rPr>
      </w:pPr>
      <w:r w:rsidRPr="00407F2D">
        <w:rPr>
          <w:rFonts w:ascii="Arial" w:hAnsi="Arial"/>
          <w:b/>
          <w:sz w:val="22"/>
          <w:szCs w:val="22"/>
        </w:rPr>
        <w:t>Purpose of Application</w:t>
      </w:r>
    </w:p>
    <w:p w:rsidR="006A12A5" w:rsidRPr="00882085" w:rsidRDefault="006A12A5" w:rsidP="00882085">
      <w:pPr>
        <w:jc w:val="both"/>
        <w:rPr>
          <w:rFonts w:ascii="Arial" w:hAnsi="Arial"/>
          <w:sz w:val="22"/>
          <w:szCs w:val="22"/>
        </w:rPr>
      </w:pPr>
    </w:p>
    <w:p w:rsidR="00E16910" w:rsidRPr="005F3E57" w:rsidRDefault="006A2AF8"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Minor </w:t>
      </w:r>
      <w:r w:rsidR="008B5615" w:rsidRPr="005F3E57">
        <w:rPr>
          <w:rFonts w:ascii="Arial" w:hAnsi="Arial"/>
          <w:sz w:val="22"/>
          <w:szCs w:val="22"/>
        </w:rPr>
        <w:t>s</w:t>
      </w:r>
      <w:r w:rsidR="00DE463B" w:rsidRPr="005F3E57">
        <w:rPr>
          <w:rFonts w:ascii="Arial" w:hAnsi="Arial"/>
          <w:sz w:val="22"/>
          <w:szCs w:val="22"/>
        </w:rPr>
        <w:t xml:space="preserve">ubmission regarding the review of the </w:t>
      </w:r>
      <w:r w:rsidR="008B5615" w:rsidRPr="005F3E57">
        <w:rPr>
          <w:rFonts w:ascii="Arial" w:hAnsi="Arial"/>
          <w:sz w:val="22"/>
          <w:szCs w:val="22"/>
        </w:rPr>
        <w:t xml:space="preserve">effectiveness and </w:t>
      </w:r>
      <w:r w:rsidR="00DE463B" w:rsidRPr="005F3E57">
        <w:rPr>
          <w:rFonts w:ascii="Arial" w:hAnsi="Arial"/>
          <w:sz w:val="22"/>
          <w:szCs w:val="22"/>
        </w:rPr>
        <w:t xml:space="preserve">cost-effectiveness of rituximab for maintenance therapy of follicular lymphoma in patients who have achieved a partial or complete response to induction treatment in first-line and </w:t>
      </w:r>
      <w:proofErr w:type="gramStart"/>
      <w:r w:rsidR="00DE463B" w:rsidRPr="005F3E57">
        <w:rPr>
          <w:rFonts w:ascii="Arial" w:hAnsi="Arial"/>
          <w:sz w:val="22"/>
          <w:szCs w:val="22"/>
        </w:rPr>
        <w:t>relapsed</w:t>
      </w:r>
      <w:proofErr w:type="gramEnd"/>
      <w:r w:rsidR="00DE463B" w:rsidRPr="005F3E57">
        <w:rPr>
          <w:rFonts w:ascii="Arial" w:hAnsi="Arial"/>
          <w:sz w:val="22"/>
          <w:szCs w:val="22"/>
        </w:rPr>
        <w:t xml:space="preserve"> treatment settings.</w:t>
      </w:r>
    </w:p>
    <w:p w:rsidR="006A12A5" w:rsidRDefault="006A12A5" w:rsidP="00882085">
      <w:pPr>
        <w:jc w:val="both"/>
        <w:rPr>
          <w:rFonts w:ascii="Arial" w:hAnsi="Arial"/>
          <w:b/>
          <w:sz w:val="22"/>
          <w:szCs w:val="22"/>
        </w:rPr>
      </w:pPr>
    </w:p>
    <w:p w:rsidR="005F3E57" w:rsidRPr="00882085" w:rsidRDefault="005F3E57" w:rsidP="00882085">
      <w:pPr>
        <w:jc w:val="both"/>
        <w:rPr>
          <w:rFonts w:ascii="Arial" w:hAnsi="Arial"/>
          <w:b/>
          <w:sz w:val="22"/>
          <w:szCs w:val="22"/>
        </w:rPr>
      </w:pPr>
    </w:p>
    <w:p w:rsidR="00614159" w:rsidRPr="00882085" w:rsidRDefault="00512E60" w:rsidP="00AA4989">
      <w:pPr>
        <w:pStyle w:val="ListParagraph"/>
        <w:numPr>
          <w:ilvl w:val="0"/>
          <w:numId w:val="1"/>
        </w:numPr>
        <w:jc w:val="both"/>
        <w:rPr>
          <w:rFonts w:ascii="Arial" w:hAnsi="Arial"/>
          <w:b/>
          <w:sz w:val="22"/>
          <w:szCs w:val="22"/>
        </w:rPr>
      </w:pPr>
      <w:r>
        <w:rPr>
          <w:rFonts w:ascii="Arial" w:hAnsi="Arial"/>
          <w:b/>
          <w:sz w:val="22"/>
          <w:szCs w:val="22"/>
        </w:rPr>
        <w:t>Background</w:t>
      </w:r>
    </w:p>
    <w:p w:rsidR="006A12A5" w:rsidRPr="00882085" w:rsidRDefault="006A12A5" w:rsidP="00882085">
      <w:pPr>
        <w:jc w:val="both"/>
        <w:rPr>
          <w:rFonts w:ascii="Arial" w:hAnsi="Arial"/>
          <w:b/>
          <w:sz w:val="22"/>
          <w:szCs w:val="22"/>
        </w:rPr>
      </w:pPr>
    </w:p>
    <w:p w:rsidR="0019490D" w:rsidRPr="005F3E57" w:rsidRDefault="009E781E"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The current PBS-listings for rituximab in non-Hodgkin’s lymphoma (NHL) were intended for induction therapy only. There is currently no specific PBS listing for rituximab maintenance therapy </w:t>
      </w:r>
      <w:r w:rsidR="00655255" w:rsidRPr="005F3E57">
        <w:rPr>
          <w:rFonts w:ascii="Arial" w:hAnsi="Arial"/>
          <w:sz w:val="22"/>
          <w:szCs w:val="22"/>
        </w:rPr>
        <w:t xml:space="preserve">in NHL </w:t>
      </w:r>
      <w:r w:rsidRPr="005F3E57">
        <w:rPr>
          <w:rFonts w:ascii="Arial" w:hAnsi="Arial"/>
          <w:sz w:val="22"/>
          <w:szCs w:val="22"/>
        </w:rPr>
        <w:t xml:space="preserve">- this is an indication for which the sponsor has not previously sought PBS subsidy. </w:t>
      </w:r>
      <w:r w:rsidR="00AA4989" w:rsidRPr="005F3E57">
        <w:rPr>
          <w:rFonts w:ascii="Arial" w:hAnsi="Arial"/>
          <w:sz w:val="22"/>
          <w:szCs w:val="22"/>
        </w:rPr>
        <w:t xml:space="preserve">Despite this, </w:t>
      </w:r>
      <w:r w:rsidR="007B7AE9" w:rsidRPr="005F3E57">
        <w:rPr>
          <w:rFonts w:ascii="Arial" w:hAnsi="Arial"/>
          <w:sz w:val="22"/>
          <w:szCs w:val="22"/>
        </w:rPr>
        <w:t xml:space="preserve">there is </w:t>
      </w:r>
      <w:r w:rsidR="00AA4989" w:rsidRPr="005F3E57">
        <w:rPr>
          <w:rFonts w:ascii="Arial" w:hAnsi="Arial"/>
          <w:sz w:val="22"/>
          <w:szCs w:val="22"/>
        </w:rPr>
        <w:t xml:space="preserve">strong evidence that use of rituximab maintenance therapy is widespread in Australian clinical practice. </w:t>
      </w:r>
    </w:p>
    <w:p w:rsidR="0019490D" w:rsidRPr="0019490D" w:rsidRDefault="0019490D" w:rsidP="0019490D">
      <w:pPr>
        <w:pStyle w:val="ListParagraph"/>
        <w:shd w:val="clear" w:color="auto" w:fill="FFFFFF" w:themeFill="background1"/>
        <w:ind w:left="862"/>
        <w:jc w:val="both"/>
        <w:rPr>
          <w:rFonts w:ascii="Arial" w:hAnsi="Arial"/>
          <w:sz w:val="22"/>
          <w:szCs w:val="22"/>
        </w:rPr>
      </w:pPr>
    </w:p>
    <w:p w:rsidR="009E781E" w:rsidRPr="005F3E57" w:rsidRDefault="009E781E" w:rsidP="005F3E57">
      <w:pPr>
        <w:pStyle w:val="ListParagraph"/>
        <w:numPr>
          <w:ilvl w:val="1"/>
          <w:numId w:val="1"/>
        </w:numPr>
        <w:ind w:left="720"/>
        <w:jc w:val="both"/>
        <w:rPr>
          <w:rFonts w:ascii="Arial" w:hAnsi="Arial"/>
          <w:sz w:val="22"/>
          <w:szCs w:val="22"/>
        </w:rPr>
      </w:pPr>
      <w:r w:rsidRPr="005F3E57">
        <w:rPr>
          <w:rFonts w:ascii="Arial" w:hAnsi="Arial"/>
          <w:sz w:val="22"/>
          <w:szCs w:val="22"/>
        </w:rPr>
        <w:t>At its November 2012 meeting, the PBAC considered a DUSC utilisation report of rituximab, and</w:t>
      </w:r>
      <w:r w:rsidR="007B7AE9" w:rsidRPr="005F3E57">
        <w:rPr>
          <w:rFonts w:ascii="Arial" w:hAnsi="Arial"/>
          <w:sz w:val="22"/>
          <w:szCs w:val="22"/>
        </w:rPr>
        <w:t xml:space="preserve"> </w:t>
      </w:r>
      <w:r w:rsidRPr="005F3E57">
        <w:rPr>
          <w:rFonts w:ascii="Arial" w:hAnsi="Arial"/>
          <w:sz w:val="22"/>
          <w:szCs w:val="22"/>
        </w:rPr>
        <w:t>noted:</w:t>
      </w:r>
    </w:p>
    <w:p w:rsidR="009E781E" w:rsidRPr="00A43175" w:rsidRDefault="009E781E" w:rsidP="009E781E">
      <w:pPr>
        <w:pStyle w:val="ListParagraph"/>
        <w:shd w:val="clear" w:color="auto" w:fill="FFFFFF" w:themeFill="background1"/>
        <w:ind w:left="862"/>
        <w:jc w:val="both"/>
        <w:rPr>
          <w:rFonts w:ascii="Arial" w:hAnsi="Arial"/>
          <w:sz w:val="22"/>
          <w:szCs w:val="22"/>
        </w:rPr>
      </w:pPr>
      <w:r w:rsidRPr="00A43175">
        <w:rPr>
          <w:rFonts w:ascii="Arial" w:hAnsi="Arial"/>
          <w:sz w:val="22"/>
          <w:szCs w:val="22"/>
        </w:rPr>
        <w:t>“</w:t>
      </w:r>
      <w:proofErr w:type="gramStart"/>
      <w:r w:rsidRPr="00A43175">
        <w:rPr>
          <w:rFonts w:ascii="Arial" w:hAnsi="Arial"/>
          <w:sz w:val="22"/>
          <w:szCs w:val="22"/>
        </w:rPr>
        <w:t>that</w:t>
      </w:r>
      <w:proofErr w:type="gramEnd"/>
      <w:r w:rsidRPr="00A43175">
        <w:rPr>
          <w:rFonts w:ascii="Arial" w:hAnsi="Arial"/>
          <w:sz w:val="22"/>
          <w:szCs w:val="22"/>
        </w:rPr>
        <w:t xml:space="preserve"> prior to the listing of rituximab for </w:t>
      </w:r>
      <w:r w:rsidR="00FF1B9D">
        <w:rPr>
          <w:rFonts w:ascii="Arial" w:hAnsi="Arial"/>
          <w:sz w:val="22"/>
          <w:szCs w:val="22"/>
        </w:rPr>
        <w:t>c</w:t>
      </w:r>
      <w:r w:rsidR="00FF1B9D" w:rsidRPr="00FF1B9D">
        <w:rPr>
          <w:rFonts w:ascii="Arial" w:hAnsi="Arial"/>
          <w:sz w:val="22"/>
          <w:szCs w:val="22"/>
        </w:rPr>
        <w:t>hronic lymphocytic leukaemia</w:t>
      </w:r>
      <w:r w:rsidR="00FF1B9D">
        <w:rPr>
          <w:rFonts w:ascii="Arial" w:hAnsi="Arial"/>
          <w:sz w:val="22"/>
          <w:szCs w:val="22"/>
        </w:rPr>
        <w:t xml:space="preserve"> [in December 2011]</w:t>
      </w:r>
      <w:r w:rsidRPr="00A43175">
        <w:rPr>
          <w:rFonts w:ascii="Arial" w:hAnsi="Arial"/>
          <w:sz w:val="22"/>
          <w:szCs w:val="22"/>
        </w:rPr>
        <w:t>, that PBS expenditure for rituximab was approximately $110 million per year for NHL. According to the DUSC analysis, up to $23 million per annum may be for use beyond the very specific indications that ritux</w:t>
      </w:r>
      <w:r w:rsidR="00412424">
        <w:rPr>
          <w:rFonts w:ascii="Arial" w:hAnsi="Arial"/>
          <w:sz w:val="22"/>
          <w:szCs w:val="22"/>
        </w:rPr>
        <w:t>imab has been assessed for cost</w:t>
      </w:r>
      <w:r w:rsidR="00412424">
        <w:rPr>
          <w:rFonts w:ascii="Arial" w:hAnsi="Arial"/>
          <w:sz w:val="22"/>
          <w:szCs w:val="22"/>
        </w:rPr>
        <w:noBreakHyphen/>
      </w:r>
      <w:r w:rsidRPr="00A43175">
        <w:rPr>
          <w:rFonts w:ascii="Arial" w:hAnsi="Arial"/>
          <w:sz w:val="22"/>
          <w:szCs w:val="22"/>
        </w:rPr>
        <w:t xml:space="preserve">effectiveness by the PBAC. The Committee considered that the majority of additional use is likely to be for maintenance treatment of follicular lymphoma as this is a TGA registered indication.” (PBAC Minutes, November 2012) </w:t>
      </w:r>
    </w:p>
    <w:p w:rsidR="009E781E" w:rsidRDefault="009E781E" w:rsidP="009E781E">
      <w:pPr>
        <w:pStyle w:val="ListParagraph"/>
        <w:shd w:val="clear" w:color="auto" w:fill="FFFFFF" w:themeFill="background1"/>
        <w:ind w:left="862"/>
        <w:jc w:val="both"/>
        <w:rPr>
          <w:rFonts w:ascii="Arial" w:hAnsi="Arial"/>
          <w:sz w:val="22"/>
          <w:szCs w:val="22"/>
        </w:rPr>
      </w:pPr>
    </w:p>
    <w:p w:rsidR="00E6568B" w:rsidRPr="005F3E57" w:rsidRDefault="00655255" w:rsidP="005F3E57">
      <w:pPr>
        <w:pStyle w:val="ListParagraph"/>
        <w:numPr>
          <w:ilvl w:val="1"/>
          <w:numId w:val="1"/>
        </w:numPr>
        <w:ind w:left="720"/>
        <w:jc w:val="both"/>
        <w:rPr>
          <w:rFonts w:ascii="Arial" w:hAnsi="Arial"/>
          <w:sz w:val="22"/>
          <w:szCs w:val="22"/>
        </w:rPr>
      </w:pPr>
      <w:r w:rsidRPr="005F3E57">
        <w:rPr>
          <w:rFonts w:ascii="Arial" w:hAnsi="Arial"/>
          <w:sz w:val="22"/>
          <w:szCs w:val="22"/>
        </w:rPr>
        <w:t>In light of this, and noting that it had not previously considered the cost</w:t>
      </w:r>
      <w:r w:rsidRPr="005F3E57">
        <w:rPr>
          <w:rFonts w:ascii="Arial" w:hAnsi="Arial"/>
          <w:sz w:val="22"/>
          <w:szCs w:val="22"/>
        </w:rPr>
        <w:noBreakHyphen/>
      </w:r>
      <w:r w:rsidR="009E781E" w:rsidRPr="005F3E57">
        <w:rPr>
          <w:rFonts w:ascii="Arial" w:hAnsi="Arial"/>
          <w:sz w:val="22"/>
          <w:szCs w:val="22"/>
        </w:rPr>
        <w:t xml:space="preserve">effectiveness of rituximab maintenance therapy in </w:t>
      </w:r>
      <w:r w:rsidR="001775E6" w:rsidRPr="005F3E57">
        <w:rPr>
          <w:rFonts w:ascii="Arial" w:hAnsi="Arial"/>
          <w:sz w:val="22"/>
          <w:szCs w:val="22"/>
        </w:rPr>
        <w:t>NHL</w:t>
      </w:r>
      <w:r w:rsidRPr="005F3E57">
        <w:rPr>
          <w:rFonts w:ascii="Arial" w:hAnsi="Arial"/>
          <w:sz w:val="22"/>
          <w:szCs w:val="22"/>
        </w:rPr>
        <w:t>, in November 2012 the PBAC</w:t>
      </w:r>
      <w:r w:rsidR="009E781E" w:rsidRPr="005F3E57">
        <w:rPr>
          <w:rFonts w:ascii="Arial" w:hAnsi="Arial"/>
          <w:sz w:val="22"/>
          <w:szCs w:val="22"/>
        </w:rPr>
        <w:t xml:space="preserve"> requested a review of the efficacy and cost-effectiveness of rituximab for </w:t>
      </w:r>
      <w:r w:rsidR="006468B9" w:rsidRPr="005F3E57">
        <w:rPr>
          <w:rFonts w:ascii="Arial" w:hAnsi="Arial"/>
          <w:sz w:val="22"/>
          <w:szCs w:val="22"/>
        </w:rPr>
        <w:t>maintenance therapy in lymphoma</w:t>
      </w:r>
      <w:r w:rsidR="009E781E" w:rsidRPr="005F3E57">
        <w:rPr>
          <w:rFonts w:ascii="Arial" w:hAnsi="Arial"/>
          <w:sz w:val="22"/>
          <w:szCs w:val="22"/>
        </w:rPr>
        <w:t xml:space="preserve">. </w:t>
      </w:r>
      <w:r w:rsidR="00E6568B" w:rsidRPr="005F3E57">
        <w:rPr>
          <w:rFonts w:ascii="Arial" w:hAnsi="Arial"/>
          <w:sz w:val="22"/>
          <w:szCs w:val="22"/>
        </w:rPr>
        <w:t>As a</w:t>
      </w:r>
      <w:r w:rsidR="00512E60" w:rsidRPr="005F3E57">
        <w:rPr>
          <w:rFonts w:ascii="Arial" w:hAnsi="Arial"/>
          <w:sz w:val="22"/>
          <w:szCs w:val="22"/>
        </w:rPr>
        <w:t xml:space="preserve"> submission was not received from the sponsor</w:t>
      </w:r>
      <w:r w:rsidRPr="005F3E57">
        <w:rPr>
          <w:rFonts w:ascii="Arial" w:hAnsi="Arial"/>
          <w:sz w:val="22"/>
          <w:szCs w:val="22"/>
        </w:rPr>
        <w:t>,</w:t>
      </w:r>
      <w:r w:rsidR="00512E60" w:rsidRPr="005F3E57">
        <w:rPr>
          <w:rFonts w:ascii="Arial" w:hAnsi="Arial"/>
          <w:sz w:val="22"/>
          <w:szCs w:val="22"/>
        </w:rPr>
        <w:t xml:space="preserve"> the review was commissioned by the Department. </w:t>
      </w:r>
    </w:p>
    <w:p w:rsidR="00E6568B" w:rsidRDefault="00E6568B" w:rsidP="00412424">
      <w:pPr>
        <w:pStyle w:val="ListParagraph"/>
        <w:ind w:left="862"/>
        <w:jc w:val="both"/>
        <w:rPr>
          <w:rFonts w:ascii="Arial" w:hAnsi="Arial"/>
          <w:sz w:val="22"/>
          <w:szCs w:val="22"/>
        </w:rPr>
      </w:pPr>
    </w:p>
    <w:p w:rsidR="00E6568B" w:rsidRPr="005F3E57" w:rsidRDefault="00E6568B" w:rsidP="005F3E57">
      <w:pPr>
        <w:pStyle w:val="ListParagraph"/>
        <w:numPr>
          <w:ilvl w:val="1"/>
          <w:numId w:val="1"/>
        </w:numPr>
        <w:ind w:left="720"/>
        <w:jc w:val="both"/>
        <w:rPr>
          <w:rFonts w:ascii="Arial" w:hAnsi="Arial"/>
          <w:sz w:val="22"/>
          <w:szCs w:val="22"/>
        </w:rPr>
      </w:pPr>
      <w:r w:rsidRPr="005F3E57">
        <w:rPr>
          <w:rFonts w:ascii="Arial" w:hAnsi="Arial"/>
          <w:sz w:val="22"/>
          <w:szCs w:val="22"/>
        </w:rPr>
        <w:t>The review considered the eff</w:t>
      </w:r>
      <w:r w:rsidR="00655255" w:rsidRPr="005F3E57">
        <w:rPr>
          <w:rFonts w:ascii="Arial" w:hAnsi="Arial"/>
          <w:sz w:val="22"/>
          <w:szCs w:val="22"/>
        </w:rPr>
        <w:t>icacy</w:t>
      </w:r>
      <w:r w:rsidRPr="005F3E57">
        <w:rPr>
          <w:rFonts w:ascii="Arial" w:hAnsi="Arial"/>
          <w:sz w:val="22"/>
          <w:szCs w:val="22"/>
        </w:rPr>
        <w:t xml:space="preserve"> and cost-effectiveness of rituximab maintenance therapy in NHL compared with observation, using a cost</w:t>
      </w:r>
      <w:r w:rsidRPr="005F3E57">
        <w:rPr>
          <w:rFonts w:ascii="Arial" w:hAnsi="Arial"/>
          <w:sz w:val="22"/>
          <w:szCs w:val="22"/>
        </w:rPr>
        <w:noBreakHyphen/>
        <w:t>utility analysis.</w:t>
      </w:r>
    </w:p>
    <w:p w:rsidR="00E6568B" w:rsidRPr="00E6568B" w:rsidRDefault="00E6568B" w:rsidP="00412424">
      <w:pPr>
        <w:pStyle w:val="ListParagraph"/>
        <w:jc w:val="both"/>
        <w:rPr>
          <w:rFonts w:ascii="Arial" w:hAnsi="Arial"/>
          <w:sz w:val="22"/>
          <w:szCs w:val="22"/>
        </w:rPr>
      </w:pPr>
    </w:p>
    <w:p w:rsidR="009E781E" w:rsidRPr="005F3E57" w:rsidRDefault="001775E6" w:rsidP="005F3E57">
      <w:pPr>
        <w:pStyle w:val="ListParagraph"/>
        <w:numPr>
          <w:ilvl w:val="1"/>
          <w:numId w:val="1"/>
        </w:numPr>
        <w:ind w:left="720"/>
        <w:jc w:val="both"/>
        <w:rPr>
          <w:rFonts w:ascii="Arial" w:hAnsi="Arial"/>
          <w:sz w:val="22"/>
          <w:szCs w:val="22"/>
        </w:rPr>
      </w:pPr>
      <w:r w:rsidRPr="005F3E57">
        <w:rPr>
          <w:rFonts w:ascii="Arial" w:hAnsi="Arial"/>
          <w:sz w:val="22"/>
          <w:szCs w:val="22"/>
        </w:rPr>
        <w:t>This review report was</w:t>
      </w:r>
      <w:r w:rsidR="00512E60" w:rsidRPr="005F3E57">
        <w:rPr>
          <w:rFonts w:ascii="Arial" w:hAnsi="Arial"/>
          <w:sz w:val="22"/>
          <w:szCs w:val="22"/>
        </w:rPr>
        <w:t xml:space="preserve"> considered by the PBAC a</w:t>
      </w:r>
      <w:r w:rsidR="009E781E" w:rsidRPr="005F3E57">
        <w:rPr>
          <w:rFonts w:ascii="Arial" w:hAnsi="Arial"/>
          <w:sz w:val="22"/>
          <w:szCs w:val="22"/>
        </w:rPr>
        <w:t>t its March 2014 meeting</w:t>
      </w:r>
      <w:r w:rsidR="00512E60" w:rsidRPr="005F3E57">
        <w:rPr>
          <w:rFonts w:ascii="Arial" w:hAnsi="Arial"/>
          <w:sz w:val="22"/>
          <w:szCs w:val="22"/>
        </w:rPr>
        <w:t xml:space="preserve">. </w:t>
      </w:r>
      <w:r w:rsidRPr="005F3E57">
        <w:rPr>
          <w:rFonts w:ascii="Arial" w:hAnsi="Arial"/>
          <w:sz w:val="22"/>
          <w:szCs w:val="22"/>
        </w:rPr>
        <w:t>In its consideration of the review, t</w:t>
      </w:r>
      <w:r w:rsidR="009E781E" w:rsidRPr="005F3E57">
        <w:rPr>
          <w:rFonts w:ascii="Arial" w:hAnsi="Arial"/>
          <w:sz w:val="22"/>
          <w:szCs w:val="22"/>
        </w:rPr>
        <w:t xml:space="preserve">he March 2014 PBAC meeting </w:t>
      </w:r>
      <w:r w:rsidR="00655255" w:rsidRPr="005F3E57">
        <w:rPr>
          <w:rFonts w:ascii="Arial" w:hAnsi="Arial"/>
          <w:sz w:val="22"/>
          <w:szCs w:val="22"/>
        </w:rPr>
        <w:t xml:space="preserve">was satisfied that </w:t>
      </w:r>
      <w:r w:rsidR="000B6592" w:rsidRPr="005F3E57">
        <w:rPr>
          <w:rFonts w:ascii="Arial" w:hAnsi="Arial"/>
          <w:sz w:val="22"/>
          <w:szCs w:val="22"/>
        </w:rPr>
        <w:t xml:space="preserve">rituximab maintenance </w:t>
      </w:r>
      <w:r w:rsidR="00655255" w:rsidRPr="005F3E57">
        <w:rPr>
          <w:rFonts w:ascii="Arial" w:hAnsi="Arial"/>
          <w:sz w:val="22"/>
          <w:szCs w:val="22"/>
        </w:rPr>
        <w:t xml:space="preserve">provides, for some patients, a significant improvement in efficacy over observation. However, the PBAC </w:t>
      </w:r>
      <w:r w:rsidR="009E781E" w:rsidRPr="005F3E57">
        <w:rPr>
          <w:rFonts w:ascii="Arial" w:hAnsi="Arial"/>
          <w:sz w:val="22"/>
          <w:szCs w:val="22"/>
        </w:rPr>
        <w:t xml:space="preserve">concluded that </w:t>
      </w:r>
      <w:r w:rsidR="00F41275" w:rsidRPr="005F3E57">
        <w:rPr>
          <w:rFonts w:ascii="Arial" w:hAnsi="Arial"/>
          <w:sz w:val="22"/>
          <w:szCs w:val="22"/>
        </w:rPr>
        <w:t>rituximab maintenance therapy in follicular lymphoma (FL)</w:t>
      </w:r>
      <w:r w:rsidR="009E781E" w:rsidRPr="005F3E57">
        <w:rPr>
          <w:rFonts w:ascii="Arial" w:hAnsi="Arial"/>
          <w:sz w:val="22"/>
          <w:szCs w:val="22"/>
        </w:rPr>
        <w:t xml:space="preserve"> was not cost-effective </w:t>
      </w:r>
      <w:r w:rsidR="00655255" w:rsidRPr="005F3E57">
        <w:rPr>
          <w:rFonts w:ascii="Arial" w:hAnsi="Arial"/>
          <w:sz w:val="22"/>
          <w:szCs w:val="22"/>
        </w:rPr>
        <w:t xml:space="preserve">in this indication </w:t>
      </w:r>
      <w:r w:rsidR="009E781E" w:rsidRPr="005F3E57">
        <w:rPr>
          <w:rFonts w:ascii="Arial" w:hAnsi="Arial"/>
          <w:sz w:val="22"/>
          <w:szCs w:val="22"/>
        </w:rPr>
        <w:t>at the current price (</w:t>
      </w:r>
      <w:r w:rsidR="00B845CF" w:rsidRPr="005F3E57">
        <w:rPr>
          <w:rFonts w:ascii="Arial" w:hAnsi="Arial"/>
          <w:sz w:val="22"/>
          <w:szCs w:val="22"/>
        </w:rPr>
        <w:t>highly</w:t>
      </w:r>
      <w:r w:rsidR="000B6592" w:rsidRPr="005F3E57">
        <w:rPr>
          <w:rFonts w:ascii="Arial" w:hAnsi="Arial"/>
          <w:sz w:val="22"/>
          <w:szCs w:val="22"/>
        </w:rPr>
        <w:t xml:space="preserve"> favourable</w:t>
      </w:r>
      <w:r w:rsidR="00B845CF" w:rsidRPr="005F3E57">
        <w:rPr>
          <w:rFonts w:ascii="Arial" w:hAnsi="Arial"/>
          <w:sz w:val="22"/>
          <w:szCs w:val="22"/>
        </w:rPr>
        <w:t>,</w:t>
      </w:r>
      <w:r w:rsidR="000B6592" w:rsidRPr="005F3E57">
        <w:rPr>
          <w:rFonts w:ascii="Arial" w:hAnsi="Arial"/>
          <w:sz w:val="22"/>
          <w:szCs w:val="22"/>
        </w:rPr>
        <w:t xml:space="preserve"> </w:t>
      </w:r>
      <w:r w:rsidR="000174E4" w:rsidRPr="005F3E57">
        <w:rPr>
          <w:rFonts w:ascii="Arial" w:hAnsi="Arial"/>
          <w:sz w:val="22"/>
          <w:szCs w:val="22"/>
        </w:rPr>
        <w:t xml:space="preserve">plausible </w:t>
      </w:r>
      <w:r w:rsidR="000B6592" w:rsidRPr="005F3E57">
        <w:rPr>
          <w:rFonts w:ascii="Arial" w:hAnsi="Arial"/>
          <w:sz w:val="22"/>
          <w:szCs w:val="22"/>
        </w:rPr>
        <w:t xml:space="preserve">estimate of </w:t>
      </w:r>
      <w:r w:rsidR="009E781E" w:rsidRPr="005F3E57">
        <w:rPr>
          <w:rFonts w:ascii="Arial" w:hAnsi="Arial"/>
          <w:sz w:val="22"/>
          <w:szCs w:val="22"/>
        </w:rPr>
        <w:t>ICER in the range of $70,000-$80,000/QALY), and that a price reduction would be required to produce an ICER in a</w:t>
      </w:r>
      <w:r w:rsidR="000B6592" w:rsidRPr="005F3E57">
        <w:rPr>
          <w:rFonts w:ascii="Arial" w:hAnsi="Arial"/>
          <w:sz w:val="22"/>
          <w:szCs w:val="22"/>
        </w:rPr>
        <w:t>n</w:t>
      </w:r>
      <w:r w:rsidR="009E781E" w:rsidRPr="005F3E57">
        <w:rPr>
          <w:rFonts w:ascii="Arial" w:hAnsi="Arial"/>
          <w:sz w:val="22"/>
          <w:szCs w:val="22"/>
        </w:rPr>
        <w:t xml:space="preserve"> </w:t>
      </w:r>
      <w:r w:rsidR="000B6592" w:rsidRPr="005F3E57">
        <w:rPr>
          <w:rFonts w:ascii="Arial" w:hAnsi="Arial"/>
          <w:sz w:val="22"/>
          <w:szCs w:val="22"/>
        </w:rPr>
        <w:t xml:space="preserve">acceptable </w:t>
      </w:r>
      <w:r w:rsidR="009E781E" w:rsidRPr="005F3E57">
        <w:rPr>
          <w:rFonts w:ascii="Arial" w:hAnsi="Arial"/>
          <w:sz w:val="22"/>
          <w:szCs w:val="22"/>
        </w:rPr>
        <w:t xml:space="preserve">cost effective range. </w:t>
      </w:r>
    </w:p>
    <w:p w:rsidR="00592636" w:rsidRPr="00592636" w:rsidRDefault="00592636" w:rsidP="00592636">
      <w:pPr>
        <w:pStyle w:val="ListParagraph"/>
        <w:rPr>
          <w:rFonts w:ascii="Arial" w:hAnsi="Arial"/>
          <w:sz w:val="22"/>
          <w:szCs w:val="22"/>
        </w:rPr>
      </w:pPr>
    </w:p>
    <w:p w:rsidR="00592636" w:rsidRPr="005F3E57" w:rsidRDefault="00592636" w:rsidP="005F3E57">
      <w:pPr>
        <w:pStyle w:val="ListParagraph"/>
        <w:numPr>
          <w:ilvl w:val="1"/>
          <w:numId w:val="1"/>
        </w:numPr>
        <w:ind w:left="720"/>
        <w:jc w:val="both"/>
        <w:rPr>
          <w:rFonts w:ascii="Arial" w:hAnsi="Arial"/>
          <w:sz w:val="22"/>
          <w:szCs w:val="22"/>
        </w:rPr>
      </w:pPr>
      <w:r w:rsidRPr="005F3E57">
        <w:rPr>
          <w:rFonts w:ascii="Arial" w:hAnsi="Arial"/>
          <w:sz w:val="22"/>
          <w:szCs w:val="22"/>
        </w:rPr>
        <w:t>The minor submission:</w:t>
      </w:r>
    </w:p>
    <w:p w:rsidR="00592636" w:rsidRDefault="00F634B9" w:rsidP="00412424">
      <w:pPr>
        <w:pStyle w:val="ListParagraph"/>
        <w:numPr>
          <w:ilvl w:val="0"/>
          <w:numId w:val="4"/>
        </w:numPr>
        <w:jc w:val="both"/>
        <w:rPr>
          <w:rFonts w:ascii="Arial" w:hAnsi="Arial"/>
          <w:sz w:val="22"/>
          <w:szCs w:val="22"/>
        </w:rPr>
      </w:pPr>
      <w:r>
        <w:rPr>
          <w:rFonts w:ascii="Arial" w:hAnsi="Arial"/>
          <w:sz w:val="22"/>
          <w:szCs w:val="22"/>
        </w:rPr>
        <w:t>Proposed</w:t>
      </w:r>
      <w:r w:rsidR="00592636">
        <w:rPr>
          <w:rFonts w:ascii="Arial" w:hAnsi="Arial"/>
          <w:sz w:val="22"/>
          <w:szCs w:val="22"/>
        </w:rPr>
        <w:t xml:space="preserve"> a rebate to the price of rituximab in maintenance therapy;</w:t>
      </w:r>
    </w:p>
    <w:p w:rsidR="00F634B9" w:rsidRDefault="00F634B9" w:rsidP="00412424">
      <w:pPr>
        <w:pStyle w:val="ListParagraph"/>
        <w:numPr>
          <w:ilvl w:val="0"/>
          <w:numId w:val="4"/>
        </w:numPr>
        <w:jc w:val="both"/>
        <w:rPr>
          <w:rFonts w:ascii="Arial" w:hAnsi="Arial"/>
          <w:sz w:val="22"/>
          <w:szCs w:val="22"/>
        </w:rPr>
      </w:pPr>
      <w:r>
        <w:rPr>
          <w:rFonts w:ascii="Arial" w:hAnsi="Arial"/>
          <w:sz w:val="22"/>
          <w:szCs w:val="22"/>
        </w:rPr>
        <w:t>Proposed a</w:t>
      </w:r>
      <w:r w:rsidRPr="00F634B9">
        <w:rPr>
          <w:rFonts w:ascii="Arial" w:hAnsi="Arial"/>
          <w:sz w:val="22"/>
          <w:szCs w:val="22"/>
        </w:rPr>
        <w:t xml:space="preserve"> maximum of 8 rituximab infusions per maintenance course</w:t>
      </w:r>
      <w:r>
        <w:rPr>
          <w:rFonts w:ascii="Arial" w:hAnsi="Arial"/>
          <w:sz w:val="22"/>
          <w:szCs w:val="22"/>
        </w:rPr>
        <w:t>;</w:t>
      </w:r>
    </w:p>
    <w:p w:rsidR="00592636" w:rsidRPr="00F634B9" w:rsidRDefault="00592636" w:rsidP="00412424">
      <w:pPr>
        <w:pStyle w:val="ListParagraph"/>
        <w:numPr>
          <w:ilvl w:val="0"/>
          <w:numId w:val="4"/>
        </w:numPr>
        <w:jc w:val="both"/>
        <w:rPr>
          <w:rFonts w:ascii="Arial" w:hAnsi="Arial"/>
          <w:sz w:val="22"/>
          <w:szCs w:val="22"/>
        </w:rPr>
      </w:pPr>
      <w:r w:rsidRPr="00F634B9">
        <w:rPr>
          <w:rFonts w:ascii="Arial" w:hAnsi="Arial"/>
          <w:sz w:val="22"/>
          <w:szCs w:val="22"/>
        </w:rPr>
        <w:t>Re-iterate</w:t>
      </w:r>
      <w:r w:rsidR="00F634B9" w:rsidRPr="00F634B9">
        <w:rPr>
          <w:rFonts w:ascii="Arial" w:hAnsi="Arial"/>
          <w:sz w:val="22"/>
          <w:szCs w:val="22"/>
        </w:rPr>
        <w:t>d</w:t>
      </w:r>
      <w:r w:rsidRPr="00F634B9">
        <w:rPr>
          <w:rFonts w:ascii="Arial" w:hAnsi="Arial"/>
          <w:sz w:val="22"/>
          <w:szCs w:val="22"/>
        </w:rPr>
        <w:t xml:space="preserve"> a number of changes to the economic model</w:t>
      </w:r>
      <w:r w:rsidR="00AB7184">
        <w:rPr>
          <w:rFonts w:ascii="Arial" w:hAnsi="Arial"/>
          <w:sz w:val="22"/>
          <w:szCs w:val="22"/>
        </w:rPr>
        <w:t xml:space="preserve"> and</w:t>
      </w:r>
      <w:r w:rsidR="00F634B9" w:rsidRPr="00F634B9">
        <w:rPr>
          <w:rFonts w:ascii="Arial" w:hAnsi="Arial"/>
          <w:sz w:val="22"/>
          <w:szCs w:val="22"/>
        </w:rPr>
        <w:t xml:space="preserve"> d</w:t>
      </w:r>
      <w:r w:rsidRPr="00F634B9">
        <w:rPr>
          <w:rFonts w:ascii="Arial" w:hAnsi="Arial"/>
          <w:sz w:val="22"/>
          <w:szCs w:val="22"/>
        </w:rPr>
        <w:t>iscusse</w:t>
      </w:r>
      <w:r w:rsidR="00F634B9" w:rsidRPr="00F634B9">
        <w:rPr>
          <w:rFonts w:ascii="Arial" w:hAnsi="Arial"/>
          <w:sz w:val="22"/>
          <w:szCs w:val="22"/>
        </w:rPr>
        <w:t>d</w:t>
      </w:r>
      <w:r w:rsidRPr="00F634B9">
        <w:rPr>
          <w:rFonts w:ascii="Arial" w:hAnsi="Arial"/>
          <w:sz w:val="22"/>
          <w:szCs w:val="22"/>
        </w:rPr>
        <w:t xml:space="preserve"> the modelled gain in overall survival</w:t>
      </w:r>
      <w:r w:rsidR="00F634B9" w:rsidRPr="00F634B9">
        <w:rPr>
          <w:rFonts w:ascii="Arial" w:hAnsi="Arial"/>
          <w:sz w:val="22"/>
          <w:szCs w:val="22"/>
        </w:rPr>
        <w:t xml:space="preserve"> </w:t>
      </w:r>
      <w:r w:rsidR="00F84569">
        <w:rPr>
          <w:rFonts w:ascii="Arial" w:hAnsi="Arial"/>
          <w:sz w:val="22"/>
          <w:szCs w:val="22"/>
        </w:rPr>
        <w:t xml:space="preserve">(OS) </w:t>
      </w:r>
      <w:r w:rsidR="00F634B9" w:rsidRPr="00F634B9">
        <w:rPr>
          <w:rFonts w:ascii="Arial" w:hAnsi="Arial"/>
          <w:sz w:val="22"/>
          <w:szCs w:val="22"/>
        </w:rPr>
        <w:t>and other matters relating to the economic evaluation; and</w:t>
      </w:r>
    </w:p>
    <w:p w:rsidR="00F634B9" w:rsidRPr="00F634B9" w:rsidRDefault="00F634B9" w:rsidP="00412424">
      <w:pPr>
        <w:pStyle w:val="ListParagraph"/>
        <w:numPr>
          <w:ilvl w:val="0"/>
          <w:numId w:val="4"/>
        </w:numPr>
        <w:jc w:val="both"/>
        <w:rPr>
          <w:rFonts w:ascii="Arial" w:hAnsi="Arial"/>
          <w:sz w:val="22"/>
          <w:szCs w:val="22"/>
        </w:rPr>
      </w:pPr>
      <w:r w:rsidRPr="00F634B9">
        <w:rPr>
          <w:rFonts w:ascii="Arial" w:hAnsi="Arial"/>
          <w:sz w:val="22"/>
          <w:szCs w:val="22"/>
        </w:rPr>
        <w:lastRenderedPageBreak/>
        <w:t>P</w:t>
      </w:r>
      <w:r w:rsidR="00592636" w:rsidRPr="00F634B9">
        <w:rPr>
          <w:rFonts w:ascii="Arial" w:hAnsi="Arial"/>
          <w:sz w:val="22"/>
          <w:szCs w:val="22"/>
        </w:rPr>
        <w:t>rovide</w:t>
      </w:r>
      <w:r>
        <w:rPr>
          <w:rFonts w:ascii="Arial" w:hAnsi="Arial"/>
          <w:sz w:val="22"/>
          <w:szCs w:val="22"/>
        </w:rPr>
        <w:t>d restriction</w:t>
      </w:r>
      <w:r w:rsidR="00592636" w:rsidRPr="00F634B9">
        <w:rPr>
          <w:rFonts w:ascii="Arial" w:hAnsi="Arial"/>
          <w:sz w:val="22"/>
          <w:szCs w:val="22"/>
        </w:rPr>
        <w:t xml:space="preserve"> wording for rituximab maintenance in FL </w:t>
      </w:r>
      <w:r w:rsidRPr="00F634B9">
        <w:rPr>
          <w:rFonts w:ascii="Arial" w:hAnsi="Arial"/>
          <w:sz w:val="22"/>
          <w:szCs w:val="22"/>
        </w:rPr>
        <w:t xml:space="preserve">and to clarify the intent of the </w:t>
      </w:r>
      <w:r>
        <w:rPr>
          <w:rFonts w:ascii="Arial" w:hAnsi="Arial"/>
          <w:sz w:val="22"/>
          <w:szCs w:val="22"/>
        </w:rPr>
        <w:t>existing</w:t>
      </w:r>
      <w:r w:rsidRPr="00F634B9">
        <w:rPr>
          <w:rFonts w:ascii="Arial" w:hAnsi="Arial"/>
          <w:sz w:val="22"/>
          <w:szCs w:val="22"/>
        </w:rPr>
        <w:t xml:space="preserve"> restriction. </w:t>
      </w:r>
    </w:p>
    <w:p w:rsidR="0019490D" w:rsidRDefault="0019490D" w:rsidP="00512E60">
      <w:pPr>
        <w:pStyle w:val="ListParagraph"/>
        <w:rPr>
          <w:rFonts w:ascii="Arial" w:hAnsi="Arial"/>
          <w:b/>
          <w:sz w:val="22"/>
          <w:szCs w:val="22"/>
        </w:rPr>
      </w:pPr>
    </w:p>
    <w:p w:rsidR="00512E60" w:rsidRPr="00512E60" w:rsidRDefault="0019490D" w:rsidP="0019490D">
      <w:pPr>
        <w:pStyle w:val="ListParagraph"/>
        <w:numPr>
          <w:ilvl w:val="0"/>
          <w:numId w:val="1"/>
        </w:numPr>
        <w:jc w:val="both"/>
        <w:rPr>
          <w:rFonts w:ascii="Arial" w:hAnsi="Arial"/>
          <w:sz w:val="22"/>
          <w:szCs w:val="22"/>
        </w:rPr>
      </w:pPr>
      <w:r w:rsidRPr="00882085">
        <w:rPr>
          <w:rFonts w:ascii="Arial" w:hAnsi="Arial"/>
          <w:b/>
          <w:sz w:val="22"/>
          <w:szCs w:val="22"/>
        </w:rPr>
        <w:t>Requested listing</w:t>
      </w:r>
      <w:r>
        <w:rPr>
          <w:rFonts w:ascii="Arial" w:hAnsi="Arial"/>
          <w:b/>
          <w:sz w:val="22"/>
          <w:szCs w:val="22"/>
        </w:rPr>
        <w:t xml:space="preserve"> </w:t>
      </w:r>
    </w:p>
    <w:p w:rsidR="0019490D" w:rsidRDefault="0019490D" w:rsidP="0019490D">
      <w:pPr>
        <w:pStyle w:val="ListParagraph"/>
        <w:ind w:left="862"/>
        <w:rPr>
          <w:rFonts w:ascii="Arial" w:hAnsi="Arial"/>
          <w:sz w:val="22"/>
          <w:szCs w:val="22"/>
        </w:rPr>
      </w:pPr>
    </w:p>
    <w:p w:rsidR="001775E6" w:rsidRPr="005F3E57" w:rsidRDefault="00F41275"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The restriction </w:t>
      </w:r>
      <w:r w:rsidR="001775E6" w:rsidRPr="005F3E57">
        <w:rPr>
          <w:rFonts w:ascii="Arial" w:hAnsi="Arial"/>
          <w:sz w:val="22"/>
          <w:szCs w:val="22"/>
        </w:rPr>
        <w:t xml:space="preserve">for rituximab maintenance in </w:t>
      </w:r>
      <w:r w:rsidRPr="005F3E57">
        <w:rPr>
          <w:rFonts w:ascii="Arial" w:hAnsi="Arial"/>
          <w:sz w:val="22"/>
          <w:szCs w:val="22"/>
        </w:rPr>
        <w:t>FL that was proposed in the restriction is outlined below.</w:t>
      </w:r>
    </w:p>
    <w:p w:rsidR="00512E60" w:rsidRDefault="00512E60" w:rsidP="009E781E">
      <w:pPr>
        <w:pStyle w:val="ListParagraph"/>
        <w:ind w:left="862"/>
        <w:rPr>
          <w:rFonts w:ascii="Arial" w:hAnsi="Arial"/>
          <w:sz w:val="22"/>
          <w:szCs w:val="22"/>
        </w:rPr>
      </w:pPr>
    </w:p>
    <w:p w:rsidR="00512E60" w:rsidRPr="0047301E" w:rsidRDefault="00512E60" w:rsidP="00512E60">
      <w:pPr>
        <w:ind w:firstLine="720"/>
        <w:jc w:val="both"/>
        <w:rPr>
          <w:rFonts w:ascii="Arial Narrow" w:hAnsi="Arial Narrow" w:cs="Arial"/>
          <w:b/>
          <w:bCs/>
          <w:sz w:val="20"/>
          <w:szCs w:val="20"/>
        </w:rPr>
      </w:pPr>
      <w:bookmarkStart w:id="0" w:name="_Toc386031019"/>
      <w:r w:rsidRPr="0047301E">
        <w:rPr>
          <w:rFonts w:ascii="Arial Narrow" w:hAnsi="Arial Narrow" w:cs="Arial"/>
          <w:b/>
          <w:bCs/>
          <w:sz w:val="20"/>
          <w:szCs w:val="20"/>
        </w:rPr>
        <w:t>Proposed restriction for rituximab maintenance in the public and private hospital setting</w:t>
      </w:r>
      <w:bookmarkEnd w:id="0"/>
      <w:r w:rsidRPr="0047301E">
        <w:rPr>
          <w:rFonts w:ascii="Arial Narrow" w:hAnsi="Arial Narrow" w:cs="Arial"/>
          <w:b/>
          <w:bCs/>
          <w:sz w:val="20"/>
          <w:szCs w:val="20"/>
        </w:rPr>
        <w: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Rituximab listing"/>
      </w:tblPr>
      <w:tblGrid>
        <w:gridCol w:w="3874"/>
        <w:gridCol w:w="1117"/>
        <w:gridCol w:w="964"/>
        <w:gridCol w:w="1529"/>
        <w:gridCol w:w="941"/>
      </w:tblGrid>
      <w:tr w:rsidR="00512E60" w:rsidRPr="0047301E" w:rsidTr="00FF1B9D">
        <w:trPr>
          <w:cantSplit/>
          <w:trHeight w:val="600"/>
        </w:trPr>
        <w:tc>
          <w:tcPr>
            <w:tcW w:w="3874" w:type="dxa"/>
            <w:shd w:val="clear" w:color="auto" w:fill="auto"/>
          </w:tcPr>
          <w:p w:rsidR="00512E60" w:rsidRPr="0047301E" w:rsidRDefault="00512E60" w:rsidP="00FF1B9D">
            <w:pPr>
              <w:rPr>
                <w:rFonts w:ascii="Arial Narrow" w:hAnsi="Arial Narrow" w:cs="Arial"/>
                <w:b/>
                <w:sz w:val="20"/>
                <w:szCs w:val="20"/>
              </w:rPr>
            </w:pPr>
            <w:r w:rsidRPr="0047301E">
              <w:rPr>
                <w:rFonts w:ascii="Arial Narrow" w:hAnsi="Arial Narrow" w:cs="Arial"/>
                <w:b/>
                <w:sz w:val="20"/>
                <w:szCs w:val="20"/>
              </w:rPr>
              <w:t>Name, Restriction,</w:t>
            </w:r>
            <w:r w:rsidRPr="0047301E">
              <w:rPr>
                <w:rFonts w:ascii="Arial Narrow" w:hAnsi="Arial Narrow" w:cs="Arial"/>
                <w:b/>
                <w:sz w:val="20"/>
                <w:szCs w:val="20"/>
              </w:rPr>
              <w:br/>
              <w:t>Manner of administration and form</w:t>
            </w:r>
          </w:p>
        </w:tc>
        <w:tc>
          <w:tcPr>
            <w:tcW w:w="1117" w:type="dxa"/>
            <w:shd w:val="clear" w:color="auto" w:fill="auto"/>
          </w:tcPr>
          <w:p w:rsidR="00512E60" w:rsidRPr="0047301E" w:rsidRDefault="00512E60" w:rsidP="00FF1B9D">
            <w:pPr>
              <w:jc w:val="both"/>
              <w:rPr>
                <w:rFonts w:ascii="Arial Narrow" w:hAnsi="Arial Narrow" w:cs="Arial"/>
                <w:b/>
                <w:sz w:val="20"/>
                <w:szCs w:val="20"/>
              </w:rPr>
            </w:pPr>
            <w:r w:rsidRPr="0047301E">
              <w:rPr>
                <w:rFonts w:ascii="Arial Narrow" w:hAnsi="Arial Narrow" w:cs="Arial"/>
                <w:b/>
                <w:sz w:val="20"/>
                <w:szCs w:val="20"/>
              </w:rPr>
              <w:t>Max. Amount</w:t>
            </w:r>
          </w:p>
        </w:tc>
        <w:tc>
          <w:tcPr>
            <w:tcW w:w="964" w:type="dxa"/>
            <w:shd w:val="clear" w:color="auto" w:fill="auto"/>
          </w:tcPr>
          <w:p w:rsidR="00512E60" w:rsidRPr="0047301E" w:rsidRDefault="00512E60" w:rsidP="00FF1B9D">
            <w:pPr>
              <w:jc w:val="both"/>
              <w:rPr>
                <w:rFonts w:ascii="Arial Narrow" w:hAnsi="Arial Narrow" w:cs="Arial"/>
                <w:b/>
                <w:sz w:val="20"/>
                <w:szCs w:val="20"/>
              </w:rPr>
            </w:pPr>
            <w:r w:rsidRPr="0047301E">
              <w:rPr>
                <w:rFonts w:ascii="Arial Narrow" w:hAnsi="Arial Narrow" w:cs="Arial"/>
                <w:b/>
                <w:sz w:val="20"/>
                <w:szCs w:val="20"/>
              </w:rPr>
              <w:t xml:space="preserve">No. of </w:t>
            </w:r>
            <w:proofErr w:type="spellStart"/>
            <w:r w:rsidRPr="0047301E">
              <w:rPr>
                <w:rFonts w:ascii="Arial Narrow" w:hAnsi="Arial Narrow" w:cs="Arial"/>
                <w:b/>
                <w:sz w:val="20"/>
                <w:szCs w:val="20"/>
              </w:rPr>
              <w:t>Rpts</w:t>
            </w:r>
            <w:proofErr w:type="spellEnd"/>
          </w:p>
        </w:tc>
        <w:tc>
          <w:tcPr>
            <w:tcW w:w="2470" w:type="dxa"/>
            <w:gridSpan w:val="2"/>
            <w:shd w:val="clear" w:color="auto" w:fill="auto"/>
          </w:tcPr>
          <w:p w:rsidR="00512E60" w:rsidRPr="0047301E" w:rsidRDefault="00512E60" w:rsidP="00FF1B9D">
            <w:pPr>
              <w:jc w:val="both"/>
              <w:rPr>
                <w:rFonts w:ascii="Arial Narrow" w:hAnsi="Arial Narrow" w:cs="Arial"/>
                <w:b/>
                <w:sz w:val="20"/>
                <w:szCs w:val="20"/>
              </w:rPr>
            </w:pPr>
            <w:r w:rsidRPr="0047301E">
              <w:rPr>
                <w:rFonts w:ascii="Arial Narrow" w:hAnsi="Arial Narrow" w:cs="Arial"/>
                <w:b/>
                <w:sz w:val="20"/>
                <w:szCs w:val="20"/>
              </w:rPr>
              <w:t>Proprietary Name and Manufacturer</w:t>
            </w:r>
          </w:p>
        </w:tc>
      </w:tr>
      <w:tr w:rsidR="00512E60" w:rsidRPr="0047301E" w:rsidTr="00FF1B9D">
        <w:trPr>
          <w:cantSplit/>
          <w:trHeight w:val="1210"/>
        </w:trPr>
        <w:tc>
          <w:tcPr>
            <w:tcW w:w="3874" w:type="dxa"/>
            <w:shd w:val="clear" w:color="auto" w:fill="auto"/>
          </w:tcPr>
          <w:p w:rsidR="00512E60" w:rsidRPr="0047301E" w:rsidRDefault="00512E60" w:rsidP="00FF1B9D">
            <w:pPr>
              <w:jc w:val="both"/>
              <w:rPr>
                <w:rFonts w:ascii="Arial Narrow" w:hAnsi="Arial Narrow" w:cs="Arial"/>
                <w:sz w:val="20"/>
                <w:szCs w:val="20"/>
              </w:rPr>
            </w:pPr>
            <w:r w:rsidRPr="0047301E">
              <w:rPr>
                <w:rFonts w:ascii="Arial Narrow" w:hAnsi="Arial Narrow" w:cs="Arial"/>
                <w:sz w:val="20"/>
                <w:szCs w:val="20"/>
              </w:rPr>
              <w:t>Rituximab</w:t>
            </w:r>
            <w:r w:rsidRPr="0047301E">
              <w:rPr>
                <w:rFonts w:ascii="Arial Narrow" w:hAnsi="Arial Narrow" w:cs="Arial"/>
                <w:sz w:val="20"/>
                <w:szCs w:val="20"/>
              </w:rPr>
              <w:br/>
              <w:t>Injection</w:t>
            </w:r>
            <w:r w:rsidRPr="0047301E">
              <w:rPr>
                <w:rFonts w:ascii="Arial Narrow" w:hAnsi="Arial Narrow" w:cs="Arial"/>
                <w:sz w:val="20"/>
                <w:szCs w:val="20"/>
              </w:rPr>
              <w:br/>
              <w:t>100 mg/10 mL injection, 2 x 10 mL vials</w:t>
            </w:r>
            <w:r w:rsidRPr="0047301E">
              <w:rPr>
                <w:rFonts w:ascii="Arial Narrow" w:hAnsi="Arial Narrow" w:cs="Arial"/>
                <w:sz w:val="20"/>
                <w:szCs w:val="20"/>
              </w:rPr>
              <w:br/>
              <w:t>500 mg/50 mL injection, 1 x 50 mL vial</w:t>
            </w:r>
          </w:p>
        </w:tc>
        <w:tc>
          <w:tcPr>
            <w:tcW w:w="1117" w:type="dxa"/>
            <w:shd w:val="clear" w:color="auto" w:fill="auto"/>
          </w:tcPr>
          <w:p w:rsidR="00512E60" w:rsidRPr="0047301E" w:rsidRDefault="00512E60" w:rsidP="00FF1B9D">
            <w:pPr>
              <w:jc w:val="both"/>
              <w:rPr>
                <w:rFonts w:ascii="Arial Narrow" w:hAnsi="Arial Narrow" w:cs="Arial"/>
                <w:sz w:val="20"/>
                <w:szCs w:val="20"/>
              </w:rPr>
            </w:pPr>
            <w:r w:rsidRPr="0047301E">
              <w:rPr>
                <w:rFonts w:ascii="Arial Narrow" w:hAnsi="Arial Narrow" w:cs="Arial"/>
                <w:sz w:val="20"/>
                <w:szCs w:val="20"/>
              </w:rPr>
              <w:t>800 mg</w:t>
            </w:r>
          </w:p>
        </w:tc>
        <w:tc>
          <w:tcPr>
            <w:tcW w:w="964" w:type="dxa"/>
            <w:shd w:val="clear" w:color="auto" w:fill="auto"/>
          </w:tcPr>
          <w:p w:rsidR="00512E60" w:rsidRPr="0047301E" w:rsidRDefault="00512E60" w:rsidP="00FF1B9D">
            <w:pPr>
              <w:jc w:val="both"/>
              <w:rPr>
                <w:rFonts w:ascii="Arial Narrow" w:hAnsi="Arial Narrow" w:cs="Arial"/>
                <w:sz w:val="20"/>
                <w:szCs w:val="20"/>
              </w:rPr>
            </w:pPr>
            <w:r w:rsidRPr="0047301E">
              <w:rPr>
                <w:rFonts w:ascii="Arial Narrow" w:hAnsi="Arial Narrow" w:cs="Arial"/>
                <w:sz w:val="20"/>
                <w:szCs w:val="20"/>
              </w:rPr>
              <w:t>7</w:t>
            </w:r>
          </w:p>
        </w:tc>
        <w:tc>
          <w:tcPr>
            <w:tcW w:w="1529" w:type="dxa"/>
            <w:shd w:val="clear" w:color="auto" w:fill="auto"/>
          </w:tcPr>
          <w:p w:rsidR="00512E60" w:rsidRPr="0047301E" w:rsidRDefault="00512E60" w:rsidP="00FF1B9D">
            <w:pPr>
              <w:jc w:val="both"/>
              <w:rPr>
                <w:rFonts w:ascii="Arial Narrow" w:hAnsi="Arial Narrow" w:cs="Arial"/>
                <w:sz w:val="20"/>
                <w:szCs w:val="20"/>
              </w:rPr>
            </w:pPr>
            <w:proofErr w:type="spellStart"/>
            <w:r w:rsidRPr="0047301E">
              <w:rPr>
                <w:rFonts w:ascii="Arial Narrow" w:hAnsi="Arial Narrow" w:cs="Arial"/>
                <w:sz w:val="20"/>
                <w:szCs w:val="20"/>
              </w:rPr>
              <w:t>Mabthera</w:t>
            </w:r>
            <w:proofErr w:type="spellEnd"/>
            <w:r w:rsidRPr="0047301E">
              <w:rPr>
                <w:rFonts w:ascii="Arial Narrow" w:hAnsi="Arial Narrow" w:cs="Arial"/>
                <w:sz w:val="20"/>
                <w:szCs w:val="20"/>
              </w:rPr>
              <w:t>®</w:t>
            </w:r>
          </w:p>
        </w:tc>
        <w:tc>
          <w:tcPr>
            <w:tcW w:w="941" w:type="dxa"/>
            <w:shd w:val="clear" w:color="auto" w:fill="auto"/>
          </w:tcPr>
          <w:p w:rsidR="00512E60" w:rsidRPr="0047301E" w:rsidRDefault="00512E60" w:rsidP="00FF1B9D">
            <w:pPr>
              <w:jc w:val="both"/>
              <w:rPr>
                <w:rFonts w:ascii="Arial Narrow" w:hAnsi="Arial Narrow" w:cs="Arial"/>
                <w:sz w:val="20"/>
                <w:szCs w:val="20"/>
              </w:rPr>
            </w:pPr>
            <w:r w:rsidRPr="0047301E">
              <w:rPr>
                <w:rFonts w:ascii="Arial Narrow" w:hAnsi="Arial Narrow" w:cs="Arial"/>
                <w:sz w:val="20"/>
                <w:szCs w:val="20"/>
              </w:rPr>
              <w:t>Roche</w:t>
            </w:r>
          </w:p>
        </w:tc>
      </w:tr>
      <w:tr w:rsidR="00512E60" w:rsidRPr="0047301E" w:rsidTr="00FF1B9D">
        <w:trPr>
          <w:cantSplit/>
        </w:trPr>
        <w:tc>
          <w:tcPr>
            <w:tcW w:w="8425" w:type="dxa"/>
            <w:gridSpan w:val="5"/>
            <w:shd w:val="clear" w:color="auto" w:fill="auto"/>
          </w:tcPr>
          <w:p w:rsidR="00512E60" w:rsidRPr="0047301E" w:rsidRDefault="00512E60" w:rsidP="00FF1B9D">
            <w:pPr>
              <w:rPr>
                <w:rFonts w:ascii="Arial Narrow" w:hAnsi="Arial Narrow" w:cs="Arial"/>
                <w:b/>
                <w:sz w:val="20"/>
                <w:szCs w:val="20"/>
              </w:rPr>
            </w:pPr>
            <w:r w:rsidRPr="0047301E">
              <w:rPr>
                <w:rFonts w:ascii="Arial Narrow" w:hAnsi="Arial Narrow" w:cs="Arial"/>
                <w:b/>
                <w:sz w:val="20"/>
                <w:szCs w:val="20"/>
              </w:rPr>
              <w:t>Authority Required (streamlined)</w:t>
            </w:r>
            <w:r w:rsidRPr="0047301E">
              <w:rPr>
                <w:rFonts w:ascii="Arial Narrow" w:hAnsi="Arial Narrow" w:cs="Arial"/>
                <w:b/>
                <w:sz w:val="20"/>
                <w:szCs w:val="20"/>
              </w:rPr>
              <w:br/>
            </w:r>
            <w:r w:rsidRPr="0047301E">
              <w:rPr>
                <w:rFonts w:ascii="Arial Narrow" w:hAnsi="Arial Narrow" w:cs="Arial"/>
                <w:sz w:val="20"/>
                <w:szCs w:val="20"/>
              </w:rPr>
              <w:t>Maintenance treatment for a maximum of 8 cycles following a partial or complete response to first line induction treatment for CD20 positive, Stage III or IV, follicular, B-cell non-Hodgkin’s lymphoma</w:t>
            </w:r>
          </w:p>
        </w:tc>
      </w:tr>
      <w:tr w:rsidR="00512E60" w:rsidRPr="0047301E" w:rsidTr="00FF1B9D">
        <w:trPr>
          <w:cantSplit/>
        </w:trPr>
        <w:tc>
          <w:tcPr>
            <w:tcW w:w="3874" w:type="dxa"/>
            <w:shd w:val="clear" w:color="auto" w:fill="auto"/>
          </w:tcPr>
          <w:p w:rsidR="00512E60" w:rsidRPr="0047301E" w:rsidRDefault="00512E60" w:rsidP="00FF1B9D">
            <w:pPr>
              <w:jc w:val="both"/>
              <w:rPr>
                <w:rFonts w:ascii="Arial Narrow" w:hAnsi="Arial Narrow" w:cs="Arial"/>
                <w:sz w:val="20"/>
                <w:szCs w:val="20"/>
              </w:rPr>
            </w:pPr>
            <w:r w:rsidRPr="0047301E">
              <w:rPr>
                <w:rFonts w:ascii="Arial Narrow" w:hAnsi="Arial Narrow" w:cs="Arial"/>
                <w:sz w:val="20"/>
                <w:szCs w:val="20"/>
              </w:rPr>
              <w:t>Rituximab</w:t>
            </w:r>
            <w:r w:rsidRPr="0047301E">
              <w:rPr>
                <w:rFonts w:ascii="Arial Narrow" w:hAnsi="Arial Narrow" w:cs="Arial"/>
                <w:sz w:val="20"/>
                <w:szCs w:val="20"/>
              </w:rPr>
              <w:br/>
              <w:t>Injection</w:t>
            </w:r>
            <w:r w:rsidRPr="0047301E">
              <w:rPr>
                <w:rFonts w:ascii="Arial Narrow" w:hAnsi="Arial Narrow" w:cs="Arial"/>
                <w:sz w:val="20"/>
                <w:szCs w:val="20"/>
              </w:rPr>
              <w:br/>
              <w:t>100 mg/10 mL injection, 2 x 10 mL vials</w:t>
            </w:r>
            <w:r w:rsidRPr="0047301E">
              <w:rPr>
                <w:rFonts w:ascii="Arial Narrow" w:hAnsi="Arial Narrow" w:cs="Arial"/>
                <w:sz w:val="20"/>
                <w:szCs w:val="20"/>
              </w:rPr>
              <w:br/>
              <w:t>500 mg/50 mL injection, 1 x 50 mL vial</w:t>
            </w:r>
          </w:p>
        </w:tc>
        <w:tc>
          <w:tcPr>
            <w:tcW w:w="1117" w:type="dxa"/>
            <w:shd w:val="clear" w:color="auto" w:fill="auto"/>
          </w:tcPr>
          <w:p w:rsidR="00512E60" w:rsidRPr="0047301E" w:rsidRDefault="00512E60" w:rsidP="00FF1B9D">
            <w:pPr>
              <w:jc w:val="both"/>
              <w:rPr>
                <w:rFonts w:ascii="Arial Narrow" w:hAnsi="Arial Narrow" w:cs="Arial"/>
                <w:sz w:val="20"/>
                <w:szCs w:val="20"/>
              </w:rPr>
            </w:pPr>
            <w:r w:rsidRPr="0047301E">
              <w:rPr>
                <w:rFonts w:ascii="Arial Narrow" w:hAnsi="Arial Narrow" w:cs="Arial"/>
                <w:sz w:val="20"/>
                <w:szCs w:val="20"/>
              </w:rPr>
              <w:t>800 mg</w:t>
            </w:r>
          </w:p>
        </w:tc>
        <w:tc>
          <w:tcPr>
            <w:tcW w:w="964" w:type="dxa"/>
            <w:shd w:val="clear" w:color="auto" w:fill="auto"/>
          </w:tcPr>
          <w:p w:rsidR="00512E60" w:rsidRPr="0047301E" w:rsidRDefault="00512E60" w:rsidP="00FF1B9D">
            <w:pPr>
              <w:jc w:val="both"/>
              <w:rPr>
                <w:rFonts w:ascii="Arial Narrow" w:hAnsi="Arial Narrow" w:cs="Arial"/>
                <w:sz w:val="20"/>
                <w:szCs w:val="20"/>
              </w:rPr>
            </w:pPr>
            <w:r w:rsidRPr="0047301E">
              <w:rPr>
                <w:rFonts w:ascii="Arial Narrow" w:hAnsi="Arial Narrow" w:cs="Arial"/>
                <w:sz w:val="20"/>
                <w:szCs w:val="20"/>
              </w:rPr>
              <w:t>7</w:t>
            </w:r>
          </w:p>
        </w:tc>
        <w:tc>
          <w:tcPr>
            <w:tcW w:w="1529" w:type="dxa"/>
            <w:shd w:val="clear" w:color="auto" w:fill="auto"/>
          </w:tcPr>
          <w:p w:rsidR="00512E60" w:rsidRPr="0047301E" w:rsidRDefault="00512E60" w:rsidP="00FF1B9D">
            <w:pPr>
              <w:jc w:val="both"/>
              <w:rPr>
                <w:rFonts w:ascii="Arial Narrow" w:hAnsi="Arial Narrow" w:cs="Arial"/>
                <w:sz w:val="20"/>
                <w:szCs w:val="20"/>
              </w:rPr>
            </w:pPr>
            <w:proofErr w:type="spellStart"/>
            <w:r w:rsidRPr="0047301E">
              <w:rPr>
                <w:rFonts w:ascii="Arial Narrow" w:hAnsi="Arial Narrow" w:cs="Arial"/>
                <w:sz w:val="20"/>
                <w:szCs w:val="20"/>
              </w:rPr>
              <w:t>Mabthera</w:t>
            </w:r>
            <w:proofErr w:type="spellEnd"/>
            <w:r w:rsidRPr="0047301E">
              <w:rPr>
                <w:rFonts w:ascii="Arial Narrow" w:hAnsi="Arial Narrow" w:cs="Arial"/>
                <w:sz w:val="20"/>
                <w:szCs w:val="20"/>
              </w:rPr>
              <w:t>®</w:t>
            </w:r>
          </w:p>
        </w:tc>
        <w:tc>
          <w:tcPr>
            <w:tcW w:w="941" w:type="dxa"/>
            <w:shd w:val="clear" w:color="auto" w:fill="auto"/>
          </w:tcPr>
          <w:p w:rsidR="00512E60" w:rsidRPr="0047301E" w:rsidRDefault="00512E60" w:rsidP="00FF1B9D">
            <w:pPr>
              <w:jc w:val="both"/>
              <w:rPr>
                <w:rFonts w:ascii="Arial Narrow" w:hAnsi="Arial Narrow" w:cs="Arial"/>
                <w:sz w:val="20"/>
                <w:szCs w:val="20"/>
              </w:rPr>
            </w:pPr>
            <w:r w:rsidRPr="0047301E">
              <w:rPr>
                <w:rFonts w:ascii="Arial Narrow" w:hAnsi="Arial Narrow" w:cs="Arial"/>
                <w:sz w:val="20"/>
                <w:szCs w:val="20"/>
              </w:rPr>
              <w:t>Roche</w:t>
            </w:r>
          </w:p>
        </w:tc>
      </w:tr>
      <w:tr w:rsidR="00512E60" w:rsidRPr="0047301E" w:rsidTr="00FF1B9D">
        <w:trPr>
          <w:cantSplit/>
        </w:trPr>
        <w:tc>
          <w:tcPr>
            <w:tcW w:w="8425" w:type="dxa"/>
            <w:gridSpan w:val="5"/>
            <w:shd w:val="clear" w:color="auto" w:fill="auto"/>
          </w:tcPr>
          <w:p w:rsidR="00512E60" w:rsidRPr="0047301E" w:rsidRDefault="00512E60" w:rsidP="00FF1B9D">
            <w:pPr>
              <w:rPr>
                <w:rFonts w:ascii="Arial Narrow" w:hAnsi="Arial Narrow" w:cs="Arial"/>
                <w:sz w:val="20"/>
                <w:szCs w:val="20"/>
              </w:rPr>
            </w:pPr>
            <w:r w:rsidRPr="0047301E">
              <w:rPr>
                <w:rFonts w:ascii="Arial Narrow" w:hAnsi="Arial Narrow" w:cs="Arial"/>
                <w:b/>
                <w:sz w:val="20"/>
                <w:szCs w:val="20"/>
              </w:rPr>
              <w:t>Authority Required (streamlined)</w:t>
            </w:r>
            <w:r w:rsidRPr="0047301E">
              <w:rPr>
                <w:rFonts w:ascii="Arial Narrow" w:hAnsi="Arial Narrow" w:cs="Arial"/>
                <w:b/>
                <w:sz w:val="20"/>
                <w:szCs w:val="20"/>
              </w:rPr>
              <w:br/>
            </w:r>
            <w:r w:rsidRPr="0047301E">
              <w:rPr>
                <w:rFonts w:ascii="Arial Narrow" w:hAnsi="Arial Narrow" w:cs="Arial"/>
                <w:sz w:val="20"/>
                <w:szCs w:val="20"/>
              </w:rPr>
              <w:t>Maintenance treatment for a maximum of 8 cycles following a partial or complete response to induction treatment for CD20 positive, Stage III or IV, relapsed or refractory follicular B-cell non-Hodgkin’s lymphoma</w:t>
            </w:r>
          </w:p>
        </w:tc>
      </w:tr>
    </w:tbl>
    <w:p w:rsidR="00512E60" w:rsidRDefault="00512E60" w:rsidP="00512E60">
      <w:pPr>
        <w:pStyle w:val="ListParagraph"/>
        <w:ind w:left="862"/>
        <w:jc w:val="both"/>
        <w:rPr>
          <w:rFonts w:ascii="Arial" w:hAnsi="Arial"/>
          <w:sz w:val="22"/>
          <w:szCs w:val="22"/>
        </w:rPr>
      </w:pPr>
    </w:p>
    <w:p w:rsidR="00E6568B" w:rsidRPr="005F3E57" w:rsidRDefault="0019490D"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The extensive use of rituximab outside the intended restriction appears to be occurring under the current </w:t>
      </w:r>
      <w:r w:rsidR="00655255" w:rsidRPr="005F3E57">
        <w:rPr>
          <w:rFonts w:ascii="Arial" w:hAnsi="Arial"/>
          <w:sz w:val="22"/>
          <w:szCs w:val="22"/>
        </w:rPr>
        <w:t xml:space="preserve">Streamlined </w:t>
      </w:r>
      <w:r w:rsidRPr="005F3E57">
        <w:rPr>
          <w:rFonts w:ascii="Arial" w:hAnsi="Arial"/>
          <w:sz w:val="22"/>
          <w:szCs w:val="22"/>
        </w:rPr>
        <w:t xml:space="preserve">Authority Required item codes intended for induction therapy. </w:t>
      </w:r>
      <w:r w:rsidR="009E781E" w:rsidRPr="005F3E57">
        <w:rPr>
          <w:rFonts w:ascii="Arial" w:hAnsi="Arial"/>
          <w:sz w:val="22"/>
          <w:szCs w:val="22"/>
        </w:rPr>
        <w:t xml:space="preserve">In March 2014, the PBAC recommended that the intent of the current restrictions for rituximab in NHL be clarified for prescribers, and that Medicare Australia administer approval for rituximab in line with the restrictions. </w:t>
      </w:r>
    </w:p>
    <w:p w:rsidR="00E6568B" w:rsidRDefault="00E6568B" w:rsidP="00412424">
      <w:pPr>
        <w:pStyle w:val="ListParagraph"/>
        <w:ind w:left="862"/>
        <w:jc w:val="both"/>
        <w:rPr>
          <w:rFonts w:ascii="Arial" w:hAnsi="Arial"/>
          <w:sz w:val="22"/>
          <w:szCs w:val="22"/>
        </w:rPr>
      </w:pPr>
    </w:p>
    <w:p w:rsidR="00761F16" w:rsidRPr="005F3E57" w:rsidRDefault="009E781E" w:rsidP="005F3E57">
      <w:pPr>
        <w:pStyle w:val="ListParagraph"/>
        <w:numPr>
          <w:ilvl w:val="1"/>
          <w:numId w:val="1"/>
        </w:numPr>
        <w:ind w:left="720"/>
        <w:jc w:val="both"/>
        <w:rPr>
          <w:rFonts w:ascii="Arial" w:hAnsi="Arial"/>
          <w:sz w:val="22"/>
          <w:szCs w:val="22"/>
        </w:rPr>
      </w:pPr>
      <w:r w:rsidRPr="005F3E57">
        <w:rPr>
          <w:rFonts w:ascii="Arial" w:hAnsi="Arial"/>
          <w:sz w:val="22"/>
          <w:szCs w:val="22"/>
        </w:rPr>
        <w:t>Therefore, t</w:t>
      </w:r>
      <w:r w:rsidR="008B5615" w:rsidRPr="005F3E57">
        <w:rPr>
          <w:rFonts w:ascii="Arial" w:hAnsi="Arial"/>
          <w:sz w:val="22"/>
          <w:szCs w:val="22"/>
        </w:rPr>
        <w:t xml:space="preserve">he </w:t>
      </w:r>
      <w:r w:rsidRPr="005F3E57">
        <w:rPr>
          <w:rFonts w:ascii="Arial" w:hAnsi="Arial"/>
          <w:sz w:val="22"/>
          <w:szCs w:val="22"/>
        </w:rPr>
        <w:t xml:space="preserve">minor </w:t>
      </w:r>
      <w:r w:rsidR="008B5615" w:rsidRPr="005F3E57">
        <w:rPr>
          <w:rFonts w:ascii="Arial" w:hAnsi="Arial"/>
          <w:sz w:val="22"/>
          <w:szCs w:val="22"/>
        </w:rPr>
        <w:t xml:space="preserve">submission also </w:t>
      </w:r>
      <w:r w:rsidR="00E57D81" w:rsidRPr="005F3E57">
        <w:rPr>
          <w:rFonts w:ascii="Arial" w:hAnsi="Arial"/>
          <w:sz w:val="22"/>
          <w:szCs w:val="22"/>
        </w:rPr>
        <w:t xml:space="preserve">proposed </w:t>
      </w:r>
      <w:r w:rsidR="00A75455" w:rsidRPr="005F3E57">
        <w:rPr>
          <w:rFonts w:ascii="Arial" w:hAnsi="Arial"/>
          <w:sz w:val="22"/>
          <w:szCs w:val="22"/>
        </w:rPr>
        <w:t>revised</w:t>
      </w:r>
      <w:r w:rsidR="00E57D81" w:rsidRPr="005F3E57">
        <w:rPr>
          <w:rFonts w:ascii="Arial" w:hAnsi="Arial"/>
          <w:sz w:val="22"/>
          <w:szCs w:val="22"/>
        </w:rPr>
        <w:t xml:space="preserve"> wording for the existing </w:t>
      </w:r>
      <w:r w:rsidR="00415287" w:rsidRPr="005F3E57">
        <w:rPr>
          <w:rFonts w:ascii="Arial" w:hAnsi="Arial"/>
          <w:sz w:val="22"/>
          <w:szCs w:val="22"/>
        </w:rPr>
        <w:t>listing</w:t>
      </w:r>
      <w:r w:rsidR="005D0C04" w:rsidRPr="005F3E57">
        <w:rPr>
          <w:rFonts w:ascii="Arial" w:hAnsi="Arial"/>
          <w:sz w:val="22"/>
          <w:szCs w:val="22"/>
        </w:rPr>
        <w:t>s</w:t>
      </w:r>
      <w:r w:rsidR="00415287" w:rsidRPr="005F3E57">
        <w:rPr>
          <w:rFonts w:ascii="Arial" w:hAnsi="Arial"/>
          <w:sz w:val="22"/>
          <w:szCs w:val="22"/>
        </w:rPr>
        <w:t xml:space="preserve"> for</w:t>
      </w:r>
      <w:r w:rsidR="00E57D81" w:rsidRPr="005F3E57">
        <w:rPr>
          <w:rFonts w:ascii="Arial" w:hAnsi="Arial"/>
          <w:sz w:val="22"/>
          <w:szCs w:val="22"/>
        </w:rPr>
        <w:t xml:space="preserve"> NHL to</w:t>
      </w:r>
      <w:r w:rsidR="008B5615" w:rsidRPr="005F3E57">
        <w:rPr>
          <w:rFonts w:ascii="Arial" w:hAnsi="Arial"/>
          <w:sz w:val="22"/>
          <w:szCs w:val="22"/>
        </w:rPr>
        <w:t xml:space="preserve"> clarify th</w:t>
      </w:r>
      <w:r w:rsidR="00E57D81" w:rsidRPr="005F3E57">
        <w:rPr>
          <w:rFonts w:ascii="Arial" w:hAnsi="Arial"/>
          <w:sz w:val="22"/>
          <w:szCs w:val="22"/>
        </w:rPr>
        <w:t>at t</w:t>
      </w:r>
      <w:r w:rsidR="00415287" w:rsidRPr="005F3E57">
        <w:rPr>
          <w:rFonts w:ascii="Arial" w:hAnsi="Arial"/>
          <w:sz w:val="22"/>
          <w:szCs w:val="22"/>
        </w:rPr>
        <w:t>h</w:t>
      </w:r>
      <w:r w:rsidR="005D0C04" w:rsidRPr="005F3E57">
        <w:rPr>
          <w:rFonts w:ascii="Arial" w:hAnsi="Arial"/>
          <w:sz w:val="22"/>
          <w:szCs w:val="22"/>
        </w:rPr>
        <w:t>ese</w:t>
      </w:r>
      <w:r w:rsidR="00415287" w:rsidRPr="005F3E57">
        <w:rPr>
          <w:rFonts w:ascii="Arial" w:hAnsi="Arial"/>
          <w:sz w:val="22"/>
          <w:szCs w:val="22"/>
        </w:rPr>
        <w:t xml:space="preserve"> restriction</w:t>
      </w:r>
      <w:r w:rsidR="005D0C04" w:rsidRPr="005F3E57">
        <w:rPr>
          <w:rFonts w:ascii="Arial" w:hAnsi="Arial"/>
          <w:sz w:val="22"/>
          <w:szCs w:val="22"/>
        </w:rPr>
        <w:t>s are</w:t>
      </w:r>
      <w:r w:rsidR="008B5615" w:rsidRPr="005F3E57">
        <w:rPr>
          <w:rFonts w:ascii="Arial" w:hAnsi="Arial"/>
          <w:sz w:val="22"/>
          <w:szCs w:val="22"/>
        </w:rPr>
        <w:t xml:space="preserve"> </w:t>
      </w:r>
      <w:r w:rsidR="00415287" w:rsidRPr="005F3E57">
        <w:rPr>
          <w:rFonts w:ascii="Arial" w:hAnsi="Arial"/>
          <w:sz w:val="22"/>
          <w:szCs w:val="22"/>
        </w:rPr>
        <w:t xml:space="preserve">intended </w:t>
      </w:r>
      <w:r w:rsidR="008B5615" w:rsidRPr="005F3E57">
        <w:rPr>
          <w:rFonts w:ascii="Arial" w:hAnsi="Arial"/>
          <w:sz w:val="22"/>
          <w:szCs w:val="22"/>
        </w:rPr>
        <w:t xml:space="preserve">for induction treatment only. </w:t>
      </w:r>
      <w:bookmarkStart w:id="1" w:name="_Toc386031022"/>
    </w:p>
    <w:p w:rsidR="00327C9A" w:rsidRPr="0047301E" w:rsidRDefault="00327C9A" w:rsidP="006F381F">
      <w:pPr>
        <w:pStyle w:val="Caption"/>
        <w:keepNext w:val="0"/>
        <w:spacing w:before="0" w:after="0"/>
        <w:ind w:left="0" w:firstLine="0"/>
        <w:rPr>
          <w:rFonts w:ascii="Arial Narrow" w:hAnsi="Arial Narrow"/>
          <w:sz w:val="20"/>
          <w:szCs w:val="20"/>
          <w:lang w:eastAsia="en-AU"/>
        </w:rPr>
      </w:pPr>
    </w:p>
    <w:p w:rsidR="006F381F" w:rsidRDefault="00E0701F" w:rsidP="00E6568B">
      <w:pPr>
        <w:pStyle w:val="Caption"/>
        <w:keepLines/>
        <w:tabs>
          <w:tab w:val="clear" w:pos="1418"/>
          <w:tab w:val="left" w:pos="0"/>
        </w:tabs>
        <w:spacing w:before="0" w:after="0"/>
        <w:ind w:left="0" w:firstLine="0"/>
        <w:rPr>
          <w:lang w:eastAsia="en-AU"/>
        </w:rPr>
      </w:pPr>
      <w:r w:rsidRPr="0047301E">
        <w:rPr>
          <w:rFonts w:ascii="Arial Narrow" w:hAnsi="Arial Narrow"/>
          <w:sz w:val="20"/>
          <w:szCs w:val="20"/>
          <w:lang w:eastAsia="en-AU"/>
        </w:rPr>
        <w:tab/>
      </w:r>
      <w:r w:rsidR="00327C9A">
        <w:rPr>
          <w:lang w:eastAsia="en-AU"/>
        </w:rPr>
        <w:t xml:space="preserve">Proposed restriction for rituximab induction in the public </w:t>
      </w:r>
      <w:r w:rsidR="005D0C04">
        <w:rPr>
          <w:lang w:eastAsia="en-AU"/>
        </w:rPr>
        <w:t xml:space="preserve">and private </w:t>
      </w:r>
      <w:r w:rsidR="00327C9A">
        <w:rPr>
          <w:lang w:eastAsia="en-AU"/>
        </w:rPr>
        <w:t>hospital setting</w:t>
      </w:r>
      <w:r w:rsidR="005D0C04">
        <w:rPr>
          <w:lang w:eastAsia="en-AU"/>
        </w:rPr>
        <w:t>s</w:t>
      </w:r>
    </w:p>
    <w:bookmarkEnd w:id="1"/>
    <w:p w:rsidR="006F381F" w:rsidRDefault="006F381F" w:rsidP="005F3E57"/>
    <w:tbl>
      <w:tblPr>
        <w:tblStyle w:val="TableGrid"/>
        <w:tblpPr w:leftFromText="180" w:rightFromText="180" w:vertAnchor="text" w:horzAnchor="margin" w:tblpXSpec="right" w:tblpY="85"/>
        <w:tblOverlap w:val="never"/>
        <w:tblW w:w="8444" w:type="dxa"/>
        <w:tblLayout w:type="fixed"/>
        <w:tblLook w:val="04A0" w:firstRow="1" w:lastRow="0" w:firstColumn="1" w:lastColumn="0" w:noHBand="0" w:noVBand="1"/>
        <w:tblDescription w:val="Rituximab listing"/>
      </w:tblPr>
      <w:tblGrid>
        <w:gridCol w:w="3969"/>
        <w:gridCol w:w="992"/>
        <w:gridCol w:w="993"/>
        <w:gridCol w:w="1559"/>
        <w:gridCol w:w="931"/>
      </w:tblGrid>
      <w:tr w:rsidR="00E6568B" w:rsidRPr="007324FE" w:rsidTr="00AA41E6">
        <w:trPr>
          <w:cantSplit/>
          <w:trHeight w:val="641"/>
          <w:tblHeader/>
        </w:trPr>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761F16">
            <w:pPr>
              <w:keepNext/>
              <w:keepLines/>
              <w:tabs>
                <w:tab w:val="left" w:pos="1995"/>
              </w:tabs>
              <w:rPr>
                <w:rFonts w:asciiTheme="minorHAnsi" w:hAnsiTheme="minorHAnsi"/>
                <w:b/>
                <w:sz w:val="20"/>
                <w:szCs w:val="20"/>
                <w:lang w:eastAsia="zh-CN"/>
              </w:rPr>
            </w:pPr>
            <w:bookmarkStart w:id="2" w:name="_GoBack" w:colFirst="0" w:colLast="4"/>
            <w:r w:rsidRPr="007324FE">
              <w:rPr>
                <w:rFonts w:asciiTheme="minorHAnsi" w:hAnsiTheme="minorHAnsi"/>
                <w:b/>
                <w:sz w:val="20"/>
                <w:szCs w:val="20"/>
              </w:rPr>
              <w:t>Name, Restriction,</w:t>
            </w:r>
            <w:r w:rsidR="00761F16">
              <w:rPr>
                <w:rFonts w:asciiTheme="minorHAnsi" w:hAnsiTheme="minorHAnsi"/>
                <w:b/>
                <w:sz w:val="20"/>
                <w:szCs w:val="20"/>
              </w:rPr>
              <w:tab/>
            </w:r>
            <w:r w:rsidRPr="007324FE">
              <w:rPr>
                <w:rFonts w:asciiTheme="minorHAnsi" w:hAnsiTheme="minorHAnsi"/>
                <w:b/>
                <w:sz w:val="20"/>
                <w:szCs w:val="20"/>
              </w:rPr>
              <w:br/>
              <w:t>Manner of administration and form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jc w:val="center"/>
              <w:rPr>
                <w:rFonts w:asciiTheme="minorHAnsi" w:hAnsiTheme="minorHAnsi"/>
                <w:b/>
                <w:sz w:val="20"/>
                <w:szCs w:val="20"/>
                <w:lang w:eastAsia="zh-CN"/>
              </w:rPr>
            </w:pPr>
            <w:r w:rsidRPr="007324FE">
              <w:rPr>
                <w:rFonts w:asciiTheme="minorHAnsi" w:hAnsiTheme="minorHAnsi"/>
                <w:b/>
                <w:sz w:val="20"/>
                <w:szCs w:val="20"/>
              </w:rPr>
              <w:t>Max. Amount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jc w:val="center"/>
              <w:rPr>
                <w:rFonts w:asciiTheme="minorHAnsi" w:hAnsiTheme="minorHAnsi"/>
                <w:b/>
                <w:sz w:val="20"/>
                <w:szCs w:val="20"/>
                <w:lang w:eastAsia="zh-CN"/>
              </w:rPr>
            </w:pPr>
            <w:r w:rsidRPr="007324FE">
              <w:rPr>
                <w:rFonts w:asciiTheme="minorHAnsi" w:hAnsiTheme="minorHAnsi"/>
                <w:b/>
                <w:sz w:val="20"/>
                <w:szCs w:val="20"/>
              </w:rPr>
              <w:t xml:space="preserve">No. of </w:t>
            </w:r>
            <w:proofErr w:type="spellStart"/>
            <w:r w:rsidRPr="007324FE">
              <w:rPr>
                <w:rFonts w:asciiTheme="minorHAnsi" w:hAnsiTheme="minorHAnsi"/>
                <w:b/>
                <w:sz w:val="20"/>
                <w:szCs w:val="20"/>
              </w:rPr>
              <w:t>Rpts</w:t>
            </w:r>
            <w:proofErr w:type="spellEnd"/>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jc w:val="center"/>
              <w:rPr>
                <w:rFonts w:asciiTheme="minorHAnsi" w:hAnsiTheme="minorHAnsi"/>
                <w:b/>
                <w:sz w:val="20"/>
                <w:szCs w:val="20"/>
                <w:lang w:eastAsia="zh-CN"/>
              </w:rPr>
            </w:pPr>
            <w:r w:rsidRPr="007324FE">
              <w:rPr>
                <w:rFonts w:asciiTheme="minorHAnsi" w:hAnsiTheme="minorHAnsi"/>
                <w:b/>
                <w:sz w:val="20"/>
                <w:szCs w:val="20"/>
              </w:rPr>
              <w:t>Proprietary Name and Manufacturer</w:t>
            </w:r>
          </w:p>
        </w:tc>
      </w:tr>
      <w:bookmarkEnd w:id="2"/>
      <w:tr w:rsidR="00E6568B" w:rsidRPr="007324FE" w:rsidTr="00FF1B9D">
        <w:trPr>
          <w:cantSplit/>
          <w:trHeight w:val="1292"/>
        </w:trPr>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rPr>
                <w:rFonts w:asciiTheme="minorHAnsi" w:hAnsiTheme="minorHAnsi"/>
                <w:sz w:val="20"/>
                <w:szCs w:val="20"/>
                <w:lang w:eastAsia="zh-CN"/>
              </w:rPr>
            </w:pPr>
            <w:r w:rsidRPr="007324FE">
              <w:rPr>
                <w:rFonts w:asciiTheme="minorHAnsi" w:hAnsiTheme="minorHAnsi"/>
                <w:sz w:val="20"/>
                <w:szCs w:val="20"/>
              </w:rPr>
              <w:t>Rituximab</w:t>
            </w:r>
            <w:r w:rsidRPr="007324FE">
              <w:rPr>
                <w:rFonts w:asciiTheme="minorHAnsi" w:hAnsiTheme="minorHAnsi"/>
                <w:sz w:val="20"/>
                <w:szCs w:val="20"/>
              </w:rPr>
              <w:br/>
              <w:t>Injection</w:t>
            </w:r>
            <w:r w:rsidRPr="007324FE">
              <w:rPr>
                <w:rFonts w:asciiTheme="minorHAnsi" w:hAnsiTheme="minorHAnsi"/>
                <w:sz w:val="20"/>
                <w:szCs w:val="20"/>
              </w:rPr>
              <w:br/>
              <w:t>100 mg/10 mL injection, 2 x 10 mL vials</w:t>
            </w:r>
            <w:r w:rsidRPr="007324FE">
              <w:rPr>
                <w:rFonts w:asciiTheme="minorHAnsi" w:hAnsiTheme="minorHAnsi"/>
                <w:sz w:val="20"/>
                <w:szCs w:val="20"/>
              </w:rPr>
              <w:br/>
              <w:t>500 mg/50 mL injection, 1 x 50 mL vial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jc w:val="center"/>
              <w:rPr>
                <w:rFonts w:asciiTheme="minorHAnsi" w:hAnsiTheme="minorHAnsi"/>
                <w:sz w:val="20"/>
                <w:szCs w:val="20"/>
                <w:lang w:eastAsia="zh-CN"/>
              </w:rPr>
            </w:pPr>
            <w:r w:rsidRPr="007324FE">
              <w:rPr>
                <w:rFonts w:asciiTheme="minorHAnsi" w:hAnsiTheme="minorHAnsi"/>
                <w:sz w:val="20"/>
                <w:szCs w:val="20"/>
              </w:rPr>
              <w:t>800 mg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jc w:val="center"/>
              <w:rPr>
                <w:rFonts w:asciiTheme="minorHAnsi" w:hAnsiTheme="minorHAnsi"/>
                <w:sz w:val="20"/>
                <w:szCs w:val="20"/>
                <w:lang w:eastAsia="zh-CN"/>
              </w:rPr>
            </w:pPr>
            <w:r w:rsidRPr="007324FE">
              <w:rPr>
                <w:rFonts w:asciiTheme="minorHAnsi" w:hAnsiTheme="minorHAnsi"/>
                <w:sz w:val="20"/>
                <w:szCs w:val="20"/>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jc w:val="center"/>
              <w:rPr>
                <w:rFonts w:asciiTheme="minorHAnsi" w:hAnsiTheme="minorHAnsi"/>
                <w:sz w:val="20"/>
                <w:szCs w:val="20"/>
                <w:lang w:eastAsia="zh-CN"/>
              </w:rPr>
            </w:pPr>
            <w:proofErr w:type="spellStart"/>
            <w:r w:rsidRPr="007324FE">
              <w:rPr>
                <w:rFonts w:asciiTheme="minorHAnsi" w:hAnsiTheme="minorHAnsi"/>
                <w:sz w:val="20"/>
                <w:szCs w:val="20"/>
              </w:rPr>
              <w:t>Mabthera</w:t>
            </w:r>
            <w:proofErr w:type="spellEnd"/>
            <w:r w:rsidRPr="007324FE">
              <w:rPr>
                <w:rFonts w:asciiTheme="minorHAnsi" w:hAnsiTheme="minorHAnsi"/>
                <w:sz w:val="20"/>
                <w:szCs w:val="20"/>
              </w:rPr>
              <w:t>®</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jc w:val="center"/>
              <w:rPr>
                <w:rFonts w:asciiTheme="minorHAnsi" w:hAnsiTheme="minorHAnsi"/>
                <w:sz w:val="20"/>
                <w:szCs w:val="20"/>
                <w:lang w:eastAsia="zh-CN"/>
              </w:rPr>
            </w:pPr>
            <w:r w:rsidRPr="007324FE">
              <w:rPr>
                <w:rFonts w:asciiTheme="minorHAnsi" w:hAnsiTheme="minorHAnsi"/>
                <w:sz w:val="20"/>
                <w:szCs w:val="20"/>
              </w:rPr>
              <w:t>Roche</w:t>
            </w:r>
          </w:p>
        </w:tc>
      </w:tr>
      <w:tr w:rsidR="00E6568B" w:rsidRPr="007324FE" w:rsidTr="00FF1B9D">
        <w:trPr>
          <w:cantSplit/>
          <w:trHeight w:val="1234"/>
        </w:trPr>
        <w:tc>
          <w:tcPr>
            <w:tcW w:w="84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rPr>
                <w:rFonts w:asciiTheme="minorHAnsi" w:hAnsiTheme="minorHAnsi" w:cstheme="minorBidi"/>
                <w:sz w:val="20"/>
                <w:szCs w:val="20"/>
              </w:rPr>
            </w:pPr>
            <w:r w:rsidRPr="007324FE">
              <w:rPr>
                <w:rFonts w:asciiTheme="minorHAnsi" w:hAnsiTheme="minorHAnsi"/>
                <w:b/>
                <w:sz w:val="20"/>
                <w:szCs w:val="20"/>
              </w:rPr>
              <w:t>Authority Required (streamlined)</w:t>
            </w:r>
            <w:r w:rsidRPr="007324FE">
              <w:rPr>
                <w:rFonts w:asciiTheme="minorHAnsi" w:hAnsiTheme="minorHAnsi"/>
                <w:b/>
                <w:sz w:val="20"/>
                <w:szCs w:val="20"/>
              </w:rPr>
              <w:br/>
            </w:r>
            <w:r w:rsidRPr="007324FE">
              <w:rPr>
                <w:rFonts w:asciiTheme="minorHAnsi" w:hAnsiTheme="minorHAnsi"/>
                <w:sz w:val="20"/>
                <w:szCs w:val="20"/>
              </w:rPr>
              <w:t>Induction treatment of previously untreated, CD20 positive, diffuse large B-cell non-Hodgkin's lymphoma, in combination with chemotherapy</w:t>
            </w:r>
          </w:p>
          <w:p w:rsidR="00E6568B" w:rsidRPr="007324FE" w:rsidRDefault="00E6568B" w:rsidP="00E6568B">
            <w:pPr>
              <w:keepNext/>
              <w:keepLines/>
              <w:rPr>
                <w:rFonts w:asciiTheme="minorHAnsi" w:hAnsiTheme="minorHAnsi"/>
                <w:b/>
                <w:sz w:val="20"/>
                <w:szCs w:val="20"/>
                <w:lang w:eastAsia="zh-CN"/>
              </w:rPr>
            </w:pPr>
            <w:r w:rsidRPr="007324FE">
              <w:rPr>
                <w:rFonts w:asciiTheme="minorHAnsi" w:hAnsiTheme="minorHAnsi"/>
                <w:sz w:val="20"/>
                <w:szCs w:val="20"/>
              </w:rPr>
              <w:t>Induction treatment of symptomatic patients with previously untreated, CD20 positive, Stage III or IV, follicular, B</w:t>
            </w:r>
            <w:r w:rsidRPr="007324FE">
              <w:rPr>
                <w:rFonts w:asciiTheme="minorHAnsi" w:hAnsiTheme="minorHAnsi"/>
                <w:sz w:val="20"/>
                <w:szCs w:val="20"/>
              </w:rPr>
              <w:noBreakHyphen/>
              <w:t>cell non-Hodgkin's lymphoma, in combination with chemotherapy</w:t>
            </w:r>
          </w:p>
        </w:tc>
      </w:tr>
      <w:tr w:rsidR="00E6568B" w:rsidRPr="007324FE" w:rsidTr="00FF1B9D">
        <w:trPr>
          <w:cantSplit/>
          <w:trHeight w:val="977"/>
        </w:trPr>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rPr>
                <w:rFonts w:asciiTheme="minorHAnsi" w:hAnsiTheme="minorHAnsi"/>
                <w:sz w:val="20"/>
                <w:szCs w:val="20"/>
                <w:lang w:eastAsia="zh-CN"/>
              </w:rPr>
            </w:pPr>
            <w:r w:rsidRPr="007324FE">
              <w:rPr>
                <w:rFonts w:asciiTheme="minorHAnsi" w:hAnsiTheme="minorHAnsi"/>
                <w:sz w:val="20"/>
                <w:szCs w:val="20"/>
              </w:rPr>
              <w:lastRenderedPageBreak/>
              <w:t>Rituximab</w:t>
            </w:r>
            <w:r w:rsidRPr="007324FE">
              <w:rPr>
                <w:rFonts w:asciiTheme="minorHAnsi" w:hAnsiTheme="minorHAnsi"/>
                <w:sz w:val="20"/>
                <w:szCs w:val="20"/>
              </w:rPr>
              <w:br/>
              <w:t>Injection</w:t>
            </w:r>
            <w:r w:rsidRPr="007324FE">
              <w:rPr>
                <w:rFonts w:asciiTheme="minorHAnsi" w:hAnsiTheme="minorHAnsi"/>
                <w:sz w:val="20"/>
                <w:szCs w:val="20"/>
              </w:rPr>
              <w:br/>
              <w:t>100 mg/10 mL injection, 2 x 10 mL vials</w:t>
            </w:r>
            <w:r w:rsidRPr="007324FE">
              <w:rPr>
                <w:rFonts w:asciiTheme="minorHAnsi" w:hAnsiTheme="minorHAnsi"/>
                <w:sz w:val="20"/>
                <w:szCs w:val="20"/>
              </w:rPr>
              <w:br/>
              <w:t>500 mg/50 mL injection, 1 x 50 mL vial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jc w:val="center"/>
              <w:rPr>
                <w:rFonts w:asciiTheme="minorHAnsi" w:hAnsiTheme="minorHAnsi"/>
                <w:sz w:val="20"/>
                <w:szCs w:val="20"/>
                <w:lang w:eastAsia="zh-CN"/>
              </w:rPr>
            </w:pPr>
            <w:r w:rsidRPr="007324FE">
              <w:rPr>
                <w:rFonts w:asciiTheme="minorHAnsi" w:hAnsiTheme="minorHAnsi"/>
                <w:sz w:val="20"/>
                <w:szCs w:val="20"/>
              </w:rPr>
              <w:t>800 mg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jc w:val="center"/>
              <w:rPr>
                <w:rFonts w:asciiTheme="minorHAnsi" w:hAnsiTheme="minorHAnsi"/>
                <w:sz w:val="20"/>
                <w:szCs w:val="20"/>
                <w:lang w:eastAsia="zh-CN"/>
              </w:rPr>
            </w:pPr>
            <w:r w:rsidRPr="007324FE">
              <w:rPr>
                <w:rFonts w:asciiTheme="minorHAnsi" w:hAnsiTheme="minorHAnsi"/>
                <w:sz w:val="20"/>
                <w:szCs w:val="20"/>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jc w:val="center"/>
              <w:rPr>
                <w:rFonts w:asciiTheme="minorHAnsi" w:hAnsiTheme="minorHAnsi"/>
                <w:sz w:val="20"/>
                <w:szCs w:val="20"/>
                <w:lang w:eastAsia="zh-CN"/>
              </w:rPr>
            </w:pPr>
            <w:proofErr w:type="spellStart"/>
            <w:r w:rsidRPr="007324FE">
              <w:rPr>
                <w:rFonts w:asciiTheme="minorHAnsi" w:hAnsiTheme="minorHAnsi"/>
                <w:sz w:val="20"/>
                <w:szCs w:val="20"/>
              </w:rPr>
              <w:t>Mabthera</w:t>
            </w:r>
            <w:proofErr w:type="spellEnd"/>
            <w:r w:rsidRPr="007324FE">
              <w:rPr>
                <w:rFonts w:asciiTheme="minorHAnsi" w:hAnsiTheme="minorHAnsi"/>
                <w:sz w:val="20"/>
                <w:szCs w:val="20"/>
              </w:rPr>
              <w:t>®</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7324FE" w:rsidRDefault="00E6568B" w:rsidP="00E6568B">
            <w:pPr>
              <w:keepNext/>
              <w:keepLines/>
              <w:jc w:val="center"/>
              <w:rPr>
                <w:rFonts w:asciiTheme="minorHAnsi" w:hAnsiTheme="minorHAnsi"/>
                <w:sz w:val="20"/>
                <w:szCs w:val="20"/>
                <w:lang w:eastAsia="zh-CN"/>
              </w:rPr>
            </w:pPr>
            <w:r w:rsidRPr="007324FE">
              <w:rPr>
                <w:rFonts w:asciiTheme="minorHAnsi" w:hAnsiTheme="minorHAnsi"/>
                <w:sz w:val="20"/>
                <w:szCs w:val="20"/>
              </w:rPr>
              <w:t>Roche</w:t>
            </w:r>
          </w:p>
        </w:tc>
      </w:tr>
      <w:tr w:rsidR="00E6568B" w:rsidRPr="0047301E" w:rsidTr="00FF1B9D">
        <w:trPr>
          <w:cantSplit/>
          <w:trHeight w:val="737"/>
        </w:trPr>
        <w:tc>
          <w:tcPr>
            <w:tcW w:w="84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68B" w:rsidRPr="0047301E" w:rsidRDefault="00E6568B" w:rsidP="00E6568B">
            <w:pPr>
              <w:keepNext/>
              <w:keepLines/>
              <w:ind w:right="33"/>
              <w:rPr>
                <w:rFonts w:ascii="Arial Narrow" w:hAnsi="Arial Narrow"/>
                <w:sz w:val="20"/>
                <w:szCs w:val="20"/>
                <w:lang w:eastAsia="zh-CN"/>
              </w:rPr>
            </w:pPr>
            <w:r w:rsidRPr="0047301E">
              <w:rPr>
                <w:rFonts w:ascii="Arial Narrow" w:hAnsi="Arial Narrow"/>
                <w:b/>
                <w:sz w:val="20"/>
                <w:szCs w:val="20"/>
              </w:rPr>
              <w:t>Authority Required (streamlined)</w:t>
            </w:r>
            <w:r w:rsidRPr="0047301E">
              <w:rPr>
                <w:rFonts w:ascii="Arial Narrow" w:hAnsi="Arial Narrow"/>
                <w:b/>
                <w:sz w:val="20"/>
                <w:szCs w:val="20"/>
              </w:rPr>
              <w:br/>
            </w:r>
            <w:r w:rsidRPr="0047301E">
              <w:rPr>
                <w:rFonts w:ascii="Arial Narrow" w:hAnsi="Arial Narrow"/>
                <w:sz w:val="20"/>
                <w:szCs w:val="20"/>
              </w:rPr>
              <w:t>Induction treatment of relapsed or refractory low-grade B-cell non-Hodgkin’s lymphoma</w:t>
            </w:r>
            <w:r w:rsidRPr="0047301E">
              <w:rPr>
                <w:rFonts w:ascii="Arial Narrow" w:hAnsi="Arial Narrow"/>
                <w:sz w:val="20"/>
                <w:szCs w:val="20"/>
              </w:rPr>
              <w:br/>
              <w:t>Induction treatment of relapsed or refractory follicular B-cell non-Hodgkin’s lymphoma</w:t>
            </w:r>
          </w:p>
        </w:tc>
      </w:tr>
    </w:tbl>
    <w:p w:rsidR="008B5615" w:rsidRDefault="008B5615" w:rsidP="00DE463B">
      <w:pPr>
        <w:pStyle w:val="ListParagraph"/>
        <w:jc w:val="both"/>
        <w:rPr>
          <w:rFonts w:ascii="Arial" w:hAnsi="Arial"/>
          <w:sz w:val="22"/>
          <w:szCs w:val="22"/>
        </w:rPr>
      </w:pPr>
    </w:p>
    <w:p w:rsidR="005D0C04" w:rsidRDefault="005D0C04" w:rsidP="005D0C04">
      <w:pPr>
        <w:pStyle w:val="ListParagraph"/>
        <w:shd w:val="clear" w:color="auto" w:fill="FFFFFF" w:themeFill="background1"/>
        <w:jc w:val="both"/>
        <w:rPr>
          <w:rFonts w:ascii="Arial" w:hAnsi="Arial"/>
          <w:sz w:val="22"/>
          <w:szCs w:val="22"/>
        </w:rPr>
      </w:pPr>
    </w:p>
    <w:p w:rsidR="0047301E" w:rsidRDefault="0047301E" w:rsidP="005D0C04">
      <w:pPr>
        <w:pStyle w:val="ListParagraph"/>
        <w:shd w:val="clear" w:color="auto" w:fill="FFFFFF" w:themeFill="background1"/>
        <w:jc w:val="both"/>
        <w:rPr>
          <w:rFonts w:ascii="Arial" w:hAnsi="Arial"/>
          <w:sz w:val="22"/>
          <w:szCs w:val="22"/>
        </w:rPr>
      </w:pPr>
    </w:p>
    <w:p w:rsidR="0047301E" w:rsidRDefault="0047301E" w:rsidP="005D0C04">
      <w:pPr>
        <w:pStyle w:val="ListParagraph"/>
        <w:shd w:val="clear" w:color="auto" w:fill="FFFFFF" w:themeFill="background1"/>
        <w:jc w:val="both"/>
        <w:rPr>
          <w:rFonts w:ascii="Arial" w:hAnsi="Arial"/>
          <w:sz w:val="22"/>
          <w:szCs w:val="22"/>
        </w:rPr>
      </w:pPr>
    </w:p>
    <w:p w:rsidR="0019490D" w:rsidRDefault="0019490D" w:rsidP="0019490D">
      <w:pPr>
        <w:shd w:val="clear" w:color="auto" w:fill="FFFFFF" w:themeFill="background1"/>
        <w:ind w:left="142"/>
        <w:jc w:val="both"/>
        <w:rPr>
          <w:rFonts w:ascii="Arial" w:hAnsi="Arial"/>
          <w:sz w:val="22"/>
          <w:szCs w:val="22"/>
        </w:rPr>
      </w:pPr>
    </w:p>
    <w:p w:rsidR="0019490D" w:rsidRDefault="0019490D" w:rsidP="0019490D">
      <w:pPr>
        <w:shd w:val="clear" w:color="auto" w:fill="FFFFFF" w:themeFill="background1"/>
        <w:ind w:left="142"/>
        <w:jc w:val="both"/>
        <w:rPr>
          <w:rFonts w:ascii="Arial" w:hAnsi="Arial"/>
          <w:sz w:val="22"/>
          <w:szCs w:val="22"/>
        </w:rPr>
      </w:pPr>
    </w:p>
    <w:p w:rsidR="0019490D" w:rsidRDefault="0019490D" w:rsidP="0019490D">
      <w:pPr>
        <w:shd w:val="clear" w:color="auto" w:fill="FFFFFF" w:themeFill="background1"/>
        <w:ind w:left="142"/>
        <w:jc w:val="both"/>
        <w:rPr>
          <w:rFonts w:ascii="Arial" w:hAnsi="Arial"/>
          <w:sz w:val="22"/>
          <w:szCs w:val="22"/>
        </w:rPr>
      </w:pPr>
    </w:p>
    <w:p w:rsidR="00761F16" w:rsidRPr="00B90AB7" w:rsidRDefault="00761F16" w:rsidP="00B90AB7">
      <w:pPr>
        <w:jc w:val="both"/>
        <w:rPr>
          <w:rFonts w:ascii="Arial" w:hAnsi="Arial"/>
          <w:sz w:val="22"/>
          <w:szCs w:val="22"/>
        </w:rPr>
      </w:pPr>
    </w:p>
    <w:p w:rsidR="0019490D" w:rsidRPr="005F3E57" w:rsidRDefault="00C32115"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The </w:t>
      </w:r>
      <w:r w:rsidR="00655255" w:rsidRPr="005F3E57">
        <w:rPr>
          <w:rFonts w:ascii="Arial" w:hAnsi="Arial"/>
          <w:sz w:val="22"/>
          <w:szCs w:val="22"/>
        </w:rPr>
        <w:t xml:space="preserve">minor </w:t>
      </w:r>
      <w:r w:rsidRPr="005F3E57">
        <w:rPr>
          <w:rFonts w:ascii="Arial" w:hAnsi="Arial"/>
          <w:sz w:val="22"/>
          <w:szCs w:val="22"/>
        </w:rPr>
        <w:t xml:space="preserve">submission </w:t>
      </w:r>
      <w:r w:rsidR="0019490D" w:rsidRPr="005F3E57">
        <w:rPr>
          <w:rFonts w:ascii="Arial" w:hAnsi="Arial"/>
          <w:sz w:val="22"/>
          <w:szCs w:val="22"/>
        </w:rPr>
        <w:t xml:space="preserve">proposed a maximum amount of 800mg </w:t>
      </w:r>
      <w:r w:rsidR="00655255" w:rsidRPr="005F3E57">
        <w:rPr>
          <w:rFonts w:ascii="Arial" w:hAnsi="Arial"/>
          <w:sz w:val="22"/>
          <w:szCs w:val="22"/>
        </w:rPr>
        <w:t xml:space="preserve">of rituximab </w:t>
      </w:r>
      <w:r w:rsidR="0019490D" w:rsidRPr="005F3E57">
        <w:rPr>
          <w:rFonts w:ascii="Arial" w:hAnsi="Arial"/>
          <w:sz w:val="22"/>
          <w:szCs w:val="22"/>
        </w:rPr>
        <w:t xml:space="preserve">with 7 repeats </w:t>
      </w:r>
      <w:r w:rsidRPr="005F3E57">
        <w:rPr>
          <w:rFonts w:ascii="Arial" w:hAnsi="Arial"/>
          <w:sz w:val="22"/>
          <w:szCs w:val="22"/>
        </w:rPr>
        <w:t>for maintenance therapy in</w:t>
      </w:r>
      <w:r w:rsidR="0019490D" w:rsidRPr="005F3E57">
        <w:rPr>
          <w:rFonts w:ascii="Arial" w:hAnsi="Arial"/>
          <w:sz w:val="22"/>
          <w:szCs w:val="22"/>
        </w:rPr>
        <w:t xml:space="preserve"> the </w:t>
      </w:r>
      <w:r w:rsidRPr="005F3E57">
        <w:rPr>
          <w:rFonts w:ascii="Arial" w:hAnsi="Arial"/>
          <w:sz w:val="22"/>
          <w:szCs w:val="22"/>
        </w:rPr>
        <w:t>‘</w:t>
      </w:r>
      <w:r w:rsidR="0019490D" w:rsidRPr="005F3E57">
        <w:rPr>
          <w:rFonts w:ascii="Arial" w:hAnsi="Arial"/>
          <w:sz w:val="22"/>
          <w:szCs w:val="22"/>
        </w:rPr>
        <w:t>first-line</w:t>
      </w:r>
      <w:r w:rsidRPr="005F3E57">
        <w:rPr>
          <w:rFonts w:ascii="Arial" w:hAnsi="Arial"/>
          <w:sz w:val="22"/>
          <w:szCs w:val="22"/>
        </w:rPr>
        <w:t>’</w:t>
      </w:r>
      <w:r w:rsidR="0019490D" w:rsidRPr="005F3E57">
        <w:rPr>
          <w:rFonts w:ascii="Arial" w:hAnsi="Arial"/>
          <w:sz w:val="22"/>
          <w:szCs w:val="22"/>
        </w:rPr>
        <w:t xml:space="preserve"> (</w:t>
      </w:r>
      <w:r w:rsidRPr="005F3E57">
        <w:rPr>
          <w:rFonts w:ascii="Arial" w:hAnsi="Arial"/>
          <w:sz w:val="22"/>
          <w:szCs w:val="22"/>
        </w:rPr>
        <w:t xml:space="preserve">previously untreated) </w:t>
      </w:r>
      <w:r w:rsidR="0019490D" w:rsidRPr="005F3E57">
        <w:rPr>
          <w:rFonts w:ascii="Arial" w:hAnsi="Arial"/>
          <w:sz w:val="22"/>
          <w:szCs w:val="22"/>
        </w:rPr>
        <w:t xml:space="preserve">setting. This would align with the </w:t>
      </w:r>
      <w:r w:rsidRPr="005F3E57">
        <w:rPr>
          <w:rFonts w:ascii="Arial" w:hAnsi="Arial"/>
          <w:sz w:val="22"/>
          <w:szCs w:val="22"/>
        </w:rPr>
        <w:t xml:space="preserve">approved </w:t>
      </w:r>
      <w:r w:rsidR="0019490D" w:rsidRPr="005F3E57">
        <w:rPr>
          <w:rFonts w:ascii="Arial" w:hAnsi="Arial"/>
          <w:sz w:val="22"/>
          <w:szCs w:val="22"/>
        </w:rPr>
        <w:t>Product Information. However, the PBAC noted</w:t>
      </w:r>
      <w:r w:rsidRPr="005F3E57">
        <w:rPr>
          <w:rFonts w:ascii="Arial" w:hAnsi="Arial"/>
          <w:sz w:val="22"/>
          <w:szCs w:val="22"/>
        </w:rPr>
        <w:t xml:space="preserve"> that this w</w:t>
      </w:r>
      <w:r w:rsidR="00E6568B" w:rsidRPr="005F3E57">
        <w:rPr>
          <w:rFonts w:ascii="Arial" w:hAnsi="Arial"/>
          <w:sz w:val="22"/>
          <w:szCs w:val="22"/>
        </w:rPr>
        <w:t xml:space="preserve">ould provide fewer doses that the maximum number administered in </w:t>
      </w:r>
      <w:r w:rsidRPr="005F3E57">
        <w:rPr>
          <w:rFonts w:ascii="Arial" w:hAnsi="Arial"/>
          <w:sz w:val="22"/>
          <w:szCs w:val="22"/>
        </w:rPr>
        <w:t>the PRIMA trial</w:t>
      </w:r>
      <w:r w:rsidR="00655255" w:rsidRPr="005F3E57">
        <w:rPr>
          <w:rFonts w:ascii="Arial" w:hAnsi="Arial"/>
          <w:sz w:val="22"/>
          <w:szCs w:val="22"/>
        </w:rPr>
        <w:t>. This trial</w:t>
      </w:r>
      <w:r w:rsidR="00E6568B" w:rsidRPr="005F3E57">
        <w:rPr>
          <w:rFonts w:ascii="Arial" w:hAnsi="Arial"/>
          <w:sz w:val="22"/>
          <w:szCs w:val="22"/>
        </w:rPr>
        <w:t xml:space="preserve"> </w:t>
      </w:r>
      <w:r w:rsidRPr="005F3E57">
        <w:rPr>
          <w:rFonts w:ascii="Arial" w:hAnsi="Arial"/>
          <w:sz w:val="22"/>
          <w:szCs w:val="22"/>
        </w:rPr>
        <w:t xml:space="preserve">formed the basis for the PBAC’s March 2014 consideration of </w:t>
      </w:r>
      <w:r w:rsidR="00E6568B" w:rsidRPr="005F3E57">
        <w:rPr>
          <w:rFonts w:ascii="Arial" w:hAnsi="Arial"/>
          <w:sz w:val="22"/>
          <w:szCs w:val="22"/>
        </w:rPr>
        <w:t xml:space="preserve">the </w:t>
      </w:r>
      <w:r w:rsidRPr="005F3E57">
        <w:rPr>
          <w:rFonts w:ascii="Arial" w:hAnsi="Arial"/>
          <w:sz w:val="22"/>
          <w:szCs w:val="22"/>
        </w:rPr>
        <w:t>comparative eff</w:t>
      </w:r>
      <w:r w:rsidR="00655255" w:rsidRPr="005F3E57">
        <w:rPr>
          <w:rFonts w:ascii="Arial" w:hAnsi="Arial"/>
          <w:sz w:val="22"/>
          <w:szCs w:val="22"/>
        </w:rPr>
        <w:t>icacy</w:t>
      </w:r>
      <w:r w:rsidRPr="005F3E57">
        <w:rPr>
          <w:rFonts w:ascii="Arial" w:hAnsi="Arial"/>
          <w:sz w:val="22"/>
          <w:szCs w:val="22"/>
        </w:rPr>
        <w:t xml:space="preserve"> and cost</w:t>
      </w:r>
      <w:r w:rsidRPr="005F3E57">
        <w:rPr>
          <w:rFonts w:ascii="Arial" w:hAnsi="Arial"/>
          <w:sz w:val="22"/>
          <w:szCs w:val="22"/>
        </w:rPr>
        <w:noBreakHyphen/>
        <w:t>effectiveness</w:t>
      </w:r>
      <w:r w:rsidR="00E6568B" w:rsidRPr="005F3E57">
        <w:rPr>
          <w:rFonts w:ascii="Arial" w:hAnsi="Arial"/>
          <w:sz w:val="22"/>
          <w:szCs w:val="22"/>
        </w:rPr>
        <w:t xml:space="preserve"> of rit</w:t>
      </w:r>
      <w:r w:rsidR="00655255" w:rsidRPr="005F3E57">
        <w:rPr>
          <w:rFonts w:ascii="Arial" w:hAnsi="Arial"/>
          <w:sz w:val="22"/>
          <w:szCs w:val="22"/>
        </w:rPr>
        <w:t>uximab maintenance in the first</w:t>
      </w:r>
      <w:r w:rsidR="00655255" w:rsidRPr="005F3E57">
        <w:rPr>
          <w:rFonts w:ascii="Arial" w:hAnsi="Arial"/>
          <w:sz w:val="22"/>
          <w:szCs w:val="22"/>
        </w:rPr>
        <w:noBreakHyphen/>
      </w:r>
      <w:r w:rsidR="00E6568B" w:rsidRPr="005F3E57">
        <w:rPr>
          <w:rFonts w:ascii="Arial" w:hAnsi="Arial"/>
          <w:sz w:val="22"/>
          <w:szCs w:val="22"/>
        </w:rPr>
        <w:t>line setting</w:t>
      </w:r>
      <w:r w:rsidRPr="005F3E57">
        <w:rPr>
          <w:rFonts w:ascii="Arial" w:hAnsi="Arial"/>
          <w:sz w:val="22"/>
          <w:szCs w:val="22"/>
        </w:rPr>
        <w:t>.</w:t>
      </w:r>
    </w:p>
    <w:p w:rsidR="0019490D" w:rsidRDefault="0019490D" w:rsidP="00882085">
      <w:pPr>
        <w:jc w:val="both"/>
        <w:rPr>
          <w:rFonts w:ascii="Arial" w:hAnsi="Arial"/>
          <w:b/>
          <w:sz w:val="22"/>
          <w:szCs w:val="22"/>
        </w:rPr>
      </w:pPr>
    </w:p>
    <w:p w:rsidR="00DE463B" w:rsidRPr="005F3E57" w:rsidRDefault="00761F16" w:rsidP="005F3E57">
      <w:pPr>
        <w:pStyle w:val="ListParagraph"/>
        <w:numPr>
          <w:ilvl w:val="1"/>
          <w:numId w:val="1"/>
        </w:numPr>
        <w:ind w:left="720"/>
        <w:jc w:val="both"/>
        <w:rPr>
          <w:rFonts w:ascii="Arial" w:hAnsi="Arial"/>
          <w:sz w:val="22"/>
          <w:szCs w:val="22"/>
        </w:rPr>
      </w:pPr>
      <w:r w:rsidRPr="005F3E57">
        <w:rPr>
          <w:rFonts w:ascii="Arial" w:hAnsi="Arial"/>
          <w:sz w:val="22"/>
          <w:szCs w:val="22"/>
        </w:rPr>
        <w:t>In NHL, r</w:t>
      </w:r>
      <w:r w:rsidR="00DE463B" w:rsidRPr="005F3E57">
        <w:rPr>
          <w:rFonts w:ascii="Arial" w:hAnsi="Arial"/>
          <w:sz w:val="22"/>
          <w:szCs w:val="22"/>
        </w:rPr>
        <w:t>ituximab is TGA indicated for the treatment of patients with:</w:t>
      </w:r>
    </w:p>
    <w:p w:rsidR="00DE463B" w:rsidRPr="00DE463B" w:rsidRDefault="00DE463B" w:rsidP="00AA4989">
      <w:pPr>
        <w:pStyle w:val="ListParagraph"/>
        <w:numPr>
          <w:ilvl w:val="0"/>
          <w:numId w:val="4"/>
        </w:numPr>
        <w:jc w:val="both"/>
        <w:rPr>
          <w:rFonts w:ascii="Arial" w:hAnsi="Arial"/>
          <w:sz w:val="22"/>
          <w:szCs w:val="22"/>
        </w:rPr>
      </w:pPr>
      <w:r w:rsidRPr="00DE463B">
        <w:rPr>
          <w:rFonts w:ascii="Arial" w:hAnsi="Arial"/>
          <w:sz w:val="22"/>
          <w:szCs w:val="22"/>
        </w:rPr>
        <w:t>CD20 positive, previously untreated, Stage III/IV follicular, B-cell non-Hodgkin’s lymphoma,</w:t>
      </w:r>
    </w:p>
    <w:p w:rsidR="00DE463B" w:rsidRPr="00DE463B" w:rsidRDefault="00DE463B" w:rsidP="00AA4989">
      <w:pPr>
        <w:pStyle w:val="ListParagraph"/>
        <w:numPr>
          <w:ilvl w:val="0"/>
          <w:numId w:val="4"/>
        </w:numPr>
        <w:jc w:val="both"/>
        <w:rPr>
          <w:rFonts w:ascii="Arial" w:hAnsi="Arial"/>
          <w:sz w:val="22"/>
          <w:szCs w:val="22"/>
        </w:rPr>
      </w:pPr>
      <w:r w:rsidRPr="00DE463B">
        <w:rPr>
          <w:rFonts w:ascii="Arial" w:hAnsi="Arial"/>
          <w:sz w:val="22"/>
          <w:szCs w:val="22"/>
        </w:rPr>
        <w:t>CD20 positive, relapsed or refractory low grade or follicular, B-cell non-Hodgkin's lymphoma,</w:t>
      </w:r>
    </w:p>
    <w:p w:rsidR="00DE463B" w:rsidRDefault="00DE463B" w:rsidP="00AA4989">
      <w:pPr>
        <w:pStyle w:val="ListParagraph"/>
        <w:numPr>
          <w:ilvl w:val="0"/>
          <w:numId w:val="4"/>
        </w:numPr>
        <w:jc w:val="both"/>
        <w:rPr>
          <w:rFonts w:ascii="Arial" w:hAnsi="Arial"/>
          <w:sz w:val="22"/>
          <w:szCs w:val="22"/>
        </w:rPr>
      </w:pPr>
      <w:r w:rsidRPr="00DE463B">
        <w:rPr>
          <w:rFonts w:ascii="Arial" w:hAnsi="Arial"/>
          <w:sz w:val="22"/>
          <w:szCs w:val="22"/>
        </w:rPr>
        <w:t>CD20 positive, diffuse large B-cell non-Hodgkin’s lymphoma, in combination with chemotherapy.</w:t>
      </w:r>
    </w:p>
    <w:p w:rsidR="00A2593A" w:rsidRDefault="00A2593A" w:rsidP="00A2593A">
      <w:pPr>
        <w:pStyle w:val="ListParagraph"/>
        <w:ind w:left="862"/>
        <w:jc w:val="both"/>
        <w:rPr>
          <w:rFonts w:ascii="Arial" w:hAnsi="Arial"/>
          <w:sz w:val="22"/>
          <w:szCs w:val="22"/>
        </w:rPr>
      </w:pPr>
    </w:p>
    <w:p w:rsidR="001915C4" w:rsidRPr="005F3E57" w:rsidRDefault="001915C4" w:rsidP="005F3E57">
      <w:pPr>
        <w:pStyle w:val="ListParagraph"/>
        <w:numPr>
          <w:ilvl w:val="1"/>
          <w:numId w:val="1"/>
        </w:numPr>
        <w:ind w:left="720"/>
        <w:jc w:val="both"/>
        <w:rPr>
          <w:rFonts w:ascii="Arial" w:hAnsi="Arial"/>
          <w:sz w:val="22"/>
          <w:szCs w:val="22"/>
        </w:rPr>
      </w:pPr>
      <w:r w:rsidRPr="005F3E57">
        <w:rPr>
          <w:rFonts w:ascii="Arial" w:hAnsi="Arial"/>
          <w:sz w:val="22"/>
          <w:szCs w:val="22"/>
        </w:rPr>
        <w:t>The review report considered the comparative eff</w:t>
      </w:r>
      <w:r w:rsidR="005667BC" w:rsidRPr="005F3E57">
        <w:rPr>
          <w:rFonts w:ascii="Arial" w:hAnsi="Arial"/>
          <w:sz w:val="22"/>
          <w:szCs w:val="22"/>
        </w:rPr>
        <w:t>icacy</w:t>
      </w:r>
      <w:r w:rsidRPr="005F3E57">
        <w:rPr>
          <w:rFonts w:ascii="Arial" w:hAnsi="Arial"/>
          <w:sz w:val="22"/>
          <w:szCs w:val="22"/>
        </w:rPr>
        <w:t xml:space="preserve"> of rituximab </w:t>
      </w:r>
      <w:r w:rsidR="00804958" w:rsidRPr="005F3E57">
        <w:rPr>
          <w:rFonts w:ascii="Arial" w:hAnsi="Arial"/>
          <w:sz w:val="22"/>
          <w:szCs w:val="22"/>
        </w:rPr>
        <w:t>maintenance (</w:t>
      </w:r>
      <w:r w:rsidRPr="005F3E57">
        <w:rPr>
          <w:rFonts w:ascii="Arial" w:hAnsi="Arial"/>
          <w:sz w:val="22"/>
          <w:szCs w:val="22"/>
        </w:rPr>
        <w:t>compared to observation</w:t>
      </w:r>
      <w:r w:rsidR="00804958" w:rsidRPr="005F3E57">
        <w:rPr>
          <w:rFonts w:ascii="Arial" w:hAnsi="Arial"/>
          <w:sz w:val="22"/>
          <w:szCs w:val="22"/>
        </w:rPr>
        <w:t>)</w:t>
      </w:r>
      <w:r w:rsidRPr="005F3E57">
        <w:rPr>
          <w:rFonts w:ascii="Arial" w:hAnsi="Arial"/>
          <w:sz w:val="22"/>
          <w:szCs w:val="22"/>
        </w:rPr>
        <w:t xml:space="preserve"> </w:t>
      </w:r>
      <w:r w:rsidR="005667BC" w:rsidRPr="005F3E57">
        <w:rPr>
          <w:rFonts w:ascii="Arial" w:hAnsi="Arial"/>
          <w:sz w:val="22"/>
          <w:szCs w:val="22"/>
        </w:rPr>
        <w:t xml:space="preserve">in patients </w:t>
      </w:r>
      <w:r w:rsidR="00804958" w:rsidRPr="005F3E57">
        <w:rPr>
          <w:rFonts w:ascii="Arial" w:hAnsi="Arial"/>
          <w:sz w:val="22"/>
          <w:szCs w:val="22"/>
        </w:rPr>
        <w:t>who have responded to induction treatment in each of th</w:t>
      </w:r>
      <w:r w:rsidR="005667BC" w:rsidRPr="005F3E57">
        <w:rPr>
          <w:rFonts w:ascii="Arial" w:hAnsi="Arial"/>
          <w:sz w:val="22"/>
          <w:szCs w:val="22"/>
        </w:rPr>
        <w:t>e</w:t>
      </w:r>
      <w:r w:rsidR="006468B9" w:rsidRPr="005F3E57">
        <w:rPr>
          <w:rFonts w:ascii="Arial" w:hAnsi="Arial"/>
          <w:sz w:val="22"/>
          <w:szCs w:val="22"/>
        </w:rPr>
        <w:t xml:space="preserve"> </w:t>
      </w:r>
      <w:r w:rsidR="005667BC" w:rsidRPr="005F3E57">
        <w:rPr>
          <w:rFonts w:ascii="Arial" w:hAnsi="Arial"/>
          <w:sz w:val="22"/>
          <w:szCs w:val="22"/>
        </w:rPr>
        <w:t>three</w:t>
      </w:r>
      <w:r w:rsidR="00804958" w:rsidRPr="005F3E57">
        <w:rPr>
          <w:rFonts w:ascii="Arial" w:hAnsi="Arial"/>
          <w:sz w:val="22"/>
          <w:szCs w:val="22"/>
        </w:rPr>
        <w:t xml:space="preserve"> </w:t>
      </w:r>
      <w:r w:rsidR="006468B9" w:rsidRPr="005F3E57">
        <w:rPr>
          <w:rFonts w:ascii="Arial" w:hAnsi="Arial"/>
          <w:sz w:val="22"/>
          <w:szCs w:val="22"/>
        </w:rPr>
        <w:t xml:space="preserve">above-mentioned </w:t>
      </w:r>
      <w:r w:rsidR="005667BC" w:rsidRPr="005F3E57">
        <w:rPr>
          <w:rFonts w:ascii="Arial" w:hAnsi="Arial"/>
          <w:sz w:val="22"/>
          <w:szCs w:val="22"/>
        </w:rPr>
        <w:t>conditions</w:t>
      </w:r>
      <w:r w:rsidR="00804958" w:rsidRPr="005F3E57">
        <w:rPr>
          <w:rFonts w:ascii="Arial" w:hAnsi="Arial"/>
          <w:sz w:val="22"/>
          <w:szCs w:val="22"/>
        </w:rPr>
        <w:t xml:space="preserve">. </w:t>
      </w:r>
      <w:r w:rsidR="0044280B" w:rsidRPr="005F3E57">
        <w:rPr>
          <w:rFonts w:ascii="Arial" w:hAnsi="Arial"/>
          <w:sz w:val="22"/>
          <w:szCs w:val="22"/>
        </w:rPr>
        <w:t>T</w:t>
      </w:r>
      <w:r w:rsidR="00F41275" w:rsidRPr="005F3E57">
        <w:rPr>
          <w:rFonts w:ascii="Arial" w:hAnsi="Arial"/>
          <w:sz w:val="22"/>
          <w:szCs w:val="22"/>
        </w:rPr>
        <w:t xml:space="preserve">he March 2014 PBAC meeting </w:t>
      </w:r>
      <w:r w:rsidR="0044280B" w:rsidRPr="005F3E57">
        <w:rPr>
          <w:rFonts w:ascii="Arial" w:hAnsi="Arial"/>
          <w:sz w:val="22"/>
          <w:szCs w:val="22"/>
        </w:rPr>
        <w:t>accepted</w:t>
      </w:r>
      <w:r w:rsidR="00F41275" w:rsidRPr="005F3E57">
        <w:rPr>
          <w:rFonts w:ascii="Arial" w:hAnsi="Arial"/>
          <w:sz w:val="22"/>
          <w:szCs w:val="22"/>
        </w:rPr>
        <w:t xml:space="preserve"> that rituximab maintenance therapy in FL provides</w:t>
      </w:r>
      <w:r w:rsidR="00540D65" w:rsidRPr="005F3E57">
        <w:rPr>
          <w:rFonts w:ascii="Arial" w:hAnsi="Arial"/>
          <w:sz w:val="22"/>
          <w:szCs w:val="22"/>
        </w:rPr>
        <w:t xml:space="preserve"> superior comparative effectiveness </w:t>
      </w:r>
      <w:r w:rsidR="00F41275" w:rsidRPr="005F3E57">
        <w:rPr>
          <w:rFonts w:ascii="Arial" w:hAnsi="Arial"/>
          <w:sz w:val="22"/>
          <w:szCs w:val="22"/>
        </w:rPr>
        <w:t>over observation</w:t>
      </w:r>
      <w:r w:rsidR="006468B9" w:rsidRPr="005F3E57">
        <w:rPr>
          <w:rFonts w:ascii="Arial" w:hAnsi="Arial"/>
          <w:sz w:val="22"/>
          <w:szCs w:val="22"/>
        </w:rPr>
        <w:t xml:space="preserve"> in both the previously untreated and relapsed/refractory settings</w:t>
      </w:r>
      <w:r w:rsidR="0044280B" w:rsidRPr="005F3E57">
        <w:rPr>
          <w:rFonts w:ascii="Arial" w:hAnsi="Arial"/>
          <w:sz w:val="22"/>
          <w:szCs w:val="22"/>
        </w:rPr>
        <w:t>. However</w:t>
      </w:r>
      <w:r w:rsidR="00540D65" w:rsidRPr="005F3E57">
        <w:rPr>
          <w:rFonts w:ascii="Arial" w:hAnsi="Arial"/>
          <w:sz w:val="22"/>
          <w:szCs w:val="22"/>
        </w:rPr>
        <w:t>,</w:t>
      </w:r>
      <w:r w:rsidR="00F41275" w:rsidRPr="005F3E57">
        <w:rPr>
          <w:rFonts w:ascii="Arial" w:hAnsi="Arial"/>
          <w:sz w:val="22"/>
          <w:szCs w:val="22"/>
        </w:rPr>
        <w:t xml:space="preserve"> f</w:t>
      </w:r>
      <w:r w:rsidR="00804958" w:rsidRPr="005F3E57">
        <w:rPr>
          <w:rFonts w:ascii="Arial" w:hAnsi="Arial"/>
          <w:sz w:val="22"/>
          <w:szCs w:val="22"/>
        </w:rPr>
        <w:t xml:space="preserve">or the latter condition, diffuse large B-cell </w:t>
      </w:r>
      <w:r w:rsidR="0090123A" w:rsidRPr="005F3E57">
        <w:rPr>
          <w:rFonts w:ascii="Arial" w:hAnsi="Arial"/>
          <w:sz w:val="22"/>
          <w:szCs w:val="22"/>
        </w:rPr>
        <w:t>NHL</w:t>
      </w:r>
      <w:r w:rsidR="00804958" w:rsidRPr="005F3E57">
        <w:rPr>
          <w:rFonts w:ascii="Arial" w:hAnsi="Arial"/>
          <w:sz w:val="22"/>
          <w:szCs w:val="22"/>
        </w:rPr>
        <w:t xml:space="preserve">, the </w:t>
      </w:r>
      <w:r w:rsidR="00A2593A" w:rsidRPr="005F3E57">
        <w:rPr>
          <w:rFonts w:ascii="Arial" w:hAnsi="Arial"/>
          <w:sz w:val="22"/>
          <w:szCs w:val="22"/>
        </w:rPr>
        <w:t xml:space="preserve">March 2014 </w:t>
      </w:r>
      <w:r w:rsidR="00804958" w:rsidRPr="005F3E57">
        <w:rPr>
          <w:rFonts w:ascii="Arial" w:hAnsi="Arial"/>
          <w:sz w:val="22"/>
          <w:szCs w:val="22"/>
        </w:rPr>
        <w:t>PBAC concluded that rituximab maintenance is associated with harms, while no benefits accrued in Australian practice where rituximab induction therapy is standard.</w:t>
      </w:r>
    </w:p>
    <w:p w:rsidR="003B0077" w:rsidRDefault="003B0077" w:rsidP="00E65D68">
      <w:pPr>
        <w:pStyle w:val="ListParagraph"/>
        <w:autoSpaceDE w:val="0"/>
        <w:autoSpaceDN w:val="0"/>
        <w:adjustRightInd w:val="0"/>
        <w:jc w:val="both"/>
        <w:rPr>
          <w:rFonts w:ascii="Arial" w:hAnsi="Arial"/>
          <w:sz w:val="22"/>
          <w:szCs w:val="22"/>
        </w:rPr>
      </w:pPr>
    </w:p>
    <w:p w:rsidR="005F3E57" w:rsidRPr="00407F2D" w:rsidRDefault="005F3E57" w:rsidP="005F3E57">
      <w:pPr>
        <w:pStyle w:val="ListParagraph"/>
        <w:numPr>
          <w:ilvl w:val="0"/>
          <w:numId w:val="1"/>
        </w:numPr>
        <w:jc w:val="both"/>
        <w:rPr>
          <w:rFonts w:ascii="Arial" w:hAnsi="Arial"/>
          <w:b/>
          <w:sz w:val="22"/>
          <w:szCs w:val="22"/>
        </w:rPr>
      </w:pPr>
      <w:r w:rsidRPr="00407F2D">
        <w:rPr>
          <w:rFonts w:ascii="Arial" w:hAnsi="Arial"/>
          <w:b/>
          <w:sz w:val="22"/>
          <w:szCs w:val="22"/>
        </w:rPr>
        <w:t>Clinical place for the proposed therapy</w:t>
      </w:r>
    </w:p>
    <w:p w:rsidR="00CE10C4" w:rsidRPr="004A13DB" w:rsidRDefault="008E3680" w:rsidP="005F3E57">
      <w:pPr>
        <w:rPr>
          <w:rFonts w:cs="Arial"/>
          <w:color w:val="000000"/>
        </w:rPr>
      </w:pPr>
      <w:r w:rsidRPr="00882085">
        <w:t xml:space="preserve"> </w:t>
      </w:r>
    </w:p>
    <w:p w:rsidR="004A13DB" w:rsidRPr="005F3E57" w:rsidRDefault="004A13DB" w:rsidP="005F3E57">
      <w:pPr>
        <w:pStyle w:val="ListParagraph"/>
        <w:numPr>
          <w:ilvl w:val="1"/>
          <w:numId w:val="1"/>
        </w:numPr>
        <w:ind w:left="720"/>
        <w:jc w:val="both"/>
        <w:rPr>
          <w:rFonts w:ascii="Arial" w:hAnsi="Arial"/>
          <w:sz w:val="22"/>
          <w:szCs w:val="22"/>
        </w:rPr>
      </w:pPr>
      <w:r w:rsidRPr="005F3E57">
        <w:rPr>
          <w:rFonts w:ascii="Arial" w:hAnsi="Arial" w:cs="Arial"/>
          <w:color w:val="000000"/>
          <w:sz w:val="22"/>
          <w:szCs w:val="22"/>
        </w:rPr>
        <w:t xml:space="preserve">The proposed place is therapy is unchanged from the March 2014 consideration:  maintenance therapy following a partial or complete response to induction treatment for CD20 positive, Stage III or IV, follicular B-cell </w:t>
      </w:r>
      <w:r w:rsidR="0047301E" w:rsidRPr="005F3E57">
        <w:rPr>
          <w:rFonts w:ascii="Arial" w:hAnsi="Arial" w:cs="Arial"/>
          <w:color w:val="000000"/>
          <w:sz w:val="22"/>
          <w:szCs w:val="22"/>
        </w:rPr>
        <w:t>NHL</w:t>
      </w:r>
      <w:r w:rsidRPr="005F3E57">
        <w:rPr>
          <w:rFonts w:ascii="Arial" w:hAnsi="Arial" w:cs="Arial"/>
          <w:color w:val="000000"/>
          <w:sz w:val="22"/>
          <w:szCs w:val="22"/>
        </w:rPr>
        <w:t>. Listing is requested following a patient</w:t>
      </w:r>
      <w:r w:rsidR="004248C8" w:rsidRPr="005F3E57">
        <w:rPr>
          <w:rFonts w:ascii="Arial" w:hAnsi="Arial" w:cs="Arial"/>
          <w:color w:val="000000"/>
          <w:sz w:val="22"/>
          <w:szCs w:val="22"/>
        </w:rPr>
        <w:t>’</w:t>
      </w:r>
      <w:r w:rsidRPr="005F3E57">
        <w:rPr>
          <w:rFonts w:ascii="Arial" w:hAnsi="Arial" w:cs="Arial"/>
          <w:color w:val="000000"/>
          <w:sz w:val="22"/>
          <w:szCs w:val="22"/>
        </w:rPr>
        <w:t xml:space="preserve">s first induction (‘previously untreated patients’) and following subsequent inductions (‘relapsed or refractory patients’).  </w:t>
      </w:r>
    </w:p>
    <w:p w:rsidR="006A12A5" w:rsidRDefault="006A12A5" w:rsidP="0090123A">
      <w:pPr>
        <w:pStyle w:val="Header"/>
        <w:tabs>
          <w:tab w:val="clear" w:pos="4153"/>
          <w:tab w:val="clear" w:pos="8306"/>
        </w:tabs>
        <w:ind w:hanging="862"/>
        <w:jc w:val="both"/>
        <w:rPr>
          <w:rFonts w:ascii="Arial" w:hAnsi="Arial"/>
          <w:sz w:val="22"/>
          <w:szCs w:val="22"/>
        </w:rPr>
      </w:pPr>
    </w:p>
    <w:p w:rsidR="005F3E57" w:rsidRPr="00407F2D" w:rsidRDefault="005F3E57" w:rsidP="005F3E57">
      <w:pPr>
        <w:pStyle w:val="Header"/>
        <w:numPr>
          <w:ilvl w:val="0"/>
          <w:numId w:val="1"/>
        </w:numPr>
        <w:tabs>
          <w:tab w:val="clear" w:pos="4153"/>
          <w:tab w:val="clear" w:pos="8306"/>
        </w:tabs>
        <w:jc w:val="both"/>
        <w:rPr>
          <w:rFonts w:ascii="Arial" w:hAnsi="Arial"/>
          <w:b/>
          <w:sz w:val="22"/>
          <w:szCs w:val="22"/>
        </w:rPr>
      </w:pPr>
      <w:r w:rsidRPr="00407F2D">
        <w:rPr>
          <w:rFonts w:ascii="Arial" w:hAnsi="Arial"/>
          <w:b/>
          <w:sz w:val="22"/>
          <w:szCs w:val="22"/>
        </w:rPr>
        <w:t>Comparator</w:t>
      </w:r>
    </w:p>
    <w:p w:rsidR="005A3173" w:rsidRPr="00882085" w:rsidRDefault="005A3173" w:rsidP="0090123A">
      <w:pPr>
        <w:pStyle w:val="Header"/>
        <w:tabs>
          <w:tab w:val="clear" w:pos="4153"/>
          <w:tab w:val="clear" w:pos="8306"/>
        </w:tabs>
        <w:ind w:hanging="862"/>
        <w:jc w:val="both"/>
        <w:rPr>
          <w:rFonts w:ascii="Arial" w:hAnsi="Arial"/>
          <w:b/>
          <w:sz w:val="22"/>
          <w:szCs w:val="22"/>
        </w:rPr>
      </w:pPr>
    </w:p>
    <w:p w:rsidR="00B03D8E" w:rsidRPr="005F3E57" w:rsidRDefault="00CD0EF3" w:rsidP="005F3E57">
      <w:pPr>
        <w:pStyle w:val="ListParagraph"/>
        <w:numPr>
          <w:ilvl w:val="1"/>
          <w:numId w:val="1"/>
        </w:numPr>
        <w:ind w:left="720"/>
        <w:jc w:val="both"/>
        <w:rPr>
          <w:rFonts w:ascii="Arial" w:hAnsi="Arial"/>
          <w:sz w:val="22"/>
          <w:szCs w:val="22"/>
        </w:rPr>
      </w:pPr>
      <w:r w:rsidRPr="005F3E57">
        <w:rPr>
          <w:rFonts w:ascii="Arial" w:hAnsi="Arial"/>
          <w:sz w:val="22"/>
          <w:szCs w:val="22"/>
        </w:rPr>
        <w:t>Ob</w:t>
      </w:r>
      <w:r w:rsidR="00B03D8E" w:rsidRPr="005F3E57">
        <w:rPr>
          <w:rFonts w:ascii="Arial" w:hAnsi="Arial"/>
          <w:sz w:val="22"/>
          <w:szCs w:val="22"/>
        </w:rPr>
        <w:t>servation had previously been accepted by the PBAC as the appropriate comparator and this had remained unchanged in the minor submission.</w:t>
      </w:r>
    </w:p>
    <w:p w:rsidR="00BB7EC3" w:rsidRDefault="00BB7EC3" w:rsidP="0090123A">
      <w:pPr>
        <w:pStyle w:val="ListParagraph"/>
        <w:ind w:hanging="862"/>
        <w:jc w:val="both"/>
        <w:rPr>
          <w:rFonts w:ascii="Arial" w:hAnsi="Arial"/>
          <w:sz w:val="22"/>
          <w:szCs w:val="22"/>
        </w:rPr>
      </w:pPr>
    </w:p>
    <w:p w:rsidR="005F3E57" w:rsidRPr="00407F2D" w:rsidRDefault="005F3E57" w:rsidP="005F3E57">
      <w:pPr>
        <w:pStyle w:val="Header"/>
        <w:numPr>
          <w:ilvl w:val="0"/>
          <w:numId w:val="1"/>
        </w:numPr>
        <w:tabs>
          <w:tab w:val="clear" w:pos="4153"/>
          <w:tab w:val="clear" w:pos="8306"/>
        </w:tabs>
        <w:jc w:val="both"/>
        <w:rPr>
          <w:rFonts w:ascii="Arial" w:hAnsi="Arial"/>
          <w:b/>
          <w:sz w:val="22"/>
          <w:szCs w:val="22"/>
        </w:rPr>
      </w:pPr>
      <w:r>
        <w:rPr>
          <w:rFonts w:ascii="Arial" w:hAnsi="Arial"/>
          <w:b/>
          <w:sz w:val="22"/>
          <w:szCs w:val="22"/>
        </w:rPr>
        <w:t>C</w:t>
      </w:r>
      <w:r w:rsidRPr="00407F2D">
        <w:rPr>
          <w:rFonts w:ascii="Arial" w:hAnsi="Arial"/>
          <w:b/>
          <w:sz w:val="22"/>
          <w:szCs w:val="22"/>
        </w:rPr>
        <w:t>onsideration of the evidence</w:t>
      </w:r>
    </w:p>
    <w:p w:rsidR="006A12A5" w:rsidRDefault="006A12A5" w:rsidP="0090123A">
      <w:pPr>
        <w:ind w:hanging="862"/>
        <w:jc w:val="both"/>
        <w:rPr>
          <w:rFonts w:ascii="Arial" w:hAnsi="Arial"/>
          <w:b/>
          <w:sz w:val="22"/>
          <w:szCs w:val="22"/>
        </w:rPr>
      </w:pPr>
    </w:p>
    <w:p w:rsidR="00D627BC" w:rsidRPr="00BB7EC3" w:rsidRDefault="00D627BC" w:rsidP="005F3E57">
      <w:pPr>
        <w:jc w:val="both"/>
        <w:rPr>
          <w:rFonts w:ascii="Arial" w:hAnsi="Arial"/>
          <w:b/>
          <w:i/>
          <w:sz w:val="22"/>
          <w:szCs w:val="22"/>
        </w:rPr>
      </w:pPr>
      <w:r w:rsidRPr="00BB7EC3">
        <w:rPr>
          <w:rFonts w:ascii="Arial" w:hAnsi="Arial"/>
          <w:b/>
          <w:i/>
          <w:sz w:val="22"/>
          <w:szCs w:val="22"/>
        </w:rPr>
        <w:t>Sponsor hearing</w:t>
      </w:r>
    </w:p>
    <w:p w:rsidR="00D627BC" w:rsidRPr="00882085" w:rsidRDefault="00D627BC" w:rsidP="0090123A">
      <w:pPr>
        <w:ind w:left="709" w:hanging="862"/>
        <w:jc w:val="both"/>
        <w:rPr>
          <w:rFonts w:ascii="Arial" w:hAnsi="Arial"/>
          <w:b/>
          <w:sz w:val="22"/>
          <w:szCs w:val="22"/>
        </w:rPr>
      </w:pPr>
    </w:p>
    <w:p w:rsidR="00D627BC" w:rsidRDefault="00D627BC" w:rsidP="005F3E57">
      <w:pPr>
        <w:pStyle w:val="ListParagraph"/>
        <w:numPr>
          <w:ilvl w:val="1"/>
          <w:numId w:val="1"/>
        </w:numPr>
        <w:ind w:left="720"/>
        <w:jc w:val="both"/>
        <w:rPr>
          <w:rFonts w:ascii="Arial" w:hAnsi="Arial"/>
          <w:sz w:val="22"/>
          <w:szCs w:val="22"/>
        </w:rPr>
      </w:pPr>
      <w:r w:rsidRPr="005F3E57">
        <w:rPr>
          <w:rFonts w:ascii="Arial" w:hAnsi="Arial"/>
          <w:sz w:val="22"/>
          <w:szCs w:val="22"/>
        </w:rPr>
        <w:t>As a minor submission, there was no hearing for this item.</w:t>
      </w:r>
    </w:p>
    <w:p w:rsidR="005F3E57" w:rsidRDefault="005F3E57" w:rsidP="005F3E57">
      <w:pPr>
        <w:pStyle w:val="ListParagraph"/>
        <w:jc w:val="both"/>
        <w:rPr>
          <w:rFonts w:ascii="Arial" w:hAnsi="Arial"/>
          <w:sz w:val="22"/>
          <w:szCs w:val="22"/>
        </w:rPr>
      </w:pPr>
    </w:p>
    <w:p w:rsidR="005F3E57" w:rsidRPr="00BB7EC3" w:rsidRDefault="005F3E57" w:rsidP="005F3E57">
      <w:pPr>
        <w:jc w:val="both"/>
        <w:rPr>
          <w:rFonts w:ascii="Arial" w:hAnsi="Arial"/>
          <w:b/>
          <w:i/>
          <w:sz w:val="22"/>
          <w:szCs w:val="22"/>
        </w:rPr>
      </w:pPr>
      <w:r w:rsidRPr="00BB7EC3">
        <w:rPr>
          <w:rFonts w:ascii="Arial" w:hAnsi="Arial"/>
          <w:b/>
          <w:i/>
          <w:sz w:val="22"/>
          <w:szCs w:val="22"/>
        </w:rPr>
        <w:t>Consumer comments</w:t>
      </w:r>
    </w:p>
    <w:p w:rsidR="005F3E57" w:rsidRDefault="005F3E57" w:rsidP="005F3E57">
      <w:pPr>
        <w:pStyle w:val="ListParagraph"/>
        <w:ind w:left="709" w:hanging="862"/>
        <w:jc w:val="both"/>
        <w:rPr>
          <w:rFonts w:ascii="Arial" w:hAnsi="Arial"/>
          <w:sz w:val="22"/>
          <w:szCs w:val="22"/>
        </w:rPr>
      </w:pPr>
    </w:p>
    <w:p w:rsidR="005F3E57" w:rsidRPr="005F3E57" w:rsidRDefault="005F3E57"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The PBAC noted and welcomed the input from individuals (3) and organisations (1) via the Consumer Comments facility on the PBS website.  The comments described a range of benefits with rituximab maintenance therapy in FL including that it may help prevent recurrence of the condition and prolong survival, and that consumers cannot afford rituximab unless it is subsidised. </w:t>
      </w:r>
    </w:p>
    <w:p w:rsidR="005F3E57" w:rsidRDefault="005F3E57" w:rsidP="005F3E57">
      <w:pPr>
        <w:pStyle w:val="ListParagraph"/>
        <w:ind w:left="709" w:hanging="862"/>
        <w:jc w:val="both"/>
        <w:rPr>
          <w:rFonts w:ascii="Arial" w:hAnsi="Arial"/>
          <w:sz w:val="22"/>
          <w:szCs w:val="22"/>
        </w:rPr>
      </w:pPr>
    </w:p>
    <w:p w:rsidR="005F3E57" w:rsidRPr="005F3E57" w:rsidRDefault="005F3E57"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The PBAC noted the advice received from Lymphoma Australia that outlined that the use of rituximab maintenance leads to extended remission </w:t>
      </w:r>
      <w:proofErr w:type="gramStart"/>
      <w:r w:rsidRPr="005F3E57">
        <w:rPr>
          <w:rFonts w:ascii="Arial" w:hAnsi="Arial"/>
          <w:sz w:val="22"/>
          <w:szCs w:val="22"/>
        </w:rPr>
        <w:t>periods,</w:t>
      </w:r>
      <w:proofErr w:type="gramEnd"/>
      <w:r w:rsidRPr="005F3E57">
        <w:rPr>
          <w:rFonts w:ascii="Arial" w:hAnsi="Arial"/>
          <w:sz w:val="22"/>
          <w:szCs w:val="22"/>
        </w:rPr>
        <w:t xml:space="preserve"> eliminated or delayed need for more toxic chemotherapy options, improved quality of life, and longer survival times. The PBAC noted that this advice was supportive of the evidence provided in the submission, but did not resolve the PBAC’s concern about the cost-effectiveness of rituximab maintenance in FL. </w:t>
      </w:r>
    </w:p>
    <w:p w:rsidR="005F3E57" w:rsidRPr="005F3E57" w:rsidRDefault="005F3E57" w:rsidP="005F3E57">
      <w:pPr>
        <w:jc w:val="both"/>
        <w:rPr>
          <w:rFonts w:ascii="Arial" w:hAnsi="Arial"/>
          <w:sz w:val="22"/>
          <w:szCs w:val="22"/>
        </w:rPr>
      </w:pPr>
    </w:p>
    <w:p w:rsidR="005F3E57" w:rsidRDefault="00B6773F" w:rsidP="005F3E57">
      <w:pPr>
        <w:keepNext/>
        <w:keepLines/>
        <w:jc w:val="both"/>
        <w:rPr>
          <w:rFonts w:ascii="Arial" w:hAnsi="Arial"/>
          <w:b/>
          <w:i/>
          <w:sz w:val="22"/>
          <w:szCs w:val="22"/>
        </w:rPr>
      </w:pPr>
      <w:r w:rsidRPr="00B6773F">
        <w:rPr>
          <w:rFonts w:ascii="Arial" w:hAnsi="Arial"/>
          <w:b/>
          <w:i/>
          <w:sz w:val="22"/>
          <w:szCs w:val="22"/>
        </w:rPr>
        <w:t>Benefits/harms</w:t>
      </w:r>
    </w:p>
    <w:p w:rsidR="005F3E57" w:rsidRDefault="005F3E57" w:rsidP="005F3E57"/>
    <w:p w:rsidR="00A2593A" w:rsidRPr="005F3E57" w:rsidRDefault="00A2593A"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Information regarding the benefits and harms of </w:t>
      </w:r>
      <w:r w:rsidR="00090D20" w:rsidRPr="005F3E57">
        <w:rPr>
          <w:rFonts w:ascii="Arial" w:hAnsi="Arial"/>
          <w:sz w:val="22"/>
          <w:szCs w:val="22"/>
        </w:rPr>
        <w:t xml:space="preserve">rituximab maintenance therapy in patients with FL </w:t>
      </w:r>
      <w:r w:rsidRPr="005F3E57">
        <w:rPr>
          <w:rFonts w:ascii="Arial" w:hAnsi="Arial"/>
          <w:sz w:val="22"/>
          <w:szCs w:val="22"/>
        </w:rPr>
        <w:t xml:space="preserve">is reproduced below, unchanged, from the March 2014 PBAC Minutes. </w:t>
      </w:r>
      <w:r w:rsidR="00090D20" w:rsidRPr="005F3E57">
        <w:rPr>
          <w:rFonts w:ascii="Arial" w:hAnsi="Arial"/>
          <w:sz w:val="22"/>
          <w:szCs w:val="22"/>
        </w:rPr>
        <w:t>The first table relates to patients with previously untreated FL (first-line maintenance) and the second table relates to patients with relapsed/refractory FL (later-line maintenance).</w:t>
      </w:r>
    </w:p>
    <w:p w:rsidR="00A2593A" w:rsidRDefault="00A2593A" w:rsidP="00090D20">
      <w:pPr>
        <w:pStyle w:val="ListParagraph"/>
        <w:ind w:left="709"/>
        <w:jc w:val="both"/>
        <w:rPr>
          <w:rFonts w:ascii="Arial" w:hAnsi="Arial"/>
          <w:sz w:val="22"/>
          <w:szCs w:val="22"/>
        </w:rPr>
      </w:pPr>
    </w:p>
    <w:p w:rsidR="00A2593A" w:rsidRPr="0006438B" w:rsidRDefault="00A2593A" w:rsidP="00090D20">
      <w:pPr>
        <w:keepNext/>
        <w:keepLines/>
        <w:jc w:val="both"/>
        <w:rPr>
          <w:rFonts w:ascii="Arial Narrow" w:hAnsi="Arial Narrow" w:cs="Arial"/>
          <w:b/>
          <w:bCs/>
          <w:color w:val="000000"/>
          <w:sz w:val="20"/>
          <w:szCs w:val="20"/>
          <w:lang w:eastAsia="en-US"/>
        </w:rPr>
      </w:pPr>
      <w:bookmarkStart w:id="3" w:name="_Toc371573024"/>
      <w:r w:rsidRPr="0006438B">
        <w:rPr>
          <w:rFonts w:ascii="Arial Narrow" w:hAnsi="Arial Narrow" w:cs="Arial"/>
          <w:b/>
          <w:bCs/>
          <w:color w:val="000000"/>
          <w:sz w:val="20"/>
          <w:szCs w:val="20"/>
          <w:lang w:eastAsia="en-US"/>
        </w:rPr>
        <w:t>Benefit/harms summary, ‘previously untreated’ (first-line) follicular lymphoma (</w:t>
      </w:r>
      <w:proofErr w:type="spellStart"/>
      <w:r w:rsidRPr="0006438B">
        <w:rPr>
          <w:rFonts w:ascii="Arial Narrow" w:hAnsi="Arial Narrow" w:cs="Arial"/>
          <w:b/>
          <w:bCs/>
          <w:color w:val="000000"/>
          <w:sz w:val="20"/>
          <w:szCs w:val="20"/>
          <w:lang w:eastAsia="en-US"/>
        </w:rPr>
        <w:t>Salles</w:t>
      </w:r>
      <w:proofErr w:type="spellEnd"/>
      <w:r w:rsidRPr="0006438B">
        <w:rPr>
          <w:rFonts w:ascii="Arial Narrow" w:hAnsi="Arial Narrow" w:cs="Arial"/>
          <w:b/>
          <w:bCs/>
          <w:color w:val="000000"/>
          <w:sz w:val="20"/>
          <w:szCs w:val="20"/>
          <w:lang w:eastAsia="en-US"/>
        </w:rPr>
        <w:t xml:space="preserve"> </w:t>
      </w:r>
      <w:r w:rsidRPr="0006438B">
        <w:rPr>
          <w:rFonts w:ascii="Arial Narrow" w:hAnsi="Arial Narrow" w:cs="Arial"/>
          <w:b/>
          <w:bCs/>
          <w:i/>
          <w:color w:val="000000"/>
          <w:sz w:val="20"/>
          <w:szCs w:val="20"/>
          <w:lang w:eastAsia="en-US"/>
        </w:rPr>
        <w:t>et al</w:t>
      </w:r>
      <w:r w:rsidRPr="0006438B">
        <w:rPr>
          <w:rFonts w:ascii="Arial Narrow" w:hAnsi="Arial Narrow" w:cs="Arial"/>
          <w:b/>
          <w:bCs/>
          <w:color w:val="000000"/>
          <w:sz w:val="20"/>
          <w:szCs w:val="20"/>
          <w:lang w:eastAsia="en-US"/>
        </w:rPr>
        <w:t xml:space="preserve"> 2011 and </w:t>
      </w:r>
      <w:r w:rsidR="00173A48" w:rsidRPr="0006438B">
        <w:rPr>
          <w:rFonts w:ascii="Arial Narrow" w:hAnsi="Arial Narrow" w:cs="Arial"/>
          <w:b/>
          <w:bCs/>
          <w:color w:val="000000"/>
          <w:sz w:val="20"/>
          <w:szCs w:val="20"/>
          <w:lang w:eastAsia="en-US"/>
        </w:rPr>
        <w:t>2013</w:t>
      </w:r>
      <w:r w:rsidRPr="0006438B">
        <w:rPr>
          <w:rFonts w:ascii="Arial Narrow" w:hAnsi="Arial Narrow" w:cs="Arial"/>
          <w:b/>
          <w:bCs/>
          <w:color w:val="000000"/>
          <w:sz w:val="20"/>
          <w:szCs w:val="20"/>
          <w:lang w:eastAsia="en-US"/>
        </w:rPr>
        <w:t>)</w:t>
      </w:r>
    </w:p>
    <w:tbl>
      <w:tblPr>
        <w:tblStyle w:val="TableGrid"/>
        <w:tblW w:w="4908" w:type="pct"/>
        <w:tblInd w:w="108" w:type="dxa"/>
        <w:tblLayout w:type="fixed"/>
        <w:tblCellMar>
          <w:left w:w="57" w:type="dxa"/>
          <w:right w:w="57" w:type="dxa"/>
        </w:tblCellMar>
        <w:tblLook w:val="04A0" w:firstRow="1" w:lastRow="0" w:firstColumn="1" w:lastColumn="0" w:noHBand="0" w:noVBand="1"/>
        <w:tblDescription w:val="Benefit/harms summary, ‘previously untreated’ (first-line) follicular lymphoma"/>
      </w:tblPr>
      <w:tblGrid>
        <w:gridCol w:w="1792"/>
        <w:gridCol w:w="851"/>
        <w:gridCol w:w="2181"/>
        <w:gridCol w:w="1646"/>
        <w:gridCol w:w="1701"/>
        <w:gridCol w:w="801"/>
      </w:tblGrid>
      <w:tr w:rsidR="00A2593A" w:rsidRPr="0006438B" w:rsidTr="00090D20">
        <w:trPr>
          <w:cantSplit/>
          <w:trHeight w:val="20"/>
          <w:tblHeader/>
        </w:trPr>
        <w:tc>
          <w:tcPr>
            <w:tcW w:w="1792" w:type="dxa"/>
            <w:tcBorders>
              <w:top w:val="single" w:sz="4" w:space="0" w:color="auto"/>
              <w:left w:val="single" w:sz="4" w:space="0" w:color="auto"/>
              <w:bottom w:val="single" w:sz="4" w:space="0" w:color="auto"/>
              <w:right w:val="single" w:sz="4" w:space="0" w:color="auto"/>
            </w:tcBorders>
            <w:vAlign w:val="center"/>
            <w:hideMark/>
          </w:tcPr>
          <w:p w:rsidR="00A2593A" w:rsidRPr="0006438B" w:rsidRDefault="00A2593A" w:rsidP="00090D20">
            <w:pPr>
              <w:keepNext/>
              <w:keepLines/>
              <w:widowControl w:val="0"/>
              <w:snapToGrid w:val="0"/>
              <w:rPr>
                <w:rFonts w:ascii="Arial Narrow" w:hAnsi="Arial Narrow" w:cs="Arial"/>
                <w:b/>
                <w:sz w:val="20"/>
                <w:szCs w:val="20"/>
                <w:vertAlign w:val="superscript"/>
              </w:rPr>
            </w:pPr>
            <w:r w:rsidRPr="0006438B">
              <w:rPr>
                <w:rFonts w:ascii="Arial Narrow" w:hAnsi="Arial Narrow" w:cs="Arial"/>
                <w:b/>
                <w:sz w:val="20"/>
                <w:szCs w:val="20"/>
              </w:rPr>
              <w:t>Outcome</w:t>
            </w:r>
          </w:p>
        </w:tc>
        <w:tc>
          <w:tcPr>
            <w:tcW w:w="851" w:type="dxa"/>
            <w:tcBorders>
              <w:top w:val="single" w:sz="4" w:space="0" w:color="auto"/>
              <w:left w:val="single" w:sz="4" w:space="0" w:color="auto"/>
              <w:bottom w:val="single" w:sz="4" w:space="0" w:color="auto"/>
              <w:right w:val="single" w:sz="4" w:space="0" w:color="auto"/>
            </w:tcBorders>
            <w:vAlign w:val="center"/>
            <w:hideMark/>
          </w:tcPr>
          <w:p w:rsidR="00A2593A" w:rsidRPr="0006438B" w:rsidRDefault="00A2593A" w:rsidP="00090D20">
            <w:pPr>
              <w:keepNext/>
              <w:keepLines/>
              <w:widowControl w:val="0"/>
              <w:snapToGrid w:val="0"/>
              <w:jc w:val="center"/>
              <w:rPr>
                <w:rFonts w:ascii="Arial Narrow" w:hAnsi="Arial Narrow" w:cs="Arial"/>
                <w:b/>
                <w:sz w:val="20"/>
                <w:szCs w:val="20"/>
                <w:vertAlign w:val="superscript"/>
              </w:rPr>
            </w:pPr>
            <w:r w:rsidRPr="0006438B">
              <w:rPr>
                <w:rFonts w:ascii="Arial Narrow" w:hAnsi="Arial Narrow" w:cs="Arial"/>
                <w:b/>
                <w:sz w:val="20"/>
                <w:szCs w:val="20"/>
              </w:rPr>
              <w:t xml:space="preserve">N </w:t>
            </w:r>
            <w:proofErr w:type="spellStart"/>
            <w:r w:rsidRPr="0006438B">
              <w:rPr>
                <w:rFonts w:ascii="Arial Narrow" w:hAnsi="Arial Narrow" w:cs="Arial"/>
                <w:b/>
                <w:sz w:val="20"/>
                <w:szCs w:val="20"/>
              </w:rPr>
              <w:t>partici</w:t>
            </w:r>
            <w:proofErr w:type="spellEnd"/>
            <w:r w:rsidRPr="0006438B">
              <w:rPr>
                <w:rFonts w:ascii="Arial Narrow" w:hAnsi="Arial Narrow" w:cs="Arial"/>
                <w:b/>
                <w:sz w:val="20"/>
                <w:szCs w:val="20"/>
              </w:rPr>
              <w:t>-pants</w:t>
            </w:r>
          </w:p>
        </w:tc>
        <w:tc>
          <w:tcPr>
            <w:tcW w:w="2181" w:type="dxa"/>
            <w:tcBorders>
              <w:top w:val="single" w:sz="4" w:space="0" w:color="auto"/>
              <w:left w:val="single" w:sz="4" w:space="0" w:color="auto"/>
              <w:bottom w:val="single" w:sz="4" w:space="0" w:color="auto"/>
              <w:right w:val="single" w:sz="4" w:space="0" w:color="auto"/>
            </w:tcBorders>
            <w:vAlign w:val="center"/>
            <w:hideMark/>
          </w:tcPr>
          <w:p w:rsidR="00A2593A" w:rsidRPr="0006438B" w:rsidRDefault="00A2593A" w:rsidP="00090D20">
            <w:pPr>
              <w:keepNext/>
              <w:keepLines/>
              <w:widowControl w:val="0"/>
              <w:snapToGrid w:val="0"/>
              <w:jc w:val="center"/>
              <w:rPr>
                <w:rFonts w:ascii="Arial Narrow" w:hAnsi="Arial Narrow" w:cs="Arial"/>
                <w:b/>
                <w:sz w:val="20"/>
                <w:szCs w:val="20"/>
                <w:vertAlign w:val="superscript"/>
              </w:rPr>
            </w:pPr>
            <w:r w:rsidRPr="0006438B">
              <w:rPr>
                <w:rFonts w:ascii="Arial Narrow" w:hAnsi="Arial Narrow" w:cs="Arial"/>
                <w:b/>
                <w:sz w:val="20"/>
                <w:szCs w:val="20"/>
              </w:rPr>
              <w:t>Relative effect</w:t>
            </w:r>
            <w:r w:rsidRPr="0006438B">
              <w:rPr>
                <w:rFonts w:ascii="Arial Narrow" w:hAnsi="Arial Narrow" w:cs="Arial"/>
                <w:b/>
                <w:sz w:val="20"/>
                <w:szCs w:val="20"/>
              </w:rPr>
              <w:br/>
              <w:t>(95% CI)</w:t>
            </w:r>
          </w:p>
        </w:tc>
        <w:tc>
          <w:tcPr>
            <w:tcW w:w="1646" w:type="dxa"/>
            <w:tcBorders>
              <w:top w:val="single" w:sz="4" w:space="0" w:color="auto"/>
              <w:left w:val="single" w:sz="4" w:space="0" w:color="auto"/>
              <w:bottom w:val="single" w:sz="4" w:space="0" w:color="auto"/>
              <w:right w:val="single" w:sz="4" w:space="0" w:color="auto"/>
            </w:tcBorders>
            <w:vAlign w:val="center"/>
            <w:hideMark/>
          </w:tcPr>
          <w:p w:rsidR="00A2593A" w:rsidRPr="0006438B" w:rsidRDefault="00A2593A" w:rsidP="00090D20">
            <w:pPr>
              <w:keepNext/>
              <w:keepLines/>
              <w:widowControl w:val="0"/>
              <w:snapToGrid w:val="0"/>
              <w:jc w:val="center"/>
              <w:rPr>
                <w:rFonts w:ascii="Arial Narrow" w:hAnsi="Arial Narrow" w:cs="Arial"/>
                <w:b/>
                <w:sz w:val="20"/>
                <w:szCs w:val="20"/>
                <w:vertAlign w:val="superscript"/>
              </w:rPr>
            </w:pPr>
            <w:proofErr w:type="spellStart"/>
            <w:r w:rsidRPr="0006438B">
              <w:rPr>
                <w:rFonts w:ascii="Arial Narrow" w:hAnsi="Arial Narrow" w:cs="Arial"/>
                <w:b/>
                <w:sz w:val="20"/>
                <w:szCs w:val="20"/>
              </w:rPr>
              <w:t>Obs</w:t>
            </w:r>
            <w:proofErr w:type="spellEnd"/>
            <w:r w:rsidRPr="0006438B">
              <w:rPr>
                <w:rFonts w:ascii="Arial Narrow" w:hAnsi="Arial Narrow" w:cs="Arial"/>
                <w:b/>
                <w:sz w:val="20"/>
                <w:szCs w:val="20"/>
              </w:rPr>
              <w:t xml:space="preserve"> event rate per 100 patients for treatment duration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A2593A" w:rsidRPr="0006438B" w:rsidRDefault="00A2593A" w:rsidP="00090D20">
            <w:pPr>
              <w:keepNext/>
              <w:keepLines/>
              <w:widowControl w:val="0"/>
              <w:snapToGrid w:val="0"/>
              <w:jc w:val="center"/>
              <w:rPr>
                <w:rFonts w:ascii="Arial Narrow" w:hAnsi="Arial Narrow" w:cs="Arial"/>
                <w:b/>
                <w:sz w:val="20"/>
                <w:szCs w:val="20"/>
                <w:vertAlign w:val="superscript"/>
              </w:rPr>
            </w:pPr>
            <w:r w:rsidRPr="0006438B">
              <w:rPr>
                <w:rFonts w:ascii="Arial Narrow" w:hAnsi="Arial Narrow" w:cs="Arial"/>
                <w:b/>
                <w:sz w:val="20"/>
                <w:szCs w:val="20"/>
              </w:rPr>
              <w:t>MR rate per 100 patients for treatment duration</w:t>
            </w:r>
          </w:p>
        </w:tc>
        <w:tc>
          <w:tcPr>
            <w:tcW w:w="801" w:type="dxa"/>
            <w:tcBorders>
              <w:top w:val="single" w:sz="4" w:space="0" w:color="auto"/>
              <w:left w:val="single" w:sz="4" w:space="0" w:color="auto"/>
              <w:bottom w:val="single" w:sz="4" w:space="0" w:color="auto"/>
              <w:right w:val="single" w:sz="4" w:space="0" w:color="auto"/>
            </w:tcBorders>
            <w:vAlign w:val="center"/>
            <w:hideMark/>
          </w:tcPr>
          <w:p w:rsidR="00A2593A" w:rsidRPr="0006438B" w:rsidRDefault="00A2593A" w:rsidP="00090D20">
            <w:pPr>
              <w:keepNext/>
              <w:keepLines/>
              <w:widowControl w:val="0"/>
              <w:snapToGrid w:val="0"/>
              <w:jc w:val="center"/>
              <w:rPr>
                <w:rFonts w:ascii="Arial Narrow" w:hAnsi="Arial Narrow" w:cs="Arial"/>
                <w:b/>
                <w:sz w:val="20"/>
                <w:szCs w:val="20"/>
              </w:rPr>
            </w:pPr>
            <w:proofErr w:type="spellStart"/>
            <w:r w:rsidRPr="0006438B">
              <w:rPr>
                <w:rFonts w:ascii="Arial Narrow" w:hAnsi="Arial Narrow" w:cs="Arial"/>
                <w:b/>
                <w:sz w:val="20"/>
                <w:szCs w:val="20"/>
              </w:rPr>
              <w:t>Incre</w:t>
            </w:r>
            <w:r w:rsidR="00090D20" w:rsidRPr="0006438B">
              <w:rPr>
                <w:rFonts w:ascii="Arial Narrow" w:hAnsi="Arial Narrow" w:cs="Arial"/>
                <w:b/>
                <w:sz w:val="20"/>
                <w:szCs w:val="20"/>
              </w:rPr>
              <w:t>-</w:t>
            </w:r>
            <w:r w:rsidRPr="0006438B">
              <w:rPr>
                <w:rFonts w:ascii="Arial Narrow" w:hAnsi="Arial Narrow" w:cs="Arial"/>
                <w:b/>
                <w:sz w:val="20"/>
                <w:szCs w:val="20"/>
              </w:rPr>
              <w:t>ment</w:t>
            </w:r>
            <w:proofErr w:type="spellEnd"/>
          </w:p>
        </w:tc>
      </w:tr>
      <w:tr w:rsidR="00A2593A" w:rsidRPr="0006438B" w:rsidTr="00FF1B9D">
        <w:trPr>
          <w:cantSplit/>
          <w:trHeight w:val="20"/>
        </w:trPr>
        <w:tc>
          <w:tcPr>
            <w:tcW w:w="8972" w:type="dxa"/>
            <w:gridSpan w:val="6"/>
            <w:tcBorders>
              <w:top w:val="single" w:sz="4" w:space="0" w:color="auto"/>
              <w:left w:val="single" w:sz="4" w:space="0" w:color="auto"/>
              <w:bottom w:val="single" w:sz="4" w:space="0" w:color="auto"/>
              <w:right w:val="single" w:sz="4" w:space="0" w:color="auto"/>
            </w:tcBorders>
            <w:vAlign w:val="center"/>
            <w:hideMark/>
          </w:tcPr>
          <w:p w:rsidR="00A2593A" w:rsidRPr="0006438B" w:rsidRDefault="00A2593A" w:rsidP="00090D20">
            <w:pPr>
              <w:keepNext/>
              <w:keepLines/>
              <w:widowControl w:val="0"/>
              <w:snapToGrid w:val="0"/>
              <w:rPr>
                <w:rFonts w:ascii="Arial Narrow" w:hAnsi="Arial Narrow" w:cs="Arial"/>
                <w:b/>
                <w:sz w:val="20"/>
                <w:szCs w:val="20"/>
              </w:rPr>
            </w:pPr>
            <w:r w:rsidRPr="0006438B">
              <w:rPr>
                <w:rFonts w:ascii="Arial Narrow" w:hAnsi="Arial Narrow" w:cs="Arial"/>
                <w:b/>
                <w:sz w:val="20"/>
                <w:szCs w:val="20"/>
              </w:rPr>
              <w:t>Benefits</w:t>
            </w:r>
          </w:p>
        </w:tc>
      </w:tr>
      <w:tr w:rsidR="00A2593A" w:rsidRPr="0006438B" w:rsidTr="00FF1B9D">
        <w:trPr>
          <w:cantSplit/>
          <w:trHeight w:val="20"/>
        </w:trPr>
        <w:tc>
          <w:tcPr>
            <w:tcW w:w="8972" w:type="dxa"/>
            <w:gridSpan w:val="6"/>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rPr>
                <w:rFonts w:ascii="Arial Narrow" w:hAnsi="Arial Narrow" w:cs="Arial"/>
                <w:sz w:val="20"/>
                <w:szCs w:val="20"/>
              </w:rPr>
            </w:pPr>
            <w:r w:rsidRPr="0006438B">
              <w:rPr>
                <w:rFonts w:ascii="Arial Narrow" w:hAnsi="Arial Narrow" w:cs="Arial"/>
                <w:sz w:val="20"/>
                <w:szCs w:val="20"/>
              </w:rPr>
              <w:t>P</w:t>
            </w:r>
            <w:r w:rsidR="00090D20" w:rsidRPr="0006438B">
              <w:rPr>
                <w:rFonts w:ascii="Arial Narrow" w:hAnsi="Arial Narrow" w:cs="Arial"/>
                <w:sz w:val="20"/>
                <w:szCs w:val="20"/>
              </w:rPr>
              <w:t xml:space="preserve">rogression </w:t>
            </w:r>
            <w:r w:rsidRPr="0006438B">
              <w:rPr>
                <w:rFonts w:ascii="Arial Narrow" w:hAnsi="Arial Narrow" w:cs="Arial"/>
                <w:sz w:val="20"/>
                <w:szCs w:val="20"/>
              </w:rPr>
              <w:t>F</w:t>
            </w:r>
            <w:r w:rsidR="00090D20" w:rsidRPr="0006438B">
              <w:rPr>
                <w:rFonts w:ascii="Arial Narrow" w:hAnsi="Arial Narrow" w:cs="Arial"/>
                <w:sz w:val="20"/>
                <w:szCs w:val="20"/>
              </w:rPr>
              <w:t xml:space="preserve">ree </w:t>
            </w:r>
            <w:r w:rsidRPr="0006438B">
              <w:rPr>
                <w:rFonts w:ascii="Arial Narrow" w:hAnsi="Arial Narrow" w:cs="Arial"/>
                <w:sz w:val="20"/>
                <w:szCs w:val="20"/>
              </w:rPr>
              <w:t>S</w:t>
            </w:r>
            <w:r w:rsidR="00090D20" w:rsidRPr="0006438B">
              <w:rPr>
                <w:rFonts w:ascii="Arial Narrow" w:hAnsi="Arial Narrow" w:cs="Arial"/>
                <w:sz w:val="20"/>
                <w:szCs w:val="20"/>
              </w:rPr>
              <w:t>urvival (PFS)</w:t>
            </w:r>
          </w:p>
        </w:tc>
      </w:tr>
      <w:tr w:rsidR="00A2593A" w:rsidRPr="0006438B" w:rsidTr="00090D20">
        <w:trPr>
          <w:cantSplit/>
          <w:trHeight w:val="20"/>
        </w:trPr>
        <w:tc>
          <w:tcPr>
            <w:tcW w:w="1792" w:type="dxa"/>
            <w:tcBorders>
              <w:top w:val="single" w:sz="4" w:space="0" w:color="auto"/>
              <w:left w:val="single" w:sz="4" w:space="0" w:color="auto"/>
              <w:bottom w:val="single" w:sz="4" w:space="0" w:color="auto"/>
              <w:right w:val="single" w:sz="4" w:space="0" w:color="auto"/>
            </w:tcBorders>
            <w:vAlign w:val="center"/>
            <w:hideMark/>
          </w:tcPr>
          <w:p w:rsidR="00A2593A" w:rsidRPr="0006438B" w:rsidRDefault="00A2593A" w:rsidP="00090D20">
            <w:pPr>
              <w:keepNext/>
              <w:keepLines/>
              <w:ind w:firstLine="176"/>
              <w:rPr>
                <w:rFonts w:ascii="Arial Narrow" w:hAnsi="Arial Narrow" w:cs="Arial"/>
                <w:sz w:val="20"/>
                <w:szCs w:val="20"/>
              </w:rPr>
            </w:pPr>
            <w:r w:rsidRPr="0006438B">
              <w:rPr>
                <w:rFonts w:ascii="Arial Narrow" w:hAnsi="Arial Narrow" w:cs="Arial"/>
                <w:sz w:val="20"/>
                <w:szCs w:val="20"/>
              </w:rPr>
              <w:t xml:space="preserve">36 months </w:t>
            </w:r>
          </w:p>
        </w:tc>
        <w:tc>
          <w:tcPr>
            <w:tcW w:w="851" w:type="dxa"/>
            <w:vMerge w:val="restart"/>
            <w:tcBorders>
              <w:top w:val="single" w:sz="4" w:space="0" w:color="auto"/>
              <w:left w:val="single" w:sz="4" w:space="0" w:color="auto"/>
              <w:right w:val="single" w:sz="4" w:space="0" w:color="auto"/>
            </w:tcBorders>
            <w:vAlign w:val="center"/>
            <w:hideMark/>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1,018</w:t>
            </w:r>
          </w:p>
        </w:tc>
        <w:tc>
          <w:tcPr>
            <w:tcW w:w="2181" w:type="dxa"/>
            <w:tcBorders>
              <w:top w:val="single" w:sz="4" w:space="0" w:color="auto"/>
              <w:left w:val="single" w:sz="4" w:space="0" w:color="auto"/>
              <w:bottom w:val="single" w:sz="4" w:space="0" w:color="auto"/>
              <w:right w:val="single" w:sz="4" w:space="0" w:color="auto"/>
            </w:tcBorders>
            <w:vAlign w:val="center"/>
            <w:hideMark/>
          </w:tcPr>
          <w:p w:rsidR="00A2593A" w:rsidRPr="0006438B" w:rsidRDefault="00A2593A" w:rsidP="00090D20">
            <w:pPr>
              <w:keepNext/>
              <w:keepLines/>
              <w:widowControl w:val="0"/>
              <w:snapToGrid w:val="0"/>
              <w:jc w:val="center"/>
              <w:rPr>
                <w:rFonts w:ascii="Arial Narrow" w:hAnsi="Arial Narrow" w:cs="Arial"/>
                <w:b/>
                <w:sz w:val="20"/>
                <w:szCs w:val="20"/>
              </w:rPr>
            </w:pPr>
            <w:r w:rsidRPr="0006438B">
              <w:rPr>
                <w:rFonts w:ascii="Arial Narrow" w:hAnsi="Arial Narrow" w:cs="Arial"/>
                <w:b/>
                <w:sz w:val="20"/>
                <w:szCs w:val="20"/>
              </w:rPr>
              <w:t>HR: 0.55 (0.44, 0.68)</w:t>
            </w:r>
          </w:p>
        </w:tc>
        <w:tc>
          <w:tcPr>
            <w:tcW w:w="1646"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3353BA">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43.1</w:t>
            </w:r>
            <w:r w:rsidR="003353BA">
              <w:rPr>
                <w:rFonts w:ascii="Arial Narrow" w:hAnsi="Arial Narrow"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26.7</w:t>
            </w:r>
          </w:p>
        </w:tc>
        <w:tc>
          <w:tcPr>
            <w:tcW w:w="8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jc w:val="center"/>
              <w:rPr>
                <w:rFonts w:ascii="Arial Narrow" w:hAnsi="Arial Narrow" w:cs="Arial"/>
                <w:b/>
                <w:sz w:val="20"/>
                <w:szCs w:val="20"/>
              </w:rPr>
            </w:pPr>
            <w:r w:rsidRPr="0006438B">
              <w:rPr>
                <w:rFonts w:ascii="Arial Narrow" w:hAnsi="Arial Narrow" w:cs="Arial"/>
                <w:b/>
                <w:sz w:val="20"/>
                <w:szCs w:val="20"/>
              </w:rPr>
              <w:t>-16.3</w:t>
            </w:r>
          </w:p>
        </w:tc>
      </w:tr>
      <w:tr w:rsidR="00A2593A" w:rsidRPr="0006438B" w:rsidTr="00090D20">
        <w:trPr>
          <w:cantSplit/>
          <w:trHeight w:val="20"/>
        </w:trPr>
        <w:tc>
          <w:tcPr>
            <w:tcW w:w="1792" w:type="dxa"/>
            <w:tcBorders>
              <w:top w:val="single" w:sz="4" w:space="0" w:color="auto"/>
              <w:left w:val="single" w:sz="4" w:space="0" w:color="auto"/>
              <w:bottom w:val="single" w:sz="4" w:space="0" w:color="auto"/>
              <w:right w:val="single" w:sz="4" w:space="0" w:color="auto"/>
            </w:tcBorders>
            <w:vAlign w:val="center"/>
            <w:hideMark/>
          </w:tcPr>
          <w:p w:rsidR="00A2593A" w:rsidRPr="0006438B" w:rsidRDefault="00A2593A" w:rsidP="00090D20">
            <w:pPr>
              <w:keepNext/>
              <w:keepLines/>
              <w:ind w:firstLine="176"/>
              <w:rPr>
                <w:rFonts w:ascii="Arial Narrow" w:hAnsi="Arial Narrow" w:cs="Arial"/>
                <w:sz w:val="20"/>
                <w:szCs w:val="20"/>
              </w:rPr>
            </w:pPr>
            <w:r w:rsidRPr="0006438B">
              <w:rPr>
                <w:rFonts w:ascii="Arial Narrow" w:hAnsi="Arial Narrow" w:cs="Arial"/>
                <w:sz w:val="20"/>
                <w:szCs w:val="20"/>
              </w:rPr>
              <w:t xml:space="preserve">48 months </w:t>
            </w:r>
          </w:p>
        </w:tc>
        <w:tc>
          <w:tcPr>
            <w:tcW w:w="851" w:type="dxa"/>
            <w:vMerge/>
            <w:tcBorders>
              <w:left w:val="single" w:sz="4" w:space="0" w:color="auto"/>
              <w:right w:val="single" w:sz="4" w:space="0" w:color="auto"/>
            </w:tcBorders>
            <w:vAlign w:val="center"/>
            <w:hideMark/>
          </w:tcPr>
          <w:p w:rsidR="00A2593A" w:rsidRPr="0006438B" w:rsidRDefault="00A2593A" w:rsidP="00090D20">
            <w:pPr>
              <w:keepNext/>
              <w:keepLines/>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hideMark/>
          </w:tcPr>
          <w:p w:rsidR="00A2593A" w:rsidRPr="0006438B" w:rsidRDefault="00A2593A" w:rsidP="00090D20">
            <w:pPr>
              <w:keepNext/>
              <w:keepLines/>
              <w:widowControl w:val="0"/>
              <w:snapToGrid w:val="0"/>
              <w:jc w:val="center"/>
              <w:rPr>
                <w:rFonts w:ascii="Arial Narrow" w:hAnsi="Arial Narrow" w:cs="Arial"/>
                <w:b/>
                <w:sz w:val="20"/>
                <w:szCs w:val="20"/>
              </w:rPr>
            </w:pPr>
            <w:r w:rsidRPr="0006438B">
              <w:rPr>
                <w:rFonts w:ascii="Arial Narrow" w:hAnsi="Arial Narrow" w:cs="Arial"/>
                <w:b/>
                <w:sz w:val="20"/>
                <w:szCs w:val="20"/>
              </w:rPr>
              <w:t xml:space="preserve">HR: </w:t>
            </w:r>
            <w:r w:rsidR="007D5005">
              <w:rPr>
                <w:rFonts w:ascii="Arial Narrow" w:hAnsi="Arial Narrow" w:cs="Arial"/>
                <w:b/>
                <w:noProof/>
                <w:color w:val="000000"/>
                <w:sz w:val="20"/>
                <w:szCs w:val="20"/>
                <w:highlight w:val="black"/>
              </w:rPr>
              <w:t>'''''''' ''''''''''' ''''''''''</w:t>
            </w:r>
          </w:p>
        </w:tc>
        <w:tc>
          <w:tcPr>
            <w:tcW w:w="1646" w:type="dxa"/>
            <w:tcBorders>
              <w:top w:val="single" w:sz="4" w:space="0" w:color="auto"/>
              <w:left w:val="single" w:sz="4" w:space="0" w:color="auto"/>
              <w:bottom w:val="single" w:sz="4" w:space="0" w:color="auto"/>
              <w:right w:val="single" w:sz="4" w:space="0" w:color="auto"/>
            </w:tcBorders>
            <w:vAlign w:val="center"/>
          </w:tcPr>
          <w:p w:rsidR="00A2593A" w:rsidRPr="007D5005" w:rsidRDefault="007D5005" w:rsidP="00090D20">
            <w:pPr>
              <w:keepNext/>
              <w:keepLines/>
              <w:widowControl w:val="0"/>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A2593A" w:rsidRPr="007D5005" w:rsidRDefault="007D5005" w:rsidP="00090D20">
            <w:pPr>
              <w:keepNext/>
              <w:keepLines/>
              <w:widowControl w:val="0"/>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01" w:type="dxa"/>
            <w:tcBorders>
              <w:top w:val="single" w:sz="4" w:space="0" w:color="auto"/>
              <w:left w:val="single" w:sz="4" w:space="0" w:color="auto"/>
              <w:bottom w:val="single" w:sz="4" w:space="0" w:color="auto"/>
              <w:right w:val="single" w:sz="4" w:space="0" w:color="auto"/>
            </w:tcBorders>
            <w:vAlign w:val="center"/>
          </w:tcPr>
          <w:p w:rsidR="00A2593A" w:rsidRPr="007D5005" w:rsidRDefault="007D5005" w:rsidP="00090D20">
            <w:pPr>
              <w:keepNext/>
              <w:keepLines/>
              <w:jc w:val="center"/>
              <w:rPr>
                <w:rFonts w:ascii="Arial Narrow" w:hAnsi="Arial Narrow" w:cs="Arial"/>
                <w:b/>
                <w:sz w:val="20"/>
                <w:szCs w:val="20"/>
                <w:highlight w:val="black"/>
              </w:rPr>
            </w:pPr>
            <w:r>
              <w:rPr>
                <w:rFonts w:ascii="Arial Narrow" w:hAnsi="Arial Narrow" w:cs="Arial"/>
                <w:b/>
                <w:noProof/>
                <w:color w:val="000000"/>
                <w:sz w:val="20"/>
                <w:szCs w:val="20"/>
                <w:highlight w:val="black"/>
              </w:rPr>
              <w:t>''''''''''</w:t>
            </w:r>
          </w:p>
        </w:tc>
      </w:tr>
      <w:tr w:rsidR="00A2593A" w:rsidRPr="0006438B" w:rsidTr="00090D20">
        <w:trPr>
          <w:cantSplit/>
          <w:trHeight w:val="20"/>
        </w:trPr>
        <w:tc>
          <w:tcPr>
            <w:tcW w:w="1792"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ind w:firstLine="176"/>
              <w:rPr>
                <w:rFonts w:ascii="Arial Narrow" w:hAnsi="Arial Narrow" w:cs="Arial"/>
                <w:sz w:val="20"/>
                <w:szCs w:val="20"/>
              </w:rPr>
            </w:pPr>
            <w:r w:rsidRPr="0006438B">
              <w:rPr>
                <w:rFonts w:ascii="Arial Narrow" w:hAnsi="Arial Narrow" w:cs="Arial"/>
                <w:sz w:val="20"/>
                <w:szCs w:val="20"/>
              </w:rPr>
              <w:t xml:space="preserve">73 months </w:t>
            </w:r>
          </w:p>
        </w:tc>
        <w:tc>
          <w:tcPr>
            <w:tcW w:w="851" w:type="dxa"/>
            <w:vMerge/>
            <w:tcBorders>
              <w:left w:val="single" w:sz="4" w:space="0" w:color="auto"/>
              <w:bottom w:val="single" w:sz="4" w:space="0" w:color="auto"/>
              <w:right w:val="single" w:sz="4" w:space="0" w:color="auto"/>
            </w:tcBorders>
            <w:vAlign w:val="center"/>
          </w:tcPr>
          <w:p w:rsidR="00A2593A" w:rsidRPr="0006438B" w:rsidRDefault="00A2593A" w:rsidP="00090D20">
            <w:pPr>
              <w:keepNext/>
              <w:keepLines/>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3353BA">
            <w:pPr>
              <w:keepNext/>
              <w:keepLines/>
              <w:widowControl w:val="0"/>
              <w:snapToGrid w:val="0"/>
              <w:jc w:val="center"/>
              <w:rPr>
                <w:rFonts w:ascii="Arial Narrow" w:hAnsi="Arial Narrow" w:cs="Arial"/>
                <w:b/>
                <w:sz w:val="20"/>
                <w:szCs w:val="20"/>
              </w:rPr>
            </w:pPr>
            <w:r w:rsidRPr="0006438B">
              <w:rPr>
                <w:rFonts w:ascii="Arial Narrow" w:hAnsi="Arial Narrow" w:cs="Arial"/>
                <w:b/>
                <w:sz w:val="20"/>
                <w:szCs w:val="20"/>
              </w:rPr>
              <w:t>HR: 0.59 (0.48, 0.69)</w:t>
            </w:r>
          </w:p>
        </w:tc>
        <w:tc>
          <w:tcPr>
            <w:tcW w:w="1646"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56.5</w:t>
            </w:r>
          </w:p>
        </w:tc>
        <w:tc>
          <w:tcPr>
            <w:tcW w:w="17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39.0</w:t>
            </w:r>
          </w:p>
        </w:tc>
        <w:tc>
          <w:tcPr>
            <w:tcW w:w="8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jc w:val="center"/>
              <w:rPr>
                <w:rFonts w:ascii="Arial Narrow" w:hAnsi="Arial Narrow" w:cs="Arial"/>
                <w:b/>
                <w:sz w:val="20"/>
                <w:szCs w:val="20"/>
              </w:rPr>
            </w:pPr>
            <w:r w:rsidRPr="0006438B">
              <w:rPr>
                <w:rFonts w:ascii="Arial Narrow" w:hAnsi="Arial Narrow" w:cs="Arial"/>
                <w:b/>
                <w:sz w:val="20"/>
                <w:szCs w:val="20"/>
              </w:rPr>
              <w:t>-17.5</w:t>
            </w:r>
          </w:p>
        </w:tc>
      </w:tr>
      <w:tr w:rsidR="00A2593A" w:rsidRPr="0006438B" w:rsidTr="00FF1B9D">
        <w:trPr>
          <w:cantSplit/>
          <w:trHeight w:val="20"/>
        </w:trPr>
        <w:tc>
          <w:tcPr>
            <w:tcW w:w="8972" w:type="dxa"/>
            <w:gridSpan w:val="6"/>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rPr>
                <w:rFonts w:ascii="Arial Narrow" w:hAnsi="Arial Narrow" w:cs="Arial"/>
                <w:sz w:val="20"/>
                <w:szCs w:val="20"/>
              </w:rPr>
            </w:pPr>
            <w:r w:rsidRPr="0006438B">
              <w:rPr>
                <w:rFonts w:ascii="Arial Narrow" w:hAnsi="Arial Narrow" w:cs="Arial"/>
                <w:sz w:val="20"/>
                <w:szCs w:val="20"/>
              </w:rPr>
              <w:t>Overall survival</w:t>
            </w:r>
            <w:r w:rsidR="00090D20" w:rsidRPr="0006438B">
              <w:rPr>
                <w:rFonts w:ascii="Arial Narrow" w:hAnsi="Arial Narrow" w:cs="Arial"/>
                <w:sz w:val="20"/>
                <w:szCs w:val="20"/>
              </w:rPr>
              <w:t xml:space="preserve"> (OS)</w:t>
            </w:r>
          </w:p>
        </w:tc>
      </w:tr>
      <w:tr w:rsidR="00A2593A" w:rsidRPr="0006438B" w:rsidTr="00090D20">
        <w:trPr>
          <w:cantSplit/>
          <w:trHeight w:val="20"/>
        </w:trPr>
        <w:tc>
          <w:tcPr>
            <w:tcW w:w="1792"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ind w:firstLine="176"/>
              <w:rPr>
                <w:rFonts w:ascii="Arial Narrow" w:hAnsi="Arial Narrow" w:cs="Arial"/>
                <w:sz w:val="20"/>
                <w:szCs w:val="20"/>
              </w:rPr>
            </w:pPr>
            <w:r w:rsidRPr="0006438B">
              <w:rPr>
                <w:rFonts w:ascii="Arial Narrow" w:hAnsi="Arial Narrow" w:cs="Arial"/>
                <w:sz w:val="20"/>
                <w:szCs w:val="20"/>
              </w:rPr>
              <w:t xml:space="preserve">36 months </w:t>
            </w:r>
          </w:p>
        </w:tc>
        <w:tc>
          <w:tcPr>
            <w:tcW w:w="851" w:type="dxa"/>
            <w:vMerge w:val="restart"/>
            <w:tcBorders>
              <w:top w:val="single" w:sz="4" w:space="0" w:color="auto"/>
              <w:left w:val="single" w:sz="4" w:space="0" w:color="auto"/>
              <w:right w:val="single" w:sz="4" w:space="0" w:color="auto"/>
            </w:tcBorders>
            <w:vAlign w:val="center"/>
          </w:tcPr>
          <w:p w:rsidR="00A2593A" w:rsidRPr="0006438B" w:rsidRDefault="00A2593A" w:rsidP="00090D20">
            <w:pPr>
              <w:keepNext/>
              <w:keepLines/>
              <w:jc w:val="center"/>
              <w:rPr>
                <w:rFonts w:ascii="Arial Narrow" w:hAnsi="Arial Narrow" w:cs="Arial"/>
                <w:sz w:val="20"/>
                <w:szCs w:val="20"/>
              </w:rPr>
            </w:pPr>
            <w:r w:rsidRPr="0006438B">
              <w:rPr>
                <w:rFonts w:ascii="Arial Narrow" w:hAnsi="Arial Narrow" w:cs="Arial"/>
                <w:sz w:val="20"/>
                <w:szCs w:val="20"/>
              </w:rPr>
              <w:t>1,018</w:t>
            </w:r>
          </w:p>
        </w:tc>
        <w:tc>
          <w:tcPr>
            <w:tcW w:w="218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HR: 0.87 (0.51, 1.47)</w:t>
            </w:r>
          </w:p>
        </w:tc>
        <w:tc>
          <w:tcPr>
            <w:tcW w:w="1646"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5.8</w:t>
            </w:r>
          </w:p>
        </w:tc>
        <w:tc>
          <w:tcPr>
            <w:tcW w:w="17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5.1</w:t>
            </w:r>
          </w:p>
        </w:tc>
        <w:tc>
          <w:tcPr>
            <w:tcW w:w="8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-0.7</w:t>
            </w:r>
          </w:p>
        </w:tc>
      </w:tr>
      <w:tr w:rsidR="00A2593A" w:rsidRPr="0006438B" w:rsidTr="00090D20">
        <w:trPr>
          <w:cantSplit/>
          <w:trHeight w:val="20"/>
        </w:trPr>
        <w:tc>
          <w:tcPr>
            <w:tcW w:w="1792"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ind w:firstLine="176"/>
              <w:rPr>
                <w:rFonts w:ascii="Arial Narrow" w:hAnsi="Arial Narrow" w:cs="Arial"/>
                <w:sz w:val="20"/>
                <w:szCs w:val="20"/>
              </w:rPr>
            </w:pPr>
            <w:r w:rsidRPr="0006438B">
              <w:rPr>
                <w:rFonts w:ascii="Arial Narrow" w:hAnsi="Arial Narrow" w:cs="Arial"/>
                <w:sz w:val="20"/>
                <w:szCs w:val="20"/>
              </w:rPr>
              <w:t xml:space="preserve">48 months </w:t>
            </w:r>
          </w:p>
        </w:tc>
        <w:tc>
          <w:tcPr>
            <w:tcW w:w="851" w:type="dxa"/>
            <w:vMerge/>
            <w:tcBorders>
              <w:left w:val="single" w:sz="4" w:space="0" w:color="auto"/>
              <w:right w:val="single" w:sz="4" w:space="0" w:color="auto"/>
            </w:tcBorders>
            <w:vAlign w:val="center"/>
          </w:tcPr>
          <w:p w:rsidR="00A2593A" w:rsidRPr="0006438B" w:rsidRDefault="00A2593A" w:rsidP="00090D20">
            <w:pPr>
              <w:keepNext/>
              <w:keepLines/>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 xml:space="preserve">HR: </w:t>
            </w:r>
            <w:r w:rsidR="007D5005">
              <w:rPr>
                <w:rFonts w:ascii="Arial Narrow" w:hAnsi="Arial Narrow" w:cs="Arial"/>
                <w:noProof/>
                <w:color w:val="000000"/>
                <w:sz w:val="20"/>
                <w:szCs w:val="20"/>
                <w:highlight w:val="black"/>
              </w:rPr>
              <w:t>''''''''''' ''''''''''''' ''''''''''''''</w:t>
            </w:r>
          </w:p>
        </w:tc>
        <w:tc>
          <w:tcPr>
            <w:tcW w:w="1646" w:type="dxa"/>
            <w:tcBorders>
              <w:top w:val="single" w:sz="4" w:space="0" w:color="auto"/>
              <w:left w:val="single" w:sz="4" w:space="0" w:color="auto"/>
              <w:bottom w:val="single" w:sz="4" w:space="0" w:color="auto"/>
              <w:right w:val="single" w:sz="4" w:space="0" w:color="auto"/>
            </w:tcBorders>
            <w:vAlign w:val="center"/>
          </w:tcPr>
          <w:p w:rsidR="00A2593A" w:rsidRPr="007D5005" w:rsidRDefault="007D5005" w:rsidP="00090D20">
            <w:pPr>
              <w:keepNext/>
              <w:keepLines/>
              <w:widowControl w:val="0"/>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tcPr>
          <w:p w:rsidR="00A2593A" w:rsidRPr="007D5005" w:rsidRDefault="007D5005" w:rsidP="00090D20">
            <w:pPr>
              <w:keepNext/>
              <w:keepLines/>
              <w:widowControl w:val="0"/>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01" w:type="dxa"/>
            <w:tcBorders>
              <w:top w:val="single" w:sz="4" w:space="0" w:color="auto"/>
              <w:left w:val="single" w:sz="4" w:space="0" w:color="auto"/>
              <w:bottom w:val="single" w:sz="4" w:space="0" w:color="auto"/>
              <w:right w:val="single" w:sz="4" w:space="0" w:color="auto"/>
            </w:tcBorders>
            <w:vAlign w:val="center"/>
          </w:tcPr>
          <w:p w:rsidR="00A2593A" w:rsidRPr="007D5005" w:rsidRDefault="007D5005" w:rsidP="00090D20">
            <w:pPr>
              <w:keepNext/>
              <w:keepLines/>
              <w:widowControl w:val="0"/>
              <w:snapToGrid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2593A" w:rsidRPr="0006438B" w:rsidTr="00090D20">
        <w:trPr>
          <w:cantSplit/>
          <w:trHeight w:val="20"/>
        </w:trPr>
        <w:tc>
          <w:tcPr>
            <w:tcW w:w="1792"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ind w:firstLine="176"/>
              <w:rPr>
                <w:rFonts w:ascii="Arial Narrow" w:hAnsi="Arial Narrow" w:cs="Arial"/>
                <w:sz w:val="20"/>
                <w:szCs w:val="20"/>
              </w:rPr>
            </w:pPr>
            <w:r w:rsidRPr="0006438B">
              <w:rPr>
                <w:rFonts w:ascii="Arial Narrow" w:hAnsi="Arial Narrow" w:cs="Arial"/>
                <w:sz w:val="20"/>
                <w:szCs w:val="20"/>
              </w:rPr>
              <w:t>73 months</w:t>
            </w:r>
          </w:p>
        </w:tc>
        <w:tc>
          <w:tcPr>
            <w:tcW w:w="851" w:type="dxa"/>
            <w:vMerge/>
            <w:tcBorders>
              <w:left w:val="single" w:sz="4" w:space="0" w:color="auto"/>
              <w:bottom w:val="single" w:sz="4" w:space="0" w:color="auto"/>
              <w:right w:val="single" w:sz="4" w:space="0" w:color="auto"/>
            </w:tcBorders>
            <w:vAlign w:val="center"/>
          </w:tcPr>
          <w:p w:rsidR="00A2593A" w:rsidRPr="0006438B" w:rsidRDefault="00A2593A" w:rsidP="00090D20">
            <w:pPr>
              <w:keepNext/>
              <w:keepLines/>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HR: 1.02 (0.71, 1.47)</w:t>
            </w:r>
          </w:p>
        </w:tc>
        <w:tc>
          <w:tcPr>
            <w:tcW w:w="1646"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11.3</w:t>
            </w:r>
          </w:p>
        </w:tc>
        <w:tc>
          <w:tcPr>
            <w:tcW w:w="17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11.7</w:t>
            </w:r>
          </w:p>
        </w:tc>
        <w:tc>
          <w:tcPr>
            <w:tcW w:w="8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0.4</w:t>
            </w:r>
          </w:p>
        </w:tc>
      </w:tr>
      <w:tr w:rsidR="00A2593A" w:rsidRPr="0006438B" w:rsidTr="00FF1B9D">
        <w:trPr>
          <w:cantSplit/>
          <w:trHeight w:val="20"/>
        </w:trPr>
        <w:tc>
          <w:tcPr>
            <w:tcW w:w="8972" w:type="dxa"/>
            <w:gridSpan w:val="6"/>
            <w:tcBorders>
              <w:top w:val="single" w:sz="4" w:space="0" w:color="auto"/>
              <w:left w:val="single" w:sz="4" w:space="0" w:color="auto"/>
              <w:bottom w:val="single" w:sz="4" w:space="0" w:color="auto"/>
              <w:right w:val="single" w:sz="4" w:space="0" w:color="auto"/>
            </w:tcBorders>
            <w:vAlign w:val="center"/>
            <w:hideMark/>
          </w:tcPr>
          <w:p w:rsidR="00A2593A" w:rsidRPr="0006438B" w:rsidRDefault="00A2593A" w:rsidP="00090D20">
            <w:pPr>
              <w:keepNext/>
              <w:keepLines/>
              <w:widowControl w:val="0"/>
              <w:snapToGrid w:val="0"/>
              <w:rPr>
                <w:rFonts w:ascii="Arial Narrow" w:hAnsi="Arial Narrow" w:cs="Arial"/>
                <w:b/>
                <w:sz w:val="20"/>
                <w:szCs w:val="20"/>
                <w:vertAlign w:val="superscript"/>
              </w:rPr>
            </w:pPr>
            <w:r w:rsidRPr="0006438B">
              <w:rPr>
                <w:rFonts w:ascii="Arial Narrow" w:hAnsi="Arial Narrow" w:cs="Arial"/>
                <w:b/>
                <w:sz w:val="20"/>
                <w:szCs w:val="20"/>
              </w:rPr>
              <w:t xml:space="preserve">Harms at 36 months follow-up </w:t>
            </w:r>
            <w:r w:rsidRPr="0006438B">
              <w:rPr>
                <w:rFonts w:ascii="Arial Narrow" w:hAnsi="Arial Narrow" w:cs="Arial"/>
                <w:b/>
                <w:noProof/>
                <w:sz w:val="20"/>
                <w:szCs w:val="20"/>
                <w:vertAlign w:val="superscript"/>
              </w:rPr>
              <w:t>1</w:t>
            </w:r>
          </w:p>
        </w:tc>
      </w:tr>
      <w:tr w:rsidR="00A2593A" w:rsidRPr="0006438B" w:rsidTr="00090D20">
        <w:trPr>
          <w:cantSplit/>
          <w:trHeight w:val="20"/>
        </w:trPr>
        <w:tc>
          <w:tcPr>
            <w:tcW w:w="1792"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rPr>
                <w:rFonts w:ascii="Arial Narrow" w:hAnsi="Arial Narrow" w:cs="Arial"/>
                <w:sz w:val="20"/>
                <w:szCs w:val="20"/>
              </w:rPr>
            </w:pPr>
            <w:r w:rsidRPr="0006438B">
              <w:rPr>
                <w:rFonts w:ascii="Arial Narrow" w:hAnsi="Arial Narrow" w:cs="Arial"/>
                <w:sz w:val="20"/>
                <w:szCs w:val="20"/>
              </w:rPr>
              <w:t>All AEs</w:t>
            </w:r>
          </w:p>
        </w:tc>
        <w:tc>
          <w:tcPr>
            <w:tcW w:w="851" w:type="dxa"/>
            <w:vMerge w:val="restart"/>
            <w:tcBorders>
              <w:top w:val="single" w:sz="4" w:space="0" w:color="auto"/>
              <w:left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 xml:space="preserve">1,009 </w:t>
            </w:r>
            <w:r w:rsidRPr="0006438B">
              <w:rPr>
                <w:rFonts w:ascii="Arial Narrow" w:hAnsi="Arial Narrow" w:cs="Arial"/>
                <w:sz w:val="20"/>
                <w:szCs w:val="20"/>
                <w:vertAlign w:val="superscript"/>
              </w:rPr>
              <w:t>a</w:t>
            </w:r>
          </w:p>
        </w:tc>
        <w:tc>
          <w:tcPr>
            <w:tcW w:w="218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b/>
                <w:sz w:val="20"/>
                <w:szCs w:val="20"/>
              </w:rPr>
            </w:pPr>
            <w:r w:rsidRPr="0006438B">
              <w:rPr>
                <w:rFonts w:ascii="Arial Narrow" w:hAnsi="Arial Narrow" w:cs="Arial"/>
                <w:b/>
                <w:sz w:val="20"/>
                <w:szCs w:val="20"/>
              </w:rPr>
              <w:t>RR: 1.51 (1·31, 1·73)</w:t>
            </w:r>
          </w:p>
        </w:tc>
        <w:tc>
          <w:tcPr>
            <w:tcW w:w="1646"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37</w:t>
            </w:r>
          </w:p>
        </w:tc>
        <w:tc>
          <w:tcPr>
            <w:tcW w:w="17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56</w:t>
            </w:r>
          </w:p>
        </w:tc>
        <w:tc>
          <w:tcPr>
            <w:tcW w:w="8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b/>
                <w:sz w:val="20"/>
                <w:szCs w:val="20"/>
              </w:rPr>
            </w:pPr>
            <w:r w:rsidRPr="0006438B">
              <w:rPr>
                <w:rFonts w:ascii="Arial Narrow" w:hAnsi="Arial Narrow" w:cs="Arial"/>
                <w:b/>
                <w:sz w:val="20"/>
                <w:szCs w:val="20"/>
              </w:rPr>
              <w:t>18.9</w:t>
            </w:r>
          </w:p>
        </w:tc>
      </w:tr>
      <w:tr w:rsidR="00A2593A" w:rsidRPr="0006438B" w:rsidTr="00090D20">
        <w:trPr>
          <w:cantSplit/>
          <w:trHeight w:val="20"/>
        </w:trPr>
        <w:tc>
          <w:tcPr>
            <w:tcW w:w="1792" w:type="dxa"/>
            <w:tcBorders>
              <w:top w:val="single" w:sz="4" w:space="0" w:color="auto"/>
              <w:left w:val="single" w:sz="4" w:space="0" w:color="auto"/>
              <w:bottom w:val="single" w:sz="4" w:space="0" w:color="auto"/>
              <w:right w:val="single" w:sz="4" w:space="0" w:color="auto"/>
            </w:tcBorders>
            <w:vAlign w:val="center"/>
            <w:hideMark/>
          </w:tcPr>
          <w:p w:rsidR="00A2593A" w:rsidRPr="0006438B" w:rsidRDefault="00A2593A" w:rsidP="00090D20">
            <w:pPr>
              <w:keepNext/>
              <w:keepLines/>
              <w:widowControl w:val="0"/>
              <w:snapToGrid w:val="0"/>
              <w:rPr>
                <w:rFonts w:ascii="Arial Narrow" w:hAnsi="Arial Narrow" w:cs="Arial"/>
                <w:sz w:val="20"/>
                <w:szCs w:val="20"/>
              </w:rPr>
            </w:pPr>
            <w:r w:rsidRPr="0006438B">
              <w:rPr>
                <w:rFonts w:ascii="Arial Narrow" w:hAnsi="Arial Narrow" w:cs="Arial"/>
                <w:sz w:val="20"/>
                <w:szCs w:val="20"/>
              </w:rPr>
              <w:t>Disc due to AE</w:t>
            </w:r>
          </w:p>
        </w:tc>
        <w:tc>
          <w:tcPr>
            <w:tcW w:w="851" w:type="dxa"/>
            <w:vMerge/>
            <w:tcBorders>
              <w:left w:val="single" w:sz="4" w:space="0" w:color="auto"/>
              <w:right w:val="single" w:sz="4" w:space="0" w:color="auto"/>
            </w:tcBorders>
            <w:vAlign w:val="center"/>
            <w:hideMark/>
          </w:tcPr>
          <w:p w:rsidR="00A2593A" w:rsidRPr="0006438B" w:rsidRDefault="00A2593A" w:rsidP="00090D20">
            <w:pPr>
              <w:keepNext/>
              <w:keepLines/>
              <w:widowControl w:val="0"/>
              <w:snapToGrid w:val="0"/>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b/>
                <w:sz w:val="20"/>
                <w:szCs w:val="20"/>
              </w:rPr>
              <w:t>RR: 2·41 (1·06, 5·45)</w:t>
            </w:r>
          </w:p>
        </w:tc>
        <w:tc>
          <w:tcPr>
            <w:tcW w:w="1646"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4</w:t>
            </w:r>
          </w:p>
        </w:tc>
        <w:tc>
          <w:tcPr>
            <w:tcW w:w="8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b/>
                <w:sz w:val="20"/>
                <w:szCs w:val="20"/>
              </w:rPr>
            </w:pPr>
            <w:r w:rsidRPr="0006438B">
              <w:rPr>
                <w:rFonts w:ascii="Arial Narrow" w:hAnsi="Arial Narrow" w:cs="Arial"/>
                <w:b/>
                <w:sz w:val="20"/>
                <w:szCs w:val="20"/>
              </w:rPr>
              <w:t>2.2</w:t>
            </w:r>
          </w:p>
        </w:tc>
      </w:tr>
      <w:tr w:rsidR="00A2593A" w:rsidRPr="0006438B" w:rsidTr="00090D20">
        <w:trPr>
          <w:cantSplit/>
          <w:trHeight w:val="20"/>
        </w:trPr>
        <w:tc>
          <w:tcPr>
            <w:tcW w:w="1792" w:type="dxa"/>
            <w:tcBorders>
              <w:top w:val="single" w:sz="4" w:space="0" w:color="auto"/>
              <w:left w:val="single" w:sz="4" w:space="0" w:color="auto"/>
              <w:bottom w:val="single" w:sz="4" w:space="0" w:color="auto"/>
              <w:right w:val="single" w:sz="4" w:space="0" w:color="auto"/>
            </w:tcBorders>
            <w:vAlign w:val="center"/>
          </w:tcPr>
          <w:p w:rsidR="00A2593A" w:rsidRPr="0006438B" w:rsidRDefault="00164F40" w:rsidP="00090D20">
            <w:pPr>
              <w:keepNext/>
              <w:keepLines/>
              <w:widowControl w:val="0"/>
              <w:snapToGrid w:val="0"/>
              <w:rPr>
                <w:rFonts w:ascii="Arial Narrow" w:hAnsi="Arial Narrow" w:cs="Arial"/>
                <w:sz w:val="20"/>
                <w:szCs w:val="20"/>
              </w:rPr>
            </w:pPr>
            <w:r w:rsidRPr="0006438B">
              <w:rPr>
                <w:rFonts w:ascii="Arial Narrow" w:hAnsi="Arial Narrow" w:cs="Arial"/>
                <w:sz w:val="20"/>
                <w:szCs w:val="20"/>
              </w:rPr>
              <w:t>Neutropenia</w:t>
            </w:r>
          </w:p>
        </w:tc>
        <w:tc>
          <w:tcPr>
            <w:tcW w:w="851" w:type="dxa"/>
            <w:vMerge/>
            <w:tcBorders>
              <w:left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b/>
                <w:sz w:val="20"/>
                <w:szCs w:val="20"/>
              </w:rPr>
            </w:pPr>
            <w:r w:rsidRPr="0006438B">
              <w:rPr>
                <w:rFonts w:ascii="Arial Narrow" w:hAnsi="Arial Narrow" w:cs="Arial"/>
                <w:b/>
                <w:sz w:val="20"/>
                <w:szCs w:val="20"/>
              </w:rPr>
              <w:t>RR: 3.65 (1.37, 9.76)</w:t>
            </w:r>
          </w:p>
        </w:tc>
        <w:tc>
          <w:tcPr>
            <w:tcW w:w="1646"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4</w:t>
            </w:r>
          </w:p>
        </w:tc>
        <w:tc>
          <w:tcPr>
            <w:tcW w:w="8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b/>
                <w:sz w:val="20"/>
                <w:szCs w:val="20"/>
              </w:rPr>
            </w:pPr>
            <w:r w:rsidRPr="0006438B">
              <w:rPr>
                <w:rFonts w:ascii="Arial Narrow" w:hAnsi="Arial Narrow" w:cs="Arial"/>
                <w:b/>
                <w:sz w:val="20"/>
                <w:szCs w:val="20"/>
              </w:rPr>
              <w:t>2.6</w:t>
            </w:r>
          </w:p>
        </w:tc>
      </w:tr>
      <w:tr w:rsidR="00A2593A" w:rsidRPr="0006438B" w:rsidTr="00090D20">
        <w:trPr>
          <w:cantSplit/>
          <w:trHeight w:val="20"/>
        </w:trPr>
        <w:tc>
          <w:tcPr>
            <w:tcW w:w="1792"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rPr>
                <w:rFonts w:ascii="Arial Narrow" w:hAnsi="Arial Narrow" w:cs="Arial"/>
                <w:sz w:val="20"/>
                <w:szCs w:val="20"/>
              </w:rPr>
            </w:pPr>
            <w:r w:rsidRPr="0006438B">
              <w:rPr>
                <w:rFonts w:ascii="Arial Narrow" w:hAnsi="Arial Narrow" w:cs="Arial"/>
                <w:sz w:val="20"/>
                <w:szCs w:val="20"/>
              </w:rPr>
              <w:t>Infections *</w:t>
            </w:r>
          </w:p>
        </w:tc>
        <w:tc>
          <w:tcPr>
            <w:tcW w:w="851" w:type="dxa"/>
            <w:vMerge/>
            <w:tcBorders>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b/>
                <w:sz w:val="20"/>
                <w:szCs w:val="20"/>
              </w:rPr>
            </w:pPr>
            <w:r w:rsidRPr="0006438B">
              <w:rPr>
                <w:rFonts w:ascii="Arial Narrow" w:hAnsi="Arial Narrow" w:cs="Arial"/>
                <w:b/>
                <w:sz w:val="20"/>
                <w:szCs w:val="20"/>
              </w:rPr>
              <w:t>RR: 4.46 (1.70, 11.7)</w:t>
            </w:r>
          </w:p>
        </w:tc>
        <w:tc>
          <w:tcPr>
            <w:tcW w:w="1646"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4</w:t>
            </w:r>
          </w:p>
        </w:tc>
        <w:tc>
          <w:tcPr>
            <w:tcW w:w="801" w:type="dxa"/>
            <w:tcBorders>
              <w:top w:val="single" w:sz="4" w:space="0" w:color="auto"/>
              <w:left w:val="single" w:sz="4" w:space="0" w:color="auto"/>
              <w:bottom w:val="single" w:sz="4" w:space="0" w:color="auto"/>
              <w:right w:val="single" w:sz="4" w:space="0" w:color="auto"/>
            </w:tcBorders>
            <w:vAlign w:val="center"/>
          </w:tcPr>
          <w:p w:rsidR="00A2593A" w:rsidRPr="0006438B" w:rsidRDefault="00A2593A" w:rsidP="00090D20">
            <w:pPr>
              <w:keepNext/>
              <w:keepLines/>
              <w:widowControl w:val="0"/>
              <w:snapToGrid w:val="0"/>
              <w:jc w:val="center"/>
              <w:rPr>
                <w:rFonts w:ascii="Arial Narrow" w:hAnsi="Arial Narrow" w:cs="Arial"/>
                <w:b/>
                <w:sz w:val="20"/>
                <w:szCs w:val="20"/>
              </w:rPr>
            </w:pPr>
            <w:r w:rsidRPr="0006438B">
              <w:rPr>
                <w:rFonts w:ascii="Arial Narrow" w:hAnsi="Arial Narrow" w:cs="Arial"/>
                <w:b/>
                <w:sz w:val="20"/>
                <w:szCs w:val="20"/>
              </w:rPr>
              <w:t>3.4</w:t>
            </w:r>
          </w:p>
        </w:tc>
      </w:tr>
    </w:tbl>
    <w:p w:rsidR="00090D20" w:rsidRPr="0006438B" w:rsidRDefault="00A2593A" w:rsidP="00090D20">
      <w:pPr>
        <w:keepNext/>
        <w:keepLines/>
        <w:rPr>
          <w:rFonts w:ascii="Arial Narrow" w:hAnsi="Arial Narrow" w:cs="Arial"/>
          <w:sz w:val="20"/>
          <w:szCs w:val="20"/>
          <w:vertAlign w:val="superscript"/>
          <w:lang w:eastAsia="en-US"/>
        </w:rPr>
      </w:pPr>
      <w:r w:rsidRPr="0006438B">
        <w:rPr>
          <w:rFonts w:ascii="Arial Narrow" w:hAnsi="Arial Narrow" w:cs="Arial"/>
          <w:sz w:val="20"/>
          <w:szCs w:val="20"/>
          <w:lang w:eastAsia="en-US"/>
        </w:rPr>
        <w:t xml:space="preserve">* Grade </w:t>
      </w:r>
      <w:r w:rsidR="00090D20" w:rsidRPr="0006438B">
        <w:rPr>
          <w:rFonts w:ascii="Arial Narrow" w:hAnsi="Arial Narrow" w:cs="Arial"/>
          <w:sz w:val="20"/>
          <w:szCs w:val="20"/>
          <w:lang w:eastAsia="en-US"/>
        </w:rPr>
        <w:t xml:space="preserve">¾     </w:t>
      </w:r>
      <w:r w:rsidR="00090D20" w:rsidRPr="0006438B">
        <w:rPr>
          <w:rFonts w:ascii="Arial Narrow" w:hAnsi="Arial Narrow" w:cs="Arial"/>
          <w:sz w:val="20"/>
          <w:szCs w:val="20"/>
          <w:vertAlign w:val="superscript"/>
          <w:lang w:eastAsia="en-US"/>
        </w:rPr>
        <w:t xml:space="preserve"> a</w:t>
      </w:r>
      <w:r w:rsidR="00090D20" w:rsidRPr="0006438B">
        <w:rPr>
          <w:rFonts w:ascii="Arial Narrow" w:hAnsi="Arial Narrow" w:cs="Arial"/>
          <w:sz w:val="20"/>
          <w:szCs w:val="20"/>
          <w:lang w:eastAsia="en-US"/>
        </w:rPr>
        <w:t xml:space="preserve"> Nine patients were withdrawn from the trial before treatment</w:t>
      </w:r>
      <w:r w:rsidR="00090D20" w:rsidRPr="0006438B">
        <w:rPr>
          <w:rFonts w:ascii="Arial Narrow" w:hAnsi="Arial Narrow" w:cs="Arial"/>
          <w:sz w:val="20"/>
          <w:szCs w:val="20"/>
          <w:vertAlign w:val="superscript"/>
          <w:lang w:eastAsia="en-US"/>
        </w:rPr>
        <w:t xml:space="preserve"> </w:t>
      </w:r>
    </w:p>
    <w:p w:rsidR="00A2593A" w:rsidRPr="0006438B" w:rsidRDefault="00A2593A" w:rsidP="00090D20">
      <w:pPr>
        <w:keepNext/>
        <w:keepLines/>
        <w:rPr>
          <w:rFonts w:ascii="Arial Narrow" w:hAnsi="Arial Narrow" w:cs="Arial"/>
          <w:i/>
          <w:sz w:val="20"/>
          <w:szCs w:val="20"/>
          <w:lang w:eastAsia="en-US"/>
        </w:rPr>
      </w:pPr>
      <w:r w:rsidRPr="0006438B">
        <w:rPr>
          <w:rFonts w:ascii="Arial Narrow" w:hAnsi="Arial Narrow" w:cs="Arial"/>
          <w:sz w:val="20"/>
          <w:szCs w:val="20"/>
          <w:lang w:eastAsia="en-US"/>
        </w:rPr>
        <w:t xml:space="preserve">AE = adverse event; </w:t>
      </w:r>
      <w:proofErr w:type="spellStart"/>
      <w:r w:rsidRPr="0006438B">
        <w:rPr>
          <w:rFonts w:ascii="Arial Narrow" w:hAnsi="Arial Narrow" w:cs="Arial"/>
          <w:sz w:val="20"/>
          <w:szCs w:val="20"/>
          <w:lang w:eastAsia="en-US"/>
        </w:rPr>
        <w:t>Obs</w:t>
      </w:r>
      <w:proofErr w:type="spellEnd"/>
      <w:r w:rsidRPr="0006438B">
        <w:rPr>
          <w:rFonts w:ascii="Arial Narrow" w:hAnsi="Arial Narrow" w:cs="Arial"/>
          <w:sz w:val="20"/>
          <w:szCs w:val="20"/>
          <w:lang w:eastAsia="en-US"/>
        </w:rPr>
        <w:t xml:space="preserve"> = observation; MR = rituximab maintenance treatment; disc = discontinuation; RR = relative risk; HR = hazard ratio; CI = confidence interval; </w:t>
      </w:r>
      <w:r w:rsidRPr="0006438B">
        <w:rPr>
          <w:rFonts w:ascii="Arial Narrow" w:hAnsi="Arial Narrow" w:cs="Arial"/>
          <w:b/>
          <w:sz w:val="20"/>
          <w:szCs w:val="20"/>
          <w:lang w:eastAsia="en-US"/>
        </w:rPr>
        <w:t>Bold</w:t>
      </w:r>
      <w:r w:rsidRPr="0006438B">
        <w:rPr>
          <w:rFonts w:ascii="Arial Narrow" w:hAnsi="Arial Narrow" w:cs="Arial"/>
          <w:sz w:val="20"/>
          <w:szCs w:val="20"/>
          <w:lang w:eastAsia="en-US"/>
        </w:rPr>
        <w:t xml:space="preserve"> = statistically significant</w:t>
      </w:r>
      <w:r w:rsidRPr="0006438B">
        <w:rPr>
          <w:rFonts w:ascii="Arial Narrow" w:hAnsi="Arial Narrow" w:cs="Arial"/>
          <w:i/>
          <w:sz w:val="20"/>
          <w:szCs w:val="20"/>
          <w:lang w:eastAsia="en-US"/>
        </w:rPr>
        <w:t xml:space="preserve">. </w:t>
      </w:r>
    </w:p>
    <w:p w:rsidR="00A2593A" w:rsidRPr="00090D20" w:rsidRDefault="00A2593A" w:rsidP="0006438B">
      <w:pPr>
        <w:pStyle w:val="Caption"/>
        <w:keepNext w:val="0"/>
        <w:tabs>
          <w:tab w:val="clear" w:pos="1418"/>
        </w:tabs>
        <w:spacing w:before="0" w:after="0"/>
        <w:ind w:left="0" w:firstLine="0"/>
        <w:rPr>
          <w:rFonts w:ascii="Arial Narrow" w:hAnsi="Arial Narrow" w:cs="Arial"/>
          <w:sz w:val="19"/>
          <w:szCs w:val="19"/>
        </w:rPr>
      </w:pPr>
    </w:p>
    <w:p w:rsidR="00A63ED8" w:rsidRPr="0006438B" w:rsidRDefault="00A63ED8" w:rsidP="00A63ED8">
      <w:pPr>
        <w:keepNext/>
        <w:keepLines/>
        <w:jc w:val="both"/>
        <w:rPr>
          <w:rFonts w:ascii="Arial Narrow" w:hAnsi="Arial Narrow" w:cs="Arial"/>
          <w:bCs/>
          <w:i/>
          <w:color w:val="000000"/>
          <w:sz w:val="20"/>
          <w:szCs w:val="20"/>
          <w:lang w:eastAsia="en-US"/>
        </w:rPr>
      </w:pPr>
      <w:bookmarkStart w:id="4" w:name="_Toc371573025"/>
      <w:bookmarkEnd w:id="3"/>
      <w:r w:rsidRPr="0006438B">
        <w:rPr>
          <w:rFonts w:ascii="Arial Narrow" w:hAnsi="Arial Narrow" w:cs="Arial"/>
          <w:b/>
          <w:bCs/>
          <w:color w:val="000000"/>
          <w:sz w:val="20"/>
          <w:szCs w:val="20"/>
          <w:lang w:eastAsia="en-US"/>
        </w:rPr>
        <w:lastRenderedPageBreak/>
        <w:t>Benefit</w:t>
      </w:r>
      <w:r w:rsidRPr="0006438B">
        <w:rPr>
          <w:rFonts w:ascii="Arial Narrow" w:hAnsi="Arial Narrow" w:cs="Arial"/>
          <w:bCs/>
          <w:i/>
          <w:color w:val="000000"/>
          <w:sz w:val="20"/>
          <w:szCs w:val="20"/>
          <w:lang w:eastAsia="en-US"/>
        </w:rPr>
        <w:t>/</w:t>
      </w:r>
      <w:r w:rsidRPr="0006438B">
        <w:rPr>
          <w:rFonts w:ascii="Arial Narrow" w:hAnsi="Arial Narrow" w:cs="Arial"/>
          <w:b/>
          <w:bCs/>
          <w:color w:val="000000"/>
          <w:sz w:val="20"/>
          <w:szCs w:val="20"/>
          <w:lang w:eastAsia="en-US"/>
        </w:rPr>
        <w:t>harms</w:t>
      </w:r>
      <w:r w:rsidRPr="0006438B">
        <w:rPr>
          <w:rFonts w:ascii="Arial Narrow" w:hAnsi="Arial Narrow" w:cs="Arial"/>
          <w:bCs/>
          <w:i/>
          <w:color w:val="000000"/>
          <w:sz w:val="20"/>
          <w:szCs w:val="20"/>
          <w:lang w:eastAsia="en-US"/>
        </w:rPr>
        <w:t xml:space="preserve"> </w:t>
      </w:r>
      <w:r w:rsidRPr="0006438B">
        <w:rPr>
          <w:rFonts w:ascii="Arial Narrow" w:hAnsi="Arial Narrow" w:cs="Arial"/>
          <w:b/>
          <w:bCs/>
          <w:color w:val="000000"/>
          <w:sz w:val="20"/>
          <w:szCs w:val="20"/>
          <w:lang w:eastAsia="en-US"/>
        </w:rPr>
        <w:t xml:space="preserve">summary, relapsed or refractory </w:t>
      </w:r>
      <w:r w:rsidR="00090D20" w:rsidRPr="0006438B">
        <w:rPr>
          <w:rFonts w:ascii="Arial Narrow" w:hAnsi="Arial Narrow" w:cs="Arial"/>
          <w:b/>
          <w:bCs/>
          <w:color w:val="000000"/>
          <w:sz w:val="20"/>
          <w:szCs w:val="20"/>
          <w:lang w:eastAsia="en-US"/>
        </w:rPr>
        <w:t xml:space="preserve">(later-line) </w:t>
      </w:r>
      <w:r w:rsidRPr="0006438B">
        <w:rPr>
          <w:rFonts w:ascii="Arial Narrow" w:hAnsi="Arial Narrow" w:cs="Arial"/>
          <w:b/>
          <w:bCs/>
          <w:color w:val="000000"/>
          <w:sz w:val="20"/>
          <w:szCs w:val="20"/>
          <w:lang w:eastAsia="en-US"/>
        </w:rPr>
        <w:t>follicular lymphoma</w:t>
      </w:r>
      <w:bookmarkEnd w:id="4"/>
      <w:r w:rsidR="00090D20" w:rsidRPr="0006438B">
        <w:rPr>
          <w:rFonts w:ascii="Arial Narrow" w:hAnsi="Arial Narrow" w:cs="Arial"/>
          <w:b/>
          <w:bCs/>
          <w:color w:val="000000"/>
          <w:sz w:val="20"/>
          <w:szCs w:val="20"/>
          <w:lang w:eastAsia="en-US"/>
        </w:rPr>
        <w:t xml:space="preserve"> </w:t>
      </w:r>
    </w:p>
    <w:tbl>
      <w:tblPr>
        <w:tblStyle w:val="TableGrid"/>
        <w:tblW w:w="4908" w:type="pct"/>
        <w:tblInd w:w="108" w:type="dxa"/>
        <w:tblLayout w:type="fixed"/>
        <w:tblCellMar>
          <w:left w:w="57" w:type="dxa"/>
          <w:right w:w="57" w:type="dxa"/>
        </w:tblCellMar>
        <w:tblLook w:val="04A0" w:firstRow="1" w:lastRow="0" w:firstColumn="1" w:lastColumn="0" w:noHBand="0" w:noVBand="1"/>
        <w:tblDescription w:val="Benefit/harms summary, relapsed or refractory (later-line) follicular lymphoma"/>
      </w:tblPr>
      <w:tblGrid>
        <w:gridCol w:w="1934"/>
        <w:gridCol w:w="709"/>
        <w:gridCol w:w="2181"/>
        <w:gridCol w:w="1646"/>
        <w:gridCol w:w="1701"/>
        <w:gridCol w:w="801"/>
      </w:tblGrid>
      <w:tr w:rsidR="00A63ED8" w:rsidRPr="0006438B" w:rsidTr="00090D20">
        <w:trPr>
          <w:cantSplit/>
          <w:tblHeader/>
        </w:trPr>
        <w:tc>
          <w:tcPr>
            <w:tcW w:w="1934" w:type="dxa"/>
            <w:tcBorders>
              <w:top w:val="single" w:sz="4" w:space="0" w:color="auto"/>
              <w:left w:val="single" w:sz="4" w:space="0" w:color="auto"/>
              <w:bottom w:val="single" w:sz="4" w:space="0" w:color="auto"/>
              <w:right w:val="single" w:sz="4" w:space="0" w:color="auto"/>
            </w:tcBorders>
            <w:vAlign w:val="center"/>
            <w:hideMark/>
          </w:tcPr>
          <w:p w:rsidR="00A63ED8" w:rsidRPr="0006438B" w:rsidRDefault="00A63ED8" w:rsidP="00A63ED8">
            <w:pPr>
              <w:keepNext/>
              <w:keepLines/>
              <w:widowControl w:val="0"/>
              <w:snapToGrid w:val="0"/>
              <w:rPr>
                <w:rFonts w:ascii="Arial Narrow" w:hAnsi="Arial Narrow" w:cs="Arial"/>
                <w:b/>
                <w:sz w:val="20"/>
                <w:szCs w:val="20"/>
                <w:vertAlign w:val="superscript"/>
              </w:rPr>
            </w:pPr>
            <w:r w:rsidRPr="0006438B">
              <w:rPr>
                <w:rFonts w:ascii="Arial Narrow" w:hAnsi="Arial Narrow" w:cs="Arial"/>
                <w:b/>
                <w:sz w:val="20"/>
                <w:szCs w:val="20"/>
              </w:rPr>
              <w:t>Outcome</w:t>
            </w:r>
          </w:p>
        </w:tc>
        <w:tc>
          <w:tcPr>
            <w:tcW w:w="709" w:type="dxa"/>
            <w:tcBorders>
              <w:top w:val="single" w:sz="4" w:space="0" w:color="auto"/>
              <w:left w:val="single" w:sz="4" w:space="0" w:color="auto"/>
              <w:bottom w:val="single" w:sz="4" w:space="0" w:color="auto"/>
              <w:right w:val="single" w:sz="4" w:space="0" w:color="auto"/>
            </w:tcBorders>
            <w:vAlign w:val="center"/>
            <w:hideMark/>
          </w:tcPr>
          <w:p w:rsidR="00A63ED8" w:rsidRPr="0006438B" w:rsidRDefault="00A63ED8" w:rsidP="00A63ED8">
            <w:pPr>
              <w:keepNext/>
              <w:keepLines/>
              <w:widowControl w:val="0"/>
              <w:snapToGrid w:val="0"/>
              <w:jc w:val="center"/>
              <w:rPr>
                <w:rFonts w:ascii="Arial Narrow" w:hAnsi="Arial Narrow" w:cs="Arial"/>
                <w:b/>
                <w:sz w:val="20"/>
                <w:szCs w:val="20"/>
                <w:vertAlign w:val="superscript"/>
              </w:rPr>
            </w:pPr>
            <w:r w:rsidRPr="0006438B">
              <w:rPr>
                <w:rFonts w:ascii="Arial Narrow" w:hAnsi="Arial Narrow" w:cs="Arial"/>
                <w:b/>
                <w:sz w:val="20"/>
                <w:szCs w:val="20"/>
              </w:rPr>
              <w:t xml:space="preserve">N </w:t>
            </w:r>
            <w:proofErr w:type="spellStart"/>
            <w:r w:rsidRPr="0006438B">
              <w:rPr>
                <w:rFonts w:ascii="Arial Narrow" w:hAnsi="Arial Narrow" w:cs="Arial"/>
                <w:b/>
                <w:sz w:val="20"/>
                <w:szCs w:val="20"/>
              </w:rPr>
              <w:t>partici</w:t>
            </w:r>
            <w:proofErr w:type="spellEnd"/>
            <w:r w:rsidRPr="0006438B">
              <w:rPr>
                <w:rFonts w:ascii="Arial Narrow" w:hAnsi="Arial Narrow" w:cs="Arial"/>
                <w:b/>
                <w:sz w:val="20"/>
                <w:szCs w:val="20"/>
              </w:rPr>
              <w:t>-pants</w:t>
            </w:r>
          </w:p>
        </w:tc>
        <w:tc>
          <w:tcPr>
            <w:tcW w:w="2181" w:type="dxa"/>
            <w:tcBorders>
              <w:top w:val="single" w:sz="4" w:space="0" w:color="auto"/>
              <w:left w:val="single" w:sz="4" w:space="0" w:color="auto"/>
              <w:bottom w:val="single" w:sz="4" w:space="0" w:color="auto"/>
              <w:right w:val="single" w:sz="4" w:space="0" w:color="auto"/>
            </w:tcBorders>
            <w:vAlign w:val="center"/>
            <w:hideMark/>
          </w:tcPr>
          <w:p w:rsidR="00A63ED8" w:rsidRPr="0006438B" w:rsidRDefault="00A63ED8" w:rsidP="00A63ED8">
            <w:pPr>
              <w:keepNext/>
              <w:keepLines/>
              <w:widowControl w:val="0"/>
              <w:snapToGrid w:val="0"/>
              <w:jc w:val="center"/>
              <w:rPr>
                <w:rFonts w:ascii="Arial Narrow" w:hAnsi="Arial Narrow" w:cs="Arial"/>
                <w:b/>
                <w:sz w:val="20"/>
                <w:szCs w:val="20"/>
                <w:vertAlign w:val="superscript"/>
              </w:rPr>
            </w:pPr>
            <w:r w:rsidRPr="0006438B">
              <w:rPr>
                <w:rFonts w:ascii="Arial Narrow" w:hAnsi="Arial Narrow" w:cs="Arial"/>
                <w:b/>
                <w:sz w:val="20"/>
                <w:szCs w:val="20"/>
              </w:rPr>
              <w:t>Relative effect</w:t>
            </w:r>
            <w:r w:rsidRPr="0006438B">
              <w:rPr>
                <w:rFonts w:ascii="Arial Narrow" w:hAnsi="Arial Narrow" w:cs="Arial"/>
                <w:b/>
                <w:sz w:val="20"/>
                <w:szCs w:val="20"/>
              </w:rPr>
              <w:br/>
              <w:t>(95% CI)</w:t>
            </w:r>
          </w:p>
        </w:tc>
        <w:tc>
          <w:tcPr>
            <w:tcW w:w="1646" w:type="dxa"/>
            <w:tcBorders>
              <w:top w:val="single" w:sz="4" w:space="0" w:color="auto"/>
              <w:left w:val="single" w:sz="4" w:space="0" w:color="auto"/>
              <w:bottom w:val="single" w:sz="4" w:space="0" w:color="auto"/>
              <w:right w:val="single" w:sz="4" w:space="0" w:color="auto"/>
            </w:tcBorders>
            <w:vAlign w:val="center"/>
            <w:hideMark/>
          </w:tcPr>
          <w:p w:rsidR="00A63ED8" w:rsidRPr="0006438B" w:rsidRDefault="00A63ED8" w:rsidP="00A63ED8">
            <w:pPr>
              <w:keepNext/>
              <w:keepLines/>
              <w:widowControl w:val="0"/>
              <w:snapToGrid w:val="0"/>
              <w:jc w:val="center"/>
              <w:rPr>
                <w:rFonts w:ascii="Arial Narrow" w:hAnsi="Arial Narrow" w:cs="Arial"/>
                <w:b/>
                <w:sz w:val="20"/>
                <w:szCs w:val="20"/>
                <w:vertAlign w:val="superscript"/>
              </w:rPr>
            </w:pPr>
            <w:proofErr w:type="spellStart"/>
            <w:r w:rsidRPr="0006438B">
              <w:rPr>
                <w:rFonts w:ascii="Arial Narrow" w:hAnsi="Arial Narrow" w:cs="Arial"/>
                <w:b/>
                <w:sz w:val="20"/>
                <w:szCs w:val="20"/>
              </w:rPr>
              <w:t>Obs</w:t>
            </w:r>
            <w:proofErr w:type="spellEnd"/>
            <w:r w:rsidRPr="0006438B">
              <w:rPr>
                <w:rFonts w:ascii="Arial Narrow" w:hAnsi="Arial Narrow" w:cs="Arial"/>
                <w:b/>
                <w:sz w:val="20"/>
                <w:szCs w:val="20"/>
              </w:rPr>
              <w:t xml:space="preserve"> event rate per 100 patients for treatment duration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A63ED8" w:rsidRPr="0006438B" w:rsidRDefault="00A63ED8" w:rsidP="00A63ED8">
            <w:pPr>
              <w:keepNext/>
              <w:keepLines/>
              <w:widowControl w:val="0"/>
              <w:snapToGrid w:val="0"/>
              <w:jc w:val="center"/>
              <w:rPr>
                <w:rFonts w:ascii="Arial Narrow" w:hAnsi="Arial Narrow" w:cs="Arial"/>
                <w:b/>
                <w:sz w:val="20"/>
                <w:szCs w:val="20"/>
                <w:vertAlign w:val="superscript"/>
              </w:rPr>
            </w:pPr>
            <w:r w:rsidRPr="0006438B">
              <w:rPr>
                <w:rFonts w:ascii="Arial Narrow" w:hAnsi="Arial Narrow" w:cs="Arial"/>
                <w:b/>
                <w:sz w:val="20"/>
                <w:szCs w:val="20"/>
              </w:rPr>
              <w:t>MR rate per 100 patients for  treatment duration</w:t>
            </w:r>
          </w:p>
        </w:tc>
        <w:tc>
          <w:tcPr>
            <w:tcW w:w="801" w:type="dxa"/>
            <w:tcBorders>
              <w:top w:val="single" w:sz="4" w:space="0" w:color="auto"/>
              <w:left w:val="single" w:sz="4" w:space="0" w:color="auto"/>
              <w:bottom w:val="single" w:sz="4" w:space="0" w:color="auto"/>
              <w:right w:val="single" w:sz="4" w:space="0" w:color="auto"/>
            </w:tcBorders>
            <w:vAlign w:val="center"/>
            <w:hideMark/>
          </w:tcPr>
          <w:p w:rsidR="00A63ED8" w:rsidRPr="0006438B" w:rsidRDefault="00A63ED8" w:rsidP="00090D20">
            <w:pPr>
              <w:keepNext/>
              <w:keepLines/>
              <w:widowControl w:val="0"/>
              <w:snapToGrid w:val="0"/>
              <w:jc w:val="center"/>
              <w:rPr>
                <w:rFonts w:ascii="Arial Narrow" w:hAnsi="Arial Narrow" w:cs="Arial"/>
                <w:b/>
                <w:sz w:val="20"/>
                <w:szCs w:val="20"/>
              </w:rPr>
            </w:pPr>
            <w:proofErr w:type="spellStart"/>
            <w:r w:rsidRPr="0006438B">
              <w:rPr>
                <w:rFonts w:ascii="Arial Narrow" w:hAnsi="Arial Narrow" w:cs="Arial"/>
                <w:b/>
                <w:sz w:val="20"/>
                <w:szCs w:val="20"/>
              </w:rPr>
              <w:t>Incre</w:t>
            </w:r>
            <w:r w:rsidR="00090D20" w:rsidRPr="0006438B">
              <w:rPr>
                <w:rFonts w:ascii="Arial Narrow" w:hAnsi="Arial Narrow" w:cs="Arial"/>
                <w:b/>
                <w:sz w:val="20"/>
                <w:szCs w:val="20"/>
              </w:rPr>
              <w:t>-</w:t>
            </w:r>
            <w:r w:rsidRPr="0006438B">
              <w:rPr>
                <w:rFonts w:ascii="Arial Narrow" w:hAnsi="Arial Narrow" w:cs="Arial"/>
                <w:b/>
                <w:sz w:val="20"/>
                <w:szCs w:val="20"/>
              </w:rPr>
              <w:t>ment</w:t>
            </w:r>
            <w:proofErr w:type="spellEnd"/>
          </w:p>
        </w:tc>
      </w:tr>
      <w:tr w:rsidR="00A63ED8" w:rsidRPr="0006438B" w:rsidTr="00FF1B9D">
        <w:trPr>
          <w:cantSplit/>
        </w:trPr>
        <w:tc>
          <w:tcPr>
            <w:tcW w:w="8972" w:type="dxa"/>
            <w:gridSpan w:val="6"/>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rPr>
                <w:rFonts w:ascii="Arial Narrow" w:hAnsi="Arial Narrow" w:cs="Arial"/>
                <w:b/>
                <w:sz w:val="20"/>
                <w:szCs w:val="20"/>
              </w:rPr>
            </w:pPr>
            <w:r w:rsidRPr="0006438B">
              <w:rPr>
                <w:rFonts w:ascii="Arial Narrow" w:hAnsi="Arial Narrow" w:cs="Arial"/>
                <w:b/>
                <w:sz w:val="20"/>
                <w:szCs w:val="20"/>
              </w:rPr>
              <w:t>Benefits</w:t>
            </w:r>
          </w:p>
        </w:tc>
      </w:tr>
      <w:tr w:rsidR="00A63ED8" w:rsidRPr="0006438B" w:rsidTr="00FF1B9D">
        <w:trPr>
          <w:cantSplit/>
        </w:trPr>
        <w:tc>
          <w:tcPr>
            <w:tcW w:w="8972" w:type="dxa"/>
            <w:gridSpan w:val="6"/>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rPr>
                <w:rFonts w:ascii="Arial Narrow" w:hAnsi="Arial Narrow" w:cs="Arial"/>
                <w:i/>
                <w:sz w:val="20"/>
                <w:szCs w:val="20"/>
              </w:rPr>
            </w:pPr>
            <w:r w:rsidRPr="0006438B">
              <w:rPr>
                <w:rFonts w:ascii="Arial Narrow" w:hAnsi="Arial Narrow" w:cs="Arial"/>
                <w:i/>
                <w:sz w:val="20"/>
                <w:szCs w:val="20"/>
              </w:rPr>
              <w:t xml:space="preserve">Van </w:t>
            </w:r>
            <w:proofErr w:type="spellStart"/>
            <w:r w:rsidRPr="0006438B">
              <w:rPr>
                <w:rFonts w:ascii="Arial Narrow" w:hAnsi="Arial Narrow" w:cs="Arial"/>
                <w:i/>
                <w:sz w:val="20"/>
                <w:szCs w:val="20"/>
              </w:rPr>
              <w:t>Oers</w:t>
            </w:r>
            <w:proofErr w:type="spellEnd"/>
            <w:r w:rsidRPr="0006438B">
              <w:rPr>
                <w:rFonts w:ascii="Arial Narrow" w:hAnsi="Arial Narrow" w:cs="Arial"/>
                <w:i/>
                <w:sz w:val="20"/>
                <w:szCs w:val="20"/>
              </w:rPr>
              <w:t xml:space="preserve"> et al 2006/2010</w:t>
            </w:r>
          </w:p>
        </w:tc>
      </w:tr>
      <w:tr w:rsidR="00A63ED8" w:rsidRPr="0006438B" w:rsidTr="00FF1B9D">
        <w:trPr>
          <w:cantSplit/>
        </w:trPr>
        <w:tc>
          <w:tcPr>
            <w:tcW w:w="8972" w:type="dxa"/>
            <w:gridSpan w:val="6"/>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4"/>
              <w:rPr>
                <w:rFonts w:ascii="Arial Narrow" w:hAnsi="Arial Narrow" w:cs="Arial"/>
                <w:sz w:val="20"/>
                <w:szCs w:val="20"/>
              </w:rPr>
            </w:pPr>
            <w:r w:rsidRPr="0006438B">
              <w:rPr>
                <w:rFonts w:ascii="Arial Narrow" w:hAnsi="Arial Narrow" w:cs="Arial"/>
                <w:sz w:val="20"/>
                <w:szCs w:val="20"/>
              </w:rPr>
              <w:t xml:space="preserve">Median follow-up 33.3 months </w:t>
            </w: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176"/>
              <w:rPr>
                <w:rFonts w:ascii="Arial Narrow" w:hAnsi="Arial Narrow" w:cs="Arial"/>
                <w:sz w:val="20"/>
                <w:szCs w:val="20"/>
              </w:rPr>
            </w:pPr>
            <w:r w:rsidRPr="0006438B">
              <w:rPr>
                <w:rFonts w:ascii="Arial Narrow" w:hAnsi="Arial Narrow" w:cs="Arial"/>
                <w:sz w:val="20"/>
                <w:szCs w:val="20"/>
              </w:rPr>
              <w:t>PFS</w:t>
            </w:r>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b/>
                <w:sz w:val="20"/>
                <w:szCs w:val="20"/>
              </w:rPr>
            </w:pP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18"/>
              <w:rPr>
                <w:rFonts w:ascii="Arial Narrow" w:hAnsi="Arial Narrow" w:cs="Arial"/>
                <w:sz w:val="20"/>
                <w:szCs w:val="20"/>
              </w:rPr>
            </w:pPr>
            <w:r w:rsidRPr="0006438B">
              <w:rPr>
                <w:rFonts w:ascii="Arial Narrow" w:hAnsi="Arial Narrow" w:cs="Arial"/>
                <w:sz w:val="20"/>
                <w:szCs w:val="20"/>
              </w:rPr>
              <w:t>All</w:t>
            </w:r>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334</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jc w:val="center"/>
              <w:rPr>
                <w:rFonts w:ascii="Arial Narrow" w:hAnsi="Arial Narrow" w:cs="Arial"/>
                <w:b/>
                <w:sz w:val="20"/>
                <w:szCs w:val="20"/>
              </w:rPr>
            </w:pPr>
            <w:r w:rsidRPr="0006438B">
              <w:rPr>
                <w:rFonts w:ascii="Arial Narrow" w:hAnsi="Arial Narrow" w:cs="Arial"/>
                <w:b/>
                <w:sz w:val="20"/>
                <w:szCs w:val="20"/>
              </w:rPr>
              <w:t>HR: 0.40; P &lt; 0.001</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18"/>
              <w:rPr>
                <w:rFonts w:ascii="Arial Narrow" w:hAnsi="Arial Narrow" w:cs="Arial"/>
                <w:sz w:val="20"/>
                <w:szCs w:val="20"/>
              </w:rPr>
            </w:pPr>
            <w:r w:rsidRPr="0006438B">
              <w:rPr>
                <w:rFonts w:ascii="Arial Narrow" w:hAnsi="Arial Narrow" w:cs="Arial"/>
                <w:sz w:val="20"/>
                <w:szCs w:val="20"/>
              </w:rPr>
              <w:t xml:space="preserve">CHOP </w:t>
            </w:r>
            <w:proofErr w:type="spellStart"/>
            <w:r w:rsidRPr="0006438B">
              <w:rPr>
                <w:rFonts w:ascii="Arial Narrow" w:hAnsi="Arial Narrow" w:cs="Arial"/>
                <w:sz w:val="20"/>
                <w:szCs w:val="20"/>
              </w:rPr>
              <w:t>ind</w:t>
            </w:r>
            <w:proofErr w:type="spellEnd"/>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145</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jc w:val="center"/>
              <w:rPr>
                <w:rFonts w:ascii="Arial Narrow" w:hAnsi="Arial Narrow" w:cs="Arial"/>
                <w:b/>
                <w:sz w:val="20"/>
                <w:szCs w:val="20"/>
              </w:rPr>
            </w:pPr>
            <w:r w:rsidRPr="0006438B">
              <w:rPr>
                <w:rFonts w:ascii="Arial Narrow" w:hAnsi="Arial Narrow" w:cs="Arial"/>
                <w:b/>
                <w:sz w:val="20"/>
                <w:szCs w:val="20"/>
              </w:rPr>
              <w:t>HR: 0.30; P&lt; 0.001</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18"/>
              <w:rPr>
                <w:rFonts w:ascii="Arial Narrow" w:hAnsi="Arial Narrow" w:cs="Arial"/>
                <w:sz w:val="20"/>
                <w:szCs w:val="20"/>
              </w:rPr>
            </w:pPr>
            <w:r w:rsidRPr="0006438B">
              <w:rPr>
                <w:rFonts w:ascii="Arial Narrow" w:hAnsi="Arial Narrow" w:cs="Arial"/>
                <w:sz w:val="20"/>
                <w:szCs w:val="20"/>
              </w:rPr>
              <w:t xml:space="preserve">R-CHOP </w:t>
            </w:r>
            <w:proofErr w:type="spellStart"/>
            <w:r w:rsidRPr="0006438B">
              <w:rPr>
                <w:rFonts w:ascii="Arial Narrow" w:hAnsi="Arial Narrow" w:cs="Arial"/>
                <w:sz w:val="20"/>
                <w:szCs w:val="20"/>
              </w:rPr>
              <w:t>ind</w:t>
            </w:r>
            <w:proofErr w:type="spellEnd"/>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189</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jc w:val="center"/>
              <w:rPr>
                <w:rFonts w:ascii="Arial Narrow" w:hAnsi="Arial Narrow" w:cs="Arial"/>
                <w:b/>
                <w:sz w:val="20"/>
                <w:szCs w:val="20"/>
              </w:rPr>
            </w:pPr>
            <w:r w:rsidRPr="0006438B">
              <w:rPr>
                <w:rFonts w:ascii="Arial Narrow" w:hAnsi="Arial Narrow" w:cs="Arial"/>
                <w:b/>
                <w:sz w:val="20"/>
                <w:szCs w:val="20"/>
              </w:rPr>
              <w:t>HR: 0.54; P = 0.004</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176"/>
              <w:rPr>
                <w:rFonts w:ascii="Arial Narrow" w:hAnsi="Arial Narrow" w:cs="Arial"/>
                <w:sz w:val="20"/>
                <w:szCs w:val="20"/>
              </w:rPr>
            </w:pPr>
            <w:r w:rsidRPr="0006438B">
              <w:rPr>
                <w:rFonts w:ascii="Arial Narrow" w:hAnsi="Arial Narrow" w:cs="Arial"/>
                <w:sz w:val="20"/>
                <w:szCs w:val="20"/>
              </w:rPr>
              <w:t>OS</w:t>
            </w:r>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b/>
                <w:sz w:val="20"/>
                <w:szCs w:val="20"/>
              </w:rPr>
            </w:pP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18"/>
              <w:rPr>
                <w:rFonts w:ascii="Arial Narrow" w:hAnsi="Arial Narrow" w:cs="Arial"/>
                <w:sz w:val="20"/>
                <w:szCs w:val="20"/>
              </w:rPr>
            </w:pPr>
            <w:r w:rsidRPr="0006438B">
              <w:rPr>
                <w:rFonts w:ascii="Arial Narrow" w:hAnsi="Arial Narrow" w:cs="Arial"/>
                <w:sz w:val="20"/>
                <w:szCs w:val="20"/>
              </w:rPr>
              <w:t>All</w:t>
            </w:r>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334</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jc w:val="center"/>
              <w:rPr>
                <w:rFonts w:ascii="Arial Narrow" w:hAnsi="Arial Narrow" w:cs="Arial"/>
                <w:b/>
                <w:sz w:val="20"/>
                <w:szCs w:val="20"/>
              </w:rPr>
            </w:pPr>
            <w:r w:rsidRPr="0006438B">
              <w:rPr>
                <w:rFonts w:ascii="Arial Narrow" w:hAnsi="Arial Narrow" w:cs="Arial"/>
                <w:b/>
                <w:sz w:val="20"/>
                <w:szCs w:val="20"/>
              </w:rPr>
              <w:t>HR: 0.52; P = 0.011</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77.1</w:t>
            </w: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85.1</w:t>
            </w: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7.8</w:t>
            </w: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18"/>
              <w:rPr>
                <w:rFonts w:ascii="Arial Narrow" w:hAnsi="Arial Narrow" w:cs="Arial"/>
                <w:sz w:val="20"/>
                <w:szCs w:val="20"/>
              </w:rPr>
            </w:pPr>
            <w:r w:rsidRPr="0006438B">
              <w:rPr>
                <w:rFonts w:ascii="Arial Narrow" w:hAnsi="Arial Narrow" w:cs="Arial"/>
                <w:sz w:val="20"/>
                <w:szCs w:val="20"/>
              </w:rPr>
              <w:t xml:space="preserve">CHOP </w:t>
            </w:r>
            <w:proofErr w:type="spellStart"/>
            <w:r w:rsidRPr="0006438B">
              <w:rPr>
                <w:rFonts w:ascii="Arial Narrow" w:hAnsi="Arial Narrow" w:cs="Arial"/>
                <w:sz w:val="20"/>
                <w:szCs w:val="20"/>
              </w:rPr>
              <w:t>ind</w:t>
            </w:r>
            <w:proofErr w:type="spellEnd"/>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145</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jc w:val="center"/>
              <w:rPr>
                <w:rFonts w:ascii="Arial Narrow" w:hAnsi="Arial Narrow" w:cs="Arial"/>
                <w:sz w:val="20"/>
                <w:szCs w:val="20"/>
              </w:rPr>
            </w:pPr>
            <w:r w:rsidRPr="0006438B">
              <w:rPr>
                <w:rFonts w:ascii="Arial Narrow" w:hAnsi="Arial Narrow" w:cs="Arial"/>
                <w:sz w:val="20"/>
                <w:szCs w:val="20"/>
              </w:rPr>
              <w:t>NR</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18"/>
              <w:rPr>
                <w:rFonts w:ascii="Arial Narrow" w:hAnsi="Arial Narrow" w:cs="Arial"/>
                <w:sz w:val="20"/>
                <w:szCs w:val="20"/>
              </w:rPr>
            </w:pPr>
            <w:r w:rsidRPr="0006438B">
              <w:rPr>
                <w:rFonts w:ascii="Arial Narrow" w:hAnsi="Arial Narrow" w:cs="Arial"/>
                <w:sz w:val="20"/>
                <w:szCs w:val="20"/>
              </w:rPr>
              <w:t xml:space="preserve">R-CHOP </w:t>
            </w:r>
            <w:proofErr w:type="spellStart"/>
            <w:r w:rsidRPr="0006438B">
              <w:rPr>
                <w:rFonts w:ascii="Arial Narrow" w:hAnsi="Arial Narrow" w:cs="Arial"/>
                <w:sz w:val="20"/>
                <w:szCs w:val="20"/>
              </w:rPr>
              <w:t>ind</w:t>
            </w:r>
            <w:proofErr w:type="spellEnd"/>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189</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jc w:val="center"/>
              <w:rPr>
                <w:rFonts w:ascii="Arial Narrow" w:hAnsi="Arial Narrow" w:cs="Arial"/>
                <w:sz w:val="20"/>
                <w:szCs w:val="20"/>
              </w:rPr>
            </w:pPr>
            <w:r w:rsidRPr="0006438B">
              <w:rPr>
                <w:rFonts w:ascii="Arial Narrow" w:hAnsi="Arial Narrow" w:cs="Arial"/>
                <w:sz w:val="20"/>
                <w:szCs w:val="20"/>
              </w:rPr>
              <w:t>NR</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FF1B9D">
        <w:trPr>
          <w:cantSplit/>
        </w:trPr>
        <w:tc>
          <w:tcPr>
            <w:tcW w:w="8972" w:type="dxa"/>
            <w:gridSpan w:val="6"/>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4"/>
              <w:rPr>
                <w:rFonts w:ascii="Arial Narrow" w:hAnsi="Arial Narrow" w:cs="Arial"/>
                <w:sz w:val="20"/>
                <w:szCs w:val="20"/>
              </w:rPr>
            </w:pPr>
            <w:r w:rsidRPr="0006438B">
              <w:rPr>
                <w:rFonts w:ascii="Arial Narrow" w:hAnsi="Arial Narrow" w:cs="Arial"/>
                <w:sz w:val="20"/>
                <w:szCs w:val="20"/>
              </w:rPr>
              <w:t xml:space="preserve">Median follow-up 6 year </w:t>
            </w: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176"/>
              <w:rPr>
                <w:rFonts w:ascii="Arial Narrow" w:hAnsi="Arial Narrow" w:cs="Arial"/>
                <w:sz w:val="20"/>
                <w:szCs w:val="20"/>
              </w:rPr>
            </w:pPr>
            <w:r w:rsidRPr="0006438B">
              <w:rPr>
                <w:rFonts w:ascii="Arial Narrow" w:hAnsi="Arial Narrow" w:cs="Arial"/>
                <w:sz w:val="20"/>
                <w:szCs w:val="20"/>
              </w:rPr>
              <w:t>PFS</w:t>
            </w:r>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b/>
                <w:sz w:val="20"/>
                <w:szCs w:val="20"/>
              </w:rPr>
            </w:pP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18"/>
              <w:rPr>
                <w:rFonts w:ascii="Arial Narrow" w:hAnsi="Arial Narrow" w:cs="Arial"/>
                <w:sz w:val="20"/>
                <w:szCs w:val="20"/>
              </w:rPr>
            </w:pPr>
            <w:r w:rsidRPr="0006438B">
              <w:rPr>
                <w:rFonts w:ascii="Arial Narrow" w:hAnsi="Arial Narrow" w:cs="Arial"/>
                <w:sz w:val="20"/>
                <w:szCs w:val="20"/>
              </w:rPr>
              <w:t>All</w:t>
            </w:r>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334</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b/>
                <w:sz w:val="20"/>
                <w:szCs w:val="20"/>
              </w:rPr>
            </w:pPr>
            <w:r w:rsidRPr="0006438B">
              <w:rPr>
                <w:rFonts w:ascii="Arial Narrow" w:hAnsi="Arial Narrow" w:cs="Arial"/>
                <w:b/>
                <w:sz w:val="20"/>
                <w:szCs w:val="20"/>
              </w:rPr>
              <w:t>HR 0.55, p&lt;0.001</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18"/>
              <w:rPr>
                <w:rFonts w:ascii="Arial Narrow" w:hAnsi="Arial Narrow" w:cs="Arial"/>
                <w:sz w:val="20"/>
                <w:szCs w:val="20"/>
              </w:rPr>
            </w:pPr>
            <w:r w:rsidRPr="0006438B">
              <w:rPr>
                <w:rFonts w:ascii="Arial Narrow" w:hAnsi="Arial Narrow" w:cs="Arial"/>
                <w:sz w:val="20"/>
                <w:szCs w:val="20"/>
              </w:rPr>
              <w:t xml:space="preserve">CHOP </w:t>
            </w:r>
            <w:proofErr w:type="spellStart"/>
            <w:r w:rsidRPr="0006438B">
              <w:rPr>
                <w:rFonts w:ascii="Arial Narrow" w:hAnsi="Arial Narrow" w:cs="Arial"/>
                <w:sz w:val="20"/>
                <w:szCs w:val="20"/>
              </w:rPr>
              <w:t>ind</w:t>
            </w:r>
            <w:proofErr w:type="spellEnd"/>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145</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b/>
                <w:sz w:val="20"/>
                <w:szCs w:val="20"/>
              </w:rPr>
            </w:pPr>
            <w:r w:rsidRPr="0006438B">
              <w:rPr>
                <w:rFonts w:ascii="Arial Narrow" w:hAnsi="Arial Narrow" w:cs="Arial"/>
                <w:b/>
                <w:sz w:val="20"/>
                <w:szCs w:val="20"/>
              </w:rPr>
              <w:t>HR 0.37, p&lt;0.001</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18"/>
              <w:rPr>
                <w:rFonts w:ascii="Arial Narrow" w:hAnsi="Arial Narrow" w:cs="Arial"/>
                <w:sz w:val="20"/>
                <w:szCs w:val="20"/>
              </w:rPr>
            </w:pPr>
            <w:r w:rsidRPr="0006438B">
              <w:rPr>
                <w:rFonts w:ascii="Arial Narrow" w:hAnsi="Arial Narrow" w:cs="Arial"/>
                <w:sz w:val="20"/>
                <w:szCs w:val="20"/>
              </w:rPr>
              <w:t xml:space="preserve">R-CHOP </w:t>
            </w:r>
            <w:proofErr w:type="spellStart"/>
            <w:r w:rsidRPr="0006438B">
              <w:rPr>
                <w:rFonts w:ascii="Arial Narrow" w:hAnsi="Arial Narrow" w:cs="Arial"/>
                <w:sz w:val="20"/>
                <w:szCs w:val="20"/>
              </w:rPr>
              <w:t>ind</w:t>
            </w:r>
            <w:proofErr w:type="spellEnd"/>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189</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3353BA">
            <w:pPr>
              <w:keepNext/>
              <w:keepLines/>
              <w:widowControl w:val="0"/>
              <w:snapToGrid w:val="0"/>
              <w:jc w:val="center"/>
              <w:rPr>
                <w:rFonts w:ascii="Arial Narrow" w:hAnsi="Arial Narrow" w:cs="Arial"/>
                <w:b/>
                <w:sz w:val="20"/>
                <w:szCs w:val="20"/>
              </w:rPr>
            </w:pPr>
            <w:r w:rsidRPr="0006438B">
              <w:rPr>
                <w:rFonts w:ascii="Arial Narrow" w:hAnsi="Arial Narrow" w:cs="Arial"/>
                <w:b/>
                <w:sz w:val="20"/>
                <w:szCs w:val="20"/>
              </w:rPr>
              <w:t>HR 0.69, p&lt;0.043</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735DEB">
        <w:trPr>
          <w:cantSplit/>
          <w:trHeight w:val="83"/>
        </w:trPr>
        <w:tc>
          <w:tcPr>
            <w:tcW w:w="8972" w:type="dxa"/>
            <w:gridSpan w:val="6"/>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176"/>
              <w:rPr>
                <w:rFonts w:ascii="Arial Narrow" w:hAnsi="Arial Narrow" w:cs="Arial"/>
                <w:sz w:val="20"/>
                <w:szCs w:val="20"/>
              </w:rPr>
            </w:pPr>
            <w:r w:rsidRPr="0006438B">
              <w:rPr>
                <w:rFonts w:ascii="Arial Narrow" w:hAnsi="Arial Narrow" w:cs="Arial"/>
                <w:sz w:val="20"/>
                <w:szCs w:val="20"/>
              </w:rPr>
              <w:t>OS</w:t>
            </w: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18"/>
              <w:rPr>
                <w:rFonts w:ascii="Arial Narrow" w:hAnsi="Arial Narrow" w:cs="Arial"/>
                <w:sz w:val="20"/>
                <w:szCs w:val="20"/>
              </w:rPr>
            </w:pPr>
            <w:r w:rsidRPr="0006438B">
              <w:rPr>
                <w:rFonts w:ascii="Arial Narrow" w:hAnsi="Arial Narrow" w:cs="Arial"/>
                <w:sz w:val="20"/>
                <w:szCs w:val="20"/>
              </w:rPr>
              <w:t>All</w:t>
            </w:r>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334</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HR: 0.70 (0.48, 1.03)</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64.7</w:t>
            </w: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74.3</w:t>
            </w: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9.6</w:t>
            </w: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18"/>
              <w:rPr>
                <w:rFonts w:ascii="Arial Narrow" w:hAnsi="Arial Narrow" w:cs="Arial"/>
                <w:sz w:val="20"/>
                <w:szCs w:val="20"/>
              </w:rPr>
            </w:pPr>
            <w:r w:rsidRPr="0006438B">
              <w:rPr>
                <w:rFonts w:ascii="Arial Narrow" w:hAnsi="Arial Narrow" w:cs="Arial"/>
                <w:sz w:val="20"/>
                <w:szCs w:val="20"/>
              </w:rPr>
              <w:t xml:space="preserve">CHOP </w:t>
            </w:r>
            <w:proofErr w:type="spellStart"/>
            <w:r w:rsidRPr="0006438B">
              <w:rPr>
                <w:rFonts w:ascii="Arial Narrow" w:hAnsi="Arial Narrow" w:cs="Arial"/>
                <w:sz w:val="20"/>
                <w:szCs w:val="20"/>
              </w:rPr>
              <w:t>ind</w:t>
            </w:r>
            <w:proofErr w:type="spellEnd"/>
          </w:p>
        </w:tc>
        <w:tc>
          <w:tcPr>
            <w:tcW w:w="709" w:type="dxa"/>
            <w:tcBorders>
              <w:top w:val="single" w:sz="4" w:space="0" w:color="auto"/>
              <w:left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145</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HR: 0.59 (NS)</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318"/>
              <w:rPr>
                <w:rFonts w:ascii="Arial Narrow" w:hAnsi="Arial Narrow" w:cs="Arial"/>
                <w:sz w:val="20"/>
                <w:szCs w:val="20"/>
              </w:rPr>
            </w:pPr>
            <w:r w:rsidRPr="0006438B">
              <w:rPr>
                <w:rFonts w:ascii="Arial Narrow" w:hAnsi="Arial Narrow" w:cs="Arial"/>
                <w:sz w:val="20"/>
                <w:szCs w:val="20"/>
              </w:rPr>
              <w:t xml:space="preserve">R-CHOP </w:t>
            </w:r>
            <w:proofErr w:type="spellStart"/>
            <w:r w:rsidRPr="0006438B">
              <w:rPr>
                <w:rFonts w:ascii="Arial Narrow" w:hAnsi="Arial Narrow" w:cs="Arial"/>
                <w:sz w:val="20"/>
                <w:szCs w:val="20"/>
              </w:rPr>
              <w:t>ind</w:t>
            </w:r>
            <w:proofErr w:type="spellEnd"/>
          </w:p>
        </w:tc>
        <w:tc>
          <w:tcPr>
            <w:tcW w:w="709" w:type="dxa"/>
            <w:tcBorders>
              <w:left w:val="single" w:sz="4" w:space="0" w:color="auto"/>
              <w:bottom w:val="single" w:sz="4" w:space="0" w:color="auto"/>
              <w:right w:val="single" w:sz="4" w:space="0" w:color="auto"/>
            </w:tcBorders>
            <w:vAlign w:val="center"/>
            <w:hideMark/>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189</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HR 0.80 (NS)</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FF1B9D">
        <w:trPr>
          <w:cantSplit/>
        </w:trPr>
        <w:tc>
          <w:tcPr>
            <w:tcW w:w="8972" w:type="dxa"/>
            <w:gridSpan w:val="6"/>
            <w:tcBorders>
              <w:top w:val="single" w:sz="4" w:space="0" w:color="auto"/>
              <w:left w:val="single" w:sz="4" w:space="0" w:color="auto"/>
              <w:bottom w:val="single" w:sz="4" w:space="0" w:color="auto"/>
              <w:right w:val="single" w:sz="4" w:space="0" w:color="auto"/>
            </w:tcBorders>
            <w:vAlign w:val="center"/>
            <w:hideMark/>
          </w:tcPr>
          <w:p w:rsidR="00A63ED8" w:rsidRPr="0006438B" w:rsidRDefault="00A63ED8" w:rsidP="00A63ED8">
            <w:pPr>
              <w:keepNext/>
              <w:keepLines/>
              <w:widowControl w:val="0"/>
              <w:snapToGrid w:val="0"/>
              <w:rPr>
                <w:rFonts w:ascii="Arial Narrow" w:hAnsi="Arial Narrow" w:cs="Arial"/>
                <w:i/>
                <w:sz w:val="20"/>
                <w:szCs w:val="20"/>
              </w:rPr>
            </w:pPr>
            <w:proofErr w:type="spellStart"/>
            <w:r w:rsidRPr="0006438B">
              <w:rPr>
                <w:rFonts w:ascii="Arial Narrow" w:hAnsi="Arial Narrow" w:cs="Arial"/>
                <w:i/>
                <w:sz w:val="20"/>
                <w:szCs w:val="20"/>
              </w:rPr>
              <w:t>Hainsworth</w:t>
            </w:r>
            <w:proofErr w:type="spellEnd"/>
            <w:r w:rsidRPr="0006438B">
              <w:rPr>
                <w:rFonts w:ascii="Arial Narrow" w:hAnsi="Arial Narrow" w:cs="Arial"/>
                <w:i/>
                <w:sz w:val="20"/>
                <w:szCs w:val="20"/>
              </w:rPr>
              <w:t xml:space="preserve"> et al 2005, median follow up 41 months </w:t>
            </w: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hideMark/>
          </w:tcPr>
          <w:p w:rsidR="00A63ED8" w:rsidRPr="0006438B" w:rsidRDefault="00A63ED8" w:rsidP="00090D20">
            <w:pPr>
              <w:keepNext/>
              <w:keepLines/>
              <w:widowControl w:val="0"/>
              <w:snapToGrid w:val="0"/>
              <w:ind w:left="318"/>
              <w:rPr>
                <w:rFonts w:ascii="Arial Narrow" w:hAnsi="Arial Narrow" w:cs="Arial"/>
                <w:sz w:val="20"/>
                <w:szCs w:val="20"/>
              </w:rPr>
            </w:pPr>
            <w:r w:rsidRPr="0006438B">
              <w:rPr>
                <w:rFonts w:ascii="Arial Narrow" w:hAnsi="Arial Narrow" w:cs="Arial"/>
                <w:sz w:val="20"/>
                <w:szCs w:val="20"/>
              </w:rPr>
              <w:t>PFS, median (</w:t>
            </w:r>
            <w:proofErr w:type="spellStart"/>
            <w:r w:rsidRPr="0006438B">
              <w:rPr>
                <w:rFonts w:ascii="Arial Narrow" w:hAnsi="Arial Narrow" w:cs="Arial"/>
                <w:sz w:val="20"/>
                <w:szCs w:val="20"/>
              </w:rPr>
              <w:t>m</w:t>
            </w:r>
            <w:r w:rsidR="00090D20" w:rsidRPr="0006438B">
              <w:rPr>
                <w:rFonts w:ascii="Arial Narrow" w:hAnsi="Arial Narrow" w:cs="Arial"/>
                <w:sz w:val="20"/>
                <w:szCs w:val="20"/>
              </w:rPr>
              <w:t>nt</w:t>
            </w:r>
            <w:r w:rsidRPr="0006438B">
              <w:rPr>
                <w:rFonts w:ascii="Arial Narrow" w:hAnsi="Arial Narrow" w:cs="Arial"/>
                <w:sz w:val="20"/>
                <w:szCs w:val="20"/>
              </w:rPr>
              <w:t>hs</w:t>
            </w:r>
            <w:proofErr w:type="spellEnd"/>
            <w:r w:rsidRPr="0006438B">
              <w:rPr>
                <w:rFonts w:ascii="Arial Narrow" w:hAnsi="Arial Narrow" w:cs="Arial"/>
                <w:sz w:val="20"/>
                <w:szCs w:val="20"/>
              </w:rPr>
              <w: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90</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 xml:space="preserve">31.3 vs 7.4, </w:t>
            </w:r>
            <w:r w:rsidRPr="0006438B">
              <w:rPr>
                <w:rFonts w:ascii="Arial Narrow" w:hAnsi="Arial Narrow" w:cs="Arial"/>
                <w:i/>
                <w:sz w:val="20"/>
                <w:szCs w:val="20"/>
              </w:rPr>
              <w:t>P = .007</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hideMark/>
          </w:tcPr>
          <w:p w:rsidR="00A63ED8" w:rsidRPr="0006438B" w:rsidRDefault="00A63ED8" w:rsidP="00A63ED8">
            <w:pPr>
              <w:keepNext/>
              <w:keepLines/>
              <w:widowControl w:val="0"/>
              <w:snapToGrid w:val="0"/>
              <w:ind w:firstLine="318"/>
              <w:rPr>
                <w:rFonts w:ascii="Arial Narrow" w:hAnsi="Arial Narrow" w:cs="Arial"/>
                <w:sz w:val="20"/>
                <w:szCs w:val="20"/>
              </w:rPr>
            </w:pPr>
            <w:r w:rsidRPr="0006438B">
              <w:rPr>
                <w:rFonts w:ascii="Arial Narrow" w:hAnsi="Arial Narrow" w:cs="Arial"/>
                <w:sz w:val="20"/>
                <w:szCs w:val="20"/>
              </w:rPr>
              <w:t>OS, 3yr</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3ED8" w:rsidRPr="0006438B" w:rsidRDefault="00A63ED8" w:rsidP="00A63ED8">
            <w:pPr>
              <w:keepNext/>
              <w:keepLines/>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NS</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68</w:t>
            </w: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72</w:t>
            </w: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4</w:t>
            </w:r>
          </w:p>
        </w:tc>
      </w:tr>
      <w:tr w:rsidR="00A63ED8" w:rsidRPr="0006438B" w:rsidTr="00FF1B9D">
        <w:trPr>
          <w:cantSplit/>
        </w:trPr>
        <w:tc>
          <w:tcPr>
            <w:tcW w:w="8972" w:type="dxa"/>
            <w:gridSpan w:val="6"/>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rPr>
                <w:rFonts w:ascii="Arial Narrow" w:hAnsi="Arial Narrow" w:cs="Arial"/>
                <w:b/>
                <w:sz w:val="20"/>
                <w:szCs w:val="20"/>
              </w:rPr>
            </w:pPr>
            <w:r w:rsidRPr="0006438B">
              <w:rPr>
                <w:rFonts w:ascii="Arial Narrow" w:hAnsi="Arial Narrow" w:cs="Arial"/>
                <w:b/>
                <w:sz w:val="20"/>
                <w:szCs w:val="20"/>
              </w:rPr>
              <w:t>Harms</w:t>
            </w:r>
          </w:p>
        </w:tc>
      </w:tr>
      <w:tr w:rsidR="00A63ED8" w:rsidRPr="0006438B" w:rsidTr="00FF1B9D">
        <w:trPr>
          <w:cantSplit/>
        </w:trPr>
        <w:tc>
          <w:tcPr>
            <w:tcW w:w="8972" w:type="dxa"/>
            <w:gridSpan w:val="6"/>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rPr>
                <w:rFonts w:ascii="Arial Narrow" w:hAnsi="Arial Narrow" w:cs="Arial"/>
                <w:i/>
                <w:sz w:val="20"/>
                <w:szCs w:val="20"/>
              </w:rPr>
            </w:pPr>
            <w:r w:rsidRPr="0006438B">
              <w:rPr>
                <w:rFonts w:ascii="Arial Narrow" w:hAnsi="Arial Narrow" w:cs="Arial"/>
                <w:i/>
                <w:sz w:val="20"/>
                <w:szCs w:val="20"/>
              </w:rPr>
              <w:t xml:space="preserve">Van </w:t>
            </w:r>
            <w:proofErr w:type="spellStart"/>
            <w:r w:rsidRPr="0006438B">
              <w:rPr>
                <w:rFonts w:ascii="Arial Narrow" w:hAnsi="Arial Narrow" w:cs="Arial"/>
                <w:i/>
                <w:sz w:val="20"/>
                <w:szCs w:val="20"/>
              </w:rPr>
              <w:t>Oers</w:t>
            </w:r>
            <w:proofErr w:type="spellEnd"/>
            <w:r w:rsidRPr="0006438B">
              <w:rPr>
                <w:rFonts w:ascii="Arial Narrow" w:hAnsi="Arial Narrow" w:cs="Arial"/>
                <w:i/>
                <w:sz w:val="20"/>
                <w:szCs w:val="20"/>
              </w:rPr>
              <w:t xml:space="preserve"> et al 2010</w:t>
            </w: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176"/>
              <w:rPr>
                <w:rFonts w:ascii="Arial Narrow" w:hAnsi="Arial Narrow" w:cs="Arial"/>
                <w:sz w:val="20"/>
                <w:szCs w:val="20"/>
              </w:rPr>
            </w:pPr>
            <w:r w:rsidRPr="0006438B">
              <w:rPr>
                <w:rFonts w:ascii="Arial Narrow" w:hAnsi="Arial Narrow" w:cs="Arial"/>
                <w:sz w:val="20"/>
                <w:szCs w:val="20"/>
              </w:rPr>
              <w:t>Disc due to AE</w:t>
            </w:r>
          </w:p>
        </w:tc>
        <w:tc>
          <w:tcPr>
            <w:tcW w:w="709" w:type="dxa"/>
            <w:vMerge w:val="restart"/>
            <w:tcBorders>
              <w:top w:val="single" w:sz="4" w:space="0" w:color="auto"/>
              <w:left w:val="single" w:sz="4" w:space="0" w:color="auto"/>
              <w:right w:val="single" w:sz="4" w:space="0" w:color="auto"/>
            </w:tcBorders>
            <w:vAlign w:val="center"/>
          </w:tcPr>
          <w:p w:rsidR="00A63ED8" w:rsidRPr="0006438B" w:rsidRDefault="00A63ED8" w:rsidP="00A63ED8">
            <w:pPr>
              <w:keepNext/>
              <w:keepLines/>
              <w:jc w:val="center"/>
              <w:rPr>
                <w:rFonts w:ascii="Arial Narrow" w:hAnsi="Arial Narrow" w:cs="Arial"/>
                <w:sz w:val="20"/>
                <w:szCs w:val="20"/>
              </w:rPr>
            </w:pPr>
            <w:r w:rsidRPr="0006438B">
              <w:rPr>
                <w:rFonts w:ascii="Arial Narrow" w:hAnsi="Arial Narrow" w:cs="Arial"/>
                <w:sz w:val="20"/>
                <w:szCs w:val="20"/>
              </w:rPr>
              <w:t>334</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NE</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4</w:t>
            </w: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4.2</w:t>
            </w: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176"/>
              <w:rPr>
                <w:rFonts w:ascii="Arial Narrow" w:hAnsi="Arial Narrow" w:cs="Arial"/>
                <w:sz w:val="20"/>
                <w:szCs w:val="20"/>
              </w:rPr>
            </w:pPr>
            <w:r w:rsidRPr="0006438B">
              <w:rPr>
                <w:rFonts w:ascii="Arial Narrow" w:hAnsi="Arial Narrow" w:cs="Arial"/>
                <w:sz w:val="20"/>
                <w:szCs w:val="20"/>
              </w:rPr>
              <w:t>Neutropenia</w:t>
            </w:r>
          </w:p>
        </w:tc>
        <w:tc>
          <w:tcPr>
            <w:tcW w:w="709" w:type="dxa"/>
            <w:vMerge/>
            <w:tcBorders>
              <w:left w:val="single" w:sz="4" w:space="0" w:color="auto"/>
              <w:right w:val="single" w:sz="4" w:space="0" w:color="auto"/>
            </w:tcBorders>
            <w:vAlign w:val="center"/>
          </w:tcPr>
          <w:p w:rsidR="00A63ED8" w:rsidRPr="0006438B" w:rsidRDefault="00A63ED8" w:rsidP="00A63ED8">
            <w:pPr>
              <w:keepNext/>
              <w:keepLines/>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RR: 1.90 (0.91, 3.96)</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6</w:t>
            </w: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11</w:t>
            </w: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5.4</w:t>
            </w: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firstLine="176"/>
              <w:rPr>
                <w:rFonts w:ascii="Arial Narrow" w:hAnsi="Arial Narrow" w:cs="Arial"/>
                <w:sz w:val="20"/>
                <w:szCs w:val="20"/>
              </w:rPr>
            </w:pPr>
            <w:r w:rsidRPr="0006438B">
              <w:rPr>
                <w:rFonts w:ascii="Arial Narrow" w:hAnsi="Arial Narrow" w:cs="Arial"/>
                <w:sz w:val="20"/>
                <w:szCs w:val="20"/>
              </w:rPr>
              <w:t>Infections *</w:t>
            </w:r>
          </w:p>
        </w:tc>
        <w:tc>
          <w:tcPr>
            <w:tcW w:w="709" w:type="dxa"/>
            <w:vMerge/>
            <w:tcBorders>
              <w:left w:val="single" w:sz="4" w:space="0" w:color="auto"/>
              <w:bottom w:val="single" w:sz="4" w:space="0" w:color="auto"/>
              <w:right w:val="single" w:sz="4" w:space="0" w:color="auto"/>
            </w:tcBorders>
            <w:vAlign w:val="center"/>
          </w:tcPr>
          <w:p w:rsidR="00A63ED8" w:rsidRPr="0006438B" w:rsidRDefault="00A63ED8" w:rsidP="00A63ED8">
            <w:pPr>
              <w:keepNext/>
              <w:keepLines/>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jc w:val="center"/>
              <w:rPr>
                <w:rFonts w:ascii="Arial Narrow" w:hAnsi="Arial Narrow" w:cs="Arial"/>
                <w:sz w:val="20"/>
                <w:szCs w:val="20"/>
              </w:rPr>
            </w:pPr>
            <w:r w:rsidRPr="0006438B">
              <w:rPr>
                <w:rFonts w:ascii="Arial Narrow" w:hAnsi="Arial Narrow" w:cs="Arial"/>
                <w:b/>
                <w:i/>
                <w:sz w:val="20"/>
                <w:szCs w:val="20"/>
              </w:rPr>
              <w:t>RR: 4.00 (1.36, 11.7)</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10</w:t>
            </w: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7.2</w:t>
            </w:r>
          </w:p>
        </w:tc>
      </w:tr>
      <w:tr w:rsidR="00A63ED8" w:rsidRPr="0006438B" w:rsidTr="00FF1B9D">
        <w:trPr>
          <w:cantSplit/>
        </w:trPr>
        <w:tc>
          <w:tcPr>
            <w:tcW w:w="8972" w:type="dxa"/>
            <w:gridSpan w:val="6"/>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rPr>
                <w:rFonts w:ascii="Arial Narrow" w:hAnsi="Arial Narrow" w:cs="Arial"/>
                <w:i/>
                <w:sz w:val="20"/>
                <w:szCs w:val="20"/>
              </w:rPr>
            </w:pPr>
            <w:proofErr w:type="spellStart"/>
            <w:r w:rsidRPr="0006438B">
              <w:rPr>
                <w:rFonts w:ascii="Arial Narrow" w:hAnsi="Arial Narrow" w:cs="Arial"/>
                <w:i/>
                <w:sz w:val="20"/>
                <w:szCs w:val="20"/>
              </w:rPr>
              <w:t>Hainsworth</w:t>
            </w:r>
            <w:proofErr w:type="spellEnd"/>
            <w:r w:rsidRPr="0006438B">
              <w:rPr>
                <w:rFonts w:ascii="Arial Narrow" w:hAnsi="Arial Narrow" w:cs="Arial"/>
                <w:i/>
                <w:sz w:val="20"/>
                <w:szCs w:val="20"/>
              </w:rPr>
              <w:t xml:space="preserve"> et al 2005</w:t>
            </w: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left="176"/>
              <w:rPr>
                <w:rFonts w:ascii="Arial Narrow" w:hAnsi="Arial Narrow" w:cs="Arial"/>
                <w:sz w:val="20"/>
                <w:szCs w:val="20"/>
              </w:rPr>
            </w:pPr>
            <w:r w:rsidRPr="0006438B">
              <w:rPr>
                <w:rFonts w:ascii="Arial Narrow" w:hAnsi="Arial Narrow" w:cs="Arial"/>
                <w:sz w:val="20"/>
                <w:szCs w:val="20"/>
              </w:rPr>
              <w:t>Neutropenia *</w:t>
            </w:r>
          </w:p>
        </w:tc>
        <w:tc>
          <w:tcPr>
            <w:tcW w:w="709" w:type="dxa"/>
            <w:vMerge w:val="restart"/>
            <w:tcBorders>
              <w:top w:val="single" w:sz="4" w:space="0" w:color="auto"/>
              <w:left w:val="single" w:sz="4" w:space="0" w:color="auto"/>
              <w:right w:val="single" w:sz="4" w:space="0" w:color="auto"/>
            </w:tcBorders>
            <w:vAlign w:val="center"/>
          </w:tcPr>
          <w:p w:rsidR="00A63ED8" w:rsidRPr="0006438B" w:rsidRDefault="00A63ED8" w:rsidP="00A63ED8">
            <w:pPr>
              <w:keepNext/>
              <w:keepLines/>
              <w:jc w:val="center"/>
              <w:rPr>
                <w:rFonts w:ascii="Arial Narrow" w:hAnsi="Arial Narrow" w:cs="Arial"/>
                <w:sz w:val="20"/>
                <w:szCs w:val="20"/>
              </w:rPr>
            </w:pPr>
            <w:r w:rsidRPr="0006438B">
              <w:rPr>
                <w:rFonts w:ascii="Arial Narrow" w:hAnsi="Arial Narrow" w:cs="Arial"/>
                <w:sz w:val="20"/>
                <w:szCs w:val="20"/>
              </w:rPr>
              <w:t>90</w:t>
            </w: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NE</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2</w:t>
            </w: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2.3</w:t>
            </w:r>
          </w:p>
        </w:tc>
      </w:tr>
      <w:tr w:rsidR="00A63ED8" w:rsidRPr="0006438B" w:rsidTr="00090D20">
        <w:trPr>
          <w:cantSplit/>
        </w:trPr>
        <w:tc>
          <w:tcPr>
            <w:tcW w:w="1934"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ind w:left="176"/>
              <w:rPr>
                <w:rFonts w:ascii="Arial Narrow" w:hAnsi="Arial Narrow" w:cs="Arial"/>
                <w:sz w:val="20"/>
                <w:szCs w:val="20"/>
              </w:rPr>
            </w:pPr>
            <w:r w:rsidRPr="0006438B">
              <w:rPr>
                <w:rFonts w:ascii="Arial Narrow" w:hAnsi="Arial Narrow" w:cs="Arial"/>
                <w:sz w:val="20"/>
                <w:szCs w:val="20"/>
              </w:rPr>
              <w:t>Infusion related toxicity</w:t>
            </w:r>
          </w:p>
        </w:tc>
        <w:tc>
          <w:tcPr>
            <w:tcW w:w="709" w:type="dxa"/>
            <w:vMerge/>
            <w:tcBorders>
              <w:left w:val="single" w:sz="4" w:space="0" w:color="auto"/>
              <w:bottom w:val="single" w:sz="4" w:space="0" w:color="auto"/>
              <w:right w:val="single" w:sz="4" w:space="0" w:color="auto"/>
            </w:tcBorders>
            <w:vAlign w:val="center"/>
          </w:tcPr>
          <w:p w:rsidR="00A63ED8" w:rsidRPr="0006438B" w:rsidRDefault="00A63ED8" w:rsidP="00A63ED8">
            <w:pPr>
              <w:keepNext/>
              <w:keepLines/>
              <w:jc w:val="center"/>
              <w:rPr>
                <w:rFonts w:ascii="Arial Narrow" w:hAnsi="Arial Narrow" w:cs="Arial"/>
                <w:sz w:val="20"/>
                <w:szCs w:val="20"/>
              </w:rPr>
            </w:pPr>
          </w:p>
        </w:tc>
        <w:tc>
          <w:tcPr>
            <w:tcW w:w="218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NE</w:t>
            </w:r>
          </w:p>
        </w:tc>
        <w:tc>
          <w:tcPr>
            <w:tcW w:w="1646"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5</w:t>
            </w:r>
          </w:p>
        </w:tc>
        <w:tc>
          <w:tcPr>
            <w:tcW w:w="801" w:type="dxa"/>
            <w:tcBorders>
              <w:top w:val="single" w:sz="4" w:space="0" w:color="auto"/>
              <w:left w:val="single" w:sz="4" w:space="0" w:color="auto"/>
              <w:bottom w:val="single" w:sz="4" w:space="0" w:color="auto"/>
              <w:right w:val="single" w:sz="4" w:space="0" w:color="auto"/>
            </w:tcBorders>
            <w:vAlign w:val="center"/>
          </w:tcPr>
          <w:p w:rsidR="00A63ED8" w:rsidRPr="0006438B" w:rsidRDefault="00A63ED8" w:rsidP="00A63ED8">
            <w:pPr>
              <w:keepNext/>
              <w:keepLines/>
              <w:widowControl w:val="0"/>
              <w:snapToGrid w:val="0"/>
              <w:jc w:val="center"/>
              <w:rPr>
                <w:rFonts w:ascii="Arial Narrow" w:hAnsi="Arial Narrow" w:cs="Arial"/>
                <w:sz w:val="20"/>
                <w:szCs w:val="20"/>
              </w:rPr>
            </w:pPr>
            <w:r w:rsidRPr="0006438B">
              <w:rPr>
                <w:rFonts w:ascii="Arial Narrow" w:hAnsi="Arial Narrow" w:cs="Arial"/>
                <w:sz w:val="20"/>
                <w:szCs w:val="20"/>
              </w:rPr>
              <w:t>4.5</w:t>
            </w:r>
          </w:p>
        </w:tc>
      </w:tr>
    </w:tbl>
    <w:p w:rsidR="007324FE" w:rsidRPr="0006438B" w:rsidRDefault="00A63ED8" w:rsidP="00090D20">
      <w:pPr>
        <w:keepNext/>
        <w:keepLines/>
        <w:rPr>
          <w:rFonts w:ascii="Arial Narrow" w:hAnsi="Arial Narrow" w:cs="Arial"/>
          <w:sz w:val="20"/>
          <w:szCs w:val="20"/>
          <w:lang w:eastAsia="en-US"/>
        </w:rPr>
      </w:pPr>
      <w:r w:rsidRPr="0006438B">
        <w:rPr>
          <w:rFonts w:ascii="Arial Narrow" w:hAnsi="Arial Narrow" w:cs="Arial"/>
          <w:sz w:val="20"/>
          <w:szCs w:val="20"/>
          <w:lang w:eastAsia="en-US"/>
        </w:rPr>
        <w:t>* Grade 3/4</w:t>
      </w:r>
      <w:r w:rsidR="00090D20" w:rsidRPr="0006438B">
        <w:rPr>
          <w:rFonts w:ascii="Arial Narrow" w:hAnsi="Arial Narrow" w:cs="Arial"/>
          <w:sz w:val="20"/>
          <w:szCs w:val="20"/>
          <w:lang w:eastAsia="en-US"/>
        </w:rPr>
        <w:t xml:space="preserve">.    </w:t>
      </w:r>
      <w:proofErr w:type="spellStart"/>
      <w:proofErr w:type="gramStart"/>
      <w:r w:rsidRPr="0006438B">
        <w:rPr>
          <w:rFonts w:ascii="Arial Narrow" w:hAnsi="Arial Narrow" w:cs="Arial"/>
          <w:sz w:val="20"/>
          <w:szCs w:val="20"/>
          <w:lang w:eastAsia="en-US"/>
        </w:rPr>
        <w:t>ind</w:t>
      </w:r>
      <w:proofErr w:type="spellEnd"/>
      <w:proofErr w:type="gramEnd"/>
      <w:r w:rsidRPr="0006438B">
        <w:rPr>
          <w:rFonts w:ascii="Arial Narrow" w:hAnsi="Arial Narrow" w:cs="Arial"/>
          <w:sz w:val="20"/>
          <w:szCs w:val="20"/>
          <w:lang w:eastAsia="en-US"/>
        </w:rPr>
        <w:t xml:space="preserve"> = induction; AE = adverse event; (R)-CHOP = (rituximab +) </w:t>
      </w:r>
      <w:r w:rsidRPr="0006438B">
        <w:rPr>
          <w:rFonts w:ascii="Arial Narrow" w:hAnsi="Arial Narrow" w:cs="Arial"/>
          <w:sz w:val="20"/>
          <w:szCs w:val="20"/>
        </w:rPr>
        <w:t>cyclophosphamide, doxorubicin, vincristine, and prednisone</w:t>
      </w:r>
      <w:r w:rsidRPr="0006438B">
        <w:rPr>
          <w:rFonts w:ascii="Arial Narrow" w:hAnsi="Arial Narrow" w:cs="Arial"/>
          <w:sz w:val="20"/>
          <w:szCs w:val="20"/>
          <w:lang w:eastAsia="en-US"/>
        </w:rPr>
        <w:t xml:space="preserve">; OS = overall survival; PFS = progression free survival; </w:t>
      </w:r>
      <w:proofErr w:type="spellStart"/>
      <w:r w:rsidRPr="0006438B">
        <w:rPr>
          <w:rFonts w:ascii="Arial Narrow" w:hAnsi="Arial Narrow" w:cs="Arial"/>
          <w:sz w:val="20"/>
          <w:szCs w:val="20"/>
          <w:lang w:eastAsia="en-US"/>
        </w:rPr>
        <w:t>Obs</w:t>
      </w:r>
      <w:proofErr w:type="spellEnd"/>
      <w:r w:rsidRPr="0006438B">
        <w:rPr>
          <w:rFonts w:ascii="Arial Narrow" w:hAnsi="Arial Narrow" w:cs="Arial"/>
          <w:sz w:val="20"/>
          <w:szCs w:val="20"/>
          <w:lang w:eastAsia="en-US"/>
        </w:rPr>
        <w:t xml:space="preserve"> = observation; MR = rituximab maintenance treatment; disc = discontinuation; RR = relative risk; HR = hazard ratio; NE = not estimable; CI = confidence interval; </w:t>
      </w:r>
      <w:r w:rsidRPr="0006438B">
        <w:rPr>
          <w:rFonts w:ascii="Arial Narrow" w:hAnsi="Arial Narrow" w:cs="Arial"/>
          <w:b/>
          <w:sz w:val="20"/>
          <w:szCs w:val="20"/>
          <w:lang w:eastAsia="en-US"/>
        </w:rPr>
        <w:t>Bold</w:t>
      </w:r>
      <w:r w:rsidRPr="0006438B">
        <w:rPr>
          <w:rFonts w:ascii="Arial Narrow" w:hAnsi="Arial Narrow" w:cs="Arial"/>
          <w:sz w:val="20"/>
          <w:szCs w:val="20"/>
          <w:lang w:eastAsia="en-US"/>
        </w:rPr>
        <w:t xml:space="preserve"> = statistically significant. </w:t>
      </w:r>
    </w:p>
    <w:p w:rsidR="00090D20" w:rsidRPr="006A2AF8" w:rsidRDefault="00090D20" w:rsidP="0006438B">
      <w:pPr>
        <w:ind w:left="357"/>
        <w:jc w:val="both"/>
        <w:rPr>
          <w:rFonts w:ascii="Arial" w:hAnsi="Arial"/>
          <w:color w:val="00B050"/>
          <w:sz w:val="22"/>
          <w:szCs w:val="22"/>
        </w:rPr>
      </w:pPr>
    </w:p>
    <w:p w:rsidR="00F732CD" w:rsidRPr="005F3E57" w:rsidRDefault="00A63ED8" w:rsidP="005F3E57">
      <w:pPr>
        <w:pStyle w:val="ListParagraph"/>
        <w:numPr>
          <w:ilvl w:val="1"/>
          <w:numId w:val="1"/>
        </w:numPr>
        <w:ind w:left="720"/>
        <w:jc w:val="both"/>
        <w:rPr>
          <w:rFonts w:ascii="Arial" w:hAnsi="Arial"/>
          <w:sz w:val="22"/>
          <w:szCs w:val="22"/>
        </w:rPr>
      </w:pPr>
      <w:r w:rsidRPr="005F3E57">
        <w:rPr>
          <w:rFonts w:ascii="Arial" w:hAnsi="Arial"/>
          <w:sz w:val="22"/>
          <w:szCs w:val="22"/>
        </w:rPr>
        <w:t>B</w:t>
      </w:r>
      <w:r w:rsidR="00F732CD" w:rsidRPr="005F3E57">
        <w:rPr>
          <w:rFonts w:ascii="Arial" w:hAnsi="Arial"/>
          <w:sz w:val="22"/>
          <w:szCs w:val="22"/>
        </w:rPr>
        <w:t xml:space="preserve">ased on the </w:t>
      </w:r>
      <w:r w:rsidR="006F381F" w:rsidRPr="005F3E57">
        <w:rPr>
          <w:rFonts w:ascii="Arial" w:hAnsi="Arial"/>
          <w:sz w:val="22"/>
          <w:szCs w:val="22"/>
        </w:rPr>
        <w:t>PRIMA</w:t>
      </w:r>
      <w:r w:rsidR="00F732CD" w:rsidRPr="005F3E57">
        <w:rPr>
          <w:rFonts w:ascii="Arial" w:hAnsi="Arial"/>
          <w:sz w:val="22"/>
          <w:szCs w:val="22"/>
        </w:rPr>
        <w:t xml:space="preserve"> trial</w:t>
      </w:r>
      <w:r w:rsidR="006F381F" w:rsidRPr="005F3E57">
        <w:rPr>
          <w:rFonts w:ascii="Arial" w:hAnsi="Arial"/>
          <w:sz w:val="22"/>
          <w:szCs w:val="22"/>
        </w:rPr>
        <w:t xml:space="preserve"> (</w:t>
      </w:r>
      <w:proofErr w:type="spellStart"/>
      <w:r w:rsidR="006F381F" w:rsidRPr="005F3E57">
        <w:rPr>
          <w:rFonts w:ascii="Arial" w:hAnsi="Arial"/>
          <w:sz w:val="22"/>
          <w:szCs w:val="22"/>
        </w:rPr>
        <w:t>Salles</w:t>
      </w:r>
      <w:proofErr w:type="spellEnd"/>
      <w:r w:rsidR="006F381F" w:rsidRPr="005F3E57">
        <w:rPr>
          <w:rFonts w:ascii="Arial" w:hAnsi="Arial"/>
          <w:sz w:val="22"/>
          <w:szCs w:val="22"/>
        </w:rPr>
        <w:t xml:space="preserve"> et al, 2013)</w:t>
      </w:r>
      <w:r w:rsidR="00F732CD" w:rsidRPr="005F3E57">
        <w:rPr>
          <w:rFonts w:ascii="Arial" w:hAnsi="Arial"/>
          <w:sz w:val="22"/>
          <w:szCs w:val="22"/>
        </w:rPr>
        <w:t xml:space="preserve">, for every 100 patients with </w:t>
      </w:r>
      <w:r w:rsidR="00327C9A" w:rsidRPr="005F3E57">
        <w:rPr>
          <w:rFonts w:ascii="Arial" w:hAnsi="Arial"/>
          <w:sz w:val="22"/>
          <w:szCs w:val="22"/>
        </w:rPr>
        <w:t>FL</w:t>
      </w:r>
      <w:r w:rsidR="00F732CD" w:rsidRPr="005F3E57">
        <w:rPr>
          <w:rFonts w:ascii="Arial" w:hAnsi="Arial"/>
          <w:sz w:val="22"/>
          <w:szCs w:val="22"/>
        </w:rPr>
        <w:t xml:space="preserve"> treated with rituximab maintenance therapy following their first induction treatment compared to observation:</w:t>
      </w:r>
    </w:p>
    <w:p w:rsidR="00F732CD" w:rsidRPr="00882085" w:rsidRDefault="00F732CD" w:rsidP="00AA4989">
      <w:pPr>
        <w:pStyle w:val="ListParagraph"/>
        <w:numPr>
          <w:ilvl w:val="0"/>
          <w:numId w:val="3"/>
        </w:numPr>
        <w:jc w:val="both"/>
        <w:rPr>
          <w:rFonts w:ascii="Arial" w:hAnsi="Arial"/>
          <w:sz w:val="22"/>
          <w:szCs w:val="22"/>
        </w:rPr>
      </w:pPr>
      <w:r>
        <w:rPr>
          <w:rFonts w:ascii="Arial" w:hAnsi="Arial"/>
          <w:sz w:val="22"/>
          <w:szCs w:val="22"/>
        </w:rPr>
        <w:t xml:space="preserve">An additional 18 patients would be progression free after 73 months. </w:t>
      </w:r>
    </w:p>
    <w:p w:rsidR="00F732CD" w:rsidRDefault="00F732CD" w:rsidP="00AA4989">
      <w:pPr>
        <w:pStyle w:val="ListParagraph"/>
        <w:numPr>
          <w:ilvl w:val="0"/>
          <w:numId w:val="3"/>
        </w:numPr>
        <w:jc w:val="both"/>
        <w:rPr>
          <w:rFonts w:ascii="Arial" w:hAnsi="Arial"/>
          <w:sz w:val="22"/>
          <w:szCs w:val="22"/>
        </w:rPr>
      </w:pPr>
      <w:r>
        <w:rPr>
          <w:rFonts w:ascii="Arial" w:hAnsi="Arial"/>
          <w:sz w:val="22"/>
          <w:szCs w:val="22"/>
        </w:rPr>
        <w:t>An additional 3 patients would have neutropenia.</w:t>
      </w:r>
    </w:p>
    <w:p w:rsidR="00F732CD" w:rsidRPr="007641BC" w:rsidRDefault="00F732CD" w:rsidP="00F732CD">
      <w:pPr>
        <w:pStyle w:val="ListParagraph"/>
        <w:numPr>
          <w:ilvl w:val="0"/>
          <w:numId w:val="3"/>
        </w:numPr>
        <w:jc w:val="both"/>
        <w:rPr>
          <w:rFonts w:ascii="Arial" w:hAnsi="Arial"/>
          <w:sz w:val="22"/>
          <w:szCs w:val="22"/>
        </w:rPr>
      </w:pPr>
      <w:r w:rsidRPr="007641BC">
        <w:rPr>
          <w:rFonts w:ascii="Arial" w:hAnsi="Arial"/>
          <w:sz w:val="22"/>
          <w:szCs w:val="22"/>
        </w:rPr>
        <w:t xml:space="preserve">An additional 3 patients would have grade 3 or 4 infections. </w:t>
      </w:r>
    </w:p>
    <w:p w:rsidR="007641BC" w:rsidRDefault="007641BC" w:rsidP="00882085">
      <w:pPr>
        <w:jc w:val="both"/>
        <w:rPr>
          <w:rFonts w:ascii="Arial" w:hAnsi="Arial"/>
          <w:b/>
          <w:i/>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 xml:space="preserve">Clinical </w:t>
      </w:r>
      <w:r w:rsidR="00013A1A">
        <w:rPr>
          <w:rFonts w:ascii="Arial" w:hAnsi="Arial"/>
          <w:b/>
          <w:i/>
          <w:sz w:val="22"/>
          <w:szCs w:val="22"/>
        </w:rPr>
        <w:t xml:space="preserve">trials, clinical </w:t>
      </w:r>
      <w:r w:rsidRPr="00882085">
        <w:rPr>
          <w:rFonts w:ascii="Arial" w:hAnsi="Arial"/>
          <w:b/>
          <w:i/>
          <w:sz w:val="22"/>
          <w:szCs w:val="22"/>
        </w:rPr>
        <w:t>claim</w:t>
      </w:r>
      <w:r w:rsidR="00C74F8E">
        <w:rPr>
          <w:rFonts w:ascii="Arial" w:hAnsi="Arial"/>
          <w:b/>
          <w:i/>
          <w:sz w:val="22"/>
          <w:szCs w:val="22"/>
        </w:rPr>
        <w:t xml:space="preserve"> and modelled Overall Survival</w:t>
      </w:r>
    </w:p>
    <w:p w:rsidR="00013A1A" w:rsidRDefault="00013A1A" w:rsidP="00013A1A">
      <w:pPr>
        <w:jc w:val="both"/>
        <w:rPr>
          <w:rFonts w:ascii="Arial" w:hAnsi="Arial"/>
          <w:sz w:val="22"/>
          <w:szCs w:val="22"/>
        </w:rPr>
      </w:pPr>
    </w:p>
    <w:p w:rsidR="00013A1A" w:rsidRPr="005F3E57" w:rsidRDefault="00013A1A" w:rsidP="005F3E57">
      <w:pPr>
        <w:pStyle w:val="ListParagraph"/>
        <w:numPr>
          <w:ilvl w:val="1"/>
          <w:numId w:val="1"/>
        </w:numPr>
        <w:ind w:left="720"/>
        <w:jc w:val="both"/>
        <w:rPr>
          <w:rFonts w:ascii="Arial" w:hAnsi="Arial"/>
          <w:sz w:val="22"/>
          <w:szCs w:val="22"/>
        </w:rPr>
      </w:pPr>
      <w:r w:rsidRPr="005F3E57">
        <w:rPr>
          <w:rFonts w:ascii="Arial" w:hAnsi="Arial" w:cs="Arial"/>
          <w:color w:val="000000"/>
          <w:sz w:val="22"/>
          <w:szCs w:val="22"/>
        </w:rPr>
        <w:t xml:space="preserve">The PBAC recalled that in March 2014 it had concluded that rituximab maintenance, compared to observation, resulted in superior efficacy with regard to PFS in patients with FL. However, it had further </w:t>
      </w:r>
      <w:r w:rsidRPr="005F3E57">
        <w:rPr>
          <w:rFonts w:ascii="Arial" w:hAnsi="Arial" w:cs="Arial"/>
          <w:sz w:val="22"/>
          <w:szCs w:val="22"/>
        </w:rPr>
        <w:t xml:space="preserve">“noted that rituximab maintenance did not statistically significantly improve overall survival in patients who were previously untreated, or those who were </w:t>
      </w:r>
      <w:proofErr w:type="gramStart"/>
      <w:r w:rsidRPr="005F3E57">
        <w:rPr>
          <w:rFonts w:ascii="Arial" w:hAnsi="Arial" w:cs="Arial"/>
          <w:sz w:val="22"/>
          <w:szCs w:val="22"/>
        </w:rPr>
        <w:t>relapsed/refractory</w:t>
      </w:r>
      <w:proofErr w:type="gramEnd"/>
      <w:r w:rsidRPr="005F3E57">
        <w:rPr>
          <w:rFonts w:ascii="Arial" w:hAnsi="Arial" w:cs="Arial"/>
          <w:sz w:val="22"/>
          <w:szCs w:val="22"/>
        </w:rPr>
        <w:t xml:space="preserve"> at the longer follow-up (6 years).” Despite this, the model resulted in an increase in life years gained in the rituximab arm compared </w:t>
      </w:r>
      <w:r w:rsidRPr="005F3E57">
        <w:rPr>
          <w:rFonts w:ascii="Arial" w:hAnsi="Arial" w:cs="Arial"/>
          <w:sz w:val="22"/>
          <w:szCs w:val="22"/>
        </w:rPr>
        <w:lastRenderedPageBreak/>
        <w:t xml:space="preserve">to the observation arm because the model structure transformed some of the PFS gains into increased OS. </w:t>
      </w:r>
    </w:p>
    <w:p w:rsidR="00013A1A" w:rsidRDefault="00013A1A" w:rsidP="00013A1A">
      <w:pPr>
        <w:jc w:val="both"/>
        <w:rPr>
          <w:rFonts w:ascii="Arial" w:hAnsi="Arial"/>
          <w:sz w:val="22"/>
          <w:szCs w:val="22"/>
        </w:rPr>
      </w:pPr>
    </w:p>
    <w:p w:rsidR="00013A1A" w:rsidRPr="005F3E57" w:rsidRDefault="00013A1A" w:rsidP="005F3E57">
      <w:pPr>
        <w:pStyle w:val="ListParagraph"/>
        <w:numPr>
          <w:ilvl w:val="1"/>
          <w:numId w:val="1"/>
        </w:numPr>
        <w:ind w:left="720"/>
        <w:jc w:val="both"/>
        <w:rPr>
          <w:rFonts w:ascii="Arial" w:hAnsi="Arial"/>
          <w:sz w:val="22"/>
          <w:szCs w:val="22"/>
        </w:rPr>
      </w:pPr>
      <w:r w:rsidRPr="005F3E57">
        <w:rPr>
          <w:rFonts w:ascii="Arial" w:hAnsi="Arial"/>
          <w:sz w:val="22"/>
          <w:szCs w:val="22"/>
        </w:rPr>
        <w:t>The minor submission presented a systematic review and meta-analysis of rituximab maintenance in FL (</w:t>
      </w:r>
      <w:r w:rsidRPr="005F3E57">
        <w:rPr>
          <w:rFonts w:ascii="Arial" w:hAnsi="Arial"/>
          <w:i/>
          <w:sz w:val="22"/>
          <w:szCs w:val="22"/>
        </w:rPr>
        <w:t>Vidal et al 2011)</w:t>
      </w:r>
      <w:r w:rsidRPr="005F3E57">
        <w:rPr>
          <w:rFonts w:ascii="Arial" w:hAnsi="Arial"/>
          <w:sz w:val="22"/>
          <w:szCs w:val="22"/>
        </w:rPr>
        <w:t xml:space="preserve"> to demonstrate that a modelled gain in OS was appropriate in the absence of statistically significant improvement in OS in the pivotal clinical trials. The meta</w:t>
      </w:r>
      <w:r w:rsidRPr="005F3E57">
        <w:rPr>
          <w:rFonts w:ascii="Arial" w:hAnsi="Arial"/>
          <w:sz w:val="22"/>
          <w:szCs w:val="22"/>
        </w:rPr>
        <w:noBreakHyphen/>
        <w:t xml:space="preserve">analysis found a gain in OS across all lines of maintenance with a hazard ratio of 0.76 (95% CI: 0.62, 0.92). OS was not statistically significantly increased in the first-line setting only (HR 0.86, 95% CI: 0.60, 1.25) but was in the relapsed/refractory setting (HR 0.72, 95% CI: 0.57, 0.91). </w:t>
      </w:r>
    </w:p>
    <w:p w:rsidR="00013A1A" w:rsidRDefault="00013A1A" w:rsidP="00013A1A">
      <w:pPr>
        <w:ind w:left="710"/>
        <w:jc w:val="both"/>
        <w:rPr>
          <w:rFonts w:ascii="Arial" w:hAnsi="Arial"/>
          <w:sz w:val="22"/>
          <w:szCs w:val="22"/>
          <w:highlight w:val="green"/>
        </w:rPr>
      </w:pPr>
    </w:p>
    <w:p w:rsidR="00013A1A" w:rsidRPr="005F3E57" w:rsidRDefault="00013A1A" w:rsidP="005F3E57">
      <w:pPr>
        <w:pStyle w:val="ListParagraph"/>
        <w:numPr>
          <w:ilvl w:val="1"/>
          <w:numId w:val="1"/>
        </w:numPr>
        <w:ind w:left="720"/>
        <w:jc w:val="both"/>
        <w:rPr>
          <w:rFonts w:ascii="Arial" w:hAnsi="Arial"/>
          <w:sz w:val="22"/>
          <w:szCs w:val="22"/>
        </w:rPr>
      </w:pPr>
      <w:r w:rsidRPr="005F3E57">
        <w:rPr>
          <w:rFonts w:ascii="Arial" w:hAnsi="Arial"/>
          <w:sz w:val="22"/>
          <w:szCs w:val="22"/>
        </w:rPr>
        <w:t>Th</w:t>
      </w:r>
      <w:r w:rsidR="006520F2" w:rsidRPr="005F3E57">
        <w:rPr>
          <w:rFonts w:ascii="Arial" w:hAnsi="Arial"/>
          <w:sz w:val="22"/>
          <w:szCs w:val="22"/>
        </w:rPr>
        <w:t xml:space="preserve">is meta-analysis had been discussed in the </w:t>
      </w:r>
      <w:r w:rsidRPr="005F3E57">
        <w:rPr>
          <w:rFonts w:ascii="Arial" w:hAnsi="Arial"/>
          <w:sz w:val="22"/>
          <w:szCs w:val="22"/>
        </w:rPr>
        <w:t>Review Report</w:t>
      </w:r>
      <w:r w:rsidR="006520F2" w:rsidRPr="005F3E57">
        <w:rPr>
          <w:rFonts w:ascii="Arial" w:hAnsi="Arial"/>
          <w:sz w:val="22"/>
          <w:szCs w:val="22"/>
        </w:rPr>
        <w:t>.</w:t>
      </w:r>
      <w:r w:rsidRPr="005F3E57">
        <w:rPr>
          <w:rFonts w:ascii="Arial" w:hAnsi="Arial"/>
          <w:sz w:val="22"/>
          <w:szCs w:val="22"/>
        </w:rPr>
        <w:t xml:space="preserve"> </w:t>
      </w:r>
      <w:r w:rsidR="006520F2" w:rsidRPr="005F3E57">
        <w:rPr>
          <w:rFonts w:ascii="Arial" w:hAnsi="Arial"/>
          <w:sz w:val="22"/>
          <w:szCs w:val="22"/>
        </w:rPr>
        <w:t>M</w:t>
      </w:r>
      <w:r w:rsidRPr="005F3E57">
        <w:rPr>
          <w:rFonts w:ascii="Arial" w:hAnsi="Arial"/>
          <w:sz w:val="22"/>
          <w:szCs w:val="22"/>
        </w:rPr>
        <w:t xml:space="preserve">any of the trials presented in </w:t>
      </w:r>
      <w:r w:rsidRPr="005F3E57">
        <w:rPr>
          <w:rFonts w:ascii="Arial" w:hAnsi="Arial"/>
          <w:i/>
          <w:sz w:val="22"/>
          <w:szCs w:val="22"/>
        </w:rPr>
        <w:t>Vidal et al 2011</w:t>
      </w:r>
      <w:r w:rsidRPr="005F3E57">
        <w:rPr>
          <w:rFonts w:ascii="Arial" w:hAnsi="Arial"/>
          <w:sz w:val="22"/>
          <w:szCs w:val="22"/>
        </w:rPr>
        <w:t xml:space="preserve"> were excluded from the review report, for reasons such as: patients received maintenance therapy for less than one year; and patients had not received rituximab as induction treatment - rituximab is part of standard induction therapy in Australia. Therefore the PBAC considered that the trials included in the review report were more applicable to estimating OS in the Australian setting tha</w:t>
      </w:r>
      <w:r w:rsidR="006520F2" w:rsidRPr="005F3E57">
        <w:rPr>
          <w:rFonts w:ascii="Arial" w:hAnsi="Arial"/>
          <w:sz w:val="22"/>
          <w:szCs w:val="22"/>
        </w:rPr>
        <w:t>n</w:t>
      </w:r>
      <w:r w:rsidRPr="005F3E57">
        <w:rPr>
          <w:rFonts w:ascii="Arial" w:hAnsi="Arial"/>
          <w:sz w:val="22"/>
          <w:szCs w:val="22"/>
        </w:rPr>
        <w:t xml:space="preserve"> the </w:t>
      </w:r>
      <w:r w:rsidRPr="005F3E57">
        <w:rPr>
          <w:rFonts w:ascii="Arial" w:hAnsi="Arial"/>
          <w:i/>
          <w:sz w:val="22"/>
          <w:szCs w:val="22"/>
        </w:rPr>
        <w:t>Vidal et al</w:t>
      </w:r>
      <w:r w:rsidRPr="005F3E57">
        <w:rPr>
          <w:rFonts w:ascii="Arial" w:hAnsi="Arial"/>
          <w:sz w:val="22"/>
          <w:szCs w:val="22"/>
        </w:rPr>
        <w:t xml:space="preserve"> meta-analysis. </w:t>
      </w:r>
    </w:p>
    <w:p w:rsidR="00013A1A" w:rsidRDefault="00013A1A" w:rsidP="00013A1A">
      <w:pPr>
        <w:pStyle w:val="ListParagraph"/>
        <w:ind w:left="709"/>
        <w:jc w:val="both"/>
        <w:rPr>
          <w:rFonts w:ascii="Arial" w:hAnsi="Arial"/>
          <w:sz w:val="22"/>
          <w:szCs w:val="22"/>
        </w:rPr>
      </w:pPr>
    </w:p>
    <w:p w:rsidR="003B3AB6" w:rsidRPr="00BB7EC3" w:rsidRDefault="003B3AB6" w:rsidP="003B3AB6">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DA686E" w:rsidRPr="0006438B" w:rsidRDefault="00DA686E" w:rsidP="0006438B">
      <w:pPr>
        <w:pStyle w:val="ListParagraph"/>
        <w:rPr>
          <w:rFonts w:ascii="Arial" w:hAnsi="Arial" w:cs="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Economic analysis</w:t>
      </w:r>
    </w:p>
    <w:p w:rsidR="008C6167" w:rsidRDefault="008C6167" w:rsidP="008C6167">
      <w:pPr>
        <w:pStyle w:val="ListParagraph"/>
        <w:ind w:left="709"/>
        <w:jc w:val="both"/>
        <w:rPr>
          <w:rFonts w:ascii="Arial" w:hAnsi="Arial"/>
          <w:sz w:val="22"/>
          <w:szCs w:val="22"/>
        </w:rPr>
      </w:pPr>
    </w:p>
    <w:p w:rsidR="00325ABB" w:rsidRPr="005F3E57" w:rsidRDefault="00325ABB"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The </w:t>
      </w:r>
      <w:r w:rsidR="006A2AF8" w:rsidRPr="005F3E57">
        <w:rPr>
          <w:rFonts w:ascii="Arial" w:hAnsi="Arial"/>
          <w:sz w:val="22"/>
          <w:szCs w:val="22"/>
        </w:rPr>
        <w:t xml:space="preserve">minor </w:t>
      </w:r>
      <w:r w:rsidRPr="005F3E57">
        <w:rPr>
          <w:rFonts w:ascii="Arial" w:hAnsi="Arial"/>
          <w:sz w:val="22"/>
          <w:szCs w:val="22"/>
        </w:rPr>
        <w:t xml:space="preserve">submission </w:t>
      </w:r>
      <w:r w:rsidR="00F4225A" w:rsidRPr="005F3E57">
        <w:rPr>
          <w:rFonts w:ascii="Arial" w:hAnsi="Arial"/>
          <w:sz w:val="22"/>
          <w:szCs w:val="22"/>
        </w:rPr>
        <w:t>presented a cost-utility analysis that resulted in an ICER of $</w:t>
      </w:r>
      <w:r w:rsidR="003353BA">
        <w:rPr>
          <w:rFonts w:ascii="Arial" w:hAnsi="Arial"/>
          <w:sz w:val="22"/>
          <w:szCs w:val="22"/>
        </w:rPr>
        <w:t>15,000</w:t>
      </w:r>
      <w:r w:rsidR="00F4225A" w:rsidRPr="005F3E57">
        <w:rPr>
          <w:rFonts w:ascii="Arial" w:hAnsi="Arial"/>
          <w:sz w:val="22"/>
          <w:szCs w:val="22"/>
        </w:rPr>
        <w:t>/QALY</w:t>
      </w:r>
      <w:r w:rsidR="003353BA">
        <w:rPr>
          <w:rFonts w:ascii="Arial" w:hAnsi="Arial"/>
          <w:sz w:val="22"/>
          <w:szCs w:val="22"/>
        </w:rPr>
        <w:t xml:space="preserve"> - $45,000/QALY</w:t>
      </w:r>
      <w:r w:rsidR="00F4225A" w:rsidRPr="005F3E57">
        <w:rPr>
          <w:rFonts w:ascii="Arial" w:hAnsi="Arial"/>
          <w:sz w:val="22"/>
          <w:szCs w:val="22"/>
        </w:rPr>
        <w:t>.</w:t>
      </w:r>
      <w:r w:rsidR="00B86028" w:rsidRPr="005F3E57">
        <w:rPr>
          <w:rFonts w:ascii="Arial" w:hAnsi="Arial"/>
          <w:sz w:val="22"/>
          <w:szCs w:val="22"/>
        </w:rPr>
        <w:t xml:space="preserve"> </w:t>
      </w:r>
      <w:r w:rsidR="00F4225A" w:rsidRPr="005F3E57">
        <w:rPr>
          <w:rFonts w:ascii="Arial" w:hAnsi="Arial"/>
          <w:sz w:val="22"/>
          <w:szCs w:val="22"/>
        </w:rPr>
        <w:t>Th</w:t>
      </w:r>
      <w:r w:rsidR="00247A81" w:rsidRPr="005F3E57">
        <w:rPr>
          <w:rFonts w:ascii="Arial" w:hAnsi="Arial"/>
          <w:sz w:val="22"/>
          <w:szCs w:val="22"/>
        </w:rPr>
        <w:t>is lower ICER</w:t>
      </w:r>
      <w:r w:rsidR="00C74F8E" w:rsidRPr="005F3E57">
        <w:rPr>
          <w:rFonts w:ascii="Arial" w:hAnsi="Arial"/>
          <w:sz w:val="22"/>
          <w:szCs w:val="22"/>
        </w:rPr>
        <w:t>,</w:t>
      </w:r>
      <w:r w:rsidR="00247A81" w:rsidRPr="005F3E57">
        <w:rPr>
          <w:rFonts w:ascii="Arial" w:hAnsi="Arial"/>
          <w:sz w:val="22"/>
          <w:szCs w:val="22"/>
        </w:rPr>
        <w:t xml:space="preserve"> </w:t>
      </w:r>
      <w:r w:rsidR="00C74F8E" w:rsidRPr="005F3E57">
        <w:rPr>
          <w:rFonts w:ascii="Arial" w:hAnsi="Arial"/>
          <w:sz w:val="22"/>
          <w:szCs w:val="22"/>
        </w:rPr>
        <w:t xml:space="preserve">compared to the base case accepted by the PBAC in March 2014, </w:t>
      </w:r>
      <w:r w:rsidR="00247A81" w:rsidRPr="005F3E57">
        <w:rPr>
          <w:rFonts w:ascii="Arial" w:hAnsi="Arial"/>
          <w:sz w:val="22"/>
          <w:szCs w:val="22"/>
        </w:rPr>
        <w:t xml:space="preserve">arose because the </w:t>
      </w:r>
      <w:r w:rsidR="006704B0" w:rsidRPr="005F3E57">
        <w:rPr>
          <w:rFonts w:ascii="Arial" w:hAnsi="Arial"/>
          <w:sz w:val="22"/>
          <w:szCs w:val="22"/>
        </w:rPr>
        <w:t xml:space="preserve">minor submission proposed the </w:t>
      </w:r>
      <w:r w:rsidRPr="005F3E57">
        <w:rPr>
          <w:rFonts w:ascii="Arial" w:hAnsi="Arial"/>
          <w:sz w:val="22"/>
          <w:szCs w:val="22"/>
        </w:rPr>
        <w:t>following changes to the economic model:</w:t>
      </w:r>
    </w:p>
    <w:p w:rsidR="00881E55" w:rsidRDefault="00881E55" w:rsidP="00881E55">
      <w:pPr>
        <w:pStyle w:val="ListParagraph"/>
        <w:ind w:left="1276"/>
        <w:jc w:val="both"/>
        <w:rPr>
          <w:rFonts w:ascii="Arial" w:hAnsi="Arial"/>
          <w:sz w:val="22"/>
          <w:szCs w:val="22"/>
        </w:rPr>
      </w:pPr>
    </w:p>
    <w:p w:rsidR="00325ABB" w:rsidRDefault="00325ABB" w:rsidP="00AA4989">
      <w:pPr>
        <w:pStyle w:val="ListParagraph"/>
        <w:numPr>
          <w:ilvl w:val="0"/>
          <w:numId w:val="3"/>
        </w:numPr>
        <w:ind w:left="1276" w:hanging="425"/>
        <w:jc w:val="both"/>
        <w:rPr>
          <w:rFonts w:ascii="Arial" w:hAnsi="Arial"/>
          <w:sz w:val="22"/>
          <w:szCs w:val="22"/>
        </w:rPr>
      </w:pPr>
      <w:proofErr w:type="gramStart"/>
      <w:r>
        <w:rPr>
          <w:rFonts w:ascii="Arial" w:hAnsi="Arial"/>
          <w:sz w:val="22"/>
          <w:szCs w:val="22"/>
        </w:rPr>
        <w:t>a</w:t>
      </w:r>
      <w:proofErr w:type="gramEnd"/>
      <w:r>
        <w:rPr>
          <w:rFonts w:ascii="Arial" w:hAnsi="Arial"/>
          <w:sz w:val="22"/>
          <w:szCs w:val="22"/>
        </w:rPr>
        <w:t xml:space="preserve"> </w:t>
      </w:r>
      <w:r w:rsidR="007D5005">
        <w:rPr>
          <w:rFonts w:ascii="Arial" w:hAnsi="Arial"/>
          <w:noProof/>
          <w:color w:val="000000"/>
          <w:sz w:val="22"/>
          <w:szCs w:val="22"/>
          <w:highlight w:val="black"/>
        </w:rPr>
        <w:t>'''''''</w:t>
      </w:r>
      <w:r>
        <w:rPr>
          <w:rFonts w:ascii="Arial" w:hAnsi="Arial"/>
          <w:sz w:val="22"/>
          <w:szCs w:val="22"/>
        </w:rPr>
        <w:t xml:space="preserve">% </w:t>
      </w:r>
      <w:r w:rsidRPr="00881E55">
        <w:rPr>
          <w:rFonts w:ascii="Arial" w:hAnsi="Arial"/>
          <w:sz w:val="22"/>
          <w:szCs w:val="22"/>
        </w:rPr>
        <w:t>rebate to the price</w:t>
      </w:r>
      <w:r w:rsidR="00327C9A" w:rsidRPr="00881E55">
        <w:rPr>
          <w:rFonts w:ascii="Arial" w:hAnsi="Arial"/>
          <w:sz w:val="22"/>
          <w:szCs w:val="22"/>
        </w:rPr>
        <w:t xml:space="preserve"> of rituximab for maintenance treatment in FL </w:t>
      </w:r>
      <w:r w:rsidR="00881E55" w:rsidRPr="00881E55">
        <w:rPr>
          <w:rFonts w:ascii="Arial" w:hAnsi="Arial"/>
          <w:sz w:val="22"/>
          <w:szCs w:val="22"/>
        </w:rPr>
        <w:t>“</w:t>
      </w:r>
      <w:r w:rsidR="00327C9A" w:rsidRPr="00881E55">
        <w:rPr>
          <w:rFonts w:ascii="Arial" w:hAnsi="Arial"/>
          <w:sz w:val="22"/>
          <w:szCs w:val="22"/>
        </w:rPr>
        <w:t>to account for some of the uncertainty regarding the extent of an overall survival benefit associated with maintenance treatment</w:t>
      </w:r>
      <w:r w:rsidR="00881E55" w:rsidRPr="00881E55">
        <w:rPr>
          <w:rFonts w:ascii="Arial" w:hAnsi="Arial"/>
          <w:sz w:val="22"/>
          <w:szCs w:val="22"/>
        </w:rPr>
        <w:t>” (Page 2 of</w:t>
      </w:r>
      <w:r w:rsidR="00881E55">
        <w:rPr>
          <w:rFonts w:ascii="Arial" w:hAnsi="Arial"/>
          <w:sz w:val="22"/>
          <w:szCs w:val="22"/>
        </w:rPr>
        <w:t xml:space="preserve"> minor submission)</w:t>
      </w:r>
      <w:r w:rsidR="00B97173">
        <w:rPr>
          <w:rFonts w:ascii="Arial" w:hAnsi="Arial"/>
          <w:sz w:val="22"/>
          <w:szCs w:val="22"/>
        </w:rPr>
        <w:t>.</w:t>
      </w:r>
      <w:r>
        <w:rPr>
          <w:rFonts w:ascii="Arial" w:hAnsi="Arial"/>
          <w:sz w:val="22"/>
          <w:szCs w:val="22"/>
        </w:rPr>
        <w:t xml:space="preserve"> </w:t>
      </w:r>
    </w:p>
    <w:p w:rsidR="00123F2B" w:rsidRDefault="00123F2B" w:rsidP="00123F2B">
      <w:pPr>
        <w:pStyle w:val="ListParagraph"/>
        <w:ind w:left="1276"/>
        <w:jc w:val="both"/>
        <w:rPr>
          <w:rFonts w:ascii="Arial" w:hAnsi="Arial"/>
          <w:sz w:val="22"/>
          <w:szCs w:val="22"/>
        </w:rPr>
      </w:pPr>
    </w:p>
    <w:p w:rsidR="00B97173" w:rsidRPr="00B97173" w:rsidRDefault="00B97173" w:rsidP="00AA4989">
      <w:pPr>
        <w:pStyle w:val="ListParagraph"/>
        <w:numPr>
          <w:ilvl w:val="0"/>
          <w:numId w:val="3"/>
        </w:numPr>
        <w:ind w:left="1276" w:hanging="425"/>
        <w:jc w:val="both"/>
        <w:rPr>
          <w:rFonts w:ascii="Arial" w:hAnsi="Arial"/>
          <w:sz w:val="22"/>
          <w:szCs w:val="22"/>
        </w:rPr>
      </w:pPr>
      <w:proofErr w:type="gramStart"/>
      <w:r w:rsidRPr="007C5603">
        <w:rPr>
          <w:rFonts w:ascii="Arial" w:hAnsi="Arial"/>
          <w:sz w:val="22"/>
          <w:szCs w:val="22"/>
        </w:rPr>
        <w:t>a</w:t>
      </w:r>
      <w:proofErr w:type="gramEnd"/>
      <w:r w:rsidRPr="007C5603">
        <w:rPr>
          <w:rFonts w:ascii="Arial" w:hAnsi="Arial"/>
          <w:sz w:val="22"/>
          <w:szCs w:val="22"/>
        </w:rPr>
        <w:t xml:space="preserve"> progressive </w:t>
      </w:r>
      <w:r w:rsidR="001B7979">
        <w:rPr>
          <w:rFonts w:ascii="Arial" w:hAnsi="Arial"/>
          <w:sz w:val="22"/>
          <w:szCs w:val="22"/>
        </w:rPr>
        <w:t xml:space="preserve">10% </w:t>
      </w:r>
      <w:r w:rsidRPr="007C5603">
        <w:rPr>
          <w:rFonts w:ascii="Arial" w:hAnsi="Arial"/>
          <w:sz w:val="22"/>
          <w:szCs w:val="22"/>
        </w:rPr>
        <w:t xml:space="preserve">reduction </w:t>
      </w:r>
      <w:r>
        <w:rPr>
          <w:rFonts w:ascii="Arial" w:hAnsi="Arial"/>
          <w:sz w:val="22"/>
          <w:szCs w:val="22"/>
        </w:rPr>
        <w:t>in</w:t>
      </w:r>
      <w:r w:rsidRPr="007C5603">
        <w:rPr>
          <w:rFonts w:ascii="Arial" w:hAnsi="Arial"/>
          <w:sz w:val="22"/>
          <w:szCs w:val="22"/>
        </w:rPr>
        <w:t xml:space="preserve"> the likelihood an</w:t>
      </w:r>
      <w:r>
        <w:rPr>
          <w:rFonts w:ascii="Arial" w:hAnsi="Arial"/>
          <w:sz w:val="22"/>
          <w:szCs w:val="22"/>
        </w:rPr>
        <w:t xml:space="preserve">d the </w:t>
      </w:r>
      <w:r w:rsidR="00757917">
        <w:rPr>
          <w:rFonts w:ascii="Arial" w:hAnsi="Arial"/>
          <w:sz w:val="22"/>
          <w:szCs w:val="22"/>
        </w:rPr>
        <w:t xml:space="preserve">response rate of induction </w:t>
      </w:r>
      <w:r w:rsidR="001B7979">
        <w:rPr>
          <w:rFonts w:ascii="Arial" w:hAnsi="Arial"/>
          <w:sz w:val="22"/>
          <w:szCs w:val="22"/>
        </w:rPr>
        <w:t>therapy from the second relapse</w:t>
      </w:r>
      <w:r>
        <w:rPr>
          <w:rFonts w:ascii="Arial" w:hAnsi="Arial"/>
          <w:sz w:val="22"/>
          <w:szCs w:val="22"/>
        </w:rPr>
        <w:t xml:space="preserve">. The decrease in </w:t>
      </w:r>
      <w:r w:rsidR="001B7979">
        <w:rPr>
          <w:rFonts w:ascii="Arial" w:hAnsi="Arial"/>
          <w:sz w:val="22"/>
          <w:szCs w:val="22"/>
        </w:rPr>
        <w:t xml:space="preserve">the </w:t>
      </w:r>
      <w:r>
        <w:rPr>
          <w:rFonts w:ascii="Arial" w:hAnsi="Arial"/>
          <w:sz w:val="22"/>
          <w:szCs w:val="22"/>
        </w:rPr>
        <w:t>efficacy of re</w:t>
      </w:r>
      <w:r>
        <w:rPr>
          <w:rFonts w:ascii="Arial" w:hAnsi="Arial"/>
          <w:sz w:val="22"/>
          <w:szCs w:val="22"/>
        </w:rPr>
        <w:noBreakHyphen/>
        <w:t xml:space="preserve">inductions was based on analyses of the </w:t>
      </w:r>
      <w:r w:rsidRPr="001B7979">
        <w:rPr>
          <w:rFonts w:ascii="Arial" w:hAnsi="Arial"/>
          <w:i/>
          <w:sz w:val="22"/>
          <w:szCs w:val="22"/>
        </w:rPr>
        <w:t xml:space="preserve">Van </w:t>
      </w:r>
      <w:proofErr w:type="spellStart"/>
      <w:r w:rsidRPr="001B7979">
        <w:rPr>
          <w:rFonts w:ascii="Arial" w:hAnsi="Arial"/>
          <w:i/>
          <w:sz w:val="22"/>
          <w:szCs w:val="22"/>
        </w:rPr>
        <w:t>Oers</w:t>
      </w:r>
      <w:proofErr w:type="spellEnd"/>
      <w:r w:rsidRPr="001B7979">
        <w:rPr>
          <w:rFonts w:ascii="Arial" w:hAnsi="Arial"/>
          <w:i/>
          <w:sz w:val="22"/>
          <w:szCs w:val="22"/>
        </w:rPr>
        <w:t xml:space="preserve"> </w:t>
      </w:r>
      <w:r w:rsidR="001B7979" w:rsidRPr="001B7979">
        <w:rPr>
          <w:rFonts w:ascii="Arial" w:hAnsi="Arial"/>
          <w:i/>
          <w:sz w:val="22"/>
          <w:szCs w:val="22"/>
        </w:rPr>
        <w:t>et al 2010</w:t>
      </w:r>
      <w:r w:rsidR="001B7979">
        <w:rPr>
          <w:rFonts w:ascii="Arial" w:hAnsi="Arial"/>
          <w:sz w:val="22"/>
          <w:szCs w:val="22"/>
        </w:rPr>
        <w:t xml:space="preserve"> </w:t>
      </w:r>
      <w:r>
        <w:rPr>
          <w:rFonts w:ascii="Arial" w:hAnsi="Arial"/>
          <w:sz w:val="22"/>
          <w:szCs w:val="22"/>
        </w:rPr>
        <w:t xml:space="preserve">trial and </w:t>
      </w:r>
      <w:r w:rsidRPr="00B97173">
        <w:rPr>
          <w:rFonts w:ascii="Arial" w:hAnsi="Arial"/>
          <w:sz w:val="22"/>
          <w:szCs w:val="22"/>
        </w:rPr>
        <w:t>observational data. The decrease in the rate of re-induction</w:t>
      </w:r>
      <w:r w:rsidR="001B7979">
        <w:rPr>
          <w:rFonts w:ascii="Arial" w:hAnsi="Arial"/>
          <w:sz w:val="22"/>
          <w:szCs w:val="22"/>
        </w:rPr>
        <w:t>s</w:t>
      </w:r>
      <w:r w:rsidRPr="00B97173">
        <w:rPr>
          <w:rFonts w:ascii="Arial" w:hAnsi="Arial"/>
          <w:sz w:val="22"/>
          <w:szCs w:val="22"/>
        </w:rPr>
        <w:t xml:space="preserve"> was based on expert opinion. The PBAC accepted the introduction of a progressive decrease in both th</w:t>
      </w:r>
      <w:r w:rsidR="00327C9A">
        <w:rPr>
          <w:rFonts w:ascii="Arial" w:hAnsi="Arial"/>
          <w:sz w:val="22"/>
          <w:szCs w:val="22"/>
        </w:rPr>
        <w:t>e efficacy and rate of re</w:t>
      </w:r>
      <w:r w:rsidR="00327C9A">
        <w:rPr>
          <w:rFonts w:ascii="Arial" w:hAnsi="Arial"/>
          <w:sz w:val="22"/>
          <w:szCs w:val="22"/>
        </w:rPr>
        <w:noBreakHyphen/>
      </w:r>
      <w:r w:rsidRPr="00B97173">
        <w:rPr>
          <w:rFonts w:ascii="Arial" w:hAnsi="Arial"/>
          <w:sz w:val="22"/>
          <w:szCs w:val="22"/>
        </w:rPr>
        <w:t>inductions of 10%</w:t>
      </w:r>
      <w:r w:rsidR="001B7979">
        <w:rPr>
          <w:rFonts w:ascii="Arial" w:hAnsi="Arial"/>
          <w:sz w:val="22"/>
          <w:szCs w:val="22"/>
        </w:rPr>
        <w:t xml:space="preserve"> </w:t>
      </w:r>
      <w:r w:rsidRPr="00B97173">
        <w:rPr>
          <w:rFonts w:ascii="Arial" w:hAnsi="Arial"/>
          <w:sz w:val="22"/>
          <w:szCs w:val="22"/>
        </w:rPr>
        <w:t xml:space="preserve">as proposed by the sponsor. </w:t>
      </w:r>
    </w:p>
    <w:p w:rsidR="00B97173" w:rsidRPr="00B97173" w:rsidRDefault="00B97173" w:rsidP="00B97173">
      <w:pPr>
        <w:pStyle w:val="ListParagraph"/>
        <w:ind w:left="1276"/>
        <w:jc w:val="both"/>
        <w:rPr>
          <w:rFonts w:ascii="Arial" w:hAnsi="Arial"/>
          <w:sz w:val="22"/>
          <w:szCs w:val="22"/>
        </w:rPr>
      </w:pPr>
    </w:p>
    <w:p w:rsidR="00B97173" w:rsidRPr="00B97173" w:rsidRDefault="00B97173" w:rsidP="00AA4989">
      <w:pPr>
        <w:pStyle w:val="ListParagraph"/>
        <w:numPr>
          <w:ilvl w:val="0"/>
          <w:numId w:val="3"/>
        </w:numPr>
        <w:ind w:left="1276" w:hanging="425"/>
        <w:jc w:val="both"/>
        <w:rPr>
          <w:rFonts w:ascii="Arial" w:hAnsi="Arial"/>
          <w:sz w:val="22"/>
          <w:szCs w:val="22"/>
        </w:rPr>
      </w:pPr>
      <w:proofErr w:type="gramStart"/>
      <w:r w:rsidRPr="00B97173">
        <w:rPr>
          <w:rFonts w:ascii="Arial" w:hAnsi="Arial"/>
          <w:sz w:val="22"/>
          <w:szCs w:val="22"/>
        </w:rPr>
        <w:t>the</w:t>
      </w:r>
      <w:proofErr w:type="gramEnd"/>
      <w:r w:rsidRPr="00B97173">
        <w:rPr>
          <w:rFonts w:ascii="Arial" w:hAnsi="Arial"/>
          <w:sz w:val="22"/>
          <w:szCs w:val="22"/>
        </w:rPr>
        <w:t xml:space="preserve"> introduction of a 2% monthly probability of failing salvage treatment and transitioning to palliative care, based on expert advice. The PBAC re</w:t>
      </w:r>
      <w:r w:rsidR="00FD4E6C">
        <w:rPr>
          <w:rFonts w:ascii="Arial" w:hAnsi="Arial"/>
          <w:sz w:val="22"/>
          <w:szCs w:val="22"/>
        </w:rPr>
        <w:t xml:space="preserve">mained of the view </w:t>
      </w:r>
      <w:r w:rsidRPr="00B97173">
        <w:rPr>
          <w:rFonts w:ascii="Arial" w:hAnsi="Arial"/>
          <w:sz w:val="22"/>
          <w:szCs w:val="22"/>
        </w:rPr>
        <w:t>that the review model had already sufficiently accounted for this issue. The PBAC did not accept the probability of failing salvage treatment and transitioning to palliative care as proposed in the minor submission.</w:t>
      </w:r>
    </w:p>
    <w:p w:rsidR="00B97173" w:rsidRPr="00B97173" w:rsidRDefault="00B97173" w:rsidP="00B97173">
      <w:pPr>
        <w:pStyle w:val="ListParagraph"/>
        <w:ind w:left="1276"/>
        <w:jc w:val="both"/>
        <w:rPr>
          <w:rFonts w:ascii="Arial" w:hAnsi="Arial"/>
          <w:sz w:val="22"/>
          <w:szCs w:val="22"/>
        </w:rPr>
      </w:pPr>
    </w:p>
    <w:p w:rsidR="003E712D" w:rsidRPr="00C74F8E" w:rsidRDefault="00325ABB" w:rsidP="003E712D">
      <w:pPr>
        <w:pStyle w:val="ListParagraph"/>
        <w:numPr>
          <w:ilvl w:val="0"/>
          <w:numId w:val="3"/>
        </w:numPr>
        <w:ind w:left="1276" w:hanging="425"/>
        <w:jc w:val="both"/>
        <w:rPr>
          <w:rFonts w:ascii="Arial Narrow" w:hAnsi="Arial Narrow"/>
          <w:sz w:val="22"/>
          <w:szCs w:val="22"/>
        </w:rPr>
      </w:pPr>
      <w:proofErr w:type="gramStart"/>
      <w:r w:rsidRPr="00C74F8E">
        <w:rPr>
          <w:rFonts w:ascii="Arial" w:hAnsi="Arial"/>
          <w:sz w:val="22"/>
          <w:szCs w:val="22"/>
        </w:rPr>
        <w:t>a</w:t>
      </w:r>
      <w:proofErr w:type="gramEnd"/>
      <w:r w:rsidRPr="00C74F8E">
        <w:rPr>
          <w:rFonts w:ascii="Arial" w:hAnsi="Arial"/>
          <w:sz w:val="22"/>
          <w:szCs w:val="22"/>
        </w:rPr>
        <w:t xml:space="preserve"> maximum of 8 rituximab infusions per maintenance course</w:t>
      </w:r>
      <w:r w:rsidR="00AF62EB" w:rsidRPr="00C74F8E">
        <w:rPr>
          <w:rFonts w:ascii="Arial" w:hAnsi="Arial"/>
          <w:sz w:val="22"/>
          <w:szCs w:val="22"/>
        </w:rPr>
        <w:t>. (</w:t>
      </w:r>
      <w:proofErr w:type="gramStart"/>
      <w:r w:rsidR="00AF62EB" w:rsidRPr="00C74F8E">
        <w:rPr>
          <w:rFonts w:ascii="Arial" w:hAnsi="Arial"/>
          <w:sz w:val="22"/>
          <w:szCs w:val="22"/>
        </w:rPr>
        <w:t>i.e</w:t>
      </w:r>
      <w:proofErr w:type="gramEnd"/>
      <w:r w:rsidR="00AF62EB" w:rsidRPr="00C74F8E">
        <w:rPr>
          <w:rFonts w:ascii="Arial" w:hAnsi="Arial"/>
          <w:sz w:val="22"/>
          <w:szCs w:val="22"/>
        </w:rPr>
        <w:t xml:space="preserve">. dosing every </w:t>
      </w:r>
      <w:r w:rsidR="00021C76" w:rsidRPr="00C74F8E">
        <w:rPr>
          <w:rFonts w:ascii="Arial" w:hAnsi="Arial"/>
          <w:sz w:val="22"/>
          <w:szCs w:val="22"/>
        </w:rPr>
        <w:t>3 months) in both the first</w:t>
      </w:r>
      <w:r w:rsidR="00021C76" w:rsidRPr="00C74F8E">
        <w:rPr>
          <w:rFonts w:ascii="Arial" w:hAnsi="Arial"/>
          <w:sz w:val="22"/>
          <w:szCs w:val="22"/>
        </w:rPr>
        <w:noBreakHyphen/>
      </w:r>
      <w:r w:rsidR="00AF62EB" w:rsidRPr="00C74F8E">
        <w:rPr>
          <w:rFonts w:ascii="Arial" w:hAnsi="Arial"/>
          <w:sz w:val="22"/>
          <w:szCs w:val="22"/>
        </w:rPr>
        <w:t xml:space="preserve"> and later</w:t>
      </w:r>
      <w:r w:rsidR="00AF62EB" w:rsidRPr="00C74F8E">
        <w:rPr>
          <w:rFonts w:ascii="Arial" w:hAnsi="Arial"/>
          <w:sz w:val="22"/>
          <w:szCs w:val="22"/>
        </w:rPr>
        <w:noBreakHyphen/>
        <w:t>line setting</w:t>
      </w:r>
      <w:r w:rsidR="00327C9A" w:rsidRPr="00C74F8E">
        <w:rPr>
          <w:rFonts w:ascii="Arial" w:hAnsi="Arial"/>
          <w:sz w:val="22"/>
          <w:szCs w:val="22"/>
        </w:rPr>
        <w:t>s</w:t>
      </w:r>
      <w:r w:rsidR="00AF62EB" w:rsidRPr="00C74F8E">
        <w:rPr>
          <w:rFonts w:ascii="Arial" w:hAnsi="Arial"/>
          <w:sz w:val="22"/>
          <w:szCs w:val="22"/>
        </w:rPr>
        <w:t>. This would align with t</w:t>
      </w:r>
      <w:r w:rsidR="003E712D" w:rsidRPr="00C74F8E">
        <w:rPr>
          <w:rFonts w:ascii="Arial" w:hAnsi="Arial"/>
          <w:sz w:val="22"/>
          <w:szCs w:val="22"/>
        </w:rPr>
        <w:t>he current Product Information, which states:</w:t>
      </w:r>
      <w:r w:rsidR="00C74F8E">
        <w:rPr>
          <w:rFonts w:ascii="Arial" w:hAnsi="Arial"/>
          <w:sz w:val="22"/>
          <w:szCs w:val="22"/>
        </w:rPr>
        <w:t xml:space="preserve"> </w:t>
      </w:r>
      <w:r w:rsidR="003E712D" w:rsidRPr="00C74F8E">
        <w:rPr>
          <w:rFonts w:ascii="Arial" w:hAnsi="Arial"/>
          <w:sz w:val="22"/>
          <w:szCs w:val="22"/>
        </w:rPr>
        <w:t>“Patients who have responded to induction treatment may receive maintenance therapy with MABTHERA given at 375 mg/m</w:t>
      </w:r>
      <w:r w:rsidR="003E712D" w:rsidRPr="00B70D0A">
        <w:rPr>
          <w:rFonts w:ascii="Arial" w:hAnsi="Arial"/>
          <w:sz w:val="22"/>
          <w:szCs w:val="22"/>
          <w:vertAlign w:val="superscript"/>
        </w:rPr>
        <w:t>2</w:t>
      </w:r>
      <w:r w:rsidR="003E712D" w:rsidRPr="00C74F8E">
        <w:rPr>
          <w:rFonts w:ascii="Arial" w:hAnsi="Arial"/>
          <w:sz w:val="22"/>
          <w:szCs w:val="22"/>
        </w:rPr>
        <w:t xml:space="preserve"> body surface area once every 3 months until disease progression or for a maximum period of two years.” (p 47</w:t>
      </w:r>
      <w:r w:rsidR="00126A08">
        <w:rPr>
          <w:rFonts w:ascii="Arial" w:hAnsi="Arial"/>
          <w:sz w:val="22"/>
          <w:szCs w:val="22"/>
        </w:rPr>
        <w:t xml:space="preserve"> of Product Information</w:t>
      </w:r>
      <w:r w:rsidR="003E712D" w:rsidRPr="00C74F8E">
        <w:rPr>
          <w:rFonts w:ascii="Arial" w:hAnsi="Arial"/>
          <w:sz w:val="22"/>
          <w:szCs w:val="22"/>
        </w:rPr>
        <w:t>)</w:t>
      </w:r>
    </w:p>
    <w:p w:rsidR="003E712D" w:rsidRDefault="003E712D" w:rsidP="003E712D">
      <w:pPr>
        <w:pStyle w:val="ListParagraph"/>
        <w:ind w:left="1276"/>
        <w:jc w:val="both"/>
        <w:rPr>
          <w:rFonts w:ascii="Arial Narrow" w:hAnsi="Arial Narrow"/>
          <w:sz w:val="22"/>
          <w:szCs w:val="22"/>
        </w:rPr>
      </w:pPr>
    </w:p>
    <w:p w:rsidR="00884CF5" w:rsidRPr="00021C76" w:rsidRDefault="00021C76" w:rsidP="003E712D">
      <w:pPr>
        <w:pStyle w:val="ListParagraph"/>
        <w:ind w:left="1276"/>
        <w:jc w:val="both"/>
        <w:rPr>
          <w:rFonts w:ascii="Arial" w:hAnsi="Arial"/>
          <w:sz w:val="22"/>
          <w:szCs w:val="22"/>
        </w:rPr>
      </w:pPr>
      <w:r>
        <w:rPr>
          <w:rFonts w:ascii="Arial" w:hAnsi="Arial"/>
          <w:sz w:val="22"/>
          <w:szCs w:val="22"/>
        </w:rPr>
        <w:t xml:space="preserve">However, rituximab was administered up to a maximum of 12 infusions (once every 2 months) in the </w:t>
      </w:r>
      <w:r w:rsidRPr="00B97173">
        <w:rPr>
          <w:rFonts w:ascii="Arial" w:hAnsi="Arial"/>
          <w:sz w:val="22"/>
          <w:szCs w:val="22"/>
        </w:rPr>
        <w:t>PRIMA trial</w:t>
      </w:r>
      <w:r>
        <w:rPr>
          <w:rFonts w:ascii="Arial" w:hAnsi="Arial"/>
          <w:sz w:val="22"/>
          <w:szCs w:val="22"/>
        </w:rPr>
        <w:t xml:space="preserve">, which </w:t>
      </w:r>
      <w:r w:rsidRPr="00B97173">
        <w:rPr>
          <w:rFonts w:ascii="Arial" w:hAnsi="Arial"/>
          <w:sz w:val="22"/>
          <w:szCs w:val="22"/>
        </w:rPr>
        <w:t xml:space="preserve">was the basis for the PBAC’s March </w:t>
      </w:r>
      <w:r w:rsidRPr="00B97173">
        <w:rPr>
          <w:rFonts w:ascii="Arial" w:hAnsi="Arial"/>
          <w:sz w:val="22"/>
          <w:szCs w:val="22"/>
        </w:rPr>
        <w:lastRenderedPageBreak/>
        <w:t xml:space="preserve">2014 consideration of the comparative effectiveness of rituximab maintenance in the first-line setting. </w:t>
      </w:r>
      <w:r w:rsidR="00884CF5" w:rsidRPr="00881E55">
        <w:rPr>
          <w:rFonts w:ascii="Arial" w:hAnsi="Arial"/>
          <w:sz w:val="22"/>
          <w:szCs w:val="22"/>
        </w:rPr>
        <w:t xml:space="preserve">The pre-PBAC response </w:t>
      </w:r>
      <w:r>
        <w:rPr>
          <w:rFonts w:ascii="Arial" w:hAnsi="Arial"/>
          <w:sz w:val="22"/>
          <w:szCs w:val="22"/>
        </w:rPr>
        <w:t>(</w:t>
      </w:r>
      <w:proofErr w:type="spellStart"/>
      <w:r>
        <w:rPr>
          <w:rFonts w:ascii="Arial" w:hAnsi="Arial"/>
          <w:sz w:val="22"/>
          <w:szCs w:val="22"/>
        </w:rPr>
        <w:t>pg</w:t>
      </w:r>
      <w:proofErr w:type="spellEnd"/>
      <w:r>
        <w:rPr>
          <w:rFonts w:ascii="Arial" w:hAnsi="Arial"/>
          <w:sz w:val="22"/>
          <w:szCs w:val="22"/>
        </w:rPr>
        <w:t xml:space="preserve"> 1) </w:t>
      </w:r>
      <w:r w:rsidR="00C74F8E">
        <w:rPr>
          <w:rFonts w:ascii="Arial" w:hAnsi="Arial"/>
          <w:sz w:val="22"/>
          <w:szCs w:val="22"/>
        </w:rPr>
        <w:t xml:space="preserve">stated </w:t>
      </w:r>
      <w:r w:rsidR="00884CF5" w:rsidRPr="00881E55">
        <w:rPr>
          <w:rFonts w:ascii="Arial" w:hAnsi="Arial"/>
          <w:sz w:val="22"/>
          <w:szCs w:val="22"/>
        </w:rPr>
        <w:t>that</w:t>
      </w:r>
      <w:r w:rsidR="00881E55" w:rsidRPr="00881E55">
        <w:rPr>
          <w:rFonts w:ascii="Arial" w:hAnsi="Arial"/>
          <w:sz w:val="22"/>
          <w:szCs w:val="22"/>
        </w:rPr>
        <w:t xml:space="preserve">, when evaluating the PRIMA trial data, the ACPM decided that </w:t>
      </w:r>
      <w:r w:rsidR="00881E55" w:rsidRPr="00021C76">
        <w:rPr>
          <w:rFonts w:ascii="Arial" w:hAnsi="Arial"/>
          <w:sz w:val="22"/>
          <w:szCs w:val="22"/>
        </w:rPr>
        <w:t>‘</w:t>
      </w:r>
      <w:r>
        <w:rPr>
          <w:rFonts w:ascii="Arial" w:hAnsi="Arial"/>
          <w:sz w:val="22"/>
          <w:szCs w:val="22"/>
        </w:rPr>
        <w:t>n</w:t>
      </w:r>
      <w:r w:rsidR="00881E55" w:rsidRPr="00021C76">
        <w:rPr>
          <w:rFonts w:ascii="Arial" w:hAnsi="Arial"/>
          <w:sz w:val="22"/>
          <w:szCs w:val="22"/>
        </w:rPr>
        <w:t>o efficacy and safety data were submitted to establish that the increase in dose results in improved outcomes for patients’ (ACPM Resolution 9530, April 2011).</w:t>
      </w:r>
    </w:p>
    <w:p w:rsidR="00884CF5" w:rsidRPr="00B97173" w:rsidRDefault="00884CF5" w:rsidP="003E712D">
      <w:pPr>
        <w:pStyle w:val="ListParagraph"/>
        <w:ind w:left="1276"/>
        <w:jc w:val="both"/>
        <w:rPr>
          <w:rFonts w:ascii="Arial" w:hAnsi="Arial"/>
          <w:sz w:val="22"/>
          <w:szCs w:val="22"/>
        </w:rPr>
      </w:pPr>
    </w:p>
    <w:p w:rsidR="00AF62EB" w:rsidRPr="00021C76" w:rsidRDefault="00021C76" w:rsidP="00021C76">
      <w:pPr>
        <w:pStyle w:val="ListParagraph"/>
        <w:ind w:left="1276"/>
        <w:jc w:val="both"/>
        <w:rPr>
          <w:rFonts w:ascii="Arial" w:hAnsi="Arial"/>
          <w:sz w:val="22"/>
          <w:szCs w:val="22"/>
        </w:rPr>
      </w:pPr>
      <w:r>
        <w:rPr>
          <w:rFonts w:ascii="Arial" w:hAnsi="Arial"/>
          <w:sz w:val="22"/>
          <w:szCs w:val="22"/>
        </w:rPr>
        <w:t>However, t</w:t>
      </w:r>
      <w:r w:rsidR="00AF62EB" w:rsidRPr="00B97173">
        <w:rPr>
          <w:rFonts w:ascii="Arial" w:hAnsi="Arial"/>
          <w:sz w:val="22"/>
          <w:szCs w:val="22"/>
        </w:rPr>
        <w:t xml:space="preserve">he PBAC noted that that the submission did not provide any evidence </w:t>
      </w:r>
      <w:r w:rsidR="00AF62EB" w:rsidRPr="00021C76">
        <w:rPr>
          <w:rFonts w:ascii="Arial" w:hAnsi="Arial"/>
          <w:sz w:val="22"/>
          <w:szCs w:val="22"/>
        </w:rPr>
        <w:t xml:space="preserve">relating the </w:t>
      </w:r>
      <w:r w:rsidRPr="00021C76">
        <w:rPr>
          <w:rFonts w:ascii="Arial" w:hAnsi="Arial"/>
          <w:sz w:val="22"/>
          <w:szCs w:val="22"/>
        </w:rPr>
        <w:t>3-monthly</w:t>
      </w:r>
      <w:r w:rsidR="00AF62EB" w:rsidRPr="00021C76">
        <w:rPr>
          <w:rFonts w:ascii="Arial" w:hAnsi="Arial"/>
          <w:sz w:val="22"/>
          <w:szCs w:val="22"/>
        </w:rPr>
        <w:t xml:space="preserve"> dosing regimen to clinical effectiveness in the first-line setting. Therefore the PBAC </w:t>
      </w:r>
      <w:r w:rsidR="00493F87" w:rsidRPr="00021C76">
        <w:rPr>
          <w:rFonts w:ascii="Arial" w:hAnsi="Arial"/>
          <w:sz w:val="22"/>
          <w:szCs w:val="22"/>
        </w:rPr>
        <w:t xml:space="preserve">was not persuaded by the evidence presented </w:t>
      </w:r>
      <w:r w:rsidR="003D1C52">
        <w:rPr>
          <w:rFonts w:ascii="Arial" w:hAnsi="Arial"/>
          <w:sz w:val="22"/>
          <w:szCs w:val="22"/>
        </w:rPr>
        <w:t>by the sponsor</w:t>
      </w:r>
      <w:r w:rsidR="00493F87" w:rsidRPr="00021C76">
        <w:rPr>
          <w:rFonts w:ascii="Arial" w:hAnsi="Arial"/>
          <w:sz w:val="22"/>
          <w:szCs w:val="22"/>
        </w:rPr>
        <w:t xml:space="preserve"> and consider</w:t>
      </w:r>
      <w:r w:rsidR="007324E8">
        <w:rPr>
          <w:rFonts w:ascii="Arial" w:hAnsi="Arial"/>
          <w:sz w:val="22"/>
          <w:szCs w:val="22"/>
        </w:rPr>
        <w:t>ed</w:t>
      </w:r>
      <w:r w:rsidR="00493F87" w:rsidRPr="00021C76">
        <w:rPr>
          <w:rFonts w:ascii="Arial" w:hAnsi="Arial"/>
          <w:sz w:val="22"/>
          <w:szCs w:val="22"/>
        </w:rPr>
        <w:t xml:space="preserve"> the dosing in the PRIMA trial </w:t>
      </w:r>
      <w:r w:rsidR="007324E8">
        <w:rPr>
          <w:rFonts w:ascii="Arial" w:hAnsi="Arial"/>
          <w:sz w:val="22"/>
          <w:szCs w:val="22"/>
        </w:rPr>
        <w:t>w</w:t>
      </w:r>
      <w:r w:rsidR="00493F87" w:rsidRPr="00021C76">
        <w:rPr>
          <w:rFonts w:ascii="Arial" w:hAnsi="Arial"/>
          <w:sz w:val="22"/>
          <w:szCs w:val="22"/>
        </w:rPr>
        <w:t xml:space="preserve">as more relevant. Therefore, the PBAC </w:t>
      </w:r>
      <w:r w:rsidR="00AF62EB" w:rsidRPr="00021C76">
        <w:rPr>
          <w:rFonts w:ascii="Arial" w:hAnsi="Arial"/>
          <w:sz w:val="22"/>
          <w:szCs w:val="22"/>
        </w:rPr>
        <w:t>reiterated its March 2014 con</w:t>
      </w:r>
      <w:r w:rsidR="00C74F8E">
        <w:rPr>
          <w:rFonts w:ascii="Arial" w:hAnsi="Arial"/>
          <w:sz w:val="22"/>
          <w:szCs w:val="22"/>
        </w:rPr>
        <w:t>clusion</w:t>
      </w:r>
      <w:r w:rsidR="00AF62EB" w:rsidRPr="00021C76">
        <w:rPr>
          <w:rFonts w:ascii="Arial" w:hAnsi="Arial"/>
          <w:sz w:val="22"/>
          <w:szCs w:val="22"/>
        </w:rPr>
        <w:t xml:space="preserve"> that the economic model should be informed by the dosing schedule used in the trials.</w:t>
      </w:r>
    </w:p>
    <w:p w:rsidR="0009035B" w:rsidRDefault="0009035B" w:rsidP="0009035B">
      <w:pPr>
        <w:pStyle w:val="ListParagraph"/>
        <w:ind w:left="709"/>
        <w:jc w:val="both"/>
        <w:rPr>
          <w:rFonts w:ascii="Arial" w:hAnsi="Arial"/>
          <w:sz w:val="22"/>
          <w:szCs w:val="22"/>
        </w:rPr>
      </w:pPr>
    </w:p>
    <w:p w:rsidR="00283FDE" w:rsidRPr="005F3E57" w:rsidRDefault="00A119F9" w:rsidP="005F3E57">
      <w:pPr>
        <w:pStyle w:val="ListParagraph"/>
        <w:numPr>
          <w:ilvl w:val="1"/>
          <w:numId w:val="1"/>
        </w:numPr>
        <w:ind w:left="720"/>
        <w:jc w:val="both"/>
        <w:rPr>
          <w:rFonts w:ascii="Arial" w:hAnsi="Arial"/>
          <w:sz w:val="22"/>
          <w:szCs w:val="22"/>
        </w:rPr>
      </w:pPr>
      <w:r w:rsidRPr="005F3E57">
        <w:rPr>
          <w:rFonts w:ascii="Arial" w:hAnsi="Arial"/>
          <w:sz w:val="22"/>
          <w:szCs w:val="22"/>
        </w:rPr>
        <w:t>The PBAC</w:t>
      </w:r>
      <w:r w:rsidR="00203645" w:rsidRPr="005F3E57">
        <w:rPr>
          <w:rFonts w:ascii="Arial" w:hAnsi="Arial"/>
          <w:sz w:val="22"/>
          <w:szCs w:val="22"/>
        </w:rPr>
        <w:t xml:space="preserve"> therefore considered a respecified base case for the modelled economic evaluation based on</w:t>
      </w:r>
      <w:r w:rsidR="00283FDE" w:rsidRPr="005F3E57">
        <w:rPr>
          <w:rFonts w:ascii="Arial" w:hAnsi="Arial"/>
          <w:sz w:val="22"/>
          <w:szCs w:val="22"/>
        </w:rPr>
        <w:t xml:space="preserve">: </w:t>
      </w:r>
    </w:p>
    <w:p w:rsidR="00283FDE" w:rsidRPr="003D1C52" w:rsidRDefault="00283FDE" w:rsidP="003D1C52">
      <w:pPr>
        <w:pStyle w:val="ListParagraph"/>
        <w:numPr>
          <w:ilvl w:val="0"/>
          <w:numId w:val="3"/>
        </w:numPr>
        <w:ind w:left="1276" w:hanging="425"/>
        <w:jc w:val="both"/>
        <w:rPr>
          <w:rFonts w:ascii="Arial" w:hAnsi="Arial"/>
          <w:sz w:val="22"/>
          <w:szCs w:val="22"/>
        </w:rPr>
      </w:pPr>
      <w:proofErr w:type="gramStart"/>
      <w:r w:rsidRPr="003D1C52">
        <w:rPr>
          <w:rFonts w:ascii="Arial" w:hAnsi="Arial"/>
          <w:sz w:val="22"/>
          <w:szCs w:val="22"/>
        </w:rPr>
        <w:t>the</w:t>
      </w:r>
      <w:proofErr w:type="gramEnd"/>
      <w:r w:rsidRPr="003D1C52">
        <w:rPr>
          <w:rFonts w:ascii="Arial" w:hAnsi="Arial"/>
          <w:sz w:val="22"/>
          <w:szCs w:val="22"/>
        </w:rPr>
        <w:t xml:space="preserve"> 10% reduced rate and efficacy of re-induction as proposed in the submission, </w:t>
      </w:r>
      <w:r w:rsidR="003D1C52" w:rsidRPr="003D1C52">
        <w:rPr>
          <w:rFonts w:ascii="Arial" w:hAnsi="Arial"/>
          <w:sz w:val="22"/>
          <w:szCs w:val="22"/>
        </w:rPr>
        <w:t xml:space="preserve">but </w:t>
      </w:r>
      <w:r w:rsidRPr="003D1C52">
        <w:rPr>
          <w:rFonts w:ascii="Arial" w:hAnsi="Arial"/>
          <w:sz w:val="22"/>
          <w:szCs w:val="22"/>
        </w:rPr>
        <w:t>no transition from salvage to palliative care.</w:t>
      </w:r>
    </w:p>
    <w:p w:rsidR="00A119F9" w:rsidRPr="00A119F9" w:rsidRDefault="00A119F9" w:rsidP="003D1C52">
      <w:pPr>
        <w:pStyle w:val="ListParagraph"/>
        <w:numPr>
          <w:ilvl w:val="0"/>
          <w:numId w:val="3"/>
        </w:numPr>
        <w:ind w:left="1276" w:hanging="425"/>
        <w:jc w:val="both"/>
        <w:rPr>
          <w:rFonts w:ascii="Arial" w:hAnsi="Arial"/>
          <w:sz w:val="22"/>
          <w:szCs w:val="22"/>
        </w:rPr>
      </w:pPr>
      <w:proofErr w:type="gramStart"/>
      <w:r w:rsidRPr="00A119F9">
        <w:rPr>
          <w:rFonts w:ascii="Arial" w:hAnsi="Arial"/>
          <w:sz w:val="22"/>
          <w:szCs w:val="22"/>
        </w:rPr>
        <w:t>a</w:t>
      </w:r>
      <w:proofErr w:type="gramEnd"/>
      <w:r w:rsidRPr="00A119F9">
        <w:rPr>
          <w:rFonts w:ascii="Arial" w:hAnsi="Arial"/>
          <w:sz w:val="22"/>
          <w:szCs w:val="22"/>
        </w:rPr>
        <w:t xml:space="preserve"> maximum of 12 </w:t>
      </w:r>
      <w:r w:rsidR="00327C9A">
        <w:rPr>
          <w:rFonts w:ascii="Arial" w:hAnsi="Arial"/>
          <w:sz w:val="22"/>
          <w:szCs w:val="22"/>
        </w:rPr>
        <w:t>infusions</w:t>
      </w:r>
      <w:r w:rsidRPr="00A119F9">
        <w:rPr>
          <w:rFonts w:ascii="Arial" w:hAnsi="Arial"/>
          <w:sz w:val="22"/>
          <w:szCs w:val="22"/>
        </w:rPr>
        <w:t xml:space="preserve"> in the first-lin</w:t>
      </w:r>
      <w:r w:rsidR="00283FDE">
        <w:rPr>
          <w:rFonts w:ascii="Arial" w:hAnsi="Arial"/>
          <w:sz w:val="22"/>
          <w:szCs w:val="22"/>
        </w:rPr>
        <w:t>e setting (per the PRIMA trial</w:t>
      </w:r>
      <w:r w:rsidR="00C74F8E">
        <w:rPr>
          <w:rFonts w:ascii="Arial" w:hAnsi="Arial"/>
          <w:sz w:val="22"/>
          <w:szCs w:val="22"/>
        </w:rPr>
        <w:t>)</w:t>
      </w:r>
      <w:r w:rsidR="00283FDE">
        <w:rPr>
          <w:rFonts w:ascii="Arial" w:hAnsi="Arial"/>
          <w:sz w:val="22"/>
          <w:szCs w:val="22"/>
        </w:rPr>
        <w:t>.</w:t>
      </w:r>
      <w:r w:rsidRPr="00A119F9">
        <w:rPr>
          <w:rFonts w:ascii="Arial" w:hAnsi="Arial"/>
          <w:sz w:val="22"/>
          <w:szCs w:val="22"/>
        </w:rPr>
        <w:t xml:space="preserve"> </w:t>
      </w:r>
    </w:p>
    <w:p w:rsidR="00A119F9" w:rsidRDefault="00A119F9" w:rsidP="00A119F9">
      <w:pPr>
        <w:pStyle w:val="ListParagraph"/>
        <w:shd w:val="clear" w:color="auto" w:fill="FFFFFF" w:themeFill="background1"/>
        <w:ind w:left="709"/>
        <w:jc w:val="both"/>
        <w:rPr>
          <w:rFonts w:ascii="Arial" w:hAnsi="Arial"/>
          <w:sz w:val="22"/>
          <w:szCs w:val="22"/>
        </w:rPr>
      </w:pPr>
    </w:p>
    <w:p w:rsidR="00D7785D" w:rsidRPr="00912F6E" w:rsidRDefault="00BD4510" w:rsidP="005F3E57">
      <w:pPr>
        <w:autoSpaceDE w:val="0"/>
        <w:autoSpaceDN w:val="0"/>
        <w:adjustRightInd w:val="0"/>
        <w:ind w:left="720"/>
        <w:jc w:val="both"/>
        <w:rPr>
          <w:rFonts w:ascii="Arial Narrow" w:hAnsi="Arial Narrow" w:cs="Arial"/>
          <w:b/>
          <w:bCs/>
          <w:color w:val="000000"/>
          <w:sz w:val="20"/>
          <w:szCs w:val="20"/>
        </w:rPr>
      </w:pPr>
      <w:r w:rsidRPr="00912F6E">
        <w:rPr>
          <w:rFonts w:ascii="Arial Narrow" w:hAnsi="Arial Narrow" w:cs="Arial"/>
          <w:b/>
          <w:bCs/>
          <w:color w:val="000000"/>
          <w:sz w:val="20"/>
          <w:szCs w:val="20"/>
        </w:rPr>
        <w:t xml:space="preserve">PBAC revised base case for </w:t>
      </w:r>
      <w:r w:rsidR="00D7785D" w:rsidRPr="00912F6E">
        <w:rPr>
          <w:rFonts w:ascii="Arial Narrow" w:hAnsi="Arial Narrow" w:cs="Arial"/>
          <w:b/>
          <w:bCs/>
          <w:color w:val="000000"/>
          <w:sz w:val="20"/>
          <w:szCs w:val="20"/>
        </w:rPr>
        <w:t>rituximab maintenance</w:t>
      </w:r>
      <w:r w:rsidRPr="00912F6E">
        <w:rPr>
          <w:rFonts w:ascii="Arial Narrow" w:hAnsi="Arial Narrow" w:cs="Arial"/>
          <w:b/>
          <w:bCs/>
          <w:color w:val="000000"/>
          <w:sz w:val="20"/>
          <w:szCs w:val="20"/>
        </w:rPr>
        <w:t xml:space="preserve"> in the first-line setting only, or in both first and later</w:t>
      </w:r>
      <w:r w:rsidR="00912F6E" w:rsidRPr="00912F6E">
        <w:rPr>
          <w:rFonts w:ascii="Arial Narrow" w:hAnsi="Arial Narrow" w:cs="Arial"/>
          <w:b/>
          <w:bCs/>
          <w:color w:val="000000"/>
          <w:sz w:val="20"/>
          <w:szCs w:val="20"/>
        </w:rPr>
        <w:t>-</w:t>
      </w:r>
      <w:r w:rsidRPr="00912F6E">
        <w:rPr>
          <w:rFonts w:ascii="Arial Narrow" w:hAnsi="Arial Narrow" w:cs="Arial"/>
          <w:b/>
          <w:bCs/>
          <w:color w:val="000000"/>
          <w:sz w:val="20"/>
          <w:szCs w:val="20"/>
        </w:rPr>
        <w:t>lines</w:t>
      </w:r>
      <w:r w:rsidR="00912F6E" w:rsidRPr="00912F6E">
        <w:rPr>
          <w:rFonts w:ascii="Arial Narrow" w:hAnsi="Arial Narrow" w:cs="Arial"/>
          <w:b/>
          <w:bCs/>
          <w:color w:val="000000"/>
          <w:sz w:val="20"/>
          <w:szCs w:val="20"/>
        </w:rPr>
        <w:t xml:space="preserve">, with the </w:t>
      </w:r>
      <w:r w:rsidR="007E52A7" w:rsidRPr="00912F6E">
        <w:rPr>
          <w:rFonts w:ascii="Arial Narrow" w:hAnsi="Arial Narrow" w:cs="Arial"/>
          <w:b/>
          <w:bCs/>
          <w:color w:val="000000"/>
          <w:sz w:val="20"/>
          <w:szCs w:val="20"/>
        </w:rPr>
        <w:t xml:space="preserve">price of rituximab as proposed in the minor submission </w:t>
      </w:r>
      <w:r w:rsidR="00912F6E" w:rsidRPr="00912F6E">
        <w:rPr>
          <w:rFonts w:ascii="Arial Narrow" w:hAnsi="Arial Narrow" w:cs="Arial"/>
          <w:b/>
          <w:bCs/>
          <w:color w:val="000000"/>
          <w:sz w:val="20"/>
          <w:szCs w:val="20"/>
        </w:rPr>
        <w:t>(</w:t>
      </w:r>
      <w:r w:rsidR="007D5005">
        <w:rPr>
          <w:rFonts w:ascii="Arial Narrow" w:hAnsi="Arial Narrow" w:cs="Arial"/>
          <w:b/>
          <w:bCs/>
          <w:noProof/>
          <w:color w:val="000000"/>
          <w:sz w:val="20"/>
          <w:szCs w:val="20"/>
          <w:highlight w:val="black"/>
        </w:rPr>
        <w:t>'''''</w:t>
      </w:r>
      <w:r w:rsidR="007E52A7" w:rsidRPr="00912F6E">
        <w:rPr>
          <w:rFonts w:ascii="Arial Narrow" w:hAnsi="Arial Narrow" w:cs="Arial"/>
          <w:b/>
          <w:bCs/>
          <w:color w:val="000000"/>
          <w:sz w:val="20"/>
          <w:szCs w:val="20"/>
        </w:rPr>
        <w:t>% rebate)</w:t>
      </w:r>
    </w:p>
    <w:tbl>
      <w:tblPr>
        <w:tblW w:w="0" w:type="auto"/>
        <w:tblInd w:w="817" w:type="dxa"/>
        <w:tblLayout w:type="fixed"/>
        <w:tblLook w:val="00A0" w:firstRow="1" w:lastRow="0" w:firstColumn="1" w:lastColumn="0" w:noHBand="0" w:noVBand="0"/>
        <w:tblDescription w:val="PBAC revised base case for rituximab maintenance"/>
      </w:tblPr>
      <w:tblGrid>
        <w:gridCol w:w="4961"/>
        <w:gridCol w:w="1276"/>
        <w:gridCol w:w="1134"/>
        <w:gridCol w:w="1054"/>
      </w:tblGrid>
      <w:tr w:rsidR="00D7785D" w:rsidRPr="00912F6E" w:rsidTr="005F3E57">
        <w:tc>
          <w:tcPr>
            <w:tcW w:w="4961" w:type="dxa"/>
            <w:tcBorders>
              <w:top w:val="single" w:sz="6" w:space="0" w:color="000000"/>
              <w:left w:val="single" w:sz="6" w:space="0" w:color="000000"/>
              <w:bottom w:val="single" w:sz="6" w:space="0" w:color="000000"/>
              <w:right w:val="single" w:sz="6" w:space="0" w:color="000000"/>
            </w:tcBorders>
          </w:tcPr>
          <w:p w:rsidR="00D7785D" w:rsidRPr="00912F6E" w:rsidRDefault="00D7785D">
            <w:pPr>
              <w:autoSpaceDE w:val="0"/>
              <w:autoSpaceDN w:val="0"/>
              <w:adjustRightInd w:val="0"/>
              <w:jc w:val="both"/>
              <w:rPr>
                <w:rFonts w:ascii="Arial Narrow" w:hAnsi="Arial Narrow" w:cs="Arial"/>
                <w:b/>
                <w:bCs/>
                <w:color w:val="000000"/>
                <w:sz w:val="20"/>
                <w:szCs w:val="20"/>
              </w:rPr>
            </w:pPr>
          </w:p>
        </w:tc>
        <w:tc>
          <w:tcPr>
            <w:tcW w:w="1276" w:type="dxa"/>
            <w:tcBorders>
              <w:top w:val="single" w:sz="6" w:space="0" w:color="000000"/>
              <w:left w:val="single" w:sz="6" w:space="0" w:color="000000"/>
              <w:bottom w:val="single" w:sz="6" w:space="0" w:color="000000"/>
              <w:right w:val="single" w:sz="6" w:space="0" w:color="000000"/>
            </w:tcBorders>
          </w:tcPr>
          <w:p w:rsidR="00D7785D" w:rsidRPr="00912F6E" w:rsidRDefault="00A21073" w:rsidP="00A21073">
            <w:pPr>
              <w:autoSpaceDE w:val="0"/>
              <w:autoSpaceDN w:val="0"/>
              <w:adjustRightInd w:val="0"/>
              <w:jc w:val="center"/>
              <w:rPr>
                <w:rFonts w:ascii="Arial Narrow" w:hAnsi="Arial Narrow" w:cs="Arial"/>
                <w:b/>
                <w:bCs/>
                <w:color w:val="000000"/>
                <w:sz w:val="20"/>
                <w:szCs w:val="20"/>
              </w:rPr>
            </w:pPr>
            <w:r w:rsidRPr="00912F6E">
              <w:rPr>
                <w:rFonts w:ascii="Arial Narrow" w:hAnsi="Arial Narrow" w:cs="Arial"/>
                <w:b/>
                <w:bCs/>
                <w:color w:val="000000"/>
                <w:sz w:val="20"/>
                <w:szCs w:val="20"/>
              </w:rPr>
              <w:t xml:space="preserve">Change in </w:t>
            </w:r>
            <w:r w:rsidR="00D7785D" w:rsidRPr="00912F6E">
              <w:rPr>
                <w:rFonts w:ascii="Arial Narrow" w:hAnsi="Arial Narrow" w:cs="Arial"/>
                <w:b/>
                <w:bCs/>
                <w:color w:val="000000"/>
                <w:sz w:val="20"/>
                <w:szCs w:val="20"/>
              </w:rPr>
              <w:t>Cost</w:t>
            </w:r>
          </w:p>
        </w:tc>
        <w:tc>
          <w:tcPr>
            <w:tcW w:w="1134" w:type="dxa"/>
            <w:tcBorders>
              <w:top w:val="single" w:sz="6" w:space="0" w:color="000000"/>
              <w:left w:val="single" w:sz="6" w:space="0" w:color="000000"/>
              <w:bottom w:val="single" w:sz="6" w:space="0" w:color="000000"/>
              <w:right w:val="single" w:sz="6" w:space="0" w:color="000000"/>
            </w:tcBorders>
          </w:tcPr>
          <w:p w:rsidR="00D7785D" w:rsidRPr="00912F6E" w:rsidRDefault="00A21073" w:rsidP="00A21073">
            <w:pPr>
              <w:autoSpaceDE w:val="0"/>
              <w:autoSpaceDN w:val="0"/>
              <w:adjustRightInd w:val="0"/>
              <w:jc w:val="center"/>
              <w:rPr>
                <w:rFonts w:ascii="Arial Narrow" w:hAnsi="Arial Narrow" w:cs="Arial"/>
                <w:b/>
                <w:bCs/>
                <w:color w:val="000000"/>
                <w:sz w:val="20"/>
                <w:szCs w:val="20"/>
              </w:rPr>
            </w:pPr>
            <w:r w:rsidRPr="00912F6E">
              <w:rPr>
                <w:rFonts w:ascii="Arial Narrow" w:hAnsi="Arial Narrow" w:cs="Arial"/>
                <w:b/>
                <w:bCs/>
                <w:color w:val="000000"/>
                <w:sz w:val="20"/>
                <w:szCs w:val="20"/>
              </w:rPr>
              <w:t>Change in</w:t>
            </w:r>
            <w:r w:rsidR="00D7785D" w:rsidRPr="00912F6E">
              <w:rPr>
                <w:rFonts w:ascii="Arial Narrow" w:hAnsi="Arial Narrow" w:cs="Arial"/>
                <w:b/>
                <w:bCs/>
                <w:color w:val="000000"/>
                <w:sz w:val="20"/>
                <w:szCs w:val="20"/>
              </w:rPr>
              <w:t xml:space="preserve"> QALY</w:t>
            </w:r>
          </w:p>
        </w:tc>
        <w:tc>
          <w:tcPr>
            <w:tcW w:w="1054" w:type="dxa"/>
            <w:tcBorders>
              <w:top w:val="single" w:sz="6" w:space="0" w:color="000000"/>
              <w:left w:val="single" w:sz="6" w:space="0" w:color="000000"/>
              <w:bottom w:val="single" w:sz="6" w:space="0" w:color="000000"/>
              <w:right w:val="single" w:sz="6" w:space="0" w:color="000000"/>
            </w:tcBorders>
          </w:tcPr>
          <w:p w:rsidR="00D7785D" w:rsidRPr="00912F6E" w:rsidRDefault="00D7785D">
            <w:pPr>
              <w:autoSpaceDE w:val="0"/>
              <w:autoSpaceDN w:val="0"/>
              <w:adjustRightInd w:val="0"/>
              <w:jc w:val="center"/>
              <w:rPr>
                <w:rFonts w:ascii="Arial Narrow" w:hAnsi="Arial Narrow" w:cs="Arial"/>
                <w:b/>
                <w:bCs/>
                <w:color w:val="000000"/>
                <w:sz w:val="20"/>
                <w:szCs w:val="20"/>
              </w:rPr>
            </w:pPr>
            <w:r w:rsidRPr="00912F6E">
              <w:rPr>
                <w:rFonts w:ascii="Arial Narrow" w:hAnsi="Arial Narrow" w:cs="Arial"/>
                <w:b/>
                <w:bCs/>
                <w:color w:val="000000"/>
                <w:sz w:val="20"/>
                <w:szCs w:val="20"/>
              </w:rPr>
              <w:t>ICER</w:t>
            </w:r>
          </w:p>
        </w:tc>
      </w:tr>
      <w:tr w:rsidR="00D7785D" w:rsidRPr="00912F6E" w:rsidTr="005F3E57">
        <w:tc>
          <w:tcPr>
            <w:tcW w:w="4961" w:type="dxa"/>
            <w:tcBorders>
              <w:top w:val="single" w:sz="6" w:space="0" w:color="000000"/>
              <w:left w:val="single" w:sz="6" w:space="0" w:color="000000"/>
              <w:bottom w:val="single" w:sz="6" w:space="0" w:color="000000"/>
              <w:right w:val="single" w:sz="6" w:space="0" w:color="000000"/>
            </w:tcBorders>
          </w:tcPr>
          <w:p w:rsidR="00D7785D" w:rsidRPr="00912F6E" w:rsidRDefault="00401A9C" w:rsidP="00401A9C">
            <w:pPr>
              <w:autoSpaceDE w:val="0"/>
              <w:autoSpaceDN w:val="0"/>
              <w:adjustRightInd w:val="0"/>
              <w:jc w:val="both"/>
              <w:rPr>
                <w:rFonts w:ascii="Arial Narrow" w:hAnsi="Arial Narrow" w:cs="Arial"/>
                <w:color w:val="000000"/>
                <w:sz w:val="20"/>
                <w:szCs w:val="20"/>
              </w:rPr>
            </w:pPr>
            <w:r w:rsidRPr="00912F6E">
              <w:rPr>
                <w:rFonts w:ascii="Arial Narrow" w:hAnsi="Arial Narrow" w:cs="Arial"/>
                <w:color w:val="000000"/>
                <w:sz w:val="20"/>
                <w:szCs w:val="20"/>
              </w:rPr>
              <w:t xml:space="preserve">Rituximab maintenance in the first-line setting </w:t>
            </w:r>
            <w:r w:rsidRPr="00912F6E">
              <w:rPr>
                <w:rFonts w:ascii="Arial Narrow" w:hAnsi="Arial Narrow" w:cs="Arial"/>
                <w:color w:val="000000"/>
                <w:sz w:val="20"/>
                <w:szCs w:val="20"/>
                <w:u w:val="single"/>
              </w:rPr>
              <w:t>only</w:t>
            </w:r>
            <w:r w:rsidRPr="00912F6E">
              <w:rPr>
                <w:rFonts w:ascii="Arial Narrow" w:hAnsi="Arial Narrow" w:cs="Arial"/>
                <w:color w:val="000000"/>
                <w:sz w:val="20"/>
                <w:szCs w:val="20"/>
              </w:rPr>
              <w:t xml:space="preserve"> (i.e. no maintenance for patients who have relapsed)</w:t>
            </w:r>
          </w:p>
        </w:tc>
        <w:tc>
          <w:tcPr>
            <w:tcW w:w="1276" w:type="dxa"/>
            <w:tcBorders>
              <w:top w:val="single" w:sz="6" w:space="0" w:color="000000"/>
              <w:left w:val="single" w:sz="6" w:space="0" w:color="000000"/>
              <w:bottom w:val="single" w:sz="6" w:space="0" w:color="000000"/>
              <w:right w:val="single" w:sz="6" w:space="0" w:color="000000"/>
            </w:tcBorders>
          </w:tcPr>
          <w:p w:rsidR="00D7785D" w:rsidRPr="00912F6E" w:rsidRDefault="00D7785D" w:rsidP="004D552E">
            <w:pPr>
              <w:keepNext/>
              <w:keepLines/>
              <w:autoSpaceDE w:val="0"/>
              <w:autoSpaceDN w:val="0"/>
              <w:adjustRightInd w:val="0"/>
              <w:spacing w:after="240"/>
              <w:jc w:val="right"/>
              <w:rPr>
                <w:rFonts w:ascii="Arial Narrow" w:hAnsi="Arial Narrow" w:cs="Arial"/>
                <w:iCs/>
                <w:color w:val="000000"/>
                <w:sz w:val="20"/>
                <w:szCs w:val="20"/>
              </w:rPr>
            </w:pPr>
            <w:r w:rsidRPr="00912F6E">
              <w:rPr>
                <w:rFonts w:ascii="Arial Narrow" w:hAnsi="Arial Narrow" w:cs="Arial"/>
                <w:iCs/>
                <w:color w:val="000000"/>
                <w:sz w:val="20"/>
                <w:szCs w:val="20"/>
              </w:rPr>
              <w:t>$</w:t>
            </w:r>
            <w:r w:rsidR="007D5005">
              <w:rPr>
                <w:rFonts w:ascii="Arial Narrow" w:hAnsi="Arial Narrow" w:cs="Arial"/>
                <w:iCs/>
                <w:noProof/>
                <w:color w:val="000000"/>
                <w:sz w:val="20"/>
                <w:szCs w:val="20"/>
                <w:highlight w:val="black"/>
              </w:rPr>
              <w:t>'''''''''''''''''</w:t>
            </w:r>
          </w:p>
        </w:tc>
        <w:tc>
          <w:tcPr>
            <w:tcW w:w="1134" w:type="dxa"/>
            <w:tcBorders>
              <w:top w:val="single" w:sz="6" w:space="0" w:color="000000"/>
              <w:left w:val="single" w:sz="6" w:space="0" w:color="000000"/>
              <w:bottom w:val="single" w:sz="6" w:space="0" w:color="000000"/>
              <w:right w:val="single" w:sz="6" w:space="0" w:color="000000"/>
            </w:tcBorders>
          </w:tcPr>
          <w:p w:rsidR="00D7785D" w:rsidRPr="007D5005" w:rsidRDefault="007D5005" w:rsidP="004D552E">
            <w:pPr>
              <w:keepNext/>
              <w:keepLines/>
              <w:autoSpaceDE w:val="0"/>
              <w:autoSpaceDN w:val="0"/>
              <w:adjustRightInd w:val="0"/>
              <w:jc w:val="right"/>
              <w:rPr>
                <w:rFonts w:ascii="Arial Narrow" w:hAnsi="Arial Narrow" w:cs="Arial"/>
                <w:iCs/>
                <w:color w:val="000000"/>
                <w:sz w:val="20"/>
                <w:szCs w:val="20"/>
                <w:highlight w:val="black"/>
              </w:rPr>
            </w:pPr>
            <w:r>
              <w:rPr>
                <w:rFonts w:ascii="Arial Narrow" w:hAnsi="Arial Narrow" w:cs="Arial"/>
                <w:iCs/>
                <w:noProof/>
                <w:color w:val="000000"/>
                <w:sz w:val="20"/>
                <w:szCs w:val="20"/>
                <w:highlight w:val="black"/>
              </w:rPr>
              <w:t>'''''''''''''</w:t>
            </w:r>
          </w:p>
        </w:tc>
        <w:tc>
          <w:tcPr>
            <w:tcW w:w="1054" w:type="dxa"/>
            <w:tcBorders>
              <w:top w:val="single" w:sz="6" w:space="0" w:color="000000"/>
              <w:left w:val="single" w:sz="6" w:space="0" w:color="000000"/>
              <w:bottom w:val="single" w:sz="6" w:space="0" w:color="000000"/>
              <w:right w:val="single" w:sz="6" w:space="0" w:color="000000"/>
            </w:tcBorders>
          </w:tcPr>
          <w:p w:rsidR="00D7785D" w:rsidRPr="00912F6E" w:rsidRDefault="00D7785D" w:rsidP="004D552E">
            <w:pPr>
              <w:keepNext/>
              <w:keepLines/>
              <w:autoSpaceDE w:val="0"/>
              <w:autoSpaceDN w:val="0"/>
              <w:adjustRightInd w:val="0"/>
              <w:jc w:val="right"/>
              <w:rPr>
                <w:rFonts w:ascii="Arial Narrow" w:hAnsi="Arial Narrow" w:cs="Arial"/>
                <w:iCs/>
                <w:color w:val="000000"/>
                <w:sz w:val="20"/>
                <w:szCs w:val="20"/>
              </w:rPr>
            </w:pPr>
            <w:r w:rsidRPr="00912F6E">
              <w:rPr>
                <w:rFonts w:ascii="Arial Narrow" w:hAnsi="Arial Narrow" w:cs="Arial"/>
                <w:iCs/>
                <w:color w:val="000000"/>
                <w:sz w:val="20"/>
                <w:szCs w:val="20"/>
              </w:rPr>
              <w:t>$</w:t>
            </w:r>
            <w:r w:rsidR="007D5005">
              <w:rPr>
                <w:rFonts w:ascii="Arial Narrow" w:hAnsi="Arial Narrow" w:cs="Arial"/>
                <w:iCs/>
                <w:noProof/>
                <w:color w:val="000000"/>
                <w:sz w:val="20"/>
                <w:szCs w:val="20"/>
                <w:highlight w:val="black"/>
              </w:rPr>
              <w:t>''''''''''''''''</w:t>
            </w:r>
          </w:p>
        </w:tc>
      </w:tr>
      <w:tr w:rsidR="00D7785D" w:rsidRPr="00912F6E" w:rsidTr="005F3E57">
        <w:tc>
          <w:tcPr>
            <w:tcW w:w="4961" w:type="dxa"/>
            <w:tcBorders>
              <w:top w:val="single" w:sz="6" w:space="0" w:color="000000"/>
              <w:left w:val="single" w:sz="6" w:space="0" w:color="000000"/>
              <w:bottom w:val="single" w:sz="6" w:space="0" w:color="000000"/>
              <w:right w:val="single" w:sz="6" w:space="0" w:color="000000"/>
            </w:tcBorders>
          </w:tcPr>
          <w:p w:rsidR="00D7785D" w:rsidRPr="00912F6E" w:rsidRDefault="000E72F8">
            <w:pPr>
              <w:autoSpaceDE w:val="0"/>
              <w:autoSpaceDN w:val="0"/>
              <w:adjustRightInd w:val="0"/>
              <w:jc w:val="both"/>
              <w:rPr>
                <w:rFonts w:ascii="Arial Narrow" w:hAnsi="Arial Narrow" w:cs="Arial"/>
                <w:color w:val="000000"/>
                <w:sz w:val="20"/>
                <w:szCs w:val="20"/>
              </w:rPr>
            </w:pPr>
            <w:r w:rsidRPr="00912F6E">
              <w:rPr>
                <w:rFonts w:ascii="Arial Narrow" w:hAnsi="Arial Narrow" w:cs="Arial"/>
                <w:color w:val="000000"/>
                <w:sz w:val="20"/>
                <w:szCs w:val="20"/>
              </w:rPr>
              <w:t>Rituximab maintenance in</w:t>
            </w:r>
            <w:r w:rsidR="00BD4510" w:rsidRPr="00912F6E">
              <w:rPr>
                <w:rFonts w:ascii="Arial Narrow" w:hAnsi="Arial Narrow" w:cs="Arial"/>
                <w:color w:val="000000"/>
                <w:sz w:val="20"/>
                <w:szCs w:val="20"/>
              </w:rPr>
              <w:t xml:space="preserve"> the</w:t>
            </w:r>
            <w:r w:rsidRPr="00912F6E">
              <w:rPr>
                <w:rFonts w:ascii="Arial Narrow" w:hAnsi="Arial Narrow" w:cs="Arial"/>
                <w:color w:val="000000"/>
                <w:sz w:val="20"/>
                <w:szCs w:val="20"/>
              </w:rPr>
              <w:t xml:space="preserve"> first-line setting and in relapsed/refractory patients</w:t>
            </w:r>
            <w:r w:rsidR="0071061C">
              <w:rPr>
                <w:rFonts w:ascii="Arial Narrow" w:hAnsi="Arial Narrow" w:cs="Arial"/>
                <w:color w:val="000000"/>
                <w:sz w:val="20"/>
                <w:szCs w:val="20"/>
              </w:rPr>
              <w:t xml:space="preserve"> (use across the treatment algorithm)</w:t>
            </w:r>
            <w:r w:rsidRPr="00912F6E">
              <w:rPr>
                <w:rFonts w:ascii="Arial Narrow" w:hAnsi="Arial Narrow" w:cs="Arial"/>
                <w:color w:val="000000"/>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tcPr>
          <w:p w:rsidR="00D7785D" w:rsidRPr="00912F6E" w:rsidRDefault="00D7785D" w:rsidP="004D552E">
            <w:pPr>
              <w:keepNext/>
              <w:keepLines/>
              <w:autoSpaceDE w:val="0"/>
              <w:autoSpaceDN w:val="0"/>
              <w:adjustRightInd w:val="0"/>
              <w:spacing w:after="240"/>
              <w:jc w:val="right"/>
              <w:rPr>
                <w:rFonts w:ascii="Arial Narrow" w:hAnsi="Arial Narrow" w:cs="Arial"/>
                <w:iCs/>
                <w:color w:val="000000"/>
                <w:sz w:val="20"/>
                <w:szCs w:val="20"/>
              </w:rPr>
            </w:pPr>
            <w:r w:rsidRPr="00912F6E">
              <w:rPr>
                <w:rFonts w:ascii="Arial Narrow" w:hAnsi="Arial Narrow" w:cs="Arial"/>
                <w:iCs/>
                <w:color w:val="000000"/>
                <w:sz w:val="20"/>
                <w:szCs w:val="20"/>
              </w:rPr>
              <w:t>$</w:t>
            </w:r>
            <w:r w:rsidR="007D5005">
              <w:rPr>
                <w:rFonts w:ascii="Arial Narrow" w:hAnsi="Arial Narrow" w:cs="Arial"/>
                <w:iCs/>
                <w:noProof/>
                <w:color w:val="000000"/>
                <w:sz w:val="20"/>
                <w:szCs w:val="20"/>
                <w:highlight w:val="black"/>
              </w:rPr>
              <w:t>''''''''''''''''</w:t>
            </w:r>
          </w:p>
        </w:tc>
        <w:tc>
          <w:tcPr>
            <w:tcW w:w="1134" w:type="dxa"/>
            <w:tcBorders>
              <w:top w:val="single" w:sz="6" w:space="0" w:color="000000"/>
              <w:left w:val="single" w:sz="6" w:space="0" w:color="000000"/>
              <w:bottom w:val="single" w:sz="6" w:space="0" w:color="000000"/>
              <w:right w:val="single" w:sz="6" w:space="0" w:color="000000"/>
            </w:tcBorders>
          </w:tcPr>
          <w:p w:rsidR="00D7785D" w:rsidRPr="007D5005" w:rsidRDefault="007D5005" w:rsidP="004D552E">
            <w:pPr>
              <w:keepNext/>
              <w:keepLines/>
              <w:autoSpaceDE w:val="0"/>
              <w:autoSpaceDN w:val="0"/>
              <w:adjustRightInd w:val="0"/>
              <w:spacing w:after="240"/>
              <w:jc w:val="right"/>
              <w:rPr>
                <w:rFonts w:ascii="Arial Narrow" w:hAnsi="Arial Narrow" w:cs="Arial"/>
                <w:iCs/>
                <w:color w:val="000000"/>
                <w:sz w:val="20"/>
                <w:szCs w:val="20"/>
                <w:highlight w:val="black"/>
              </w:rPr>
            </w:pPr>
            <w:r>
              <w:rPr>
                <w:rFonts w:ascii="Arial Narrow" w:hAnsi="Arial Narrow" w:cs="Arial"/>
                <w:iCs/>
                <w:noProof/>
                <w:color w:val="000000"/>
                <w:sz w:val="20"/>
                <w:szCs w:val="20"/>
                <w:highlight w:val="black"/>
              </w:rPr>
              <w:t>''''''''''''</w:t>
            </w:r>
          </w:p>
        </w:tc>
        <w:tc>
          <w:tcPr>
            <w:tcW w:w="1054" w:type="dxa"/>
            <w:tcBorders>
              <w:top w:val="single" w:sz="6" w:space="0" w:color="000000"/>
              <w:left w:val="single" w:sz="6" w:space="0" w:color="000000"/>
              <w:bottom w:val="single" w:sz="6" w:space="0" w:color="000000"/>
              <w:right w:val="single" w:sz="6" w:space="0" w:color="000000"/>
            </w:tcBorders>
          </w:tcPr>
          <w:p w:rsidR="00D7785D" w:rsidRPr="00912F6E" w:rsidRDefault="00D7785D" w:rsidP="004D552E">
            <w:pPr>
              <w:keepNext/>
              <w:keepLines/>
              <w:autoSpaceDE w:val="0"/>
              <w:autoSpaceDN w:val="0"/>
              <w:adjustRightInd w:val="0"/>
              <w:jc w:val="right"/>
              <w:rPr>
                <w:rFonts w:ascii="Arial Narrow" w:hAnsi="Arial Narrow" w:cs="Arial"/>
                <w:iCs/>
                <w:color w:val="000000"/>
                <w:sz w:val="20"/>
                <w:szCs w:val="20"/>
              </w:rPr>
            </w:pPr>
            <w:r w:rsidRPr="00912F6E">
              <w:rPr>
                <w:rFonts w:ascii="Arial Narrow" w:hAnsi="Arial Narrow" w:cs="Arial"/>
                <w:iCs/>
                <w:color w:val="000000"/>
                <w:sz w:val="20"/>
                <w:szCs w:val="20"/>
              </w:rPr>
              <w:t>$</w:t>
            </w:r>
            <w:r w:rsidR="007D5005">
              <w:rPr>
                <w:rFonts w:ascii="Arial Narrow" w:hAnsi="Arial Narrow" w:cs="Arial"/>
                <w:iCs/>
                <w:noProof/>
                <w:color w:val="000000"/>
                <w:sz w:val="20"/>
                <w:szCs w:val="20"/>
                <w:highlight w:val="black"/>
              </w:rPr>
              <w:t>'''''''''''''''</w:t>
            </w:r>
          </w:p>
        </w:tc>
      </w:tr>
    </w:tbl>
    <w:p w:rsidR="00D7785D" w:rsidRPr="00912F6E" w:rsidRDefault="00D7785D" w:rsidP="005F3E57">
      <w:pPr>
        <w:autoSpaceDE w:val="0"/>
        <w:autoSpaceDN w:val="0"/>
        <w:adjustRightInd w:val="0"/>
        <w:ind w:firstLine="709"/>
        <w:jc w:val="both"/>
        <w:rPr>
          <w:rFonts w:ascii="Arial Narrow" w:hAnsi="Arial Narrow" w:cs="Arial"/>
          <w:color w:val="000000"/>
          <w:sz w:val="20"/>
          <w:szCs w:val="20"/>
        </w:rPr>
      </w:pPr>
      <w:r w:rsidRPr="00912F6E">
        <w:rPr>
          <w:rFonts w:ascii="Arial Narrow" w:hAnsi="Arial Narrow" w:cs="Arial"/>
          <w:color w:val="000000"/>
          <w:sz w:val="20"/>
          <w:szCs w:val="20"/>
        </w:rPr>
        <w:t>ICER = incremental cost effectiveness ratio; QALY = quality adjusted life year</w:t>
      </w:r>
    </w:p>
    <w:p w:rsidR="00D7785D" w:rsidRDefault="00D7785D" w:rsidP="00D7785D">
      <w:pPr>
        <w:autoSpaceDE w:val="0"/>
        <w:autoSpaceDN w:val="0"/>
        <w:adjustRightInd w:val="0"/>
        <w:rPr>
          <w:rFonts w:ascii="Arial Narrow" w:hAnsi="Arial Narrow" w:cs="Arial Narrow"/>
          <w:color w:val="000000"/>
          <w:sz w:val="18"/>
          <w:szCs w:val="18"/>
        </w:rPr>
      </w:pPr>
    </w:p>
    <w:p w:rsidR="00BD4510" w:rsidRPr="005F3E57" w:rsidRDefault="00BD4510"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The PBAC noted that the </w:t>
      </w:r>
      <w:r w:rsidR="00283FDE" w:rsidRPr="005F3E57">
        <w:rPr>
          <w:rFonts w:ascii="Arial" w:hAnsi="Arial"/>
          <w:sz w:val="22"/>
          <w:szCs w:val="22"/>
        </w:rPr>
        <w:t>aforementioned</w:t>
      </w:r>
      <w:r w:rsidRPr="005F3E57">
        <w:rPr>
          <w:rFonts w:ascii="Arial" w:hAnsi="Arial"/>
          <w:sz w:val="22"/>
          <w:szCs w:val="22"/>
        </w:rPr>
        <w:t xml:space="preserve"> base case </w:t>
      </w:r>
      <w:r w:rsidR="007E52A7" w:rsidRPr="005F3E57">
        <w:rPr>
          <w:rFonts w:ascii="Arial" w:hAnsi="Arial"/>
          <w:sz w:val="22"/>
          <w:szCs w:val="22"/>
        </w:rPr>
        <w:t>resulted in an ICER of $</w:t>
      </w:r>
      <w:r w:rsidR="008C5F5B">
        <w:rPr>
          <w:rFonts w:ascii="Arial" w:hAnsi="Arial"/>
          <w:sz w:val="22"/>
          <w:szCs w:val="22"/>
        </w:rPr>
        <w:t>45,000</w:t>
      </w:r>
      <w:r w:rsidR="007E52A7" w:rsidRPr="005F3E57">
        <w:rPr>
          <w:rFonts w:ascii="Arial" w:hAnsi="Arial"/>
          <w:sz w:val="22"/>
          <w:szCs w:val="22"/>
        </w:rPr>
        <w:t>/QALY</w:t>
      </w:r>
      <w:r w:rsidR="008C5F5B">
        <w:rPr>
          <w:rFonts w:ascii="Arial" w:hAnsi="Arial"/>
          <w:sz w:val="22"/>
          <w:szCs w:val="22"/>
        </w:rPr>
        <w:t xml:space="preserve"> - $75,000/QALY</w:t>
      </w:r>
      <w:r w:rsidR="007E52A7" w:rsidRPr="005F3E57">
        <w:rPr>
          <w:rFonts w:ascii="Arial" w:hAnsi="Arial"/>
          <w:sz w:val="22"/>
          <w:szCs w:val="22"/>
        </w:rPr>
        <w:t xml:space="preserve"> if rituximab maintenance is </w:t>
      </w:r>
      <w:r w:rsidR="00CA7A36" w:rsidRPr="005F3E57">
        <w:rPr>
          <w:rFonts w:ascii="Arial" w:hAnsi="Arial"/>
          <w:sz w:val="22"/>
          <w:szCs w:val="22"/>
        </w:rPr>
        <w:t xml:space="preserve">used only in </w:t>
      </w:r>
      <w:r w:rsidR="002A0D49" w:rsidRPr="005F3E57">
        <w:rPr>
          <w:rFonts w:ascii="Arial" w:hAnsi="Arial"/>
          <w:sz w:val="22"/>
          <w:szCs w:val="22"/>
        </w:rPr>
        <w:t xml:space="preserve">the </w:t>
      </w:r>
      <w:r w:rsidR="007E52A7" w:rsidRPr="005F3E57">
        <w:rPr>
          <w:rFonts w:ascii="Arial" w:hAnsi="Arial"/>
          <w:sz w:val="22"/>
          <w:szCs w:val="22"/>
        </w:rPr>
        <w:t xml:space="preserve">first-line setting, and an ICER of </w:t>
      </w:r>
      <w:r w:rsidR="008C5F5B" w:rsidRPr="005F3E57">
        <w:rPr>
          <w:rFonts w:ascii="Arial" w:hAnsi="Arial"/>
          <w:sz w:val="22"/>
          <w:szCs w:val="22"/>
        </w:rPr>
        <w:t>$</w:t>
      </w:r>
      <w:r w:rsidR="008C5F5B">
        <w:rPr>
          <w:rFonts w:ascii="Arial" w:hAnsi="Arial"/>
          <w:sz w:val="22"/>
          <w:szCs w:val="22"/>
        </w:rPr>
        <w:t>45,000</w:t>
      </w:r>
      <w:r w:rsidR="008C5F5B" w:rsidRPr="005F3E57">
        <w:rPr>
          <w:rFonts w:ascii="Arial" w:hAnsi="Arial"/>
          <w:sz w:val="22"/>
          <w:szCs w:val="22"/>
        </w:rPr>
        <w:t>/QALY</w:t>
      </w:r>
      <w:r w:rsidR="008C5F5B">
        <w:rPr>
          <w:rFonts w:ascii="Arial" w:hAnsi="Arial"/>
          <w:sz w:val="22"/>
          <w:szCs w:val="22"/>
        </w:rPr>
        <w:t xml:space="preserve"> - $75,000/QALY</w:t>
      </w:r>
      <w:r w:rsidR="008C5F5B" w:rsidRPr="005F3E57">
        <w:rPr>
          <w:rFonts w:ascii="Arial" w:hAnsi="Arial"/>
          <w:sz w:val="22"/>
          <w:szCs w:val="22"/>
        </w:rPr>
        <w:t xml:space="preserve"> </w:t>
      </w:r>
      <w:r w:rsidR="007E52A7" w:rsidRPr="005F3E57">
        <w:rPr>
          <w:rFonts w:ascii="Arial" w:hAnsi="Arial"/>
          <w:sz w:val="22"/>
          <w:szCs w:val="22"/>
        </w:rPr>
        <w:t xml:space="preserve">for use </w:t>
      </w:r>
      <w:r w:rsidR="00327C9A" w:rsidRPr="005F3E57">
        <w:rPr>
          <w:rFonts w:ascii="Arial" w:hAnsi="Arial"/>
          <w:sz w:val="22"/>
          <w:szCs w:val="22"/>
        </w:rPr>
        <w:t>in both the</w:t>
      </w:r>
      <w:r w:rsidR="007E52A7" w:rsidRPr="005F3E57">
        <w:rPr>
          <w:rFonts w:ascii="Arial" w:hAnsi="Arial"/>
          <w:sz w:val="22"/>
          <w:szCs w:val="22"/>
        </w:rPr>
        <w:t xml:space="preserve"> first and later-line settings.</w:t>
      </w:r>
      <w:r w:rsidR="00CA7A36" w:rsidRPr="005F3E57">
        <w:rPr>
          <w:rFonts w:ascii="Arial" w:hAnsi="Arial"/>
          <w:sz w:val="22"/>
          <w:szCs w:val="22"/>
        </w:rPr>
        <w:t xml:space="preserve"> The PBAC considered that these were the most </w:t>
      </w:r>
      <w:r w:rsidR="00E4489F" w:rsidRPr="005F3E57">
        <w:rPr>
          <w:rFonts w:ascii="Arial" w:hAnsi="Arial"/>
          <w:sz w:val="22"/>
          <w:szCs w:val="22"/>
        </w:rPr>
        <w:t>plausible</w:t>
      </w:r>
      <w:r w:rsidR="00CA7A36" w:rsidRPr="005F3E57">
        <w:rPr>
          <w:rFonts w:ascii="Arial" w:hAnsi="Arial"/>
          <w:sz w:val="22"/>
          <w:szCs w:val="22"/>
        </w:rPr>
        <w:t xml:space="preserve"> estimates of the cost-effectiveness of rituximab in this indication</w:t>
      </w:r>
      <w:r w:rsidR="00E4489F" w:rsidRPr="005F3E57">
        <w:rPr>
          <w:rFonts w:ascii="Arial" w:hAnsi="Arial"/>
          <w:sz w:val="22"/>
          <w:szCs w:val="22"/>
        </w:rPr>
        <w:t xml:space="preserve">, if </w:t>
      </w:r>
      <w:r w:rsidR="00720ACE" w:rsidRPr="005F3E57">
        <w:rPr>
          <w:rFonts w:ascii="Arial" w:hAnsi="Arial"/>
          <w:sz w:val="22"/>
          <w:szCs w:val="22"/>
        </w:rPr>
        <w:t xml:space="preserve">it was accepted that </w:t>
      </w:r>
      <w:r w:rsidR="00E4489F" w:rsidRPr="005F3E57">
        <w:rPr>
          <w:rFonts w:ascii="Arial" w:hAnsi="Arial"/>
          <w:sz w:val="22"/>
          <w:szCs w:val="22"/>
        </w:rPr>
        <w:t xml:space="preserve">the clinical trial results </w:t>
      </w:r>
      <w:r w:rsidR="00720ACE" w:rsidRPr="005F3E57">
        <w:rPr>
          <w:rFonts w:ascii="Arial" w:hAnsi="Arial"/>
          <w:sz w:val="22"/>
          <w:szCs w:val="22"/>
        </w:rPr>
        <w:t>woul</w:t>
      </w:r>
      <w:r w:rsidR="00E4489F" w:rsidRPr="005F3E57">
        <w:rPr>
          <w:rFonts w:ascii="Arial" w:hAnsi="Arial"/>
          <w:sz w:val="22"/>
          <w:szCs w:val="22"/>
        </w:rPr>
        <w:t>d translate fully into Australian practice</w:t>
      </w:r>
      <w:r w:rsidR="00CA7A36" w:rsidRPr="005F3E57">
        <w:rPr>
          <w:rFonts w:ascii="Arial" w:hAnsi="Arial"/>
          <w:sz w:val="22"/>
          <w:szCs w:val="22"/>
        </w:rPr>
        <w:t>.</w:t>
      </w:r>
    </w:p>
    <w:p w:rsidR="007B65C8" w:rsidRPr="00CA7A36" w:rsidRDefault="007B65C8" w:rsidP="007B65C8">
      <w:pPr>
        <w:pStyle w:val="ListParagraph"/>
        <w:ind w:left="709"/>
        <w:jc w:val="both"/>
        <w:rPr>
          <w:rFonts w:ascii="Arial" w:hAnsi="Arial"/>
          <w:sz w:val="22"/>
          <w:szCs w:val="22"/>
        </w:rPr>
      </w:pPr>
    </w:p>
    <w:p w:rsidR="007324E8" w:rsidRPr="005F3E57" w:rsidRDefault="007E52A7" w:rsidP="005F3E57">
      <w:pPr>
        <w:pStyle w:val="ListParagraph"/>
        <w:numPr>
          <w:ilvl w:val="1"/>
          <w:numId w:val="1"/>
        </w:numPr>
        <w:ind w:left="720"/>
        <w:jc w:val="both"/>
        <w:rPr>
          <w:rFonts w:ascii="Arial" w:hAnsi="Arial"/>
          <w:sz w:val="22"/>
          <w:szCs w:val="22"/>
        </w:rPr>
      </w:pPr>
      <w:r w:rsidRPr="005F3E57">
        <w:rPr>
          <w:rFonts w:ascii="Arial" w:hAnsi="Arial"/>
          <w:sz w:val="22"/>
          <w:szCs w:val="22"/>
        </w:rPr>
        <w:t>The PBAC con</w:t>
      </w:r>
      <w:r w:rsidR="008B66DC" w:rsidRPr="005F3E57">
        <w:rPr>
          <w:rFonts w:ascii="Arial" w:hAnsi="Arial"/>
          <w:sz w:val="22"/>
          <w:szCs w:val="22"/>
        </w:rPr>
        <w:t>cluded</w:t>
      </w:r>
      <w:r w:rsidRPr="005F3E57">
        <w:rPr>
          <w:rFonts w:ascii="Arial" w:hAnsi="Arial"/>
          <w:sz w:val="22"/>
          <w:szCs w:val="22"/>
        </w:rPr>
        <w:t xml:space="preserve"> that </w:t>
      </w:r>
      <w:r w:rsidR="005925A4" w:rsidRPr="005F3E57">
        <w:rPr>
          <w:rFonts w:ascii="Arial" w:hAnsi="Arial"/>
          <w:sz w:val="22"/>
          <w:szCs w:val="22"/>
        </w:rPr>
        <w:t xml:space="preserve">even with the proposed price reduction </w:t>
      </w:r>
      <w:r w:rsidR="00283FDE" w:rsidRPr="005F3E57">
        <w:rPr>
          <w:rFonts w:ascii="Arial" w:hAnsi="Arial"/>
          <w:sz w:val="22"/>
          <w:szCs w:val="22"/>
        </w:rPr>
        <w:t>the ICER/QALY was unacceptably high</w:t>
      </w:r>
      <w:r w:rsidR="001F044C" w:rsidRPr="005F3E57">
        <w:rPr>
          <w:rFonts w:ascii="Arial" w:hAnsi="Arial"/>
          <w:sz w:val="22"/>
          <w:szCs w:val="22"/>
        </w:rPr>
        <w:t>,</w:t>
      </w:r>
      <w:r w:rsidR="00E4489F" w:rsidRPr="005F3E57">
        <w:rPr>
          <w:rFonts w:ascii="Arial" w:hAnsi="Arial"/>
          <w:sz w:val="22"/>
          <w:szCs w:val="22"/>
        </w:rPr>
        <w:t xml:space="preserve"> particularly given the uncertainty </w:t>
      </w:r>
      <w:r w:rsidR="009F34E5" w:rsidRPr="005F3E57">
        <w:rPr>
          <w:rFonts w:ascii="Arial" w:hAnsi="Arial"/>
          <w:sz w:val="22"/>
          <w:szCs w:val="22"/>
        </w:rPr>
        <w:t>around the extent</w:t>
      </w:r>
      <w:r w:rsidR="00E4489F" w:rsidRPr="005F3E57">
        <w:rPr>
          <w:rFonts w:ascii="Arial" w:hAnsi="Arial"/>
          <w:sz w:val="22"/>
          <w:szCs w:val="22"/>
        </w:rPr>
        <w:t xml:space="preserve"> </w:t>
      </w:r>
      <w:r w:rsidR="009F34E5" w:rsidRPr="005F3E57">
        <w:rPr>
          <w:rFonts w:ascii="Arial" w:hAnsi="Arial"/>
          <w:sz w:val="22"/>
          <w:szCs w:val="22"/>
        </w:rPr>
        <w:t xml:space="preserve">of </w:t>
      </w:r>
      <w:r w:rsidR="00E4489F" w:rsidRPr="005F3E57">
        <w:rPr>
          <w:rFonts w:ascii="Arial" w:hAnsi="Arial"/>
          <w:sz w:val="22"/>
          <w:szCs w:val="22"/>
        </w:rPr>
        <w:t>survival benefit from the trial data</w:t>
      </w:r>
      <w:r w:rsidR="00283FDE" w:rsidRPr="005F3E57">
        <w:rPr>
          <w:rFonts w:ascii="Arial" w:hAnsi="Arial"/>
          <w:sz w:val="22"/>
          <w:szCs w:val="22"/>
        </w:rPr>
        <w:t xml:space="preserve">. </w:t>
      </w:r>
      <w:r w:rsidR="005925A4" w:rsidRPr="005F3E57">
        <w:rPr>
          <w:rFonts w:ascii="Arial" w:hAnsi="Arial"/>
          <w:sz w:val="22"/>
          <w:szCs w:val="22"/>
        </w:rPr>
        <w:t>T</w:t>
      </w:r>
      <w:r w:rsidR="008B66DC" w:rsidRPr="005F3E57">
        <w:rPr>
          <w:rFonts w:ascii="Arial" w:hAnsi="Arial"/>
          <w:sz w:val="22"/>
          <w:szCs w:val="22"/>
        </w:rPr>
        <w:t>he PBAC considered that</w:t>
      </w:r>
      <w:r w:rsidR="00E4489F" w:rsidRPr="005F3E57">
        <w:rPr>
          <w:rFonts w:ascii="Arial" w:hAnsi="Arial"/>
          <w:sz w:val="22"/>
          <w:szCs w:val="22"/>
        </w:rPr>
        <w:t xml:space="preserve"> an additional price reduction would be required to reduce the financial risk to the Commonwealth</w:t>
      </w:r>
      <w:r w:rsidR="00720ACE" w:rsidRPr="005F3E57">
        <w:rPr>
          <w:rFonts w:ascii="Arial" w:hAnsi="Arial"/>
          <w:sz w:val="22"/>
          <w:szCs w:val="22"/>
        </w:rPr>
        <w:t>.</w:t>
      </w:r>
      <w:r w:rsidR="005925A4" w:rsidRPr="005F3E57">
        <w:rPr>
          <w:rFonts w:ascii="Arial" w:hAnsi="Arial"/>
          <w:sz w:val="22"/>
          <w:szCs w:val="22"/>
        </w:rPr>
        <w:t xml:space="preserve"> Given</w:t>
      </w:r>
      <w:r w:rsidR="007324E8" w:rsidRPr="005F3E57">
        <w:rPr>
          <w:rFonts w:ascii="Arial" w:hAnsi="Arial"/>
          <w:sz w:val="22"/>
          <w:szCs w:val="22"/>
        </w:rPr>
        <w:t xml:space="preserve"> </w:t>
      </w:r>
      <w:r w:rsidR="005925A4" w:rsidRPr="005F3E57">
        <w:rPr>
          <w:rFonts w:ascii="Arial" w:hAnsi="Arial"/>
          <w:sz w:val="22"/>
          <w:szCs w:val="22"/>
        </w:rPr>
        <w:t xml:space="preserve">the </w:t>
      </w:r>
      <w:r w:rsidR="007324E8" w:rsidRPr="005F3E57">
        <w:rPr>
          <w:rFonts w:ascii="Arial" w:hAnsi="Arial"/>
          <w:sz w:val="22"/>
          <w:szCs w:val="22"/>
        </w:rPr>
        <w:t xml:space="preserve">large </w:t>
      </w:r>
      <w:r w:rsidR="001F044C" w:rsidRPr="005F3E57">
        <w:rPr>
          <w:rFonts w:ascii="Arial" w:hAnsi="Arial"/>
          <w:sz w:val="22"/>
          <w:szCs w:val="22"/>
        </w:rPr>
        <w:t xml:space="preserve">and ongoing annual </w:t>
      </w:r>
      <w:r w:rsidR="00BE62BE" w:rsidRPr="005F3E57">
        <w:rPr>
          <w:rFonts w:ascii="Arial" w:hAnsi="Arial"/>
          <w:sz w:val="22"/>
          <w:szCs w:val="22"/>
        </w:rPr>
        <w:t xml:space="preserve">expenditure on </w:t>
      </w:r>
      <w:r w:rsidR="005925A4" w:rsidRPr="005F3E57">
        <w:rPr>
          <w:rFonts w:ascii="Arial" w:hAnsi="Arial"/>
          <w:sz w:val="22"/>
          <w:szCs w:val="22"/>
        </w:rPr>
        <w:t xml:space="preserve">rituximab for a clinical indication which is not PBS listed </w:t>
      </w:r>
      <w:r w:rsidR="00BE62BE" w:rsidRPr="005F3E57">
        <w:rPr>
          <w:rFonts w:ascii="Arial" w:hAnsi="Arial"/>
          <w:sz w:val="22"/>
          <w:szCs w:val="22"/>
        </w:rPr>
        <w:t>(likely to have been around $20 million per year),</w:t>
      </w:r>
      <w:r w:rsidR="00720ACE" w:rsidRPr="005F3E57">
        <w:rPr>
          <w:rFonts w:ascii="Arial" w:hAnsi="Arial"/>
          <w:sz w:val="22"/>
          <w:szCs w:val="22"/>
        </w:rPr>
        <w:t xml:space="preserve"> the PBAC </w:t>
      </w:r>
      <w:r w:rsidR="001F044C" w:rsidRPr="005F3E57">
        <w:rPr>
          <w:rFonts w:ascii="Arial" w:hAnsi="Arial"/>
          <w:sz w:val="22"/>
          <w:szCs w:val="22"/>
        </w:rPr>
        <w:t>recommended that this practice should not continue.</w:t>
      </w:r>
      <w:r w:rsidR="008B66DC" w:rsidRPr="005F3E57">
        <w:rPr>
          <w:rFonts w:ascii="Arial" w:hAnsi="Arial"/>
          <w:sz w:val="22"/>
          <w:szCs w:val="22"/>
        </w:rPr>
        <w:t xml:space="preserve"> </w:t>
      </w:r>
    </w:p>
    <w:p w:rsidR="007324E8" w:rsidRPr="007324E8" w:rsidRDefault="007324E8" w:rsidP="007324E8">
      <w:pPr>
        <w:pStyle w:val="ListParagraph"/>
        <w:rPr>
          <w:rFonts w:ascii="Arial" w:hAnsi="Arial"/>
          <w:sz w:val="22"/>
          <w:szCs w:val="22"/>
        </w:rPr>
      </w:pPr>
    </w:p>
    <w:p w:rsidR="003D1C52" w:rsidRPr="005F3E57" w:rsidRDefault="003D1C52" w:rsidP="005F3E57">
      <w:pPr>
        <w:pStyle w:val="ListParagraph"/>
        <w:numPr>
          <w:ilvl w:val="1"/>
          <w:numId w:val="1"/>
        </w:numPr>
        <w:ind w:left="720"/>
        <w:jc w:val="both"/>
        <w:rPr>
          <w:rFonts w:ascii="Arial" w:hAnsi="Arial"/>
          <w:sz w:val="22"/>
          <w:szCs w:val="22"/>
        </w:rPr>
      </w:pPr>
      <w:r w:rsidRPr="005F3E57">
        <w:rPr>
          <w:rFonts w:ascii="Arial" w:hAnsi="Arial"/>
          <w:sz w:val="22"/>
          <w:szCs w:val="22"/>
        </w:rPr>
        <w:t>Th</w:t>
      </w:r>
      <w:r w:rsidR="00150C26" w:rsidRPr="005F3E57">
        <w:rPr>
          <w:rFonts w:ascii="Arial" w:hAnsi="Arial"/>
          <w:sz w:val="22"/>
          <w:szCs w:val="22"/>
        </w:rPr>
        <w:t>e</w:t>
      </w:r>
      <w:r w:rsidRPr="005F3E57">
        <w:rPr>
          <w:rFonts w:ascii="Arial" w:hAnsi="Arial"/>
          <w:sz w:val="22"/>
          <w:szCs w:val="22"/>
        </w:rPr>
        <w:t xml:space="preserve"> PBAC noted the price </w:t>
      </w:r>
      <w:r w:rsidR="007324E8" w:rsidRPr="005F3E57">
        <w:rPr>
          <w:rFonts w:ascii="Arial" w:hAnsi="Arial"/>
          <w:sz w:val="22"/>
          <w:szCs w:val="22"/>
        </w:rPr>
        <w:t xml:space="preserve">reduction </w:t>
      </w:r>
      <w:r w:rsidRPr="005F3E57">
        <w:rPr>
          <w:rFonts w:ascii="Arial" w:hAnsi="Arial"/>
          <w:sz w:val="22"/>
          <w:szCs w:val="22"/>
        </w:rPr>
        <w:t xml:space="preserve">offered for </w:t>
      </w:r>
      <w:r w:rsidR="00150C26" w:rsidRPr="005F3E57">
        <w:rPr>
          <w:rFonts w:ascii="Arial" w:hAnsi="Arial"/>
          <w:sz w:val="22"/>
          <w:szCs w:val="22"/>
        </w:rPr>
        <w:t xml:space="preserve">rituximab </w:t>
      </w:r>
      <w:r w:rsidR="00F439EF" w:rsidRPr="005F3E57">
        <w:rPr>
          <w:rFonts w:ascii="Arial" w:hAnsi="Arial"/>
          <w:sz w:val="22"/>
          <w:szCs w:val="22"/>
        </w:rPr>
        <w:t>for</w:t>
      </w:r>
      <w:r w:rsidR="00BE62BE" w:rsidRPr="005F3E57">
        <w:rPr>
          <w:rFonts w:ascii="Arial" w:hAnsi="Arial"/>
          <w:sz w:val="22"/>
          <w:szCs w:val="22"/>
        </w:rPr>
        <w:t xml:space="preserve"> </w:t>
      </w:r>
      <w:r w:rsidR="005E468C" w:rsidRPr="005F3E57">
        <w:rPr>
          <w:rFonts w:ascii="Arial" w:hAnsi="Arial"/>
          <w:sz w:val="22"/>
          <w:szCs w:val="22"/>
        </w:rPr>
        <w:t>maintenance</w:t>
      </w:r>
      <w:r w:rsidR="00150C26" w:rsidRPr="005F3E57">
        <w:rPr>
          <w:rFonts w:ascii="Arial" w:hAnsi="Arial"/>
          <w:sz w:val="22"/>
          <w:szCs w:val="22"/>
        </w:rPr>
        <w:t xml:space="preserve"> </w:t>
      </w:r>
      <w:r w:rsidR="00F439EF" w:rsidRPr="005F3E57">
        <w:rPr>
          <w:rFonts w:ascii="Arial" w:hAnsi="Arial"/>
          <w:sz w:val="22"/>
          <w:szCs w:val="22"/>
        </w:rPr>
        <w:t>therapy</w:t>
      </w:r>
      <w:r w:rsidR="005E468C" w:rsidRPr="005F3E57">
        <w:rPr>
          <w:rFonts w:ascii="Arial" w:hAnsi="Arial"/>
          <w:sz w:val="22"/>
          <w:szCs w:val="22"/>
        </w:rPr>
        <w:t xml:space="preserve"> was </w:t>
      </w:r>
      <w:r w:rsidR="007324E8" w:rsidRPr="005F3E57">
        <w:rPr>
          <w:rFonts w:ascii="Arial" w:hAnsi="Arial"/>
          <w:sz w:val="22"/>
          <w:szCs w:val="22"/>
        </w:rPr>
        <w:t>lower</w:t>
      </w:r>
      <w:r w:rsidR="005E468C" w:rsidRPr="005F3E57">
        <w:rPr>
          <w:rFonts w:ascii="Arial" w:hAnsi="Arial"/>
          <w:sz w:val="22"/>
          <w:szCs w:val="22"/>
        </w:rPr>
        <w:t xml:space="preserve"> than the price </w:t>
      </w:r>
      <w:r w:rsidR="007324E8" w:rsidRPr="005F3E57">
        <w:rPr>
          <w:rFonts w:ascii="Arial" w:hAnsi="Arial"/>
          <w:sz w:val="22"/>
          <w:szCs w:val="22"/>
        </w:rPr>
        <w:t>reduction</w:t>
      </w:r>
      <w:r w:rsidR="005E468C" w:rsidRPr="005F3E57">
        <w:rPr>
          <w:rFonts w:ascii="Arial" w:hAnsi="Arial"/>
          <w:sz w:val="22"/>
          <w:szCs w:val="22"/>
        </w:rPr>
        <w:t xml:space="preserve"> </w:t>
      </w:r>
      <w:r w:rsidR="00F439EF" w:rsidRPr="005F3E57">
        <w:rPr>
          <w:rFonts w:ascii="Arial" w:hAnsi="Arial"/>
          <w:sz w:val="22"/>
          <w:szCs w:val="22"/>
        </w:rPr>
        <w:t>proposed</w:t>
      </w:r>
      <w:r w:rsidR="005E468C" w:rsidRPr="005F3E57">
        <w:rPr>
          <w:rFonts w:ascii="Arial" w:hAnsi="Arial"/>
          <w:sz w:val="22"/>
          <w:szCs w:val="22"/>
        </w:rPr>
        <w:t xml:space="preserve"> by the sponsor </w:t>
      </w:r>
      <w:r w:rsidR="00F439EF" w:rsidRPr="005F3E57">
        <w:rPr>
          <w:rFonts w:ascii="Arial" w:hAnsi="Arial"/>
          <w:sz w:val="22"/>
          <w:szCs w:val="22"/>
        </w:rPr>
        <w:t xml:space="preserve">to the PBAC in January 2011 </w:t>
      </w:r>
      <w:r w:rsidR="005E468C" w:rsidRPr="005F3E57">
        <w:rPr>
          <w:rFonts w:ascii="Arial" w:hAnsi="Arial"/>
          <w:sz w:val="22"/>
          <w:szCs w:val="22"/>
        </w:rPr>
        <w:t>for the treatment of CLL in combination with chemotherapy.</w:t>
      </w:r>
    </w:p>
    <w:p w:rsidR="003D1C52" w:rsidRPr="003D1C52" w:rsidRDefault="003D1C52" w:rsidP="003D1C52">
      <w:pPr>
        <w:pStyle w:val="ListParagraph"/>
        <w:rPr>
          <w:rFonts w:ascii="Arial" w:hAnsi="Arial"/>
          <w:sz w:val="22"/>
          <w:szCs w:val="22"/>
        </w:rPr>
      </w:pPr>
    </w:p>
    <w:p w:rsidR="00283FDE" w:rsidRPr="005F3E57" w:rsidRDefault="008B66DC"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The PBAC considered </w:t>
      </w:r>
      <w:r w:rsidR="00834011" w:rsidRPr="005F3E57">
        <w:rPr>
          <w:rFonts w:ascii="Arial" w:hAnsi="Arial"/>
          <w:sz w:val="22"/>
          <w:szCs w:val="22"/>
        </w:rPr>
        <w:t xml:space="preserve">these matters </w:t>
      </w:r>
      <w:r w:rsidRPr="005F3E57">
        <w:rPr>
          <w:rFonts w:ascii="Arial" w:hAnsi="Arial"/>
          <w:sz w:val="22"/>
          <w:szCs w:val="22"/>
        </w:rPr>
        <w:t>i</w:t>
      </w:r>
      <w:r w:rsidR="00283FDE" w:rsidRPr="005F3E57">
        <w:rPr>
          <w:rFonts w:ascii="Arial" w:hAnsi="Arial"/>
          <w:sz w:val="22"/>
          <w:szCs w:val="22"/>
        </w:rPr>
        <w:t xml:space="preserve">n the context of a medicine that </w:t>
      </w:r>
      <w:r w:rsidRPr="005F3E57">
        <w:rPr>
          <w:rFonts w:ascii="Arial" w:hAnsi="Arial"/>
          <w:sz w:val="22"/>
          <w:szCs w:val="22"/>
        </w:rPr>
        <w:t xml:space="preserve">has been widely used </w:t>
      </w:r>
      <w:r w:rsidR="00283FDE" w:rsidRPr="005F3E57">
        <w:rPr>
          <w:rFonts w:ascii="Arial" w:hAnsi="Arial"/>
          <w:sz w:val="22"/>
          <w:szCs w:val="22"/>
        </w:rPr>
        <w:t>outside the intended restriction</w:t>
      </w:r>
      <w:r w:rsidRPr="005F3E57">
        <w:rPr>
          <w:rFonts w:ascii="Arial" w:hAnsi="Arial"/>
          <w:sz w:val="22"/>
          <w:szCs w:val="22"/>
        </w:rPr>
        <w:t>s</w:t>
      </w:r>
      <w:r w:rsidR="00AA174E" w:rsidRPr="005F3E57">
        <w:rPr>
          <w:rFonts w:ascii="Arial" w:hAnsi="Arial"/>
          <w:sz w:val="22"/>
          <w:szCs w:val="22"/>
        </w:rPr>
        <w:t xml:space="preserve"> under the streamlined authority settings</w:t>
      </w:r>
      <w:r w:rsidRPr="005F3E57">
        <w:rPr>
          <w:rFonts w:ascii="Arial" w:hAnsi="Arial"/>
          <w:sz w:val="22"/>
          <w:szCs w:val="22"/>
        </w:rPr>
        <w:t xml:space="preserve">, and the consequent </w:t>
      </w:r>
      <w:r w:rsidR="00283FDE" w:rsidRPr="005F3E57">
        <w:rPr>
          <w:rFonts w:ascii="Arial" w:hAnsi="Arial"/>
          <w:sz w:val="22"/>
          <w:szCs w:val="22"/>
        </w:rPr>
        <w:t xml:space="preserve">large financial outlay </w:t>
      </w:r>
      <w:r w:rsidRPr="005F3E57">
        <w:rPr>
          <w:rFonts w:ascii="Arial" w:hAnsi="Arial"/>
          <w:sz w:val="22"/>
          <w:szCs w:val="22"/>
        </w:rPr>
        <w:t>that has already been spent on a</w:t>
      </w:r>
      <w:r w:rsidR="00283FDE" w:rsidRPr="005F3E57">
        <w:rPr>
          <w:rFonts w:ascii="Arial" w:hAnsi="Arial"/>
          <w:sz w:val="22"/>
          <w:szCs w:val="22"/>
        </w:rPr>
        <w:t xml:space="preserve"> medicine that </w:t>
      </w:r>
      <w:r w:rsidR="00834011" w:rsidRPr="005F3E57">
        <w:rPr>
          <w:rFonts w:ascii="Arial" w:hAnsi="Arial"/>
          <w:sz w:val="22"/>
          <w:szCs w:val="22"/>
        </w:rPr>
        <w:t>is</w:t>
      </w:r>
      <w:r w:rsidR="00283FDE" w:rsidRPr="005F3E57">
        <w:rPr>
          <w:rFonts w:ascii="Arial" w:hAnsi="Arial"/>
          <w:sz w:val="22"/>
          <w:szCs w:val="22"/>
        </w:rPr>
        <w:t xml:space="preserve"> cost</w:t>
      </w:r>
      <w:r w:rsidRPr="005F3E57">
        <w:rPr>
          <w:rFonts w:ascii="Arial" w:hAnsi="Arial"/>
          <w:sz w:val="22"/>
          <w:szCs w:val="22"/>
        </w:rPr>
        <w:noBreakHyphen/>
      </w:r>
      <w:r w:rsidR="00283FDE" w:rsidRPr="005F3E57">
        <w:rPr>
          <w:rFonts w:ascii="Arial" w:hAnsi="Arial"/>
          <w:sz w:val="22"/>
          <w:szCs w:val="22"/>
        </w:rPr>
        <w:t>ineffective</w:t>
      </w:r>
      <w:r w:rsidR="00720ACE" w:rsidRPr="005F3E57">
        <w:rPr>
          <w:rFonts w:ascii="Arial" w:hAnsi="Arial"/>
          <w:sz w:val="22"/>
          <w:szCs w:val="22"/>
        </w:rPr>
        <w:t xml:space="preserve"> at the existing price</w:t>
      </w:r>
      <w:r w:rsidR="00283FDE" w:rsidRPr="005F3E57">
        <w:rPr>
          <w:rFonts w:ascii="Arial" w:hAnsi="Arial"/>
          <w:sz w:val="22"/>
          <w:szCs w:val="22"/>
        </w:rPr>
        <w:t>. In the absence of a further price reduction,</w:t>
      </w:r>
      <w:r w:rsidR="00376734" w:rsidRPr="005F3E57">
        <w:rPr>
          <w:rFonts w:ascii="Arial" w:hAnsi="Arial"/>
          <w:sz w:val="22"/>
          <w:szCs w:val="22"/>
        </w:rPr>
        <w:t xml:space="preserve"> </w:t>
      </w:r>
      <w:r w:rsidR="00283FDE" w:rsidRPr="005F3E57">
        <w:rPr>
          <w:rFonts w:ascii="Arial" w:hAnsi="Arial"/>
          <w:sz w:val="22"/>
          <w:szCs w:val="22"/>
        </w:rPr>
        <w:t>th</w:t>
      </w:r>
      <w:r w:rsidR="00376734" w:rsidRPr="005F3E57">
        <w:rPr>
          <w:rFonts w:ascii="Arial" w:hAnsi="Arial"/>
          <w:sz w:val="22"/>
          <w:szCs w:val="22"/>
        </w:rPr>
        <w:t>e</w:t>
      </w:r>
      <w:r w:rsidR="00283FDE" w:rsidRPr="005F3E57">
        <w:rPr>
          <w:rFonts w:ascii="Arial" w:hAnsi="Arial"/>
          <w:sz w:val="22"/>
          <w:szCs w:val="22"/>
        </w:rPr>
        <w:t xml:space="preserve"> PBAC </w:t>
      </w:r>
      <w:r w:rsidR="00AA174E" w:rsidRPr="005F3E57">
        <w:rPr>
          <w:rFonts w:ascii="Arial" w:hAnsi="Arial"/>
          <w:sz w:val="22"/>
          <w:szCs w:val="22"/>
        </w:rPr>
        <w:t xml:space="preserve">considered that these risks must be addressed through the use </w:t>
      </w:r>
      <w:r w:rsidR="00AA174E" w:rsidRPr="005F3E57">
        <w:rPr>
          <w:rFonts w:ascii="Arial" w:hAnsi="Arial"/>
          <w:sz w:val="22"/>
          <w:szCs w:val="22"/>
        </w:rPr>
        <w:lastRenderedPageBreak/>
        <w:t>of written Authorities for all of rituximab’s PBS listings in NHL and clarification of the intent of these listings.</w:t>
      </w:r>
    </w:p>
    <w:p w:rsidR="009B6348" w:rsidRPr="009B0779" w:rsidRDefault="009B6348" w:rsidP="009B6348">
      <w:pPr>
        <w:pStyle w:val="ListParagraph"/>
        <w:rPr>
          <w:rFonts w:ascii="Arial" w:hAnsi="Arial"/>
          <w:sz w:val="22"/>
          <w:szCs w:val="22"/>
        </w:rPr>
      </w:pPr>
    </w:p>
    <w:p w:rsidR="005963BB" w:rsidRPr="00126A08" w:rsidRDefault="005963BB" w:rsidP="00D627BC">
      <w:pPr>
        <w:rPr>
          <w:rFonts w:ascii="Arial" w:hAnsi="Arial"/>
          <w:i/>
          <w:sz w:val="22"/>
          <w:szCs w:val="22"/>
        </w:rPr>
      </w:pPr>
      <w:r w:rsidRPr="00126A08">
        <w:rPr>
          <w:rFonts w:ascii="Arial" w:hAnsi="Arial"/>
          <w:b/>
          <w:i/>
          <w:sz w:val="22"/>
          <w:szCs w:val="22"/>
        </w:rPr>
        <w:t xml:space="preserve">Drug cost/patient/course </w:t>
      </w:r>
    </w:p>
    <w:p w:rsidR="0083256A" w:rsidRDefault="0083256A" w:rsidP="0083256A">
      <w:pPr>
        <w:widowControl w:val="0"/>
        <w:ind w:left="709"/>
        <w:contextualSpacing/>
        <w:jc w:val="both"/>
        <w:rPr>
          <w:rFonts w:ascii="Arial" w:eastAsia="Calibri" w:hAnsi="Arial"/>
          <w:sz w:val="22"/>
          <w:szCs w:val="22"/>
          <w:lang w:eastAsia="en-US"/>
        </w:rPr>
      </w:pPr>
    </w:p>
    <w:p w:rsidR="005D08BA" w:rsidRPr="005F3E57" w:rsidRDefault="005D08BA" w:rsidP="005F3E57">
      <w:pPr>
        <w:pStyle w:val="ListParagraph"/>
        <w:numPr>
          <w:ilvl w:val="1"/>
          <w:numId w:val="1"/>
        </w:numPr>
        <w:ind w:left="720"/>
        <w:jc w:val="both"/>
        <w:rPr>
          <w:rFonts w:ascii="Arial" w:hAnsi="Arial"/>
          <w:sz w:val="22"/>
          <w:szCs w:val="22"/>
        </w:rPr>
      </w:pPr>
      <w:r w:rsidRPr="005F3E57">
        <w:rPr>
          <w:rFonts w:ascii="Arial" w:eastAsia="Calibri" w:hAnsi="Arial"/>
          <w:sz w:val="22"/>
          <w:szCs w:val="22"/>
          <w:lang w:eastAsia="en-US"/>
        </w:rPr>
        <w:t>The cost per course of rituximab maintenance, at the price requested by the sponsor, is $</w:t>
      </w:r>
      <w:r w:rsidR="007D5005">
        <w:rPr>
          <w:rFonts w:ascii="Arial" w:eastAsia="Calibri" w:hAnsi="Arial"/>
          <w:noProof/>
          <w:color w:val="000000"/>
          <w:sz w:val="22"/>
          <w:szCs w:val="22"/>
          <w:highlight w:val="black"/>
          <w:lang w:eastAsia="en-US"/>
        </w:rPr>
        <w:t>'''''''''''''''</w:t>
      </w:r>
      <w:r w:rsidRPr="005F3E57">
        <w:rPr>
          <w:rFonts w:ascii="Arial" w:eastAsia="Calibri" w:hAnsi="Arial"/>
          <w:sz w:val="22"/>
          <w:szCs w:val="22"/>
          <w:lang w:eastAsia="en-US"/>
        </w:rPr>
        <w:t xml:space="preserve"> in first-line maintenance</w:t>
      </w:r>
      <w:r w:rsidR="0083256A" w:rsidRPr="005F3E57">
        <w:rPr>
          <w:rFonts w:ascii="Arial" w:eastAsia="Calibri" w:hAnsi="Arial"/>
          <w:sz w:val="22"/>
          <w:szCs w:val="22"/>
          <w:lang w:eastAsia="en-US"/>
        </w:rPr>
        <w:t xml:space="preserve"> and $</w:t>
      </w:r>
      <w:r w:rsidR="007D5005">
        <w:rPr>
          <w:rFonts w:ascii="Arial" w:eastAsia="Calibri" w:hAnsi="Arial"/>
          <w:noProof/>
          <w:color w:val="000000"/>
          <w:sz w:val="22"/>
          <w:szCs w:val="22"/>
          <w:highlight w:val="black"/>
          <w:lang w:eastAsia="en-US"/>
        </w:rPr>
        <w:t>''''''''''''''''''</w:t>
      </w:r>
      <w:r w:rsidR="0083256A" w:rsidRPr="005F3E57">
        <w:rPr>
          <w:rFonts w:ascii="Arial" w:eastAsia="Calibri" w:hAnsi="Arial"/>
          <w:sz w:val="22"/>
          <w:szCs w:val="22"/>
          <w:lang w:eastAsia="en-US"/>
        </w:rPr>
        <w:t xml:space="preserve"> in later-line maintenance</w:t>
      </w:r>
      <w:r w:rsidRPr="005F3E57">
        <w:rPr>
          <w:rFonts w:ascii="Arial" w:eastAsia="Calibri" w:hAnsi="Arial"/>
          <w:sz w:val="22"/>
          <w:szCs w:val="22"/>
          <w:lang w:eastAsia="en-US"/>
        </w:rPr>
        <w:t xml:space="preserve">. This is based on a maximum of 12 </w:t>
      </w:r>
      <w:r w:rsidR="0083256A" w:rsidRPr="005F3E57">
        <w:rPr>
          <w:rFonts w:ascii="Arial" w:eastAsia="Calibri" w:hAnsi="Arial"/>
          <w:sz w:val="22"/>
          <w:szCs w:val="22"/>
          <w:lang w:eastAsia="en-US"/>
        </w:rPr>
        <w:t xml:space="preserve">infusions in first-line maintenance and 8 </w:t>
      </w:r>
      <w:r w:rsidRPr="005F3E57">
        <w:rPr>
          <w:rFonts w:ascii="Arial" w:eastAsia="Calibri" w:hAnsi="Arial"/>
          <w:sz w:val="22"/>
          <w:szCs w:val="22"/>
          <w:lang w:eastAsia="en-US"/>
        </w:rPr>
        <w:t>infusion</w:t>
      </w:r>
      <w:r w:rsidR="0083256A" w:rsidRPr="005F3E57">
        <w:rPr>
          <w:rFonts w:ascii="Arial" w:eastAsia="Calibri" w:hAnsi="Arial"/>
          <w:sz w:val="22"/>
          <w:szCs w:val="22"/>
          <w:lang w:eastAsia="en-US"/>
        </w:rPr>
        <w:t>s in later</w:t>
      </w:r>
      <w:r w:rsidR="0083256A" w:rsidRPr="005F3E57">
        <w:rPr>
          <w:rFonts w:ascii="Arial" w:eastAsia="Calibri" w:hAnsi="Arial"/>
          <w:sz w:val="22"/>
          <w:szCs w:val="22"/>
          <w:lang w:eastAsia="en-US"/>
        </w:rPr>
        <w:noBreakHyphen/>
        <w:t>line maintenance</w:t>
      </w:r>
      <w:r w:rsidRPr="005F3E57">
        <w:rPr>
          <w:rFonts w:ascii="Arial" w:eastAsia="Calibri" w:hAnsi="Arial"/>
          <w:sz w:val="22"/>
          <w:szCs w:val="22"/>
          <w:lang w:eastAsia="en-US"/>
        </w:rPr>
        <w:t xml:space="preserve"> over 2 years</w:t>
      </w:r>
      <w:r w:rsidR="0083256A" w:rsidRPr="005F3E57">
        <w:rPr>
          <w:rFonts w:ascii="Arial" w:eastAsia="Calibri" w:hAnsi="Arial"/>
          <w:sz w:val="22"/>
          <w:szCs w:val="22"/>
          <w:lang w:eastAsia="en-US"/>
        </w:rPr>
        <w:t>, using rituximab drug costs only.</w:t>
      </w:r>
    </w:p>
    <w:p w:rsidR="0083256A" w:rsidRPr="0083256A" w:rsidRDefault="0083256A" w:rsidP="0083256A">
      <w:pPr>
        <w:widowControl w:val="0"/>
        <w:ind w:left="720"/>
        <w:contextualSpacing/>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B50DC6" w:rsidRPr="005F3E57" w:rsidRDefault="00B50DC6" w:rsidP="005F3E57">
      <w:pPr>
        <w:pStyle w:val="ListParagraph"/>
        <w:numPr>
          <w:ilvl w:val="1"/>
          <w:numId w:val="1"/>
        </w:numPr>
        <w:ind w:left="720"/>
        <w:jc w:val="both"/>
        <w:rPr>
          <w:rFonts w:ascii="Arial" w:hAnsi="Arial"/>
          <w:sz w:val="22"/>
          <w:szCs w:val="22"/>
        </w:rPr>
      </w:pPr>
      <w:r w:rsidRPr="005F3E57">
        <w:rPr>
          <w:rFonts w:ascii="Arial" w:hAnsi="Arial" w:cs="Arial"/>
          <w:sz w:val="22"/>
          <w:szCs w:val="22"/>
        </w:rPr>
        <w:t xml:space="preserve">In March 2014, the PBAC considered that the extent of rituximab maintenance therapy currently being used under the PBS was difficult to determine, but that the co-administration analysis included in the March 2014 DUSC advice </w:t>
      </w:r>
      <w:r w:rsidRPr="005F3E57">
        <w:rPr>
          <w:rFonts w:ascii="Arial" w:hAnsi="Arial"/>
          <w:sz w:val="22"/>
          <w:szCs w:val="22"/>
        </w:rPr>
        <w:t>estimated that, as currently listed, expenditure on rituximab maintenance therapy would be $104 million over the next 5 years</w:t>
      </w:r>
      <w:r w:rsidR="00912F6E" w:rsidRPr="005F3E57">
        <w:rPr>
          <w:rFonts w:ascii="Arial" w:hAnsi="Arial"/>
          <w:sz w:val="22"/>
          <w:szCs w:val="22"/>
        </w:rPr>
        <w:t xml:space="preserve"> (the total expenditure for rituximab induction and maintenance for </w:t>
      </w:r>
      <w:r w:rsidR="0047301E" w:rsidRPr="005F3E57">
        <w:rPr>
          <w:rFonts w:ascii="Arial" w:hAnsi="Arial"/>
          <w:sz w:val="22"/>
          <w:szCs w:val="22"/>
        </w:rPr>
        <w:t>FL</w:t>
      </w:r>
      <w:r w:rsidR="00912F6E" w:rsidRPr="005F3E57">
        <w:rPr>
          <w:rFonts w:ascii="Arial" w:hAnsi="Arial"/>
          <w:sz w:val="22"/>
          <w:szCs w:val="22"/>
        </w:rPr>
        <w:t xml:space="preserve"> was estimated to be $226.9 million over 5 years)</w:t>
      </w:r>
      <w:r w:rsidRPr="005F3E57">
        <w:rPr>
          <w:rFonts w:ascii="Arial" w:hAnsi="Arial"/>
          <w:sz w:val="22"/>
          <w:szCs w:val="22"/>
        </w:rPr>
        <w:t>.</w:t>
      </w:r>
    </w:p>
    <w:p w:rsidR="00B50DC6" w:rsidRPr="00382E91" w:rsidRDefault="00B50DC6" w:rsidP="00B50DC6">
      <w:pPr>
        <w:pStyle w:val="ListParagrap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CE10C4" w:rsidRDefault="00CE10C4" w:rsidP="00882085">
      <w:pPr>
        <w:jc w:val="both"/>
        <w:rPr>
          <w:rFonts w:ascii="Arial" w:hAnsi="Arial"/>
          <w:b/>
          <w:sz w:val="22"/>
          <w:szCs w:val="22"/>
        </w:rPr>
      </w:pPr>
    </w:p>
    <w:p w:rsidR="00FF672A" w:rsidRPr="005F3E57" w:rsidRDefault="00FF672A" w:rsidP="005F3E57">
      <w:pPr>
        <w:pStyle w:val="ListParagraph"/>
        <w:numPr>
          <w:ilvl w:val="1"/>
          <w:numId w:val="1"/>
        </w:numPr>
        <w:ind w:left="720"/>
        <w:jc w:val="both"/>
        <w:rPr>
          <w:rFonts w:ascii="Arial" w:hAnsi="Arial"/>
          <w:sz w:val="22"/>
          <w:szCs w:val="22"/>
        </w:rPr>
      </w:pPr>
      <w:r w:rsidRPr="005F3E57">
        <w:rPr>
          <w:rFonts w:ascii="Arial" w:hAnsi="Arial"/>
          <w:sz w:val="22"/>
          <w:szCs w:val="22"/>
        </w:rPr>
        <w:t>The PBAC considered, among other matters, that its assessment that the cost</w:t>
      </w:r>
      <w:r w:rsidRPr="005F3E57">
        <w:rPr>
          <w:rFonts w:ascii="Arial" w:hAnsi="Arial"/>
          <w:sz w:val="22"/>
          <w:szCs w:val="22"/>
        </w:rPr>
        <w:noBreakHyphen/>
        <w:t xml:space="preserve">effectiveness of </w:t>
      </w:r>
      <w:r w:rsidRPr="005F3E57">
        <w:rPr>
          <w:rFonts w:ascii="Arial" w:hAnsi="Arial" w:cs="Arial"/>
          <w:sz w:val="22"/>
        </w:rPr>
        <w:t xml:space="preserve">rituximab in </w:t>
      </w:r>
      <w:r w:rsidR="00834011" w:rsidRPr="005F3E57">
        <w:rPr>
          <w:rFonts w:ascii="Arial" w:hAnsi="Arial" w:cs="Arial"/>
          <w:sz w:val="22"/>
        </w:rPr>
        <w:t>NHL</w:t>
      </w:r>
      <w:r w:rsidRPr="005F3E57">
        <w:rPr>
          <w:rFonts w:ascii="Arial" w:hAnsi="Arial"/>
          <w:sz w:val="20"/>
          <w:szCs w:val="22"/>
        </w:rPr>
        <w:t xml:space="preserve"> </w:t>
      </w:r>
      <w:r w:rsidRPr="005F3E57">
        <w:rPr>
          <w:rFonts w:ascii="Arial" w:hAnsi="Arial"/>
          <w:sz w:val="22"/>
          <w:szCs w:val="22"/>
        </w:rPr>
        <w:t>would be acceptable if either of the measures below were implemented to contain risks associated with the cost of the drug to the PBS:</w:t>
      </w:r>
    </w:p>
    <w:p w:rsidR="00FF672A" w:rsidRPr="009B0779" w:rsidRDefault="008B66DC" w:rsidP="00AA4989">
      <w:pPr>
        <w:pStyle w:val="ListParagraph"/>
        <w:numPr>
          <w:ilvl w:val="0"/>
          <w:numId w:val="3"/>
        </w:numPr>
        <w:ind w:left="1276" w:hanging="425"/>
        <w:jc w:val="both"/>
        <w:rPr>
          <w:rFonts w:ascii="Arial" w:hAnsi="Arial"/>
          <w:sz w:val="22"/>
          <w:szCs w:val="22"/>
        </w:rPr>
      </w:pPr>
      <w:r>
        <w:rPr>
          <w:rFonts w:ascii="Arial" w:hAnsi="Arial"/>
          <w:sz w:val="22"/>
          <w:szCs w:val="22"/>
        </w:rPr>
        <w:t xml:space="preserve">In the absence of a specific listing for rituximab maintenance therapy in FL, </w:t>
      </w:r>
      <w:r w:rsidRPr="009B0779">
        <w:rPr>
          <w:rFonts w:ascii="Arial" w:hAnsi="Arial"/>
          <w:sz w:val="22"/>
          <w:szCs w:val="22"/>
        </w:rPr>
        <w:t xml:space="preserve">all of rituximab’s </w:t>
      </w:r>
      <w:r w:rsidR="0002670B">
        <w:rPr>
          <w:rFonts w:ascii="Arial" w:hAnsi="Arial"/>
          <w:sz w:val="22"/>
          <w:szCs w:val="22"/>
        </w:rPr>
        <w:t>intended listings</w:t>
      </w:r>
      <w:r w:rsidRPr="009B0779">
        <w:rPr>
          <w:rFonts w:ascii="Arial" w:hAnsi="Arial"/>
          <w:sz w:val="22"/>
          <w:szCs w:val="22"/>
        </w:rPr>
        <w:t xml:space="preserve"> that relate to the treatment of NHL </w:t>
      </w:r>
      <w:r>
        <w:rPr>
          <w:rFonts w:ascii="Arial" w:hAnsi="Arial"/>
          <w:sz w:val="22"/>
          <w:szCs w:val="22"/>
        </w:rPr>
        <w:t xml:space="preserve">should be </w:t>
      </w:r>
      <w:r w:rsidR="00FC7270">
        <w:rPr>
          <w:rFonts w:ascii="Arial" w:hAnsi="Arial"/>
          <w:sz w:val="22"/>
          <w:szCs w:val="22"/>
        </w:rPr>
        <w:t xml:space="preserve">amended to </w:t>
      </w:r>
      <w:r w:rsidR="00FF672A" w:rsidRPr="009B0779">
        <w:rPr>
          <w:rFonts w:ascii="Arial" w:hAnsi="Arial"/>
          <w:sz w:val="22"/>
          <w:szCs w:val="22"/>
        </w:rPr>
        <w:t>written authority listing</w:t>
      </w:r>
      <w:r w:rsidR="00FC7270">
        <w:rPr>
          <w:rFonts w:ascii="Arial" w:hAnsi="Arial"/>
          <w:sz w:val="22"/>
          <w:szCs w:val="22"/>
        </w:rPr>
        <w:t xml:space="preserve">s; </w:t>
      </w:r>
      <w:r w:rsidR="00FF672A" w:rsidRPr="009B0779">
        <w:rPr>
          <w:rFonts w:ascii="Arial" w:hAnsi="Arial"/>
          <w:sz w:val="22"/>
          <w:szCs w:val="22"/>
        </w:rPr>
        <w:t>OR</w:t>
      </w:r>
    </w:p>
    <w:p w:rsidR="00FF672A" w:rsidRPr="009B0779" w:rsidRDefault="00FF672A" w:rsidP="00AA4989">
      <w:pPr>
        <w:pStyle w:val="ListParagraph"/>
        <w:numPr>
          <w:ilvl w:val="0"/>
          <w:numId w:val="3"/>
        </w:numPr>
        <w:ind w:left="1276" w:hanging="425"/>
        <w:jc w:val="both"/>
        <w:rPr>
          <w:rFonts w:ascii="Arial" w:hAnsi="Arial"/>
          <w:sz w:val="22"/>
          <w:szCs w:val="22"/>
        </w:rPr>
      </w:pPr>
      <w:proofErr w:type="gramStart"/>
      <w:r w:rsidRPr="009B0779">
        <w:rPr>
          <w:rFonts w:ascii="Arial" w:hAnsi="Arial"/>
          <w:sz w:val="22"/>
          <w:szCs w:val="22"/>
        </w:rPr>
        <w:t>listing</w:t>
      </w:r>
      <w:proofErr w:type="gramEnd"/>
      <w:r w:rsidRPr="009B0779">
        <w:rPr>
          <w:rFonts w:ascii="Arial" w:hAnsi="Arial"/>
          <w:sz w:val="22"/>
          <w:szCs w:val="22"/>
        </w:rPr>
        <w:t xml:space="preserve"> in both the first- and later-line maintenance settings at a </w:t>
      </w:r>
      <w:r w:rsidR="00FC7270">
        <w:rPr>
          <w:rFonts w:ascii="Arial" w:hAnsi="Arial"/>
          <w:sz w:val="22"/>
          <w:szCs w:val="22"/>
        </w:rPr>
        <w:t xml:space="preserve">cost-effective </w:t>
      </w:r>
      <w:r w:rsidRPr="009B0779">
        <w:rPr>
          <w:rFonts w:ascii="Arial" w:hAnsi="Arial"/>
          <w:sz w:val="22"/>
          <w:szCs w:val="22"/>
        </w:rPr>
        <w:t>price. In this case listing of all of rituximab’s indications that relate to the treatment of NHL could be appropriately managed through an Authority Required (Streamlined) listing.</w:t>
      </w:r>
    </w:p>
    <w:p w:rsidR="00FF672A" w:rsidRDefault="00FF672A" w:rsidP="00FF672A">
      <w:pPr>
        <w:pStyle w:val="ListParagraph"/>
        <w:ind w:left="709"/>
        <w:rPr>
          <w:rFonts w:ascii="Arial" w:hAnsi="Arial" w:cs="Arial"/>
          <w:sz w:val="22"/>
          <w:szCs w:val="22"/>
        </w:rPr>
      </w:pPr>
      <w:r>
        <w:rPr>
          <w:rFonts w:ascii="Arial" w:hAnsi="Arial"/>
          <w:sz w:val="22"/>
          <w:szCs w:val="22"/>
        </w:rPr>
        <w:t>These arrangements were considered to be appropriate to reduce the risk of high total cost given t</w:t>
      </w:r>
      <w:r w:rsidRPr="009B0779">
        <w:rPr>
          <w:rFonts w:ascii="Arial" w:hAnsi="Arial"/>
          <w:sz w:val="22"/>
          <w:szCs w:val="22"/>
        </w:rPr>
        <w:t>he evidence of extensive use</w:t>
      </w:r>
      <w:r>
        <w:rPr>
          <w:rFonts w:ascii="Arial" w:hAnsi="Arial"/>
          <w:sz w:val="22"/>
          <w:szCs w:val="22"/>
        </w:rPr>
        <w:t xml:space="preserve"> of rituximab</w:t>
      </w:r>
      <w:r w:rsidRPr="009B0779">
        <w:rPr>
          <w:rFonts w:ascii="Arial" w:hAnsi="Arial"/>
          <w:sz w:val="22"/>
          <w:szCs w:val="22"/>
        </w:rPr>
        <w:t xml:space="preserve"> outside the current restriction </w:t>
      </w:r>
      <w:r>
        <w:rPr>
          <w:rFonts w:ascii="Arial" w:hAnsi="Arial"/>
          <w:sz w:val="22"/>
          <w:szCs w:val="22"/>
        </w:rPr>
        <w:t xml:space="preserve">and because the </w:t>
      </w:r>
      <w:r w:rsidRPr="008E258B">
        <w:rPr>
          <w:rFonts w:ascii="Arial" w:hAnsi="Arial" w:cs="Arial"/>
          <w:sz w:val="22"/>
          <w:szCs w:val="22"/>
        </w:rPr>
        <w:t xml:space="preserve">extent of rituximab maintenance therapy </w:t>
      </w:r>
      <w:proofErr w:type="gramStart"/>
      <w:r w:rsidRPr="008E258B">
        <w:rPr>
          <w:rFonts w:ascii="Arial" w:hAnsi="Arial" w:cs="Arial"/>
          <w:sz w:val="22"/>
          <w:szCs w:val="22"/>
        </w:rPr>
        <w:t>currently being</w:t>
      </w:r>
      <w:proofErr w:type="gramEnd"/>
      <w:r w:rsidRPr="008E258B">
        <w:rPr>
          <w:rFonts w:ascii="Arial" w:hAnsi="Arial" w:cs="Arial"/>
          <w:sz w:val="22"/>
          <w:szCs w:val="22"/>
        </w:rPr>
        <w:t xml:space="preserve"> used under the PBS was difficult to determine</w:t>
      </w:r>
      <w:r>
        <w:rPr>
          <w:rFonts w:ascii="Arial" w:hAnsi="Arial" w:cs="Arial"/>
          <w:sz w:val="22"/>
          <w:szCs w:val="22"/>
        </w:rPr>
        <w:t>.</w:t>
      </w:r>
    </w:p>
    <w:p w:rsidR="00FF672A" w:rsidRDefault="00FF672A" w:rsidP="00882085">
      <w:pPr>
        <w:jc w:val="both"/>
        <w:rPr>
          <w:rFonts w:ascii="Arial" w:hAnsi="Arial"/>
          <w:b/>
          <w:sz w:val="22"/>
          <w:szCs w:val="22"/>
        </w:rPr>
      </w:pPr>
    </w:p>
    <w:p w:rsidR="005F3E57" w:rsidRPr="00882085" w:rsidRDefault="005F3E57" w:rsidP="00882085">
      <w:pPr>
        <w:jc w:val="both"/>
        <w:rPr>
          <w:rFonts w:ascii="Arial" w:hAnsi="Arial"/>
          <w:b/>
          <w:sz w:val="22"/>
          <w:szCs w:val="22"/>
        </w:rPr>
      </w:pPr>
    </w:p>
    <w:p w:rsidR="005F3E57" w:rsidRPr="00407F2D" w:rsidRDefault="005F3E57" w:rsidP="005F3E57">
      <w:pPr>
        <w:pStyle w:val="ListParagraph"/>
        <w:numPr>
          <w:ilvl w:val="0"/>
          <w:numId w:val="1"/>
        </w:numPr>
        <w:jc w:val="both"/>
        <w:rPr>
          <w:rFonts w:ascii="Arial" w:hAnsi="Arial"/>
          <w:b/>
          <w:sz w:val="22"/>
          <w:szCs w:val="22"/>
        </w:rPr>
      </w:pPr>
      <w:r w:rsidRPr="00407F2D">
        <w:rPr>
          <w:rFonts w:ascii="Arial" w:hAnsi="Arial"/>
          <w:b/>
          <w:sz w:val="22"/>
          <w:szCs w:val="22"/>
        </w:rPr>
        <w:t xml:space="preserve">PBAC Outcome </w:t>
      </w:r>
    </w:p>
    <w:p w:rsidR="009067B7" w:rsidRDefault="009067B7" w:rsidP="00882085">
      <w:pPr>
        <w:jc w:val="both"/>
        <w:rPr>
          <w:rFonts w:ascii="Arial" w:hAnsi="Arial"/>
          <w:b/>
          <w:sz w:val="22"/>
          <w:szCs w:val="22"/>
        </w:rPr>
      </w:pPr>
    </w:p>
    <w:p w:rsidR="00EE749E" w:rsidRDefault="00BB7EC3" w:rsidP="00EE749E">
      <w:pPr>
        <w:pStyle w:val="ListParagraph"/>
        <w:numPr>
          <w:ilvl w:val="1"/>
          <w:numId w:val="1"/>
        </w:numPr>
        <w:ind w:left="720"/>
        <w:jc w:val="both"/>
        <w:rPr>
          <w:rFonts w:ascii="Arial" w:hAnsi="Arial"/>
          <w:sz w:val="22"/>
          <w:szCs w:val="22"/>
        </w:rPr>
      </w:pPr>
      <w:r w:rsidRPr="005F3E57">
        <w:rPr>
          <w:rFonts w:ascii="Arial" w:hAnsi="Arial"/>
          <w:sz w:val="22"/>
          <w:szCs w:val="22"/>
        </w:rPr>
        <w:t>The PBAC re</w:t>
      </w:r>
      <w:r w:rsidR="005C7F46" w:rsidRPr="005F3E57">
        <w:rPr>
          <w:rFonts w:ascii="Arial" w:hAnsi="Arial"/>
          <w:sz w:val="22"/>
          <w:szCs w:val="22"/>
        </w:rPr>
        <w:t xml:space="preserve">iterated its previous recommendation to </w:t>
      </w:r>
      <w:r w:rsidR="0086038B" w:rsidRPr="005F3E57">
        <w:rPr>
          <w:rFonts w:ascii="Arial" w:hAnsi="Arial"/>
          <w:sz w:val="22"/>
          <w:szCs w:val="22"/>
        </w:rPr>
        <w:t xml:space="preserve">extend the current </w:t>
      </w:r>
      <w:r w:rsidRPr="005F3E57">
        <w:rPr>
          <w:rFonts w:ascii="Arial" w:hAnsi="Arial"/>
          <w:sz w:val="22"/>
          <w:szCs w:val="22"/>
        </w:rPr>
        <w:t xml:space="preserve">listing </w:t>
      </w:r>
      <w:r w:rsidR="00076E3B" w:rsidRPr="005F3E57">
        <w:rPr>
          <w:rFonts w:ascii="Arial" w:hAnsi="Arial"/>
          <w:sz w:val="22"/>
          <w:szCs w:val="22"/>
        </w:rPr>
        <w:t>for</w:t>
      </w:r>
      <w:r w:rsidRPr="005F3E57">
        <w:rPr>
          <w:rFonts w:ascii="Arial" w:hAnsi="Arial"/>
          <w:sz w:val="22"/>
          <w:szCs w:val="22"/>
        </w:rPr>
        <w:t xml:space="preserve"> </w:t>
      </w:r>
      <w:r w:rsidR="00A574DB" w:rsidRPr="005F3E57">
        <w:rPr>
          <w:rFonts w:ascii="Arial" w:hAnsi="Arial"/>
          <w:sz w:val="22"/>
          <w:szCs w:val="22"/>
        </w:rPr>
        <w:t>rituximab</w:t>
      </w:r>
      <w:r w:rsidR="00076E3B" w:rsidRPr="005F3E57">
        <w:rPr>
          <w:rFonts w:ascii="Arial" w:hAnsi="Arial"/>
          <w:sz w:val="22"/>
          <w:szCs w:val="22"/>
        </w:rPr>
        <w:t xml:space="preserve"> to include </w:t>
      </w:r>
      <w:r w:rsidR="003D0468" w:rsidRPr="005F3E57">
        <w:rPr>
          <w:rFonts w:ascii="Arial" w:hAnsi="Arial" w:cs="Arial"/>
          <w:color w:val="000000"/>
          <w:sz w:val="22"/>
          <w:szCs w:val="22"/>
        </w:rPr>
        <w:t xml:space="preserve">maintenance therapy following a partial or complete response to induction treatment for CD20 positive, Stage III or IV, follicular B-cell </w:t>
      </w:r>
      <w:r w:rsidR="006520F2" w:rsidRPr="005F3E57">
        <w:rPr>
          <w:rFonts w:ascii="Arial" w:hAnsi="Arial" w:cs="Arial"/>
          <w:color w:val="000000"/>
          <w:sz w:val="22"/>
          <w:szCs w:val="22"/>
        </w:rPr>
        <w:t>NHL, in the first-</w:t>
      </w:r>
      <w:r w:rsidR="003D0468" w:rsidRPr="005F3E57">
        <w:rPr>
          <w:rFonts w:ascii="Arial" w:hAnsi="Arial" w:cs="Arial"/>
          <w:color w:val="000000"/>
          <w:sz w:val="22"/>
          <w:szCs w:val="22"/>
        </w:rPr>
        <w:t xml:space="preserve">and later-line </w:t>
      </w:r>
      <w:r w:rsidR="006520F2" w:rsidRPr="005F3E57">
        <w:rPr>
          <w:rFonts w:ascii="Arial" w:hAnsi="Arial" w:cs="Arial"/>
          <w:color w:val="000000"/>
          <w:sz w:val="22"/>
          <w:szCs w:val="22"/>
        </w:rPr>
        <w:t>(relapsed/refractory)</w:t>
      </w:r>
      <w:r w:rsidR="00A040CD" w:rsidRPr="005F3E57">
        <w:rPr>
          <w:rFonts w:ascii="Arial" w:hAnsi="Arial" w:cs="Arial"/>
          <w:color w:val="000000"/>
          <w:sz w:val="22"/>
          <w:szCs w:val="22"/>
        </w:rPr>
        <w:t xml:space="preserve"> </w:t>
      </w:r>
      <w:r w:rsidR="003D0468" w:rsidRPr="005F3E57">
        <w:rPr>
          <w:rFonts w:ascii="Arial" w:hAnsi="Arial" w:cs="Arial"/>
          <w:color w:val="000000"/>
          <w:sz w:val="22"/>
          <w:szCs w:val="22"/>
        </w:rPr>
        <w:t xml:space="preserve">settings. This was </w:t>
      </w:r>
      <w:r w:rsidRPr="005F3E57">
        <w:rPr>
          <w:rFonts w:ascii="Arial" w:hAnsi="Arial"/>
          <w:sz w:val="22"/>
          <w:szCs w:val="22"/>
        </w:rPr>
        <w:t xml:space="preserve">on the basis that it should be </w:t>
      </w:r>
      <w:r w:rsidR="00AC3FED" w:rsidRPr="005F3E57">
        <w:rPr>
          <w:rFonts w:ascii="Arial" w:hAnsi="Arial"/>
          <w:sz w:val="22"/>
          <w:szCs w:val="22"/>
        </w:rPr>
        <w:t xml:space="preserve">made </w:t>
      </w:r>
      <w:r w:rsidRPr="005F3E57">
        <w:rPr>
          <w:rFonts w:ascii="Arial" w:hAnsi="Arial"/>
          <w:sz w:val="22"/>
          <w:szCs w:val="22"/>
        </w:rPr>
        <w:t>available only under special arrangements under</w:t>
      </w:r>
      <w:r w:rsidR="0086038B" w:rsidRPr="005F3E57">
        <w:rPr>
          <w:rFonts w:ascii="Arial" w:hAnsi="Arial"/>
          <w:sz w:val="22"/>
          <w:szCs w:val="22"/>
        </w:rPr>
        <w:t xml:space="preserve"> </w:t>
      </w:r>
      <w:r w:rsidRPr="005F3E57">
        <w:rPr>
          <w:rFonts w:ascii="Arial" w:hAnsi="Arial"/>
          <w:sz w:val="22"/>
          <w:szCs w:val="22"/>
        </w:rPr>
        <w:t>Section 100</w:t>
      </w:r>
      <w:r w:rsidR="005C7F46" w:rsidRPr="005F3E57">
        <w:rPr>
          <w:rFonts w:ascii="Arial" w:hAnsi="Arial"/>
          <w:sz w:val="22"/>
          <w:szCs w:val="22"/>
        </w:rPr>
        <w:t xml:space="preserve">. </w:t>
      </w:r>
    </w:p>
    <w:p w:rsidR="00EE749E" w:rsidRDefault="00EE749E" w:rsidP="00EE749E">
      <w:pPr>
        <w:pStyle w:val="ListParagraph"/>
        <w:jc w:val="both"/>
        <w:rPr>
          <w:rFonts w:ascii="Arial" w:hAnsi="Arial"/>
          <w:sz w:val="22"/>
          <w:szCs w:val="22"/>
        </w:rPr>
      </w:pPr>
    </w:p>
    <w:p w:rsidR="003D0468" w:rsidRPr="00EE749E" w:rsidRDefault="003D0468" w:rsidP="00EE749E">
      <w:pPr>
        <w:pStyle w:val="ListParagraph"/>
        <w:numPr>
          <w:ilvl w:val="1"/>
          <w:numId w:val="1"/>
        </w:numPr>
        <w:ind w:left="720"/>
        <w:jc w:val="both"/>
        <w:rPr>
          <w:rFonts w:ascii="Arial" w:hAnsi="Arial"/>
          <w:sz w:val="22"/>
          <w:szCs w:val="22"/>
        </w:rPr>
      </w:pPr>
      <w:r w:rsidRPr="00EE749E">
        <w:rPr>
          <w:rFonts w:ascii="Arial" w:hAnsi="Arial"/>
          <w:sz w:val="22"/>
          <w:szCs w:val="22"/>
        </w:rPr>
        <w:t>The PBAC recalled the background to the minor submission:</w:t>
      </w:r>
    </w:p>
    <w:p w:rsidR="003D0468" w:rsidRPr="003D0468" w:rsidRDefault="003D0468" w:rsidP="003D0468">
      <w:pPr>
        <w:pStyle w:val="ListParagraph"/>
        <w:rPr>
          <w:rFonts w:ascii="Arial" w:hAnsi="Arial"/>
          <w:sz w:val="22"/>
          <w:szCs w:val="22"/>
        </w:rPr>
      </w:pPr>
    </w:p>
    <w:p w:rsidR="00350A03" w:rsidRDefault="00DD3B37" w:rsidP="00350A03">
      <w:pPr>
        <w:pStyle w:val="ListParagraph"/>
        <w:numPr>
          <w:ilvl w:val="0"/>
          <w:numId w:val="3"/>
        </w:numPr>
        <w:ind w:left="1276" w:hanging="425"/>
        <w:jc w:val="both"/>
        <w:rPr>
          <w:rFonts w:ascii="Arial" w:hAnsi="Arial"/>
          <w:sz w:val="22"/>
          <w:szCs w:val="22"/>
        </w:rPr>
      </w:pPr>
      <w:r w:rsidRPr="007C2797">
        <w:rPr>
          <w:rFonts w:ascii="Arial" w:hAnsi="Arial"/>
          <w:sz w:val="22"/>
          <w:szCs w:val="22"/>
        </w:rPr>
        <w:t>R</w:t>
      </w:r>
      <w:r w:rsidR="00FC7270" w:rsidRPr="007C2797">
        <w:rPr>
          <w:rFonts w:ascii="Arial" w:hAnsi="Arial"/>
          <w:sz w:val="22"/>
          <w:szCs w:val="22"/>
        </w:rPr>
        <w:t xml:space="preserve">ituximab is not specifically listed on the PBS for maintenance treatment in follicular lymphoma. This is an indication for which the sponsor has not previously sought subsidy and </w:t>
      </w:r>
      <w:r w:rsidR="00CD5785" w:rsidRPr="007C2797">
        <w:rPr>
          <w:rFonts w:ascii="Arial" w:hAnsi="Arial"/>
          <w:sz w:val="22"/>
          <w:szCs w:val="22"/>
        </w:rPr>
        <w:t xml:space="preserve">for which </w:t>
      </w:r>
      <w:r w:rsidR="00FC7270" w:rsidRPr="007C2797">
        <w:rPr>
          <w:rFonts w:ascii="Arial" w:hAnsi="Arial"/>
          <w:sz w:val="22"/>
          <w:szCs w:val="22"/>
        </w:rPr>
        <w:t xml:space="preserve">the PBAC has not previously assessed </w:t>
      </w:r>
      <w:r w:rsidR="000E2EB4" w:rsidRPr="007C2797">
        <w:rPr>
          <w:rFonts w:ascii="Arial" w:hAnsi="Arial"/>
          <w:sz w:val="22"/>
          <w:szCs w:val="22"/>
        </w:rPr>
        <w:t xml:space="preserve">the </w:t>
      </w:r>
      <w:r w:rsidR="00FC7270" w:rsidRPr="007C2797">
        <w:rPr>
          <w:rFonts w:ascii="Arial" w:hAnsi="Arial"/>
          <w:sz w:val="22"/>
          <w:szCs w:val="22"/>
        </w:rPr>
        <w:t>cost-effectiveness</w:t>
      </w:r>
      <w:r w:rsidR="000E2EB4" w:rsidRPr="007C2797">
        <w:rPr>
          <w:rFonts w:ascii="Arial" w:hAnsi="Arial"/>
          <w:sz w:val="22"/>
          <w:szCs w:val="22"/>
        </w:rPr>
        <w:t xml:space="preserve"> of rituximab</w:t>
      </w:r>
      <w:r w:rsidR="00FC7270" w:rsidRPr="007C2797">
        <w:rPr>
          <w:rFonts w:ascii="Arial" w:hAnsi="Arial"/>
          <w:sz w:val="22"/>
          <w:szCs w:val="22"/>
        </w:rPr>
        <w:t xml:space="preserve">. Despite this, use of rituximab maintenance under the PBS appears to be widespread, and is associated with significant costs, which are likely to be in the order of $100 million over 5 years. </w:t>
      </w:r>
    </w:p>
    <w:p w:rsidR="007C2797" w:rsidRPr="007C2797" w:rsidRDefault="007C2797" w:rsidP="007C2797">
      <w:pPr>
        <w:pStyle w:val="ListParagraph"/>
        <w:ind w:left="1276"/>
        <w:jc w:val="both"/>
        <w:rPr>
          <w:rFonts w:ascii="Arial" w:hAnsi="Arial"/>
          <w:sz w:val="22"/>
          <w:szCs w:val="22"/>
        </w:rPr>
      </w:pPr>
    </w:p>
    <w:p w:rsidR="00350A03" w:rsidRPr="003D0468" w:rsidRDefault="003D0468" w:rsidP="00306300">
      <w:pPr>
        <w:pStyle w:val="ListParagraph"/>
        <w:numPr>
          <w:ilvl w:val="0"/>
          <w:numId w:val="3"/>
        </w:numPr>
        <w:ind w:left="1276" w:hanging="425"/>
        <w:jc w:val="both"/>
        <w:rPr>
          <w:rFonts w:ascii="Arial" w:hAnsi="Arial"/>
          <w:sz w:val="22"/>
          <w:szCs w:val="22"/>
        </w:rPr>
      </w:pPr>
      <w:r w:rsidRPr="003D0468">
        <w:rPr>
          <w:rFonts w:ascii="Arial" w:hAnsi="Arial"/>
          <w:sz w:val="22"/>
          <w:szCs w:val="22"/>
        </w:rPr>
        <w:lastRenderedPageBreak/>
        <w:t>T</w:t>
      </w:r>
      <w:r w:rsidR="00350A03" w:rsidRPr="003D0468">
        <w:rPr>
          <w:rFonts w:ascii="Arial" w:hAnsi="Arial"/>
          <w:sz w:val="22"/>
          <w:szCs w:val="22"/>
        </w:rPr>
        <w:t>herefore</w:t>
      </w:r>
      <w:r w:rsidR="00A040CD">
        <w:rPr>
          <w:rFonts w:ascii="Arial" w:hAnsi="Arial"/>
          <w:sz w:val="22"/>
          <w:szCs w:val="22"/>
        </w:rPr>
        <w:t xml:space="preserve"> in November 2012</w:t>
      </w:r>
      <w:r w:rsidR="00350A03" w:rsidRPr="003D0468">
        <w:rPr>
          <w:rFonts w:ascii="Arial" w:hAnsi="Arial"/>
          <w:sz w:val="22"/>
          <w:szCs w:val="22"/>
        </w:rPr>
        <w:t xml:space="preserve"> the PBAC requested ‘a review of the efficacy and cost-effectiveness of rituximab for m</w:t>
      </w:r>
      <w:r w:rsidRPr="003D0468">
        <w:rPr>
          <w:rFonts w:ascii="Arial" w:hAnsi="Arial"/>
          <w:sz w:val="22"/>
          <w:szCs w:val="22"/>
        </w:rPr>
        <w:t>aintenance therapy in lymphoma’. This</w:t>
      </w:r>
      <w:r w:rsidR="00350A03" w:rsidRPr="003D0468">
        <w:rPr>
          <w:rFonts w:ascii="Arial" w:hAnsi="Arial"/>
          <w:sz w:val="22"/>
          <w:szCs w:val="22"/>
        </w:rPr>
        <w:t xml:space="preserve"> review report was considered by the PBAC at its March 2014 meeting.</w:t>
      </w:r>
      <w:r w:rsidR="00A040CD">
        <w:rPr>
          <w:rFonts w:ascii="Arial" w:hAnsi="Arial"/>
          <w:sz w:val="22"/>
          <w:szCs w:val="22"/>
        </w:rPr>
        <w:t xml:space="preserve"> While t</w:t>
      </w:r>
      <w:r w:rsidRPr="003D0468">
        <w:rPr>
          <w:rFonts w:ascii="Arial" w:hAnsi="Arial"/>
          <w:sz w:val="22"/>
          <w:szCs w:val="22"/>
        </w:rPr>
        <w:t>he March 2014 PBAC meeting was satisfied that rituximab maintenance therapy in FL provides superior comparative efficacy over observation</w:t>
      </w:r>
      <w:r w:rsidR="00A040CD">
        <w:rPr>
          <w:rFonts w:ascii="Arial" w:hAnsi="Arial"/>
          <w:sz w:val="22"/>
          <w:szCs w:val="22"/>
        </w:rPr>
        <w:t xml:space="preserve">, it concluded </w:t>
      </w:r>
      <w:r w:rsidRPr="003D0468">
        <w:rPr>
          <w:rFonts w:ascii="Arial" w:hAnsi="Arial"/>
          <w:sz w:val="22"/>
          <w:szCs w:val="22"/>
        </w:rPr>
        <w:t>that rituximab was not cost</w:t>
      </w:r>
      <w:r w:rsidRPr="003D0468">
        <w:rPr>
          <w:rFonts w:ascii="Arial" w:hAnsi="Arial"/>
          <w:sz w:val="22"/>
          <w:szCs w:val="22"/>
        </w:rPr>
        <w:noBreakHyphen/>
        <w:t>effective in this indication at the current price (</w:t>
      </w:r>
      <w:r w:rsidR="00D627BC">
        <w:rPr>
          <w:rFonts w:ascii="Arial" w:hAnsi="Arial"/>
          <w:sz w:val="22"/>
          <w:szCs w:val="22"/>
        </w:rPr>
        <w:t xml:space="preserve">highly </w:t>
      </w:r>
      <w:r w:rsidR="000174E4">
        <w:rPr>
          <w:rFonts w:ascii="Arial" w:hAnsi="Arial"/>
          <w:sz w:val="22"/>
          <w:szCs w:val="22"/>
        </w:rPr>
        <w:t xml:space="preserve">favourable plausible estimate of </w:t>
      </w:r>
      <w:r w:rsidRPr="003D0468">
        <w:rPr>
          <w:rFonts w:ascii="Arial" w:hAnsi="Arial"/>
          <w:sz w:val="22"/>
          <w:szCs w:val="22"/>
        </w:rPr>
        <w:t>ICER in the range of $70,000-$80,000/QALY)</w:t>
      </w:r>
      <w:r>
        <w:rPr>
          <w:rFonts w:ascii="Arial" w:hAnsi="Arial"/>
          <w:sz w:val="22"/>
          <w:szCs w:val="22"/>
        </w:rPr>
        <w:t>.</w:t>
      </w:r>
      <w:r w:rsidRPr="003D0468">
        <w:rPr>
          <w:rFonts w:ascii="Arial" w:hAnsi="Arial"/>
          <w:sz w:val="22"/>
          <w:szCs w:val="22"/>
        </w:rPr>
        <w:t xml:space="preserve"> </w:t>
      </w:r>
    </w:p>
    <w:p w:rsidR="00350A03" w:rsidRPr="00350A03" w:rsidRDefault="00350A03" w:rsidP="00350A03">
      <w:pPr>
        <w:pStyle w:val="ListParagraph"/>
        <w:rPr>
          <w:rFonts w:ascii="Arial" w:hAnsi="Arial" w:cs="Arial"/>
          <w:color w:val="000000"/>
          <w:sz w:val="22"/>
          <w:szCs w:val="22"/>
        </w:rPr>
      </w:pPr>
    </w:p>
    <w:p w:rsidR="00FD4E6C" w:rsidRPr="005F3E57" w:rsidRDefault="00FD4E6C"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The PBAC’s views on rituximab’s comparative benefits and harms remained unchanged from those formed in March 2014. </w:t>
      </w:r>
    </w:p>
    <w:p w:rsidR="006F61B2" w:rsidRPr="006F61B2" w:rsidRDefault="006F61B2" w:rsidP="006F61B2">
      <w:pPr>
        <w:pStyle w:val="ListParagraph"/>
        <w:rPr>
          <w:rFonts w:ascii="Arial" w:hAnsi="Arial"/>
          <w:sz w:val="22"/>
          <w:szCs w:val="22"/>
        </w:rPr>
      </w:pPr>
    </w:p>
    <w:p w:rsidR="00DA686E" w:rsidRPr="005F3E57" w:rsidRDefault="00F15225" w:rsidP="005F3E57">
      <w:pPr>
        <w:pStyle w:val="ListParagraph"/>
        <w:numPr>
          <w:ilvl w:val="1"/>
          <w:numId w:val="1"/>
        </w:numPr>
        <w:ind w:left="720"/>
        <w:jc w:val="both"/>
        <w:rPr>
          <w:rFonts w:ascii="Arial" w:hAnsi="Arial"/>
          <w:sz w:val="22"/>
          <w:szCs w:val="22"/>
        </w:rPr>
      </w:pPr>
      <w:r w:rsidRPr="005F3E57">
        <w:rPr>
          <w:rFonts w:ascii="Arial" w:hAnsi="Arial" w:cs="Arial"/>
          <w:sz w:val="22"/>
          <w:szCs w:val="22"/>
        </w:rPr>
        <w:t xml:space="preserve">The PBAC remained of the view that </w:t>
      </w:r>
      <w:r w:rsidR="006520F2" w:rsidRPr="005F3E57">
        <w:rPr>
          <w:rFonts w:ascii="Arial" w:hAnsi="Arial" w:cs="Arial"/>
          <w:sz w:val="22"/>
          <w:szCs w:val="22"/>
        </w:rPr>
        <w:t xml:space="preserve">a modelled gain in OS may not be appropriate given that the </w:t>
      </w:r>
      <w:r w:rsidR="0002670B" w:rsidRPr="005F3E57">
        <w:rPr>
          <w:rFonts w:ascii="Arial" w:hAnsi="Arial" w:cs="Arial"/>
          <w:sz w:val="22"/>
          <w:szCs w:val="22"/>
        </w:rPr>
        <w:t xml:space="preserve">relevant </w:t>
      </w:r>
      <w:r w:rsidR="006520F2" w:rsidRPr="005F3E57">
        <w:rPr>
          <w:rFonts w:ascii="Arial" w:hAnsi="Arial" w:cs="Arial"/>
          <w:sz w:val="22"/>
          <w:szCs w:val="22"/>
        </w:rPr>
        <w:t>clinical trial evidence did not show a consistent statistically significant improvement in OS and given the lack of evidence that PFS is a reliable surrogate for OS</w:t>
      </w:r>
      <w:r w:rsidR="0002670B" w:rsidRPr="005F3E57">
        <w:rPr>
          <w:rFonts w:ascii="Arial" w:hAnsi="Arial" w:cs="Arial"/>
          <w:sz w:val="22"/>
          <w:szCs w:val="22"/>
        </w:rPr>
        <w:t>. The PBAC</w:t>
      </w:r>
      <w:r w:rsidR="006520F2" w:rsidRPr="005F3E57">
        <w:rPr>
          <w:rFonts w:ascii="Arial" w:hAnsi="Arial" w:cs="Arial"/>
          <w:sz w:val="22"/>
          <w:szCs w:val="22"/>
        </w:rPr>
        <w:t xml:space="preserve"> acknowledged that the sponsor had offered a </w:t>
      </w:r>
      <w:r w:rsidR="007D5005">
        <w:rPr>
          <w:rFonts w:ascii="Arial" w:hAnsi="Arial" w:cs="Arial"/>
          <w:noProof/>
          <w:color w:val="000000"/>
          <w:sz w:val="22"/>
          <w:szCs w:val="22"/>
          <w:highlight w:val="black"/>
        </w:rPr>
        <w:t>'''''''</w:t>
      </w:r>
      <w:r w:rsidR="006520F2" w:rsidRPr="005F3E57">
        <w:rPr>
          <w:rFonts w:ascii="Arial" w:hAnsi="Arial" w:cs="Arial"/>
          <w:sz w:val="22"/>
          <w:szCs w:val="22"/>
        </w:rPr>
        <w:t>% rebate to account for some uncertainty regarding the extent of an OS gain.</w:t>
      </w:r>
      <w:r w:rsidR="006F61B2" w:rsidRPr="005F3E57">
        <w:rPr>
          <w:rFonts w:ascii="Arial" w:hAnsi="Arial" w:cs="Arial"/>
          <w:sz w:val="22"/>
          <w:szCs w:val="22"/>
        </w:rPr>
        <w:t xml:space="preserve"> </w:t>
      </w:r>
    </w:p>
    <w:p w:rsidR="00DA686E" w:rsidRPr="00DA686E" w:rsidRDefault="00DA686E" w:rsidP="00DA686E">
      <w:pPr>
        <w:pStyle w:val="ListParagraph"/>
        <w:rPr>
          <w:rFonts w:ascii="Arial" w:hAnsi="Arial"/>
          <w:sz w:val="22"/>
          <w:szCs w:val="22"/>
        </w:rPr>
      </w:pPr>
    </w:p>
    <w:p w:rsidR="005C7F46" w:rsidRPr="005F3E57" w:rsidRDefault="00FD4E6C" w:rsidP="005F3E57">
      <w:pPr>
        <w:pStyle w:val="ListParagraph"/>
        <w:numPr>
          <w:ilvl w:val="1"/>
          <w:numId w:val="1"/>
        </w:numPr>
        <w:ind w:left="720"/>
        <w:jc w:val="both"/>
        <w:rPr>
          <w:rFonts w:ascii="Arial" w:hAnsi="Arial"/>
          <w:sz w:val="22"/>
          <w:szCs w:val="22"/>
        </w:rPr>
      </w:pPr>
      <w:r w:rsidRPr="005F3E57">
        <w:rPr>
          <w:rFonts w:ascii="Arial" w:hAnsi="Arial"/>
          <w:sz w:val="22"/>
          <w:szCs w:val="22"/>
        </w:rPr>
        <w:t>T</w:t>
      </w:r>
      <w:r w:rsidR="00B03D8E" w:rsidRPr="005F3E57">
        <w:rPr>
          <w:rFonts w:ascii="Arial" w:hAnsi="Arial"/>
          <w:sz w:val="22"/>
          <w:szCs w:val="22"/>
        </w:rPr>
        <w:t xml:space="preserve">he </w:t>
      </w:r>
      <w:r w:rsidR="009B6348" w:rsidRPr="005F3E57">
        <w:rPr>
          <w:rFonts w:ascii="Arial" w:hAnsi="Arial"/>
          <w:sz w:val="22"/>
          <w:szCs w:val="22"/>
        </w:rPr>
        <w:t xml:space="preserve">PBAC </w:t>
      </w:r>
      <w:r w:rsidRPr="005F3E57">
        <w:rPr>
          <w:rFonts w:ascii="Arial" w:hAnsi="Arial"/>
          <w:sz w:val="22"/>
          <w:szCs w:val="22"/>
        </w:rPr>
        <w:t>did not accept the sponsor’s proposal to limit the number of rituximab infusions to 8 per maintenance course</w:t>
      </w:r>
      <w:r w:rsidR="00A040CD" w:rsidRPr="005F3E57">
        <w:rPr>
          <w:rFonts w:ascii="Arial" w:hAnsi="Arial"/>
          <w:sz w:val="22"/>
          <w:szCs w:val="22"/>
        </w:rPr>
        <w:t xml:space="preserve"> (3-monthly dosing) </w:t>
      </w:r>
      <w:r w:rsidRPr="005F3E57">
        <w:rPr>
          <w:rFonts w:ascii="Arial" w:hAnsi="Arial"/>
          <w:sz w:val="22"/>
          <w:szCs w:val="22"/>
        </w:rPr>
        <w:t>in the first-line setting. The PBAC</w:t>
      </w:r>
      <w:r w:rsidR="00306300" w:rsidRPr="005F3E57">
        <w:rPr>
          <w:rFonts w:ascii="Arial" w:hAnsi="Arial"/>
          <w:sz w:val="22"/>
          <w:szCs w:val="22"/>
        </w:rPr>
        <w:t xml:space="preserve"> had not seen any evidence</w:t>
      </w:r>
      <w:r w:rsidRPr="005F3E57">
        <w:rPr>
          <w:rFonts w:ascii="Arial" w:hAnsi="Arial"/>
          <w:sz w:val="22"/>
          <w:szCs w:val="22"/>
        </w:rPr>
        <w:t xml:space="preserve"> </w:t>
      </w:r>
      <w:r w:rsidR="00306300" w:rsidRPr="005F3E57">
        <w:rPr>
          <w:rFonts w:ascii="Arial" w:hAnsi="Arial"/>
          <w:sz w:val="22"/>
          <w:szCs w:val="22"/>
        </w:rPr>
        <w:t xml:space="preserve">relating 3-monthly dosing to clinical effectiveness </w:t>
      </w:r>
      <w:r w:rsidR="00A040CD" w:rsidRPr="005F3E57">
        <w:rPr>
          <w:rFonts w:ascii="Arial" w:hAnsi="Arial"/>
          <w:sz w:val="22"/>
          <w:szCs w:val="22"/>
        </w:rPr>
        <w:t>in this</w:t>
      </w:r>
      <w:r w:rsidR="00306300" w:rsidRPr="005F3E57">
        <w:rPr>
          <w:rFonts w:ascii="Arial" w:hAnsi="Arial"/>
          <w:sz w:val="22"/>
          <w:szCs w:val="22"/>
        </w:rPr>
        <w:t xml:space="preserve"> setting. Therefore the PBAC </w:t>
      </w:r>
      <w:r w:rsidR="009B6348" w:rsidRPr="005F3E57">
        <w:rPr>
          <w:rFonts w:ascii="Arial" w:hAnsi="Arial"/>
          <w:sz w:val="22"/>
          <w:szCs w:val="22"/>
        </w:rPr>
        <w:t>considered that</w:t>
      </w:r>
      <w:r w:rsidRPr="005F3E57">
        <w:rPr>
          <w:rFonts w:ascii="Arial" w:hAnsi="Arial"/>
          <w:sz w:val="22"/>
          <w:szCs w:val="22"/>
        </w:rPr>
        <w:t xml:space="preserve"> the dos</w:t>
      </w:r>
      <w:r w:rsidR="00306300" w:rsidRPr="005F3E57">
        <w:rPr>
          <w:rFonts w:ascii="Arial" w:hAnsi="Arial"/>
          <w:sz w:val="22"/>
          <w:szCs w:val="22"/>
        </w:rPr>
        <w:t>ing protocol</w:t>
      </w:r>
      <w:r w:rsidRPr="005F3E57">
        <w:rPr>
          <w:rFonts w:ascii="Arial" w:hAnsi="Arial"/>
          <w:sz w:val="22"/>
          <w:szCs w:val="22"/>
        </w:rPr>
        <w:t xml:space="preserve"> used in the </w:t>
      </w:r>
      <w:r w:rsidR="00306300" w:rsidRPr="005F3E57">
        <w:rPr>
          <w:rFonts w:ascii="Arial" w:hAnsi="Arial"/>
          <w:sz w:val="22"/>
          <w:szCs w:val="22"/>
        </w:rPr>
        <w:t xml:space="preserve">relevant </w:t>
      </w:r>
      <w:r w:rsidRPr="005F3E57">
        <w:rPr>
          <w:rFonts w:ascii="Arial" w:hAnsi="Arial"/>
          <w:sz w:val="22"/>
          <w:szCs w:val="22"/>
        </w:rPr>
        <w:t xml:space="preserve">clinical trial (PRIMA) </w:t>
      </w:r>
      <w:r w:rsidR="00306300" w:rsidRPr="005F3E57">
        <w:rPr>
          <w:rFonts w:ascii="Arial" w:hAnsi="Arial"/>
          <w:sz w:val="22"/>
          <w:szCs w:val="22"/>
        </w:rPr>
        <w:t>should be the basis for</w:t>
      </w:r>
      <w:r w:rsidR="009B6348" w:rsidRPr="005F3E57">
        <w:rPr>
          <w:rFonts w:ascii="Arial" w:hAnsi="Arial"/>
          <w:sz w:val="22"/>
          <w:szCs w:val="22"/>
        </w:rPr>
        <w:t xml:space="preserve"> the maximum number of </w:t>
      </w:r>
      <w:r w:rsidR="00306300" w:rsidRPr="005F3E57">
        <w:rPr>
          <w:rFonts w:ascii="Arial" w:hAnsi="Arial"/>
          <w:sz w:val="22"/>
          <w:szCs w:val="22"/>
        </w:rPr>
        <w:t xml:space="preserve">doses </w:t>
      </w:r>
      <w:r w:rsidR="00A040CD" w:rsidRPr="005F3E57">
        <w:rPr>
          <w:rFonts w:ascii="Arial" w:hAnsi="Arial"/>
          <w:sz w:val="22"/>
          <w:szCs w:val="22"/>
        </w:rPr>
        <w:t xml:space="preserve">in first-line maintenance </w:t>
      </w:r>
      <w:r w:rsidR="00306300" w:rsidRPr="005F3E57">
        <w:rPr>
          <w:rFonts w:ascii="Arial" w:hAnsi="Arial"/>
          <w:sz w:val="22"/>
          <w:szCs w:val="22"/>
        </w:rPr>
        <w:t xml:space="preserve">in </w:t>
      </w:r>
      <w:r w:rsidR="00A040CD" w:rsidRPr="005F3E57">
        <w:rPr>
          <w:rFonts w:ascii="Arial" w:hAnsi="Arial"/>
          <w:sz w:val="22"/>
          <w:szCs w:val="22"/>
        </w:rPr>
        <w:t xml:space="preserve">both </w:t>
      </w:r>
      <w:r w:rsidR="00306300" w:rsidRPr="005F3E57">
        <w:rPr>
          <w:rFonts w:ascii="Arial" w:hAnsi="Arial"/>
          <w:sz w:val="22"/>
          <w:szCs w:val="22"/>
        </w:rPr>
        <w:t xml:space="preserve">the economic model and </w:t>
      </w:r>
      <w:r w:rsidR="00A040CD" w:rsidRPr="005F3E57">
        <w:rPr>
          <w:rFonts w:ascii="Arial" w:hAnsi="Arial"/>
          <w:sz w:val="22"/>
          <w:szCs w:val="22"/>
        </w:rPr>
        <w:t>the PBS-listing</w:t>
      </w:r>
      <w:r w:rsidR="00306300" w:rsidRPr="005F3E57">
        <w:rPr>
          <w:rFonts w:ascii="Arial" w:hAnsi="Arial"/>
          <w:sz w:val="22"/>
          <w:szCs w:val="22"/>
        </w:rPr>
        <w:t>.</w:t>
      </w:r>
      <w:r w:rsidR="005C7F46" w:rsidRPr="005F3E57">
        <w:rPr>
          <w:rFonts w:ascii="Arial" w:hAnsi="Arial"/>
          <w:sz w:val="22"/>
          <w:szCs w:val="22"/>
        </w:rPr>
        <w:t xml:space="preserve"> </w:t>
      </w:r>
      <w:r w:rsidR="00DD3B37" w:rsidRPr="005F3E57">
        <w:rPr>
          <w:rFonts w:ascii="Arial" w:hAnsi="Arial"/>
          <w:sz w:val="22"/>
          <w:szCs w:val="22"/>
        </w:rPr>
        <w:t>L</w:t>
      </w:r>
      <w:r w:rsidR="005C7F46" w:rsidRPr="005F3E57">
        <w:rPr>
          <w:rFonts w:ascii="Arial" w:hAnsi="Arial"/>
          <w:sz w:val="22"/>
          <w:szCs w:val="22"/>
        </w:rPr>
        <w:t xml:space="preserve">isting was recommended with a maximum amount of 800mg and 11 repeats in first-line maintenance, and 7 repeats in later-line maintenance. </w:t>
      </w:r>
    </w:p>
    <w:p w:rsidR="00BB7EC3" w:rsidRPr="00BB7EC3" w:rsidRDefault="00BB7EC3" w:rsidP="00BB7EC3">
      <w:pPr>
        <w:pStyle w:val="ListParagraph"/>
        <w:rPr>
          <w:rFonts w:ascii="Arial" w:hAnsi="Arial"/>
          <w:sz w:val="22"/>
          <w:szCs w:val="22"/>
        </w:rPr>
      </w:pPr>
    </w:p>
    <w:p w:rsidR="00B81FAF" w:rsidRPr="005F3E57" w:rsidRDefault="00B81FAF"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The PBAC accepted one of the submission’s proposed changes to the economic model: to introduce a progressive </w:t>
      </w:r>
      <w:r w:rsidR="00EC4D7E" w:rsidRPr="005F3E57">
        <w:rPr>
          <w:rFonts w:ascii="Arial" w:hAnsi="Arial"/>
          <w:sz w:val="22"/>
          <w:szCs w:val="22"/>
        </w:rPr>
        <w:t xml:space="preserve">10% </w:t>
      </w:r>
      <w:r w:rsidRPr="005F3E57">
        <w:rPr>
          <w:rFonts w:ascii="Arial" w:hAnsi="Arial"/>
          <w:sz w:val="22"/>
          <w:szCs w:val="22"/>
        </w:rPr>
        <w:t xml:space="preserve">decrease in the rate and efficacy of </w:t>
      </w:r>
      <w:r w:rsidR="00DD3B37" w:rsidRPr="005F3E57">
        <w:rPr>
          <w:rFonts w:ascii="Arial" w:hAnsi="Arial"/>
          <w:sz w:val="22"/>
          <w:szCs w:val="22"/>
        </w:rPr>
        <w:t xml:space="preserve">subsequent </w:t>
      </w:r>
      <w:r w:rsidRPr="005F3E57">
        <w:rPr>
          <w:rFonts w:ascii="Arial" w:hAnsi="Arial"/>
          <w:sz w:val="22"/>
          <w:szCs w:val="22"/>
        </w:rPr>
        <w:t>re</w:t>
      </w:r>
      <w:r w:rsidRPr="005F3E57">
        <w:rPr>
          <w:rFonts w:ascii="Arial" w:hAnsi="Arial"/>
          <w:sz w:val="22"/>
          <w:szCs w:val="22"/>
        </w:rPr>
        <w:noBreakHyphen/>
        <w:t>induction</w:t>
      </w:r>
      <w:r w:rsidR="00DD3B37" w:rsidRPr="005F3E57">
        <w:rPr>
          <w:rFonts w:ascii="Arial" w:hAnsi="Arial"/>
          <w:sz w:val="22"/>
          <w:szCs w:val="22"/>
        </w:rPr>
        <w:t>s</w:t>
      </w:r>
      <w:r w:rsidR="009D07A2" w:rsidRPr="005F3E57">
        <w:rPr>
          <w:rFonts w:ascii="Arial" w:hAnsi="Arial"/>
          <w:sz w:val="22"/>
          <w:szCs w:val="22"/>
        </w:rPr>
        <w:t>. However, the PBAC did not accept the introduc</w:t>
      </w:r>
      <w:r w:rsidR="00A040CD" w:rsidRPr="005F3E57">
        <w:rPr>
          <w:rFonts w:ascii="Arial" w:hAnsi="Arial"/>
          <w:sz w:val="22"/>
          <w:szCs w:val="22"/>
        </w:rPr>
        <w:t>tion of</w:t>
      </w:r>
      <w:r w:rsidR="009D07A2" w:rsidRPr="005F3E57">
        <w:rPr>
          <w:rFonts w:ascii="Arial" w:hAnsi="Arial"/>
          <w:sz w:val="22"/>
          <w:szCs w:val="22"/>
        </w:rPr>
        <w:t xml:space="preserve"> a probability of failing salvage treatment and transitioning to palliative care, re-iterating it’s view from Mach 2014 that the review model had already sufficiently accounted for this issue.</w:t>
      </w:r>
      <w:r w:rsidRPr="005F3E57">
        <w:rPr>
          <w:rFonts w:ascii="Arial" w:hAnsi="Arial"/>
          <w:sz w:val="22"/>
          <w:szCs w:val="22"/>
        </w:rPr>
        <w:t xml:space="preserve"> The PBAC specified a base case that it considered to be the most </w:t>
      </w:r>
      <w:r w:rsidR="00126A08" w:rsidRPr="005F3E57">
        <w:rPr>
          <w:rFonts w:ascii="Arial" w:hAnsi="Arial"/>
          <w:sz w:val="22"/>
          <w:szCs w:val="22"/>
        </w:rPr>
        <w:t xml:space="preserve">plausible </w:t>
      </w:r>
      <w:r w:rsidRPr="005F3E57">
        <w:rPr>
          <w:rFonts w:ascii="Arial" w:hAnsi="Arial"/>
          <w:sz w:val="22"/>
          <w:szCs w:val="22"/>
        </w:rPr>
        <w:t>analysis for decision-making.</w:t>
      </w:r>
    </w:p>
    <w:p w:rsidR="00B81FAF" w:rsidRPr="00B81FAF" w:rsidRDefault="00B81FAF" w:rsidP="00B81FAF">
      <w:pPr>
        <w:pStyle w:val="ListParagraph"/>
        <w:rPr>
          <w:rFonts w:ascii="Arial" w:hAnsi="Arial"/>
          <w:sz w:val="22"/>
          <w:szCs w:val="22"/>
        </w:rPr>
      </w:pPr>
    </w:p>
    <w:p w:rsidR="00FB07DF" w:rsidRPr="005F3E57" w:rsidRDefault="00DD3B37"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In view of the extensive use of rituximab </w:t>
      </w:r>
      <w:r w:rsidR="00B81FAF" w:rsidRPr="005F3E57">
        <w:rPr>
          <w:rFonts w:ascii="Arial" w:hAnsi="Arial"/>
          <w:sz w:val="22"/>
          <w:szCs w:val="22"/>
        </w:rPr>
        <w:t xml:space="preserve">outside the intended restrictions, the </w:t>
      </w:r>
      <w:r w:rsidRPr="005F3E57">
        <w:rPr>
          <w:rFonts w:ascii="Arial" w:hAnsi="Arial"/>
          <w:sz w:val="22"/>
          <w:szCs w:val="22"/>
        </w:rPr>
        <w:t xml:space="preserve">PBAC noted the </w:t>
      </w:r>
      <w:r w:rsidR="00B81FAF" w:rsidRPr="005F3E57">
        <w:rPr>
          <w:rFonts w:ascii="Arial" w:hAnsi="Arial"/>
          <w:sz w:val="22"/>
          <w:szCs w:val="22"/>
        </w:rPr>
        <w:t xml:space="preserve">consequent large financial outlay that has already been spent on a medicine that </w:t>
      </w:r>
      <w:r w:rsidR="00093DDB" w:rsidRPr="005F3E57">
        <w:rPr>
          <w:rFonts w:ascii="Arial" w:hAnsi="Arial"/>
          <w:sz w:val="22"/>
          <w:szCs w:val="22"/>
        </w:rPr>
        <w:t>is</w:t>
      </w:r>
      <w:r w:rsidR="00B81FAF" w:rsidRPr="005F3E57">
        <w:rPr>
          <w:rFonts w:ascii="Arial" w:hAnsi="Arial"/>
          <w:sz w:val="22"/>
          <w:szCs w:val="22"/>
        </w:rPr>
        <w:t xml:space="preserve"> cost ineffective</w:t>
      </w:r>
      <w:r w:rsidR="00093DDB" w:rsidRPr="005F3E57">
        <w:rPr>
          <w:rFonts w:ascii="Arial" w:hAnsi="Arial"/>
          <w:sz w:val="22"/>
          <w:szCs w:val="22"/>
        </w:rPr>
        <w:t xml:space="preserve"> at the existing price</w:t>
      </w:r>
      <w:r w:rsidR="00B81FAF" w:rsidRPr="005F3E57">
        <w:rPr>
          <w:rFonts w:ascii="Arial" w:hAnsi="Arial"/>
          <w:sz w:val="22"/>
          <w:szCs w:val="22"/>
        </w:rPr>
        <w:t xml:space="preserve">. </w:t>
      </w:r>
      <w:r w:rsidR="007C2797" w:rsidRPr="005F3E57">
        <w:rPr>
          <w:rFonts w:ascii="Arial" w:hAnsi="Arial"/>
          <w:sz w:val="22"/>
          <w:szCs w:val="22"/>
        </w:rPr>
        <w:t xml:space="preserve">This use appears to be occurring under the current Authority </w:t>
      </w:r>
      <w:proofErr w:type="gramStart"/>
      <w:r w:rsidR="007C2797" w:rsidRPr="005F3E57">
        <w:rPr>
          <w:rFonts w:ascii="Arial" w:hAnsi="Arial"/>
          <w:sz w:val="22"/>
          <w:szCs w:val="22"/>
        </w:rPr>
        <w:t>Required</w:t>
      </w:r>
      <w:proofErr w:type="gramEnd"/>
      <w:r w:rsidR="007C2797" w:rsidRPr="005F3E57">
        <w:rPr>
          <w:rFonts w:ascii="Arial" w:hAnsi="Arial"/>
          <w:sz w:val="22"/>
          <w:szCs w:val="22"/>
        </w:rPr>
        <w:t xml:space="preserve"> (streamlined) restrictions intended for induction treatment in NHL.</w:t>
      </w:r>
      <w:r w:rsidR="006F61B2" w:rsidRPr="005F3E57">
        <w:rPr>
          <w:rFonts w:ascii="Arial" w:hAnsi="Arial"/>
          <w:sz w:val="22"/>
          <w:szCs w:val="22"/>
        </w:rPr>
        <w:t xml:space="preserve"> </w:t>
      </w:r>
    </w:p>
    <w:p w:rsidR="00FB07DF" w:rsidRPr="00FB07DF" w:rsidRDefault="00FB07DF" w:rsidP="00FB07DF">
      <w:pPr>
        <w:pStyle w:val="ListParagraph"/>
        <w:rPr>
          <w:rFonts w:ascii="Arial" w:hAnsi="Arial"/>
          <w:sz w:val="22"/>
          <w:szCs w:val="22"/>
        </w:rPr>
      </w:pPr>
    </w:p>
    <w:p w:rsidR="000E2EB4" w:rsidRPr="005F3E57" w:rsidRDefault="000E2EB4" w:rsidP="005F3E57">
      <w:pPr>
        <w:pStyle w:val="ListParagraph"/>
        <w:numPr>
          <w:ilvl w:val="1"/>
          <w:numId w:val="1"/>
        </w:numPr>
        <w:ind w:left="720"/>
        <w:jc w:val="both"/>
        <w:rPr>
          <w:rFonts w:ascii="Arial" w:hAnsi="Arial"/>
          <w:sz w:val="22"/>
          <w:szCs w:val="22"/>
        </w:rPr>
      </w:pPr>
      <w:r w:rsidRPr="005F3E57">
        <w:rPr>
          <w:rFonts w:ascii="Arial" w:hAnsi="Arial"/>
          <w:sz w:val="22"/>
          <w:szCs w:val="22"/>
        </w:rPr>
        <w:t>Therefore, should rituximab remain unlisted for maintenance therapy</w:t>
      </w:r>
      <w:r w:rsidRPr="005F3E57">
        <w:rPr>
          <w:rFonts w:ascii="Arial" w:hAnsi="Arial"/>
          <w:color w:val="7030A0"/>
          <w:sz w:val="22"/>
          <w:szCs w:val="22"/>
        </w:rPr>
        <w:t xml:space="preserve"> </w:t>
      </w:r>
      <w:r w:rsidRPr="005F3E57">
        <w:rPr>
          <w:rFonts w:ascii="Arial" w:hAnsi="Arial"/>
          <w:sz w:val="22"/>
          <w:szCs w:val="22"/>
        </w:rPr>
        <w:t xml:space="preserve">then </w:t>
      </w:r>
      <w:r w:rsidRPr="005F3E57">
        <w:rPr>
          <w:rFonts w:ascii="Arial" w:hAnsi="Arial" w:cs="Arial"/>
          <w:sz w:val="22"/>
          <w:szCs w:val="22"/>
        </w:rPr>
        <w:t xml:space="preserve">Authority applications for rituximab in NHL should be in writing </w:t>
      </w:r>
      <w:r w:rsidRPr="005F3E57">
        <w:rPr>
          <w:rFonts w:ascii="Arial" w:hAnsi="Arial"/>
          <w:sz w:val="22"/>
          <w:szCs w:val="22"/>
        </w:rPr>
        <w:t xml:space="preserve">to prevent leakage into maintenance </w:t>
      </w:r>
      <w:r w:rsidRPr="005F3E57">
        <w:rPr>
          <w:rFonts w:ascii="Arial" w:hAnsi="Arial"/>
          <w:sz w:val="22"/>
          <w:szCs w:val="22"/>
          <w:shd w:val="clear" w:color="auto" w:fill="FFFFFF" w:themeFill="background1"/>
        </w:rPr>
        <w:t>therapy. The</w:t>
      </w:r>
      <w:r w:rsidR="008E6F71" w:rsidRPr="005F3E57">
        <w:rPr>
          <w:rFonts w:ascii="Arial" w:hAnsi="Arial"/>
          <w:sz w:val="22"/>
          <w:szCs w:val="22"/>
          <w:shd w:val="clear" w:color="auto" w:fill="FFFFFF" w:themeFill="background1"/>
        </w:rPr>
        <w:t xml:space="preserve"> </w:t>
      </w:r>
      <w:r w:rsidRPr="005F3E57">
        <w:rPr>
          <w:rFonts w:ascii="Arial" w:hAnsi="Arial"/>
          <w:sz w:val="22"/>
          <w:szCs w:val="22"/>
          <w:shd w:val="clear" w:color="auto" w:fill="FFFFFF" w:themeFill="background1"/>
        </w:rPr>
        <w:t>PBAC considered that this change to restriction level, if required, should be accompanied by a letter from the PBAC to affected prescribers outlining the reasons for this change.</w:t>
      </w:r>
      <w:r w:rsidRPr="005F3E57">
        <w:rPr>
          <w:rFonts w:ascii="Arial" w:hAnsi="Arial"/>
          <w:sz w:val="22"/>
          <w:szCs w:val="22"/>
        </w:rPr>
        <w:t xml:space="preserve"> The PBAC considered that this amendment should occur as soon as practicable.</w:t>
      </w:r>
    </w:p>
    <w:p w:rsidR="00123F2B" w:rsidRPr="00A472A1" w:rsidRDefault="00123F2B" w:rsidP="00A472A1">
      <w:pPr>
        <w:pStyle w:val="ListParagraph"/>
        <w:rPr>
          <w:rFonts w:ascii="Arial" w:hAnsi="Arial"/>
          <w:sz w:val="22"/>
          <w:szCs w:val="22"/>
        </w:rPr>
      </w:pPr>
    </w:p>
    <w:p w:rsidR="00BB7EC3" w:rsidRPr="005F3E57" w:rsidRDefault="00BB7EC3" w:rsidP="005F3E57">
      <w:pPr>
        <w:pStyle w:val="ListParagraph"/>
        <w:numPr>
          <w:ilvl w:val="1"/>
          <w:numId w:val="1"/>
        </w:numPr>
        <w:ind w:left="720"/>
        <w:jc w:val="both"/>
        <w:rPr>
          <w:rFonts w:ascii="Arial" w:hAnsi="Arial"/>
          <w:sz w:val="22"/>
          <w:szCs w:val="22"/>
        </w:rPr>
      </w:pPr>
      <w:r w:rsidRPr="005F3E57">
        <w:rPr>
          <w:rFonts w:ascii="Arial" w:hAnsi="Arial"/>
          <w:sz w:val="22"/>
          <w:szCs w:val="22"/>
        </w:rPr>
        <w:t xml:space="preserve">The PBAC advised that </w:t>
      </w:r>
      <w:r w:rsidR="007323FB" w:rsidRPr="005F3E57">
        <w:rPr>
          <w:rFonts w:ascii="Arial" w:hAnsi="Arial"/>
          <w:sz w:val="22"/>
          <w:szCs w:val="22"/>
        </w:rPr>
        <w:t>rituximab</w:t>
      </w:r>
      <w:r w:rsidRPr="005F3E57">
        <w:rPr>
          <w:rFonts w:ascii="Arial" w:hAnsi="Arial"/>
          <w:sz w:val="22"/>
          <w:szCs w:val="22"/>
        </w:rPr>
        <w:t xml:space="preserve"> is not suitable for prescribing by </w:t>
      </w:r>
      <w:r w:rsidR="00B43E90" w:rsidRPr="005F3E57">
        <w:rPr>
          <w:rFonts w:ascii="Arial" w:hAnsi="Arial"/>
          <w:sz w:val="22"/>
          <w:szCs w:val="22"/>
        </w:rPr>
        <w:t>nurse practitioner</w:t>
      </w:r>
      <w:r w:rsidRPr="005F3E57">
        <w:rPr>
          <w:rFonts w:ascii="Arial" w:hAnsi="Arial"/>
          <w:sz w:val="22"/>
          <w:szCs w:val="22"/>
        </w:rPr>
        <w:t xml:space="preserve">s. </w:t>
      </w:r>
      <w:r w:rsidR="00B43E90" w:rsidRPr="005F3E57">
        <w:rPr>
          <w:rFonts w:ascii="Arial" w:hAnsi="Arial"/>
          <w:sz w:val="22"/>
          <w:szCs w:val="22"/>
        </w:rPr>
        <w:t xml:space="preserve"> </w:t>
      </w:r>
    </w:p>
    <w:p w:rsidR="00BB7EC3" w:rsidRPr="00BB7EC3" w:rsidRDefault="00BB7EC3" w:rsidP="00BB7EC3">
      <w:pPr>
        <w:pStyle w:val="ListParagraph"/>
        <w:rPr>
          <w:rFonts w:ascii="Arial" w:hAnsi="Arial"/>
          <w:sz w:val="22"/>
          <w:szCs w:val="22"/>
        </w:rPr>
      </w:pPr>
    </w:p>
    <w:p w:rsidR="00BB7EC3" w:rsidRPr="005F3E57" w:rsidRDefault="00BB7EC3" w:rsidP="005F3E57">
      <w:pPr>
        <w:pStyle w:val="ListParagraph"/>
        <w:numPr>
          <w:ilvl w:val="1"/>
          <w:numId w:val="1"/>
        </w:numPr>
        <w:ind w:left="720"/>
        <w:jc w:val="both"/>
        <w:rPr>
          <w:rFonts w:ascii="Arial" w:hAnsi="Arial"/>
          <w:sz w:val="22"/>
          <w:szCs w:val="22"/>
        </w:rPr>
      </w:pPr>
      <w:r w:rsidRPr="005F3E57">
        <w:rPr>
          <w:rFonts w:ascii="Arial" w:hAnsi="Arial"/>
          <w:sz w:val="22"/>
          <w:szCs w:val="22"/>
        </w:rPr>
        <w:t>The PBAC recommended that the Safety Net 20 Day Rule should not apply.</w:t>
      </w:r>
      <w:r w:rsidR="00B43E90" w:rsidRPr="005F3E57">
        <w:rPr>
          <w:rFonts w:ascii="Arial" w:hAnsi="Arial"/>
          <w:sz w:val="22"/>
          <w:szCs w:val="22"/>
        </w:rPr>
        <w:t xml:space="preserve"> </w:t>
      </w:r>
    </w:p>
    <w:p w:rsidR="00BB7EC3" w:rsidRPr="00BB7EC3" w:rsidRDefault="00BB7EC3" w:rsidP="00BB7EC3">
      <w:pPr>
        <w:pStyle w:val="ListParagraph"/>
        <w:rPr>
          <w:rFonts w:ascii="Arial" w:hAnsi="Arial"/>
          <w:sz w:val="22"/>
          <w:szCs w:val="22"/>
        </w:rPr>
      </w:pPr>
    </w:p>
    <w:p w:rsidR="00DF26A7" w:rsidRPr="005F3E57" w:rsidRDefault="00BB7EC3" w:rsidP="005F3E57">
      <w:pPr>
        <w:pStyle w:val="ListParagraph"/>
        <w:numPr>
          <w:ilvl w:val="1"/>
          <w:numId w:val="1"/>
        </w:numPr>
        <w:ind w:left="720"/>
        <w:jc w:val="both"/>
        <w:rPr>
          <w:rFonts w:ascii="Arial" w:hAnsi="Arial"/>
          <w:sz w:val="22"/>
          <w:szCs w:val="22"/>
        </w:rPr>
      </w:pPr>
      <w:r w:rsidRPr="005F3E57">
        <w:rPr>
          <w:rFonts w:ascii="Arial" w:hAnsi="Arial"/>
          <w:sz w:val="22"/>
          <w:szCs w:val="22"/>
        </w:rPr>
        <w:t>The PBA</w:t>
      </w:r>
      <w:r w:rsidR="002A0D49" w:rsidRPr="005F3E57">
        <w:rPr>
          <w:rFonts w:ascii="Arial" w:hAnsi="Arial"/>
          <w:sz w:val="22"/>
          <w:szCs w:val="22"/>
        </w:rPr>
        <w:t>C noted that this submission is</w:t>
      </w:r>
      <w:r w:rsidRPr="005F3E57">
        <w:rPr>
          <w:rFonts w:ascii="Arial" w:hAnsi="Arial"/>
          <w:sz w:val="22"/>
          <w:szCs w:val="22"/>
        </w:rPr>
        <w:t xml:space="preserve"> </w:t>
      </w:r>
      <w:r w:rsidR="002A0D49" w:rsidRPr="005F3E57">
        <w:rPr>
          <w:rFonts w:ascii="Arial" w:hAnsi="Arial"/>
          <w:sz w:val="22"/>
          <w:szCs w:val="22"/>
        </w:rPr>
        <w:t xml:space="preserve">not </w:t>
      </w:r>
      <w:r w:rsidR="00B43E90" w:rsidRPr="005F3E57">
        <w:rPr>
          <w:rFonts w:ascii="Arial" w:hAnsi="Arial"/>
          <w:sz w:val="22"/>
          <w:szCs w:val="22"/>
        </w:rPr>
        <w:t>eligibl</w:t>
      </w:r>
      <w:r w:rsidRPr="005F3E57">
        <w:rPr>
          <w:rFonts w:ascii="Arial" w:hAnsi="Arial"/>
          <w:sz w:val="22"/>
          <w:szCs w:val="22"/>
        </w:rPr>
        <w:t>e</w:t>
      </w:r>
      <w:r w:rsidR="00B43E90" w:rsidRPr="005F3E57">
        <w:rPr>
          <w:rFonts w:ascii="Arial" w:hAnsi="Arial"/>
          <w:sz w:val="22"/>
          <w:szCs w:val="22"/>
        </w:rPr>
        <w:t xml:space="preserve"> for </w:t>
      </w:r>
      <w:r w:rsidRPr="005F3E57">
        <w:rPr>
          <w:rFonts w:ascii="Arial" w:hAnsi="Arial"/>
          <w:sz w:val="22"/>
          <w:szCs w:val="22"/>
        </w:rPr>
        <w:t xml:space="preserve">an </w:t>
      </w:r>
      <w:r w:rsidR="00B43E90" w:rsidRPr="005F3E57">
        <w:rPr>
          <w:rFonts w:ascii="Arial" w:hAnsi="Arial"/>
          <w:sz w:val="22"/>
          <w:szCs w:val="22"/>
        </w:rPr>
        <w:t>Independent Review.</w:t>
      </w:r>
      <w:r w:rsidRPr="005F3E57">
        <w:rPr>
          <w:rFonts w:ascii="Arial" w:hAnsi="Arial"/>
          <w:sz w:val="22"/>
          <w:szCs w:val="22"/>
        </w:rPr>
        <w:t xml:space="preserve"> </w:t>
      </w:r>
    </w:p>
    <w:p w:rsidR="002A0D49" w:rsidRPr="002A0D49" w:rsidRDefault="002A0D49" w:rsidP="002A0D49">
      <w:pPr>
        <w:pStyle w:val="ListParagraph"/>
        <w:rPr>
          <w:rFonts w:ascii="Arial" w:hAnsi="Arial"/>
          <w:sz w:val="22"/>
          <w:szCs w:val="22"/>
        </w:rPr>
      </w:pPr>
    </w:p>
    <w:p w:rsidR="002A0D49" w:rsidRPr="00882085" w:rsidRDefault="002A0D49" w:rsidP="002A0D49">
      <w:pPr>
        <w:pStyle w:val="ListParagraph"/>
        <w:ind w:left="709"/>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86038B" w:rsidRDefault="009C703C" w:rsidP="00882085">
      <w:pPr>
        <w:jc w:val="both"/>
        <w:rPr>
          <w:rFonts w:ascii="Arial" w:hAnsi="Arial"/>
          <w:sz w:val="22"/>
          <w:szCs w:val="22"/>
        </w:rPr>
      </w:pPr>
      <w:r w:rsidRPr="00882085">
        <w:rPr>
          <w:rFonts w:ascii="Arial" w:hAnsi="Arial"/>
          <w:sz w:val="22"/>
          <w:szCs w:val="22"/>
        </w:rPr>
        <w:t xml:space="preserve">Recommended </w:t>
      </w:r>
    </w:p>
    <w:p w:rsidR="00AB7184" w:rsidRDefault="00AB7184" w:rsidP="00AB7184">
      <w:pPr>
        <w:jc w:val="both"/>
        <w:rPr>
          <w:rFonts w:ascii="Arial" w:hAnsi="Arial"/>
          <w:b/>
          <w:sz w:val="22"/>
          <w:szCs w:val="22"/>
        </w:rPr>
      </w:pPr>
    </w:p>
    <w:p w:rsidR="005F3E57" w:rsidRDefault="005F3E57" w:rsidP="00AB7184">
      <w:pPr>
        <w:jc w:val="both"/>
        <w:rPr>
          <w:rFonts w:ascii="Arial" w:hAnsi="Arial"/>
          <w:b/>
          <w:sz w:val="22"/>
          <w:szCs w:val="22"/>
        </w:rPr>
      </w:pPr>
    </w:p>
    <w:p w:rsidR="005F3E57" w:rsidRPr="00407F2D" w:rsidRDefault="005F3E57" w:rsidP="005F3E57">
      <w:pPr>
        <w:pStyle w:val="ListParagraph"/>
        <w:numPr>
          <w:ilvl w:val="0"/>
          <w:numId w:val="1"/>
        </w:numPr>
        <w:jc w:val="both"/>
        <w:rPr>
          <w:rFonts w:ascii="Arial" w:hAnsi="Arial"/>
          <w:b/>
          <w:sz w:val="22"/>
          <w:szCs w:val="22"/>
        </w:rPr>
      </w:pPr>
      <w:r w:rsidRPr="00407F2D">
        <w:rPr>
          <w:rFonts w:ascii="Arial" w:hAnsi="Arial" w:cs="Arial"/>
          <w:b/>
          <w:sz w:val="22"/>
          <w:szCs w:val="22"/>
        </w:rPr>
        <w:t>Recommended listing</w:t>
      </w:r>
    </w:p>
    <w:p w:rsidR="006906DB" w:rsidRPr="00882085" w:rsidRDefault="006906DB" w:rsidP="00343FEE">
      <w:pPr>
        <w:keepNext/>
        <w:keepLines/>
        <w:jc w:val="both"/>
        <w:rPr>
          <w:rFonts w:ascii="Arial" w:hAnsi="Arial"/>
          <w:sz w:val="22"/>
          <w:szCs w:val="22"/>
        </w:rPr>
      </w:pPr>
    </w:p>
    <w:p w:rsidR="00D0321E" w:rsidRPr="005F3E57" w:rsidRDefault="00D0321E" w:rsidP="005F3E57">
      <w:pPr>
        <w:pStyle w:val="ListParagraph"/>
        <w:numPr>
          <w:ilvl w:val="1"/>
          <w:numId w:val="1"/>
        </w:numPr>
        <w:ind w:left="720"/>
        <w:jc w:val="both"/>
        <w:rPr>
          <w:rFonts w:ascii="Arial" w:hAnsi="Arial"/>
          <w:sz w:val="22"/>
          <w:szCs w:val="22"/>
        </w:rPr>
      </w:pPr>
      <w:r w:rsidRPr="005F3E57">
        <w:rPr>
          <w:rFonts w:ascii="Arial" w:hAnsi="Arial"/>
          <w:sz w:val="22"/>
          <w:szCs w:val="22"/>
        </w:rPr>
        <w:t>Amend existing</w:t>
      </w:r>
      <w:r w:rsidR="006F381F" w:rsidRPr="005F3E57">
        <w:rPr>
          <w:rFonts w:ascii="Arial" w:hAnsi="Arial"/>
          <w:sz w:val="22"/>
          <w:szCs w:val="22"/>
        </w:rPr>
        <w:t xml:space="preserve"> and </w:t>
      </w:r>
      <w:r w:rsidRPr="005F3E57">
        <w:rPr>
          <w:rFonts w:ascii="Arial" w:hAnsi="Arial"/>
          <w:sz w:val="22"/>
          <w:szCs w:val="22"/>
        </w:rPr>
        <w:t>recommended listing</w:t>
      </w:r>
      <w:r w:rsidR="006F381F" w:rsidRPr="005F3E57">
        <w:rPr>
          <w:rFonts w:ascii="Arial" w:hAnsi="Arial"/>
          <w:sz w:val="22"/>
          <w:szCs w:val="22"/>
        </w:rPr>
        <w:t>s</w:t>
      </w:r>
      <w:r w:rsidRPr="005F3E57">
        <w:rPr>
          <w:rFonts w:ascii="Arial" w:hAnsi="Arial"/>
          <w:sz w:val="22"/>
          <w:szCs w:val="22"/>
        </w:rPr>
        <w:t xml:space="preserve"> as follows:</w:t>
      </w:r>
    </w:p>
    <w:p w:rsidR="00D0321E" w:rsidRPr="00882085" w:rsidRDefault="00D0321E" w:rsidP="005F3E57"/>
    <w:p w:rsidR="00343FEE" w:rsidRDefault="00343FEE" w:rsidP="00343FEE">
      <w:pPr>
        <w:keepNext/>
        <w:keepLines/>
        <w:rPr>
          <w:rFonts w:ascii="Arial" w:hAnsi="Arial"/>
          <w:b/>
          <w:sz w:val="22"/>
          <w:szCs w:val="22"/>
          <w:u w:val="single"/>
        </w:rPr>
      </w:pPr>
      <w:r>
        <w:rPr>
          <w:rFonts w:ascii="Arial" w:hAnsi="Arial"/>
          <w:b/>
          <w:sz w:val="22"/>
          <w:szCs w:val="22"/>
          <w:u w:val="single"/>
        </w:rPr>
        <w:t>New listing: m</w:t>
      </w:r>
      <w:r w:rsidRPr="00343FEE">
        <w:rPr>
          <w:rFonts w:ascii="Arial" w:hAnsi="Arial"/>
          <w:b/>
          <w:sz w:val="22"/>
          <w:szCs w:val="22"/>
          <w:u w:val="single"/>
        </w:rPr>
        <w:t>aintenance therapy for previously untreated follicular lymphoma:</w:t>
      </w:r>
    </w:p>
    <w:p w:rsidR="00912E98" w:rsidRPr="00343FEE" w:rsidRDefault="00912E98" w:rsidP="00343FEE">
      <w:pPr>
        <w:keepNext/>
        <w:keepLines/>
        <w:rPr>
          <w:rFonts w:ascii="Arial" w:hAnsi="Arial"/>
          <w:b/>
          <w:sz w:val="22"/>
          <w:szCs w:val="22"/>
          <w:u w:val="single"/>
        </w:rPr>
      </w:pPr>
    </w:p>
    <w:tbl>
      <w:tblPr>
        <w:tblW w:w="9214" w:type="dxa"/>
        <w:tblInd w:w="108" w:type="dxa"/>
        <w:tblLayout w:type="fixed"/>
        <w:tblLook w:val="0000" w:firstRow="0" w:lastRow="0" w:firstColumn="0" w:lastColumn="0" w:noHBand="0" w:noVBand="0"/>
        <w:tblDescription w:val="rituximab listing"/>
      </w:tblPr>
      <w:tblGrid>
        <w:gridCol w:w="1985"/>
        <w:gridCol w:w="1276"/>
        <w:gridCol w:w="992"/>
        <w:gridCol w:w="850"/>
        <w:gridCol w:w="1701"/>
        <w:gridCol w:w="1559"/>
        <w:gridCol w:w="851"/>
      </w:tblGrid>
      <w:tr w:rsidR="00912E98" w:rsidRPr="00912E98" w:rsidTr="00A43175">
        <w:trPr>
          <w:cantSplit/>
          <w:trHeight w:val="471"/>
        </w:trPr>
        <w:tc>
          <w:tcPr>
            <w:tcW w:w="3261" w:type="dxa"/>
            <w:gridSpan w:val="2"/>
            <w:tcBorders>
              <w:bottom w:val="single" w:sz="4" w:space="0" w:color="auto"/>
            </w:tcBorders>
          </w:tcPr>
          <w:p w:rsidR="00912E98" w:rsidRPr="00912E98" w:rsidRDefault="00912E98" w:rsidP="00912E98">
            <w:pPr>
              <w:keepNext/>
              <w:ind w:left="-108"/>
              <w:jc w:val="both"/>
              <w:rPr>
                <w:rFonts w:ascii="Arial" w:hAnsi="Arial"/>
                <w:sz w:val="20"/>
                <w:lang w:val="en-US" w:eastAsia="en-US"/>
              </w:rPr>
            </w:pPr>
            <w:r w:rsidRPr="00912E98">
              <w:rPr>
                <w:rFonts w:ascii="Arial" w:hAnsi="Arial"/>
                <w:sz w:val="20"/>
                <w:lang w:val="en-US" w:eastAsia="en-US"/>
              </w:rPr>
              <w:t>Name, Restriction,</w:t>
            </w:r>
          </w:p>
          <w:p w:rsidR="00912E98" w:rsidRPr="00912E98" w:rsidRDefault="00912E98" w:rsidP="00912E98">
            <w:pPr>
              <w:keepNext/>
              <w:ind w:left="-108"/>
              <w:jc w:val="both"/>
              <w:rPr>
                <w:rFonts w:ascii="Arial" w:hAnsi="Arial"/>
                <w:sz w:val="20"/>
                <w:lang w:val="en-US" w:eastAsia="en-US"/>
              </w:rPr>
            </w:pPr>
            <w:r w:rsidRPr="00912E98">
              <w:rPr>
                <w:rFonts w:ascii="Arial" w:hAnsi="Arial"/>
                <w:sz w:val="20"/>
                <w:lang w:val="en-US" w:eastAsia="en-US"/>
              </w:rPr>
              <w:t>Manner of administration and form</w:t>
            </w:r>
          </w:p>
        </w:tc>
        <w:tc>
          <w:tcPr>
            <w:tcW w:w="992" w:type="dxa"/>
            <w:tcBorders>
              <w:bottom w:val="single" w:sz="4" w:space="0" w:color="auto"/>
            </w:tcBorders>
          </w:tcPr>
          <w:p w:rsidR="00912E98" w:rsidRPr="00912E98" w:rsidRDefault="00912E98" w:rsidP="00912E98">
            <w:pPr>
              <w:keepNext/>
              <w:ind w:left="-108"/>
              <w:jc w:val="both"/>
              <w:rPr>
                <w:rFonts w:ascii="Arial" w:hAnsi="Arial"/>
                <w:sz w:val="20"/>
                <w:lang w:val="en-US" w:eastAsia="en-US"/>
              </w:rPr>
            </w:pPr>
            <w:r w:rsidRPr="00912E98">
              <w:rPr>
                <w:rFonts w:ascii="Arial" w:hAnsi="Arial"/>
                <w:sz w:val="20"/>
                <w:lang w:val="en-US" w:eastAsia="en-US"/>
              </w:rPr>
              <w:t>Max.</w:t>
            </w:r>
          </w:p>
          <w:p w:rsidR="00912E98" w:rsidRPr="00912E98" w:rsidRDefault="00912E98" w:rsidP="00912E98">
            <w:pPr>
              <w:keepNext/>
              <w:ind w:left="-108"/>
              <w:jc w:val="both"/>
              <w:rPr>
                <w:rFonts w:ascii="Arial" w:hAnsi="Arial"/>
                <w:sz w:val="20"/>
                <w:lang w:val="en-US" w:eastAsia="en-US"/>
              </w:rPr>
            </w:pPr>
            <w:proofErr w:type="spellStart"/>
            <w:r w:rsidRPr="00912E98">
              <w:rPr>
                <w:rFonts w:ascii="Arial" w:hAnsi="Arial"/>
                <w:sz w:val="20"/>
                <w:lang w:val="en-US" w:eastAsia="en-US"/>
              </w:rPr>
              <w:t>Amt</w:t>
            </w:r>
            <w:proofErr w:type="spellEnd"/>
          </w:p>
        </w:tc>
        <w:tc>
          <w:tcPr>
            <w:tcW w:w="850" w:type="dxa"/>
            <w:tcBorders>
              <w:bottom w:val="single" w:sz="4" w:space="0" w:color="auto"/>
            </w:tcBorders>
          </w:tcPr>
          <w:p w:rsidR="00912E98" w:rsidRPr="00912E98" w:rsidRDefault="00912E98" w:rsidP="00912E98">
            <w:pPr>
              <w:keepNext/>
              <w:ind w:left="-108"/>
              <w:jc w:val="both"/>
              <w:rPr>
                <w:rFonts w:ascii="Arial" w:hAnsi="Arial"/>
                <w:sz w:val="20"/>
                <w:lang w:val="en-US" w:eastAsia="en-US"/>
              </w:rPr>
            </w:pPr>
            <w:r w:rsidRPr="00912E98">
              <w:rPr>
                <w:rFonts w:ascii="Arial" w:hAnsi="Arial"/>
                <w:sz w:val="20"/>
                <w:lang w:val="en-US" w:eastAsia="en-US"/>
              </w:rPr>
              <w:t>№.of</w:t>
            </w:r>
          </w:p>
          <w:p w:rsidR="00912E98" w:rsidRPr="00912E98" w:rsidRDefault="00912E98" w:rsidP="00912E98">
            <w:pPr>
              <w:keepNext/>
              <w:ind w:left="-108"/>
              <w:jc w:val="both"/>
              <w:rPr>
                <w:rFonts w:ascii="Arial" w:hAnsi="Arial"/>
                <w:sz w:val="20"/>
                <w:lang w:val="en-US" w:eastAsia="en-US"/>
              </w:rPr>
            </w:pPr>
            <w:proofErr w:type="spellStart"/>
            <w:r w:rsidRPr="00912E98">
              <w:rPr>
                <w:rFonts w:ascii="Arial" w:hAnsi="Arial"/>
                <w:sz w:val="20"/>
                <w:lang w:val="en-US" w:eastAsia="en-US"/>
              </w:rPr>
              <w:t>Rpts</w:t>
            </w:r>
            <w:proofErr w:type="spellEnd"/>
          </w:p>
        </w:tc>
        <w:tc>
          <w:tcPr>
            <w:tcW w:w="1701" w:type="dxa"/>
            <w:tcBorders>
              <w:bottom w:val="single" w:sz="4" w:space="0" w:color="auto"/>
            </w:tcBorders>
          </w:tcPr>
          <w:p w:rsidR="00912E98" w:rsidRPr="00912E98" w:rsidRDefault="00912E98" w:rsidP="00912E98">
            <w:pPr>
              <w:keepNext/>
              <w:ind w:left="-108"/>
              <w:jc w:val="both"/>
              <w:rPr>
                <w:rFonts w:ascii="Arial" w:hAnsi="Arial"/>
                <w:sz w:val="20"/>
                <w:lang w:val="en-US" w:eastAsia="en-US"/>
              </w:rPr>
            </w:pPr>
          </w:p>
        </w:tc>
        <w:tc>
          <w:tcPr>
            <w:tcW w:w="2410" w:type="dxa"/>
            <w:gridSpan w:val="2"/>
            <w:tcBorders>
              <w:bottom w:val="single" w:sz="4" w:space="0" w:color="auto"/>
            </w:tcBorders>
          </w:tcPr>
          <w:p w:rsidR="00912E98" w:rsidRPr="00912E98" w:rsidRDefault="00912E98" w:rsidP="00912E98">
            <w:pPr>
              <w:keepNext/>
              <w:jc w:val="both"/>
              <w:rPr>
                <w:rFonts w:ascii="Arial" w:hAnsi="Arial"/>
                <w:sz w:val="20"/>
                <w:lang w:val="fr-FR" w:eastAsia="en-US"/>
              </w:rPr>
            </w:pPr>
          </w:p>
        </w:tc>
      </w:tr>
      <w:tr w:rsidR="00912E98" w:rsidRPr="00912E98" w:rsidTr="00A43175">
        <w:trPr>
          <w:cantSplit/>
          <w:trHeight w:val="577"/>
        </w:trPr>
        <w:tc>
          <w:tcPr>
            <w:tcW w:w="3261" w:type="dxa"/>
            <w:gridSpan w:val="2"/>
          </w:tcPr>
          <w:p w:rsidR="00912E98" w:rsidRPr="00912E98" w:rsidRDefault="00912E98" w:rsidP="00912E98">
            <w:pPr>
              <w:keepNext/>
              <w:ind w:left="-108"/>
              <w:jc w:val="both"/>
              <w:rPr>
                <w:rFonts w:ascii="Arial" w:hAnsi="Arial"/>
                <w:smallCaps/>
                <w:sz w:val="20"/>
                <w:szCs w:val="20"/>
                <w:lang w:val="en-US" w:eastAsia="en-US"/>
              </w:rPr>
            </w:pPr>
            <w:r w:rsidRPr="00912E98">
              <w:rPr>
                <w:rFonts w:ascii="Arial" w:hAnsi="Arial"/>
                <w:smallCaps/>
                <w:sz w:val="20"/>
                <w:szCs w:val="20"/>
                <w:lang w:val="en-US" w:eastAsia="en-US"/>
              </w:rPr>
              <w:t>Rituximab</w:t>
            </w:r>
          </w:p>
          <w:p w:rsidR="00912E98" w:rsidRPr="00912E98" w:rsidRDefault="00912E98" w:rsidP="00912E98">
            <w:pPr>
              <w:keepNext/>
              <w:ind w:left="-108"/>
              <w:jc w:val="both"/>
              <w:rPr>
                <w:rFonts w:ascii="Arial" w:hAnsi="Arial"/>
                <w:sz w:val="20"/>
                <w:szCs w:val="20"/>
                <w:lang w:val="en-US" w:eastAsia="en-US"/>
              </w:rPr>
            </w:pPr>
          </w:p>
          <w:p w:rsidR="00912E98" w:rsidRPr="00912E98" w:rsidRDefault="00912E98" w:rsidP="00912E98">
            <w:pPr>
              <w:keepNext/>
              <w:ind w:left="-108"/>
              <w:jc w:val="both"/>
              <w:rPr>
                <w:rFonts w:ascii="Arial" w:hAnsi="Arial"/>
                <w:sz w:val="20"/>
                <w:lang w:val="en-US" w:eastAsia="en-US"/>
              </w:rPr>
            </w:pPr>
            <w:r w:rsidRPr="00912E98">
              <w:rPr>
                <w:rFonts w:ascii="Arial" w:hAnsi="Arial"/>
                <w:sz w:val="20"/>
                <w:lang w:val="en-US" w:eastAsia="en-US"/>
              </w:rPr>
              <w:t>Injection</w:t>
            </w:r>
          </w:p>
        </w:tc>
        <w:tc>
          <w:tcPr>
            <w:tcW w:w="992" w:type="dxa"/>
          </w:tcPr>
          <w:p w:rsidR="00912E98" w:rsidRPr="00912E98" w:rsidRDefault="00912E98" w:rsidP="00912E98">
            <w:pPr>
              <w:keepNext/>
              <w:ind w:left="-108"/>
              <w:jc w:val="both"/>
              <w:rPr>
                <w:rFonts w:ascii="Arial" w:hAnsi="Arial"/>
                <w:sz w:val="20"/>
                <w:lang w:val="en-US" w:eastAsia="en-US"/>
              </w:rPr>
            </w:pPr>
          </w:p>
          <w:p w:rsidR="00912E98" w:rsidRPr="00912E98" w:rsidRDefault="00912E98" w:rsidP="00912E98">
            <w:pPr>
              <w:keepNext/>
              <w:ind w:left="-108"/>
              <w:jc w:val="both"/>
              <w:rPr>
                <w:rFonts w:ascii="Arial" w:hAnsi="Arial"/>
                <w:sz w:val="20"/>
                <w:lang w:val="en-US" w:eastAsia="en-US"/>
              </w:rPr>
            </w:pPr>
          </w:p>
          <w:p w:rsidR="00912E98" w:rsidRPr="00912E98" w:rsidRDefault="00912E98" w:rsidP="00912E98">
            <w:pPr>
              <w:keepNext/>
              <w:ind w:left="-108"/>
              <w:jc w:val="both"/>
              <w:rPr>
                <w:rFonts w:ascii="Arial" w:hAnsi="Arial"/>
                <w:sz w:val="20"/>
                <w:lang w:val="en-US" w:eastAsia="en-US"/>
              </w:rPr>
            </w:pPr>
            <w:r w:rsidRPr="00912E98">
              <w:rPr>
                <w:rFonts w:ascii="Arial" w:hAnsi="Arial"/>
                <w:sz w:val="20"/>
                <w:lang w:val="en-US" w:eastAsia="en-US"/>
              </w:rPr>
              <w:t>800 mg</w:t>
            </w:r>
          </w:p>
        </w:tc>
        <w:tc>
          <w:tcPr>
            <w:tcW w:w="850" w:type="dxa"/>
          </w:tcPr>
          <w:p w:rsidR="00912E98" w:rsidRPr="00912E98" w:rsidRDefault="00912E98" w:rsidP="00912E98">
            <w:pPr>
              <w:keepNext/>
              <w:ind w:left="-108"/>
              <w:jc w:val="both"/>
              <w:rPr>
                <w:rFonts w:ascii="Arial" w:hAnsi="Arial"/>
                <w:sz w:val="20"/>
                <w:lang w:val="en-US" w:eastAsia="en-US"/>
              </w:rPr>
            </w:pPr>
          </w:p>
          <w:p w:rsidR="00912E98" w:rsidRPr="00912E98" w:rsidRDefault="00912E98" w:rsidP="00912E98">
            <w:pPr>
              <w:keepNext/>
              <w:ind w:left="-108"/>
              <w:jc w:val="both"/>
              <w:rPr>
                <w:rFonts w:ascii="Arial" w:hAnsi="Arial"/>
                <w:sz w:val="20"/>
                <w:lang w:val="en-US" w:eastAsia="en-US"/>
              </w:rPr>
            </w:pPr>
          </w:p>
          <w:p w:rsidR="00912E98" w:rsidRPr="00912E98" w:rsidRDefault="00912E98" w:rsidP="00912E98">
            <w:pPr>
              <w:keepNext/>
              <w:ind w:left="-108"/>
              <w:jc w:val="both"/>
              <w:rPr>
                <w:rFonts w:ascii="Arial" w:hAnsi="Arial"/>
                <w:sz w:val="20"/>
                <w:lang w:val="en-US" w:eastAsia="en-US"/>
              </w:rPr>
            </w:pPr>
            <w:r w:rsidRPr="00912E98">
              <w:rPr>
                <w:rFonts w:ascii="Arial" w:hAnsi="Arial"/>
                <w:sz w:val="20"/>
                <w:lang w:val="en-US" w:eastAsia="en-US"/>
              </w:rPr>
              <w:t>11</w:t>
            </w:r>
          </w:p>
        </w:tc>
        <w:tc>
          <w:tcPr>
            <w:tcW w:w="1701" w:type="dxa"/>
          </w:tcPr>
          <w:p w:rsidR="00912E98" w:rsidRPr="00912E98" w:rsidRDefault="00912E98" w:rsidP="00912E98">
            <w:pPr>
              <w:keepNext/>
              <w:ind w:left="-108"/>
              <w:jc w:val="both"/>
              <w:rPr>
                <w:rFonts w:ascii="Arial" w:hAnsi="Arial"/>
                <w:sz w:val="20"/>
                <w:lang w:val="en-US" w:eastAsia="en-US"/>
              </w:rPr>
            </w:pPr>
          </w:p>
        </w:tc>
        <w:tc>
          <w:tcPr>
            <w:tcW w:w="1559" w:type="dxa"/>
          </w:tcPr>
          <w:p w:rsidR="00912E98" w:rsidRPr="00912E98" w:rsidRDefault="00912E98" w:rsidP="00912E98">
            <w:pPr>
              <w:keepNext/>
              <w:jc w:val="both"/>
              <w:rPr>
                <w:rFonts w:ascii="Arial" w:hAnsi="Arial"/>
                <w:sz w:val="20"/>
                <w:lang w:val="en-US" w:eastAsia="en-US"/>
              </w:rPr>
            </w:pPr>
          </w:p>
        </w:tc>
        <w:tc>
          <w:tcPr>
            <w:tcW w:w="851" w:type="dxa"/>
          </w:tcPr>
          <w:p w:rsidR="00912E98" w:rsidRPr="00912E98" w:rsidRDefault="00912E98" w:rsidP="00912E98">
            <w:pPr>
              <w:keepNext/>
              <w:jc w:val="both"/>
              <w:rPr>
                <w:rFonts w:ascii="Arial" w:hAnsi="Arial"/>
                <w:sz w:val="20"/>
                <w:lang w:val="en-US" w:eastAsia="en-US"/>
              </w:rPr>
            </w:pPr>
          </w:p>
        </w:tc>
      </w:tr>
      <w:tr w:rsidR="00912E98" w:rsidRPr="00912E98" w:rsidTr="00A43175">
        <w:trPr>
          <w:cantSplit/>
          <w:trHeight w:val="360"/>
        </w:trPr>
        <w:tc>
          <w:tcPr>
            <w:tcW w:w="9214" w:type="dxa"/>
            <w:gridSpan w:val="7"/>
            <w:tcBorders>
              <w:bottom w:val="single" w:sz="4" w:space="0" w:color="auto"/>
            </w:tcBorders>
          </w:tcPr>
          <w:p w:rsidR="00912E98" w:rsidRPr="00912E98" w:rsidRDefault="00912E98" w:rsidP="00912E98">
            <w:pPr>
              <w:jc w:val="both"/>
              <w:rPr>
                <w:rFonts w:ascii="Arial" w:hAnsi="Arial"/>
                <w:sz w:val="20"/>
                <w:lang w:val="en-US" w:eastAsia="en-US"/>
              </w:rPr>
            </w:pPr>
          </w:p>
          <w:p w:rsidR="00912E98" w:rsidRPr="00912E98" w:rsidRDefault="00912E98" w:rsidP="00912E98">
            <w:pPr>
              <w:jc w:val="both"/>
              <w:rPr>
                <w:rFonts w:ascii="Arial" w:hAnsi="Arial"/>
                <w:sz w:val="20"/>
                <w:lang w:val="en-US" w:eastAsia="en-US"/>
              </w:rPr>
            </w:pPr>
            <w:r w:rsidRPr="00912E98">
              <w:rPr>
                <w:rFonts w:ascii="Arial" w:hAnsi="Arial"/>
                <w:sz w:val="20"/>
                <w:lang w:val="en-US" w:eastAsia="en-US"/>
              </w:rPr>
              <w:t>Available brands:</w:t>
            </w:r>
          </w:p>
          <w:p w:rsidR="00912E98" w:rsidRPr="00912E98" w:rsidRDefault="00912E98" w:rsidP="00912E98">
            <w:pPr>
              <w:jc w:val="both"/>
              <w:rPr>
                <w:rFonts w:ascii="Arial" w:hAnsi="Arial"/>
                <w:sz w:val="20"/>
                <w:lang w:val="en-US" w:eastAsia="en-US"/>
              </w:rPr>
            </w:pPr>
            <w:proofErr w:type="spellStart"/>
            <w:r w:rsidRPr="00912E98">
              <w:rPr>
                <w:rFonts w:ascii="Arial" w:hAnsi="Arial"/>
                <w:sz w:val="20"/>
                <w:lang w:val="en-US" w:eastAsia="en-US"/>
              </w:rPr>
              <w:t>Mabthera</w:t>
            </w:r>
            <w:proofErr w:type="spellEnd"/>
          </w:p>
          <w:p w:rsidR="00912E98" w:rsidRPr="00912E98" w:rsidRDefault="00912E98" w:rsidP="00912E98">
            <w:pPr>
              <w:jc w:val="both"/>
              <w:rPr>
                <w:rFonts w:ascii="Arial" w:hAnsi="Arial"/>
                <w:sz w:val="20"/>
                <w:lang w:val="en-US" w:eastAsia="en-US"/>
              </w:rPr>
            </w:pPr>
            <w:r w:rsidRPr="00912E98">
              <w:rPr>
                <w:rFonts w:ascii="Arial" w:hAnsi="Arial"/>
                <w:sz w:val="20"/>
                <w:lang w:val="en-US" w:eastAsia="en-US"/>
              </w:rPr>
              <w:t xml:space="preserve">(rituximab 100 mg/10 mL injection, 2 x 10 mL vials)  </w:t>
            </w:r>
          </w:p>
          <w:p w:rsidR="00912E98" w:rsidRPr="00912E98" w:rsidRDefault="00912E98" w:rsidP="00912E98">
            <w:pPr>
              <w:jc w:val="both"/>
              <w:rPr>
                <w:rFonts w:ascii="Arial" w:hAnsi="Arial"/>
                <w:sz w:val="20"/>
                <w:lang w:val="en-US" w:eastAsia="en-US"/>
              </w:rPr>
            </w:pPr>
            <w:proofErr w:type="spellStart"/>
            <w:r w:rsidRPr="00912E98">
              <w:rPr>
                <w:rFonts w:ascii="Arial" w:hAnsi="Arial"/>
                <w:sz w:val="20"/>
                <w:lang w:val="en-US" w:eastAsia="en-US"/>
              </w:rPr>
              <w:t>Mabthera</w:t>
            </w:r>
            <w:proofErr w:type="spellEnd"/>
          </w:p>
          <w:p w:rsidR="00912E98" w:rsidRPr="00912E98" w:rsidRDefault="00912E98" w:rsidP="00912E98">
            <w:pPr>
              <w:jc w:val="both"/>
              <w:rPr>
                <w:rFonts w:ascii="Arial" w:hAnsi="Arial"/>
                <w:sz w:val="20"/>
                <w:lang w:val="en-US" w:eastAsia="en-US"/>
              </w:rPr>
            </w:pPr>
            <w:r w:rsidRPr="00912E98">
              <w:rPr>
                <w:rFonts w:ascii="Arial" w:hAnsi="Arial"/>
                <w:sz w:val="20"/>
                <w:lang w:val="en-US" w:eastAsia="en-US"/>
              </w:rPr>
              <w:t>(rituximab 500 mg/50 mL injection, 1 x 50 mL vial)</w:t>
            </w:r>
          </w:p>
          <w:p w:rsidR="00912E98" w:rsidRPr="00912E98" w:rsidRDefault="00912E98" w:rsidP="00912E98">
            <w:pPr>
              <w:jc w:val="both"/>
              <w:rPr>
                <w:rFonts w:ascii="Arial" w:hAnsi="Arial"/>
                <w:sz w:val="20"/>
                <w:lang w:val="en-US" w:eastAsia="en-US"/>
              </w:rPr>
            </w:pPr>
          </w:p>
        </w:tc>
      </w:tr>
      <w:tr w:rsidR="00912E98" w:rsidRPr="00912E98"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2E98" w:rsidRPr="00912E98" w:rsidRDefault="00912E98" w:rsidP="00912E98">
            <w:pPr>
              <w:jc w:val="both"/>
              <w:rPr>
                <w:rFonts w:ascii="Arial Narrow" w:hAnsi="Arial Narrow" w:cs="Arial"/>
                <w:b/>
                <w:sz w:val="22"/>
                <w:szCs w:val="22"/>
                <w:lang w:val="en-US" w:eastAsia="en-US"/>
              </w:rPr>
            </w:pPr>
            <w:r w:rsidRPr="00912E98">
              <w:rPr>
                <w:rFonts w:ascii="Arial Narrow" w:hAnsi="Arial Narrow" w:cs="Arial"/>
                <w:b/>
                <w:sz w:val="22"/>
                <w:szCs w:val="22"/>
                <w:lang w:val="en-US" w:eastAsia="en-US"/>
              </w:rPr>
              <w:t>Category/Program</w:t>
            </w:r>
          </w:p>
        </w:tc>
        <w:tc>
          <w:tcPr>
            <w:tcW w:w="7229" w:type="dxa"/>
            <w:gridSpan w:val="6"/>
            <w:tcBorders>
              <w:top w:val="single" w:sz="4" w:space="0" w:color="auto"/>
              <w:left w:val="single" w:sz="4" w:space="0" w:color="auto"/>
              <w:bottom w:val="single" w:sz="4" w:space="0" w:color="auto"/>
              <w:right w:val="single" w:sz="4" w:space="0" w:color="auto"/>
            </w:tcBorders>
          </w:tcPr>
          <w:p w:rsidR="00912E98" w:rsidRPr="00912E98" w:rsidRDefault="00912E98" w:rsidP="00912E98">
            <w:pPr>
              <w:rPr>
                <w:rFonts w:ascii="Arial Narrow" w:hAnsi="Arial Narrow"/>
                <w:sz w:val="22"/>
                <w:szCs w:val="22"/>
                <w:lang w:val="en-US" w:eastAsia="en-US"/>
              </w:rPr>
            </w:pPr>
            <w:r w:rsidRPr="00912E98">
              <w:rPr>
                <w:rFonts w:ascii="Arial Narrow" w:hAnsi="Arial Narrow"/>
                <w:sz w:val="22"/>
                <w:szCs w:val="22"/>
                <w:lang w:val="en-US" w:eastAsia="en-US"/>
              </w:rPr>
              <w:t>Chemotherapy items for Public/Private Hospital Use</w:t>
            </w:r>
          </w:p>
        </w:tc>
      </w:tr>
      <w:tr w:rsidR="00912E98" w:rsidRPr="00912E98"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2E98" w:rsidRPr="00912E98" w:rsidRDefault="00912E98" w:rsidP="00912E98">
            <w:pPr>
              <w:jc w:val="both"/>
              <w:rPr>
                <w:rFonts w:ascii="Arial Narrow" w:hAnsi="Arial Narrow" w:cs="Arial"/>
                <w:b/>
                <w:sz w:val="22"/>
                <w:szCs w:val="22"/>
                <w:lang w:val="en-US" w:eastAsia="en-US"/>
              </w:rPr>
            </w:pPr>
            <w:proofErr w:type="spellStart"/>
            <w:r w:rsidRPr="00912E98">
              <w:rPr>
                <w:rFonts w:ascii="Arial Narrow" w:hAnsi="Arial Narrow" w:cs="Arial"/>
                <w:b/>
                <w:sz w:val="22"/>
                <w:szCs w:val="22"/>
                <w:lang w:val="en-US" w:eastAsia="en-US"/>
              </w:rPr>
              <w:t>Episodicity</w:t>
            </w:r>
            <w:proofErr w:type="spellEnd"/>
            <w:r w:rsidRPr="00912E98">
              <w:rPr>
                <w:rFonts w:ascii="Arial Narrow" w:hAnsi="Arial Narrow" w:cs="Arial"/>
                <w:b/>
                <w:sz w:val="22"/>
                <w:szCs w:val="22"/>
                <w:lang w:val="en-US" w:eastAsia="en-US"/>
              </w:rPr>
              <w:t>:</w:t>
            </w:r>
          </w:p>
        </w:tc>
        <w:tc>
          <w:tcPr>
            <w:tcW w:w="7229" w:type="dxa"/>
            <w:gridSpan w:val="6"/>
            <w:tcBorders>
              <w:top w:val="single" w:sz="4" w:space="0" w:color="auto"/>
              <w:left w:val="single" w:sz="4" w:space="0" w:color="auto"/>
              <w:bottom w:val="single" w:sz="4" w:space="0" w:color="auto"/>
              <w:right w:val="single" w:sz="4" w:space="0" w:color="auto"/>
            </w:tcBorders>
          </w:tcPr>
          <w:p w:rsidR="00912E98" w:rsidRPr="00912E98" w:rsidRDefault="00912E98" w:rsidP="00912E98">
            <w:pPr>
              <w:rPr>
                <w:rFonts w:ascii="Arial Narrow" w:hAnsi="Arial Narrow"/>
                <w:sz w:val="22"/>
                <w:szCs w:val="22"/>
                <w:lang w:val="en-US" w:eastAsia="en-US"/>
              </w:rPr>
            </w:pPr>
          </w:p>
        </w:tc>
      </w:tr>
      <w:tr w:rsidR="00912E98" w:rsidRPr="00912E98"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2E98" w:rsidRPr="00912E98" w:rsidRDefault="00912E98" w:rsidP="00912E98">
            <w:pPr>
              <w:jc w:val="both"/>
              <w:rPr>
                <w:rFonts w:ascii="Arial Narrow" w:hAnsi="Arial Narrow" w:cs="Arial"/>
                <w:b/>
                <w:sz w:val="22"/>
                <w:szCs w:val="22"/>
                <w:lang w:val="en-US" w:eastAsia="en-US"/>
              </w:rPr>
            </w:pPr>
            <w:r w:rsidRPr="00912E98">
              <w:rPr>
                <w:rFonts w:ascii="Arial Narrow" w:hAnsi="Arial Narrow" w:cs="Arial"/>
                <w:b/>
                <w:sz w:val="22"/>
                <w:szCs w:val="22"/>
                <w:lang w:val="en-US" w:eastAsia="en-US"/>
              </w:rPr>
              <w:t>Severity:</w:t>
            </w:r>
          </w:p>
        </w:tc>
        <w:tc>
          <w:tcPr>
            <w:tcW w:w="7229" w:type="dxa"/>
            <w:gridSpan w:val="6"/>
            <w:tcBorders>
              <w:top w:val="single" w:sz="4" w:space="0" w:color="auto"/>
              <w:left w:val="single" w:sz="4" w:space="0" w:color="auto"/>
              <w:bottom w:val="single" w:sz="4" w:space="0" w:color="auto"/>
              <w:right w:val="single" w:sz="4" w:space="0" w:color="auto"/>
            </w:tcBorders>
          </w:tcPr>
          <w:p w:rsidR="00912E98" w:rsidRPr="00912E98" w:rsidRDefault="00912E98" w:rsidP="00912E98">
            <w:pPr>
              <w:rPr>
                <w:rFonts w:ascii="Arial Narrow" w:hAnsi="Arial Narrow"/>
                <w:sz w:val="22"/>
                <w:szCs w:val="22"/>
                <w:lang w:val="en-US" w:eastAsia="en-US"/>
              </w:rPr>
            </w:pPr>
            <w:r w:rsidRPr="00912E98">
              <w:rPr>
                <w:rFonts w:ascii="Arial Narrow" w:hAnsi="Arial Narrow"/>
                <w:sz w:val="22"/>
                <w:szCs w:val="22"/>
                <w:lang w:val="en-US" w:eastAsia="en-US"/>
              </w:rPr>
              <w:t xml:space="preserve">Stage III or IV </w:t>
            </w:r>
          </w:p>
        </w:tc>
      </w:tr>
      <w:tr w:rsidR="00912E98" w:rsidRPr="00912E98"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2E98" w:rsidRPr="00912E98" w:rsidRDefault="00912E98" w:rsidP="00912E98">
            <w:pPr>
              <w:jc w:val="both"/>
              <w:rPr>
                <w:rFonts w:ascii="Arial Narrow" w:hAnsi="Arial Narrow" w:cs="Arial"/>
                <w:b/>
                <w:sz w:val="22"/>
                <w:szCs w:val="22"/>
                <w:lang w:val="en-US" w:eastAsia="en-US"/>
              </w:rPr>
            </w:pPr>
            <w:r w:rsidRPr="00912E98">
              <w:rPr>
                <w:rFonts w:ascii="Arial Narrow" w:hAnsi="Arial Narrow" w:cs="Arial"/>
                <w:b/>
                <w:sz w:val="22"/>
                <w:szCs w:val="22"/>
                <w:lang w:val="en-US" w:eastAsia="en-US"/>
              </w:rPr>
              <w:t>Condition:</w:t>
            </w:r>
          </w:p>
        </w:tc>
        <w:tc>
          <w:tcPr>
            <w:tcW w:w="7229" w:type="dxa"/>
            <w:gridSpan w:val="6"/>
            <w:tcBorders>
              <w:top w:val="single" w:sz="4" w:space="0" w:color="auto"/>
              <w:left w:val="single" w:sz="4" w:space="0" w:color="auto"/>
              <w:bottom w:val="single" w:sz="4" w:space="0" w:color="auto"/>
              <w:right w:val="single" w:sz="4" w:space="0" w:color="auto"/>
            </w:tcBorders>
          </w:tcPr>
          <w:p w:rsidR="00912E98" w:rsidRPr="00912E98" w:rsidRDefault="00912E98" w:rsidP="00912E98">
            <w:pPr>
              <w:rPr>
                <w:rFonts w:ascii="Arial Narrow" w:hAnsi="Arial Narrow"/>
                <w:sz w:val="22"/>
                <w:szCs w:val="22"/>
                <w:lang w:val="en-US" w:eastAsia="en-US"/>
              </w:rPr>
            </w:pPr>
            <w:r w:rsidRPr="00912E98">
              <w:rPr>
                <w:rFonts w:ascii="Arial Narrow" w:hAnsi="Arial Narrow"/>
                <w:sz w:val="22"/>
                <w:szCs w:val="22"/>
                <w:lang w:val="en-US" w:eastAsia="en-US"/>
              </w:rPr>
              <w:t>CD20 positive follicular B-cell Non-Hodgkin’s lymphom</w:t>
            </w:r>
            <w:r>
              <w:rPr>
                <w:rFonts w:ascii="Arial Narrow" w:hAnsi="Arial Narrow"/>
                <w:sz w:val="22"/>
                <w:szCs w:val="22"/>
                <w:lang w:val="en-US" w:eastAsia="en-US"/>
              </w:rPr>
              <w:t>a</w:t>
            </w:r>
            <w:r w:rsidRPr="00912E98">
              <w:rPr>
                <w:rFonts w:ascii="Arial Narrow" w:hAnsi="Arial Narrow"/>
                <w:color w:val="FF00FF"/>
                <w:sz w:val="22"/>
                <w:szCs w:val="22"/>
                <w:lang w:val="en-US" w:eastAsia="en-US"/>
              </w:rPr>
              <w:t>]</w:t>
            </w:r>
          </w:p>
          <w:p w:rsidR="00912E98" w:rsidRPr="00912E98" w:rsidRDefault="00912E98" w:rsidP="00912E98">
            <w:pPr>
              <w:rPr>
                <w:rFonts w:ascii="Arial Narrow" w:hAnsi="Arial Narrow"/>
                <w:sz w:val="22"/>
                <w:szCs w:val="22"/>
                <w:lang w:val="en-US" w:eastAsia="en-US"/>
              </w:rPr>
            </w:pPr>
          </w:p>
        </w:tc>
      </w:tr>
      <w:tr w:rsidR="00912E98" w:rsidRPr="00912E98"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2E98" w:rsidRPr="00912E98" w:rsidRDefault="00912E98" w:rsidP="00912E98">
            <w:pPr>
              <w:jc w:val="both"/>
              <w:rPr>
                <w:rFonts w:ascii="Arial Narrow" w:hAnsi="Arial Narrow" w:cs="Arial"/>
                <w:b/>
                <w:color w:val="FF00FF"/>
                <w:sz w:val="22"/>
                <w:szCs w:val="22"/>
                <w:lang w:val="en-US" w:eastAsia="en-US"/>
              </w:rPr>
            </w:pPr>
            <w:r w:rsidRPr="00912E98">
              <w:rPr>
                <w:rFonts w:ascii="Arial Narrow" w:hAnsi="Arial Narrow" w:cs="Arial"/>
                <w:b/>
                <w:sz w:val="22"/>
                <w:szCs w:val="22"/>
                <w:lang w:val="en-US" w:eastAsia="en-US"/>
              </w:rPr>
              <w:t xml:space="preserve">Indication: </w:t>
            </w:r>
          </w:p>
        </w:tc>
        <w:tc>
          <w:tcPr>
            <w:tcW w:w="7229" w:type="dxa"/>
            <w:gridSpan w:val="6"/>
            <w:tcBorders>
              <w:top w:val="single" w:sz="4" w:space="0" w:color="auto"/>
              <w:left w:val="single" w:sz="4" w:space="0" w:color="auto"/>
              <w:bottom w:val="single" w:sz="4" w:space="0" w:color="auto"/>
              <w:right w:val="single" w:sz="4" w:space="0" w:color="auto"/>
            </w:tcBorders>
          </w:tcPr>
          <w:p w:rsidR="00912E98" w:rsidRPr="00912E98" w:rsidRDefault="00912E98" w:rsidP="00912E98">
            <w:pPr>
              <w:rPr>
                <w:rFonts w:ascii="Arial Narrow" w:hAnsi="Arial Narrow"/>
                <w:color w:val="FF00FF"/>
                <w:sz w:val="22"/>
                <w:szCs w:val="22"/>
                <w:lang w:val="en-US" w:eastAsia="en-US"/>
              </w:rPr>
            </w:pPr>
            <w:r w:rsidRPr="00912E98">
              <w:rPr>
                <w:rFonts w:ascii="Arial Narrow" w:hAnsi="Arial Narrow"/>
                <w:sz w:val="22"/>
                <w:szCs w:val="22"/>
                <w:lang w:val="en-US" w:eastAsia="en-US"/>
              </w:rPr>
              <w:t xml:space="preserve">Stage III or IV CD20 positive follicular B-cell Non-Hodgkin’s lymphoma </w:t>
            </w:r>
          </w:p>
          <w:p w:rsidR="00912E98" w:rsidRPr="00912E98" w:rsidRDefault="00912E98" w:rsidP="00912E98">
            <w:pPr>
              <w:rPr>
                <w:rFonts w:ascii="Arial Narrow" w:hAnsi="Arial Narrow"/>
                <w:sz w:val="22"/>
                <w:szCs w:val="22"/>
                <w:lang w:val="en-US" w:eastAsia="en-US"/>
              </w:rPr>
            </w:pPr>
          </w:p>
        </w:tc>
      </w:tr>
      <w:tr w:rsidR="00912E98" w:rsidRPr="00912E98"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2E98" w:rsidRPr="00912E98" w:rsidRDefault="00912E98" w:rsidP="00912E98">
            <w:pPr>
              <w:jc w:val="both"/>
              <w:rPr>
                <w:rFonts w:ascii="Arial Narrow" w:hAnsi="Arial Narrow" w:cs="Arial"/>
                <w:i/>
                <w:sz w:val="22"/>
                <w:szCs w:val="22"/>
                <w:lang w:val="en-US" w:eastAsia="en-US"/>
              </w:rPr>
            </w:pPr>
            <w:r w:rsidRPr="00912E98">
              <w:rPr>
                <w:rFonts w:ascii="Arial Narrow" w:hAnsi="Arial Narrow" w:cs="Arial"/>
                <w:b/>
                <w:sz w:val="22"/>
                <w:szCs w:val="22"/>
                <w:lang w:val="en-US" w:eastAsia="en-US"/>
              </w:rPr>
              <w:t xml:space="preserve">Treatment Phase: </w:t>
            </w:r>
          </w:p>
        </w:tc>
        <w:tc>
          <w:tcPr>
            <w:tcW w:w="7229" w:type="dxa"/>
            <w:gridSpan w:val="6"/>
            <w:tcBorders>
              <w:top w:val="single" w:sz="4" w:space="0" w:color="auto"/>
              <w:left w:val="single" w:sz="4" w:space="0" w:color="auto"/>
              <w:bottom w:val="single" w:sz="4" w:space="0" w:color="auto"/>
              <w:right w:val="single" w:sz="4" w:space="0" w:color="auto"/>
            </w:tcBorders>
          </w:tcPr>
          <w:p w:rsidR="00912E98" w:rsidRPr="00912E98" w:rsidRDefault="00912E98" w:rsidP="00912E98">
            <w:pPr>
              <w:rPr>
                <w:rFonts w:ascii="Arial Narrow" w:hAnsi="Arial Narrow"/>
                <w:sz w:val="22"/>
                <w:szCs w:val="22"/>
                <w:lang w:val="en-US" w:eastAsia="en-US"/>
              </w:rPr>
            </w:pPr>
            <w:r w:rsidRPr="00912E98">
              <w:rPr>
                <w:rFonts w:ascii="Arial Narrow" w:hAnsi="Arial Narrow"/>
                <w:sz w:val="22"/>
                <w:szCs w:val="22"/>
                <w:lang w:val="en-US" w:eastAsia="en-US"/>
              </w:rPr>
              <w:t>Maintenance therapy</w:t>
            </w:r>
          </w:p>
        </w:tc>
      </w:tr>
      <w:tr w:rsidR="00912E98" w:rsidRPr="00912E98"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2E98" w:rsidRPr="00912E98" w:rsidRDefault="00912E98" w:rsidP="00912E98">
            <w:pPr>
              <w:jc w:val="both"/>
              <w:rPr>
                <w:rFonts w:ascii="Arial Narrow" w:hAnsi="Arial Narrow" w:cs="Arial"/>
                <w:b/>
                <w:sz w:val="22"/>
                <w:szCs w:val="22"/>
                <w:lang w:val="en-US" w:eastAsia="en-US"/>
              </w:rPr>
            </w:pPr>
            <w:r w:rsidRPr="00912E98">
              <w:rPr>
                <w:rFonts w:ascii="Arial Narrow" w:hAnsi="Arial Narrow" w:cs="Arial"/>
                <w:b/>
                <w:sz w:val="22"/>
                <w:szCs w:val="22"/>
                <w:lang w:val="en-US" w:eastAsia="en-US"/>
              </w:rPr>
              <w:t>Restriction level:</w:t>
            </w:r>
          </w:p>
          <w:p w:rsidR="00912E98" w:rsidRPr="00912E98" w:rsidRDefault="00912E98" w:rsidP="00912E98">
            <w:pPr>
              <w:rPr>
                <w:rFonts w:ascii="Arial Narrow" w:hAnsi="Arial Narrow" w:cs="Arial"/>
                <w:sz w:val="22"/>
                <w:szCs w:val="22"/>
                <w:lang w:val="en-US" w:eastAsia="en-US"/>
              </w:rPr>
            </w:pPr>
          </w:p>
        </w:tc>
        <w:tc>
          <w:tcPr>
            <w:tcW w:w="7229" w:type="dxa"/>
            <w:gridSpan w:val="6"/>
            <w:tcBorders>
              <w:top w:val="single" w:sz="4" w:space="0" w:color="auto"/>
              <w:left w:val="single" w:sz="4" w:space="0" w:color="auto"/>
              <w:bottom w:val="single" w:sz="4" w:space="0" w:color="auto"/>
              <w:right w:val="single" w:sz="4" w:space="0" w:color="auto"/>
            </w:tcBorders>
          </w:tcPr>
          <w:p w:rsidR="00912E98" w:rsidRPr="00912E98" w:rsidRDefault="00912E98" w:rsidP="00912E98">
            <w:pPr>
              <w:rPr>
                <w:rFonts w:ascii="Arial Narrow" w:hAnsi="Arial Narrow"/>
                <w:sz w:val="22"/>
                <w:szCs w:val="22"/>
                <w:lang w:val="en-US" w:eastAsia="en-US"/>
              </w:rPr>
            </w:pPr>
            <w:r w:rsidRPr="00912E98">
              <w:rPr>
                <w:rFonts w:ascii="Arial Narrow" w:hAnsi="Arial Narrow"/>
                <w:sz w:val="22"/>
                <w:szCs w:val="22"/>
                <w:lang w:val="en-US" w:eastAsia="en-US"/>
              </w:rPr>
              <w:t>To be determined:</w:t>
            </w:r>
          </w:p>
          <w:p w:rsidR="00912E98" w:rsidRPr="00912E98" w:rsidRDefault="00912E98" w:rsidP="00912E98">
            <w:pPr>
              <w:rPr>
                <w:rFonts w:ascii="Arial Narrow" w:hAnsi="Arial Narrow"/>
                <w:sz w:val="22"/>
                <w:szCs w:val="22"/>
                <w:lang w:val="en-US" w:eastAsia="en-US"/>
              </w:rPr>
            </w:pPr>
          </w:p>
          <w:p w:rsidR="00912E98" w:rsidRPr="00912E98" w:rsidRDefault="00912E98" w:rsidP="00912E98">
            <w:pPr>
              <w:rPr>
                <w:rFonts w:ascii="Arial Narrow" w:hAnsi="Arial Narrow"/>
                <w:sz w:val="22"/>
                <w:szCs w:val="22"/>
                <w:lang w:val="en-US" w:eastAsia="en-US"/>
              </w:rPr>
            </w:pPr>
            <w:r w:rsidRPr="00912E98">
              <w:rPr>
                <w:rFonts w:ascii="Arial Narrow" w:hAnsi="Arial Narrow"/>
                <w:sz w:val="22"/>
                <w:szCs w:val="22"/>
                <w:lang w:val="en-US" w:eastAsia="en-US"/>
              </w:rPr>
              <w:t xml:space="preserve">Authority required (STREAMLINED) </w:t>
            </w:r>
          </w:p>
          <w:p w:rsidR="00912E98" w:rsidRPr="00912E98" w:rsidRDefault="00912E98" w:rsidP="00414230">
            <w:pPr>
              <w:rPr>
                <w:rFonts w:ascii="Arial Narrow" w:hAnsi="Arial Narrow"/>
                <w:sz w:val="22"/>
                <w:szCs w:val="22"/>
                <w:lang w:val="en-US" w:eastAsia="en-US"/>
              </w:rPr>
            </w:pPr>
          </w:p>
        </w:tc>
      </w:tr>
      <w:tr w:rsidR="00912E98" w:rsidRPr="00912E98"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2E98" w:rsidRPr="00912E98" w:rsidRDefault="00912E98" w:rsidP="00912E98">
            <w:pPr>
              <w:jc w:val="both"/>
              <w:rPr>
                <w:rFonts w:ascii="Arial Narrow" w:hAnsi="Arial Narrow" w:cs="Arial"/>
                <w:sz w:val="22"/>
                <w:szCs w:val="22"/>
                <w:lang w:val="en-US" w:eastAsia="en-US"/>
              </w:rPr>
            </w:pPr>
            <w:r w:rsidRPr="00912E98">
              <w:rPr>
                <w:rFonts w:ascii="Arial Narrow" w:hAnsi="Arial Narrow" w:cs="Arial"/>
                <w:b/>
                <w:sz w:val="22"/>
                <w:szCs w:val="22"/>
                <w:lang w:val="en-US" w:eastAsia="en-US"/>
              </w:rPr>
              <w:t xml:space="preserve">Treatment criteria: </w:t>
            </w:r>
          </w:p>
        </w:tc>
        <w:tc>
          <w:tcPr>
            <w:tcW w:w="7229" w:type="dxa"/>
            <w:gridSpan w:val="6"/>
            <w:tcBorders>
              <w:top w:val="single" w:sz="4" w:space="0" w:color="auto"/>
              <w:left w:val="single" w:sz="4" w:space="0" w:color="auto"/>
              <w:bottom w:val="single" w:sz="4" w:space="0" w:color="auto"/>
              <w:right w:val="single" w:sz="4" w:space="0" w:color="auto"/>
            </w:tcBorders>
          </w:tcPr>
          <w:p w:rsidR="00912E98" w:rsidRPr="00912E98" w:rsidRDefault="00912E98" w:rsidP="00912E98">
            <w:pPr>
              <w:rPr>
                <w:rFonts w:ascii="Arial Narrow" w:hAnsi="Arial Narrow" w:cs="Arial"/>
                <w:sz w:val="22"/>
                <w:szCs w:val="22"/>
                <w:lang w:val="en-US" w:eastAsia="en-US"/>
              </w:rPr>
            </w:pPr>
            <w:r w:rsidRPr="00912E98">
              <w:rPr>
                <w:rFonts w:ascii="Arial Narrow" w:hAnsi="Arial Narrow" w:cs="Arial"/>
                <w:sz w:val="22"/>
                <w:szCs w:val="22"/>
                <w:lang w:val="en-US" w:eastAsia="en-US"/>
              </w:rPr>
              <w:t xml:space="preserve">Patient must not receive more than 12 doses or 2 years duration of treatment, whichever comes first, under this restriction. </w:t>
            </w:r>
          </w:p>
        </w:tc>
      </w:tr>
      <w:tr w:rsidR="00912E98" w:rsidRPr="00912E98"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2E98" w:rsidRPr="00912E98" w:rsidRDefault="00912E98" w:rsidP="00912E98">
            <w:pPr>
              <w:jc w:val="both"/>
              <w:rPr>
                <w:rFonts w:ascii="Arial Narrow" w:hAnsi="Arial Narrow" w:cs="Arial"/>
                <w:b/>
                <w:sz w:val="22"/>
                <w:szCs w:val="22"/>
                <w:lang w:val="en-US" w:eastAsia="en-US"/>
              </w:rPr>
            </w:pPr>
            <w:r w:rsidRPr="00912E98">
              <w:rPr>
                <w:rFonts w:ascii="Arial Narrow" w:hAnsi="Arial Narrow" w:cs="Arial"/>
                <w:b/>
                <w:sz w:val="22"/>
                <w:szCs w:val="22"/>
                <w:lang w:val="en-US" w:eastAsia="en-US"/>
              </w:rPr>
              <w:t xml:space="preserve">Clinical criteria: </w:t>
            </w:r>
          </w:p>
          <w:p w:rsidR="00912E98" w:rsidRPr="00912E98" w:rsidRDefault="00912E98" w:rsidP="00912E98">
            <w:pPr>
              <w:jc w:val="both"/>
              <w:rPr>
                <w:rFonts w:ascii="Arial Narrow" w:hAnsi="Arial Narrow" w:cs="Arial"/>
                <w:sz w:val="22"/>
                <w:szCs w:val="22"/>
                <w:lang w:val="en-US" w:eastAsia="en-US"/>
              </w:rPr>
            </w:pPr>
          </w:p>
        </w:tc>
        <w:tc>
          <w:tcPr>
            <w:tcW w:w="7229" w:type="dxa"/>
            <w:gridSpan w:val="6"/>
            <w:tcBorders>
              <w:top w:val="single" w:sz="4" w:space="0" w:color="auto"/>
              <w:left w:val="single" w:sz="4" w:space="0" w:color="auto"/>
              <w:bottom w:val="single" w:sz="4" w:space="0" w:color="auto"/>
              <w:right w:val="single" w:sz="4" w:space="0" w:color="auto"/>
            </w:tcBorders>
          </w:tcPr>
          <w:p w:rsidR="00414230" w:rsidRDefault="00414230" w:rsidP="00912E98">
            <w:pPr>
              <w:jc w:val="both"/>
              <w:rPr>
                <w:rFonts w:ascii="Arial Narrow" w:hAnsi="Arial Narrow" w:cs="Arial"/>
                <w:sz w:val="22"/>
                <w:szCs w:val="22"/>
                <w:lang w:val="en-US" w:eastAsia="en-US"/>
              </w:rPr>
            </w:pPr>
            <w:r w:rsidRPr="00414230">
              <w:rPr>
                <w:rFonts w:ascii="Arial Narrow" w:hAnsi="Arial Narrow" w:cs="Arial"/>
                <w:sz w:val="22"/>
                <w:szCs w:val="22"/>
                <w:lang w:val="en-US" w:eastAsia="en-US"/>
              </w:rPr>
              <w:t>Patient must have demonstrated a partial or complete response to the induction phase of treatment for previously untreated follicular B-cell Non-Hodgkin’s lymphoma, received immediately prior to this current Authority application.</w:t>
            </w:r>
          </w:p>
          <w:p w:rsidR="00912E98" w:rsidRPr="00912E98" w:rsidRDefault="00912E98" w:rsidP="00912E98">
            <w:pPr>
              <w:jc w:val="both"/>
              <w:rPr>
                <w:rFonts w:ascii="Arial Narrow" w:hAnsi="Arial Narrow" w:cs="Arial"/>
                <w:sz w:val="22"/>
                <w:szCs w:val="22"/>
                <w:lang w:val="en-US" w:eastAsia="en-US"/>
              </w:rPr>
            </w:pPr>
            <w:r w:rsidRPr="00912E98">
              <w:rPr>
                <w:rFonts w:ascii="Arial Narrow" w:hAnsi="Arial Narrow" w:cs="Arial"/>
                <w:sz w:val="22"/>
                <w:szCs w:val="22"/>
                <w:lang w:val="en-US" w:eastAsia="en-US"/>
              </w:rPr>
              <w:t>AND</w:t>
            </w:r>
          </w:p>
          <w:p w:rsidR="00912E98" w:rsidRPr="00912E98" w:rsidRDefault="00912E98" w:rsidP="00912E98">
            <w:pPr>
              <w:jc w:val="both"/>
              <w:rPr>
                <w:rFonts w:ascii="Arial Narrow" w:hAnsi="Arial Narrow" w:cs="Arial"/>
                <w:sz w:val="22"/>
                <w:szCs w:val="22"/>
                <w:lang w:val="en-US" w:eastAsia="en-US"/>
              </w:rPr>
            </w:pPr>
            <w:r w:rsidRPr="00912E98">
              <w:rPr>
                <w:rFonts w:ascii="Arial Narrow" w:hAnsi="Arial Narrow" w:cs="Arial"/>
                <w:sz w:val="22"/>
                <w:szCs w:val="22"/>
                <w:lang w:val="en-US" w:eastAsia="en-US"/>
              </w:rPr>
              <w:t>The treatment must be for maintenance therapy</w:t>
            </w:r>
          </w:p>
          <w:p w:rsidR="00912E98" w:rsidRPr="00912E98" w:rsidRDefault="00912E98" w:rsidP="00912E98">
            <w:pPr>
              <w:jc w:val="both"/>
              <w:rPr>
                <w:rFonts w:ascii="Arial Narrow" w:hAnsi="Arial Narrow" w:cs="Arial"/>
                <w:sz w:val="22"/>
                <w:szCs w:val="22"/>
                <w:lang w:val="en-US" w:eastAsia="en-US"/>
              </w:rPr>
            </w:pPr>
          </w:p>
        </w:tc>
      </w:tr>
      <w:tr w:rsidR="00912E98" w:rsidRPr="00912E98"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2E98" w:rsidRPr="00912E98" w:rsidRDefault="00912E98" w:rsidP="00912E98">
            <w:pPr>
              <w:jc w:val="both"/>
              <w:rPr>
                <w:rFonts w:ascii="Arial Narrow" w:hAnsi="Arial Narrow" w:cs="Arial"/>
                <w:b/>
                <w:sz w:val="22"/>
                <w:szCs w:val="22"/>
                <w:lang w:val="en-US" w:eastAsia="en-US"/>
              </w:rPr>
            </w:pPr>
            <w:r w:rsidRPr="00912E98">
              <w:rPr>
                <w:rFonts w:ascii="Arial Narrow" w:hAnsi="Arial Narrow" w:cs="Arial"/>
                <w:b/>
                <w:sz w:val="22"/>
                <w:szCs w:val="22"/>
                <w:lang w:val="en-US" w:eastAsia="en-US"/>
              </w:rPr>
              <w:t xml:space="preserve">Administrative Advice </w:t>
            </w:r>
          </w:p>
          <w:p w:rsidR="00912E98" w:rsidRPr="00912E98" w:rsidRDefault="00912E98" w:rsidP="00912E98">
            <w:pPr>
              <w:jc w:val="both"/>
              <w:rPr>
                <w:rFonts w:ascii="Arial Narrow" w:hAnsi="Arial Narrow" w:cs="Arial"/>
                <w:i/>
                <w:sz w:val="22"/>
                <w:szCs w:val="22"/>
                <w:lang w:val="en-US" w:eastAsia="en-US"/>
              </w:rPr>
            </w:pPr>
          </w:p>
        </w:tc>
        <w:tc>
          <w:tcPr>
            <w:tcW w:w="7229" w:type="dxa"/>
            <w:gridSpan w:val="6"/>
            <w:tcBorders>
              <w:top w:val="single" w:sz="4" w:space="0" w:color="auto"/>
              <w:left w:val="single" w:sz="4" w:space="0" w:color="auto"/>
              <w:bottom w:val="single" w:sz="4" w:space="0" w:color="auto"/>
              <w:right w:val="single" w:sz="4" w:space="0" w:color="auto"/>
            </w:tcBorders>
          </w:tcPr>
          <w:p w:rsidR="00912E98" w:rsidRPr="00912E98" w:rsidRDefault="00912E98" w:rsidP="00912E98">
            <w:pPr>
              <w:rPr>
                <w:rFonts w:ascii="Arial Narrow" w:hAnsi="Arial Narrow" w:cs="Arial"/>
                <w:sz w:val="22"/>
                <w:szCs w:val="22"/>
                <w:lang w:val="en-US" w:eastAsia="en-US"/>
              </w:rPr>
            </w:pPr>
            <w:r w:rsidRPr="00912E98">
              <w:rPr>
                <w:rFonts w:ascii="Arial Narrow" w:hAnsi="Arial Narrow" w:cs="Arial"/>
                <w:sz w:val="22"/>
                <w:szCs w:val="22"/>
                <w:u w:val="single"/>
                <w:lang w:val="en-US" w:eastAsia="en-US"/>
              </w:rPr>
              <w:t>NOTE</w:t>
            </w:r>
            <w:r w:rsidRPr="00912E98">
              <w:rPr>
                <w:rFonts w:ascii="Arial Narrow" w:hAnsi="Arial Narrow" w:cs="Arial"/>
                <w:sz w:val="22"/>
                <w:szCs w:val="22"/>
                <w:lang w:val="en-US" w:eastAsia="en-US"/>
              </w:rPr>
              <w:t>:</w:t>
            </w:r>
          </w:p>
          <w:p w:rsidR="00912E98" w:rsidRPr="00912E98" w:rsidRDefault="00912E98" w:rsidP="00912E98">
            <w:pPr>
              <w:rPr>
                <w:rFonts w:ascii="Arial Narrow" w:hAnsi="Arial Narrow" w:cs="Arial"/>
                <w:sz w:val="22"/>
                <w:szCs w:val="22"/>
                <w:lang w:val="en-US" w:eastAsia="en-US"/>
              </w:rPr>
            </w:pPr>
            <w:r w:rsidRPr="00912E98">
              <w:rPr>
                <w:rFonts w:ascii="Arial Narrow" w:hAnsi="Arial Narrow" w:cs="Arial"/>
                <w:sz w:val="22"/>
                <w:szCs w:val="22"/>
                <w:lang w:val="en-US" w:eastAsia="en-US"/>
              </w:rPr>
              <w:t>A patient may only qualify for PBS-</w:t>
            </w:r>
            <w:proofErr w:type="spellStart"/>
            <w:r w:rsidRPr="00912E98">
              <w:rPr>
                <w:rFonts w:ascii="Arial Narrow" w:hAnsi="Arial Narrow" w:cs="Arial"/>
                <w:sz w:val="22"/>
                <w:szCs w:val="22"/>
                <w:lang w:val="en-US" w:eastAsia="en-US"/>
              </w:rPr>
              <w:t>subsidised</w:t>
            </w:r>
            <w:proofErr w:type="spellEnd"/>
            <w:r w:rsidRPr="00912E98">
              <w:rPr>
                <w:rFonts w:ascii="Arial Narrow" w:hAnsi="Arial Narrow" w:cs="Arial"/>
                <w:sz w:val="22"/>
                <w:szCs w:val="22"/>
                <w:lang w:val="en-US" w:eastAsia="en-US"/>
              </w:rPr>
              <w:t xml:space="preserve"> treatment under this restriction once in a lifetime.</w:t>
            </w:r>
          </w:p>
          <w:p w:rsidR="00912E98" w:rsidRPr="00912E98" w:rsidRDefault="00912E98" w:rsidP="00912E98">
            <w:pPr>
              <w:rPr>
                <w:rFonts w:ascii="Arial Narrow" w:hAnsi="Arial Narrow" w:cs="Arial"/>
                <w:sz w:val="22"/>
                <w:szCs w:val="22"/>
                <w:lang w:val="en-US" w:eastAsia="en-US"/>
              </w:rPr>
            </w:pPr>
          </w:p>
          <w:p w:rsidR="00912E98" w:rsidRPr="00912E98" w:rsidRDefault="00912E98" w:rsidP="00912E98">
            <w:pPr>
              <w:rPr>
                <w:rFonts w:ascii="Arial Narrow" w:hAnsi="Arial Narrow" w:cs="Arial"/>
                <w:sz w:val="22"/>
                <w:szCs w:val="22"/>
                <w:lang w:val="en-US" w:eastAsia="en-US"/>
              </w:rPr>
            </w:pPr>
            <w:r w:rsidRPr="00912E98">
              <w:rPr>
                <w:rFonts w:ascii="Arial Narrow" w:hAnsi="Arial Narrow" w:cs="Arial"/>
                <w:sz w:val="22"/>
                <w:szCs w:val="22"/>
                <w:u w:val="single"/>
                <w:lang w:val="en-US" w:eastAsia="en-US"/>
              </w:rPr>
              <w:t>NOTE</w:t>
            </w:r>
            <w:r w:rsidRPr="00912E98">
              <w:rPr>
                <w:rFonts w:ascii="Arial Narrow" w:hAnsi="Arial Narrow" w:cs="Arial"/>
                <w:sz w:val="22"/>
                <w:szCs w:val="22"/>
                <w:lang w:val="en-US" w:eastAsia="en-US"/>
              </w:rPr>
              <w:t>:</w:t>
            </w:r>
          </w:p>
          <w:p w:rsidR="00912E98" w:rsidRPr="00912E98" w:rsidRDefault="00912E98" w:rsidP="00912E98">
            <w:pPr>
              <w:rPr>
                <w:rFonts w:ascii="Arial Narrow" w:hAnsi="Arial Narrow" w:cs="Arial"/>
                <w:sz w:val="22"/>
                <w:szCs w:val="22"/>
                <w:lang w:val="en-US" w:eastAsia="en-US"/>
              </w:rPr>
            </w:pPr>
            <w:r w:rsidRPr="00912E98">
              <w:rPr>
                <w:rFonts w:ascii="Arial Narrow" w:hAnsi="Arial Narrow" w:cs="Arial"/>
                <w:sz w:val="22"/>
                <w:szCs w:val="22"/>
                <w:lang w:val="en-US" w:eastAsia="en-US"/>
              </w:rPr>
              <w:t xml:space="preserve">No increase in the maximum number of repeats may be </w:t>
            </w:r>
            <w:proofErr w:type="spellStart"/>
            <w:r w:rsidRPr="00912E98">
              <w:rPr>
                <w:rFonts w:ascii="Arial Narrow" w:hAnsi="Arial Narrow" w:cs="Arial"/>
                <w:sz w:val="22"/>
                <w:szCs w:val="22"/>
                <w:lang w:val="en-US" w:eastAsia="en-US"/>
              </w:rPr>
              <w:t>authorised</w:t>
            </w:r>
            <w:proofErr w:type="spellEnd"/>
            <w:r w:rsidRPr="00912E98">
              <w:rPr>
                <w:rFonts w:ascii="Arial Narrow" w:hAnsi="Arial Narrow" w:cs="Arial"/>
                <w:sz w:val="22"/>
                <w:szCs w:val="22"/>
                <w:lang w:val="en-US" w:eastAsia="en-US"/>
              </w:rPr>
              <w:t>.</w:t>
            </w:r>
          </w:p>
          <w:p w:rsidR="00912E98" w:rsidRPr="00912E98" w:rsidRDefault="00912E98" w:rsidP="00912E98">
            <w:pPr>
              <w:rPr>
                <w:rFonts w:ascii="Arial Narrow" w:hAnsi="Arial Narrow" w:cs="Arial"/>
                <w:sz w:val="22"/>
                <w:szCs w:val="22"/>
                <w:lang w:val="en-US" w:eastAsia="en-US"/>
              </w:rPr>
            </w:pPr>
          </w:p>
          <w:p w:rsidR="00912E98" w:rsidRPr="00912E98" w:rsidRDefault="00912E98" w:rsidP="00912E98">
            <w:pPr>
              <w:rPr>
                <w:rFonts w:ascii="Arial Narrow" w:hAnsi="Arial Narrow" w:cs="Arial"/>
                <w:sz w:val="22"/>
                <w:szCs w:val="22"/>
                <w:u w:val="single"/>
                <w:lang w:val="en-US" w:eastAsia="en-US"/>
              </w:rPr>
            </w:pPr>
            <w:r w:rsidRPr="00912E98">
              <w:rPr>
                <w:rFonts w:ascii="Arial Narrow" w:hAnsi="Arial Narrow" w:cs="Arial"/>
                <w:sz w:val="22"/>
                <w:szCs w:val="22"/>
                <w:u w:val="single"/>
                <w:lang w:val="en-US" w:eastAsia="en-US"/>
              </w:rPr>
              <w:t>NOTE:</w:t>
            </w:r>
          </w:p>
          <w:p w:rsidR="00912E98" w:rsidRPr="00912E98" w:rsidRDefault="00912E98" w:rsidP="00912E98">
            <w:pPr>
              <w:rPr>
                <w:rFonts w:ascii="Arial Narrow" w:hAnsi="Arial Narrow" w:cs="Arial"/>
                <w:sz w:val="22"/>
                <w:szCs w:val="22"/>
                <w:lang w:val="en-US" w:eastAsia="en-US"/>
              </w:rPr>
            </w:pPr>
            <w:r w:rsidRPr="00912E98">
              <w:rPr>
                <w:rFonts w:ascii="Arial Narrow" w:hAnsi="Arial Narrow" w:cs="Arial"/>
                <w:sz w:val="22"/>
                <w:szCs w:val="22"/>
                <w:lang w:val="en-US" w:eastAsia="en-US"/>
              </w:rPr>
              <w:t>Special pricing arrangements apply</w:t>
            </w:r>
          </w:p>
        </w:tc>
      </w:tr>
    </w:tbl>
    <w:p w:rsidR="00912E98" w:rsidRDefault="00912E98" w:rsidP="00343FEE"/>
    <w:p w:rsidR="00343FEE" w:rsidRPr="00343FEE" w:rsidRDefault="00343FEE" w:rsidP="00343FEE">
      <w:pPr>
        <w:rPr>
          <w:rFonts w:ascii="Arial" w:hAnsi="Arial"/>
          <w:b/>
          <w:sz w:val="22"/>
          <w:szCs w:val="22"/>
          <w:u w:val="single"/>
        </w:rPr>
      </w:pPr>
      <w:r w:rsidRPr="00343FEE">
        <w:rPr>
          <w:rFonts w:ascii="Arial" w:hAnsi="Arial"/>
          <w:b/>
          <w:sz w:val="22"/>
          <w:szCs w:val="22"/>
          <w:u w:val="single"/>
        </w:rPr>
        <w:lastRenderedPageBreak/>
        <w:t>New listing: maintenance therapy for relapsed/refractory follicular disease:</w:t>
      </w:r>
    </w:p>
    <w:p w:rsidR="00FF0896" w:rsidRDefault="00FF0896"/>
    <w:tbl>
      <w:tblPr>
        <w:tblW w:w="9214" w:type="dxa"/>
        <w:tblInd w:w="108" w:type="dxa"/>
        <w:tblLayout w:type="fixed"/>
        <w:tblLook w:val="0000" w:firstRow="0" w:lastRow="0" w:firstColumn="0" w:lastColumn="0" w:noHBand="0" w:noVBand="0"/>
        <w:tblDescription w:val="rituximab listing"/>
      </w:tblPr>
      <w:tblGrid>
        <w:gridCol w:w="1985"/>
        <w:gridCol w:w="1276"/>
        <w:gridCol w:w="992"/>
        <w:gridCol w:w="850"/>
        <w:gridCol w:w="1701"/>
        <w:gridCol w:w="1559"/>
        <w:gridCol w:w="851"/>
      </w:tblGrid>
      <w:tr w:rsidR="00FF0896" w:rsidTr="00A43175">
        <w:trPr>
          <w:cantSplit/>
          <w:trHeight w:val="471"/>
        </w:trPr>
        <w:tc>
          <w:tcPr>
            <w:tcW w:w="3261" w:type="dxa"/>
            <w:gridSpan w:val="2"/>
            <w:tcBorders>
              <w:bottom w:val="single" w:sz="4" w:space="0" w:color="auto"/>
            </w:tcBorders>
          </w:tcPr>
          <w:p w:rsidR="00FF0896" w:rsidRDefault="00FF0896" w:rsidP="00A43175">
            <w:pPr>
              <w:keepNext/>
              <w:ind w:left="-108"/>
              <w:jc w:val="both"/>
              <w:rPr>
                <w:rFonts w:ascii="Arial" w:hAnsi="Arial"/>
                <w:sz w:val="20"/>
              </w:rPr>
            </w:pPr>
            <w:r>
              <w:rPr>
                <w:rFonts w:ascii="Arial" w:hAnsi="Arial"/>
                <w:sz w:val="20"/>
              </w:rPr>
              <w:t>Name, Restriction,</w:t>
            </w:r>
          </w:p>
          <w:p w:rsidR="00FF0896" w:rsidRDefault="00FF0896" w:rsidP="00A43175">
            <w:pPr>
              <w:keepNext/>
              <w:ind w:left="-108"/>
              <w:jc w:val="both"/>
              <w:rPr>
                <w:rFonts w:ascii="Arial" w:hAnsi="Arial"/>
                <w:sz w:val="20"/>
              </w:rPr>
            </w:pPr>
            <w:r>
              <w:rPr>
                <w:rFonts w:ascii="Arial" w:hAnsi="Arial"/>
                <w:sz w:val="20"/>
              </w:rPr>
              <w:t>Manner of administration and form</w:t>
            </w:r>
          </w:p>
        </w:tc>
        <w:tc>
          <w:tcPr>
            <w:tcW w:w="992" w:type="dxa"/>
            <w:tcBorders>
              <w:bottom w:val="single" w:sz="4" w:space="0" w:color="auto"/>
            </w:tcBorders>
          </w:tcPr>
          <w:p w:rsidR="00FF0896" w:rsidRDefault="00FF0896" w:rsidP="00A43175">
            <w:pPr>
              <w:keepNext/>
              <w:ind w:left="-108"/>
              <w:jc w:val="both"/>
              <w:rPr>
                <w:rFonts w:ascii="Arial" w:hAnsi="Arial"/>
                <w:sz w:val="20"/>
              </w:rPr>
            </w:pPr>
            <w:r>
              <w:rPr>
                <w:rFonts w:ascii="Arial" w:hAnsi="Arial"/>
                <w:sz w:val="20"/>
              </w:rPr>
              <w:t>Max.</w:t>
            </w:r>
          </w:p>
          <w:p w:rsidR="00FF0896" w:rsidRDefault="00FF0896" w:rsidP="00A43175">
            <w:pPr>
              <w:keepNext/>
              <w:ind w:left="-108"/>
              <w:jc w:val="both"/>
              <w:rPr>
                <w:rFonts w:ascii="Arial" w:hAnsi="Arial"/>
                <w:sz w:val="20"/>
              </w:rPr>
            </w:pPr>
            <w:proofErr w:type="spellStart"/>
            <w:r>
              <w:rPr>
                <w:rFonts w:ascii="Arial" w:hAnsi="Arial"/>
                <w:sz w:val="20"/>
              </w:rPr>
              <w:t>Amt</w:t>
            </w:r>
            <w:proofErr w:type="spellEnd"/>
          </w:p>
        </w:tc>
        <w:tc>
          <w:tcPr>
            <w:tcW w:w="850" w:type="dxa"/>
            <w:tcBorders>
              <w:bottom w:val="single" w:sz="4" w:space="0" w:color="auto"/>
            </w:tcBorders>
          </w:tcPr>
          <w:p w:rsidR="00FF0896" w:rsidRDefault="00FF0896" w:rsidP="00A43175">
            <w:pPr>
              <w:keepNext/>
              <w:ind w:left="-108"/>
              <w:jc w:val="both"/>
              <w:rPr>
                <w:rFonts w:ascii="Arial" w:hAnsi="Arial"/>
                <w:sz w:val="20"/>
              </w:rPr>
            </w:pPr>
            <w:r>
              <w:rPr>
                <w:rFonts w:ascii="Arial" w:hAnsi="Arial"/>
                <w:sz w:val="20"/>
              </w:rPr>
              <w:t>№.of</w:t>
            </w:r>
          </w:p>
          <w:p w:rsidR="00FF0896" w:rsidRDefault="00FF0896" w:rsidP="00A43175">
            <w:pPr>
              <w:keepNext/>
              <w:ind w:left="-108"/>
              <w:jc w:val="both"/>
              <w:rPr>
                <w:rFonts w:ascii="Arial" w:hAnsi="Arial"/>
                <w:sz w:val="20"/>
              </w:rPr>
            </w:pPr>
            <w:proofErr w:type="spellStart"/>
            <w:r>
              <w:rPr>
                <w:rFonts w:ascii="Arial" w:hAnsi="Arial"/>
                <w:sz w:val="20"/>
              </w:rPr>
              <w:t>Rpts</w:t>
            </w:r>
            <w:proofErr w:type="spellEnd"/>
          </w:p>
        </w:tc>
        <w:tc>
          <w:tcPr>
            <w:tcW w:w="1701" w:type="dxa"/>
            <w:tcBorders>
              <w:bottom w:val="single" w:sz="4" w:space="0" w:color="auto"/>
            </w:tcBorders>
          </w:tcPr>
          <w:p w:rsidR="00FF0896" w:rsidRDefault="00FF0896" w:rsidP="00A43175">
            <w:pPr>
              <w:keepNext/>
              <w:ind w:left="-108"/>
              <w:jc w:val="both"/>
              <w:rPr>
                <w:rFonts w:ascii="Arial" w:hAnsi="Arial"/>
                <w:sz w:val="20"/>
              </w:rPr>
            </w:pPr>
          </w:p>
        </w:tc>
        <w:tc>
          <w:tcPr>
            <w:tcW w:w="2410" w:type="dxa"/>
            <w:gridSpan w:val="2"/>
            <w:tcBorders>
              <w:bottom w:val="single" w:sz="4" w:space="0" w:color="auto"/>
            </w:tcBorders>
          </w:tcPr>
          <w:p w:rsidR="00FF0896" w:rsidRDefault="00FF0896" w:rsidP="00A43175">
            <w:pPr>
              <w:keepNext/>
              <w:jc w:val="both"/>
              <w:rPr>
                <w:rFonts w:ascii="Arial" w:hAnsi="Arial"/>
                <w:sz w:val="20"/>
                <w:lang w:val="fr-FR"/>
              </w:rPr>
            </w:pPr>
          </w:p>
        </w:tc>
      </w:tr>
      <w:tr w:rsidR="00FF0896" w:rsidTr="00A43175">
        <w:trPr>
          <w:cantSplit/>
          <w:trHeight w:val="577"/>
        </w:trPr>
        <w:tc>
          <w:tcPr>
            <w:tcW w:w="3261" w:type="dxa"/>
            <w:gridSpan w:val="2"/>
          </w:tcPr>
          <w:p w:rsidR="00FF0896" w:rsidRDefault="00FF0896" w:rsidP="00A43175">
            <w:pPr>
              <w:keepNext/>
              <w:ind w:left="-108"/>
              <w:jc w:val="both"/>
              <w:rPr>
                <w:rFonts w:ascii="Arial" w:hAnsi="Arial"/>
                <w:smallCaps/>
                <w:sz w:val="20"/>
                <w:szCs w:val="20"/>
              </w:rPr>
            </w:pPr>
            <w:r>
              <w:rPr>
                <w:rFonts w:ascii="Arial" w:hAnsi="Arial"/>
                <w:smallCaps/>
                <w:sz w:val="20"/>
                <w:szCs w:val="20"/>
              </w:rPr>
              <w:t>Rituximab</w:t>
            </w:r>
          </w:p>
          <w:p w:rsidR="00FF0896" w:rsidRPr="000B6940" w:rsidRDefault="00FF0896" w:rsidP="00A43175">
            <w:pPr>
              <w:keepNext/>
              <w:ind w:left="-108"/>
              <w:jc w:val="both"/>
              <w:rPr>
                <w:rFonts w:ascii="Arial" w:hAnsi="Arial"/>
                <w:sz w:val="20"/>
                <w:szCs w:val="20"/>
              </w:rPr>
            </w:pPr>
          </w:p>
          <w:p w:rsidR="00FF0896" w:rsidRDefault="00FF0896" w:rsidP="00A43175">
            <w:pPr>
              <w:keepNext/>
              <w:ind w:left="-108"/>
              <w:jc w:val="both"/>
              <w:rPr>
                <w:rFonts w:ascii="Arial" w:hAnsi="Arial"/>
                <w:sz w:val="20"/>
              </w:rPr>
            </w:pPr>
            <w:r>
              <w:rPr>
                <w:rFonts w:ascii="Arial" w:hAnsi="Arial"/>
                <w:sz w:val="20"/>
              </w:rPr>
              <w:t>Injection</w:t>
            </w:r>
          </w:p>
        </w:tc>
        <w:tc>
          <w:tcPr>
            <w:tcW w:w="992" w:type="dxa"/>
          </w:tcPr>
          <w:p w:rsidR="00FF0896" w:rsidRDefault="00FF0896" w:rsidP="00A43175">
            <w:pPr>
              <w:keepNext/>
              <w:ind w:left="-108"/>
              <w:jc w:val="both"/>
              <w:rPr>
                <w:rFonts w:ascii="Arial" w:hAnsi="Arial"/>
                <w:sz w:val="20"/>
              </w:rPr>
            </w:pPr>
          </w:p>
          <w:p w:rsidR="00FF0896" w:rsidRDefault="00FF0896" w:rsidP="00A43175">
            <w:pPr>
              <w:keepNext/>
              <w:ind w:left="-108"/>
              <w:jc w:val="both"/>
              <w:rPr>
                <w:rFonts w:ascii="Arial" w:hAnsi="Arial"/>
                <w:sz w:val="20"/>
              </w:rPr>
            </w:pPr>
          </w:p>
          <w:p w:rsidR="00FF0896" w:rsidRDefault="00FF0896" w:rsidP="00A43175">
            <w:pPr>
              <w:keepNext/>
              <w:ind w:left="-108"/>
              <w:jc w:val="both"/>
              <w:rPr>
                <w:rFonts w:ascii="Arial" w:hAnsi="Arial"/>
                <w:sz w:val="20"/>
              </w:rPr>
            </w:pPr>
            <w:r>
              <w:rPr>
                <w:rFonts w:ascii="Arial" w:hAnsi="Arial"/>
                <w:sz w:val="20"/>
              </w:rPr>
              <w:t>800 mg</w:t>
            </w:r>
          </w:p>
        </w:tc>
        <w:tc>
          <w:tcPr>
            <w:tcW w:w="850" w:type="dxa"/>
          </w:tcPr>
          <w:p w:rsidR="00FF0896" w:rsidRDefault="00FF0896" w:rsidP="00A43175">
            <w:pPr>
              <w:keepNext/>
              <w:ind w:left="-108"/>
              <w:jc w:val="both"/>
              <w:rPr>
                <w:rFonts w:ascii="Arial" w:hAnsi="Arial"/>
                <w:sz w:val="20"/>
              </w:rPr>
            </w:pPr>
          </w:p>
          <w:p w:rsidR="00FF0896" w:rsidRDefault="00FF0896" w:rsidP="00A43175">
            <w:pPr>
              <w:keepNext/>
              <w:ind w:left="-108"/>
              <w:jc w:val="both"/>
              <w:rPr>
                <w:rFonts w:ascii="Arial" w:hAnsi="Arial"/>
                <w:sz w:val="20"/>
              </w:rPr>
            </w:pPr>
          </w:p>
          <w:p w:rsidR="00FF0896" w:rsidRDefault="00FF0896" w:rsidP="00A43175">
            <w:pPr>
              <w:keepNext/>
              <w:ind w:left="-108"/>
              <w:jc w:val="both"/>
              <w:rPr>
                <w:rFonts w:ascii="Arial" w:hAnsi="Arial"/>
                <w:sz w:val="20"/>
              </w:rPr>
            </w:pPr>
            <w:r>
              <w:rPr>
                <w:rFonts w:ascii="Arial" w:hAnsi="Arial"/>
                <w:sz w:val="20"/>
              </w:rPr>
              <w:t>7</w:t>
            </w:r>
          </w:p>
        </w:tc>
        <w:tc>
          <w:tcPr>
            <w:tcW w:w="1701" w:type="dxa"/>
          </w:tcPr>
          <w:p w:rsidR="00FF0896" w:rsidRDefault="00FF0896" w:rsidP="00A43175">
            <w:pPr>
              <w:keepNext/>
              <w:ind w:left="-108"/>
              <w:jc w:val="both"/>
              <w:rPr>
                <w:rFonts w:ascii="Arial" w:hAnsi="Arial"/>
                <w:sz w:val="20"/>
              </w:rPr>
            </w:pPr>
          </w:p>
        </w:tc>
        <w:tc>
          <w:tcPr>
            <w:tcW w:w="1559" w:type="dxa"/>
          </w:tcPr>
          <w:p w:rsidR="00FF0896" w:rsidRDefault="00FF0896" w:rsidP="00A43175">
            <w:pPr>
              <w:keepNext/>
              <w:jc w:val="both"/>
              <w:rPr>
                <w:rFonts w:ascii="Arial" w:hAnsi="Arial"/>
                <w:sz w:val="20"/>
              </w:rPr>
            </w:pPr>
          </w:p>
        </w:tc>
        <w:tc>
          <w:tcPr>
            <w:tcW w:w="851" w:type="dxa"/>
          </w:tcPr>
          <w:p w:rsidR="00FF0896" w:rsidRDefault="00FF0896" w:rsidP="00A43175">
            <w:pPr>
              <w:keepNext/>
              <w:jc w:val="both"/>
              <w:rPr>
                <w:rFonts w:ascii="Arial" w:hAnsi="Arial"/>
                <w:sz w:val="20"/>
              </w:rPr>
            </w:pPr>
          </w:p>
        </w:tc>
      </w:tr>
      <w:tr w:rsidR="00FF0896" w:rsidTr="00A43175">
        <w:trPr>
          <w:cantSplit/>
          <w:trHeight w:val="360"/>
        </w:trPr>
        <w:tc>
          <w:tcPr>
            <w:tcW w:w="9214" w:type="dxa"/>
            <w:gridSpan w:val="7"/>
            <w:tcBorders>
              <w:bottom w:val="single" w:sz="4" w:space="0" w:color="auto"/>
            </w:tcBorders>
          </w:tcPr>
          <w:p w:rsidR="00FF0896" w:rsidRDefault="00FF0896" w:rsidP="00A43175">
            <w:pPr>
              <w:jc w:val="both"/>
              <w:rPr>
                <w:rFonts w:ascii="Arial" w:hAnsi="Arial"/>
                <w:sz w:val="20"/>
              </w:rPr>
            </w:pPr>
          </w:p>
          <w:p w:rsidR="00FF0896" w:rsidRDefault="00FF0896" w:rsidP="00A43175">
            <w:pPr>
              <w:jc w:val="both"/>
              <w:rPr>
                <w:rFonts w:ascii="Arial" w:hAnsi="Arial"/>
                <w:sz w:val="20"/>
              </w:rPr>
            </w:pPr>
            <w:r>
              <w:rPr>
                <w:rFonts w:ascii="Arial" w:hAnsi="Arial"/>
                <w:sz w:val="20"/>
              </w:rPr>
              <w:t>Available brands:</w:t>
            </w:r>
          </w:p>
          <w:p w:rsidR="00FF0896" w:rsidRPr="00E53A95" w:rsidRDefault="00FF0896" w:rsidP="00A43175">
            <w:pPr>
              <w:jc w:val="both"/>
              <w:rPr>
                <w:rFonts w:ascii="Arial" w:hAnsi="Arial"/>
                <w:sz w:val="20"/>
              </w:rPr>
            </w:pPr>
            <w:proofErr w:type="spellStart"/>
            <w:r w:rsidRPr="00E53A95">
              <w:rPr>
                <w:rFonts w:ascii="Arial" w:hAnsi="Arial"/>
                <w:sz w:val="20"/>
              </w:rPr>
              <w:t>Mabthera</w:t>
            </w:r>
            <w:proofErr w:type="spellEnd"/>
          </w:p>
          <w:p w:rsidR="00FF0896" w:rsidRPr="00E53A95" w:rsidRDefault="00FF0896" w:rsidP="00A43175">
            <w:pPr>
              <w:jc w:val="both"/>
              <w:rPr>
                <w:rFonts w:ascii="Arial" w:hAnsi="Arial"/>
                <w:sz w:val="20"/>
              </w:rPr>
            </w:pPr>
            <w:r w:rsidRPr="00E53A95">
              <w:rPr>
                <w:rFonts w:ascii="Arial" w:hAnsi="Arial"/>
                <w:sz w:val="20"/>
              </w:rPr>
              <w:t xml:space="preserve">(rituximab 100 mg/10 mL injection, 2 x 10 mL vials)  </w:t>
            </w:r>
          </w:p>
          <w:p w:rsidR="00FF0896" w:rsidRPr="00E53A95" w:rsidRDefault="00FF0896" w:rsidP="00A43175">
            <w:pPr>
              <w:jc w:val="both"/>
              <w:rPr>
                <w:rFonts w:ascii="Arial" w:hAnsi="Arial"/>
                <w:sz w:val="20"/>
              </w:rPr>
            </w:pPr>
            <w:proofErr w:type="spellStart"/>
            <w:r w:rsidRPr="00E53A95">
              <w:rPr>
                <w:rFonts w:ascii="Arial" w:hAnsi="Arial"/>
                <w:sz w:val="20"/>
              </w:rPr>
              <w:t>Mabthera</w:t>
            </w:r>
            <w:proofErr w:type="spellEnd"/>
          </w:p>
          <w:p w:rsidR="00FF0896" w:rsidRDefault="00FF0896" w:rsidP="00A43175">
            <w:pPr>
              <w:jc w:val="both"/>
              <w:rPr>
                <w:rFonts w:ascii="Arial" w:hAnsi="Arial"/>
                <w:sz w:val="20"/>
              </w:rPr>
            </w:pPr>
            <w:r w:rsidRPr="00E53A95">
              <w:rPr>
                <w:rFonts w:ascii="Arial" w:hAnsi="Arial"/>
                <w:sz w:val="20"/>
              </w:rPr>
              <w:t>(rituximab 500 mg/50 mL injection, 1 x 50 mL vial)</w:t>
            </w:r>
          </w:p>
          <w:p w:rsidR="00FF0896" w:rsidRDefault="00FF0896" w:rsidP="00A43175">
            <w:pPr>
              <w:jc w:val="both"/>
              <w:rPr>
                <w:rFonts w:ascii="Arial" w:hAnsi="Arial"/>
                <w:sz w:val="20"/>
              </w:rPr>
            </w:pPr>
          </w:p>
        </w:tc>
      </w:tr>
      <w:tr w:rsidR="00FF0896"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0896" w:rsidRPr="002B4E71" w:rsidRDefault="00FF0896" w:rsidP="00A43175">
            <w:pPr>
              <w:jc w:val="both"/>
              <w:rPr>
                <w:rFonts w:ascii="Arial Narrow" w:hAnsi="Arial Narrow" w:cs="Arial"/>
                <w:b/>
                <w:sz w:val="22"/>
                <w:szCs w:val="22"/>
              </w:rPr>
            </w:pPr>
            <w:r w:rsidRPr="002B4E71">
              <w:rPr>
                <w:rFonts w:ascii="Arial Narrow" w:hAnsi="Arial Narrow" w:cs="Arial"/>
                <w:b/>
                <w:sz w:val="22"/>
                <w:szCs w:val="22"/>
              </w:rPr>
              <w:t>Category/Program</w:t>
            </w:r>
          </w:p>
        </w:tc>
        <w:tc>
          <w:tcPr>
            <w:tcW w:w="7229" w:type="dxa"/>
            <w:gridSpan w:val="6"/>
            <w:tcBorders>
              <w:top w:val="single" w:sz="4" w:space="0" w:color="auto"/>
              <w:left w:val="single" w:sz="4" w:space="0" w:color="auto"/>
              <w:bottom w:val="single" w:sz="4" w:space="0" w:color="auto"/>
              <w:right w:val="single" w:sz="4" w:space="0" w:color="auto"/>
            </w:tcBorders>
          </w:tcPr>
          <w:p w:rsidR="00FF0896" w:rsidRPr="002B4E71" w:rsidRDefault="00FF0896" w:rsidP="00A43175">
            <w:pPr>
              <w:rPr>
                <w:rFonts w:ascii="Arial Narrow" w:hAnsi="Arial Narrow"/>
                <w:sz w:val="22"/>
                <w:szCs w:val="22"/>
              </w:rPr>
            </w:pPr>
            <w:r w:rsidRPr="002B4E71">
              <w:rPr>
                <w:rFonts w:ascii="Arial Narrow" w:hAnsi="Arial Narrow"/>
                <w:sz w:val="22"/>
                <w:szCs w:val="22"/>
              </w:rPr>
              <w:t>Chemotherapy items for Public/Private Hospital Use</w:t>
            </w:r>
          </w:p>
        </w:tc>
      </w:tr>
      <w:tr w:rsidR="00FF0896"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0896" w:rsidRPr="002B4E71" w:rsidRDefault="00FF0896" w:rsidP="00A43175">
            <w:pPr>
              <w:jc w:val="both"/>
              <w:rPr>
                <w:rFonts w:ascii="Arial Narrow" w:hAnsi="Arial Narrow" w:cs="Arial"/>
                <w:b/>
                <w:sz w:val="22"/>
                <w:szCs w:val="22"/>
              </w:rPr>
            </w:pPr>
            <w:proofErr w:type="spellStart"/>
            <w:r w:rsidRPr="002B4E71">
              <w:rPr>
                <w:rFonts w:ascii="Arial Narrow" w:hAnsi="Arial Narrow" w:cs="Arial"/>
                <w:b/>
                <w:sz w:val="22"/>
                <w:szCs w:val="22"/>
              </w:rPr>
              <w:t>Episodicity</w:t>
            </w:r>
            <w:proofErr w:type="spellEnd"/>
            <w:r w:rsidRPr="002B4E71">
              <w:rPr>
                <w:rFonts w:ascii="Arial Narrow" w:hAnsi="Arial Narrow" w:cs="Arial"/>
                <w:b/>
                <w:sz w:val="22"/>
                <w:szCs w:val="22"/>
              </w:rPr>
              <w:t>:</w:t>
            </w:r>
          </w:p>
        </w:tc>
        <w:tc>
          <w:tcPr>
            <w:tcW w:w="7229" w:type="dxa"/>
            <w:gridSpan w:val="6"/>
            <w:tcBorders>
              <w:top w:val="single" w:sz="4" w:space="0" w:color="auto"/>
              <w:left w:val="single" w:sz="4" w:space="0" w:color="auto"/>
              <w:bottom w:val="single" w:sz="4" w:space="0" w:color="auto"/>
              <w:right w:val="single" w:sz="4" w:space="0" w:color="auto"/>
            </w:tcBorders>
          </w:tcPr>
          <w:p w:rsidR="00FF0896" w:rsidRPr="002B4E71" w:rsidRDefault="00FF0896" w:rsidP="00FF0896">
            <w:pPr>
              <w:rPr>
                <w:rFonts w:ascii="Arial Narrow" w:hAnsi="Arial Narrow"/>
                <w:sz w:val="22"/>
                <w:szCs w:val="22"/>
              </w:rPr>
            </w:pPr>
            <w:r w:rsidRPr="002B4E71">
              <w:rPr>
                <w:rFonts w:ascii="Arial Narrow" w:hAnsi="Arial Narrow"/>
                <w:sz w:val="22"/>
                <w:szCs w:val="22"/>
              </w:rPr>
              <w:t xml:space="preserve">Relapsed or refractory </w:t>
            </w:r>
          </w:p>
        </w:tc>
      </w:tr>
      <w:tr w:rsidR="00FF0896"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0896" w:rsidRPr="002B4E71" w:rsidRDefault="00FF0896" w:rsidP="00A43175">
            <w:pPr>
              <w:jc w:val="both"/>
              <w:rPr>
                <w:rFonts w:ascii="Arial Narrow" w:hAnsi="Arial Narrow" w:cs="Arial"/>
                <w:b/>
                <w:sz w:val="22"/>
                <w:szCs w:val="22"/>
              </w:rPr>
            </w:pPr>
            <w:r w:rsidRPr="002B4E71">
              <w:rPr>
                <w:rFonts w:ascii="Arial Narrow" w:hAnsi="Arial Narrow" w:cs="Arial"/>
                <w:b/>
                <w:sz w:val="22"/>
                <w:szCs w:val="22"/>
              </w:rPr>
              <w:t>Severity:</w:t>
            </w:r>
          </w:p>
        </w:tc>
        <w:tc>
          <w:tcPr>
            <w:tcW w:w="7229" w:type="dxa"/>
            <w:gridSpan w:val="6"/>
            <w:tcBorders>
              <w:top w:val="single" w:sz="4" w:space="0" w:color="auto"/>
              <w:left w:val="single" w:sz="4" w:space="0" w:color="auto"/>
              <w:bottom w:val="single" w:sz="4" w:space="0" w:color="auto"/>
              <w:right w:val="single" w:sz="4" w:space="0" w:color="auto"/>
            </w:tcBorders>
          </w:tcPr>
          <w:p w:rsidR="00FF0896" w:rsidRPr="002B4E71" w:rsidRDefault="00FF0896" w:rsidP="00A43175">
            <w:pPr>
              <w:rPr>
                <w:rFonts w:ascii="Arial Narrow" w:hAnsi="Arial Narrow"/>
                <w:color w:val="FF00FF"/>
                <w:sz w:val="22"/>
                <w:szCs w:val="22"/>
              </w:rPr>
            </w:pPr>
            <w:r w:rsidRPr="000D1C92">
              <w:rPr>
                <w:rFonts w:ascii="Arial Narrow" w:hAnsi="Arial Narrow"/>
                <w:sz w:val="22"/>
                <w:szCs w:val="22"/>
              </w:rPr>
              <w:t xml:space="preserve">Stage III or IV </w:t>
            </w:r>
          </w:p>
        </w:tc>
      </w:tr>
      <w:tr w:rsidR="00FF0896"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0896" w:rsidRPr="002B4E71" w:rsidRDefault="00FF0896" w:rsidP="00A43175">
            <w:pPr>
              <w:jc w:val="both"/>
              <w:rPr>
                <w:rFonts w:ascii="Arial Narrow" w:hAnsi="Arial Narrow" w:cs="Arial"/>
                <w:b/>
                <w:sz w:val="22"/>
                <w:szCs w:val="22"/>
              </w:rPr>
            </w:pPr>
            <w:r w:rsidRPr="002B4E71">
              <w:rPr>
                <w:rFonts w:ascii="Arial Narrow" w:hAnsi="Arial Narrow" w:cs="Arial"/>
                <w:b/>
                <w:sz w:val="22"/>
                <w:szCs w:val="22"/>
              </w:rPr>
              <w:t>Condition:</w:t>
            </w:r>
          </w:p>
        </w:tc>
        <w:tc>
          <w:tcPr>
            <w:tcW w:w="7229" w:type="dxa"/>
            <w:gridSpan w:val="6"/>
            <w:tcBorders>
              <w:top w:val="single" w:sz="4" w:space="0" w:color="auto"/>
              <w:left w:val="single" w:sz="4" w:space="0" w:color="auto"/>
              <w:bottom w:val="single" w:sz="4" w:space="0" w:color="auto"/>
              <w:right w:val="single" w:sz="4" w:space="0" w:color="auto"/>
            </w:tcBorders>
          </w:tcPr>
          <w:p w:rsidR="00FF0896" w:rsidRPr="002B4E71" w:rsidRDefault="00FF0896" w:rsidP="00A43175">
            <w:pPr>
              <w:rPr>
                <w:rFonts w:ascii="Arial Narrow" w:hAnsi="Arial Narrow"/>
                <w:sz w:val="22"/>
                <w:szCs w:val="22"/>
              </w:rPr>
            </w:pPr>
            <w:r w:rsidRPr="002B4E71">
              <w:rPr>
                <w:rFonts w:ascii="Arial Narrow" w:hAnsi="Arial Narrow"/>
                <w:sz w:val="22"/>
                <w:szCs w:val="22"/>
              </w:rPr>
              <w:t>CD20 positive follicular B-cell Non-Hodgkin’s lymphoma</w:t>
            </w:r>
          </w:p>
          <w:p w:rsidR="00FF0896" w:rsidRPr="002B4E71" w:rsidRDefault="00FF0896" w:rsidP="00A43175">
            <w:pPr>
              <w:rPr>
                <w:rFonts w:ascii="Arial Narrow" w:hAnsi="Arial Narrow"/>
                <w:sz w:val="22"/>
                <w:szCs w:val="22"/>
              </w:rPr>
            </w:pPr>
          </w:p>
        </w:tc>
      </w:tr>
      <w:tr w:rsidR="00FF0896"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0896" w:rsidRPr="002B4E71" w:rsidRDefault="00FF0896" w:rsidP="00A43175">
            <w:pPr>
              <w:jc w:val="both"/>
              <w:rPr>
                <w:rFonts w:ascii="Arial Narrow" w:hAnsi="Arial Narrow" w:cs="Arial"/>
                <w:b/>
                <w:color w:val="FF00FF"/>
                <w:sz w:val="22"/>
                <w:szCs w:val="22"/>
              </w:rPr>
            </w:pPr>
            <w:r w:rsidRPr="002B4E71">
              <w:rPr>
                <w:rFonts w:ascii="Arial Narrow" w:hAnsi="Arial Narrow" w:cs="Arial"/>
                <w:b/>
                <w:sz w:val="22"/>
                <w:szCs w:val="22"/>
              </w:rPr>
              <w:t xml:space="preserve">Indication: </w:t>
            </w:r>
          </w:p>
        </w:tc>
        <w:tc>
          <w:tcPr>
            <w:tcW w:w="7229" w:type="dxa"/>
            <w:gridSpan w:val="6"/>
            <w:tcBorders>
              <w:top w:val="single" w:sz="4" w:space="0" w:color="auto"/>
              <w:left w:val="single" w:sz="4" w:space="0" w:color="auto"/>
              <w:bottom w:val="single" w:sz="4" w:space="0" w:color="auto"/>
              <w:right w:val="single" w:sz="4" w:space="0" w:color="auto"/>
            </w:tcBorders>
          </w:tcPr>
          <w:p w:rsidR="00FF0896" w:rsidRPr="002B4E71" w:rsidRDefault="00FF0896" w:rsidP="00A43175">
            <w:pPr>
              <w:rPr>
                <w:rFonts w:ascii="Arial Narrow" w:hAnsi="Arial Narrow"/>
                <w:color w:val="FF00FF"/>
                <w:sz w:val="22"/>
                <w:szCs w:val="22"/>
              </w:rPr>
            </w:pPr>
            <w:r w:rsidRPr="002B4E71">
              <w:rPr>
                <w:rFonts w:ascii="Arial Narrow" w:hAnsi="Arial Narrow"/>
                <w:sz w:val="22"/>
                <w:szCs w:val="22"/>
              </w:rPr>
              <w:t>Relapsed or refractory</w:t>
            </w:r>
            <w:r>
              <w:rPr>
                <w:rFonts w:ascii="Arial Narrow" w:hAnsi="Arial Narrow"/>
                <w:sz w:val="22"/>
                <w:szCs w:val="22"/>
              </w:rPr>
              <w:t xml:space="preserve"> Stage III or IV</w:t>
            </w:r>
            <w:r w:rsidRPr="002B4E71">
              <w:rPr>
                <w:rFonts w:ascii="Arial Narrow" w:hAnsi="Arial Narrow"/>
                <w:sz w:val="22"/>
                <w:szCs w:val="22"/>
              </w:rPr>
              <w:t xml:space="preserve"> CD20 positive follicular B-cell Non-Hodgkin’s lymphoma</w:t>
            </w:r>
          </w:p>
          <w:p w:rsidR="00FF0896" w:rsidRPr="002B4E71" w:rsidRDefault="00FF0896" w:rsidP="00A43175">
            <w:pPr>
              <w:rPr>
                <w:rFonts w:ascii="Arial Narrow" w:hAnsi="Arial Narrow"/>
                <w:sz w:val="22"/>
                <w:szCs w:val="22"/>
              </w:rPr>
            </w:pPr>
          </w:p>
        </w:tc>
      </w:tr>
      <w:tr w:rsidR="00FF0896"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0896" w:rsidRPr="002B4E71" w:rsidRDefault="00FF0896" w:rsidP="00A43175">
            <w:pPr>
              <w:jc w:val="both"/>
              <w:rPr>
                <w:rFonts w:ascii="Arial Narrow" w:hAnsi="Arial Narrow" w:cs="Arial"/>
                <w:i/>
                <w:sz w:val="22"/>
                <w:szCs w:val="22"/>
              </w:rPr>
            </w:pPr>
            <w:r w:rsidRPr="002B4E71">
              <w:rPr>
                <w:rFonts w:ascii="Arial Narrow" w:hAnsi="Arial Narrow" w:cs="Arial"/>
                <w:b/>
                <w:sz w:val="22"/>
                <w:szCs w:val="22"/>
              </w:rPr>
              <w:t xml:space="preserve">Treatment Phase: </w:t>
            </w:r>
          </w:p>
        </w:tc>
        <w:tc>
          <w:tcPr>
            <w:tcW w:w="7229" w:type="dxa"/>
            <w:gridSpan w:val="6"/>
            <w:tcBorders>
              <w:top w:val="single" w:sz="4" w:space="0" w:color="auto"/>
              <w:left w:val="single" w:sz="4" w:space="0" w:color="auto"/>
              <w:bottom w:val="single" w:sz="4" w:space="0" w:color="auto"/>
              <w:right w:val="single" w:sz="4" w:space="0" w:color="auto"/>
            </w:tcBorders>
          </w:tcPr>
          <w:p w:rsidR="00FF0896" w:rsidRPr="002B4E71" w:rsidRDefault="00FF0896" w:rsidP="00A43175">
            <w:pPr>
              <w:rPr>
                <w:rFonts w:ascii="Arial Narrow" w:hAnsi="Arial Narrow"/>
                <w:sz w:val="22"/>
                <w:szCs w:val="22"/>
              </w:rPr>
            </w:pPr>
            <w:r w:rsidRPr="002B4E71">
              <w:rPr>
                <w:rFonts w:ascii="Arial Narrow" w:hAnsi="Arial Narrow"/>
                <w:sz w:val="22"/>
                <w:szCs w:val="22"/>
              </w:rPr>
              <w:t>Maintenance therapy</w:t>
            </w:r>
          </w:p>
        </w:tc>
      </w:tr>
      <w:tr w:rsidR="00FF0896"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0896" w:rsidRPr="002B4E71" w:rsidRDefault="00FF0896" w:rsidP="00A43175">
            <w:pPr>
              <w:jc w:val="both"/>
              <w:rPr>
                <w:rFonts w:ascii="Arial Narrow" w:hAnsi="Arial Narrow" w:cs="Arial"/>
                <w:b/>
                <w:sz w:val="22"/>
                <w:szCs w:val="22"/>
              </w:rPr>
            </w:pPr>
            <w:r w:rsidRPr="002B4E71">
              <w:rPr>
                <w:rFonts w:ascii="Arial Narrow" w:hAnsi="Arial Narrow" w:cs="Arial"/>
                <w:b/>
                <w:sz w:val="22"/>
                <w:szCs w:val="22"/>
              </w:rPr>
              <w:t>Restriction level:</w:t>
            </w:r>
          </w:p>
          <w:p w:rsidR="00FF0896" w:rsidRPr="002B4E71" w:rsidRDefault="00FF0896" w:rsidP="00A43175">
            <w:pPr>
              <w:rPr>
                <w:rFonts w:ascii="Arial Narrow" w:hAnsi="Arial Narrow" w:cs="Arial"/>
                <w:sz w:val="22"/>
                <w:szCs w:val="22"/>
              </w:rPr>
            </w:pPr>
          </w:p>
        </w:tc>
        <w:tc>
          <w:tcPr>
            <w:tcW w:w="7229" w:type="dxa"/>
            <w:gridSpan w:val="6"/>
            <w:tcBorders>
              <w:top w:val="single" w:sz="4" w:space="0" w:color="auto"/>
              <w:left w:val="single" w:sz="4" w:space="0" w:color="auto"/>
              <w:bottom w:val="single" w:sz="4" w:space="0" w:color="auto"/>
              <w:right w:val="single" w:sz="4" w:space="0" w:color="auto"/>
            </w:tcBorders>
          </w:tcPr>
          <w:p w:rsidR="00FF0896" w:rsidRPr="002B4E71" w:rsidRDefault="00FF0896" w:rsidP="00A43175">
            <w:pPr>
              <w:rPr>
                <w:rFonts w:ascii="Arial Narrow" w:hAnsi="Arial Narrow"/>
                <w:sz w:val="22"/>
                <w:szCs w:val="22"/>
              </w:rPr>
            </w:pPr>
            <w:r w:rsidRPr="002B4E71">
              <w:rPr>
                <w:rFonts w:ascii="Arial Narrow" w:hAnsi="Arial Narrow"/>
                <w:sz w:val="22"/>
                <w:szCs w:val="22"/>
              </w:rPr>
              <w:t xml:space="preserve">Authority required (STREAMLINED) </w:t>
            </w:r>
          </w:p>
          <w:p w:rsidR="00FF0896" w:rsidRPr="002B4E71" w:rsidRDefault="00FF0896" w:rsidP="00A43175">
            <w:pPr>
              <w:rPr>
                <w:rFonts w:ascii="Arial Narrow" w:hAnsi="Arial Narrow"/>
                <w:sz w:val="22"/>
                <w:szCs w:val="22"/>
              </w:rPr>
            </w:pPr>
          </w:p>
        </w:tc>
      </w:tr>
      <w:tr w:rsidR="00FF0896"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0896" w:rsidRPr="002B4E71" w:rsidRDefault="00FF0896" w:rsidP="00A43175">
            <w:pPr>
              <w:jc w:val="both"/>
              <w:rPr>
                <w:rFonts w:ascii="Arial Narrow" w:hAnsi="Arial Narrow" w:cs="Arial"/>
                <w:sz w:val="22"/>
                <w:szCs w:val="22"/>
              </w:rPr>
            </w:pPr>
            <w:r w:rsidRPr="002B4E71">
              <w:rPr>
                <w:rFonts w:ascii="Arial Narrow" w:hAnsi="Arial Narrow" w:cs="Arial"/>
                <w:b/>
                <w:sz w:val="22"/>
                <w:szCs w:val="22"/>
              </w:rPr>
              <w:t xml:space="preserve">Treatment criteria: </w:t>
            </w:r>
          </w:p>
        </w:tc>
        <w:tc>
          <w:tcPr>
            <w:tcW w:w="7229" w:type="dxa"/>
            <w:gridSpan w:val="6"/>
            <w:tcBorders>
              <w:top w:val="single" w:sz="4" w:space="0" w:color="auto"/>
              <w:left w:val="single" w:sz="4" w:space="0" w:color="auto"/>
              <w:bottom w:val="single" w:sz="4" w:space="0" w:color="auto"/>
              <w:right w:val="single" w:sz="4" w:space="0" w:color="auto"/>
            </w:tcBorders>
          </w:tcPr>
          <w:p w:rsidR="00FF0896" w:rsidRPr="002B4E71" w:rsidRDefault="00FF0896" w:rsidP="00A43175">
            <w:pPr>
              <w:rPr>
                <w:rFonts w:ascii="Arial Narrow" w:hAnsi="Arial Narrow" w:cs="Arial"/>
                <w:color w:val="FF00FF"/>
                <w:sz w:val="22"/>
                <w:szCs w:val="22"/>
              </w:rPr>
            </w:pPr>
            <w:r w:rsidRPr="002B4E71">
              <w:rPr>
                <w:rFonts w:ascii="Arial Narrow" w:hAnsi="Arial Narrow" w:cs="Arial"/>
                <w:sz w:val="22"/>
                <w:szCs w:val="22"/>
              </w:rPr>
              <w:t>Patient must not receive more than 8 cycles or 2 years duration of treatment, whichever comes first, under this restriction</w:t>
            </w:r>
            <w:r>
              <w:rPr>
                <w:rFonts w:ascii="Arial Narrow" w:hAnsi="Arial Narrow" w:cs="Arial"/>
                <w:sz w:val="22"/>
                <w:szCs w:val="22"/>
              </w:rPr>
              <w:t>.</w:t>
            </w:r>
          </w:p>
          <w:p w:rsidR="00FF0896" w:rsidRPr="002B4E71" w:rsidRDefault="00FF0896" w:rsidP="00A43175">
            <w:pPr>
              <w:rPr>
                <w:rFonts w:ascii="Arial Narrow" w:hAnsi="Arial Narrow" w:cs="Arial"/>
                <w:sz w:val="22"/>
                <w:szCs w:val="22"/>
              </w:rPr>
            </w:pPr>
          </w:p>
        </w:tc>
      </w:tr>
      <w:tr w:rsidR="00FF0896"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0896" w:rsidRPr="002B4E71" w:rsidRDefault="00FF0896" w:rsidP="00A43175">
            <w:pPr>
              <w:jc w:val="both"/>
              <w:rPr>
                <w:rFonts w:ascii="Arial Narrow" w:hAnsi="Arial Narrow" w:cs="Arial"/>
                <w:b/>
                <w:sz w:val="22"/>
                <w:szCs w:val="22"/>
              </w:rPr>
            </w:pPr>
            <w:r w:rsidRPr="002B4E71">
              <w:rPr>
                <w:rFonts w:ascii="Arial Narrow" w:hAnsi="Arial Narrow" w:cs="Arial"/>
                <w:b/>
                <w:sz w:val="22"/>
                <w:szCs w:val="22"/>
              </w:rPr>
              <w:t xml:space="preserve">Clinical criteria: </w:t>
            </w:r>
          </w:p>
          <w:p w:rsidR="00FF0896" w:rsidRPr="002B4E71" w:rsidRDefault="00FF0896" w:rsidP="00A43175">
            <w:pPr>
              <w:jc w:val="both"/>
              <w:rPr>
                <w:rFonts w:ascii="Arial Narrow" w:hAnsi="Arial Narrow" w:cs="Arial"/>
                <w:sz w:val="22"/>
                <w:szCs w:val="22"/>
              </w:rPr>
            </w:pPr>
          </w:p>
        </w:tc>
        <w:tc>
          <w:tcPr>
            <w:tcW w:w="7229" w:type="dxa"/>
            <w:gridSpan w:val="6"/>
            <w:tcBorders>
              <w:top w:val="single" w:sz="4" w:space="0" w:color="auto"/>
              <w:left w:val="single" w:sz="4" w:space="0" w:color="auto"/>
              <w:bottom w:val="single" w:sz="4" w:space="0" w:color="auto"/>
              <w:right w:val="single" w:sz="4" w:space="0" w:color="auto"/>
            </w:tcBorders>
          </w:tcPr>
          <w:p w:rsidR="00FF0896" w:rsidRPr="002B4E71" w:rsidRDefault="00FF0896" w:rsidP="00A43175">
            <w:pPr>
              <w:jc w:val="both"/>
              <w:rPr>
                <w:rFonts w:ascii="Arial Narrow" w:hAnsi="Arial Narrow" w:cs="Arial"/>
                <w:color w:val="FF00FF"/>
                <w:sz w:val="22"/>
                <w:szCs w:val="22"/>
              </w:rPr>
            </w:pPr>
            <w:r w:rsidRPr="002B4E71">
              <w:rPr>
                <w:rFonts w:ascii="Arial Narrow" w:hAnsi="Arial Narrow" w:cs="Arial"/>
                <w:sz w:val="22"/>
                <w:szCs w:val="22"/>
              </w:rPr>
              <w:t>The treatment must be for maintenance therapy</w:t>
            </w:r>
          </w:p>
          <w:p w:rsidR="00FF0896" w:rsidRPr="002B4E71" w:rsidRDefault="00FF0896" w:rsidP="00A43175">
            <w:pPr>
              <w:jc w:val="both"/>
              <w:rPr>
                <w:rFonts w:ascii="Arial Narrow" w:hAnsi="Arial Narrow" w:cs="Arial"/>
                <w:sz w:val="22"/>
                <w:szCs w:val="22"/>
              </w:rPr>
            </w:pPr>
            <w:r w:rsidRPr="002B4E71">
              <w:rPr>
                <w:rFonts w:ascii="Arial Narrow" w:hAnsi="Arial Narrow" w:cs="Arial"/>
                <w:sz w:val="22"/>
                <w:szCs w:val="22"/>
              </w:rPr>
              <w:t>AND</w:t>
            </w:r>
          </w:p>
          <w:p w:rsidR="00FF0896" w:rsidRPr="002B4E71" w:rsidRDefault="00FF0896" w:rsidP="00A43175">
            <w:pPr>
              <w:jc w:val="both"/>
              <w:rPr>
                <w:rFonts w:ascii="Arial Narrow" w:hAnsi="Arial Narrow" w:cs="Arial"/>
                <w:color w:val="FF00FF"/>
                <w:sz w:val="22"/>
                <w:szCs w:val="22"/>
              </w:rPr>
            </w:pPr>
            <w:r w:rsidRPr="002B4E71">
              <w:rPr>
                <w:rFonts w:ascii="Arial Narrow" w:hAnsi="Arial Narrow" w:cs="Arial"/>
                <w:sz w:val="22"/>
                <w:szCs w:val="22"/>
              </w:rPr>
              <w:t>Patient must have demonstrated a partial or complete response to re-induction treatment received immediately prior to this current Authority application</w:t>
            </w:r>
          </w:p>
          <w:p w:rsidR="00FF0896" w:rsidRPr="002B4E71" w:rsidRDefault="00FF0896" w:rsidP="00A43175">
            <w:pPr>
              <w:jc w:val="both"/>
              <w:rPr>
                <w:rFonts w:ascii="Arial Narrow" w:hAnsi="Arial Narrow" w:cs="Arial"/>
                <w:sz w:val="22"/>
                <w:szCs w:val="22"/>
              </w:rPr>
            </w:pPr>
          </w:p>
        </w:tc>
      </w:tr>
      <w:tr w:rsidR="00FF0896"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0896" w:rsidRPr="002B4E71" w:rsidRDefault="00FF0896" w:rsidP="00A43175">
            <w:pPr>
              <w:jc w:val="both"/>
              <w:rPr>
                <w:rFonts w:ascii="Arial Narrow" w:hAnsi="Arial Narrow" w:cs="Arial"/>
                <w:b/>
                <w:sz w:val="22"/>
                <w:szCs w:val="22"/>
              </w:rPr>
            </w:pPr>
            <w:r w:rsidRPr="002B4E71">
              <w:rPr>
                <w:rFonts w:ascii="Arial Narrow" w:hAnsi="Arial Narrow" w:cs="Arial"/>
                <w:b/>
                <w:sz w:val="22"/>
                <w:szCs w:val="22"/>
              </w:rPr>
              <w:t xml:space="preserve">Administrative Advice </w:t>
            </w:r>
          </w:p>
          <w:p w:rsidR="00FF0896" w:rsidRPr="002B4E71" w:rsidRDefault="00FF0896" w:rsidP="00A43175">
            <w:pPr>
              <w:jc w:val="both"/>
              <w:rPr>
                <w:rFonts w:ascii="Arial Narrow" w:hAnsi="Arial Narrow" w:cs="Arial"/>
                <w:i/>
                <w:sz w:val="22"/>
                <w:szCs w:val="22"/>
              </w:rPr>
            </w:pPr>
          </w:p>
        </w:tc>
        <w:tc>
          <w:tcPr>
            <w:tcW w:w="7229" w:type="dxa"/>
            <w:gridSpan w:val="6"/>
            <w:tcBorders>
              <w:top w:val="single" w:sz="4" w:space="0" w:color="auto"/>
              <w:left w:val="single" w:sz="4" w:space="0" w:color="auto"/>
              <w:bottom w:val="single" w:sz="4" w:space="0" w:color="auto"/>
              <w:right w:val="single" w:sz="4" w:space="0" w:color="auto"/>
            </w:tcBorders>
          </w:tcPr>
          <w:p w:rsidR="00FF0896" w:rsidRPr="002B4E71" w:rsidRDefault="00FF0896" w:rsidP="00A43175">
            <w:pPr>
              <w:rPr>
                <w:rFonts w:ascii="Arial Narrow" w:hAnsi="Arial Narrow" w:cs="Arial"/>
                <w:sz w:val="22"/>
                <w:szCs w:val="22"/>
              </w:rPr>
            </w:pPr>
            <w:r w:rsidRPr="002B4E71">
              <w:rPr>
                <w:rFonts w:ascii="Arial Narrow" w:hAnsi="Arial Narrow" w:cs="Arial"/>
                <w:sz w:val="22"/>
                <w:szCs w:val="22"/>
                <w:u w:val="single"/>
              </w:rPr>
              <w:t>NOTE</w:t>
            </w:r>
            <w:r w:rsidRPr="002B4E71">
              <w:rPr>
                <w:rFonts w:ascii="Arial Narrow" w:hAnsi="Arial Narrow" w:cs="Arial"/>
                <w:sz w:val="22"/>
                <w:szCs w:val="22"/>
              </w:rPr>
              <w:t>:</w:t>
            </w:r>
          </w:p>
          <w:p w:rsidR="00FF0896" w:rsidRPr="002B4E71" w:rsidRDefault="00FF0896" w:rsidP="00A43175">
            <w:pPr>
              <w:rPr>
                <w:rFonts w:ascii="Arial Narrow" w:hAnsi="Arial Narrow" w:cs="Arial"/>
                <w:sz w:val="22"/>
                <w:szCs w:val="22"/>
              </w:rPr>
            </w:pPr>
            <w:r w:rsidRPr="002B4E71">
              <w:rPr>
                <w:rFonts w:ascii="Arial Narrow" w:hAnsi="Arial Narrow" w:cs="Arial"/>
                <w:sz w:val="22"/>
                <w:szCs w:val="22"/>
              </w:rPr>
              <w:t>No increase in the maximum number of repeats may be authorised.</w:t>
            </w:r>
          </w:p>
          <w:p w:rsidR="00FF0896" w:rsidRPr="002B4E71" w:rsidRDefault="00FF0896" w:rsidP="00A43175">
            <w:pPr>
              <w:rPr>
                <w:rFonts w:ascii="Arial Narrow" w:hAnsi="Arial Narrow" w:cs="Arial"/>
                <w:sz w:val="22"/>
                <w:szCs w:val="22"/>
              </w:rPr>
            </w:pPr>
          </w:p>
          <w:p w:rsidR="00FF0896" w:rsidRPr="002B4E71" w:rsidRDefault="00FF0896" w:rsidP="00A43175">
            <w:pPr>
              <w:rPr>
                <w:rFonts w:ascii="Arial Narrow" w:hAnsi="Arial Narrow" w:cs="Arial"/>
                <w:sz w:val="22"/>
                <w:szCs w:val="22"/>
                <w:u w:val="single"/>
              </w:rPr>
            </w:pPr>
            <w:r w:rsidRPr="002B4E71">
              <w:rPr>
                <w:rFonts w:ascii="Arial Narrow" w:hAnsi="Arial Narrow" w:cs="Arial"/>
                <w:sz w:val="22"/>
                <w:szCs w:val="22"/>
                <w:u w:val="single"/>
              </w:rPr>
              <w:t>NOTE:</w:t>
            </w:r>
          </w:p>
          <w:p w:rsidR="00FF0896" w:rsidRPr="002B4E71" w:rsidRDefault="00FF0896" w:rsidP="00A43175">
            <w:pPr>
              <w:rPr>
                <w:rFonts w:ascii="Arial Narrow" w:hAnsi="Arial Narrow" w:cs="Arial"/>
                <w:sz w:val="22"/>
                <w:szCs w:val="22"/>
              </w:rPr>
            </w:pPr>
            <w:r w:rsidRPr="002B4E71">
              <w:rPr>
                <w:rFonts w:ascii="Arial Narrow" w:hAnsi="Arial Narrow" w:cs="Arial"/>
                <w:sz w:val="22"/>
                <w:szCs w:val="22"/>
              </w:rPr>
              <w:t>Special pricing arrangements apply</w:t>
            </w:r>
          </w:p>
        </w:tc>
      </w:tr>
    </w:tbl>
    <w:p w:rsidR="00FF0896" w:rsidRDefault="00FF0896" w:rsidP="00FF0896"/>
    <w:p w:rsidR="00FF0896" w:rsidRDefault="00FF0896"/>
    <w:p w:rsidR="00343FEE" w:rsidRPr="00343FEE" w:rsidRDefault="00343FEE" w:rsidP="00343FEE">
      <w:pPr>
        <w:keepNext/>
        <w:keepLines/>
        <w:rPr>
          <w:rFonts w:ascii="Arial" w:hAnsi="Arial"/>
          <w:b/>
          <w:sz w:val="22"/>
          <w:szCs w:val="22"/>
          <w:u w:val="single"/>
        </w:rPr>
      </w:pPr>
      <w:r w:rsidRPr="00343FEE">
        <w:rPr>
          <w:rFonts w:ascii="Arial" w:hAnsi="Arial"/>
          <w:b/>
          <w:sz w:val="22"/>
          <w:szCs w:val="22"/>
          <w:u w:val="single"/>
        </w:rPr>
        <w:t xml:space="preserve">Clarification of existing listings for rituximab induction </w:t>
      </w:r>
    </w:p>
    <w:p w:rsidR="00343FEE" w:rsidRDefault="00343FEE" w:rsidP="00343FEE"/>
    <w:p w:rsidR="008C1997" w:rsidRPr="008C1997" w:rsidRDefault="008C1997" w:rsidP="008C1997">
      <w:pPr>
        <w:rPr>
          <w:rFonts w:ascii="Arial" w:hAnsi="Arial"/>
          <w:sz w:val="22"/>
          <w:szCs w:val="22"/>
          <w:u w:val="single"/>
        </w:rPr>
      </w:pPr>
      <w:r w:rsidRPr="008C1997">
        <w:rPr>
          <w:rFonts w:ascii="Arial" w:hAnsi="Arial"/>
          <w:sz w:val="22"/>
          <w:szCs w:val="22"/>
          <w:u w:val="single"/>
        </w:rPr>
        <w:t>Induction for previously untreated diffuse large B-cell disease:</w:t>
      </w:r>
    </w:p>
    <w:p w:rsidR="008C1997" w:rsidRPr="008C1997" w:rsidRDefault="008C1997" w:rsidP="008C1997">
      <w:pPr>
        <w:rPr>
          <w:lang w:eastAsia="en-US"/>
        </w:rPr>
      </w:pPr>
    </w:p>
    <w:tbl>
      <w:tblPr>
        <w:tblW w:w="9214" w:type="dxa"/>
        <w:tblInd w:w="108" w:type="dxa"/>
        <w:tblLayout w:type="fixed"/>
        <w:tblLook w:val="0000" w:firstRow="0" w:lastRow="0" w:firstColumn="0" w:lastColumn="0" w:noHBand="0" w:noVBand="0"/>
      </w:tblPr>
      <w:tblGrid>
        <w:gridCol w:w="1985"/>
        <w:gridCol w:w="1276"/>
        <w:gridCol w:w="992"/>
        <w:gridCol w:w="850"/>
        <w:gridCol w:w="1701"/>
        <w:gridCol w:w="1559"/>
        <w:gridCol w:w="851"/>
      </w:tblGrid>
      <w:tr w:rsidR="008C1997" w:rsidRPr="008C1997" w:rsidTr="00A43175">
        <w:trPr>
          <w:cantSplit/>
          <w:trHeight w:val="471"/>
        </w:trPr>
        <w:tc>
          <w:tcPr>
            <w:tcW w:w="3261" w:type="dxa"/>
            <w:gridSpan w:val="2"/>
            <w:tcBorders>
              <w:bottom w:val="single" w:sz="4" w:space="0" w:color="auto"/>
            </w:tcBorders>
          </w:tcPr>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lastRenderedPageBreak/>
              <w:t>Name, Restriction,</w:t>
            </w:r>
          </w:p>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t>Manner of administration and form</w:t>
            </w:r>
          </w:p>
        </w:tc>
        <w:tc>
          <w:tcPr>
            <w:tcW w:w="992" w:type="dxa"/>
            <w:tcBorders>
              <w:bottom w:val="single" w:sz="4" w:space="0" w:color="auto"/>
            </w:tcBorders>
          </w:tcPr>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t>Max.</w:t>
            </w:r>
          </w:p>
          <w:p w:rsidR="008C1997" w:rsidRPr="008C1997" w:rsidRDefault="008C1997" w:rsidP="008C1997">
            <w:pPr>
              <w:keepNext/>
              <w:ind w:left="-108"/>
              <w:jc w:val="both"/>
              <w:rPr>
                <w:rFonts w:ascii="Arial" w:hAnsi="Arial"/>
                <w:sz w:val="20"/>
                <w:lang w:val="en-US" w:eastAsia="en-US"/>
              </w:rPr>
            </w:pPr>
            <w:proofErr w:type="spellStart"/>
            <w:r w:rsidRPr="008C1997">
              <w:rPr>
                <w:rFonts w:ascii="Arial" w:hAnsi="Arial"/>
                <w:sz w:val="20"/>
                <w:lang w:val="en-US" w:eastAsia="en-US"/>
              </w:rPr>
              <w:t>Amt</w:t>
            </w:r>
            <w:proofErr w:type="spellEnd"/>
          </w:p>
        </w:tc>
        <w:tc>
          <w:tcPr>
            <w:tcW w:w="850" w:type="dxa"/>
            <w:tcBorders>
              <w:bottom w:val="single" w:sz="4" w:space="0" w:color="auto"/>
            </w:tcBorders>
          </w:tcPr>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t>№.of</w:t>
            </w:r>
          </w:p>
          <w:p w:rsidR="008C1997" w:rsidRPr="008C1997" w:rsidRDefault="008C1997" w:rsidP="008C1997">
            <w:pPr>
              <w:keepNext/>
              <w:ind w:left="-108"/>
              <w:jc w:val="both"/>
              <w:rPr>
                <w:rFonts w:ascii="Arial" w:hAnsi="Arial"/>
                <w:sz w:val="20"/>
                <w:lang w:val="en-US" w:eastAsia="en-US"/>
              </w:rPr>
            </w:pPr>
            <w:proofErr w:type="spellStart"/>
            <w:r w:rsidRPr="008C1997">
              <w:rPr>
                <w:rFonts w:ascii="Arial" w:hAnsi="Arial"/>
                <w:sz w:val="20"/>
                <w:lang w:val="en-US" w:eastAsia="en-US"/>
              </w:rPr>
              <w:t>Rpts</w:t>
            </w:r>
            <w:proofErr w:type="spellEnd"/>
          </w:p>
        </w:tc>
        <w:tc>
          <w:tcPr>
            <w:tcW w:w="1701" w:type="dxa"/>
            <w:tcBorders>
              <w:bottom w:val="single" w:sz="4" w:space="0" w:color="auto"/>
            </w:tcBorders>
          </w:tcPr>
          <w:p w:rsidR="008C1997" w:rsidRPr="008C1997" w:rsidRDefault="008C1997" w:rsidP="008C1997">
            <w:pPr>
              <w:keepNext/>
              <w:ind w:left="-108"/>
              <w:jc w:val="both"/>
              <w:rPr>
                <w:rFonts w:ascii="Arial" w:hAnsi="Arial"/>
                <w:sz w:val="20"/>
                <w:lang w:val="en-US" w:eastAsia="en-US"/>
              </w:rPr>
            </w:pPr>
          </w:p>
        </w:tc>
        <w:tc>
          <w:tcPr>
            <w:tcW w:w="2410" w:type="dxa"/>
            <w:gridSpan w:val="2"/>
            <w:tcBorders>
              <w:bottom w:val="single" w:sz="4" w:space="0" w:color="auto"/>
            </w:tcBorders>
          </w:tcPr>
          <w:p w:rsidR="008C1997" w:rsidRPr="008C1997" w:rsidRDefault="008C1997" w:rsidP="008C1997">
            <w:pPr>
              <w:keepNext/>
              <w:jc w:val="both"/>
              <w:rPr>
                <w:rFonts w:ascii="Arial" w:hAnsi="Arial"/>
                <w:sz w:val="20"/>
                <w:lang w:val="fr-FR" w:eastAsia="en-US"/>
              </w:rPr>
            </w:pPr>
          </w:p>
        </w:tc>
      </w:tr>
      <w:tr w:rsidR="008C1997" w:rsidRPr="008C1997" w:rsidTr="00A43175">
        <w:trPr>
          <w:cantSplit/>
          <w:trHeight w:val="577"/>
        </w:trPr>
        <w:tc>
          <w:tcPr>
            <w:tcW w:w="3261" w:type="dxa"/>
            <w:gridSpan w:val="2"/>
          </w:tcPr>
          <w:p w:rsidR="008C1997" w:rsidRPr="008C1997" w:rsidRDefault="008C1997" w:rsidP="008C1997">
            <w:pPr>
              <w:keepNext/>
              <w:ind w:left="-108"/>
              <w:jc w:val="both"/>
              <w:rPr>
                <w:rFonts w:ascii="Arial" w:hAnsi="Arial"/>
                <w:smallCaps/>
                <w:sz w:val="20"/>
                <w:szCs w:val="20"/>
                <w:lang w:val="en-US" w:eastAsia="en-US"/>
              </w:rPr>
            </w:pPr>
            <w:r w:rsidRPr="008C1997">
              <w:rPr>
                <w:rFonts w:ascii="Arial" w:hAnsi="Arial"/>
                <w:smallCaps/>
                <w:sz w:val="20"/>
                <w:szCs w:val="20"/>
                <w:lang w:val="en-US" w:eastAsia="en-US"/>
              </w:rPr>
              <w:t>Rituximab</w:t>
            </w:r>
          </w:p>
          <w:p w:rsidR="008C1997" w:rsidRPr="008C1997" w:rsidRDefault="008C1997" w:rsidP="008C1997">
            <w:pPr>
              <w:keepNext/>
              <w:ind w:left="-108"/>
              <w:jc w:val="both"/>
              <w:rPr>
                <w:rFonts w:ascii="Arial" w:hAnsi="Arial"/>
                <w:sz w:val="20"/>
                <w:szCs w:val="20"/>
                <w:lang w:val="en-US" w:eastAsia="en-US"/>
              </w:rPr>
            </w:pPr>
          </w:p>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t>Injection</w:t>
            </w:r>
          </w:p>
        </w:tc>
        <w:tc>
          <w:tcPr>
            <w:tcW w:w="992" w:type="dxa"/>
          </w:tcPr>
          <w:p w:rsidR="008C1997" w:rsidRPr="008C1997" w:rsidRDefault="008C1997" w:rsidP="008C1997">
            <w:pPr>
              <w:keepNext/>
              <w:ind w:left="-108"/>
              <w:jc w:val="both"/>
              <w:rPr>
                <w:rFonts w:ascii="Arial" w:hAnsi="Arial"/>
                <w:sz w:val="20"/>
                <w:lang w:val="en-US" w:eastAsia="en-US"/>
              </w:rPr>
            </w:pPr>
          </w:p>
          <w:p w:rsidR="008C1997" w:rsidRPr="008C1997" w:rsidRDefault="008C1997" w:rsidP="008C1997">
            <w:pPr>
              <w:keepNext/>
              <w:ind w:left="-108"/>
              <w:jc w:val="both"/>
              <w:rPr>
                <w:rFonts w:ascii="Arial" w:hAnsi="Arial"/>
                <w:sz w:val="20"/>
                <w:lang w:val="en-US" w:eastAsia="en-US"/>
              </w:rPr>
            </w:pPr>
          </w:p>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t>800 mg</w:t>
            </w:r>
          </w:p>
        </w:tc>
        <w:tc>
          <w:tcPr>
            <w:tcW w:w="850" w:type="dxa"/>
          </w:tcPr>
          <w:p w:rsidR="008C1997" w:rsidRPr="008C1997" w:rsidRDefault="008C1997" w:rsidP="008C1997">
            <w:pPr>
              <w:keepNext/>
              <w:ind w:left="-108"/>
              <w:jc w:val="both"/>
              <w:rPr>
                <w:rFonts w:ascii="Arial" w:hAnsi="Arial"/>
                <w:sz w:val="20"/>
                <w:lang w:val="en-US" w:eastAsia="en-US"/>
              </w:rPr>
            </w:pPr>
          </w:p>
          <w:p w:rsidR="008C1997" w:rsidRPr="008C1997" w:rsidRDefault="008C1997" w:rsidP="008C1997">
            <w:pPr>
              <w:keepNext/>
              <w:ind w:left="-108"/>
              <w:jc w:val="both"/>
              <w:rPr>
                <w:rFonts w:ascii="Arial" w:hAnsi="Arial"/>
                <w:sz w:val="20"/>
                <w:lang w:val="en-US" w:eastAsia="en-US"/>
              </w:rPr>
            </w:pPr>
          </w:p>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t>7</w:t>
            </w:r>
          </w:p>
        </w:tc>
        <w:tc>
          <w:tcPr>
            <w:tcW w:w="1701" w:type="dxa"/>
          </w:tcPr>
          <w:p w:rsidR="008C1997" w:rsidRPr="008C1997" w:rsidRDefault="008C1997" w:rsidP="008C1997">
            <w:pPr>
              <w:keepNext/>
              <w:ind w:left="-108"/>
              <w:jc w:val="both"/>
              <w:rPr>
                <w:rFonts w:ascii="Arial" w:hAnsi="Arial"/>
                <w:sz w:val="20"/>
                <w:lang w:val="en-US" w:eastAsia="en-US"/>
              </w:rPr>
            </w:pPr>
          </w:p>
        </w:tc>
        <w:tc>
          <w:tcPr>
            <w:tcW w:w="1559" w:type="dxa"/>
          </w:tcPr>
          <w:p w:rsidR="008C1997" w:rsidRPr="008C1997" w:rsidRDefault="008C1997" w:rsidP="008C1997">
            <w:pPr>
              <w:keepNext/>
              <w:jc w:val="both"/>
              <w:rPr>
                <w:rFonts w:ascii="Arial" w:hAnsi="Arial"/>
                <w:sz w:val="20"/>
                <w:lang w:val="en-US" w:eastAsia="en-US"/>
              </w:rPr>
            </w:pPr>
          </w:p>
        </w:tc>
        <w:tc>
          <w:tcPr>
            <w:tcW w:w="851" w:type="dxa"/>
          </w:tcPr>
          <w:p w:rsidR="008C1997" w:rsidRPr="008C1997" w:rsidRDefault="008C1997" w:rsidP="008C1997">
            <w:pPr>
              <w:keepNext/>
              <w:jc w:val="both"/>
              <w:rPr>
                <w:rFonts w:ascii="Arial" w:hAnsi="Arial"/>
                <w:sz w:val="20"/>
                <w:lang w:val="en-US" w:eastAsia="en-US"/>
              </w:rPr>
            </w:pPr>
          </w:p>
        </w:tc>
      </w:tr>
      <w:tr w:rsidR="008C1997" w:rsidRPr="008C1997" w:rsidTr="00A43175">
        <w:trPr>
          <w:cantSplit/>
          <w:trHeight w:val="360"/>
        </w:trPr>
        <w:tc>
          <w:tcPr>
            <w:tcW w:w="9214" w:type="dxa"/>
            <w:gridSpan w:val="7"/>
            <w:tcBorders>
              <w:bottom w:val="single" w:sz="4" w:space="0" w:color="auto"/>
            </w:tcBorders>
          </w:tcPr>
          <w:p w:rsidR="008C1997" w:rsidRPr="008C1997" w:rsidRDefault="008C1997" w:rsidP="008C1997">
            <w:pPr>
              <w:jc w:val="both"/>
              <w:rPr>
                <w:rFonts w:ascii="Arial" w:hAnsi="Arial"/>
                <w:sz w:val="20"/>
                <w:lang w:val="en-US" w:eastAsia="en-US"/>
              </w:rPr>
            </w:pPr>
          </w:p>
          <w:p w:rsidR="008C1997" w:rsidRPr="008C1997" w:rsidRDefault="008C1997" w:rsidP="008C1997">
            <w:pPr>
              <w:jc w:val="both"/>
              <w:rPr>
                <w:rFonts w:ascii="Arial" w:hAnsi="Arial"/>
                <w:sz w:val="20"/>
                <w:lang w:val="en-US" w:eastAsia="en-US"/>
              </w:rPr>
            </w:pPr>
            <w:r w:rsidRPr="008C1997">
              <w:rPr>
                <w:rFonts w:ascii="Arial" w:hAnsi="Arial"/>
                <w:sz w:val="20"/>
                <w:lang w:val="en-US" w:eastAsia="en-US"/>
              </w:rPr>
              <w:t>Available brands:</w:t>
            </w:r>
          </w:p>
          <w:p w:rsidR="008C1997" w:rsidRPr="008C1997" w:rsidRDefault="008C1997" w:rsidP="008C1997">
            <w:pPr>
              <w:jc w:val="both"/>
              <w:rPr>
                <w:rFonts w:ascii="Arial" w:hAnsi="Arial"/>
                <w:sz w:val="20"/>
                <w:lang w:val="en-US" w:eastAsia="en-US"/>
              </w:rPr>
            </w:pPr>
            <w:proofErr w:type="spellStart"/>
            <w:r w:rsidRPr="008C1997">
              <w:rPr>
                <w:rFonts w:ascii="Arial" w:hAnsi="Arial"/>
                <w:sz w:val="20"/>
                <w:lang w:val="en-US" w:eastAsia="en-US"/>
              </w:rPr>
              <w:t>Mabthera</w:t>
            </w:r>
            <w:proofErr w:type="spellEnd"/>
          </w:p>
          <w:p w:rsidR="008C1997" w:rsidRPr="008C1997" w:rsidRDefault="008C1997" w:rsidP="008C1997">
            <w:pPr>
              <w:jc w:val="both"/>
              <w:rPr>
                <w:rFonts w:ascii="Arial" w:hAnsi="Arial"/>
                <w:sz w:val="20"/>
                <w:lang w:val="en-US" w:eastAsia="en-US"/>
              </w:rPr>
            </w:pPr>
            <w:r w:rsidRPr="008C1997">
              <w:rPr>
                <w:rFonts w:ascii="Arial" w:hAnsi="Arial"/>
                <w:sz w:val="20"/>
                <w:lang w:val="en-US" w:eastAsia="en-US"/>
              </w:rPr>
              <w:t xml:space="preserve">(rituximab 100 mg/10 mL injection, 2 x 10 mL vials)  </w:t>
            </w:r>
          </w:p>
          <w:p w:rsidR="008C1997" w:rsidRPr="008C1997" w:rsidRDefault="008C1997" w:rsidP="008C1997">
            <w:pPr>
              <w:jc w:val="both"/>
              <w:rPr>
                <w:rFonts w:ascii="Arial" w:hAnsi="Arial"/>
                <w:sz w:val="20"/>
                <w:lang w:val="en-US" w:eastAsia="en-US"/>
              </w:rPr>
            </w:pPr>
            <w:proofErr w:type="spellStart"/>
            <w:r w:rsidRPr="008C1997">
              <w:rPr>
                <w:rFonts w:ascii="Arial" w:hAnsi="Arial"/>
                <w:sz w:val="20"/>
                <w:lang w:val="en-US" w:eastAsia="en-US"/>
              </w:rPr>
              <w:t>Mabthera</w:t>
            </w:r>
            <w:proofErr w:type="spellEnd"/>
          </w:p>
          <w:p w:rsidR="008C1997" w:rsidRPr="008C1997" w:rsidRDefault="008C1997" w:rsidP="008C1997">
            <w:pPr>
              <w:jc w:val="both"/>
              <w:rPr>
                <w:rFonts w:ascii="Arial" w:hAnsi="Arial"/>
                <w:sz w:val="20"/>
                <w:lang w:val="en-US" w:eastAsia="en-US"/>
              </w:rPr>
            </w:pPr>
            <w:r w:rsidRPr="008C1997">
              <w:rPr>
                <w:rFonts w:ascii="Arial" w:hAnsi="Arial"/>
                <w:sz w:val="20"/>
                <w:lang w:val="en-US" w:eastAsia="en-US"/>
              </w:rPr>
              <w:t>(rituximab 500 mg/50 mL injection, 1 x 50 mL vial)</w:t>
            </w:r>
          </w:p>
          <w:p w:rsidR="008C1997" w:rsidRPr="008C1997" w:rsidRDefault="008C1997" w:rsidP="008C1997">
            <w:pPr>
              <w:jc w:val="both"/>
              <w:rPr>
                <w:rFonts w:ascii="Arial" w:hAnsi="Arial"/>
                <w:sz w:val="20"/>
                <w:lang w:val="en-US" w:eastAsia="en-US"/>
              </w:rPr>
            </w:pP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Category/Program</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Chemotherapy items for Public/Private Hospital Use</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sz w:val="22"/>
                <w:szCs w:val="22"/>
                <w:lang w:val="en-US" w:eastAsia="en-US"/>
              </w:rPr>
            </w:pPr>
            <w:proofErr w:type="spellStart"/>
            <w:r w:rsidRPr="008C1997">
              <w:rPr>
                <w:rFonts w:ascii="Arial Narrow" w:hAnsi="Arial Narrow" w:cs="Arial"/>
                <w:b/>
                <w:sz w:val="22"/>
                <w:szCs w:val="22"/>
                <w:lang w:val="en-US" w:eastAsia="en-US"/>
              </w:rPr>
              <w:t>Episodicity</w:t>
            </w:r>
            <w:proofErr w:type="spellEnd"/>
            <w:r w:rsidRPr="008C1997">
              <w:rPr>
                <w:rFonts w:ascii="Arial Narrow" w:hAnsi="Arial Narrow" w:cs="Arial"/>
                <w:b/>
                <w:sz w:val="22"/>
                <w:szCs w:val="22"/>
                <w:lang w:val="en-US" w:eastAsia="en-US"/>
              </w:rPr>
              <w:t>:</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 xml:space="preserve">Previously untreated </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Severity:</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sz w:val="22"/>
                <w:szCs w:val="22"/>
                <w:lang w:val="en-US" w:eastAsia="en-US"/>
              </w:rPr>
            </w:pP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Condition:</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 xml:space="preserve">CD20 positive diffuse large B-cell Non-Hodgkin’s lymphoma </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color w:val="FF00FF"/>
                <w:sz w:val="22"/>
                <w:szCs w:val="22"/>
                <w:lang w:val="en-US" w:eastAsia="en-US"/>
              </w:rPr>
            </w:pPr>
            <w:r w:rsidRPr="008C1997">
              <w:rPr>
                <w:rFonts w:ascii="Arial Narrow" w:hAnsi="Arial Narrow" w:cs="Arial"/>
                <w:b/>
                <w:sz w:val="22"/>
                <w:szCs w:val="22"/>
                <w:lang w:val="en-US" w:eastAsia="en-US"/>
              </w:rPr>
              <w:t xml:space="preserve">Indication: </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 xml:space="preserve">Previously untreated CD20 positive diffuse large B-cell Non-Hodgkin’s lymphoma </w:t>
            </w:r>
            <w:r w:rsidRPr="008C1997">
              <w:rPr>
                <w:rFonts w:ascii="Arial Narrow" w:hAnsi="Arial Narrow"/>
                <w:color w:val="FF00FF"/>
                <w:sz w:val="22"/>
                <w:szCs w:val="22"/>
                <w:lang w:val="en-US" w:eastAsia="en-US"/>
              </w:rPr>
              <w:t>[</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i/>
                <w:sz w:val="22"/>
                <w:szCs w:val="22"/>
                <w:lang w:val="en-US" w:eastAsia="en-US"/>
              </w:rPr>
            </w:pPr>
            <w:r w:rsidRPr="008C1997">
              <w:rPr>
                <w:rFonts w:ascii="Arial Narrow" w:hAnsi="Arial Narrow" w:cs="Arial"/>
                <w:b/>
                <w:sz w:val="22"/>
                <w:szCs w:val="22"/>
                <w:lang w:val="en-US" w:eastAsia="en-US"/>
              </w:rPr>
              <w:t xml:space="preserve">Treatment Phase: </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Induction treatment</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Restriction level:</w:t>
            </w:r>
          </w:p>
          <w:p w:rsidR="008C1997" w:rsidRPr="008C1997" w:rsidRDefault="008C1997" w:rsidP="008C1997">
            <w:pPr>
              <w:rPr>
                <w:rFonts w:ascii="Arial Narrow" w:hAnsi="Arial Narrow" w:cs="Arial"/>
                <w:sz w:val="22"/>
                <w:szCs w:val="22"/>
                <w:lang w:val="en-US" w:eastAsia="en-US"/>
              </w:rPr>
            </w:pP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To be determined:</w:t>
            </w:r>
          </w:p>
          <w:p w:rsidR="008C1997" w:rsidRPr="008C1997" w:rsidRDefault="008C1997" w:rsidP="008C1997">
            <w:pPr>
              <w:rPr>
                <w:rFonts w:ascii="Arial Narrow" w:hAnsi="Arial Narrow"/>
                <w:sz w:val="22"/>
                <w:szCs w:val="22"/>
                <w:lang w:val="en-US" w:eastAsia="en-US"/>
              </w:rPr>
            </w:pPr>
          </w:p>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 xml:space="preserve">Authority required (STREAMLINED) </w:t>
            </w:r>
          </w:p>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OR</w:t>
            </w:r>
          </w:p>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Authority required - written</w:t>
            </w:r>
            <w:r w:rsidRPr="008C1997" w:rsidDel="009D2002">
              <w:rPr>
                <w:rFonts w:ascii="Arial Narrow" w:hAnsi="Arial Narrow"/>
                <w:sz w:val="22"/>
                <w:szCs w:val="22"/>
                <w:lang w:val="en-US" w:eastAsia="en-US"/>
              </w:rPr>
              <w:t xml:space="preserve"> </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sz w:val="22"/>
                <w:szCs w:val="22"/>
                <w:lang w:val="en-US" w:eastAsia="en-US"/>
              </w:rPr>
            </w:pPr>
            <w:r w:rsidRPr="008C1997">
              <w:rPr>
                <w:rFonts w:ascii="Arial Narrow" w:hAnsi="Arial Narrow" w:cs="Arial"/>
                <w:b/>
                <w:sz w:val="22"/>
                <w:szCs w:val="22"/>
                <w:lang w:val="en-US" w:eastAsia="en-US"/>
              </w:rPr>
              <w:t xml:space="preserve">Treatment criteria: </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cs="Arial"/>
                <w:sz w:val="22"/>
                <w:szCs w:val="22"/>
                <w:lang w:val="en-US" w:eastAsia="en-US"/>
              </w:rPr>
            </w:pPr>
            <w:r w:rsidRPr="008C1997">
              <w:rPr>
                <w:rFonts w:ascii="Arial Narrow" w:hAnsi="Arial Narrow" w:cs="Arial"/>
                <w:sz w:val="22"/>
                <w:szCs w:val="22"/>
                <w:lang w:val="en-US" w:eastAsia="en-US"/>
              </w:rPr>
              <w:t xml:space="preserve">Patient must not receive more than 8 doses under this restriction. </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 xml:space="preserve">Clinical criteria: </w:t>
            </w:r>
          </w:p>
          <w:p w:rsidR="008C1997" w:rsidRPr="008C1997" w:rsidRDefault="008C1997" w:rsidP="008C1997">
            <w:pPr>
              <w:jc w:val="both"/>
              <w:rPr>
                <w:rFonts w:ascii="Arial Narrow" w:hAnsi="Arial Narrow" w:cs="Arial"/>
                <w:sz w:val="22"/>
                <w:szCs w:val="22"/>
                <w:lang w:val="en-US" w:eastAsia="en-US"/>
              </w:rPr>
            </w:pP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tabs>
                <w:tab w:val="left" w:pos="1035"/>
              </w:tabs>
              <w:rPr>
                <w:rFonts w:ascii="Arial Narrow" w:hAnsi="Arial Narrow" w:cs="Arial"/>
                <w:sz w:val="22"/>
                <w:szCs w:val="22"/>
                <w:lang w:val="en-US" w:eastAsia="en-US"/>
              </w:rPr>
            </w:pPr>
            <w:r w:rsidRPr="008C1997">
              <w:rPr>
                <w:rFonts w:ascii="Arial Narrow" w:hAnsi="Arial Narrow" w:cs="Arial"/>
                <w:sz w:val="22"/>
                <w:szCs w:val="22"/>
                <w:lang w:val="en-US" w:eastAsia="en-US"/>
              </w:rPr>
              <w:t>The treatment must be in combination with chemotherapy</w:t>
            </w:r>
          </w:p>
          <w:p w:rsidR="008C1997" w:rsidRPr="008C1997" w:rsidRDefault="008C1997" w:rsidP="008C1997">
            <w:pPr>
              <w:jc w:val="both"/>
              <w:rPr>
                <w:rFonts w:ascii="Arial Narrow" w:hAnsi="Arial Narrow" w:cs="Arial"/>
                <w:sz w:val="22"/>
                <w:szCs w:val="22"/>
                <w:lang w:val="en-US" w:eastAsia="en-US"/>
              </w:rPr>
            </w:pPr>
            <w:r w:rsidRPr="008C1997">
              <w:rPr>
                <w:rFonts w:ascii="Arial Narrow" w:hAnsi="Arial Narrow" w:cs="Arial"/>
                <w:sz w:val="22"/>
                <w:szCs w:val="22"/>
                <w:lang w:val="en-US" w:eastAsia="en-US"/>
              </w:rPr>
              <w:t>AND</w:t>
            </w:r>
          </w:p>
          <w:p w:rsidR="008C1997" w:rsidRPr="008C1997" w:rsidRDefault="008C1997" w:rsidP="008C1997">
            <w:pPr>
              <w:jc w:val="both"/>
              <w:rPr>
                <w:rFonts w:ascii="Arial Narrow" w:hAnsi="Arial Narrow" w:cs="Arial"/>
                <w:sz w:val="22"/>
                <w:szCs w:val="22"/>
                <w:lang w:val="en-US" w:eastAsia="en-US"/>
              </w:rPr>
            </w:pPr>
            <w:r w:rsidRPr="008C1997">
              <w:rPr>
                <w:rFonts w:ascii="Arial Narrow" w:hAnsi="Arial Narrow" w:cs="Arial"/>
                <w:sz w:val="22"/>
                <w:szCs w:val="22"/>
                <w:lang w:val="en-US" w:eastAsia="en-US"/>
              </w:rPr>
              <w:t>The condition must be previously untreated</w:t>
            </w:r>
          </w:p>
          <w:p w:rsidR="008C1997" w:rsidRPr="008C1997" w:rsidRDefault="008C1997" w:rsidP="008C1997">
            <w:pPr>
              <w:jc w:val="both"/>
              <w:rPr>
                <w:rFonts w:ascii="Arial Narrow" w:hAnsi="Arial Narrow" w:cs="Arial"/>
                <w:sz w:val="22"/>
                <w:szCs w:val="22"/>
                <w:lang w:val="en-US" w:eastAsia="en-US"/>
              </w:rPr>
            </w:pPr>
            <w:r w:rsidRPr="008C1997">
              <w:rPr>
                <w:rFonts w:ascii="Arial Narrow" w:hAnsi="Arial Narrow" w:cs="Arial"/>
                <w:sz w:val="22"/>
                <w:szCs w:val="22"/>
                <w:lang w:val="en-US" w:eastAsia="en-US"/>
              </w:rPr>
              <w:t>AND</w:t>
            </w:r>
          </w:p>
          <w:p w:rsidR="008C1997" w:rsidRPr="008C1997" w:rsidRDefault="008C1997" w:rsidP="008C1997">
            <w:pPr>
              <w:jc w:val="both"/>
              <w:rPr>
                <w:rFonts w:ascii="Arial Narrow" w:hAnsi="Arial Narrow" w:cs="Arial"/>
                <w:sz w:val="22"/>
                <w:szCs w:val="22"/>
                <w:lang w:val="en-US" w:eastAsia="en-US"/>
              </w:rPr>
            </w:pPr>
            <w:r w:rsidRPr="008C1997">
              <w:rPr>
                <w:rFonts w:ascii="Arial Narrow" w:hAnsi="Arial Narrow" w:cs="Arial"/>
                <w:sz w:val="22"/>
                <w:szCs w:val="22"/>
                <w:lang w:val="en-US" w:eastAsia="en-US"/>
              </w:rPr>
              <w:t xml:space="preserve">The treatment must be for induction treatment purposes only </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 xml:space="preserve">Administrative Advice </w:t>
            </w:r>
          </w:p>
          <w:p w:rsidR="008C1997" w:rsidRPr="008C1997" w:rsidRDefault="008C1997" w:rsidP="008C1997">
            <w:pPr>
              <w:jc w:val="both"/>
              <w:rPr>
                <w:rFonts w:ascii="Arial Narrow" w:hAnsi="Arial Narrow" w:cs="Arial"/>
                <w:i/>
                <w:sz w:val="22"/>
                <w:szCs w:val="22"/>
                <w:lang w:val="en-US" w:eastAsia="en-US"/>
              </w:rPr>
            </w:pP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cs="Arial"/>
                <w:sz w:val="22"/>
                <w:szCs w:val="22"/>
                <w:lang w:val="en-US" w:eastAsia="en-US"/>
              </w:rPr>
            </w:pPr>
            <w:r w:rsidRPr="008C1997">
              <w:rPr>
                <w:rFonts w:ascii="Arial Narrow" w:hAnsi="Arial Narrow" w:cs="Arial"/>
                <w:sz w:val="22"/>
                <w:szCs w:val="22"/>
                <w:u w:val="single"/>
                <w:lang w:val="en-US" w:eastAsia="en-US"/>
              </w:rPr>
              <w:t>NOTE</w:t>
            </w:r>
            <w:r w:rsidRPr="008C1997">
              <w:rPr>
                <w:rFonts w:ascii="Arial Narrow" w:hAnsi="Arial Narrow" w:cs="Arial"/>
                <w:sz w:val="22"/>
                <w:szCs w:val="22"/>
                <w:lang w:val="en-US" w:eastAsia="en-US"/>
              </w:rPr>
              <w:t>:</w:t>
            </w:r>
          </w:p>
          <w:p w:rsidR="008C1997" w:rsidRPr="008C1997" w:rsidRDefault="008C1997" w:rsidP="008C1997">
            <w:pPr>
              <w:rPr>
                <w:rFonts w:ascii="Arial Narrow" w:hAnsi="Arial Narrow" w:cs="Arial"/>
                <w:sz w:val="22"/>
                <w:szCs w:val="22"/>
                <w:lang w:val="en-US" w:eastAsia="en-US"/>
              </w:rPr>
            </w:pPr>
            <w:r w:rsidRPr="008C1997">
              <w:rPr>
                <w:rFonts w:ascii="Arial Narrow" w:hAnsi="Arial Narrow" w:cs="Arial"/>
                <w:sz w:val="22"/>
                <w:szCs w:val="22"/>
                <w:lang w:val="en-US" w:eastAsia="en-US"/>
              </w:rPr>
              <w:t>A patient may only qualify for PBS-</w:t>
            </w:r>
            <w:proofErr w:type="spellStart"/>
            <w:r w:rsidRPr="008C1997">
              <w:rPr>
                <w:rFonts w:ascii="Arial Narrow" w:hAnsi="Arial Narrow" w:cs="Arial"/>
                <w:sz w:val="22"/>
                <w:szCs w:val="22"/>
                <w:lang w:val="en-US" w:eastAsia="en-US"/>
              </w:rPr>
              <w:t>subsidised</w:t>
            </w:r>
            <w:proofErr w:type="spellEnd"/>
            <w:r w:rsidRPr="008C1997">
              <w:rPr>
                <w:rFonts w:ascii="Arial Narrow" w:hAnsi="Arial Narrow" w:cs="Arial"/>
                <w:sz w:val="22"/>
                <w:szCs w:val="22"/>
                <w:lang w:val="en-US" w:eastAsia="en-US"/>
              </w:rPr>
              <w:t xml:space="preserve"> treatment under this restriction once in a lifetime.</w:t>
            </w:r>
          </w:p>
          <w:p w:rsidR="008C1997" w:rsidRPr="008C1997" w:rsidRDefault="008C1997" w:rsidP="008C1997">
            <w:pPr>
              <w:rPr>
                <w:rFonts w:ascii="Arial Narrow" w:hAnsi="Arial Narrow" w:cs="Arial"/>
                <w:sz w:val="22"/>
                <w:szCs w:val="22"/>
                <w:lang w:val="en-US" w:eastAsia="en-US"/>
              </w:rPr>
            </w:pPr>
          </w:p>
          <w:p w:rsidR="008C1997" w:rsidRPr="008C1997" w:rsidRDefault="008C1997" w:rsidP="008C1997">
            <w:pPr>
              <w:rPr>
                <w:rFonts w:ascii="Arial Narrow" w:hAnsi="Arial Narrow" w:cs="Arial"/>
                <w:sz w:val="22"/>
                <w:szCs w:val="22"/>
                <w:lang w:val="en-US" w:eastAsia="en-US"/>
              </w:rPr>
            </w:pPr>
            <w:r w:rsidRPr="008C1997">
              <w:rPr>
                <w:rFonts w:ascii="Arial Narrow" w:hAnsi="Arial Narrow" w:cs="Arial"/>
                <w:sz w:val="22"/>
                <w:szCs w:val="22"/>
                <w:u w:val="single"/>
                <w:lang w:val="en-US" w:eastAsia="en-US"/>
              </w:rPr>
              <w:t>NOTE</w:t>
            </w:r>
            <w:r w:rsidRPr="008C1997">
              <w:rPr>
                <w:rFonts w:ascii="Arial Narrow" w:hAnsi="Arial Narrow" w:cs="Arial"/>
                <w:sz w:val="22"/>
                <w:szCs w:val="22"/>
                <w:lang w:val="en-US" w:eastAsia="en-US"/>
              </w:rPr>
              <w:t>:</w:t>
            </w:r>
          </w:p>
          <w:p w:rsidR="008C1997" w:rsidRPr="008C1997" w:rsidRDefault="008C1997" w:rsidP="008C1997">
            <w:pPr>
              <w:rPr>
                <w:rFonts w:ascii="Arial Narrow" w:hAnsi="Arial Narrow" w:cs="Arial"/>
                <w:sz w:val="22"/>
                <w:szCs w:val="22"/>
                <w:lang w:val="en-US" w:eastAsia="en-US"/>
              </w:rPr>
            </w:pPr>
            <w:r w:rsidRPr="008C1997">
              <w:rPr>
                <w:rFonts w:ascii="Arial Narrow" w:hAnsi="Arial Narrow" w:cs="Arial"/>
                <w:sz w:val="22"/>
                <w:szCs w:val="22"/>
                <w:lang w:val="en-US" w:eastAsia="en-US"/>
              </w:rPr>
              <w:t xml:space="preserve">No increase in the maximum number of repeats may be </w:t>
            </w:r>
            <w:proofErr w:type="spellStart"/>
            <w:r w:rsidRPr="008C1997">
              <w:rPr>
                <w:rFonts w:ascii="Arial Narrow" w:hAnsi="Arial Narrow" w:cs="Arial"/>
                <w:sz w:val="22"/>
                <w:szCs w:val="22"/>
                <w:lang w:val="en-US" w:eastAsia="en-US"/>
              </w:rPr>
              <w:t>authorised</w:t>
            </w:r>
            <w:proofErr w:type="spellEnd"/>
            <w:r w:rsidRPr="008C1997">
              <w:rPr>
                <w:rFonts w:ascii="Arial Narrow" w:hAnsi="Arial Narrow" w:cs="Arial"/>
                <w:sz w:val="22"/>
                <w:szCs w:val="22"/>
                <w:lang w:val="en-US" w:eastAsia="en-US"/>
              </w:rPr>
              <w:t>.</w:t>
            </w:r>
          </w:p>
          <w:p w:rsidR="008C1997" w:rsidRPr="008C1997" w:rsidRDefault="008C1997" w:rsidP="008C1997">
            <w:pPr>
              <w:rPr>
                <w:rFonts w:ascii="Arial Narrow" w:hAnsi="Arial Narrow" w:cs="Arial"/>
                <w:sz w:val="22"/>
                <w:szCs w:val="22"/>
                <w:lang w:val="en-US" w:eastAsia="en-US"/>
              </w:rPr>
            </w:pPr>
          </w:p>
        </w:tc>
      </w:tr>
    </w:tbl>
    <w:p w:rsidR="008C1997" w:rsidRPr="008C1997" w:rsidRDefault="008C1997" w:rsidP="008C1997">
      <w:pPr>
        <w:rPr>
          <w:lang w:eastAsia="en-US"/>
        </w:rPr>
      </w:pPr>
    </w:p>
    <w:p w:rsidR="008C1997" w:rsidRPr="008C1997" w:rsidRDefault="008C1997" w:rsidP="008C1997">
      <w:pPr>
        <w:rPr>
          <w:lang w:eastAsia="en-US"/>
        </w:rPr>
      </w:pPr>
    </w:p>
    <w:p w:rsidR="008C1997" w:rsidRPr="008C1997" w:rsidRDefault="008C1997" w:rsidP="008C1997">
      <w:pPr>
        <w:rPr>
          <w:lang w:eastAsia="en-US"/>
        </w:rPr>
      </w:pPr>
    </w:p>
    <w:p w:rsidR="008C1997" w:rsidRPr="008C1997" w:rsidRDefault="008C1997" w:rsidP="008C1997">
      <w:pPr>
        <w:keepNext/>
        <w:keepLines/>
        <w:rPr>
          <w:lang w:eastAsia="en-US"/>
        </w:rPr>
      </w:pPr>
    </w:p>
    <w:p w:rsidR="008C1997" w:rsidRPr="008C1997" w:rsidRDefault="008C1997" w:rsidP="008C1997">
      <w:pPr>
        <w:keepNext/>
        <w:keepLines/>
        <w:rPr>
          <w:rFonts w:ascii="Arial" w:hAnsi="Arial"/>
          <w:sz w:val="22"/>
          <w:szCs w:val="22"/>
          <w:u w:val="single"/>
        </w:rPr>
      </w:pPr>
      <w:r w:rsidRPr="008C1997">
        <w:rPr>
          <w:rFonts w:ascii="Arial" w:hAnsi="Arial"/>
          <w:sz w:val="22"/>
          <w:szCs w:val="22"/>
          <w:u w:val="single"/>
        </w:rPr>
        <w:t>Induction for previously untreated follicular disease:</w:t>
      </w:r>
    </w:p>
    <w:p w:rsidR="008C1997" w:rsidRPr="008C1997" w:rsidRDefault="008C1997" w:rsidP="008C1997">
      <w:pPr>
        <w:keepNext/>
        <w:keepLines/>
        <w:rPr>
          <w:lang w:eastAsia="en-US"/>
        </w:rPr>
      </w:pPr>
    </w:p>
    <w:tbl>
      <w:tblPr>
        <w:tblW w:w="9214" w:type="dxa"/>
        <w:tblInd w:w="108" w:type="dxa"/>
        <w:tblLayout w:type="fixed"/>
        <w:tblLook w:val="0000" w:firstRow="0" w:lastRow="0" w:firstColumn="0" w:lastColumn="0" w:noHBand="0" w:noVBand="0"/>
        <w:tblDescription w:val="listing rituximab"/>
      </w:tblPr>
      <w:tblGrid>
        <w:gridCol w:w="1985"/>
        <w:gridCol w:w="1276"/>
        <w:gridCol w:w="992"/>
        <w:gridCol w:w="850"/>
        <w:gridCol w:w="1701"/>
        <w:gridCol w:w="1559"/>
        <w:gridCol w:w="851"/>
      </w:tblGrid>
      <w:tr w:rsidR="008C1997" w:rsidRPr="008C1997" w:rsidTr="00A43175">
        <w:trPr>
          <w:cantSplit/>
          <w:trHeight w:val="471"/>
        </w:trPr>
        <w:tc>
          <w:tcPr>
            <w:tcW w:w="3261" w:type="dxa"/>
            <w:gridSpan w:val="2"/>
            <w:tcBorders>
              <w:bottom w:val="single" w:sz="4" w:space="0" w:color="auto"/>
            </w:tcBorders>
          </w:tcPr>
          <w:p w:rsidR="008C1997" w:rsidRPr="008C1997" w:rsidRDefault="008C1997" w:rsidP="008C1997">
            <w:pPr>
              <w:keepNext/>
              <w:keepLines/>
              <w:ind w:left="-108"/>
              <w:jc w:val="both"/>
              <w:rPr>
                <w:rFonts w:ascii="Arial" w:hAnsi="Arial"/>
                <w:sz w:val="20"/>
                <w:lang w:val="en-US" w:eastAsia="en-US"/>
              </w:rPr>
            </w:pPr>
            <w:r w:rsidRPr="008C1997">
              <w:rPr>
                <w:rFonts w:ascii="Arial" w:hAnsi="Arial"/>
                <w:sz w:val="20"/>
                <w:lang w:val="en-US" w:eastAsia="en-US"/>
              </w:rPr>
              <w:t>Name, Restriction,</w:t>
            </w:r>
          </w:p>
          <w:p w:rsidR="008C1997" w:rsidRPr="008C1997" w:rsidRDefault="008C1997" w:rsidP="008C1997">
            <w:pPr>
              <w:keepNext/>
              <w:keepLines/>
              <w:ind w:left="-108"/>
              <w:jc w:val="both"/>
              <w:rPr>
                <w:rFonts w:ascii="Arial" w:hAnsi="Arial"/>
                <w:sz w:val="20"/>
                <w:lang w:val="en-US" w:eastAsia="en-US"/>
              </w:rPr>
            </w:pPr>
            <w:r w:rsidRPr="008C1997">
              <w:rPr>
                <w:rFonts w:ascii="Arial" w:hAnsi="Arial"/>
                <w:sz w:val="20"/>
                <w:lang w:val="en-US" w:eastAsia="en-US"/>
              </w:rPr>
              <w:t>Manner of administration and form</w:t>
            </w:r>
          </w:p>
        </w:tc>
        <w:tc>
          <w:tcPr>
            <w:tcW w:w="992" w:type="dxa"/>
            <w:tcBorders>
              <w:bottom w:val="single" w:sz="4" w:space="0" w:color="auto"/>
            </w:tcBorders>
          </w:tcPr>
          <w:p w:rsidR="008C1997" w:rsidRPr="008C1997" w:rsidRDefault="008C1997" w:rsidP="008C1997">
            <w:pPr>
              <w:keepNext/>
              <w:keepLines/>
              <w:ind w:left="-108"/>
              <w:jc w:val="both"/>
              <w:rPr>
                <w:rFonts w:ascii="Arial" w:hAnsi="Arial"/>
                <w:sz w:val="20"/>
                <w:lang w:val="en-US" w:eastAsia="en-US"/>
              </w:rPr>
            </w:pPr>
            <w:r w:rsidRPr="008C1997">
              <w:rPr>
                <w:rFonts w:ascii="Arial" w:hAnsi="Arial"/>
                <w:sz w:val="20"/>
                <w:lang w:val="en-US" w:eastAsia="en-US"/>
              </w:rPr>
              <w:t>Max.</w:t>
            </w:r>
          </w:p>
          <w:p w:rsidR="008C1997" w:rsidRPr="008C1997" w:rsidRDefault="008C1997" w:rsidP="008C1997">
            <w:pPr>
              <w:keepNext/>
              <w:keepLines/>
              <w:ind w:left="-108"/>
              <w:jc w:val="both"/>
              <w:rPr>
                <w:rFonts w:ascii="Arial" w:hAnsi="Arial"/>
                <w:sz w:val="20"/>
                <w:lang w:val="en-US" w:eastAsia="en-US"/>
              </w:rPr>
            </w:pPr>
            <w:proofErr w:type="spellStart"/>
            <w:r w:rsidRPr="008C1997">
              <w:rPr>
                <w:rFonts w:ascii="Arial" w:hAnsi="Arial"/>
                <w:sz w:val="20"/>
                <w:lang w:val="en-US" w:eastAsia="en-US"/>
              </w:rPr>
              <w:t>Amt</w:t>
            </w:r>
            <w:proofErr w:type="spellEnd"/>
          </w:p>
        </w:tc>
        <w:tc>
          <w:tcPr>
            <w:tcW w:w="850" w:type="dxa"/>
            <w:tcBorders>
              <w:bottom w:val="single" w:sz="4" w:space="0" w:color="auto"/>
            </w:tcBorders>
          </w:tcPr>
          <w:p w:rsidR="008C1997" w:rsidRPr="008C1997" w:rsidRDefault="008C1997" w:rsidP="008C1997">
            <w:pPr>
              <w:keepNext/>
              <w:keepLines/>
              <w:ind w:left="-108"/>
              <w:jc w:val="both"/>
              <w:rPr>
                <w:rFonts w:ascii="Arial" w:hAnsi="Arial"/>
                <w:sz w:val="20"/>
                <w:lang w:val="en-US" w:eastAsia="en-US"/>
              </w:rPr>
            </w:pPr>
            <w:r w:rsidRPr="008C1997">
              <w:rPr>
                <w:rFonts w:ascii="Arial" w:hAnsi="Arial"/>
                <w:sz w:val="20"/>
                <w:lang w:val="en-US" w:eastAsia="en-US"/>
              </w:rPr>
              <w:t>№.of</w:t>
            </w:r>
          </w:p>
          <w:p w:rsidR="008C1997" w:rsidRPr="008C1997" w:rsidRDefault="008C1997" w:rsidP="008C1997">
            <w:pPr>
              <w:keepNext/>
              <w:keepLines/>
              <w:ind w:left="-108"/>
              <w:jc w:val="both"/>
              <w:rPr>
                <w:rFonts w:ascii="Arial" w:hAnsi="Arial"/>
                <w:sz w:val="20"/>
                <w:lang w:val="en-US" w:eastAsia="en-US"/>
              </w:rPr>
            </w:pPr>
            <w:proofErr w:type="spellStart"/>
            <w:r w:rsidRPr="008C1997">
              <w:rPr>
                <w:rFonts w:ascii="Arial" w:hAnsi="Arial"/>
                <w:sz w:val="20"/>
                <w:lang w:val="en-US" w:eastAsia="en-US"/>
              </w:rPr>
              <w:t>Rpts</w:t>
            </w:r>
            <w:proofErr w:type="spellEnd"/>
          </w:p>
        </w:tc>
        <w:tc>
          <w:tcPr>
            <w:tcW w:w="1701" w:type="dxa"/>
            <w:tcBorders>
              <w:bottom w:val="single" w:sz="4" w:space="0" w:color="auto"/>
            </w:tcBorders>
          </w:tcPr>
          <w:p w:rsidR="008C1997" w:rsidRPr="008C1997" w:rsidRDefault="008C1997" w:rsidP="008C1997">
            <w:pPr>
              <w:keepNext/>
              <w:keepLines/>
              <w:ind w:left="-108"/>
              <w:jc w:val="both"/>
              <w:rPr>
                <w:rFonts w:ascii="Arial" w:hAnsi="Arial"/>
                <w:sz w:val="20"/>
                <w:lang w:val="en-US" w:eastAsia="en-US"/>
              </w:rPr>
            </w:pPr>
          </w:p>
        </w:tc>
        <w:tc>
          <w:tcPr>
            <w:tcW w:w="2410" w:type="dxa"/>
            <w:gridSpan w:val="2"/>
            <w:tcBorders>
              <w:bottom w:val="single" w:sz="4" w:space="0" w:color="auto"/>
            </w:tcBorders>
          </w:tcPr>
          <w:p w:rsidR="008C1997" w:rsidRPr="008C1997" w:rsidRDefault="008C1997" w:rsidP="008C1997">
            <w:pPr>
              <w:keepNext/>
              <w:keepLines/>
              <w:jc w:val="both"/>
              <w:rPr>
                <w:rFonts w:ascii="Arial" w:hAnsi="Arial"/>
                <w:sz w:val="20"/>
                <w:lang w:val="fr-FR" w:eastAsia="en-US"/>
              </w:rPr>
            </w:pPr>
          </w:p>
        </w:tc>
      </w:tr>
      <w:tr w:rsidR="008C1997" w:rsidRPr="008C1997" w:rsidTr="00A43175">
        <w:trPr>
          <w:cantSplit/>
          <w:trHeight w:val="577"/>
        </w:trPr>
        <w:tc>
          <w:tcPr>
            <w:tcW w:w="3261" w:type="dxa"/>
            <w:gridSpan w:val="2"/>
          </w:tcPr>
          <w:p w:rsidR="008C1997" w:rsidRPr="008C1997" w:rsidRDefault="008C1997" w:rsidP="008C1997">
            <w:pPr>
              <w:keepNext/>
              <w:keepLines/>
              <w:ind w:left="-108"/>
              <w:jc w:val="both"/>
              <w:rPr>
                <w:rFonts w:ascii="Arial" w:hAnsi="Arial"/>
                <w:smallCaps/>
                <w:sz w:val="20"/>
                <w:szCs w:val="20"/>
                <w:lang w:val="en-US" w:eastAsia="en-US"/>
              </w:rPr>
            </w:pPr>
            <w:r w:rsidRPr="008C1997">
              <w:rPr>
                <w:rFonts w:ascii="Arial" w:hAnsi="Arial"/>
                <w:smallCaps/>
                <w:sz w:val="20"/>
                <w:szCs w:val="20"/>
                <w:lang w:val="en-US" w:eastAsia="en-US"/>
              </w:rPr>
              <w:t>Rituximab</w:t>
            </w:r>
          </w:p>
          <w:p w:rsidR="008C1997" w:rsidRPr="008C1997" w:rsidRDefault="008C1997" w:rsidP="008C1997">
            <w:pPr>
              <w:keepNext/>
              <w:keepLines/>
              <w:ind w:left="-108"/>
              <w:jc w:val="both"/>
              <w:rPr>
                <w:rFonts w:ascii="Arial" w:hAnsi="Arial"/>
                <w:sz w:val="20"/>
                <w:szCs w:val="20"/>
                <w:lang w:val="en-US" w:eastAsia="en-US"/>
              </w:rPr>
            </w:pPr>
          </w:p>
          <w:p w:rsidR="008C1997" w:rsidRPr="008C1997" w:rsidRDefault="008C1997" w:rsidP="008C1997">
            <w:pPr>
              <w:keepNext/>
              <w:keepLines/>
              <w:ind w:left="-108"/>
              <w:jc w:val="both"/>
              <w:rPr>
                <w:rFonts w:ascii="Arial" w:hAnsi="Arial"/>
                <w:sz w:val="20"/>
                <w:lang w:val="en-US" w:eastAsia="en-US"/>
              </w:rPr>
            </w:pPr>
            <w:r w:rsidRPr="008C1997">
              <w:rPr>
                <w:rFonts w:ascii="Arial" w:hAnsi="Arial"/>
                <w:sz w:val="20"/>
                <w:lang w:val="en-US" w:eastAsia="en-US"/>
              </w:rPr>
              <w:t>Injection</w:t>
            </w:r>
          </w:p>
        </w:tc>
        <w:tc>
          <w:tcPr>
            <w:tcW w:w="992" w:type="dxa"/>
          </w:tcPr>
          <w:p w:rsidR="008C1997" w:rsidRPr="008C1997" w:rsidRDefault="008C1997" w:rsidP="008C1997">
            <w:pPr>
              <w:keepNext/>
              <w:keepLines/>
              <w:ind w:left="-108"/>
              <w:jc w:val="both"/>
              <w:rPr>
                <w:rFonts w:ascii="Arial" w:hAnsi="Arial"/>
                <w:sz w:val="20"/>
                <w:lang w:val="en-US" w:eastAsia="en-US"/>
              </w:rPr>
            </w:pPr>
          </w:p>
          <w:p w:rsidR="008C1997" w:rsidRPr="008C1997" w:rsidRDefault="008C1997" w:rsidP="008C1997">
            <w:pPr>
              <w:keepNext/>
              <w:keepLines/>
              <w:ind w:left="-108"/>
              <w:jc w:val="both"/>
              <w:rPr>
                <w:rFonts w:ascii="Arial" w:hAnsi="Arial"/>
                <w:sz w:val="20"/>
                <w:lang w:val="en-US" w:eastAsia="en-US"/>
              </w:rPr>
            </w:pPr>
          </w:p>
          <w:p w:rsidR="008C1997" w:rsidRPr="008C1997" w:rsidRDefault="008C1997" w:rsidP="008C1997">
            <w:pPr>
              <w:keepNext/>
              <w:keepLines/>
              <w:ind w:left="-108"/>
              <w:jc w:val="both"/>
              <w:rPr>
                <w:rFonts w:ascii="Arial" w:hAnsi="Arial"/>
                <w:sz w:val="20"/>
                <w:lang w:val="en-US" w:eastAsia="en-US"/>
              </w:rPr>
            </w:pPr>
            <w:r w:rsidRPr="008C1997">
              <w:rPr>
                <w:rFonts w:ascii="Arial" w:hAnsi="Arial"/>
                <w:sz w:val="20"/>
                <w:lang w:val="en-US" w:eastAsia="en-US"/>
              </w:rPr>
              <w:t>800 mg</w:t>
            </w:r>
          </w:p>
        </w:tc>
        <w:tc>
          <w:tcPr>
            <w:tcW w:w="850" w:type="dxa"/>
          </w:tcPr>
          <w:p w:rsidR="008C1997" w:rsidRPr="008C1997" w:rsidRDefault="008C1997" w:rsidP="008C1997">
            <w:pPr>
              <w:keepNext/>
              <w:keepLines/>
              <w:ind w:left="-108"/>
              <w:jc w:val="both"/>
              <w:rPr>
                <w:rFonts w:ascii="Arial" w:hAnsi="Arial"/>
                <w:sz w:val="20"/>
                <w:lang w:val="en-US" w:eastAsia="en-US"/>
              </w:rPr>
            </w:pPr>
          </w:p>
          <w:p w:rsidR="008C1997" w:rsidRPr="008C1997" w:rsidRDefault="008C1997" w:rsidP="008C1997">
            <w:pPr>
              <w:keepNext/>
              <w:keepLines/>
              <w:ind w:left="-108"/>
              <w:jc w:val="both"/>
              <w:rPr>
                <w:rFonts w:ascii="Arial" w:hAnsi="Arial"/>
                <w:sz w:val="20"/>
                <w:lang w:val="en-US" w:eastAsia="en-US"/>
              </w:rPr>
            </w:pPr>
          </w:p>
          <w:p w:rsidR="008C1997" w:rsidRPr="008C1997" w:rsidRDefault="008C1997" w:rsidP="008C1997">
            <w:pPr>
              <w:keepNext/>
              <w:keepLines/>
              <w:ind w:left="-108"/>
              <w:jc w:val="both"/>
              <w:rPr>
                <w:rFonts w:ascii="Arial" w:hAnsi="Arial"/>
                <w:sz w:val="20"/>
                <w:lang w:val="en-US" w:eastAsia="en-US"/>
              </w:rPr>
            </w:pPr>
            <w:r w:rsidRPr="008C1997">
              <w:rPr>
                <w:rFonts w:ascii="Arial" w:hAnsi="Arial"/>
                <w:sz w:val="20"/>
                <w:lang w:val="en-US" w:eastAsia="en-US"/>
              </w:rPr>
              <w:t>7</w:t>
            </w:r>
          </w:p>
        </w:tc>
        <w:tc>
          <w:tcPr>
            <w:tcW w:w="1701" w:type="dxa"/>
          </w:tcPr>
          <w:p w:rsidR="008C1997" w:rsidRPr="008C1997" w:rsidRDefault="008C1997" w:rsidP="008C1997">
            <w:pPr>
              <w:keepNext/>
              <w:keepLines/>
              <w:ind w:left="-108"/>
              <w:jc w:val="both"/>
              <w:rPr>
                <w:rFonts w:ascii="Arial" w:hAnsi="Arial"/>
                <w:sz w:val="20"/>
                <w:lang w:val="en-US" w:eastAsia="en-US"/>
              </w:rPr>
            </w:pPr>
          </w:p>
        </w:tc>
        <w:tc>
          <w:tcPr>
            <w:tcW w:w="1559" w:type="dxa"/>
          </w:tcPr>
          <w:p w:rsidR="008C1997" w:rsidRPr="008C1997" w:rsidRDefault="008C1997" w:rsidP="008C1997">
            <w:pPr>
              <w:keepNext/>
              <w:keepLines/>
              <w:jc w:val="both"/>
              <w:rPr>
                <w:rFonts w:ascii="Arial" w:hAnsi="Arial"/>
                <w:sz w:val="20"/>
                <w:lang w:val="en-US" w:eastAsia="en-US"/>
              </w:rPr>
            </w:pPr>
          </w:p>
        </w:tc>
        <w:tc>
          <w:tcPr>
            <w:tcW w:w="851" w:type="dxa"/>
          </w:tcPr>
          <w:p w:rsidR="008C1997" w:rsidRPr="008C1997" w:rsidRDefault="008C1997" w:rsidP="008C1997">
            <w:pPr>
              <w:keepNext/>
              <w:keepLines/>
              <w:jc w:val="both"/>
              <w:rPr>
                <w:rFonts w:ascii="Arial" w:hAnsi="Arial"/>
                <w:sz w:val="20"/>
                <w:lang w:val="en-US" w:eastAsia="en-US"/>
              </w:rPr>
            </w:pPr>
          </w:p>
        </w:tc>
      </w:tr>
      <w:tr w:rsidR="008C1997" w:rsidRPr="008C1997" w:rsidTr="00A43175">
        <w:trPr>
          <w:cantSplit/>
          <w:trHeight w:val="360"/>
        </w:trPr>
        <w:tc>
          <w:tcPr>
            <w:tcW w:w="9214" w:type="dxa"/>
            <w:gridSpan w:val="7"/>
            <w:tcBorders>
              <w:bottom w:val="single" w:sz="4" w:space="0" w:color="auto"/>
            </w:tcBorders>
          </w:tcPr>
          <w:p w:rsidR="008C1997" w:rsidRPr="008C1997" w:rsidRDefault="008C1997" w:rsidP="008C1997">
            <w:pPr>
              <w:keepNext/>
              <w:keepLines/>
              <w:jc w:val="both"/>
              <w:rPr>
                <w:rFonts w:ascii="Arial" w:hAnsi="Arial"/>
                <w:sz w:val="20"/>
                <w:lang w:val="en-US" w:eastAsia="en-US"/>
              </w:rPr>
            </w:pPr>
          </w:p>
          <w:p w:rsidR="008C1997" w:rsidRPr="008C1997" w:rsidRDefault="008C1997" w:rsidP="008C1997">
            <w:pPr>
              <w:keepNext/>
              <w:keepLines/>
              <w:jc w:val="both"/>
              <w:rPr>
                <w:rFonts w:ascii="Arial" w:hAnsi="Arial"/>
                <w:sz w:val="20"/>
                <w:lang w:val="en-US" w:eastAsia="en-US"/>
              </w:rPr>
            </w:pPr>
            <w:r w:rsidRPr="008C1997">
              <w:rPr>
                <w:rFonts w:ascii="Arial" w:hAnsi="Arial"/>
                <w:sz w:val="20"/>
                <w:lang w:val="en-US" w:eastAsia="en-US"/>
              </w:rPr>
              <w:t>Available brands:</w:t>
            </w:r>
          </w:p>
          <w:p w:rsidR="008C1997" w:rsidRPr="008C1997" w:rsidRDefault="008C1997" w:rsidP="008C1997">
            <w:pPr>
              <w:keepNext/>
              <w:keepLines/>
              <w:jc w:val="both"/>
              <w:rPr>
                <w:rFonts w:ascii="Arial" w:hAnsi="Arial"/>
                <w:sz w:val="20"/>
                <w:lang w:val="en-US" w:eastAsia="en-US"/>
              </w:rPr>
            </w:pPr>
            <w:proofErr w:type="spellStart"/>
            <w:r w:rsidRPr="008C1997">
              <w:rPr>
                <w:rFonts w:ascii="Arial" w:hAnsi="Arial"/>
                <w:sz w:val="20"/>
                <w:lang w:val="en-US" w:eastAsia="en-US"/>
              </w:rPr>
              <w:t>Mabthera</w:t>
            </w:r>
            <w:proofErr w:type="spellEnd"/>
          </w:p>
          <w:p w:rsidR="008C1997" w:rsidRPr="008C1997" w:rsidRDefault="008C1997" w:rsidP="008C1997">
            <w:pPr>
              <w:keepNext/>
              <w:keepLines/>
              <w:jc w:val="both"/>
              <w:rPr>
                <w:rFonts w:ascii="Arial" w:hAnsi="Arial"/>
                <w:sz w:val="20"/>
                <w:lang w:val="en-US" w:eastAsia="en-US"/>
              </w:rPr>
            </w:pPr>
            <w:r w:rsidRPr="008C1997">
              <w:rPr>
                <w:rFonts w:ascii="Arial" w:hAnsi="Arial"/>
                <w:sz w:val="20"/>
                <w:lang w:val="en-US" w:eastAsia="en-US"/>
              </w:rPr>
              <w:t xml:space="preserve">(rituximab 100 mg/10 mL injection, 2 x 10 mL vials)  </w:t>
            </w:r>
          </w:p>
          <w:p w:rsidR="008C1997" w:rsidRPr="008C1997" w:rsidRDefault="008C1997" w:rsidP="008C1997">
            <w:pPr>
              <w:keepNext/>
              <w:keepLines/>
              <w:jc w:val="both"/>
              <w:rPr>
                <w:rFonts w:ascii="Arial" w:hAnsi="Arial"/>
                <w:sz w:val="20"/>
                <w:lang w:val="en-US" w:eastAsia="en-US"/>
              </w:rPr>
            </w:pPr>
            <w:proofErr w:type="spellStart"/>
            <w:r w:rsidRPr="008C1997">
              <w:rPr>
                <w:rFonts w:ascii="Arial" w:hAnsi="Arial"/>
                <w:sz w:val="20"/>
                <w:lang w:val="en-US" w:eastAsia="en-US"/>
              </w:rPr>
              <w:t>Mabthera</w:t>
            </w:r>
            <w:proofErr w:type="spellEnd"/>
          </w:p>
          <w:p w:rsidR="008C1997" w:rsidRPr="008C1997" w:rsidRDefault="008C1997" w:rsidP="008C1997">
            <w:pPr>
              <w:keepNext/>
              <w:keepLines/>
              <w:jc w:val="both"/>
              <w:rPr>
                <w:rFonts w:ascii="Arial" w:hAnsi="Arial"/>
                <w:sz w:val="20"/>
                <w:lang w:val="en-US" w:eastAsia="en-US"/>
              </w:rPr>
            </w:pPr>
            <w:r w:rsidRPr="008C1997">
              <w:rPr>
                <w:rFonts w:ascii="Arial" w:hAnsi="Arial"/>
                <w:sz w:val="20"/>
                <w:lang w:val="en-US" w:eastAsia="en-US"/>
              </w:rPr>
              <w:t>(rituximab 500 mg/50 mL injection, 1 x 50 mL vial)</w:t>
            </w:r>
          </w:p>
          <w:p w:rsidR="008C1997" w:rsidRPr="008C1997" w:rsidRDefault="008C1997" w:rsidP="008C1997">
            <w:pPr>
              <w:keepNext/>
              <w:keepLines/>
              <w:jc w:val="both"/>
              <w:rPr>
                <w:rFonts w:ascii="Arial" w:hAnsi="Arial"/>
                <w:sz w:val="20"/>
                <w:lang w:val="en-US" w:eastAsia="en-US"/>
              </w:rPr>
            </w:pP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Category/Program</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rPr>
                <w:rFonts w:ascii="Arial Narrow" w:hAnsi="Arial Narrow"/>
                <w:sz w:val="22"/>
                <w:szCs w:val="22"/>
                <w:lang w:val="en-US" w:eastAsia="en-US"/>
              </w:rPr>
            </w:pPr>
            <w:r w:rsidRPr="008C1997">
              <w:rPr>
                <w:rFonts w:ascii="Arial Narrow" w:hAnsi="Arial Narrow"/>
                <w:sz w:val="22"/>
                <w:szCs w:val="22"/>
                <w:lang w:val="en-US" w:eastAsia="en-US"/>
              </w:rPr>
              <w:t>Chemotherapy items for Public/Private Hospital Use</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jc w:val="both"/>
              <w:rPr>
                <w:rFonts w:ascii="Arial Narrow" w:hAnsi="Arial Narrow" w:cs="Arial"/>
                <w:b/>
                <w:sz w:val="22"/>
                <w:szCs w:val="22"/>
                <w:lang w:val="en-US" w:eastAsia="en-US"/>
              </w:rPr>
            </w:pPr>
            <w:proofErr w:type="spellStart"/>
            <w:r w:rsidRPr="008C1997">
              <w:rPr>
                <w:rFonts w:ascii="Arial Narrow" w:hAnsi="Arial Narrow" w:cs="Arial"/>
                <w:b/>
                <w:sz w:val="22"/>
                <w:szCs w:val="22"/>
                <w:lang w:val="en-US" w:eastAsia="en-US"/>
              </w:rPr>
              <w:t>Episodicity</w:t>
            </w:r>
            <w:proofErr w:type="spellEnd"/>
            <w:r w:rsidRPr="008C1997">
              <w:rPr>
                <w:rFonts w:ascii="Arial Narrow" w:hAnsi="Arial Narrow" w:cs="Arial"/>
                <w:b/>
                <w:sz w:val="22"/>
                <w:szCs w:val="22"/>
                <w:lang w:val="en-US" w:eastAsia="en-US"/>
              </w:rPr>
              <w:t>:</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rPr>
                <w:rFonts w:ascii="Arial Narrow" w:hAnsi="Arial Narrow"/>
                <w:sz w:val="22"/>
                <w:szCs w:val="22"/>
                <w:lang w:val="en-US" w:eastAsia="en-US"/>
              </w:rPr>
            </w:pPr>
            <w:r w:rsidRPr="008C1997">
              <w:rPr>
                <w:rFonts w:ascii="Arial Narrow" w:hAnsi="Arial Narrow"/>
                <w:sz w:val="22"/>
                <w:szCs w:val="22"/>
                <w:lang w:val="en-US" w:eastAsia="en-US"/>
              </w:rPr>
              <w:t xml:space="preserve">Previously untreated </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Severity:</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rPr>
                <w:rFonts w:ascii="Arial Narrow" w:hAnsi="Arial Narrow"/>
                <w:sz w:val="22"/>
                <w:szCs w:val="22"/>
                <w:lang w:val="en-US" w:eastAsia="en-US"/>
              </w:rPr>
            </w:pPr>
            <w:r w:rsidRPr="008C1997">
              <w:rPr>
                <w:rFonts w:ascii="Arial Narrow" w:hAnsi="Arial Narrow"/>
                <w:sz w:val="22"/>
                <w:szCs w:val="22"/>
                <w:lang w:val="en-US" w:eastAsia="en-US"/>
              </w:rPr>
              <w:t xml:space="preserve">Stage III or IV </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Condition:</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rPr>
                <w:rFonts w:ascii="Arial Narrow" w:hAnsi="Arial Narrow"/>
                <w:sz w:val="22"/>
                <w:szCs w:val="22"/>
                <w:lang w:val="en-US" w:eastAsia="en-US"/>
              </w:rPr>
            </w:pPr>
            <w:r w:rsidRPr="008C1997">
              <w:rPr>
                <w:rFonts w:ascii="Arial Narrow" w:hAnsi="Arial Narrow"/>
                <w:sz w:val="22"/>
                <w:szCs w:val="22"/>
                <w:lang w:val="en-US" w:eastAsia="en-US"/>
              </w:rPr>
              <w:t xml:space="preserve">CD20 positive follicular B-cell Non-Hodgkin’s lymphoma </w:t>
            </w:r>
          </w:p>
          <w:p w:rsidR="008C1997" w:rsidRPr="008C1997" w:rsidRDefault="008C1997" w:rsidP="008C1997">
            <w:pPr>
              <w:keepNext/>
              <w:keepLines/>
              <w:rPr>
                <w:rFonts w:ascii="Arial Narrow" w:hAnsi="Arial Narrow"/>
                <w:sz w:val="22"/>
                <w:szCs w:val="22"/>
                <w:lang w:val="en-US" w:eastAsia="en-US"/>
              </w:rPr>
            </w:pP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jc w:val="both"/>
              <w:rPr>
                <w:rFonts w:ascii="Arial Narrow" w:hAnsi="Arial Narrow" w:cs="Arial"/>
                <w:b/>
                <w:color w:val="FF00FF"/>
                <w:sz w:val="22"/>
                <w:szCs w:val="22"/>
                <w:lang w:val="en-US" w:eastAsia="en-US"/>
              </w:rPr>
            </w:pPr>
            <w:r w:rsidRPr="008C1997">
              <w:rPr>
                <w:rFonts w:ascii="Arial Narrow" w:hAnsi="Arial Narrow" w:cs="Arial"/>
                <w:b/>
                <w:sz w:val="22"/>
                <w:szCs w:val="22"/>
                <w:lang w:val="en-US" w:eastAsia="en-US"/>
              </w:rPr>
              <w:t xml:space="preserve">Indication: </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rPr>
                <w:rFonts w:ascii="Arial Narrow" w:hAnsi="Arial Narrow"/>
                <w:sz w:val="22"/>
                <w:szCs w:val="22"/>
                <w:lang w:val="en-US" w:eastAsia="en-US"/>
              </w:rPr>
            </w:pPr>
            <w:r w:rsidRPr="008C1997">
              <w:rPr>
                <w:rFonts w:ascii="Arial Narrow" w:hAnsi="Arial Narrow"/>
                <w:sz w:val="22"/>
                <w:szCs w:val="22"/>
                <w:lang w:val="en-US" w:eastAsia="en-US"/>
              </w:rPr>
              <w:t xml:space="preserve">Previously untreated Stage III or IV CD20 positive follicular B-cell Non-Hodgkin’s lymphoma </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jc w:val="both"/>
              <w:rPr>
                <w:rFonts w:ascii="Arial Narrow" w:hAnsi="Arial Narrow" w:cs="Arial"/>
                <w:i/>
                <w:sz w:val="22"/>
                <w:szCs w:val="22"/>
                <w:lang w:val="en-US" w:eastAsia="en-US"/>
              </w:rPr>
            </w:pPr>
            <w:r w:rsidRPr="008C1997">
              <w:rPr>
                <w:rFonts w:ascii="Arial Narrow" w:hAnsi="Arial Narrow" w:cs="Arial"/>
                <w:b/>
                <w:sz w:val="22"/>
                <w:szCs w:val="22"/>
                <w:lang w:val="en-US" w:eastAsia="en-US"/>
              </w:rPr>
              <w:t xml:space="preserve">Treatment Phase: </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rPr>
                <w:rFonts w:ascii="Arial Narrow" w:hAnsi="Arial Narrow"/>
                <w:sz w:val="22"/>
                <w:szCs w:val="22"/>
                <w:lang w:val="en-US" w:eastAsia="en-US"/>
              </w:rPr>
            </w:pPr>
            <w:r w:rsidRPr="008C1997">
              <w:rPr>
                <w:rFonts w:ascii="Arial Narrow" w:hAnsi="Arial Narrow"/>
                <w:sz w:val="22"/>
                <w:szCs w:val="22"/>
                <w:lang w:val="en-US" w:eastAsia="en-US"/>
              </w:rPr>
              <w:t>Induction treatment</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Restriction level:</w:t>
            </w:r>
          </w:p>
          <w:p w:rsidR="008C1997" w:rsidRPr="008C1997" w:rsidRDefault="008C1997" w:rsidP="008C1997">
            <w:pPr>
              <w:keepNext/>
              <w:keepLines/>
              <w:rPr>
                <w:rFonts w:ascii="Arial Narrow" w:hAnsi="Arial Narrow" w:cs="Arial"/>
                <w:sz w:val="22"/>
                <w:szCs w:val="22"/>
                <w:lang w:val="en-US" w:eastAsia="en-US"/>
              </w:rPr>
            </w:pP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rPr>
                <w:rFonts w:ascii="Arial Narrow" w:hAnsi="Arial Narrow"/>
                <w:sz w:val="22"/>
                <w:szCs w:val="22"/>
                <w:lang w:val="en-US" w:eastAsia="en-US"/>
              </w:rPr>
            </w:pPr>
            <w:r w:rsidRPr="008C1997">
              <w:rPr>
                <w:rFonts w:ascii="Arial Narrow" w:hAnsi="Arial Narrow"/>
                <w:sz w:val="22"/>
                <w:szCs w:val="22"/>
                <w:lang w:val="en-US" w:eastAsia="en-US"/>
              </w:rPr>
              <w:t>To be determined:</w:t>
            </w:r>
          </w:p>
          <w:p w:rsidR="008C1997" w:rsidRPr="008C1997" w:rsidRDefault="008C1997" w:rsidP="008C1997">
            <w:pPr>
              <w:keepNext/>
              <w:keepLines/>
              <w:rPr>
                <w:rFonts w:ascii="Arial Narrow" w:hAnsi="Arial Narrow"/>
                <w:sz w:val="22"/>
                <w:szCs w:val="22"/>
                <w:lang w:val="en-US" w:eastAsia="en-US"/>
              </w:rPr>
            </w:pPr>
          </w:p>
          <w:p w:rsidR="008C1997" w:rsidRPr="008C1997" w:rsidRDefault="008C1997" w:rsidP="008C1997">
            <w:pPr>
              <w:keepNext/>
              <w:keepLines/>
              <w:rPr>
                <w:rFonts w:ascii="Arial Narrow" w:hAnsi="Arial Narrow"/>
                <w:sz w:val="22"/>
                <w:szCs w:val="22"/>
                <w:lang w:val="en-US" w:eastAsia="en-US"/>
              </w:rPr>
            </w:pPr>
            <w:r w:rsidRPr="008C1997">
              <w:rPr>
                <w:rFonts w:ascii="Arial Narrow" w:hAnsi="Arial Narrow"/>
                <w:sz w:val="22"/>
                <w:szCs w:val="22"/>
                <w:lang w:val="en-US" w:eastAsia="en-US"/>
              </w:rPr>
              <w:t xml:space="preserve">Authority required (STREAMLINED) </w:t>
            </w:r>
          </w:p>
          <w:p w:rsidR="008C1997" w:rsidRPr="008C1997" w:rsidRDefault="008C1997" w:rsidP="008C1997">
            <w:pPr>
              <w:keepNext/>
              <w:keepLines/>
              <w:rPr>
                <w:rFonts w:ascii="Arial Narrow" w:hAnsi="Arial Narrow"/>
                <w:sz w:val="22"/>
                <w:szCs w:val="22"/>
                <w:lang w:val="en-US" w:eastAsia="en-US"/>
              </w:rPr>
            </w:pPr>
            <w:r w:rsidRPr="008C1997">
              <w:rPr>
                <w:rFonts w:ascii="Arial Narrow" w:hAnsi="Arial Narrow"/>
                <w:sz w:val="22"/>
                <w:szCs w:val="22"/>
                <w:lang w:val="en-US" w:eastAsia="en-US"/>
              </w:rPr>
              <w:t>OR</w:t>
            </w:r>
          </w:p>
          <w:p w:rsidR="008C1997" w:rsidRPr="008C1997" w:rsidRDefault="008C1997" w:rsidP="008C1997">
            <w:pPr>
              <w:keepNext/>
              <w:keepLines/>
              <w:rPr>
                <w:rFonts w:ascii="Arial Narrow" w:hAnsi="Arial Narrow"/>
                <w:sz w:val="22"/>
                <w:szCs w:val="22"/>
                <w:lang w:val="en-US" w:eastAsia="en-US"/>
              </w:rPr>
            </w:pPr>
            <w:r w:rsidRPr="008C1997">
              <w:rPr>
                <w:rFonts w:ascii="Arial Narrow" w:hAnsi="Arial Narrow"/>
                <w:sz w:val="22"/>
                <w:szCs w:val="22"/>
                <w:lang w:val="en-US" w:eastAsia="en-US"/>
              </w:rPr>
              <w:t>Authority required - written</w:t>
            </w:r>
          </w:p>
          <w:p w:rsidR="008C1997" w:rsidRPr="008C1997" w:rsidRDefault="008C1997" w:rsidP="008C1997">
            <w:pPr>
              <w:keepNext/>
              <w:keepLines/>
              <w:rPr>
                <w:rFonts w:ascii="Arial Narrow" w:hAnsi="Arial Narrow"/>
                <w:sz w:val="22"/>
                <w:szCs w:val="22"/>
                <w:lang w:val="en-US" w:eastAsia="en-US"/>
              </w:rPr>
            </w:pP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jc w:val="both"/>
              <w:rPr>
                <w:rFonts w:ascii="Arial Narrow" w:hAnsi="Arial Narrow" w:cs="Arial"/>
                <w:sz w:val="22"/>
                <w:szCs w:val="22"/>
                <w:lang w:val="en-US" w:eastAsia="en-US"/>
              </w:rPr>
            </w:pPr>
            <w:r w:rsidRPr="008C1997">
              <w:rPr>
                <w:rFonts w:ascii="Arial Narrow" w:hAnsi="Arial Narrow" w:cs="Arial"/>
                <w:b/>
                <w:sz w:val="22"/>
                <w:szCs w:val="22"/>
                <w:lang w:val="en-US" w:eastAsia="en-US"/>
              </w:rPr>
              <w:t xml:space="preserve">Treatment criteria: </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rPr>
                <w:rFonts w:ascii="Arial Narrow" w:hAnsi="Arial Narrow" w:cs="Arial"/>
                <w:sz w:val="22"/>
                <w:szCs w:val="22"/>
                <w:lang w:val="en-US" w:eastAsia="en-US"/>
              </w:rPr>
            </w:pPr>
            <w:r w:rsidRPr="008C1997">
              <w:rPr>
                <w:rFonts w:ascii="Arial Narrow" w:hAnsi="Arial Narrow" w:cs="Arial"/>
                <w:sz w:val="22"/>
                <w:szCs w:val="22"/>
                <w:lang w:val="en-US" w:eastAsia="en-US"/>
              </w:rPr>
              <w:t xml:space="preserve">Patient must not receive more than 8 doses under this restriction. </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 xml:space="preserve">Clinical criteria: </w:t>
            </w:r>
          </w:p>
          <w:p w:rsidR="008C1997" w:rsidRPr="008C1997" w:rsidRDefault="008C1997" w:rsidP="008C1997">
            <w:pPr>
              <w:keepNext/>
              <w:keepLines/>
              <w:jc w:val="both"/>
              <w:rPr>
                <w:rFonts w:ascii="Arial Narrow" w:hAnsi="Arial Narrow" w:cs="Arial"/>
                <w:sz w:val="22"/>
                <w:szCs w:val="22"/>
                <w:lang w:val="en-US" w:eastAsia="en-US"/>
              </w:rPr>
            </w:pP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tabs>
                <w:tab w:val="left" w:pos="1035"/>
              </w:tabs>
              <w:rPr>
                <w:rFonts w:ascii="Arial Narrow" w:hAnsi="Arial Narrow" w:cs="Arial"/>
                <w:sz w:val="22"/>
                <w:szCs w:val="22"/>
                <w:lang w:val="en-US" w:eastAsia="en-US"/>
              </w:rPr>
            </w:pPr>
            <w:r w:rsidRPr="008C1997">
              <w:rPr>
                <w:rFonts w:ascii="Arial Narrow" w:hAnsi="Arial Narrow" w:cs="Arial"/>
                <w:sz w:val="22"/>
                <w:szCs w:val="22"/>
                <w:lang w:val="en-US" w:eastAsia="en-US"/>
              </w:rPr>
              <w:t>The treatment must be in combination with chemotherapy</w:t>
            </w:r>
          </w:p>
          <w:p w:rsidR="008C1997" w:rsidRPr="008C1997" w:rsidRDefault="008C1997" w:rsidP="008C1997">
            <w:pPr>
              <w:keepNext/>
              <w:keepLines/>
              <w:jc w:val="both"/>
              <w:rPr>
                <w:rFonts w:ascii="Arial Narrow" w:hAnsi="Arial Narrow" w:cs="Arial"/>
                <w:sz w:val="22"/>
                <w:szCs w:val="22"/>
                <w:lang w:val="en-US" w:eastAsia="en-US"/>
              </w:rPr>
            </w:pPr>
            <w:r w:rsidRPr="008C1997">
              <w:rPr>
                <w:rFonts w:ascii="Arial Narrow" w:hAnsi="Arial Narrow" w:cs="Arial"/>
                <w:sz w:val="22"/>
                <w:szCs w:val="22"/>
                <w:lang w:val="en-US" w:eastAsia="en-US"/>
              </w:rPr>
              <w:t>AND</w:t>
            </w:r>
          </w:p>
          <w:p w:rsidR="008C1997" w:rsidRPr="008C1997" w:rsidRDefault="008C1997" w:rsidP="008C1997">
            <w:pPr>
              <w:keepNext/>
              <w:keepLines/>
              <w:jc w:val="both"/>
              <w:rPr>
                <w:rFonts w:ascii="Arial Narrow" w:hAnsi="Arial Narrow" w:cs="Arial"/>
                <w:sz w:val="22"/>
                <w:szCs w:val="22"/>
                <w:lang w:val="en-US" w:eastAsia="en-US"/>
              </w:rPr>
            </w:pPr>
            <w:r w:rsidRPr="008C1997">
              <w:rPr>
                <w:rFonts w:ascii="Arial Narrow" w:hAnsi="Arial Narrow" w:cs="Arial"/>
                <w:sz w:val="22"/>
                <w:szCs w:val="22"/>
                <w:lang w:val="en-US" w:eastAsia="en-US"/>
              </w:rPr>
              <w:t>The condition must be previously untreated</w:t>
            </w:r>
          </w:p>
          <w:p w:rsidR="008C1997" w:rsidRPr="008C1997" w:rsidRDefault="008C1997" w:rsidP="008C1997">
            <w:pPr>
              <w:keepNext/>
              <w:keepLines/>
              <w:jc w:val="both"/>
              <w:rPr>
                <w:rFonts w:ascii="Arial Narrow" w:hAnsi="Arial Narrow" w:cs="Arial"/>
                <w:sz w:val="22"/>
                <w:szCs w:val="22"/>
                <w:lang w:val="en-US" w:eastAsia="en-US"/>
              </w:rPr>
            </w:pPr>
            <w:r w:rsidRPr="008C1997">
              <w:rPr>
                <w:rFonts w:ascii="Arial Narrow" w:hAnsi="Arial Narrow" w:cs="Arial"/>
                <w:sz w:val="22"/>
                <w:szCs w:val="22"/>
                <w:lang w:val="en-US" w:eastAsia="en-US"/>
              </w:rPr>
              <w:t>AND</w:t>
            </w:r>
          </w:p>
          <w:p w:rsidR="008C1997" w:rsidRDefault="008C1997" w:rsidP="008C1997">
            <w:pPr>
              <w:keepNext/>
              <w:keepLines/>
              <w:jc w:val="both"/>
              <w:rPr>
                <w:rFonts w:ascii="Arial Narrow" w:hAnsi="Arial Narrow" w:cs="Arial"/>
                <w:sz w:val="22"/>
                <w:szCs w:val="22"/>
                <w:lang w:val="en-US" w:eastAsia="en-US"/>
              </w:rPr>
            </w:pPr>
            <w:r w:rsidRPr="008C1997">
              <w:rPr>
                <w:rFonts w:ascii="Arial Narrow" w:hAnsi="Arial Narrow" w:cs="Arial"/>
                <w:sz w:val="22"/>
                <w:szCs w:val="22"/>
                <w:lang w:val="en-US" w:eastAsia="en-US"/>
              </w:rPr>
              <w:t xml:space="preserve">The condition must be symptomatic </w:t>
            </w:r>
          </w:p>
          <w:p w:rsidR="008C1997" w:rsidRPr="008C1997" w:rsidRDefault="008C1997" w:rsidP="008C1997">
            <w:pPr>
              <w:keepNext/>
              <w:keepLines/>
              <w:jc w:val="both"/>
              <w:rPr>
                <w:rFonts w:ascii="Arial Narrow" w:hAnsi="Arial Narrow" w:cs="Arial"/>
                <w:sz w:val="22"/>
                <w:szCs w:val="22"/>
                <w:lang w:val="en-US" w:eastAsia="en-US"/>
              </w:rPr>
            </w:pPr>
            <w:r w:rsidRPr="008C1997">
              <w:rPr>
                <w:rFonts w:ascii="Arial Narrow" w:hAnsi="Arial Narrow" w:cs="Arial"/>
                <w:sz w:val="22"/>
                <w:szCs w:val="22"/>
                <w:lang w:val="en-US" w:eastAsia="en-US"/>
              </w:rPr>
              <w:t>AND</w:t>
            </w:r>
          </w:p>
          <w:p w:rsidR="008C1997" w:rsidRPr="008C1997" w:rsidRDefault="008C1997" w:rsidP="008C1997">
            <w:pPr>
              <w:keepNext/>
              <w:keepLines/>
              <w:jc w:val="both"/>
              <w:rPr>
                <w:rFonts w:ascii="Arial Narrow" w:hAnsi="Arial Narrow" w:cs="Arial"/>
                <w:color w:val="FF00FF"/>
                <w:sz w:val="22"/>
                <w:szCs w:val="22"/>
                <w:lang w:val="en-US" w:eastAsia="en-US"/>
              </w:rPr>
            </w:pPr>
            <w:r w:rsidRPr="008C1997">
              <w:rPr>
                <w:rFonts w:ascii="Arial Narrow" w:hAnsi="Arial Narrow" w:cs="Arial"/>
                <w:sz w:val="22"/>
                <w:szCs w:val="22"/>
                <w:lang w:val="en-US" w:eastAsia="en-US"/>
              </w:rPr>
              <w:t xml:space="preserve">The treatment must be for induction treatment purposes only </w:t>
            </w:r>
          </w:p>
          <w:p w:rsidR="008C1997" w:rsidRPr="008C1997" w:rsidRDefault="008C1997" w:rsidP="008C1997">
            <w:pPr>
              <w:keepNext/>
              <w:keepLines/>
              <w:jc w:val="both"/>
              <w:rPr>
                <w:rFonts w:ascii="Arial Narrow" w:hAnsi="Arial Narrow" w:cs="Arial"/>
                <w:sz w:val="22"/>
                <w:szCs w:val="22"/>
                <w:lang w:val="en-US" w:eastAsia="en-US"/>
              </w:rPr>
            </w:pPr>
          </w:p>
        </w:tc>
      </w:tr>
      <w:tr w:rsidR="008C1997" w:rsidRPr="008C1997" w:rsidTr="00A43175">
        <w:trPr>
          <w:cantSplit/>
          <w:trHeight w:val="153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 xml:space="preserve">Administrative Advice </w:t>
            </w:r>
          </w:p>
          <w:p w:rsidR="008C1997" w:rsidRPr="008C1997" w:rsidRDefault="008C1997" w:rsidP="008C1997">
            <w:pPr>
              <w:keepNext/>
              <w:keepLines/>
              <w:jc w:val="both"/>
              <w:rPr>
                <w:rFonts w:ascii="Arial Narrow" w:hAnsi="Arial Narrow" w:cs="Arial"/>
                <w:i/>
                <w:sz w:val="22"/>
                <w:szCs w:val="22"/>
                <w:lang w:val="en-US" w:eastAsia="en-US"/>
              </w:rPr>
            </w:pP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keepNext/>
              <w:keepLines/>
              <w:rPr>
                <w:rFonts w:ascii="Arial Narrow" w:hAnsi="Arial Narrow" w:cs="Arial"/>
                <w:sz w:val="22"/>
                <w:szCs w:val="22"/>
                <w:lang w:val="en-US" w:eastAsia="en-US"/>
              </w:rPr>
            </w:pPr>
            <w:r w:rsidRPr="008C1997">
              <w:rPr>
                <w:rFonts w:ascii="Arial Narrow" w:hAnsi="Arial Narrow" w:cs="Arial"/>
                <w:sz w:val="22"/>
                <w:szCs w:val="22"/>
                <w:u w:val="single"/>
                <w:lang w:val="en-US" w:eastAsia="en-US"/>
              </w:rPr>
              <w:t>NOTE</w:t>
            </w:r>
            <w:r w:rsidRPr="008C1997">
              <w:rPr>
                <w:rFonts w:ascii="Arial Narrow" w:hAnsi="Arial Narrow" w:cs="Arial"/>
                <w:sz w:val="22"/>
                <w:szCs w:val="22"/>
                <w:lang w:val="en-US" w:eastAsia="en-US"/>
              </w:rPr>
              <w:t>:</w:t>
            </w:r>
          </w:p>
          <w:p w:rsidR="008C1997" w:rsidRPr="008C1997" w:rsidRDefault="008C1997" w:rsidP="008C1997">
            <w:pPr>
              <w:keepNext/>
              <w:keepLines/>
              <w:rPr>
                <w:rFonts w:ascii="Arial Narrow" w:hAnsi="Arial Narrow" w:cs="Arial"/>
                <w:sz w:val="22"/>
                <w:szCs w:val="22"/>
                <w:lang w:val="en-US" w:eastAsia="en-US"/>
              </w:rPr>
            </w:pPr>
            <w:r w:rsidRPr="008C1997">
              <w:rPr>
                <w:rFonts w:ascii="Arial Narrow" w:hAnsi="Arial Narrow" w:cs="Arial"/>
                <w:sz w:val="22"/>
                <w:szCs w:val="22"/>
                <w:lang w:val="en-US" w:eastAsia="en-US"/>
              </w:rPr>
              <w:t>A patient may only qualify for PBS-</w:t>
            </w:r>
            <w:proofErr w:type="spellStart"/>
            <w:r w:rsidRPr="008C1997">
              <w:rPr>
                <w:rFonts w:ascii="Arial Narrow" w:hAnsi="Arial Narrow" w:cs="Arial"/>
                <w:sz w:val="22"/>
                <w:szCs w:val="22"/>
                <w:lang w:val="en-US" w:eastAsia="en-US"/>
              </w:rPr>
              <w:t>subsidised</w:t>
            </w:r>
            <w:proofErr w:type="spellEnd"/>
            <w:r w:rsidRPr="008C1997">
              <w:rPr>
                <w:rFonts w:ascii="Arial Narrow" w:hAnsi="Arial Narrow" w:cs="Arial"/>
                <w:sz w:val="22"/>
                <w:szCs w:val="22"/>
                <w:lang w:val="en-US" w:eastAsia="en-US"/>
              </w:rPr>
              <w:t xml:space="preserve"> treatment under this restriction once in a lifetime.</w:t>
            </w:r>
          </w:p>
          <w:p w:rsidR="008C1997" w:rsidRPr="008C1997" w:rsidRDefault="008C1997" w:rsidP="008C1997">
            <w:pPr>
              <w:keepNext/>
              <w:keepLines/>
              <w:rPr>
                <w:rFonts w:ascii="Arial Narrow" w:hAnsi="Arial Narrow" w:cs="Arial"/>
                <w:sz w:val="22"/>
                <w:szCs w:val="22"/>
                <w:lang w:val="en-US" w:eastAsia="en-US"/>
              </w:rPr>
            </w:pPr>
          </w:p>
          <w:p w:rsidR="008C1997" w:rsidRPr="008C1997" w:rsidRDefault="008C1997" w:rsidP="008C1997">
            <w:pPr>
              <w:keepNext/>
              <w:keepLines/>
              <w:rPr>
                <w:rFonts w:ascii="Arial Narrow" w:hAnsi="Arial Narrow" w:cs="Arial"/>
                <w:sz w:val="22"/>
                <w:szCs w:val="22"/>
                <w:lang w:val="en-US" w:eastAsia="en-US"/>
              </w:rPr>
            </w:pPr>
            <w:r w:rsidRPr="008C1997">
              <w:rPr>
                <w:rFonts w:ascii="Arial Narrow" w:hAnsi="Arial Narrow" w:cs="Arial"/>
                <w:sz w:val="22"/>
                <w:szCs w:val="22"/>
                <w:u w:val="single"/>
                <w:lang w:val="en-US" w:eastAsia="en-US"/>
              </w:rPr>
              <w:t>NOTE</w:t>
            </w:r>
            <w:r w:rsidRPr="008C1997">
              <w:rPr>
                <w:rFonts w:ascii="Arial Narrow" w:hAnsi="Arial Narrow" w:cs="Arial"/>
                <w:sz w:val="22"/>
                <w:szCs w:val="22"/>
                <w:lang w:val="en-US" w:eastAsia="en-US"/>
              </w:rPr>
              <w:t>:</w:t>
            </w:r>
          </w:p>
          <w:p w:rsidR="008C1997" w:rsidRPr="008C1997" w:rsidRDefault="008C1997" w:rsidP="008C1997">
            <w:pPr>
              <w:keepNext/>
              <w:keepLines/>
              <w:rPr>
                <w:rFonts w:ascii="Arial Narrow" w:hAnsi="Arial Narrow" w:cs="Arial"/>
                <w:sz w:val="22"/>
                <w:szCs w:val="22"/>
                <w:lang w:val="en-US" w:eastAsia="en-US"/>
              </w:rPr>
            </w:pPr>
            <w:r w:rsidRPr="008C1997">
              <w:rPr>
                <w:rFonts w:ascii="Arial Narrow" w:hAnsi="Arial Narrow" w:cs="Arial"/>
                <w:sz w:val="22"/>
                <w:szCs w:val="22"/>
                <w:lang w:val="en-US" w:eastAsia="en-US"/>
              </w:rPr>
              <w:t xml:space="preserve">No increase in the maximum number of repeats may be </w:t>
            </w:r>
            <w:proofErr w:type="spellStart"/>
            <w:r w:rsidRPr="008C1997">
              <w:rPr>
                <w:rFonts w:ascii="Arial Narrow" w:hAnsi="Arial Narrow" w:cs="Arial"/>
                <w:sz w:val="22"/>
                <w:szCs w:val="22"/>
                <w:lang w:val="en-US" w:eastAsia="en-US"/>
              </w:rPr>
              <w:t>authorised</w:t>
            </w:r>
            <w:proofErr w:type="spellEnd"/>
            <w:r w:rsidRPr="008C1997">
              <w:rPr>
                <w:rFonts w:ascii="Arial Narrow" w:hAnsi="Arial Narrow" w:cs="Arial"/>
                <w:sz w:val="22"/>
                <w:szCs w:val="22"/>
                <w:lang w:val="en-US" w:eastAsia="en-US"/>
              </w:rPr>
              <w:t>.</w:t>
            </w:r>
          </w:p>
          <w:p w:rsidR="008C1997" w:rsidRPr="008C1997" w:rsidRDefault="008C1997" w:rsidP="008C1997">
            <w:pPr>
              <w:keepNext/>
              <w:keepLines/>
              <w:rPr>
                <w:rFonts w:ascii="Arial Narrow" w:hAnsi="Arial Narrow" w:cs="Arial"/>
                <w:sz w:val="22"/>
                <w:szCs w:val="22"/>
                <w:lang w:val="en-US" w:eastAsia="en-US"/>
              </w:rPr>
            </w:pPr>
          </w:p>
        </w:tc>
      </w:tr>
    </w:tbl>
    <w:p w:rsidR="00B90AB7" w:rsidRDefault="00B90AB7" w:rsidP="008C1997">
      <w:pPr>
        <w:rPr>
          <w:rFonts w:ascii="Arial" w:hAnsi="Arial"/>
          <w:sz w:val="22"/>
          <w:szCs w:val="22"/>
          <w:u w:val="single"/>
        </w:rPr>
      </w:pPr>
      <w:r>
        <w:rPr>
          <w:rFonts w:ascii="Arial" w:hAnsi="Arial"/>
          <w:sz w:val="22"/>
          <w:szCs w:val="22"/>
          <w:u w:val="single"/>
        </w:rPr>
        <w:br/>
      </w:r>
    </w:p>
    <w:p w:rsidR="008C1997" w:rsidRPr="008C1997" w:rsidRDefault="008C1997" w:rsidP="008C1997">
      <w:pPr>
        <w:rPr>
          <w:rFonts w:ascii="Arial" w:hAnsi="Arial"/>
          <w:sz w:val="22"/>
          <w:szCs w:val="22"/>
          <w:u w:val="single"/>
        </w:rPr>
      </w:pPr>
      <w:r w:rsidRPr="008C1997">
        <w:rPr>
          <w:rFonts w:ascii="Arial" w:hAnsi="Arial"/>
          <w:sz w:val="22"/>
          <w:szCs w:val="22"/>
          <w:u w:val="single"/>
        </w:rPr>
        <w:t>Induction and re-induction for relapsed/refractory low grade disease:</w:t>
      </w:r>
    </w:p>
    <w:p w:rsidR="008C1997" w:rsidRPr="008C1997" w:rsidRDefault="008C1997" w:rsidP="008C1997">
      <w:pPr>
        <w:rPr>
          <w:lang w:eastAsia="en-US"/>
        </w:rPr>
      </w:pPr>
    </w:p>
    <w:tbl>
      <w:tblPr>
        <w:tblW w:w="9214" w:type="dxa"/>
        <w:tblInd w:w="108" w:type="dxa"/>
        <w:tblLayout w:type="fixed"/>
        <w:tblLook w:val="0000" w:firstRow="0" w:lastRow="0" w:firstColumn="0" w:lastColumn="0" w:noHBand="0" w:noVBand="0"/>
      </w:tblPr>
      <w:tblGrid>
        <w:gridCol w:w="1985"/>
        <w:gridCol w:w="1276"/>
        <w:gridCol w:w="992"/>
        <w:gridCol w:w="850"/>
        <w:gridCol w:w="1701"/>
        <w:gridCol w:w="1559"/>
        <w:gridCol w:w="851"/>
      </w:tblGrid>
      <w:tr w:rsidR="008C1997" w:rsidRPr="008C1997" w:rsidTr="00A43175">
        <w:trPr>
          <w:cantSplit/>
          <w:trHeight w:val="471"/>
        </w:trPr>
        <w:tc>
          <w:tcPr>
            <w:tcW w:w="3261" w:type="dxa"/>
            <w:gridSpan w:val="2"/>
            <w:tcBorders>
              <w:bottom w:val="single" w:sz="4" w:space="0" w:color="auto"/>
            </w:tcBorders>
          </w:tcPr>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lastRenderedPageBreak/>
              <w:t>Name, Restriction,</w:t>
            </w:r>
          </w:p>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t>Manner of administration and form</w:t>
            </w:r>
          </w:p>
        </w:tc>
        <w:tc>
          <w:tcPr>
            <w:tcW w:w="992" w:type="dxa"/>
            <w:tcBorders>
              <w:bottom w:val="single" w:sz="4" w:space="0" w:color="auto"/>
            </w:tcBorders>
          </w:tcPr>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t>Max.</w:t>
            </w:r>
          </w:p>
          <w:p w:rsidR="008C1997" w:rsidRPr="008C1997" w:rsidRDefault="008C1997" w:rsidP="008C1997">
            <w:pPr>
              <w:keepNext/>
              <w:ind w:left="-108"/>
              <w:jc w:val="both"/>
              <w:rPr>
                <w:rFonts w:ascii="Arial" w:hAnsi="Arial"/>
                <w:sz w:val="20"/>
                <w:lang w:val="en-US" w:eastAsia="en-US"/>
              </w:rPr>
            </w:pPr>
            <w:proofErr w:type="spellStart"/>
            <w:r w:rsidRPr="008C1997">
              <w:rPr>
                <w:rFonts w:ascii="Arial" w:hAnsi="Arial"/>
                <w:sz w:val="20"/>
                <w:lang w:val="en-US" w:eastAsia="en-US"/>
              </w:rPr>
              <w:t>Amt</w:t>
            </w:r>
            <w:proofErr w:type="spellEnd"/>
          </w:p>
        </w:tc>
        <w:tc>
          <w:tcPr>
            <w:tcW w:w="850" w:type="dxa"/>
            <w:tcBorders>
              <w:bottom w:val="single" w:sz="4" w:space="0" w:color="auto"/>
            </w:tcBorders>
          </w:tcPr>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t>№.of</w:t>
            </w:r>
          </w:p>
          <w:p w:rsidR="008C1997" w:rsidRPr="008C1997" w:rsidRDefault="008C1997" w:rsidP="008C1997">
            <w:pPr>
              <w:keepNext/>
              <w:ind w:left="-108"/>
              <w:jc w:val="both"/>
              <w:rPr>
                <w:rFonts w:ascii="Arial" w:hAnsi="Arial"/>
                <w:sz w:val="20"/>
                <w:lang w:val="en-US" w:eastAsia="en-US"/>
              </w:rPr>
            </w:pPr>
            <w:proofErr w:type="spellStart"/>
            <w:r w:rsidRPr="008C1997">
              <w:rPr>
                <w:rFonts w:ascii="Arial" w:hAnsi="Arial"/>
                <w:sz w:val="20"/>
                <w:lang w:val="en-US" w:eastAsia="en-US"/>
              </w:rPr>
              <w:t>Rpts</w:t>
            </w:r>
            <w:proofErr w:type="spellEnd"/>
          </w:p>
        </w:tc>
        <w:tc>
          <w:tcPr>
            <w:tcW w:w="1701" w:type="dxa"/>
            <w:tcBorders>
              <w:bottom w:val="single" w:sz="4" w:space="0" w:color="auto"/>
            </w:tcBorders>
          </w:tcPr>
          <w:p w:rsidR="008C1997" w:rsidRPr="008C1997" w:rsidRDefault="008C1997" w:rsidP="008C1997">
            <w:pPr>
              <w:keepNext/>
              <w:ind w:left="-108"/>
              <w:jc w:val="both"/>
              <w:rPr>
                <w:rFonts w:ascii="Arial" w:hAnsi="Arial"/>
                <w:sz w:val="20"/>
                <w:lang w:val="en-US" w:eastAsia="en-US"/>
              </w:rPr>
            </w:pPr>
          </w:p>
        </w:tc>
        <w:tc>
          <w:tcPr>
            <w:tcW w:w="2410" w:type="dxa"/>
            <w:gridSpan w:val="2"/>
            <w:tcBorders>
              <w:bottom w:val="single" w:sz="4" w:space="0" w:color="auto"/>
            </w:tcBorders>
          </w:tcPr>
          <w:p w:rsidR="008C1997" w:rsidRPr="008C1997" w:rsidRDefault="008C1997" w:rsidP="008C1997">
            <w:pPr>
              <w:keepNext/>
              <w:jc w:val="both"/>
              <w:rPr>
                <w:rFonts w:ascii="Arial" w:hAnsi="Arial"/>
                <w:sz w:val="20"/>
                <w:lang w:val="fr-FR" w:eastAsia="en-US"/>
              </w:rPr>
            </w:pPr>
          </w:p>
        </w:tc>
      </w:tr>
      <w:tr w:rsidR="008C1997" w:rsidRPr="008C1997" w:rsidTr="00A43175">
        <w:trPr>
          <w:cantSplit/>
          <w:trHeight w:val="577"/>
        </w:trPr>
        <w:tc>
          <w:tcPr>
            <w:tcW w:w="3261" w:type="dxa"/>
            <w:gridSpan w:val="2"/>
          </w:tcPr>
          <w:p w:rsidR="008C1997" w:rsidRPr="008C1997" w:rsidRDefault="008C1997" w:rsidP="008C1997">
            <w:pPr>
              <w:keepNext/>
              <w:ind w:left="-108"/>
              <w:jc w:val="both"/>
              <w:rPr>
                <w:rFonts w:ascii="Arial" w:hAnsi="Arial"/>
                <w:smallCaps/>
                <w:sz w:val="20"/>
                <w:szCs w:val="20"/>
                <w:lang w:val="en-US" w:eastAsia="en-US"/>
              </w:rPr>
            </w:pPr>
            <w:r w:rsidRPr="008C1997">
              <w:rPr>
                <w:rFonts w:ascii="Arial" w:hAnsi="Arial"/>
                <w:smallCaps/>
                <w:sz w:val="20"/>
                <w:szCs w:val="20"/>
                <w:lang w:val="en-US" w:eastAsia="en-US"/>
              </w:rPr>
              <w:t>Rituximab</w:t>
            </w:r>
          </w:p>
          <w:p w:rsidR="008C1997" w:rsidRPr="008C1997" w:rsidRDefault="008C1997" w:rsidP="008C1997">
            <w:pPr>
              <w:keepNext/>
              <w:ind w:left="-108"/>
              <w:jc w:val="both"/>
              <w:rPr>
                <w:rFonts w:ascii="Arial" w:hAnsi="Arial"/>
                <w:sz w:val="20"/>
                <w:szCs w:val="20"/>
                <w:lang w:val="en-US" w:eastAsia="en-US"/>
              </w:rPr>
            </w:pPr>
          </w:p>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t>Injection</w:t>
            </w:r>
          </w:p>
        </w:tc>
        <w:tc>
          <w:tcPr>
            <w:tcW w:w="992" w:type="dxa"/>
          </w:tcPr>
          <w:p w:rsidR="008C1997" w:rsidRPr="008C1997" w:rsidRDefault="008C1997" w:rsidP="008C1997">
            <w:pPr>
              <w:keepNext/>
              <w:ind w:left="-108"/>
              <w:jc w:val="both"/>
              <w:rPr>
                <w:rFonts w:ascii="Arial" w:hAnsi="Arial"/>
                <w:sz w:val="20"/>
                <w:lang w:val="en-US" w:eastAsia="en-US"/>
              </w:rPr>
            </w:pPr>
          </w:p>
          <w:p w:rsidR="008C1997" w:rsidRPr="008C1997" w:rsidRDefault="008C1997" w:rsidP="008C1997">
            <w:pPr>
              <w:keepNext/>
              <w:ind w:left="-108"/>
              <w:jc w:val="both"/>
              <w:rPr>
                <w:rFonts w:ascii="Arial" w:hAnsi="Arial"/>
                <w:sz w:val="20"/>
                <w:lang w:val="en-US" w:eastAsia="en-US"/>
              </w:rPr>
            </w:pPr>
          </w:p>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t>800 mg</w:t>
            </w:r>
          </w:p>
        </w:tc>
        <w:tc>
          <w:tcPr>
            <w:tcW w:w="850" w:type="dxa"/>
          </w:tcPr>
          <w:p w:rsidR="008C1997" w:rsidRPr="008C1997" w:rsidRDefault="008C1997" w:rsidP="008C1997">
            <w:pPr>
              <w:keepNext/>
              <w:ind w:left="-108"/>
              <w:jc w:val="both"/>
              <w:rPr>
                <w:rFonts w:ascii="Arial" w:hAnsi="Arial"/>
                <w:sz w:val="20"/>
                <w:lang w:val="en-US" w:eastAsia="en-US"/>
              </w:rPr>
            </w:pPr>
          </w:p>
          <w:p w:rsidR="008C1997" w:rsidRPr="008C1997" w:rsidRDefault="008C1997" w:rsidP="008C1997">
            <w:pPr>
              <w:keepNext/>
              <w:ind w:left="-108"/>
              <w:jc w:val="both"/>
              <w:rPr>
                <w:rFonts w:ascii="Arial" w:hAnsi="Arial"/>
                <w:sz w:val="20"/>
                <w:lang w:val="en-US" w:eastAsia="en-US"/>
              </w:rPr>
            </w:pPr>
          </w:p>
          <w:p w:rsidR="008C1997" w:rsidRPr="008C1997" w:rsidRDefault="008C1997" w:rsidP="008C1997">
            <w:pPr>
              <w:keepNext/>
              <w:ind w:left="-108"/>
              <w:jc w:val="both"/>
              <w:rPr>
                <w:rFonts w:ascii="Arial" w:hAnsi="Arial"/>
                <w:sz w:val="20"/>
                <w:lang w:val="en-US" w:eastAsia="en-US"/>
              </w:rPr>
            </w:pPr>
            <w:r w:rsidRPr="008C1997">
              <w:rPr>
                <w:rFonts w:ascii="Arial" w:hAnsi="Arial"/>
                <w:sz w:val="20"/>
                <w:lang w:val="en-US" w:eastAsia="en-US"/>
              </w:rPr>
              <w:t>3</w:t>
            </w:r>
          </w:p>
        </w:tc>
        <w:tc>
          <w:tcPr>
            <w:tcW w:w="1701" w:type="dxa"/>
          </w:tcPr>
          <w:p w:rsidR="008C1997" w:rsidRPr="008C1997" w:rsidRDefault="008C1997" w:rsidP="008C1997">
            <w:pPr>
              <w:keepNext/>
              <w:ind w:left="-108"/>
              <w:jc w:val="both"/>
              <w:rPr>
                <w:rFonts w:ascii="Arial" w:hAnsi="Arial"/>
                <w:sz w:val="20"/>
                <w:lang w:val="en-US" w:eastAsia="en-US"/>
              </w:rPr>
            </w:pPr>
          </w:p>
        </w:tc>
        <w:tc>
          <w:tcPr>
            <w:tcW w:w="1559" w:type="dxa"/>
          </w:tcPr>
          <w:p w:rsidR="008C1997" w:rsidRPr="008C1997" w:rsidRDefault="008C1997" w:rsidP="008C1997">
            <w:pPr>
              <w:keepNext/>
              <w:jc w:val="both"/>
              <w:rPr>
                <w:rFonts w:ascii="Arial" w:hAnsi="Arial"/>
                <w:sz w:val="20"/>
                <w:lang w:val="en-US" w:eastAsia="en-US"/>
              </w:rPr>
            </w:pPr>
          </w:p>
        </w:tc>
        <w:tc>
          <w:tcPr>
            <w:tcW w:w="851" w:type="dxa"/>
          </w:tcPr>
          <w:p w:rsidR="008C1997" w:rsidRPr="008C1997" w:rsidRDefault="008C1997" w:rsidP="008C1997">
            <w:pPr>
              <w:keepNext/>
              <w:jc w:val="both"/>
              <w:rPr>
                <w:rFonts w:ascii="Arial" w:hAnsi="Arial"/>
                <w:sz w:val="20"/>
                <w:lang w:val="en-US" w:eastAsia="en-US"/>
              </w:rPr>
            </w:pPr>
          </w:p>
        </w:tc>
      </w:tr>
      <w:tr w:rsidR="008C1997" w:rsidRPr="008C1997" w:rsidTr="00A43175">
        <w:trPr>
          <w:cantSplit/>
          <w:trHeight w:val="360"/>
        </w:trPr>
        <w:tc>
          <w:tcPr>
            <w:tcW w:w="9214" w:type="dxa"/>
            <w:gridSpan w:val="7"/>
            <w:tcBorders>
              <w:bottom w:val="single" w:sz="4" w:space="0" w:color="auto"/>
            </w:tcBorders>
          </w:tcPr>
          <w:p w:rsidR="008C1997" w:rsidRPr="008C1997" w:rsidRDefault="008C1997" w:rsidP="008C1997">
            <w:pPr>
              <w:jc w:val="both"/>
              <w:rPr>
                <w:rFonts w:ascii="Arial" w:hAnsi="Arial"/>
                <w:sz w:val="20"/>
                <w:lang w:val="en-US" w:eastAsia="en-US"/>
              </w:rPr>
            </w:pPr>
          </w:p>
          <w:p w:rsidR="008C1997" w:rsidRPr="008C1997" w:rsidRDefault="008C1997" w:rsidP="008C1997">
            <w:pPr>
              <w:jc w:val="both"/>
              <w:rPr>
                <w:rFonts w:ascii="Arial" w:hAnsi="Arial"/>
                <w:sz w:val="20"/>
                <w:lang w:val="en-US" w:eastAsia="en-US"/>
              </w:rPr>
            </w:pPr>
            <w:r w:rsidRPr="008C1997">
              <w:rPr>
                <w:rFonts w:ascii="Arial" w:hAnsi="Arial"/>
                <w:sz w:val="20"/>
                <w:lang w:val="en-US" w:eastAsia="en-US"/>
              </w:rPr>
              <w:t>Available brands:</w:t>
            </w:r>
          </w:p>
          <w:p w:rsidR="008C1997" w:rsidRPr="008C1997" w:rsidRDefault="008C1997" w:rsidP="008C1997">
            <w:pPr>
              <w:jc w:val="both"/>
              <w:rPr>
                <w:rFonts w:ascii="Arial" w:hAnsi="Arial"/>
                <w:sz w:val="20"/>
                <w:lang w:val="en-US" w:eastAsia="en-US"/>
              </w:rPr>
            </w:pPr>
            <w:proofErr w:type="spellStart"/>
            <w:r w:rsidRPr="008C1997">
              <w:rPr>
                <w:rFonts w:ascii="Arial" w:hAnsi="Arial"/>
                <w:sz w:val="20"/>
                <w:lang w:val="en-US" w:eastAsia="en-US"/>
              </w:rPr>
              <w:t>Mabthera</w:t>
            </w:r>
            <w:proofErr w:type="spellEnd"/>
          </w:p>
          <w:p w:rsidR="008C1997" w:rsidRPr="008C1997" w:rsidRDefault="008C1997" w:rsidP="008C1997">
            <w:pPr>
              <w:jc w:val="both"/>
              <w:rPr>
                <w:rFonts w:ascii="Arial" w:hAnsi="Arial"/>
                <w:sz w:val="20"/>
                <w:lang w:val="en-US" w:eastAsia="en-US"/>
              </w:rPr>
            </w:pPr>
            <w:r w:rsidRPr="008C1997">
              <w:rPr>
                <w:rFonts w:ascii="Arial" w:hAnsi="Arial"/>
                <w:sz w:val="20"/>
                <w:lang w:val="en-US" w:eastAsia="en-US"/>
              </w:rPr>
              <w:t xml:space="preserve">(rituximab 100 mg/10 mL injection, 2 x 10 mL vials)  </w:t>
            </w:r>
          </w:p>
          <w:p w:rsidR="008C1997" w:rsidRPr="008C1997" w:rsidRDefault="008C1997" w:rsidP="008C1997">
            <w:pPr>
              <w:jc w:val="both"/>
              <w:rPr>
                <w:rFonts w:ascii="Arial" w:hAnsi="Arial"/>
                <w:sz w:val="20"/>
                <w:lang w:val="en-US" w:eastAsia="en-US"/>
              </w:rPr>
            </w:pPr>
            <w:proofErr w:type="spellStart"/>
            <w:r w:rsidRPr="008C1997">
              <w:rPr>
                <w:rFonts w:ascii="Arial" w:hAnsi="Arial"/>
                <w:sz w:val="20"/>
                <w:lang w:val="en-US" w:eastAsia="en-US"/>
              </w:rPr>
              <w:t>Mabthera</w:t>
            </w:r>
            <w:proofErr w:type="spellEnd"/>
          </w:p>
          <w:p w:rsidR="008C1997" w:rsidRPr="008C1997" w:rsidRDefault="008C1997" w:rsidP="008C1997">
            <w:pPr>
              <w:jc w:val="both"/>
              <w:rPr>
                <w:rFonts w:ascii="Arial" w:hAnsi="Arial"/>
                <w:sz w:val="20"/>
                <w:lang w:val="en-US" w:eastAsia="en-US"/>
              </w:rPr>
            </w:pPr>
            <w:r w:rsidRPr="008C1997">
              <w:rPr>
                <w:rFonts w:ascii="Arial" w:hAnsi="Arial"/>
                <w:sz w:val="20"/>
                <w:lang w:val="en-US" w:eastAsia="en-US"/>
              </w:rPr>
              <w:t>(rituximab 500 mg/50 mL injection, 1 x 50 mL vial)</w:t>
            </w:r>
          </w:p>
          <w:p w:rsidR="008C1997" w:rsidRPr="008C1997" w:rsidRDefault="008C1997" w:rsidP="008C1997">
            <w:pPr>
              <w:jc w:val="both"/>
              <w:rPr>
                <w:rFonts w:ascii="Arial" w:hAnsi="Arial"/>
                <w:sz w:val="20"/>
                <w:lang w:val="en-US" w:eastAsia="en-US"/>
              </w:rPr>
            </w:pP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Category/Program</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Chemotherapy items for Public/Private Hospital Use</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sz w:val="22"/>
                <w:szCs w:val="22"/>
                <w:lang w:val="en-US" w:eastAsia="en-US"/>
              </w:rPr>
            </w:pPr>
            <w:proofErr w:type="spellStart"/>
            <w:r w:rsidRPr="008C1997">
              <w:rPr>
                <w:rFonts w:ascii="Arial Narrow" w:hAnsi="Arial Narrow" w:cs="Arial"/>
                <w:b/>
                <w:sz w:val="22"/>
                <w:szCs w:val="22"/>
                <w:lang w:val="en-US" w:eastAsia="en-US"/>
              </w:rPr>
              <w:t>Episodicity</w:t>
            </w:r>
            <w:proofErr w:type="spellEnd"/>
            <w:r w:rsidRPr="008C1997">
              <w:rPr>
                <w:rFonts w:ascii="Arial Narrow" w:hAnsi="Arial Narrow" w:cs="Arial"/>
                <w:b/>
                <w:sz w:val="22"/>
                <w:szCs w:val="22"/>
                <w:lang w:val="en-US" w:eastAsia="en-US"/>
              </w:rPr>
              <w:t>:</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 xml:space="preserve">Relapsed or refractory </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Condition:</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414230" w:rsidP="008C1997">
            <w:pPr>
              <w:rPr>
                <w:rFonts w:ascii="Arial Narrow" w:hAnsi="Arial Narrow"/>
                <w:sz w:val="22"/>
                <w:szCs w:val="22"/>
                <w:lang w:val="en-US" w:eastAsia="en-US"/>
              </w:rPr>
            </w:pPr>
            <w:r>
              <w:rPr>
                <w:rFonts w:ascii="Arial Narrow" w:hAnsi="Arial Narrow"/>
                <w:sz w:val="22"/>
                <w:szCs w:val="22"/>
                <w:lang w:val="en-US" w:eastAsia="en-US"/>
              </w:rPr>
              <w:t>L</w:t>
            </w:r>
            <w:r w:rsidR="008C1997" w:rsidRPr="008C1997">
              <w:rPr>
                <w:rFonts w:ascii="Arial Narrow" w:hAnsi="Arial Narrow"/>
                <w:sz w:val="22"/>
                <w:szCs w:val="22"/>
                <w:lang w:val="en-US" w:eastAsia="en-US"/>
              </w:rPr>
              <w:t xml:space="preserve">ow-grade B-cell Non-Hodgkin’s lymphoma </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color w:val="FF00FF"/>
                <w:sz w:val="22"/>
                <w:szCs w:val="22"/>
                <w:lang w:val="en-US" w:eastAsia="en-US"/>
              </w:rPr>
            </w:pPr>
            <w:r w:rsidRPr="008C1997">
              <w:rPr>
                <w:rFonts w:ascii="Arial Narrow" w:hAnsi="Arial Narrow" w:cs="Arial"/>
                <w:b/>
                <w:sz w:val="22"/>
                <w:szCs w:val="22"/>
                <w:lang w:val="en-US" w:eastAsia="en-US"/>
              </w:rPr>
              <w:t xml:space="preserve">Indication: </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414230">
            <w:pPr>
              <w:rPr>
                <w:rFonts w:ascii="Arial Narrow" w:hAnsi="Arial Narrow"/>
                <w:sz w:val="22"/>
                <w:szCs w:val="22"/>
                <w:lang w:val="en-US" w:eastAsia="en-US"/>
              </w:rPr>
            </w:pPr>
            <w:r w:rsidRPr="008C1997">
              <w:rPr>
                <w:rFonts w:ascii="Arial Narrow" w:hAnsi="Arial Narrow"/>
                <w:sz w:val="22"/>
                <w:szCs w:val="22"/>
                <w:lang w:val="en-US" w:eastAsia="en-US"/>
              </w:rPr>
              <w:t xml:space="preserve">Relapsed or refractory low-grade B-cell Non-Hodgkin’s lymphoma </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i/>
                <w:sz w:val="22"/>
                <w:szCs w:val="22"/>
                <w:lang w:val="en-US" w:eastAsia="en-US"/>
              </w:rPr>
            </w:pPr>
            <w:r w:rsidRPr="008C1997">
              <w:rPr>
                <w:rFonts w:ascii="Arial Narrow" w:hAnsi="Arial Narrow" w:cs="Arial"/>
                <w:b/>
                <w:sz w:val="22"/>
                <w:szCs w:val="22"/>
                <w:lang w:val="en-US" w:eastAsia="en-US"/>
              </w:rPr>
              <w:t xml:space="preserve">Treatment Phase: </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574109" w:rsidP="008C1997">
            <w:pPr>
              <w:rPr>
                <w:rFonts w:ascii="Arial Narrow" w:hAnsi="Arial Narrow"/>
                <w:sz w:val="22"/>
                <w:szCs w:val="22"/>
                <w:lang w:val="en-US" w:eastAsia="en-US"/>
              </w:rPr>
            </w:pPr>
            <w:r>
              <w:rPr>
                <w:rFonts w:ascii="Arial Narrow" w:hAnsi="Arial Narrow"/>
                <w:sz w:val="22"/>
                <w:szCs w:val="22"/>
                <w:lang w:val="en-US" w:eastAsia="en-US"/>
              </w:rPr>
              <w:t>R</w:t>
            </w:r>
            <w:r w:rsidR="008C1997" w:rsidRPr="008C1997">
              <w:rPr>
                <w:rFonts w:ascii="Arial Narrow" w:hAnsi="Arial Narrow"/>
                <w:sz w:val="22"/>
                <w:szCs w:val="22"/>
                <w:lang w:val="en-US" w:eastAsia="en-US"/>
              </w:rPr>
              <w:t>e-induction treatment</w:t>
            </w: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Restriction level:</w:t>
            </w:r>
          </w:p>
          <w:p w:rsidR="008C1997" w:rsidRPr="008C1997" w:rsidRDefault="008C1997" w:rsidP="008C1997">
            <w:pPr>
              <w:rPr>
                <w:rFonts w:ascii="Arial Narrow" w:hAnsi="Arial Narrow" w:cs="Arial"/>
                <w:sz w:val="22"/>
                <w:szCs w:val="22"/>
                <w:lang w:val="en-US" w:eastAsia="en-US"/>
              </w:rPr>
            </w:pP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To be determined:</w:t>
            </w:r>
          </w:p>
          <w:p w:rsidR="008C1997" w:rsidRPr="008C1997" w:rsidRDefault="008C1997" w:rsidP="008C1997">
            <w:pPr>
              <w:rPr>
                <w:rFonts w:ascii="Arial Narrow" w:hAnsi="Arial Narrow"/>
                <w:sz w:val="22"/>
                <w:szCs w:val="22"/>
                <w:lang w:val="en-US" w:eastAsia="en-US"/>
              </w:rPr>
            </w:pPr>
          </w:p>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 xml:space="preserve">Authority required (STREAMLINED) </w:t>
            </w:r>
          </w:p>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OR</w:t>
            </w:r>
          </w:p>
          <w:p w:rsidR="008C1997" w:rsidRPr="008C1997" w:rsidRDefault="008C1997" w:rsidP="008C1997">
            <w:pPr>
              <w:rPr>
                <w:rFonts w:ascii="Arial Narrow" w:hAnsi="Arial Narrow"/>
                <w:sz w:val="22"/>
                <w:szCs w:val="22"/>
                <w:lang w:val="en-US" w:eastAsia="en-US"/>
              </w:rPr>
            </w:pPr>
            <w:r w:rsidRPr="008C1997">
              <w:rPr>
                <w:rFonts w:ascii="Arial Narrow" w:hAnsi="Arial Narrow"/>
                <w:sz w:val="22"/>
                <w:szCs w:val="22"/>
                <w:lang w:val="en-US" w:eastAsia="en-US"/>
              </w:rPr>
              <w:t>Authority required - written</w:t>
            </w:r>
          </w:p>
          <w:p w:rsidR="008C1997" w:rsidRPr="008C1997" w:rsidRDefault="008C1997" w:rsidP="008C1997">
            <w:pPr>
              <w:rPr>
                <w:rFonts w:ascii="Arial Narrow" w:hAnsi="Arial Narrow"/>
                <w:sz w:val="22"/>
                <w:szCs w:val="22"/>
                <w:lang w:val="en-US" w:eastAsia="en-US"/>
              </w:rPr>
            </w:pP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sz w:val="22"/>
                <w:szCs w:val="22"/>
                <w:lang w:val="en-US" w:eastAsia="en-US"/>
              </w:rPr>
            </w:pPr>
            <w:r w:rsidRPr="008C1997">
              <w:rPr>
                <w:rFonts w:ascii="Arial Narrow" w:hAnsi="Arial Narrow" w:cs="Arial"/>
                <w:b/>
                <w:sz w:val="22"/>
                <w:szCs w:val="22"/>
                <w:lang w:val="en-US" w:eastAsia="en-US"/>
              </w:rPr>
              <w:t xml:space="preserve">Treatment criteria: </w:t>
            </w: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cs="Arial"/>
                <w:color w:val="FF00FF"/>
                <w:sz w:val="22"/>
                <w:szCs w:val="22"/>
                <w:lang w:val="en-US" w:eastAsia="en-US"/>
              </w:rPr>
            </w:pPr>
            <w:r w:rsidRPr="008C1997">
              <w:rPr>
                <w:rFonts w:ascii="Arial Narrow" w:hAnsi="Arial Narrow" w:cs="Arial"/>
                <w:sz w:val="22"/>
                <w:szCs w:val="22"/>
                <w:lang w:val="en-US" w:eastAsia="en-US"/>
              </w:rPr>
              <w:t>Patient must not receive more than 4</w:t>
            </w:r>
            <w:r w:rsidRPr="008C1997">
              <w:rPr>
                <w:rFonts w:ascii="Arial Narrow" w:hAnsi="Arial Narrow" w:cs="Arial"/>
                <w:i/>
                <w:sz w:val="22"/>
                <w:szCs w:val="22"/>
                <w:lang w:val="en-US" w:eastAsia="en-US"/>
              </w:rPr>
              <w:t xml:space="preserve"> </w:t>
            </w:r>
            <w:r w:rsidRPr="008C1997">
              <w:rPr>
                <w:rFonts w:ascii="Arial Narrow" w:hAnsi="Arial Narrow" w:cs="Arial"/>
                <w:sz w:val="22"/>
                <w:szCs w:val="22"/>
                <w:lang w:val="en-US" w:eastAsia="en-US"/>
              </w:rPr>
              <w:t xml:space="preserve">doses under this restriction. </w:t>
            </w:r>
          </w:p>
          <w:p w:rsidR="008C1997" w:rsidRPr="008C1997" w:rsidRDefault="008C1997" w:rsidP="008C1997">
            <w:pPr>
              <w:rPr>
                <w:rFonts w:ascii="Arial Narrow" w:hAnsi="Arial Narrow" w:cs="Arial"/>
                <w:sz w:val="22"/>
                <w:szCs w:val="22"/>
                <w:lang w:val="en-US" w:eastAsia="en-US"/>
              </w:rPr>
            </w:pP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 xml:space="preserve">Clinical criteria: </w:t>
            </w:r>
          </w:p>
          <w:p w:rsidR="008C1997" w:rsidRPr="008C1997" w:rsidRDefault="008C1997" w:rsidP="008C1997">
            <w:pPr>
              <w:jc w:val="both"/>
              <w:rPr>
                <w:rFonts w:ascii="Arial Narrow" w:hAnsi="Arial Narrow" w:cs="Arial"/>
                <w:sz w:val="22"/>
                <w:szCs w:val="22"/>
                <w:lang w:val="en-US" w:eastAsia="en-US"/>
              </w:rPr>
            </w:pPr>
          </w:p>
        </w:tc>
        <w:tc>
          <w:tcPr>
            <w:tcW w:w="7229" w:type="dxa"/>
            <w:gridSpan w:val="6"/>
            <w:tcBorders>
              <w:top w:val="single" w:sz="4" w:space="0" w:color="auto"/>
              <w:left w:val="single" w:sz="4" w:space="0" w:color="auto"/>
              <w:bottom w:val="single" w:sz="4" w:space="0" w:color="auto"/>
              <w:right w:val="single" w:sz="4" w:space="0" w:color="auto"/>
            </w:tcBorders>
          </w:tcPr>
          <w:p w:rsidR="008C1997" w:rsidRDefault="008C1997" w:rsidP="008C1997">
            <w:pPr>
              <w:jc w:val="both"/>
              <w:rPr>
                <w:rFonts w:ascii="Arial Narrow" w:hAnsi="Arial Narrow" w:cs="Arial"/>
                <w:sz w:val="22"/>
                <w:szCs w:val="22"/>
                <w:lang w:val="en-US" w:eastAsia="en-US"/>
              </w:rPr>
            </w:pPr>
            <w:r w:rsidRPr="008C1997">
              <w:rPr>
                <w:rFonts w:ascii="Arial Narrow" w:hAnsi="Arial Narrow" w:cs="Arial"/>
                <w:sz w:val="22"/>
                <w:szCs w:val="22"/>
                <w:lang w:val="en-US" w:eastAsia="en-US"/>
              </w:rPr>
              <w:t xml:space="preserve">The treatment must be for </w:t>
            </w:r>
            <w:r w:rsidR="00574109">
              <w:rPr>
                <w:rFonts w:ascii="Arial Narrow" w:hAnsi="Arial Narrow" w:cs="Arial"/>
                <w:sz w:val="22"/>
                <w:szCs w:val="22"/>
                <w:lang w:val="en-US" w:eastAsia="en-US"/>
              </w:rPr>
              <w:t>r</w:t>
            </w:r>
            <w:r w:rsidRPr="008C1997">
              <w:rPr>
                <w:rFonts w:ascii="Arial Narrow" w:hAnsi="Arial Narrow" w:cs="Arial"/>
                <w:sz w:val="22"/>
                <w:szCs w:val="22"/>
                <w:lang w:val="en-US" w:eastAsia="en-US"/>
              </w:rPr>
              <w:t xml:space="preserve">e-induction treatment purposes only </w:t>
            </w:r>
          </w:p>
          <w:p w:rsidR="008C1997" w:rsidRPr="008C1997" w:rsidRDefault="008C1997" w:rsidP="008C1997">
            <w:pPr>
              <w:jc w:val="both"/>
              <w:rPr>
                <w:rFonts w:ascii="Arial Narrow" w:hAnsi="Arial Narrow" w:cs="Arial"/>
                <w:sz w:val="22"/>
                <w:szCs w:val="22"/>
                <w:lang w:val="en-US" w:eastAsia="en-US"/>
              </w:rPr>
            </w:pPr>
            <w:r w:rsidRPr="008C1997">
              <w:rPr>
                <w:rFonts w:ascii="Arial Narrow" w:hAnsi="Arial Narrow" w:cs="Arial"/>
                <w:sz w:val="22"/>
                <w:szCs w:val="22"/>
                <w:lang w:val="en-US" w:eastAsia="en-US"/>
              </w:rPr>
              <w:t>AND</w:t>
            </w:r>
          </w:p>
          <w:p w:rsidR="008C1997" w:rsidRPr="008C1997" w:rsidRDefault="008C1997" w:rsidP="008C1997">
            <w:pPr>
              <w:jc w:val="both"/>
              <w:rPr>
                <w:rFonts w:ascii="Arial Narrow" w:hAnsi="Arial Narrow" w:cs="Arial"/>
                <w:color w:val="FF00FF"/>
                <w:sz w:val="22"/>
                <w:szCs w:val="22"/>
                <w:lang w:val="en-US" w:eastAsia="en-US"/>
              </w:rPr>
            </w:pPr>
            <w:r w:rsidRPr="008C1997">
              <w:rPr>
                <w:rFonts w:ascii="Arial Narrow" w:hAnsi="Arial Narrow" w:cs="Arial"/>
                <w:sz w:val="22"/>
                <w:szCs w:val="22"/>
                <w:lang w:val="en-US" w:eastAsia="en-US"/>
              </w:rPr>
              <w:t xml:space="preserve">The condition must have relapsed or be refractory to treatment </w:t>
            </w:r>
          </w:p>
          <w:p w:rsidR="008C1997" w:rsidRPr="008C1997" w:rsidRDefault="008C1997" w:rsidP="008C1997">
            <w:pPr>
              <w:jc w:val="both"/>
              <w:rPr>
                <w:rFonts w:ascii="Arial Narrow" w:hAnsi="Arial Narrow" w:cs="Arial"/>
                <w:sz w:val="22"/>
                <w:szCs w:val="22"/>
                <w:lang w:val="en-US" w:eastAsia="en-US"/>
              </w:rPr>
            </w:pPr>
          </w:p>
        </w:tc>
      </w:tr>
      <w:tr w:rsidR="008C1997" w:rsidRPr="008C1997" w:rsidTr="00A4317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1997" w:rsidRPr="008C1997" w:rsidRDefault="008C1997" w:rsidP="008C1997">
            <w:pPr>
              <w:jc w:val="both"/>
              <w:rPr>
                <w:rFonts w:ascii="Arial Narrow" w:hAnsi="Arial Narrow" w:cs="Arial"/>
                <w:b/>
                <w:sz w:val="22"/>
                <w:szCs w:val="22"/>
                <w:lang w:val="en-US" w:eastAsia="en-US"/>
              </w:rPr>
            </w:pPr>
            <w:r w:rsidRPr="008C1997">
              <w:rPr>
                <w:rFonts w:ascii="Arial Narrow" w:hAnsi="Arial Narrow" w:cs="Arial"/>
                <w:b/>
                <w:sz w:val="22"/>
                <w:szCs w:val="22"/>
                <w:lang w:val="en-US" w:eastAsia="en-US"/>
              </w:rPr>
              <w:t xml:space="preserve">Administrative Advice </w:t>
            </w:r>
          </w:p>
          <w:p w:rsidR="008C1997" w:rsidRPr="008C1997" w:rsidRDefault="008C1997" w:rsidP="008C1997">
            <w:pPr>
              <w:jc w:val="both"/>
              <w:rPr>
                <w:rFonts w:ascii="Arial Narrow" w:hAnsi="Arial Narrow" w:cs="Arial"/>
                <w:i/>
                <w:sz w:val="22"/>
                <w:szCs w:val="22"/>
                <w:lang w:val="en-US" w:eastAsia="en-US"/>
              </w:rPr>
            </w:pPr>
          </w:p>
        </w:tc>
        <w:tc>
          <w:tcPr>
            <w:tcW w:w="7229" w:type="dxa"/>
            <w:gridSpan w:val="6"/>
            <w:tcBorders>
              <w:top w:val="single" w:sz="4" w:space="0" w:color="auto"/>
              <w:left w:val="single" w:sz="4" w:space="0" w:color="auto"/>
              <w:bottom w:val="single" w:sz="4" w:space="0" w:color="auto"/>
              <w:right w:val="single" w:sz="4" w:space="0" w:color="auto"/>
            </w:tcBorders>
          </w:tcPr>
          <w:p w:rsidR="008C1997" w:rsidRPr="008C1997" w:rsidRDefault="008C1997" w:rsidP="008C1997">
            <w:pPr>
              <w:rPr>
                <w:rFonts w:ascii="Arial Narrow" w:hAnsi="Arial Narrow" w:cs="Arial"/>
                <w:sz w:val="22"/>
                <w:szCs w:val="22"/>
                <w:lang w:val="en-US" w:eastAsia="en-US"/>
              </w:rPr>
            </w:pPr>
            <w:r w:rsidRPr="008C1997">
              <w:rPr>
                <w:rFonts w:ascii="Arial Narrow" w:hAnsi="Arial Narrow" w:cs="Arial"/>
                <w:sz w:val="22"/>
                <w:szCs w:val="22"/>
                <w:u w:val="single"/>
                <w:lang w:val="en-US" w:eastAsia="en-US"/>
              </w:rPr>
              <w:t>NOTE</w:t>
            </w:r>
            <w:r w:rsidRPr="008C1997">
              <w:rPr>
                <w:rFonts w:ascii="Arial Narrow" w:hAnsi="Arial Narrow" w:cs="Arial"/>
                <w:sz w:val="22"/>
                <w:szCs w:val="22"/>
                <w:lang w:val="en-US" w:eastAsia="en-US"/>
              </w:rPr>
              <w:t>:</w:t>
            </w:r>
          </w:p>
          <w:p w:rsidR="008C1997" w:rsidRPr="008C1997" w:rsidRDefault="008C1997" w:rsidP="008C1997">
            <w:pPr>
              <w:rPr>
                <w:rFonts w:ascii="Arial Narrow" w:hAnsi="Arial Narrow" w:cs="Arial"/>
                <w:sz w:val="22"/>
                <w:szCs w:val="22"/>
                <w:lang w:val="en-US" w:eastAsia="en-US"/>
              </w:rPr>
            </w:pPr>
            <w:r w:rsidRPr="008C1997">
              <w:rPr>
                <w:rFonts w:ascii="Arial Narrow" w:hAnsi="Arial Narrow" w:cs="Arial"/>
                <w:sz w:val="22"/>
                <w:szCs w:val="22"/>
                <w:lang w:val="en-US" w:eastAsia="en-US"/>
              </w:rPr>
              <w:t xml:space="preserve">No increase in the maximum number of repeats may be </w:t>
            </w:r>
            <w:proofErr w:type="spellStart"/>
            <w:r w:rsidRPr="008C1997">
              <w:rPr>
                <w:rFonts w:ascii="Arial Narrow" w:hAnsi="Arial Narrow" w:cs="Arial"/>
                <w:sz w:val="22"/>
                <w:szCs w:val="22"/>
                <w:lang w:val="en-US" w:eastAsia="en-US"/>
              </w:rPr>
              <w:t>authorised</w:t>
            </w:r>
            <w:proofErr w:type="spellEnd"/>
            <w:r w:rsidRPr="008C1997">
              <w:rPr>
                <w:rFonts w:ascii="Arial Narrow" w:hAnsi="Arial Narrow" w:cs="Arial"/>
                <w:sz w:val="22"/>
                <w:szCs w:val="22"/>
                <w:lang w:val="en-US" w:eastAsia="en-US"/>
              </w:rPr>
              <w:t>.</w:t>
            </w:r>
          </w:p>
          <w:p w:rsidR="008C1997" w:rsidRPr="008C1997" w:rsidRDefault="008C1997" w:rsidP="008C1997">
            <w:pPr>
              <w:rPr>
                <w:rFonts w:ascii="Arial Narrow" w:hAnsi="Arial Narrow" w:cs="Arial"/>
                <w:sz w:val="22"/>
                <w:szCs w:val="22"/>
                <w:lang w:val="en-US" w:eastAsia="en-US"/>
              </w:rPr>
            </w:pPr>
          </w:p>
        </w:tc>
      </w:tr>
    </w:tbl>
    <w:p w:rsidR="00343FEE" w:rsidRDefault="00343FEE" w:rsidP="008C1997"/>
    <w:p w:rsidR="00B90AB7" w:rsidRDefault="00B90AB7" w:rsidP="00B90AB7">
      <w:pPr>
        <w:pStyle w:val="ListParagraph"/>
        <w:numPr>
          <w:ilvl w:val="0"/>
          <w:numId w:val="1"/>
        </w:numPr>
        <w:jc w:val="both"/>
        <w:rPr>
          <w:rFonts w:ascii="Arial" w:hAnsi="Arial" w:cs="Arial"/>
          <w:b/>
          <w:sz w:val="22"/>
        </w:rPr>
      </w:pPr>
      <w:r w:rsidRPr="00D4420F">
        <w:rPr>
          <w:rFonts w:ascii="Arial" w:hAnsi="Arial" w:cs="Arial"/>
          <w:b/>
          <w:sz w:val="22"/>
        </w:rPr>
        <w:t>Context for Decision</w:t>
      </w:r>
    </w:p>
    <w:p w:rsidR="00B90AB7" w:rsidRPr="00D4420F" w:rsidRDefault="00B90AB7" w:rsidP="00B90AB7">
      <w:pPr>
        <w:pStyle w:val="ListParagraph"/>
        <w:jc w:val="both"/>
        <w:rPr>
          <w:rFonts w:ascii="Arial" w:hAnsi="Arial" w:cs="Arial"/>
          <w:b/>
          <w:sz w:val="22"/>
        </w:rPr>
      </w:pPr>
    </w:p>
    <w:p w:rsidR="00B90AB7" w:rsidRPr="00D4420F" w:rsidRDefault="00B90AB7" w:rsidP="00B90AB7">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90AB7" w:rsidRPr="00D4420F" w:rsidRDefault="00B90AB7" w:rsidP="00B90AB7">
      <w:pPr>
        <w:jc w:val="both"/>
        <w:rPr>
          <w:rFonts w:ascii="Arial" w:hAnsi="Arial" w:cs="Arial"/>
          <w:sz w:val="22"/>
        </w:rPr>
      </w:pPr>
    </w:p>
    <w:p w:rsidR="00B90AB7" w:rsidRDefault="00B90AB7" w:rsidP="00B90AB7">
      <w:pPr>
        <w:pStyle w:val="ListParagraph"/>
        <w:numPr>
          <w:ilvl w:val="0"/>
          <w:numId w:val="1"/>
        </w:numPr>
        <w:jc w:val="both"/>
        <w:rPr>
          <w:rFonts w:ascii="Arial" w:hAnsi="Arial" w:cs="Arial"/>
          <w:b/>
          <w:sz w:val="22"/>
        </w:rPr>
      </w:pPr>
      <w:r w:rsidRPr="00D4420F">
        <w:rPr>
          <w:rFonts w:ascii="Arial" w:hAnsi="Arial" w:cs="Arial"/>
          <w:b/>
          <w:sz w:val="22"/>
        </w:rPr>
        <w:t>Sponsor’s Comment</w:t>
      </w:r>
    </w:p>
    <w:p w:rsidR="00EE749E" w:rsidRPr="00D4420F" w:rsidRDefault="00EE749E" w:rsidP="00EE749E">
      <w:pPr>
        <w:pStyle w:val="ListParagraph"/>
        <w:jc w:val="both"/>
        <w:rPr>
          <w:rFonts w:ascii="Arial" w:hAnsi="Arial" w:cs="Arial"/>
          <w:b/>
          <w:sz w:val="22"/>
        </w:rPr>
      </w:pPr>
    </w:p>
    <w:p w:rsidR="00B90AB7" w:rsidRPr="008C5F5B" w:rsidRDefault="008C5F5B" w:rsidP="008C5F5B">
      <w:pPr>
        <w:ind w:left="709"/>
        <w:rPr>
          <w:rFonts w:ascii="Arial" w:hAnsi="Arial" w:cs="Arial"/>
          <w:sz w:val="22"/>
          <w:szCs w:val="22"/>
        </w:rPr>
      </w:pPr>
      <w:r w:rsidRPr="008C5F5B">
        <w:rPr>
          <w:sz w:val="22"/>
          <w:szCs w:val="22"/>
        </w:rPr>
        <w:tab/>
      </w:r>
      <w:r w:rsidRPr="008C5F5B">
        <w:rPr>
          <w:rFonts w:ascii="Arial" w:hAnsi="Arial" w:cs="Arial"/>
          <w:sz w:val="22"/>
          <w:szCs w:val="22"/>
        </w:rPr>
        <w:t>The sponsor acknowledges the positive recommendation by the PBAC, however maintains that rituximab use in the maintenance setting is cost-effective at the proposed price. Subsequent to the PBAC meeting, the sponsor offered a further price reduction in light of the additional financial cost to the Government should PBS listing occur.</w:t>
      </w:r>
    </w:p>
    <w:sectPr w:rsidR="00B90AB7" w:rsidRPr="008C5F5B" w:rsidSect="00653D69">
      <w:headerReference w:type="even" r:id="rId8"/>
      <w:headerReference w:type="default" r:id="rId9"/>
      <w:footerReference w:type="even" r:id="rId10"/>
      <w:footerReference w:type="default" r:id="rId11"/>
      <w:footerReference w:type="first" r:id="rId12"/>
      <w:pgSz w:w="11906" w:h="16838" w:code="9"/>
      <w:pgMar w:top="1440" w:right="1440" w:bottom="1440" w:left="1440" w:header="720" w:footer="72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3D7CC5" w15:done="0"/>
  <w15:commentEx w15:paraId="23E8972A" w15:done="0"/>
  <w15:commentEx w15:paraId="480D052C" w15:done="0"/>
  <w15:commentEx w15:paraId="63013D04" w15:done="0"/>
  <w15:commentEx w15:paraId="6A4ABFEC" w15:done="0"/>
  <w15:commentEx w15:paraId="4AC61C9A" w15:done="0"/>
  <w15:commentEx w15:paraId="2D440E06" w15:done="0"/>
  <w15:commentEx w15:paraId="26DAB9FF" w15:done="0"/>
  <w15:commentEx w15:paraId="138494B2" w15:done="0"/>
  <w15:commentEx w15:paraId="604925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005" w:rsidRDefault="007D5005">
      <w:r>
        <w:separator/>
      </w:r>
    </w:p>
  </w:endnote>
  <w:endnote w:type="continuationSeparator" w:id="0">
    <w:p w:rsidR="007D5005" w:rsidRDefault="007D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73A48" w:rsidTr="005A3173">
      <w:trPr>
        <w:trHeight w:val="151"/>
      </w:trPr>
      <w:tc>
        <w:tcPr>
          <w:tcW w:w="2250" w:type="pct"/>
          <w:tcBorders>
            <w:top w:val="nil"/>
            <w:left w:val="nil"/>
            <w:bottom w:val="single" w:sz="4" w:space="0" w:color="4F81BD"/>
            <w:right w:val="nil"/>
          </w:tcBorders>
        </w:tcPr>
        <w:p w:rsidR="00173A48" w:rsidRPr="005A3173" w:rsidRDefault="00173A4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73A48" w:rsidRPr="005A3173" w:rsidRDefault="00173A4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73A48" w:rsidRPr="005A3173" w:rsidRDefault="00173A48" w:rsidP="005A3173">
          <w:pPr>
            <w:pStyle w:val="Header"/>
            <w:spacing w:line="276" w:lineRule="auto"/>
            <w:rPr>
              <w:rFonts w:ascii="Calibri" w:eastAsia="MS Gothic" w:hAnsi="Calibri"/>
              <w:b/>
              <w:bCs/>
              <w:color w:val="4F81BD"/>
            </w:rPr>
          </w:pPr>
        </w:p>
      </w:tc>
    </w:tr>
    <w:tr w:rsidR="00173A48" w:rsidTr="005A3173">
      <w:trPr>
        <w:trHeight w:val="150"/>
      </w:trPr>
      <w:tc>
        <w:tcPr>
          <w:tcW w:w="2250" w:type="pct"/>
          <w:tcBorders>
            <w:top w:val="single" w:sz="4" w:space="0" w:color="4F81BD"/>
            <w:left w:val="nil"/>
            <w:bottom w:val="nil"/>
            <w:right w:val="nil"/>
          </w:tcBorders>
        </w:tcPr>
        <w:p w:rsidR="00173A48" w:rsidRPr="005A3173" w:rsidRDefault="00173A48" w:rsidP="005A3173">
          <w:pPr>
            <w:pStyle w:val="Header"/>
            <w:spacing w:line="276" w:lineRule="auto"/>
            <w:rPr>
              <w:rFonts w:ascii="Calibri" w:eastAsia="MS Gothic" w:hAnsi="Calibri"/>
              <w:b/>
              <w:bCs/>
              <w:color w:val="4F81BD"/>
            </w:rPr>
          </w:pPr>
        </w:p>
      </w:tc>
      <w:tc>
        <w:tcPr>
          <w:tcW w:w="0" w:type="auto"/>
          <w:vMerge/>
          <w:vAlign w:val="center"/>
          <w:hideMark/>
        </w:tcPr>
        <w:p w:rsidR="00173A48" w:rsidRPr="005A3173" w:rsidRDefault="00173A48" w:rsidP="005A3173">
          <w:pPr>
            <w:rPr>
              <w:rFonts w:ascii="Calibri" w:hAnsi="Calibri"/>
              <w:color w:val="365F91"/>
              <w:sz w:val="22"/>
              <w:szCs w:val="22"/>
            </w:rPr>
          </w:pPr>
        </w:p>
      </w:tc>
      <w:tc>
        <w:tcPr>
          <w:tcW w:w="2250" w:type="pct"/>
          <w:tcBorders>
            <w:top w:val="single" w:sz="4" w:space="0" w:color="4F81BD"/>
            <w:left w:val="nil"/>
            <w:bottom w:val="nil"/>
            <w:right w:val="nil"/>
          </w:tcBorders>
        </w:tcPr>
        <w:p w:rsidR="00173A48" w:rsidRPr="005A3173" w:rsidRDefault="00173A48" w:rsidP="005A3173">
          <w:pPr>
            <w:pStyle w:val="Header"/>
            <w:spacing w:line="276" w:lineRule="auto"/>
            <w:rPr>
              <w:rFonts w:ascii="Calibri" w:eastAsia="MS Gothic" w:hAnsi="Calibri"/>
              <w:b/>
              <w:bCs/>
              <w:color w:val="4F81BD"/>
            </w:rPr>
          </w:pPr>
        </w:p>
      </w:tc>
    </w:tr>
  </w:tbl>
  <w:p w:rsidR="00173A48" w:rsidRDefault="00173A4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3A48" w:rsidRDefault="00173A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173A48" w:rsidRDefault="00173A48">
        <w:pPr>
          <w:pStyle w:val="Footer"/>
          <w:jc w:val="center"/>
        </w:pPr>
      </w:p>
      <w:p w:rsidR="00173A48" w:rsidRPr="00651169" w:rsidRDefault="00173A48">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AA41E6">
          <w:rPr>
            <w:rFonts w:ascii="Arial" w:hAnsi="Arial" w:cs="Arial"/>
            <w:noProof/>
            <w:sz w:val="20"/>
            <w:szCs w:val="20"/>
          </w:rPr>
          <w:t>1</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73A48" w:rsidTr="005A3173">
      <w:trPr>
        <w:trHeight w:val="151"/>
      </w:trPr>
      <w:tc>
        <w:tcPr>
          <w:tcW w:w="2250" w:type="pct"/>
          <w:tcBorders>
            <w:top w:val="nil"/>
            <w:left w:val="nil"/>
            <w:bottom w:val="single" w:sz="4" w:space="0" w:color="4F81BD"/>
            <w:right w:val="nil"/>
          </w:tcBorders>
        </w:tcPr>
        <w:p w:rsidR="00173A48" w:rsidRPr="005A3173" w:rsidRDefault="00173A4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73A48" w:rsidRPr="005A3173" w:rsidRDefault="00173A4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73A48" w:rsidRPr="005A3173" w:rsidRDefault="00173A48" w:rsidP="005A3173">
          <w:pPr>
            <w:pStyle w:val="Header"/>
            <w:spacing w:line="276" w:lineRule="auto"/>
            <w:rPr>
              <w:rFonts w:ascii="Calibri" w:eastAsia="MS Gothic" w:hAnsi="Calibri"/>
              <w:b/>
              <w:bCs/>
              <w:color w:val="4F81BD"/>
            </w:rPr>
          </w:pPr>
        </w:p>
      </w:tc>
    </w:tr>
    <w:tr w:rsidR="00173A48" w:rsidTr="005A3173">
      <w:trPr>
        <w:trHeight w:val="150"/>
      </w:trPr>
      <w:tc>
        <w:tcPr>
          <w:tcW w:w="2250" w:type="pct"/>
          <w:tcBorders>
            <w:top w:val="single" w:sz="4" w:space="0" w:color="4F81BD"/>
            <w:left w:val="nil"/>
            <w:bottom w:val="nil"/>
            <w:right w:val="nil"/>
          </w:tcBorders>
        </w:tcPr>
        <w:p w:rsidR="00173A48" w:rsidRPr="005A3173" w:rsidRDefault="00173A48" w:rsidP="005A3173">
          <w:pPr>
            <w:pStyle w:val="Header"/>
            <w:spacing w:line="276" w:lineRule="auto"/>
            <w:rPr>
              <w:rFonts w:ascii="Calibri" w:eastAsia="MS Gothic" w:hAnsi="Calibri"/>
              <w:b/>
              <w:bCs/>
              <w:color w:val="4F81BD"/>
            </w:rPr>
          </w:pPr>
        </w:p>
      </w:tc>
      <w:tc>
        <w:tcPr>
          <w:tcW w:w="0" w:type="auto"/>
          <w:vMerge/>
          <w:vAlign w:val="center"/>
          <w:hideMark/>
        </w:tcPr>
        <w:p w:rsidR="00173A48" w:rsidRPr="005A3173" w:rsidRDefault="00173A48" w:rsidP="005A3173">
          <w:pPr>
            <w:rPr>
              <w:rFonts w:ascii="Calibri" w:hAnsi="Calibri"/>
              <w:color w:val="365F91"/>
              <w:sz w:val="22"/>
              <w:szCs w:val="22"/>
            </w:rPr>
          </w:pPr>
        </w:p>
      </w:tc>
      <w:tc>
        <w:tcPr>
          <w:tcW w:w="2250" w:type="pct"/>
          <w:tcBorders>
            <w:top w:val="single" w:sz="4" w:space="0" w:color="4F81BD"/>
            <w:left w:val="nil"/>
            <w:bottom w:val="nil"/>
            <w:right w:val="nil"/>
          </w:tcBorders>
        </w:tcPr>
        <w:p w:rsidR="00173A48" w:rsidRPr="005A3173" w:rsidRDefault="00173A4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73A48" w:rsidTr="005A3173">
      <w:trPr>
        <w:trHeight w:val="151"/>
      </w:trPr>
      <w:tc>
        <w:tcPr>
          <w:tcW w:w="2250" w:type="pct"/>
          <w:tcBorders>
            <w:top w:val="nil"/>
            <w:left w:val="nil"/>
            <w:bottom w:val="single" w:sz="4" w:space="0" w:color="4F81BD"/>
            <w:right w:val="nil"/>
          </w:tcBorders>
        </w:tcPr>
        <w:p w:rsidR="00173A48" w:rsidRPr="005A3173" w:rsidRDefault="00173A4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73A48" w:rsidRPr="005A3173" w:rsidRDefault="00173A4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73A48" w:rsidRPr="005A3173" w:rsidRDefault="00173A48" w:rsidP="005A3173">
          <w:pPr>
            <w:pStyle w:val="Header"/>
            <w:spacing w:line="276" w:lineRule="auto"/>
            <w:rPr>
              <w:rFonts w:ascii="Calibri" w:eastAsia="MS Gothic" w:hAnsi="Calibri"/>
              <w:b/>
              <w:bCs/>
              <w:color w:val="4F81BD"/>
            </w:rPr>
          </w:pPr>
        </w:p>
      </w:tc>
    </w:tr>
    <w:tr w:rsidR="00173A48" w:rsidTr="005A3173">
      <w:trPr>
        <w:trHeight w:val="150"/>
      </w:trPr>
      <w:tc>
        <w:tcPr>
          <w:tcW w:w="2250" w:type="pct"/>
          <w:tcBorders>
            <w:top w:val="single" w:sz="4" w:space="0" w:color="4F81BD"/>
            <w:left w:val="nil"/>
            <w:bottom w:val="nil"/>
            <w:right w:val="nil"/>
          </w:tcBorders>
        </w:tcPr>
        <w:p w:rsidR="00173A48" w:rsidRPr="005A3173" w:rsidRDefault="00173A48" w:rsidP="005A3173">
          <w:pPr>
            <w:pStyle w:val="Header"/>
            <w:spacing w:line="276" w:lineRule="auto"/>
            <w:rPr>
              <w:rFonts w:ascii="Calibri" w:eastAsia="MS Gothic" w:hAnsi="Calibri"/>
              <w:b/>
              <w:bCs/>
              <w:color w:val="4F81BD"/>
            </w:rPr>
          </w:pPr>
        </w:p>
      </w:tc>
      <w:tc>
        <w:tcPr>
          <w:tcW w:w="0" w:type="auto"/>
          <w:vMerge/>
          <w:vAlign w:val="center"/>
          <w:hideMark/>
        </w:tcPr>
        <w:p w:rsidR="00173A48" w:rsidRPr="005A3173" w:rsidRDefault="00173A48" w:rsidP="005A3173">
          <w:pPr>
            <w:rPr>
              <w:rFonts w:ascii="Calibri" w:hAnsi="Calibri"/>
              <w:color w:val="365F91"/>
              <w:sz w:val="22"/>
              <w:szCs w:val="22"/>
            </w:rPr>
          </w:pPr>
        </w:p>
      </w:tc>
      <w:tc>
        <w:tcPr>
          <w:tcW w:w="2250" w:type="pct"/>
          <w:tcBorders>
            <w:top w:val="single" w:sz="4" w:space="0" w:color="4F81BD"/>
            <w:left w:val="nil"/>
            <w:bottom w:val="nil"/>
            <w:right w:val="nil"/>
          </w:tcBorders>
        </w:tcPr>
        <w:p w:rsidR="00173A48" w:rsidRPr="005A3173" w:rsidRDefault="00173A48" w:rsidP="005A3173">
          <w:pPr>
            <w:pStyle w:val="Header"/>
            <w:spacing w:line="276" w:lineRule="auto"/>
            <w:rPr>
              <w:rFonts w:ascii="Calibri" w:eastAsia="MS Gothic" w:hAnsi="Calibri"/>
              <w:b/>
              <w:bCs/>
              <w:color w:val="4F81BD"/>
            </w:rPr>
          </w:pPr>
        </w:p>
      </w:tc>
    </w:tr>
  </w:tbl>
  <w:p w:rsidR="00173A48" w:rsidRPr="007C0F57" w:rsidRDefault="00173A4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73A48" w:rsidRPr="007C0F57" w:rsidRDefault="00173A48"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005" w:rsidRDefault="007D5005">
      <w:r>
        <w:separator/>
      </w:r>
    </w:p>
  </w:footnote>
  <w:footnote w:type="continuationSeparator" w:id="0">
    <w:p w:rsidR="007D5005" w:rsidRDefault="007D5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73A48" w:rsidRPr="008E0D90" w:rsidTr="00A06225">
      <w:trPr>
        <w:trHeight w:val="151"/>
      </w:trPr>
      <w:tc>
        <w:tcPr>
          <w:tcW w:w="2389" w:type="pct"/>
          <w:tcBorders>
            <w:top w:val="nil"/>
            <w:left w:val="nil"/>
            <w:bottom w:val="single" w:sz="4" w:space="0" w:color="4F81BD"/>
            <w:right w:val="nil"/>
          </w:tcBorders>
        </w:tcPr>
        <w:p w:rsidR="00173A48" w:rsidRPr="00A06225" w:rsidRDefault="00173A48">
          <w:pPr>
            <w:pStyle w:val="Header"/>
            <w:spacing w:line="276" w:lineRule="auto"/>
            <w:rPr>
              <w:rFonts w:ascii="Cambria" w:eastAsia="MS Gothic" w:hAnsi="Cambria"/>
              <w:b/>
              <w:bCs/>
              <w:color w:val="4F81BD"/>
            </w:rPr>
          </w:pPr>
        </w:p>
      </w:tc>
      <w:tc>
        <w:tcPr>
          <w:tcW w:w="333" w:type="pct"/>
          <w:vMerge w:val="restart"/>
          <w:noWrap/>
          <w:vAlign w:val="center"/>
          <w:hideMark/>
        </w:tcPr>
        <w:p w:rsidR="00173A48" w:rsidRPr="00A06225" w:rsidRDefault="00173A4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73A48" w:rsidRPr="00A06225" w:rsidRDefault="00173A48">
          <w:pPr>
            <w:pStyle w:val="Header"/>
            <w:spacing w:line="276" w:lineRule="auto"/>
            <w:rPr>
              <w:rFonts w:ascii="Cambria" w:eastAsia="MS Gothic" w:hAnsi="Cambria"/>
              <w:b/>
              <w:bCs/>
              <w:color w:val="4F81BD"/>
            </w:rPr>
          </w:pPr>
        </w:p>
      </w:tc>
    </w:tr>
    <w:tr w:rsidR="00173A48" w:rsidRPr="008E0D90" w:rsidTr="00A06225">
      <w:trPr>
        <w:trHeight w:val="150"/>
      </w:trPr>
      <w:tc>
        <w:tcPr>
          <w:tcW w:w="2389" w:type="pct"/>
          <w:tcBorders>
            <w:top w:val="single" w:sz="4" w:space="0" w:color="4F81BD"/>
            <w:left w:val="nil"/>
            <w:bottom w:val="nil"/>
            <w:right w:val="nil"/>
          </w:tcBorders>
        </w:tcPr>
        <w:p w:rsidR="00173A48" w:rsidRPr="00A06225" w:rsidRDefault="00173A48">
          <w:pPr>
            <w:pStyle w:val="Header"/>
            <w:spacing w:line="276" w:lineRule="auto"/>
            <w:rPr>
              <w:rFonts w:ascii="Cambria" w:eastAsia="MS Gothic" w:hAnsi="Cambria"/>
              <w:b/>
              <w:bCs/>
              <w:color w:val="4F81BD"/>
            </w:rPr>
          </w:pPr>
        </w:p>
      </w:tc>
      <w:tc>
        <w:tcPr>
          <w:tcW w:w="0" w:type="auto"/>
          <w:vMerge/>
          <w:vAlign w:val="center"/>
          <w:hideMark/>
        </w:tcPr>
        <w:p w:rsidR="00173A48" w:rsidRPr="00A06225" w:rsidRDefault="00173A48">
          <w:pPr>
            <w:rPr>
              <w:rFonts w:ascii="Cambria" w:hAnsi="Cambria"/>
              <w:color w:val="4F81BD"/>
              <w:sz w:val="22"/>
              <w:szCs w:val="22"/>
            </w:rPr>
          </w:pPr>
        </w:p>
      </w:tc>
      <w:tc>
        <w:tcPr>
          <w:tcW w:w="2278" w:type="pct"/>
          <w:tcBorders>
            <w:top w:val="single" w:sz="4" w:space="0" w:color="4F81BD"/>
            <w:left w:val="nil"/>
            <w:bottom w:val="nil"/>
            <w:right w:val="nil"/>
          </w:tcBorders>
        </w:tcPr>
        <w:p w:rsidR="00173A48" w:rsidRPr="00A06225" w:rsidRDefault="00173A48">
          <w:pPr>
            <w:pStyle w:val="Header"/>
            <w:spacing w:line="276" w:lineRule="auto"/>
            <w:rPr>
              <w:rFonts w:ascii="Cambria" w:eastAsia="MS Gothic" w:hAnsi="Cambria"/>
              <w:b/>
              <w:bCs/>
              <w:color w:val="4F81BD"/>
            </w:rPr>
          </w:pPr>
        </w:p>
      </w:tc>
    </w:tr>
  </w:tbl>
  <w:p w:rsidR="00173A48" w:rsidRDefault="00173A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A48" w:rsidRPr="00DF217D" w:rsidRDefault="00173A48" w:rsidP="00B90AB7">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173A48" w:rsidRPr="00B90AB7" w:rsidRDefault="00173A48" w:rsidP="00B90A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071EC"/>
    <w:multiLevelType w:val="hybridMultilevel"/>
    <w:tmpl w:val="8040789A"/>
    <w:lvl w:ilvl="0" w:tplc="D81C4C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B7B3C5B"/>
    <w:multiLevelType w:val="multilevel"/>
    <w:tmpl w:val="BB68F57C"/>
    <w:lvl w:ilvl="0">
      <w:start w:val="1"/>
      <w:numFmt w:val="decimal"/>
      <w:lvlText w:val="%1"/>
      <w:lvlJc w:val="left"/>
      <w:pPr>
        <w:ind w:left="720" w:hanging="720"/>
      </w:pPr>
      <w:rPr>
        <w:rFonts w:hint="default"/>
        <w:b/>
      </w:rPr>
    </w:lvl>
    <w:lvl w:ilvl="1">
      <w:start w:val="1"/>
      <w:numFmt w:val="decimal"/>
      <w:lvlText w:val="%1.%2"/>
      <w:lvlJc w:val="left"/>
      <w:pPr>
        <w:ind w:left="862" w:hanging="720"/>
      </w:pPr>
      <w:rPr>
        <w:rFonts w:ascii="Arial" w:hAnsi="Arial" w:cs="Arial"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0636788"/>
    <w:multiLevelType w:val="hybridMultilevel"/>
    <w:tmpl w:val="232003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42C12D9E"/>
    <w:multiLevelType w:val="multilevel"/>
    <w:tmpl w:val="BB68F57C"/>
    <w:lvl w:ilvl="0">
      <w:start w:val="1"/>
      <w:numFmt w:val="decimal"/>
      <w:lvlText w:val="%1"/>
      <w:lvlJc w:val="left"/>
      <w:pPr>
        <w:ind w:left="720" w:hanging="720"/>
      </w:pPr>
      <w:rPr>
        <w:rFonts w:hint="default"/>
        <w:b/>
      </w:rPr>
    </w:lvl>
    <w:lvl w:ilvl="1">
      <w:start w:val="1"/>
      <w:numFmt w:val="decimal"/>
      <w:lvlText w:val="%1.%2"/>
      <w:lvlJc w:val="left"/>
      <w:pPr>
        <w:ind w:left="862" w:hanging="720"/>
      </w:pPr>
      <w:rPr>
        <w:rFonts w:ascii="Arial" w:hAnsi="Arial" w:cs="Arial"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nsid w:val="59BC5196"/>
    <w:multiLevelType w:val="multilevel"/>
    <w:tmpl w:val="6F9074C2"/>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ascii="Arial" w:hAnsi="Arial" w:cs="Arial"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8D4559A"/>
    <w:multiLevelType w:val="multilevel"/>
    <w:tmpl w:val="BB68F57C"/>
    <w:lvl w:ilvl="0">
      <w:start w:val="1"/>
      <w:numFmt w:val="decimal"/>
      <w:lvlText w:val="%1"/>
      <w:lvlJc w:val="left"/>
      <w:pPr>
        <w:ind w:left="720" w:hanging="720"/>
      </w:pPr>
      <w:rPr>
        <w:rFonts w:hint="default"/>
        <w:b/>
      </w:rPr>
    </w:lvl>
    <w:lvl w:ilvl="1">
      <w:start w:val="1"/>
      <w:numFmt w:val="decimal"/>
      <w:lvlText w:val="%1.%2"/>
      <w:lvlJc w:val="left"/>
      <w:pPr>
        <w:ind w:left="862" w:hanging="720"/>
      </w:pPr>
      <w:rPr>
        <w:rFonts w:ascii="Arial" w:hAnsi="Arial" w:cs="Arial"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84D033C"/>
    <w:multiLevelType w:val="multilevel"/>
    <w:tmpl w:val="925415BE"/>
    <w:lvl w:ilvl="0">
      <w:start w:val="1"/>
      <w:numFmt w:val="decimal"/>
      <w:lvlText w:val="%1"/>
      <w:lvlJc w:val="left"/>
      <w:pPr>
        <w:ind w:left="720" w:hanging="720"/>
      </w:pPr>
      <w:rPr>
        <w:rFonts w:hint="default"/>
        <w:b/>
      </w:rPr>
    </w:lvl>
    <w:lvl w:ilvl="1">
      <w:start w:val="1"/>
      <w:numFmt w:val="decimal"/>
      <w:lvlText w:val="%1.%2"/>
      <w:lvlJc w:val="left"/>
      <w:pPr>
        <w:ind w:left="862" w:hanging="720"/>
      </w:pPr>
      <w:rPr>
        <w:rFonts w:ascii="Arial" w:hAnsi="Arial" w:cs="Arial"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4"/>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3"/>
  </w:num>
  <w:num w:numId="9">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487"/>
    <w:rsid w:val="000137FF"/>
    <w:rsid w:val="00013A1A"/>
    <w:rsid w:val="000174E4"/>
    <w:rsid w:val="00017D23"/>
    <w:rsid w:val="00021C76"/>
    <w:rsid w:val="0002464A"/>
    <w:rsid w:val="0002670B"/>
    <w:rsid w:val="0003106B"/>
    <w:rsid w:val="000421A1"/>
    <w:rsid w:val="0004240E"/>
    <w:rsid w:val="00045E26"/>
    <w:rsid w:val="000514B5"/>
    <w:rsid w:val="00060E64"/>
    <w:rsid w:val="0006438B"/>
    <w:rsid w:val="00066755"/>
    <w:rsid w:val="00067F05"/>
    <w:rsid w:val="00075894"/>
    <w:rsid w:val="00076E3B"/>
    <w:rsid w:val="0009035B"/>
    <w:rsid w:val="00090D20"/>
    <w:rsid w:val="00093DDB"/>
    <w:rsid w:val="000969AD"/>
    <w:rsid w:val="000A3E11"/>
    <w:rsid w:val="000B558D"/>
    <w:rsid w:val="000B5F57"/>
    <w:rsid w:val="000B6592"/>
    <w:rsid w:val="000C6996"/>
    <w:rsid w:val="000D2335"/>
    <w:rsid w:val="000D23BA"/>
    <w:rsid w:val="000D3946"/>
    <w:rsid w:val="000E2EB4"/>
    <w:rsid w:val="000E681E"/>
    <w:rsid w:val="000E72F8"/>
    <w:rsid w:val="000E7760"/>
    <w:rsid w:val="000F3D8A"/>
    <w:rsid w:val="000F4E6A"/>
    <w:rsid w:val="001107BF"/>
    <w:rsid w:val="00123F2B"/>
    <w:rsid w:val="0012417C"/>
    <w:rsid w:val="00126A08"/>
    <w:rsid w:val="00142395"/>
    <w:rsid w:val="00142714"/>
    <w:rsid w:val="001452ED"/>
    <w:rsid w:val="00150C26"/>
    <w:rsid w:val="00163F10"/>
    <w:rsid w:val="00164F40"/>
    <w:rsid w:val="001679BB"/>
    <w:rsid w:val="00173A48"/>
    <w:rsid w:val="001775E6"/>
    <w:rsid w:val="001830CE"/>
    <w:rsid w:val="0018607D"/>
    <w:rsid w:val="001915C4"/>
    <w:rsid w:val="0019490D"/>
    <w:rsid w:val="00196307"/>
    <w:rsid w:val="001B017F"/>
    <w:rsid w:val="001B5129"/>
    <w:rsid w:val="001B7979"/>
    <w:rsid w:val="001C1195"/>
    <w:rsid w:val="001C75C2"/>
    <w:rsid w:val="001F044C"/>
    <w:rsid w:val="001F3A2A"/>
    <w:rsid w:val="00203645"/>
    <w:rsid w:val="00213CFB"/>
    <w:rsid w:val="00214E3C"/>
    <w:rsid w:val="00220CE5"/>
    <w:rsid w:val="002260C0"/>
    <w:rsid w:val="00230ED5"/>
    <w:rsid w:val="00247A81"/>
    <w:rsid w:val="002556C7"/>
    <w:rsid w:val="00271BA1"/>
    <w:rsid w:val="00271CEE"/>
    <w:rsid w:val="00274040"/>
    <w:rsid w:val="00277505"/>
    <w:rsid w:val="00283FDE"/>
    <w:rsid w:val="00291397"/>
    <w:rsid w:val="0029458F"/>
    <w:rsid w:val="002960B0"/>
    <w:rsid w:val="0029730C"/>
    <w:rsid w:val="002A0D49"/>
    <w:rsid w:val="002A104C"/>
    <w:rsid w:val="002A2D33"/>
    <w:rsid w:val="002A4960"/>
    <w:rsid w:val="002B1AE6"/>
    <w:rsid w:val="002B30F8"/>
    <w:rsid w:val="002C212F"/>
    <w:rsid w:val="002C5A23"/>
    <w:rsid w:val="002D7459"/>
    <w:rsid w:val="002E1BFC"/>
    <w:rsid w:val="002E72CA"/>
    <w:rsid w:val="00306300"/>
    <w:rsid w:val="00315A4A"/>
    <w:rsid w:val="00316E14"/>
    <w:rsid w:val="00325ABB"/>
    <w:rsid w:val="00326E79"/>
    <w:rsid w:val="00327C9A"/>
    <w:rsid w:val="003353BA"/>
    <w:rsid w:val="003367EF"/>
    <w:rsid w:val="00341AE4"/>
    <w:rsid w:val="00343011"/>
    <w:rsid w:val="00343FEE"/>
    <w:rsid w:val="00350A03"/>
    <w:rsid w:val="003574A9"/>
    <w:rsid w:val="0036401F"/>
    <w:rsid w:val="00376734"/>
    <w:rsid w:val="00382E91"/>
    <w:rsid w:val="003912F1"/>
    <w:rsid w:val="00392A5C"/>
    <w:rsid w:val="00396A84"/>
    <w:rsid w:val="003A0156"/>
    <w:rsid w:val="003A5B4A"/>
    <w:rsid w:val="003B0077"/>
    <w:rsid w:val="003B23C5"/>
    <w:rsid w:val="003B2A75"/>
    <w:rsid w:val="003B3AB6"/>
    <w:rsid w:val="003C7215"/>
    <w:rsid w:val="003D0468"/>
    <w:rsid w:val="003D1C52"/>
    <w:rsid w:val="003D4AC4"/>
    <w:rsid w:val="003D63B7"/>
    <w:rsid w:val="003E468B"/>
    <w:rsid w:val="003E712D"/>
    <w:rsid w:val="003F06AF"/>
    <w:rsid w:val="003F5C8C"/>
    <w:rsid w:val="00401A9C"/>
    <w:rsid w:val="00404922"/>
    <w:rsid w:val="00406842"/>
    <w:rsid w:val="00412424"/>
    <w:rsid w:val="00414230"/>
    <w:rsid w:val="00415287"/>
    <w:rsid w:val="00417753"/>
    <w:rsid w:val="004210CA"/>
    <w:rsid w:val="004248C8"/>
    <w:rsid w:val="00427FF7"/>
    <w:rsid w:val="0044280B"/>
    <w:rsid w:val="004465BD"/>
    <w:rsid w:val="004553A7"/>
    <w:rsid w:val="00466ADA"/>
    <w:rsid w:val="0047301E"/>
    <w:rsid w:val="0048363B"/>
    <w:rsid w:val="00485940"/>
    <w:rsid w:val="00493F87"/>
    <w:rsid w:val="004A13DB"/>
    <w:rsid w:val="004B5640"/>
    <w:rsid w:val="004C1BD7"/>
    <w:rsid w:val="004C55C9"/>
    <w:rsid w:val="004C5BA0"/>
    <w:rsid w:val="004C691D"/>
    <w:rsid w:val="004D552E"/>
    <w:rsid w:val="004E692D"/>
    <w:rsid w:val="004E7D10"/>
    <w:rsid w:val="00512E60"/>
    <w:rsid w:val="00514CD7"/>
    <w:rsid w:val="00521EFF"/>
    <w:rsid w:val="00524E0C"/>
    <w:rsid w:val="00534E2E"/>
    <w:rsid w:val="00540D65"/>
    <w:rsid w:val="00544552"/>
    <w:rsid w:val="00544C89"/>
    <w:rsid w:val="00555A65"/>
    <w:rsid w:val="00555CA5"/>
    <w:rsid w:val="00556F1A"/>
    <w:rsid w:val="005667BC"/>
    <w:rsid w:val="00574109"/>
    <w:rsid w:val="00581932"/>
    <w:rsid w:val="005819E6"/>
    <w:rsid w:val="005925A4"/>
    <w:rsid w:val="00592636"/>
    <w:rsid w:val="005963BB"/>
    <w:rsid w:val="005A3173"/>
    <w:rsid w:val="005A3223"/>
    <w:rsid w:val="005A3DA3"/>
    <w:rsid w:val="005A52C4"/>
    <w:rsid w:val="005A61EE"/>
    <w:rsid w:val="005A71CE"/>
    <w:rsid w:val="005B2A8A"/>
    <w:rsid w:val="005B318A"/>
    <w:rsid w:val="005C394F"/>
    <w:rsid w:val="005C7F46"/>
    <w:rsid w:val="005D03AB"/>
    <w:rsid w:val="005D08BA"/>
    <w:rsid w:val="005D0C04"/>
    <w:rsid w:val="005D5017"/>
    <w:rsid w:val="005E468C"/>
    <w:rsid w:val="005E6BF8"/>
    <w:rsid w:val="005F3E57"/>
    <w:rsid w:val="00600582"/>
    <w:rsid w:val="00601A91"/>
    <w:rsid w:val="00602AAF"/>
    <w:rsid w:val="00602BA3"/>
    <w:rsid w:val="00606D53"/>
    <w:rsid w:val="00614159"/>
    <w:rsid w:val="00617C00"/>
    <w:rsid w:val="00622167"/>
    <w:rsid w:val="006263BF"/>
    <w:rsid w:val="00630A2C"/>
    <w:rsid w:val="00631540"/>
    <w:rsid w:val="0063308B"/>
    <w:rsid w:val="006468B9"/>
    <w:rsid w:val="00650CFF"/>
    <w:rsid w:val="00651169"/>
    <w:rsid w:val="006520F2"/>
    <w:rsid w:val="00653D69"/>
    <w:rsid w:val="00655255"/>
    <w:rsid w:val="00657F6D"/>
    <w:rsid w:val="006704B0"/>
    <w:rsid w:val="00670A76"/>
    <w:rsid w:val="006711AA"/>
    <w:rsid w:val="00675622"/>
    <w:rsid w:val="006906DB"/>
    <w:rsid w:val="006A12A5"/>
    <w:rsid w:val="006A2AF8"/>
    <w:rsid w:val="006B0D94"/>
    <w:rsid w:val="006B485D"/>
    <w:rsid w:val="006B5E8A"/>
    <w:rsid w:val="006B60EF"/>
    <w:rsid w:val="006C708E"/>
    <w:rsid w:val="006D6E26"/>
    <w:rsid w:val="006D6EC7"/>
    <w:rsid w:val="006E4F7F"/>
    <w:rsid w:val="006F0B85"/>
    <w:rsid w:val="006F381F"/>
    <w:rsid w:val="006F5125"/>
    <w:rsid w:val="006F61B2"/>
    <w:rsid w:val="00706696"/>
    <w:rsid w:val="0071061C"/>
    <w:rsid w:val="007174BB"/>
    <w:rsid w:val="00717A71"/>
    <w:rsid w:val="00720ACE"/>
    <w:rsid w:val="00724F17"/>
    <w:rsid w:val="0073037B"/>
    <w:rsid w:val="007323FB"/>
    <w:rsid w:val="007324E8"/>
    <w:rsid w:val="007324FE"/>
    <w:rsid w:val="00735C48"/>
    <w:rsid w:val="00735DEB"/>
    <w:rsid w:val="007442AE"/>
    <w:rsid w:val="00757917"/>
    <w:rsid w:val="00761F16"/>
    <w:rsid w:val="007641BC"/>
    <w:rsid w:val="00767A45"/>
    <w:rsid w:val="00773F35"/>
    <w:rsid w:val="007753C2"/>
    <w:rsid w:val="007838B8"/>
    <w:rsid w:val="00787018"/>
    <w:rsid w:val="007937E2"/>
    <w:rsid w:val="00795A7F"/>
    <w:rsid w:val="00795CA8"/>
    <w:rsid w:val="007A1F05"/>
    <w:rsid w:val="007B50ED"/>
    <w:rsid w:val="007B65C8"/>
    <w:rsid w:val="007B7AE9"/>
    <w:rsid w:val="007C0F57"/>
    <w:rsid w:val="007C2797"/>
    <w:rsid w:val="007C40B6"/>
    <w:rsid w:val="007C5603"/>
    <w:rsid w:val="007C729F"/>
    <w:rsid w:val="007D5005"/>
    <w:rsid w:val="007E1D28"/>
    <w:rsid w:val="007E52A7"/>
    <w:rsid w:val="007E6AA1"/>
    <w:rsid w:val="007F2641"/>
    <w:rsid w:val="007F7C36"/>
    <w:rsid w:val="00804958"/>
    <w:rsid w:val="00806796"/>
    <w:rsid w:val="00807A29"/>
    <w:rsid w:val="00831672"/>
    <w:rsid w:val="0083256A"/>
    <w:rsid w:val="00834011"/>
    <w:rsid w:val="00834BDA"/>
    <w:rsid w:val="008400D6"/>
    <w:rsid w:val="00856DDD"/>
    <w:rsid w:val="0086038B"/>
    <w:rsid w:val="00860F6A"/>
    <w:rsid w:val="00863E68"/>
    <w:rsid w:val="008802BA"/>
    <w:rsid w:val="00881E55"/>
    <w:rsid w:val="00882085"/>
    <w:rsid w:val="00883188"/>
    <w:rsid w:val="00883E65"/>
    <w:rsid w:val="00884CF5"/>
    <w:rsid w:val="0088670A"/>
    <w:rsid w:val="008918A1"/>
    <w:rsid w:val="0089445E"/>
    <w:rsid w:val="00897756"/>
    <w:rsid w:val="00897D58"/>
    <w:rsid w:val="008A4937"/>
    <w:rsid w:val="008A5AAA"/>
    <w:rsid w:val="008B105D"/>
    <w:rsid w:val="008B5615"/>
    <w:rsid w:val="008B66DC"/>
    <w:rsid w:val="008C1997"/>
    <w:rsid w:val="008C5F5B"/>
    <w:rsid w:val="008C6167"/>
    <w:rsid w:val="008D3C82"/>
    <w:rsid w:val="008D447E"/>
    <w:rsid w:val="008E3680"/>
    <w:rsid w:val="008E5870"/>
    <w:rsid w:val="008E6EF0"/>
    <w:rsid w:val="008E6F71"/>
    <w:rsid w:val="008F0530"/>
    <w:rsid w:val="008F1434"/>
    <w:rsid w:val="008F7038"/>
    <w:rsid w:val="008F7355"/>
    <w:rsid w:val="0090123A"/>
    <w:rsid w:val="009049F8"/>
    <w:rsid w:val="009067B7"/>
    <w:rsid w:val="00912E98"/>
    <w:rsid w:val="00912F6E"/>
    <w:rsid w:val="00930937"/>
    <w:rsid w:val="00933E6C"/>
    <w:rsid w:val="00937854"/>
    <w:rsid w:val="00942160"/>
    <w:rsid w:val="00946011"/>
    <w:rsid w:val="009602C5"/>
    <w:rsid w:val="009666C8"/>
    <w:rsid w:val="00974C21"/>
    <w:rsid w:val="009B0779"/>
    <w:rsid w:val="009B6348"/>
    <w:rsid w:val="009C5EE8"/>
    <w:rsid w:val="009C703C"/>
    <w:rsid w:val="009D07A2"/>
    <w:rsid w:val="009D3CAA"/>
    <w:rsid w:val="009E643D"/>
    <w:rsid w:val="009E781E"/>
    <w:rsid w:val="009F34E5"/>
    <w:rsid w:val="009F5B65"/>
    <w:rsid w:val="009F5F2E"/>
    <w:rsid w:val="00A040CD"/>
    <w:rsid w:val="00A06225"/>
    <w:rsid w:val="00A119F9"/>
    <w:rsid w:val="00A13EA5"/>
    <w:rsid w:val="00A15E0D"/>
    <w:rsid w:val="00A21073"/>
    <w:rsid w:val="00A234CE"/>
    <w:rsid w:val="00A2593A"/>
    <w:rsid w:val="00A32291"/>
    <w:rsid w:val="00A37C8D"/>
    <w:rsid w:val="00A43175"/>
    <w:rsid w:val="00A472A1"/>
    <w:rsid w:val="00A5273B"/>
    <w:rsid w:val="00A5343C"/>
    <w:rsid w:val="00A53A9D"/>
    <w:rsid w:val="00A574DB"/>
    <w:rsid w:val="00A62C1A"/>
    <w:rsid w:val="00A63ED8"/>
    <w:rsid w:val="00A6426D"/>
    <w:rsid w:val="00A70622"/>
    <w:rsid w:val="00A70977"/>
    <w:rsid w:val="00A75455"/>
    <w:rsid w:val="00A827A7"/>
    <w:rsid w:val="00A8390C"/>
    <w:rsid w:val="00AA174E"/>
    <w:rsid w:val="00AA307F"/>
    <w:rsid w:val="00AA41E6"/>
    <w:rsid w:val="00AA4989"/>
    <w:rsid w:val="00AA4C80"/>
    <w:rsid w:val="00AA4D1C"/>
    <w:rsid w:val="00AA5312"/>
    <w:rsid w:val="00AB0D0C"/>
    <w:rsid w:val="00AB28B3"/>
    <w:rsid w:val="00AB7184"/>
    <w:rsid w:val="00AC3FED"/>
    <w:rsid w:val="00AC5206"/>
    <w:rsid w:val="00AD64B8"/>
    <w:rsid w:val="00AD67AC"/>
    <w:rsid w:val="00AE11A5"/>
    <w:rsid w:val="00AE19F3"/>
    <w:rsid w:val="00AE63D5"/>
    <w:rsid w:val="00AF62EB"/>
    <w:rsid w:val="00AF68CC"/>
    <w:rsid w:val="00B03D8E"/>
    <w:rsid w:val="00B04E03"/>
    <w:rsid w:val="00B12A84"/>
    <w:rsid w:val="00B205AA"/>
    <w:rsid w:val="00B20B58"/>
    <w:rsid w:val="00B25F75"/>
    <w:rsid w:val="00B43CCA"/>
    <w:rsid w:val="00B43E90"/>
    <w:rsid w:val="00B50DC6"/>
    <w:rsid w:val="00B52FD3"/>
    <w:rsid w:val="00B56118"/>
    <w:rsid w:val="00B636AB"/>
    <w:rsid w:val="00B670FC"/>
    <w:rsid w:val="00B6773F"/>
    <w:rsid w:val="00B70D0A"/>
    <w:rsid w:val="00B70FBF"/>
    <w:rsid w:val="00B80E00"/>
    <w:rsid w:val="00B811A3"/>
    <w:rsid w:val="00B81FAF"/>
    <w:rsid w:val="00B845CF"/>
    <w:rsid w:val="00B86028"/>
    <w:rsid w:val="00B9091D"/>
    <w:rsid w:val="00B90AB7"/>
    <w:rsid w:val="00B96B27"/>
    <w:rsid w:val="00B97173"/>
    <w:rsid w:val="00BA2EBF"/>
    <w:rsid w:val="00BA6D39"/>
    <w:rsid w:val="00BB043A"/>
    <w:rsid w:val="00BB2A9E"/>
    <w:rsid w:val="00BB605E"/>
    <w:rsid w:val="00BB69F5"/>
    <w:rsid w:val="00BB7EC3"/>
    <w:rsid w:val="00BC4B9A"/>
    <w:rsid w:val="00BC5C33"/>
    <w:rsid w:val="00BC6CEA"/>
    <w:rsid w:val="00BD4510"/>
    <w:rsid w:val="00BD784C"/>
    <w:rsid w:val="00BE5C49"/>
    <w:rsid w:val="00BE62BE"/>
    <w:rsid w:val="00BF4CB6"/>
    <w:rsid w:val="00C12768"/>
    <w:rsid w:val="00C32115"/>
    <w:rsid w:val="00C35996"/>
    <w:rsid w:val="00C46F58"/>
    <w:rsid w:val="00C5342C"/>
    <w:rsid w:val="00C61A5A"/>
    <w:rsid w:val="00C6256A"/>
    <w:rsid w:val="00C74F8E"/>
    <w:rsid w:val="00C83661"/>
    <w:rsid w:val="00C85768"/>
    <w:rsid w:val="00C8747D"/>
    <w:rsid w:val="00C91449"/>
    <w:rsid w:val="00C92D10"/>
    <w:rsid w:val="00C971FD"/>
    <w:rsid w:val="00CA7A36"/>
    <w:rsid w:val="00CB64F8"/>
    <w:rsid w:val="00CC0745"/>
    <w:rsid w:val="00CC2C73"/>
    <w:rsid w:val="00CC4673"/>
    <w:rsid w:val="00CD0EF3"/>
    <w:rsid w:val="00CD5785"/>
    <w:rsid w:val="00CE10C4"/>
    <w:rsid w:val="00CE27B5"/>
    <w:rsid w:val="00D0321E"/>
    <w:rsid w:val="00D10E17"/>
    <w:rsid w:val="00D20CA4"/>
    <w:rsid w:val="00D25E6E"/>
    <w:rsid w:val="00D3280C"/>
    <w:rsid w:val="00D33801"/>
    <w:rsid w:val="00D3406A"/>
    <w:rsid w:val="00D469B2"/>
    <w:rsid w:val="00D627BC"/>
    <w:rsid w:val="00D736A7"/>
    <w:rsid w:val="00D741EB"/>
    <w:rsid w:val="00D7785D"/>
    <w:rsid w:val="00D91271"/>
    <w:rsid w:val="00D93197"/>
    <w:rsid w:val="00D963EB"/>
    <w:rsid w:val="00DA22F0"/>
    <w:rsid w:val="00DA2F7D"/>
    <w:rsid w:val="00DA4BAC"/>
    <w:rsid w:val="00DA4FA9"/>
    <w:rsid w:val="00DA686E"/>
    <w:rsid w:val="00DB5F9D"/>
    <w:rsid w:val="00DC542E"/>
    <w:rsid w:val="00DD3B37"/>
    <w:rsid w:val="00DE463B"/>
    <w:rsid w:val="00DE6D27"/>
    <w:rsid w:val="00DF217D"/>
    <w:rsid w:val="00DF26A7"/>
    <w:rsid w:val="00DF6EEB"/>
    <w:rsid w:val="00E0701F"/>
    <w:rsid w:val="00E164B3"/>
    <w:rsid w:val="00E16910"/>
    <w:rsid w:val="00E4489F"/>
    <w:rsid w:val="00E54DCA"/>
    <w:rsid w:val="00E57D81"/>
    <w:rsid w:val="00E6568B"/>
    <w:rsid w:val="00E65D68"/>
    <w:rsid w:val="00E65E54"/>
    <w:rsid w:val="00E80155"/>
    <w:rsid w:val="00E848C0"/>
    <w:rsid w:val="00E91B96"/>
    <w:rsid w:val="00E941A1"/>
    <w:rsid w:val="00E95628"/>
    <w:rsid w:val="00E95CE3"/>
    <w:rsid w:val="00EA2825"/>
    <w:rsid w:val="00EB31A4"/>
    <w:rsid w:val="00EB5088"/>
    <w:rsid w:val="00EC4D7E"/>
    <w:rsid w:val="00ED1644"/>
    <w:rsid w:val="00EE749E"/>
    <w:rsid w:val="00F050BD"/>
    <w:rsid w:val="00F05657"/>
    <w:rsid w:val="00F15225"/>
    <w:rsid w:val="00F2319B"/>
    <w:rsid w:val="00F25578"/>
    <w:rsid w:val="00F258E5"/>
    <w:rsid w:val="00F26F15"/>
    <w:rsid w:val="00F300BC"/>
    <w:rsid w:val="00F3334E"/>
    <w:rsid w:val="00F41275"/>
    <w:rsid w:val="00F4225A"/>
    <w:rsid w:val="00F439EF"/>
    <w:rsid w:val="00F50EC4"/>
    <w:rsid w:val="00F54558"/>
    <w:rsid w:val="00F57A6D"/>
    <w:rsid w:val="00F634B9"/>
    <w:rsid w:val="00F638CC"/>
    <w:rsid w:val="00F727C7"/>
    <w:rsid w:val="00F732CD"/>
    <w:rsid w:val="00F8247A"/>
    <w:rsid w:val="00F84569"/>
    <w:rsid w:val="00F90541"/>
    <w:rsid w:val="00F92451"/>
    <w:rsid w:val="00F93156"/>
    <w:rsid w:val="00FA5883"/>
    <w:rsid w:val="00FA6055"/>
    <w:rsid w:val="00FB07DF"/>
    <w:rsid w:val="00FB322F"/>
    <w:rsid w:val="00FB442F"/>
    <w:rsid w:val="00FC1929"/>
    <w:rsid w:val="00FC5B46"/>
    <w:rsid w:val="00FC7270"/>
    <w:rsid w:val="00FD4E6C"/>
    <w:rsid w:val="00FE2C65"/>
    <w:rsid w:val="00FF0896"/>
    <w:rsid w:val="00FF1B9D"/>
    <w:rsid w:val="00FF1ED4"/>
    <w:rsid w:val="00FF5CA9"/>
    <w:rsid w:val="00FF672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annotation reference"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FootnoteText">
    <w:name w:val="footnote text"/>
    <w:basedOn w:val="Normal"/>
    <w:link w:val="FootnoteTextChar"/>
    <w:uiPriority w:val="99"/>
    <w:rsid w:val="00724F17"/>
    <w:rPr>
      <w:sz w:val="20"/>
      <w:szCs w:val="20"/>
    </w:rPr>
  </w:style>
  <w:style w:type="character" w:customStyle="1" w:styleId="FootnoteTextChar">
    <w:name w:val="Footnote Text Char"/>
    <w:basedOn w:val="DefaultParagraphFont"/>
    <w:link w:val="FootnoteText"/>
    <w:uiPriority w:val="99"/>
    <w:rsid w:val="00724F17"/>
  </w:style>
  <w:style w:type="character" w:styleId="FootnoteReference">
    <w:name w:val="footnote reference"/>
    <w:rsid w:val="00724F17"/>
    <w:rPr>
      <w:vertAlign w:val="superscript"/>
    </w:rPr>
  </w:style>
  <w:style w:type="paragraph" w:styleId="Caption">
    <w:name w:val="caption"/>
    <w:basedOn w:val="Normal"/>
    <w:next w:val="Normal"/>
    <w:link w:val="CaptionChar"/>
    <w:unhideWhenUsed/>
    <w:qFormat/>
    <w:rsid w:val="008B5615"/>
    <w:pPr>
      <w:keepNext/>
      <w:tabs>
        <w:tab w:val="left" w:pos="1418"/>
      </w:tabs>
      <w:spacing w:before="240" w:after="40"/>
      <w:ind w:left="1418" w:hanging="1418"/>
    </w:pPr>
    <w:rPr>
      <w:rFonts w:ascii="Calibri" w:eastAsiaTheme="minorEastAsia" w:hAnsi="Calibri" w:cstheme="minorBidi"/>
      <w:b/>
      <w:bCs/>
      <w:sz w:val="22"/>
      <w:szCs w:val="22"/>
      <w:lang w:eastAsia="zh-CN"/>
    </w:rPr>
  </w:style>
  <w:style w:type="paragraph" w:styleId="Revision">
    <w:name w:val="Revision"/>
    <w:hidden/>
    <w:uiPriority w:val="71"/>
    <w:rsid w:val="006F0B85"/>
    <w:rPr>
      <w:sz w:val="24"/>
      <w:szCs w:val="24"/>
    </w:rPr>
  </w:style>
  <w:style w:type="paragraph" w:customStyle="1" w:styleId="Tablenotes0">
    <w:name w:val="Table notes"/>
    <w:basedOn w:val="Normal"/>
    <w:link w:val="TablenotesChar"/>
    <w:qFormat/>
    <w:rsid w:val="00F732CD"/>
    <w:rPr>
      <w:rFonts w:ascii="Arial" w:hAnsi="Arial" w:cs="Arial"/>
      <w:sz w:val="20"/>
      <w:szCs w:val="20"/>
      <w:lang w:val="en-GB" w:eastAsia="en-US"/>
    </w:rPr>
  </w:style>
  <w:style w:type="character" w:customStyle="1" w:styleId="TablenotesChar">
    <w:name w:val="Table notes Char"/>
    <w:basedOn w:val="DefaultParagraphFont"/>
    <w:link w:val="Tablenotes0"/>
    <w:rsid w:val="00F732CD"/>
    <w:rPr>
      <w:rFonts w:ascii="Arial" w:hAnsi="Arial" w:cs="Arial"/>
      <w:lang w:val="en-GB" w:eastAsia="en-US"/>
    </w:rPr>
  </w:style>
  <w:style w:type="character" w:customStyle="1" w:styleId="CaptionChar">
    <w:name w:val="Caption Char"/>
    <w:link w:val="Caption"/>
    <w:rsid w:val="00F732CD"/>
    <w:rPr>
      <w:rFonts w:ascii="Calibri" w:eastAsiaTheme="minorEastAsia" w:hAnsi="Calibri" w:cstheme="minorBidi"/>
      <w:b/>
      <w:bCs/>
      <w:sz w:val="22"/>
      <w:szCs w:val="22"/>
      <w:lang w:eastAsia="zh-CN"/>
    </w:rPr>
  </w:style>
  <w:style w:type="character" w:customStyle="1" w:styleId="ListParagraphChar">
    <w:name w:val="List Paragraph Char"/>
    <w:basedOn w:val="DefaultParagraphFont"/>
    <w:link w:val="ListParagraph"/>
    <w:uiPriority w:val="99"/>
    <w:rsid w:val="007E6AA1"/>
    <w:rPr>
      <w:sz w:val="24"/>
      <w:szCs w:val="24"/>
    </w:rPr>
  </w:style>
  <w:style w:type="paragraph" w:styleId="NormalWeb">
    <w:name w:val="Normal (Web)"/>
    <w:basedOn w:val="Normal"/>
    <w:rsid w:val="008C19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annotation reference"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FootnoteText">
    <w:name w:val="footnote text"/>
    <w:basedOn w:val="Normal"/>
    <w:link w:val="FootnoteTextChar"/>
    <w:uiPriority w:val="99"/>
    <w:rsid w:val="00724F17"/>
    <w:rPr>
      <w:sz w:val="20"/>
      <w:szCs w:val="20"/>
    </w:rPr>
  </w:style>
  <w:style w:type="character" w:customStyle="1" w:styleId="FootnoteTextChar">
    <w:name w:val="Footnote Text Char"/>
    <w:basedOn w:val="DefaultParagraphFont"/>
    <w:link w:val="FootnoteText"/>
    <w:uiPriority w:val="99"/>
    <w:rsid w:val="00724F17"/>
  </w:style>
  <w:style w:type="character" w:styleId="FootnoteReference">
    <w:name w:val="footnote reference"/>
    <w:rsid w:val="00724F17"/>
    <w:rPr>
      <w:vertAlign w:val="superscript"/>
    </w:rPr>
  </w:style>
  <w:style w:type="paragraph" w:styleId="Caption">
    <w:name w:val="caption"/>
    <w:basedOn w:val="Normal"/>
    <w:next w:val="Normal"/>
    <w:link w:val="CaptionChar"/>
    <w:unhideWhenUsed/>
    <w:qFormat/>
    <w:rsid w:val="008B5615"/>
    <w:pPr>
      <w:keepNext/>
      <w:tabs>
        <w:tab w:val="left" w:pos="1418"/>
      </w:tabs>
      <w:spacing w:before="240" w:after="40"/>
      <w:ind w:left="1418" w:hanging="1418"/>
    </w:pPr>
    <w:rPr>
      <w:rFonts w:ascii="Calibri" w:eastAsiaTheme="minorEastAsia" w:hAnsi="Calibri" w:cstheme="minorBidi"/>
      <w:b/>
      <w:bCs/>
      <w:sz w:val="22"/>
      <w:szCs w:val="22"/>
      <w:lang w:eastAsia="zh-CN"/>
    </w:rPr>
  </w:style>
  <w:style w:type="paragraph" w:styleId="Revision">
    <w:name w:val="Revision"/>
    <w:hidden/>
    <w:uiPriority w:val="71"/>
    <w:rsid w:val="006F0B85"/>
    <w:rPr>
      <w:sz w:val="24"/>
      <w:szCs w:val="24"/>
    </w:rPr>
  </w:style>
  <w:style w:type="paragraph" w:customStyle="1" w:styleId="Tablenotes0">
    <w:name w:val="Table notes"/>
    <w:basedOn w:val="Normal"/>
    <w:link w:val="TablenotesChar"/>
    <w:qFormat/>
    <w:rsid w:val="00F732CD"/>
    <w:rPr>
      <w:rFonts w:ascii="Arial" w:hAnsi="Arial" w:cs="Arial"/>
      <w:sz w:val="20"/>
      <w:szCs w:val="20"/>
      <w:lang w:val="en-GB" w:eastAsia="en-US"/>
    </w:rPr>
  </w:style>
  <w:style w:type="character" w:customStyle="1" w:styleId="TablenotesChar">
    <w:name w:val="Table notes Char"/>
    <w:basedOn w:val="DefaultParagraphFont"/>
    <w:link w:val="Tablenotes0"/>
    <w:rsid w:val="00F732CD"/>
    <w:rPr>
      <w:rFonts w:ascii="Arial" w:hAnsi="Arial" w:cs="Arial"/>
      <w:lang w:val="en-GB" w:eastAsia="en-US"/>
    </w:rPr>
  </w:style>
  <w:style w:type="character" w:customStyle="1" w:styleId="CaptionChar">
    <w:name w:val="Caption Char"/>
    <w:link w:val="Caption"/>
    <w:rsid w:val="00F732CD"/>
    <w:rPr>
      <w:rFonts w:ascii="Calibri" w:eastAsiaTheme="minorEastAsia" w:hAnsi="Calibri" w:cstheme="minorBidi"/>
      <w:b/>
      <w:bCs/>
      <w:sz w:val="22"/>
      <w:szCs w:val="22"/>
      <w:lang w:eastAsia="zh-CN"/>
    </w:rPr>
  </w:style>
  <w:style w:type="character" w:customStyle="1" w:styleId="ListParagraphChar">
    <w:name w:val="List Paragraph Char"/>
    <w:basedOn w:val="DefaultParagraphFont"/>
    <w:link w:val="ListParagraph"/>
    <w:uiPriority w:val="99"/>
    <w:rsid w:val="007E6AA1"/>
    <w:rPr>
      <w:sz w:val="24"/>
      <w:szCs w:val="24"/>
    </w:rPr>
  </w:style>
  <w:style w:type="paragraph" w:styleId="NormalWeb">
    <w:name w:val="Normal (Web)"/>
    <w:basedOn w:val="Normal"/>
    <w:rsid w:val="008C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32253808">
      <w:bodyDiv w:val="1"/>
      <w:marLeft w:val="0"/>
      <w:marRight w:val="0"/>
      <w:marTop w:val="0"/>
      <w:marBottom w:val="0"/>
      <w:divBdr>
        <w:top w:val="none" w:sz="0" w:space="0" w:color="auto"/>
        <w:left w:val="none" w:sz="0" w:space="0" w:color="auto"/>
        <w:bottom w:val="none" w:sz="0" w:space="0" w:color="auto"/>
        <w:right w:val="none" w:sz="0" w:space="0" w:color="auto"/>
      </w:divBdr>
    </w:div>
    <w:div w:id="15160547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1019376">
      <w:bodyDiv w:val="1"/>
      <w:marLeft w:val="0"/>
      <w:marRight w:val="0"/>
      <w:marTop w:val="0"/>
      <w:marBottom w:val="0"/>
      <w:divBdr>
        <w:top w:val="none" w:sz="0" w:space="0" w:color="auto"/>
        <w:left w:val="none" w:sz="0" w:space="0" w:color="auto"/>
        <w:bottom w:val="none" w:sz="0" w:space="0" w:color="auto"/>
        <w:right w:val="none" w:sz="0" w:space="0" w:color="auto"/>
      </w:divBdr>
    </w:div>
    <w:div w:id="1044670323">
      <w:bodyDiv w:val="1"/>
      <w:marLeft w:val="0"/>
      <w:marRight w:val="0"/>
      <w:marTop w:val="0"/>
      <w:marBottom w:val="0"/>
      <w:divBdr>
        <w:top w:val="none" w:sz="0" w:space="0" w:color="auto"/>
        <w:left w:val="none" w:sz="0" w:space="0" w:color="auto"/>
        <w:bottom w:val="none" w:sz="0" w:space="0" w:color="auto"/>
        <w:right w:val="none" w:sz="0" w:space="0" w:color="auto"/>
      </w:divBdr>
    </w:div>
    <w:div w:id="1089934725">
      <w:bodyDiv w:val="1"/>
      <w:marLeft w:val="0"/>
      <w:marRight w:val="0"/>
      <w:marTop w:val="0"/>
      <w:marBottom w:val="0"/>
      <w:divBdr>
        <w:top w:val="none" w:sz="0" w:space="0" w:color="auto"/>
        <w:left w:val="none" w:sz="0" w:space="0" w:color="auto"/>
        <w:bottom w:val="none" w:sz="0" w:space="0" w:color="auto"/>
        <w:right w:val="none" w:sz="0" w:space="0" w:color="auto"/>
      </w:divBdr>
    </w:div>
    <w:div w:id="164327227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70277229">
      <w:bodyDiv w:val="1"/>
      <w:marLeft w:val="0"/>
      <w:marRight w:val="0"/>
      <w:marTop w:val="0"/>
      <w:marBottom w:val="0"/>
      <w:divBdr>
        <w:top w:val="none" w:sz="0" w:space="0" w:color="auto"/>
        <w:left w:val="none" w:sz="0" w:space="0" w:color="auto"/>
        <w:bottom w:val="none" w:sz="0" w:space="0" w:color="auto"/>
        <w:right w:val="none" w:sz="0" w:space="0" w:color="auto"/>
      </w:divBdr>
    </w:div>
    <w:div w:id="1806196381">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4981</Words>
  <Characters>28026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2014-10-24T05:35:00Z</dcterms:created>
  <dcterms:modified xsi:type="dcterms:W3CDTF">2014-11-04T23:29:00Z</dcterms:modified>
</cp:coreProperties>
</file>