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43" w:rsidRPr="006D6EC7" w:rsidRDefault="008B1643" w:rsidP="00997FE7">
      <w:pPr>
        <w:pStyle w:val="Heading1"/>
        <w:rPr>
          <w:b/>
        </w:rPr>
      </w:pPr>
      <w:r>
        <w:rPr>
          <w:b/>
        </w:rPr>
        <w:t>5</w:t>
      </w:r>
      <w:r w:rsidRPr="006D6EC7">
        <w:rPr>
          <w:b/>
        </w:rPr>
        <w:t>.</w:t>
      </w:r>
      <w:r>
        <w:rPr>
          <w:b/>
        </w:rPr>
        <w:t>15</w:t>
      </w:r>
      <w:r w:rsidRPr="006D6EC7">
        <w:rPr>
          <w:b/>
        </w:rPr>
        <w:tab/>
      </w:r>
      <w:r>
        <w:rPr>
          <w:b/>
        </w:rPr>
        <w:t>REGORAFENIB</w:t>
      </w:r>
      <w:r w:rsidRPr="006D6EC7">
        <w:rPr>
          <w:b/>
        </w:rPr>
        <w:t xml:space="preserve">, </w:t>
      </w:r>
      <w:r>
        <w:rPr>
          <w:b/>
        </w:rPr>
        <w:t>tablet</w:t>
      </w:r>
      <w:r w:rsidRPr="006D6EC7">
        <w:rPr>
          <w:b/>
        </w:rPr>
        <w:t xml:space="preserve">, </w:t>
      </w:r>
      <w:r>
        <w:rPr>
          <w:b/>
        </w:rPr>
        <w:t>40 mg</w:t>
      </w:r>
      <w:r w:rsidRPr="006D6EC7">
        <w:rPr>
          <w:b/>
        </w:rPr>
        <w:t xml:space="preserve">, </w:t>
      </w:r>
      <w:proofErr w:type="spellStart"/>
      <w:r>
        <w:rPr>
          <w:b/>
        </w:rPr>
        <w:t>Stivarga</w:t>
      </w:r>
      <w:proofErr w:type="spellEnd"/>
      <w:r w:rsidRPr="006D6EC7">
        <w:rPr>
          <w:b/>
          <w:vertAlign w:val="superscript"/>
        </w:rPr>
        <w:t>®</w:t>
      </w:r>
      <w:r w:rsidRPr="006D6EC7">
        <w:rPr>
          <w:b/>
        </w:rPr>
        <w:t xml:space="preserve">, </w:t>
      </w:r>
      <w:r>
        <w:rPr>
          <w:b/>
        </w:rPr>
        <w:t>Bayer Australia Limited</w:t>
      </w:r>
    </w:p>
    <w:p w:rsidR="008B1643" w:rsidRDefault="008B1643" w:rsidP="00A5273B">
      <w:pPr>
        <w:rPr>
          <w:rFonts w:ascii="Arial" w:hAnsi="Arial"/>
          <w:b/>
        </w:rPr>
      </w:pPr>
    </w:p>
    <w:p w:rsidR="008B1643" w:rsidRPr="006D6EC7" w:rsidRDefault="008B1643" w:rsidP="00A5273B">
      <w:pPr>
        <w:rPr>
          <w:rFonts w:ascii="Arial" w:hAnsi="Arial"/>
          <w:b/>
        </w:rPr>
      </w:pPr>
    </w:p>
    <w:p w:rsidR="008B1643" w:rsidRPr="004A4B88" w:rsidRDefault="008B1643" w:rsidP="00300C63">
      <w:pPr>
        <w:pStyle w:val="ListParagraph"/>
        <w:numPr>
          <w:ilvl w:val="0"/>
          <w:numId w:val="25"/>
        </w:numPr>
        <w:jc w:val="both"/>
        <w:rPr>
          <w:rFonts w:ascii="Arial" w:hAnsi="Arial"/>
          <w:b/>
          <w:sz w:val="22"/>
          <w:szCs w:val="22"/>
        </w:rPr>
      </w:pPr>
      <w:r w:rsidRPr="004A4B88">
        <w:rPr>
          <w:rFonts w:ascii="Arial" w:hAnsi="Arial"/>
          <w:b/>
          <w:sz w:val="22"/>
          <w:szCs w:val="22"/>
        </w:rPr>
        <w:t>Purpose of Application</w:t>
      </w:r>
    </w:p>
    <w:p w:rsidR="008B1643" w:rsidRPr="004A4B88" w:rsidRDefault="008B1643" w:rsidP="00882085">
      <w:pPr>
        <w:jc w:val="both"/>
        <w:rPr>
          <w:rFonts w:ascii="Arial" w:hAnsi="Arial"/>
          <w:sz w:val="22"/>
          <w:szCs w:val="22"/>
        </w:rPr>
      </w:pPr>
    </w:p>
    <w:p w:rsidR="008B1643" w:rsidRPr="004A4B88" w:rsidRDefault="008B1643" w:rsidP="003D1289">
      <w:pPr>
        <w:pStyle w:val="ListParagraph"/>
        <w:numPr>
          <w:ilvl w:val="1"/>
          <w:numId w:val="25"/>
        </w:numPr>
        <w:jc w:val="both"/>
        <w:rPr>
          <w:rFonts w:ascii="Arial" w:hAnsi="Arial"/>
          <w:sz w:val="22"/>
          <w:szCs w:val="22"/>
        </w:rPr>
      </w:pPr>
      <w:r w:rsidRPr="004A4B88">
        <w:rPr>
          <w:rFonts w:ascii="Arial" w:hAnsi="Arial"/>
          <w:sz w:val="22"/>
          <w:szCs w:val="22"/>
        </w:rPr>
        <w:t xml:space="preserve">Authority required listing of initial or continuing treatment of metastatic colorectal cancer following failure of, or intolerance to, other treatment options. </w:t>
      </w:r>
    </w:p>
    <w:p w:rsidR="008B1643" w:rsidRPr="004A4B88" w:rsidRDefault="008B1643" w:rsidP="00882085">
      <w:pPr>
        <w:jc w:val="both"/>
        <w:rPr>
          <w:rFonts w:ascii="Arial" w:hAnsi="Arial"/>
          <w:b/>
          <w:sz w:val="22"/>
          <w:szCs w:val="22"/>
        </w:rPr>
      </w:pPr>
    </w:p>
    <w:p w:rsidR="008B1643" w:rsidRPr="004A4B88" w:rsidRDefault="008B1643" w:rsidP="00882085">
      <w:pPr>
        <w:pStyle w:val="ListParagraph"/>
        <w:numPr>
          <w:ilvl w:val="0"/>
          <w:numId w:val="25"/>
        </w:numPr>
        <w:jc w:val="both"/>
        <w:rPr>
          <w:rFonts w:ascii="Arial" w:hAnsi="Arial"/>
          <w:b/>
          <w:sz w:val="22"/>
          <w:szCs w:val="22"/>
        </w:rPr>
      </w:pPr>
      <w:r w:rsidRPr="004A4B88">
        <w:rPr>
          <w:rFonts w:ascii="Arial" w:hAnsi="Arial"/>
          <w:b/>
          <w:sz w:val="22"/>
          <w:szCs w:val="22"/>
        </w:rPr>
        <w:t>Requested listing</w:t>
      </w:r>
    </w:p>
    <w:p w:rsidR="008B1643" w:rsidRPr="004A4B88" w:rsidRDefault="008B1643" w:rsidP="00882085">
      <w:pPr>
        <w:jc w:val="both"/>
        <w:rPr>
          <w:rFonts w:ascii="Arial" w:hAnsi="Arial"/>
          <w:b/>
          <w:sz w:val="22"/>
          <w:szCs w:val="22"/>
        </w:rPr>
      </w:pPr>
    </w:p>
    <w:p w:rsidR="008B1643" w:rsidRPr="004A4B88" w:rsidRDefault="008B1643" w:rsidP="00882085">
      <w:pPr>
        <w:pStyle w:val="ListParagraph"/>
        <w:numPr>
          <w:ilvl w:val="1"/>
          <w:numId w:val="25"/>
        </w:numPr>
        <w:jc w:val="both"/>
        <w:rPr>
          <w:rFonts w:ascii="Arial" w:hAnsi="Arial"/>
          <w:sz w:val="22"/>
          <w:szCs w:val="22"/>
        </w:rPr>
      </w:pPr>
    </w:p>
    <w:tbl>
      <w:tblPr>
        <w:tblW w:w="459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Requested listing"/>
      </w:tblPr>
      <w:tblGrid>
        <w:gridCol w:w="3857"/>
        <w:gridCol w:w="919"/>
        <w:gridCol w:w="919"/>
        <w:gridCol w:w="1302"/>
        <w:gridCol w:w="1357"/>
      </w:tblGrid>
      <w:tr w:rsidR="007160C2" w:rsidRPr="004A4B88" w:rsidTr="007160C2">
        <w:trPr>
          <w:cantSplit/>
          <w:trHeight w:val="504"/>
        </w:trPr>
        <w:tc>
          <w:tcPr>
            <w:tcW w:w="2309" w:type="pct"/>
          </w:tcPr>
          <w:p w:rsidR="007160C2" w:rsidRPr="004A4B88" w:rsidRDefault="007160C2" w:rsidP="007C6B41">
            <w:pPr>
              <w:keepNext/>
              <w:widowControl w:val="0"/>
              <w:jc w:val="both"/>
              <w:rPr>
                <w:rFonts w:ascii="Arial" w:hAnsi="Arial" w:cs="Arial"/>
                <w:b/>
                <w:snapToGrid w:val="0"/>
                <w:sz w:val="20"/>
                <w:szCs w:val="20"/>
                <w:lang w:eastAsia="en-US"/>
              </w:rPr>
            </w:pPr>
            <w:r w:rsidRPr="004A4B88">
              <w:rPr>
                <w:rFonts w:ascii="Arial" w:hAnsi="Arial" w:cs="Arial"/>
                <w:b/>
                <w:snapToGrid w:val="0"/>
                <w:sz w:val="20"/>
                <w:szCs w:val="20"/>
                <w:lang w:eastAsia="en-US"/>
              </w:rPr>
              <w:t>Name, Restriction,</w:t>
            </w:r>
          </w:p>
          <w:p w:rsidR="007160C2" w:rsidRPr="004A4B88" w:rsidRDefault="007160C2" w:rsidP="007C6B41">
            <w:pPr>
              <w:keepNext/>
              <w:widowControl w:val="0"/>
              <w:jc w:val="both"/>
              <w:rPr>
                <w:rFonts w:ascii="Arial" w:hAnsi="Arial" w:cs="Arial"/>
                <w:b/>
                <w:snapToGrid w:val="0"/>
                <w:sz w:val="20"/>
                <w:szCs w:val="20"/>
                <w:lang w:eastAsia="en-US"/>
              </w:rPr>
            </w:pPr>
            <w:r w:rsidRPr="004A4B88">
              <w:rPr>
                <w:rFonts w:ascii="Arial" w:hAnsi="Arial" w:cs="Arial"/>
                <w:b/>
                <w:snapToGrid w:val="0"/>
                <w:sz w:val="20"/>
                <w:szCs w:val="20"/>
                <w:lang w:eastAsia="en-US"/>
              </w:rPr>
              <w:t>Manner of administration and form</w:t>
            </w:r>
          </w:p>
        </w:tc>
        <w:tc>
          <w:tcPr>
            <w:tcW w:w="550" w:type="pct"/>
          </w:tcPr>
          <w:p w:rsidR="007160C2" w:rsidRPr="004A4B88" w:rsidRDefault="007160C2" w:rsidP="007C6B41">
            <w:pPr>
              <w:keepNext/>
              <w:widowControl w:val="0"/>
              <w:jc w:val="center"/>
              <w:rPr>
                <w:rFonts w:ascii="Arial" w:hAnsi="Arial" w:cs="Arial"/>
                <w:b/>
                <w:snapToGrid w:val="0"/>
                <w:sz w:val="20"/>
                <w:szCs w:val="20"/>
                <w:lang w:eastAsia="en-US"/>
              </w:rPr>
            </w:pPr>
            <w:r w:rsidRPr="004A4B88">
              <w:rPr>
                <w:rFonts w:ascii="Arial" w:hAnsi="Arial" w:cs="Arial"/>
                <w:b/>
                <w:snapToGrid w:val="0"/>
                <w:sz w:val="20"/>
                <w:szCs w:val="20"/>
                <w:lang w:eastAsia="en-US"/>
              </w:rPr>
              <w:t>Max.</w:t>
            </w:r>
          </w:p>
          <w:p w:rsidR="007160C2" w:rsidRPr="004A4B88" w:rsidRDefault="007160C2" w:rsidP="007C6B41">
            <w:pPr>
              <w:keepNext/>
              <w:widowControl w:val="0"/>
              <w:jc w:val="center"/>
              <w:rPr>
                <w:rFonts w:ascii="Arial" w:hAnsi="Arial" w:cs="Arial"/>
                <w:b/>
                <w:snapToGrid w:val="0"/>
                <w:sz w:val="20"/>
                <w:szCs w:val="20"/>
                <w:lang w:eastAsia="en-US"/>
              </w:rPr>
            </w:pPr>
            <w:proofErr w:type="spellStart"/>
            <w:r w:rsidRPr="004A4B88">
              <w:rPr>
                <w:rFonts w:ascii="Arial" w:hAnsi="Arial" w:cs="Arial"/>
                <w:b/>
                <w:snapToGrid w:val="0"/>
                <w:sz w:val="20"/>
                <w:szCs w:val="20"/>
                <w:lang w:eastAsia="en-US"/>
              </w:rPr>
              <w:t>Qty</w:t>
            </w:r>
            <w:proofErr w:type="spellEnd"/>
          </w:p>
        </w:tc>
        <w:tc>
          <w:tcPr>
            <w:tcW w:w="550" w:type="pct"/>
          </w:tcPr>
          <w:p w:rsidR="007160C2" w:rsidRPr="004A4B88" w:rsidRDefault="007160C2" w:rsidP="007C6B41">
            <w:pPr>
              <w:keepNext/>
              <w:widowControl w:val="0"/>
              <w:jc w:val="center"/>
              <w:rPr>
                <w:rFonts w:ascii="Arial" w:hAnsi="Arial" w:cs="Arial"/>
                <w:b/>
                <w:snapToGrid w:val="0"/>
                <w:sz w:val="20"/>
                <w:szCs w:val="20"/>
                <w:lang w:eastAsia="en-US"/>
              </w:rPr>
            </w:pPr>
            <w:r w:rsidRPr="004A4B88">
              <w:rPr>
                <w:rFonts w:ascii="Arial" w:hAnsi="Arial" w:cs="Arial"/>
                <w:b/>
                <w:snapToGrid w:val="0"/>
                <w:sz w:val="20"/>
                <w:szCs w:val="20"/>
                <w:lang w:eastAsia="en-US"/>
              </w:rPr>
              <w:t>№.of</w:t>
            </w:r>
          </w:p>
          <w:p w:rsidR="007160C2" w:rsidRPr="004A4B88" w:rsidRDefault="007160C2" w:rsidP="007C6B41">
            <w:pPr>
              <w:keepNext/>
              <w:widowControl w:val="0"/>
              <w:jc w:val="center"/>
              <w:rPr>
                <w:rFonts w:ascii="Arial" w:hAnsi="Arial" w:cs="Arial"/>
                <w:b/>
                <w:snapToGrid w:val="0"/>
                <w:sz w:val="20"/>
                <w:szCs w:val="20"/>
                <w:lang w:eastAsia="en-US"/>
              </w:rPr>
            </w:pPr>
            <w:proofErr w:type="spellStart"/>
            <w:r w:rsidRPr="004A4B88">
              <w:rPr>
                <w:rFonts w:ascii="Arial" w:hAnsi="Arial" w:cs="Arial"/>
                <w:b/>
                <w:snapToGrid w:val="0"/>
                <w:sz w:val="20"/>
                <w:szCs w:val="20"/>
                <w:lang w:eastAsia="en-US"/>
              </w:rPr>
              <w:t>Rpts</w:t>
            </w:r>
            <w:proofErr w:type="spellEnd"/>
          </w:p>
        </w:tc>
        <w:tc>
          <w:tcPr>
            <w:tcW w:w="1592" w:type="pct"/>
            <w:gridSpan w:val="2"/>
          </w:tcPr>
          <w:p w:rsidR="007160C2" w:rsidRPr="004A4B88" w:rsidRDefault="007160C2" w:rsidP="007C6B41">
            <w:pPr>
              <w:keepNext/>
              <w:widowControl w:val="0"/>
              <w:jc w:val="center"/>
              <w:rPr>
                <w:rFonts w:ascii="Arial" w:hAnsi="Arial" w:cs="Arial"/>
                <w:b/>
                <w:snapToGrid w:val="0"/>
                <w:sz w:val="20"/>
                <w:szCs w:val="20"/>
                <w:lang w:val="fr-FR" w:eastAsia="en-US"/>
              </w:rPr>
            </w:pPr>
            <w:r w:rsidRPr="004A4B88">
              <w:rPr>
                <w:rFonts w:ascii="Arial" w:hAnsi="Arial" w:cs="Arial"/>
                <w:b/>
                <w:snapToGrid w:val="0"/>
                <w:sz w:val="20"/>
                <w:szCs w:val="20"/>
                <w:lang w:eastAsia="en-US"/>
              </w:rPr>
              <w:t>Proprietary Name and Manufacturer</w:t>
            </w:r>
          </w:p>
        </w:tc>
      </w:tr>
      <w:tr w:rsidR="007160C2" w:rsidRPr="004A4B88" w:rsidTr="007160C2">
        <w:trPr>
          <w:cantSplit/>
          <w:trHeight w:val="617"/>
        </w:trPr>
        <w:tc>
          <w:tcPr>
            <w:tcW w:w="2309" w:type="pct"/>
            <w:vAlign w:val="center"/>
          </w:tcPr>
          <w:p w:rsidR="007160C2" w:rsidRPr="004A4B88" w:rsidRDefault="007160C2" w:rsidP="007C6B41">
            <w:pPr>
              <w:keepNext/>
              <w:widowControl w:val="0"/>
              <w:rPr>
                <w:rFonts w:ascii="Arial" w:hAnsi="Arial" w:cs="Arial"/>
                <w:snapToGrid w:val="0"/>
                <w:sz w:val="20"/>
                <w:szCs w:val="20"/>
                <w:lang w:eastAsia="en-US"/>
              </w:rPr>
            </w:pPr>
            <w:proofErr w:type="spellStart"/>
            <w:r w:rsidRPr="004A4B88">
              <w:rPr>
                <w:rFonts w:ascii="Arial" w:hAnsi="Arial" w:cs="Arial"/>
                <w:smallCaps/>
                <w:snapToGrid w:val="0"/>
                <w:sz w:val="20"/>
                <w:szCs w:val="20"/>
                <w:lang w:eastAsia="en-US"/>
              </w:rPr>
              <w:t>regorafenib</w:t>
            </w:r>
            <w:proofErr w:type="spellEnd"/>
          </w:p>
          <w:p w:rsidR="007160C2" w:rsidRPr="004A4B88" w:rsidRDefault="007160C2" w:rsidP="00E865AD">
            <w:pPr>
              <w:keepNext/>
              <w:widowControl w:val="0"/>
              <w:rPr>
                <w:rFonts w:ascii="Arial" w:hAnsi="Arial" w:cs="Arial"/>
                <w:snapToGrid w:val="0"/>
                <w:sz w:val="20"/>
                <w:szCs w:val="20"/>
                <w:lang w:eastAsia="en-US"/>
              </w:rPr>
            </w:pPr>
            <w:r w:rsidRPr="004A4B88">
              <w:rPr>
                <w:rFonts w:ascii="Arial" w:hAnsi="Arial" w:cs="Arial"/>
                <w:snapToGrid w:val="0"/>
                <w:sz w:val="20"/>
                <w:szCs w:val="20"/>
                <w:lang w:eastAsia="en-US"/>
              </w:rPr>
              <w:t xml:space="preserve">tablet 40mg (as monohydrate) </w:t>
            </w:r>
          </w:p>
        </w:tc>
        <w:tc>
          <w:tcPr>
            <w:tcW w:w="550" w:type="pct"/>
          </w:tcPr>
          <w:p w:rsidR="007160C2" w:rsidRPr="004A4B88" w:rsidRDefault="007160C2" w:rsidP="007C6B41">
            <w:pPr>
              <w:keepNext/>
              <w:widowControl w:val="0"/>
              <w:jc w:val="center"/>
              <w:rPr>
                <w:rFonts w:ascii="Arial" w:hAnsi="Arial" w:cs="Arial"/>
                <w:snapToGrid w:val="0"/>
                <w:sz w:val="20"/>
                <w:szCs w:val="20"/>
                <w:lang w:eastAsia="en-US"/>
              </w:rPr>
            </w:pPr>
          </w:p>
          <w:p w:rsidR="007160C2" w:rsidRPr="004A4B88" w:rsidRDefault="007160C2" w:rsidP="007C6B41">
            <w:pPr>
              <w:keepNext/>
              <w:widowControl w:val="0"/>
              <w:jc w:val="center"/>
              <w:rPr>
                <w:rFonts w:ascii="Arial" w:hAnsi="Arial" w:cs="Arial"/>
                <w:snapToGrid w:val="0"/>
                <w:sz w:val="20"/>
                <w:szCs w:val="20"/>
                <w:lang w:eastAsia="en-US"/>
              </w:rPr>
            </w:pPr>
            <w:r w:rsidRPr="004A4B88">
              <w:rPr>
                <w:rFonts w:ascii="Arial" w:hAnsi="Arial" w:cs="Arial"/>
                <w:snapToGrid w:val="0"/>
                <w:sz w:val="20"/>
                <w:szCs w:val="20"/>
                <w:lang w:eastAsia="en-US"/>
              </w:rPr>
              <w:t>84</w:t>
            </w:r>
          </w:p>
        </w:tc>
        <w:tc>
          <w:tcPr>
            <w:tcW w:w="550" w:type="pct"/>
          </w:tcPr>
          <w:p w:rsidR="007160C2" w:rsidRPr="004A4B88" w:rsidRDefault="007160C2" w:rsidP="007C6B41">
            <w:pPr>
              <w:keepNext/>
              <w:widowControl w:val="0"/>
              <w:jc w:val="center"/>
              <w:rPr>
                <w:rFonts w:ascii="Arial" w:hAnsi="Arial" w:cs="Arial"/>
                <w:snapToGrid w:val="0"/>
                <w:sz w:val="20"/>
                <w:szCs w:val="20"/>
                <w:lang w:eastAsia="en-US"/>
              </w:rPr>
            </w:pPr>
          </w:p>
          <w:p w:rsidR="007160C2" w:rsidRPr="004A4B88" w:rsidRDefault="007160C2" w:rsidP="007C6B41">
            <w:pPr>
              <w:keepNext/>
              <w:widowControl w:val="0"/>
              <w:jc w:val="center"/>
              <w:rPr>
                <w:rFonts w:ascii="Arial" w:hAnsi="Arial" w:cs="Arial"/>
                <w:snapToGrid w:val="0"/>
                <w:sz w:val="20"/>
                <w:szCs w:val="20"/>
                <w:lang w:eastAsia="en-US"/>
              </w:rPr>
            </w:pPr>
            <w:r w:rsidRPr="004A4B88">
              <w:rPr>
                <w:rFonts w:ascii="Arial" w:hAnsi="Arial" w:cs="Arial"/>
                <w:snapToGrid w:val="0"/>
                <w:sz w:val="20"/>
                <w:szCs w:val="20"/>
                <w:lang w:eastAsia="en-US"/>
              </w:rPr>
              <w:t>2</w:t>
            </w:r>
          </w:p>
        </w:tc>
        <w:tc>
          <w:tcPr>
            <w:tcW w:w="779" w:type="pct"/>
            <w:vAlign w:val="center"/>
          </w:tcPr>
          <w:p w:rsidR="007160C2" w:rsidRPr="004A4B88" w:rsidRDefault="007160C2" w:rsidP="007C6B41">
            <w:pPr>
              <w:keepNext/>
              <w:widowControl w:val="0"/>
              <w:jc w:val="center"/>
              <w:rPr>
                <w:rFonts w:ascii="Arial" w:hAnsi="Arial" w:cs="Arial"/>
                <w:snapToGrid w:val="0"/>
                <w:sz w:val="20"/>
                <w:szCs w:val="20"/>
                <w:lang w:eastAsia="en-US"/>
              </w:rPr>
            </w:pPr>
            <w:proofErr w:type="spellStart"/>
            <w:r w:rsidRPr="004A4B88">
              <w:rPr>
                <w:rFonts w:ascii="Arial" w:hAnsi="Arial" w:cs="Arial"/>
                <w:snapToGrid w:val="0"/>
                <w:sz w:val="20"/>
                <w:szCs w:val="20"/>
                <w:lang w:eastAsia="en-US"/>
              </w:rPr>
              <w:t>Stivarga</w:t>
            </w:r>
            <w:proofErr w:type="spellEnd"/>
            <w:r w:rsidRPr="004A4B88">
              <w:rPr>
                <w:rFonts w:ascii="Arial" w:hAnsi="Arial" w:cs="Arial"/>
                <w:snapToGrid w:val="0"/>
                <w:sz w:val="22"/>
                <w:szCs w:val="20"/>
                <w:vertAlign w:val="superscript"/>
                <w:lang w:eastAsia="en-US"/>
              </w:rPr>
              <w:t>®</w:t>
            </w:r>
          </w:p>
        </w:tc>
        <w:tc>
          <w:tcPr>
            <w:tcW w:w="812" w:type="pct"/>
            <w:vAlign w:val="center"/>
          </w:tcPr>
          <w:p w:rsidR="007160C2" w:rsidRPr="004A4B88" w:rsidRDefault="007160C2" w:rsidP="001D6A8D">
            <w:pPr>
              <w:keepNext/>
              <w:widowControl w:val="0"/>
              <w:jc w:val="center"/>
              <w:rPr>
                <w:rFonts w:ascii="Arial" w:hAnsi="Arial" w:cs="Arial"/>
                <w:snapToGrid w:val="0"/>
                <w:sz w:val="20"/>
                <w:szCs w:val="20"/>
                <w:lang w:eastAsia="en-US"/>
              </w:rPr>
            </w:pPr>
            <w:r w:rsidRPr="004A4B88">
              <w:rPr>
                <w:rFonts w:ascii="Arial" w:hAnsi="Arial" w:cs="Arial"/>
                <w:snapToGrid w:val="0"/>
                <w:sz w:val="20"/>
                <w:szCs w:val="20"/>
                <w:lang w:eastAsia="en-US"/>
              </w:rPr>
              <w:t>BN</w:t>
            </w:r>
          </w:p>
        </w:tc>
      </w:tr>
    </w:tbl>
    <w:p w:rsidR="008B1643" w:rsidRPr="004A4B88" w:rsidRDefault="008B1643" w:rsidP="005666D6">
      <w:pPr>
        <w:pStyle w:val="ListParagraph"/>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Section 85, Authority Required (STREAMLINED)"/>
      </w:tblPr>
      <w:tblGrid>
        <w:gridCol w:w="8345"/>
      </w:tblGrid>
      <w:tr w:rsidR="008B1643" w:rsidRPr="004A4B88" w:rsidTr="007C6B41">
        <w:trPr>
          <w:cantSplit/>
          <w:trHeight w:val="471"/>
        </w:trPr>
        <w:tc>
          <w:tcPr>
            <w:tcW w:w="5000" w:type="pct"/>
          </w:tcPr>
          <w:p w:rsidR="008B1643" w:rsidRPr="004A4B88" w:rsidRDefault="008B1643" w:rsidP="007C6B41">
            <w:pPr>
              <w:keepNext/>
              <w:widowControl w:val="0"/>
              <w:rPr>
                <w:rFonts w:ascii="Arial" w:hAnsi="Arial" w:cs="Arial"/>
                <w:b/>
                <w:snapToGrid w:val="0"/>
                <w:sz w:val="20"/>
                <w:szCs w:val="20"/>
                <w:u w:val="single"/>
                <w:lang w:val="fr-FR" w:eastAsia="en-US"/>
              </w:rPr>
            </w:pPr>
            <w:r w:rsidRPr="004A4B88">
              <w:rPr>
                <w:rFonts w:ascii="Arial" w:hAnsi="Arial" w:cs="Arial"/>
                <w:b/>
                <w:snapToGrid w:val="0"/>
                <w:sz w:val="20"/>
                <w:szCs w:val="20"/>
                <w:u w:val="single"/>
                <w:lang w:val="fr-FR" w:eastAsia="en-US"/>
              </w:rPr>
              <w:t xml:space="preserve">Section 85, </w:t>
            </w:r>
            <w:proofErr w:type="spellStart"/>
            <w:r w:rsidRPr="004A4B88">
              <w:rPr>
                <w:rFonts w:ascii="Arial" w:hAnsi="Arial" w:cs="Arial"/>
                <w:b/>
                <w:snapToGrid w:val="0"/>
                <w:sz w:val="20"/>
                <w:szCs w:val="20"/>
                <w:u w:val="single"/>
                <w:lang w:val="fr-FR" w:eastAsia="en-US"/>
              </w:rPr>
              <w:t>Authority</w:t>
            </w:r>
            <w:proofErr w:type="spellEnd"/>
            <w:r w:rsidRPr="004A4B88">
              <w:rPr>
                <w:rFonts w:ascii="Arial" w:hAnsi="Arial" w:cs="Arial"/>
                <w:b/>
                <w:snapToGrid w:val="0"/>
                <w:sz w:val="20"/>
                <w:szCs w:val="20"/>
                <w:u w:val="single"/>
                <w:lang w:val="fr-FR" w:eastAsia="en-US"/>
              </w:rPr>
              <w:t xml:space="preserve"> </w:t>
            </w:r>
            <w:proofErr w:type="spellStart"/>
            <w:r w:rsidRPr="004A4B88">
              <w:rPr>
                <w:rFonts w:ascii="Arial" w:hAnsi="Arial" w:cs="Arial"/>
                <w:b/>
                <w:snapToGrid w:val="0"/>
                <w:sz w:val="20"/>
                <w:szCs w:val="20"/>
                <w:u w:val="single"/>
                <w:lang w:val="fr-FR" w:eastAsia="en-US"/>
              </w:rPr>
              <w:t>Required</w:t>
            </w:r>
            <w:proofErr w:type="spellEnd"/>
            <w:r w:rsidR="00DA56D0" w:rsidRPr="004A4B88">
              <w:rPr>
                <w:rFonts w:ascii="Arial" w:hAnsi="Arial" w:cs="Arial"/>
                <w:b/>
                <w:snapToGrid w:val="0"/>
                <w:sz w:val="20"/>
                <w:szCs w:val="20"/>
                <w:u w:val="single"/>
                <w:lang w:val="fr-FR" w:eastAsia="en-US"/>
              </w:rPr>
              <w:t xml:space="preserve"> (STREAMLINED)</w:t>
            </w:r>
          </w:p>
          <w:p w:rsidR="008B1643" w:rsidRPr="004A4B88" w:rsidRDefault="008B1643" w:rsidP="001D6A8D">
            <w:pPr>
              <w:keepNext/>
              <w:widowControl w:val="0"/>
              <w:rPr>
                <w:rFonts w:ascii="Arial" w:hAnsi="Arial" w:cs="Arial"/>
                <w:snapToGrid w:val="0"/>
                <w:sz w:val="20"/>
                <w:szCs w:val="20"/>
                <w:lang w:val="fr-FR" w:eastAsia="en-US"/>
              </w:rPr>
            </w:pPr>
            <w:r w:rsidRPr="004A4B88">
              <w:rPr>
                <w:rFonts w:ascii="Arial" w:hAnsi="Arial" w:cs="Arial"/>
                <w:snapToGrid w:val="0"/>
                <w:sz w:val="20"/>
                <w:szCs w:val="20"/>
                <w:lang w:val="fr-FR" w:eastAsia="en-US"/>
              </w:rPr>
              <w:t>Initial PBS-</w:t>
            </w:r>
            <w:proofErr w:type="spellStart"/>
            <w:r w:rsidRPr="004A4B88">
              <w:rPr>
                <w:rFonts w:ascii="Arial" w:hAnsi="Arial" w:cs="Arial"/>
                <w:snapToGrid w:val="0"/>
                <w:sz w:val="20"/>
                <w:szCs w:val="20"/>
                <w:lang w:val="fr-FR" w:eastAsia="en-US"/>
              </w:rPr>
              <w:t>subsidised</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treatment</w:t>
            </w:r>
            <w:proofErr w:type="spellEnd"/>
            <w:r w:rsidRPr="004A4B88">
              <w:rPr>
                <w:rFonts w:ascii="Arial" w:hAnsi="Arial" w:cs="Arial"/>
                <w:snapToGrid w:val="0"/>
                <w:sz w:val="20"/>
                <w:szCs w:val="20"/>
                <w:lang w:val="fr-FR" w:eastAsia="en-US"/>
              </w:rPr>
              <w:t xml:space="preserve"> as </w:t>
            </w:r>
            <w:proofErr w:type="spellStart"/>
            <w:r w:rsidRPr="004A4B88">
              <w:rPr>
                <w:rFonts w:ascii="Arial" w:hAnsi="Arial" w:cs="Arial"/>
                <w:snapToGrid w:val="0"/>
                <w:sz w:val="20"/>
                <w:szCs w:val="20"/>
                <w:lang w:val="fr-FR" w:eastAsia="en-US"/>
              </w:rPr>
              <w:t>monotherapy</w:t>
            </w:r>
            <w:proofErr w:type="spellEnd"/>
            <w:r w:rsidRPr="004A4B88">
              <w:rPr>
                <w:rFonts w:ascii="Arial" w:hAnsi="Arial" w:cs="Arial"/>
                <w:snapToGrid w:val="0"/>
                <w:sz w:val="20"/>
                <w:szCs w:val="20"/>
                <w:lang w:val="fr-FR" w:eastAsia="en-US"/>
              </w:rPr>
              <w:t xml:space="preserve">, of a patient </w:t>
            </w:r>
            <w:proofErr w:type="spellStart"/>
            <w:r w:rsidRPr="004A4B88">
              <w:rPr>
                <w:rFonts w:ascii="Arial" w:hAnsi="Arial" w:cs="Arial"/>
                <w:snapToGrid w:val="0"/>
                <w:sz w:val="20"/>
                <w:szCs w:val="20"/>
                <w:lang w:val="fr-FR" w:eastAsia="en-US"/>
              </w:rPr>
              <w:t>with</w:t>
            </w:r>
            <w:proofErr w:type="spellEnd"/>
            <w:r w:rsidRPr="004A4B88">
              <w:rPr>
                <w:rFonts w:ascii="Arial" w:hAnsi="Arial" w:cs="Arial"/>
                <w:snapToGrid w:val="0"/>
                <w:sz w:val="20"/>
                <w:szCs w:val="20"/>
                <w:lang w:val="fr-FR" w:eastAsia="en-US"/>
              </w:rPr>
              <w:t xml:space="preserve"> a WHO performance </w:t>
            </w:r>
            <w:proofErr w:type="spellStart"/>
            <w:r w:rsidRPr="004A4B88">
              <w:rPr>
                <w:rFonts w:ascii="Arial" w:hAnsi="Arial" w:cs="Arial"/>
                <w:snapToGrid w:val="0"/>
                <w:sz w:val="20"/>
                <w:szCs w:val="20"/>
                <w:lang w:val="fr-FR" w:eastAsia="en-US"/>
              </w:rPr>
              <w:t>status</w:t>
            </w:r>
            <w:proofErr w:type="spellEnd"/>
            <w:r w:rsidRPr="004A4B88">
              <w:rPr>
                <w:rFonts w:ascii="Arial" w:hAnsi="Arial" w:cs="Arial"/>
                <w:snapToGrid w:val="0"/>
                <w:sz w:val="20"/>
                <w:szCs w:val="20"/>
                <w:lang w:val="fr-FR" w:eastAsia="en-US"/>
              </w:rPr>
              <w:t xml:space="preserve"> of 0 or 1 </w:t>
            </w:r>
            <w:proofErr w:type="spellStart"/>
            <w:r w:rsidRPr="004A4B88">
              <w:rPr>
                <w:rFonts w:ascii="Arial" w:hAnsi="Arial" w:cs="Arial"/>
                <w:snapToGrid w:val="0"/>
                <w:sz w:val="20"/>
                <w:szCs w:val="20"/>
                <w:lang w:val="fr-FR" w:eastAsia="en-US"/>
              </w:rPr>
              <w:t>with</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metastatic</w:t>
            </w:r>
            <w:proofErr w:type="spellEnd"/>
            <w:r w:rsidRPr="004A4B88">
              <w:rPr>
                <w:rFonts w:ascii="Arial" w:hAnsi="Arial" w:cs="Arial"/>
                <w:snapToGrid w:val="0"/>
                <w:sz w:val="20"/>
                <w:szCs w:val="20"/>
                <w:lang w:val="fr-FR" w:eastAsia="en-US"/>
              </w:rPr>
              <w:t xml:space="preserve"> colorectal cancer, </w:t>
            </w:r>
            <w:proofErr w:type="spellStart"/>
            <w:r w:rsidRPr="004A4B88">
              <w:rPr>
                <w:rFonts w:ascii="Arial" w:hAnsi="Arial" w:cs="Arial"/>
                <w:snapToGrid w:val="0"/>
                <w:sz w:val="20"/>
                <w:szCs w:val="20"/>
                <w:lang w:val="fr-FR" w:eastAsia="en-US"/>
              </w:rPr>
              <w:t>following</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failure</w:t>
            </w:r>
            <w:proofErr w:type="spellEnd"/>
            <w:r w:rsidRPr="004A4B88">
              <w:rPr>
                <w:rFonts w:ascii="Arial" w:hAnsi="Arial" w:cs="Arial"/>
                <w:snapToGrid w:val="0"/>
                <w:sz w:val="20"/>
                <w:szCs w:val="20"/>
                <w:lang w:val="fr-FR" w:eastAsia="en-US"/>
              </w:rPr>
              <w:t xml:space="preserve"> of, or </w:t>
            </w:r>
            <w:proofErr w:type="spellStart"/>
            <w:r w:rsidRPr="004A4B88">
              <w:rPr>
                <w:rFonts w:ascii="Arial" w:hAnsi="Arial" w:cs="Arial"/>
                <w:snapToGrid w:val="0"/>
                <w:sz w:val="20"/>
                <w:szCs w:val="20"/>
                <w:lang w:val="fr-FR" w:eastAsia="en-US"/>
              </w:rPr>
              <w:t>intolerant</w:t>
            </w:r>
            <w:proofErr w:type="spellEnd"/>
            <w:r w:rsidRPr="004A4B88">
              <w:rPr>
                <w:rFonts w:ascii="Arial" w:hAnsi="Arial" w:cs="Arial"/>
                <w:snapToGrid w:val="0"/>
                <w:sz w:val="20"/>
                <w:szCs w:val="20"/>
                <w:lang w:val="fr-FR" w:eastAsia="en-US"/>
              </w:rPr>
              <w:t xml:space="preserve"> to, </w:t>
            </w:r>
            <w:proofErr w:type="spellStart"/>
            <w:r w:rsidRPr="004A4B88">
              <w:rPr>
                <w:rFonts w:ascii="Arial" w:hAnsi="Arial" w:cs="Arial"/>
                <w:snapToGrid w:val="0"/>
                <w:sz w:val="20"/>
                <w:szCs w:val="20"/>
                <w:lang w:val="fr-FR" w:eastAsia="en-US"/>
              </w:rPr>
              <w:t>approved</w:t>
            </w:r>
            <w:proofErr w:type="spellEnd"/>
            <w:r w:rsidRPr="004A4B88">
              <w:rPr>
                <w:rFonts w:ascii="Arial" w:hAnsi="Arial" w:cs="Arial"/>
                <w:snapToGrid w:val="0"/>
                <w:sz w:val="20"/>
                <w:szCs w:val="20"/>
                <w:lang w:val="fr-FR" w:eastAsia="en-US"/>
              </w:rPr>
              <w:t xml:space="preserve"> standard </w:t>
            </w:r>
            <w:proofErr w:type="spellStart"/>
            <w:r w:rsidRPr="004A4B88">
              <w:rPr>
                <w:rFonts w:ascii="Arial" w:hAnsi="Arial" w:cs="Arial"/>
                <w:snapToGrid w:val="0"/>
                <w:sz w:val="20"/>
                <w:szCs w:val="20"/>
                <w:lang w:val="fr-FR" w:eastAsia="en-US"/>
              </w:rPr>
              <w:t>chemotherapy</w:t>
            </w:r>
            <w:proofErr w:type="spellEnd"/>
            <w:r w:rsidRPr="004A4B88">
              <w:rPr>
                <w:rFonts w:ascii="Arial" w:hAnsi="Arial" w:cs="Arial"/>
                <w:snapToGrid w:val="0"/>
                <w:sz w:val="20"/>
                <w:szCs w:val="20"/>
                <w:lang w:val="fr-FR" w:eastAsia="en-US"/>
              </w:rPr>
              <w:t xml:space="preserve">, an anti-VEGF </w:t>
            </w:r>
            <w:proofErr w:type="spellStart"/>
            <w:r w:rsidRPr="004A4B88">
              <w:rPr>
                <w:rFonts w:ascii="Arial" w:hAnsi="Arial" w:cs="Arial"/>
                <w:snapToGrid w:val="0"/>
                <w:sz w:val="20"/>
                <w:szCs w:val="20"/>
                <w:lang w:val="fr-FR" w:eastAsia="en-US"/>
              </w:rPr>
              <w:t>therapy</w:t>
            </w:r>
            <w:proofErr w:type="spellEnd"/>
            <w:r w:rsidRPr="004A4B88">
              <w:rPr>
                <w:rFonts w:ascii="Arial" w:hAnsi="Arial" w:cs="Arial"/>
                <w:snapToGrid w:val="0"/>
                <w:sz w:val="20"/>
                <w:szCs w:val="20"/>
                <w:lang w:val="fr-FR" w:eastAsia="en-US"/>
              </w:rPr>
              <w:t xml:space="preserve">, and, if KRAS </w:t>
            </w:r>
            <w:proofErr w:type="spellStart"/>
            <w:r w:rsidRPr="004A4B88">
              <w:rPr>
                <w:rFonts w:ascii="Arial" w:hAnsi="Arial" w:cs="Arial"/>
                <w:snapToGrid w:val="0"/>
                <w:sz w:val="20"/>
                <w:szCs w:val="20"/>
                <w:lang w:val="fr-FR" w:eastAsia="en-US"/>
              </w:rPr>
              <w:t>wild</w:t>
            </w:r>
            <w:proofErr w:type="spellEnd"/>
            <w:r w:rsidRPr="004A4B88">
              <w:rPr>
                <w:rFonts w:ascii="Arial" w:hAnsi="Arial" w:cs="Arial"/>
                <w:snapToGrid w:val="0"/>
                <w:sz w:val="20"/>
                <w:szCs w:val="20"/>
                <w:lang w:val="fr-FR" w:eastAsia="en-US"/>
              </w:rPr>
              <w:t xml:space="preserve"> type, an anti-EGFR </w:t>
            </w:r>
            <w:proofErr w:type="spellStart"/>
            <w:r w:rsidRPr="004A4B88">
              <w:rPr>
                <w:rFonts w:ascii="Arial" w:hAnsi="Arial" w:cs="Arial"/>
                <w:snapToGrid w:val="0"/>
                <w:sz w:val="20"/>
                <w:szCs w:val="20"/>
                <w:lang w:val="fr-FR" w:eastAsia="en-US"/>
              </w:rPr>
              <w:t>therapy</w:t>
            </w:r>
            <w:proofErr w:type="spellEnd"/>
            <w:r w:rsidRPr="004A4B88">
              <w:rPr>
                <w:rFonts w:ascii="Arial" w:hAnsi="Arial" w:cs="Arial"/>
                <w:snapToGrid w:val="0"/>
                <w:sz w:val="20"/>
                <w:szCs w:val="20"/>
                <w:lang w:val="fr-FR" w:eastAsia="en-US"/>
              </w:rPr>
              <w:t xml:space="preserve">. </w:t>
            </w:r>
          </w:p>
          <w:p w:rsidR="008B1643" w:rsidRPr="004A4B88" w:rsidRDefault="008B1643" w:rsidP="001D6A8D">
            <w:pPr>
              <w:keepNext/>
              <w:widowControl w:val="0"/>
              <w:rPr>
                <w:rFonts w:ascii="Arial" w:hAnsi="Arial" w:cs="Arial"/>
                <w:snapToGrid w:val="0"/>
                <w:sz w:val="20"/>
                <w:szCs w:val="20"/>
                <w:lang w:val="fr-FR" w:eastAsia="en-US"/>
              </w:rPr>
            </w:pPr>
          </w:p>
          <w:p w:rsidR="008B1643" w:rsidRPr="004A4B88" w:rsidRDefault="008B1643" w:rsidP="001D6A8D">
            <w:pPr>
              <w:keepNext/>
              <w:widowControl w:val="0"/>
              <w:rPr>
                <w:rFonts w:ascii="Arial" w:hAnsi="Arial" w:cs="Arial"/>
                <w:snapToGrid w:val="0"/>
                <w:sz w:val="20"/>
                <w:szCs w:val="20"/>
                <w:lang w:val="fr-FR" w:eastAsia="en-US"/>
              </w:rPr>
            </w:pPr>
            <w:proofErr w:type="spellStart"/>
            <w:r w:rsidRPr="004A4B88">
              <w:rPr>
                <w:rFonts w:ascii="Arial" w:hAnsi="Arial" w:cs="Arial"/>
                <w:snapToGrid w:val="0"/>
                <w:sz w:val="20"/>
                <w:szCs w:val="20"/>
                <w:lang w:val="fr-FR" w:eastAsia="en-US"/>
              </w:rPr>
              <w:t>Continuing</w:t>
            </w:r>
            <w:proofErr w:type="spellEnd"/>
            <w:r w:rsidRPr="004A4B88">
              <w:rPr>
                <w:rFonts w:ascii="Arial" w:hAnsi="Arial" w:cs="Arial"/>
                <w:snapToGrid w:val="0"/>
                <w:sz w:val="20"/>
                <w:szCs w:val="20"/>
                <w:lang w:val="fr-FR" w:eastAsia="en-US"/>
              </w:rPr>
              <w:t xml:space="preserve"> PBS-</w:t>
            </w:r>
            <w:proofErr w:type="spellStart"/>
            <w:r w:rsidRPr="004A4B88">
              <w:rPr>
                <w:rFonts w:ascii="Arial" w:hAnsi="Arial" w:cs="Arial"/>
                <w:snapToGrid w:val="0"/>
                <w:sz w:val="20"/>
                <w:szCs w:val="20"/>
                <w:lang w:val="fr-FR" w:eastAsia="en-US"/>
              </w:rPr>
              <w:t>subsidised</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treatment</w:t>
            </w:r>
            <w:proofErr w:type="spellEnd"/>
            <w:r w:rsidRPr="004A4B88">
              <w:rPr>
                <w:rFonts w:ascii="Arial" w:hAnsi="Arial" w:cs="Arial"/>
                <w:snapToGrid w:val="0"/>
                <w:sz w:val="20"/>
                <w:szCs w:val="20"/>
                <w:lang w:val="fr-FR" w:eastAsia="en-US"/>
              </w:rPr>
              <w:t xml:space="preserve">, as </w:t>
            </w:r>
            <w:proofErr w:type="spellStart"/>
            <w:r w:rsidRPr="004A4B88">
              <w:rPr>
                <w:rFonts w:ascii="Arial" w:hAnsi="Arial" w:cs="Arial"/>
                <w:snapToGrid w:val="0"/>
                <w:sz w:val="20"/>
                <w:szCs w:val="20"/>
                <w:lang w:val="fr-FR" w:eastAsia="en-US"/>
              </w:rPr>
              <w:t>monotherapy</w:t>
            </w:r>
            <w:proofErr w:type="spellEnd"/>
            <w:r w:rsidRPr="004A4B88">
              <w:rPr>
                <w:rFonts w:ascii="Arial" w:hAnsi="Arial" w:cs="Arial"/>
                <w:snapToGrid w:val="0"/>
                <w:sz w:val="20"/>
                <w:szCs w:val="20"/>
                <w:lang w:val="fr-FR" w:eastAsia="en-US"/>
              </w:rPr>
              <w:t xml:space="preserve">, of a patient </w:t>
            </w:r>
            <w:proofErr w:type="spellStart"/>
            <w:r w:rsidRPr="004A4B88">
              <w:rPr>
                <w:rFonts w:ascii="Arial" w:hAnsi="Arial" w:cs="Arial"/>
                <w:snapToGrid w:val="0"/>
                <w:sz w:val="20"/>
                <w:szCs w:val="20"/>
                <w:lang w:val="fr-FR" w:eastAsia="en-US"/>
              </w:rPr>
              <w:t>with</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metastatic</w:t>
            </w:r>
            <w:proofErr w:type="spellEnd"/>
            <w:r w:rsidRPr="004A4B88">
              <w:rPr>
                <w:rFonts w:ascii="Arial" w:hAnsi="Arial" w:cs="Arial"/>
                <w:snapToGrid w:val="0"/>
                <w:sz w:val="20"/>
                <w:szCs w:val="20"/>
                <w:lang w:val="fr-FR" w:eastAsia="en-US"/>
              </w:rPr>
              <w:t xml:space="preserve"> colorectal cancer </w:t>
            </w:r>
            <w:proofErr w:type="spellStart"/>
            <w:r w:rsidRPr="004A4B88">
              <w:rPr>
                <w:rFonts w:ascii="Arial" w:hAnsi="Arial" w:cs="Arial"/>
                <w:snapToGrid w:val="0"/>
                <w:sz w:val="20"/>
                <w:szCs w:val="20"/>
                <w:lang w:val="fr-FR" w:eastAsia="en-US"/>
              </w:rPr>
              <w:t>who</w:t>
            </w:r>
            <w:proofErr w:type="spellEnd"/>
            <w:r w:rsidRPr="004A4B88">
              <w:rPr>
                <w:rFonts w:ascii="Arial" w:hAnsi="Arial" w:cs="Arial"/>
                <w:snapToGrid w:val="0"/>
                <w:sz w:val="20"/>
                <w:szCs w:val="20"/>
                <w:lang w:val="fr-FR" w:eastAsia="en-US"/>
              </w:rPr>
              <w:t xml:space="preserve"> has </w:t>
            </w:r>
            <w:proofErr w:type="spellStart"/>
            <w:r w:rsidRPr="004A4B88">
              <w:rPr>
                <w:rFonts w:ascii="Arial" w:hAnsi="Arial" w:cs="Arial"/>
                <w:snapToGrid w:val="0"/>
                <w:sz w:val="20"/>
                <w:szCs w:val="20"/>
                <w:lang w:val="fr-FR" w:eastAsia="en-US"/>
              </w:rPr>
              <w:t>previously</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received</w:t>
            </w:r>
            <w:proofErr w:type="spellEnd"/>
            <w:r w:rsidRPr="004A4B88">
              <w:rPr>
                <w:rFonts w:ascii="Arial" w:hAnsi="Arial" w:cs="Arial"/>
                <w:snapToGrid w:val="0"/>
                <w:sz w:val="20"/>
                <w:szCs w:val="20"/>
                <w:lang w:val="fr-FR" w:eastAsia="en-US"/>
              </w:rPr>
              <w:t xml:space="preserve"> PBS-</w:t>
            </w:r>
            <w:proofErr w:type="spellStart"/>
            <w:r w:rsidRPr="004A4B88">
              <w:rPr>
                <w:rFonts w:ascii="Arial" w:hAnsi="Arial" w:cs="Arial"/>
                <w:snapToGrid w:val="0"/>
                <w:sz w:val="20"/>
                <w:szCs w:val="20"/>
                <w:lang w:val="fr-FR" w:eastAsia="en-US"/>
              </w:rPr>
              <w:t>subsidised</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treatment</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with</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regorafenib</w:t>
            </w:r>
            <w:proofErr w:type="spellEnd"/>
            <w:r w:rsidRPr="004A4B88">
              <w:rPr>
                <w:rFonts w:ascii="Arial" w:hAnsi="Arial" w:cs="Arial"/>
                <w:snapToGrid w:val="0"/>
                <w:sz w:val="20"/>
                <w:szCs w:val="20"/>
                <w:lang w:val="fr-FR" w:eastAsia="en-US"/>
              </w:rPr>
              <w:t xml:space="preserve"> and </w:t>
            </w:r>
            <w:proofErr w:type="spellStart"/>
            <w:r w:rsidRPr="004A4B88">
              <w:rPr>
                <w:rFonts w:ascii="Arial" w:hAnsi="Arial" w:cs="Arial"/>
                <w:snapToGrid w:val="0"/>
                <w:sz w:val="20"/>
                <w:szCs w:val="20"/>
                <w:lang w:val="fr-FR" w:eastAsia="en-US"/>
              </w:rPr>
              <w:t>who</w:t>
            </w:r>
            <w:proofErr w:type="spellEnd"/>
            <w:r w:rsidRPr="004A4B88">
              <w:rPr>
                <w:rFonts w:ascii="Arial" w:hAnsi="Arial" w:cs="Arial"/>
                <w:snapToGrid w:val="0"/>
                <w:sz w:val="20"/>
                <w:szCs w:val="20"/>
                <w:lang w:val="fr-FR" w:eastAsia="en-US"/>
              </w:rPr>
              <w:t xml:space="preserve"> </w:t>
            </w:r>
            <w:proofErr w:type="spellStart"/>
            <w:r w:rsidRPr="004A4B88">
              <w:rPr>
                <w:rFonts w:ascii="Arial" w:hAnsi="Arial" w:cs="Arial"/>
                <w:snapToGrid w:val="0"/>
                <w:sz w:val="20"/>
                <w:szCs w:val="20"/>
                <w:lang w:val="fr-FR" w:eastAsia="en-US"/>
              </w:rPr>
              <w:t>does</w:t>
            </w:r>
            <w:proofErr w:type="spellEnd"/>
            <w:r w:rsidRPr="004A4B88">
              <w:rPr>
                <w:rFonts w:ascii="Arial" w:hAnsi="Arial" w:cs="Arial"/>
                <w:snapToGrid w:val="0"/>
                <w:sz w:val="20"/>
                <w:szCs w:val="20"/>
                <w:lang w:val="fr-FR" w:eastAsia="en-US"/>
              </w:rPr>
              <w:t xml:space="preserve"> not have progressive </w:t>
            </w:r>
            <w:proofErr w:type="spellStart"/>
            <w:r w:rsidRPr="004A4B88">
              <w:rPr>
                <w:rFonts w:ascii="Arial" w:hAnsi="Arial" w:cs="Arial"/>
                <w:snapToGrid w:val="0"/>
                <w:sz w:val="20"/>
                <w:szCs w:val="20"/>
                <w:lang w:val="fr-FR" w:eastAsia="en-US"/>
              </w:rPr>
              <w:t>disease</w:t>
            </w:r>
            <w:proofErr w:type="spellEnd"/>
            <w:r w:rsidRPr="004A4B88">
              <w:rPr>
                <w:rFonts w:ascii="Arial" w:hAnsi="Arial" w:cs="Arial"/>
                <w:snapToGrid w:val="0"/>
                <w:sz w:val="20"/>
                <w:szCs w:val="20"/>
                <w:lang w:val="fr-FR" w:eastAsia="en-US"/>
              </w:rPr>
              <w:t>.</w:t>
            </w:r>
          </w:p>
        </w:tc>
      </w:tr>
    </w:tbl>
    <w:p w:rsidR="008B1643" w:rsidRPr="004A4B88" w:rsidRDefault="008B1643" w:rsidP="00882085">
      <w:pPr>
        <w:pStyle w:val="ListParagraph"/>
        <w:jc w:val="both"/>
        <w:rPr>
          <w:rFonts w:ascii="Arial" w:hAnsi="Arial"/>
          <w:sz w:val="22"/>
          <w:szCs w:val="22"/>
        </w:rPr>
      </w:pPr>
    </w:p>
    <w:p w:rsidR="00644D09" w:rsidRPr="004A4B88" w:rsidRDefault="00644D09" w:rsidP="00644D09">
      <w:pPr>
        <w:pStyle w:val="ListParagraph"/>
        <w:numPr>
          <w:ilvl w:val="1"/>
          <w:numId w:val="25"/>
        </w:numPr>
        <w:jc w:val="both"/>
        <w:rPr>
          <w:rFonts w:ascii="Arial" w:hAnsi="Arial"/>
          <w:sz w:val="22"/>
          <w:szCs w:val="22"/>
        </w:rPr>
      </w:pPr>
      <w:r w:rsidRPr="004A4B88">
        <w:rPr>
          <w:rFonts w:ascii="Arial" w:hAnsi="Arial"/>
          <w:sz w:val="22"/>
          <w:szCs w:val="22"/>
        </w:rPr>
        <w:t>The PBAC considered that a telephone Authority rather than a Streamlined Authority would be more appropriate.</w:t>
      </w:r>
    </w:p>
    <w:p w:rsidR="00644D09" w:rsidRPr="004A4B88" w:rsidRDefault="00644D09" w:rsidP="00644D09">
      <w:pPr>
        <w:pStyle w:val="ListParagraph"/>
        <w:jc w:val="both"/>
        <w:rPr>
          <w:rFonts w:ascii="Arial" w:hAnsi="Arial"/>
          <w:sz w:val="22"/>
          <w:szCs w:val="22"/>
        </w:rPr>
      </w:pPr>
    </w:p>
    <w:p w:rsidR="00644D09" w:rsidRPr="004A4B88" w:rsidRDefault="008B1643" w:rsidP="00644D09">
      <w:pPr>
        <w:pStyle w:val="ListParagraph"/>
        <w:numPr>
          <w:ilvl w:val="1"/>
          <w:numId w:val="25"/>
        </w:numPr>
        <w:jc w:val="both"/>
        <w:rPr>
          <w:rFonts w:ascii="Arial" w:hAnsi="Arial"/>
          <w:sz w:val="22"/>
          <w:szCs w:val="22"/>
        </w:rPr>
      </w:pPr>
      <w:r w:rsidRPr="004A4B88">
        <w:rPr>
          <w:rFonts w:ascii="Arial" w:hAnsi="Arial"/>
          <w:sz w:val="22"/>
          <w:szCs w:val="22"/>
        </w:rPr>
        <w:t>Listing was sought on a cost-utility basis compared with best supportive care (BSC).</w:t>
      </w:r>
    </w:p>
    <w:p w:rsidR="00EF0BAC" w:rsidRPr="004A4B88" w:rsidRDefault="00EF0BAC" w:rsidP="00EF0BAC">
      <w:pPr>
        <w:pStyle w:val="ListParagraph"/>
        <w:rPr>
          <w:rFonts w:ascii="Arial" w:hAnsi="Arial"/>
          <w:sz w:val="22"/>
          <w:szCs w:val="22"/>
        </w:rPr>
      </w:pPr>
    </w:p>
    <w:p w:rsidR="00EF0BAC" w:rsidRPr="004A4B88" w:rsidRDefault="00EF0BAC" w:rsidP="00EF0BAC">
      <w:pPr>
        <w:pStyle w:val="ListParagraph"/>
        <w:ind w:left="709"/>
        <w:jc w:val="both"/>
        <w:rPr>
          <w:rFonts w:ascii="Arial" w:hAnsi="Arial"/>
          <w:i/>
          <w:sz w:val="22"/>
          <w:szCs w:val="22"/>
        </w:rPr>
      </w:pPr>
      <w:r w:rsidRPr="004A4B88">
        <w:rPr>
          <w:rFonts w:ascii="Arial" w:hAnsi="Arial"/>
          <w:i/>
          <w:sz w:val="22"/>
          <w:szCs w:val="22"/>
        </w:rPr>
        <w:t>For more detail on PBAC’s view, see section 7 “PBAC outcome”</w:t>
      </w:r>
    </w:p>
    <w:p w:rsidR="008B1643" w:rsidRPr="004A4B88" w:rsidRDefault="008B1643" w:rsidP="00882085">
      <w:pPr>
        <w:jc w:val="both"/>
        <w:rPr>
          <w:rFonts w:ascii="Arial" w:hAnsi="Arial"/>
          <w:b/>
          <w:sz w:val="22"/>
          <w:szCs w:val="22"/>
        </w:rPr>
      </w:pPr>
    </w:p>
    <w:p w:rsidR="008B1643" w:rsidRPr="004A4B88" w:rsidRDefault="008B1643" w:rsidP="00882085">
      <w:pPr>
        <w:pStyle w:val="ListParagraph"/>
        <w:numPr>
          <w:ilvl w:val="0"/>
          <w:numId w:val="25"/>
        </w:numPr>
        <w:jc w:val="both"/>
        <w:rPr>
          <w:rFonts w:ascii="Arial" w:hAnsi="Arial"/>
          <w:sz w:val="22"/>
          <w:szCs w:val="22"/>
        </w:rPr>
      </w:pPr>
      <w:r w:rsidRPr="004A4B88">
        <w:rPr>
          <w:rFonts w:ascii="Arial" w:hAnsi="Arial"/>
          <w:b/>
          <w:sz w:val="22"/>
          <w:szCs w:val="22"/>
        </w:rPr>
        <w:t>Background</w:t>
      </w:r>
    </w:p>
    <w:p w:rsidR="008B1643" w:rsidRPr="004A4B88" w:rsidRDefault="008B1643" w:rsidP="00882085">
      <w:pPr>
        <w:jc w:val="both"/>
        <w:rPr>
          <w:rFonts w:ascii="Arial" w:hAnsi="Arial"/>
          <w:sz w:val="22"/>
          <w:szCs w:val="22"/>
        </w:rPr>
      </w:pPr>
    </w:p>
    <w:p w:rsidR="008B1643" w:rsidRPr="004A4B88" w:rsidRDefault="008B1643" w:rsidP="005373D1">
      <w:pPr>
        <w:pStyle w:val="ListParagraph"/>
        <w:numPr>
          <w:ilvl w:val="1"/>
          <w:numId w:val="25"/>
        </w:numPr>
        <w:jc w:val="both"/>
        <w:rPr>
          <w:rFonts w:ascii="Arial" w:hAnsi="Arial"/>
          <w:sz w:val="22"/>
          <w:szCs w:val="22"/>
        </w:rPr>
      </w:pPr>
      <w:proofErr w:type="spellStart"/>
      <w:r w:rsidRPr="004A4B88">
        <w:rPr>
          <w:rFonts w:ascii="Arial" w:hAnsi="Arial"/>
          <w:sz w:val="22"/>
          <w:szCs w:val="22"/>
        </w:rPr>
        <w:t>Regorafenib</w:t>
      </w:r>
      <w:proofErr w:type="spellEnd"/>
      <w:r w:rsidRPr="004A4B88">
        <w:rPr>
          <w:rFonts w:ascii="Arial" w:hAnsi="Arial"/>
          <w:sz w:val="22"/>
          <w:szCs w:val="22"/>
        </w:rPr>
        <w:t xml:space="preserve"> was approved by the TGA on 29th November 2013 for ‘the treatment of patients with metastatic colorectal cancer (CRC) who have been previously treated with </w:t>
      </w:r>
      <w:proofErr w:type="spellStart"/>
      <w:r w:rsidRPr="004A4B88">
        <w:rPr>
          <w:rFonts w:ascii="Arial" w:hAnsi="Arial"/>
          <w:sz w:val="22"/>
          <w:szCs w:val="22"/>
        </w:rPr>
        <w:t>fluoropyrimidine</w:t>
      </w:r>
      <w:proofErr w:type="spellEnd"/>
      <w:r w:rsidRPr="004A4B88">
        <w:rPr>
          <w:rFonts w:ascii="Arial" w:hAnsi="Arial"/>
          <w:sz w:val="22"/>
          <w:szCs w:val="22"/>
        </w:rPr>
        <w:t>,-</w:t>
      </w:r>
      <w:proofErr w:type="spellStart"/>
      <w:r w:rsidRPr="004A4B88">
        <w:rPr>
          <w:rFonts w:ascii="Arial" w:hAnsi="Arial"/>
          <w:sz w:val="22"/>
          <w:szCs w:val="22"/>
        </w:rPr>
        <w:t>oxaliplatin</w:t>
      </w:r>
      <w:proofErr w:type="spellEnd"/>
      <w:r w:rsidRPr="004A4B88">
        <w:rPr>
          <w:rFonts w:ascii="Arial" w:hAnsi="Arial"/>
          <w:sz w:val="22"/>
          <w:szCs w:val="22"/>
        </w:rPr>
        <w:t xml:space="preserve">- and </w:t>
      </w:r>
      <w:proofErr w:type="spellStart"/>
      <w:r w:rsidRPr="004A4B88">
        <w:rPr>
          <w:rFonts w:ascii="Arial" w:hAnsi="Arial"/>
          <w:sz w:val="22"/>
          <w:szCs w:val="22"/>
        </w:rPr>
        <w:t>irinotecan</w:t>
      </w:r>
      <w:proofErr w:type="spellEnd"/>
      <w:r w:rsidRPr="004A4B88">
        <w:rPr>
          <w:rFonts w:ascii="Arial" w:hAnsi="Arial"/>
          <w:sz w:val="22"/>
          <w:szCs w:val="22"/>
        </w:rPr>
        <w:t xml:space="preserve">-based chemotherapy, an anti-VEGF therapy and, if </w:t>
      </w:r>
      <w:r w:rsidRPr="004A4B88">
        <w:rPr>
          <w:rFonts w:ascii="Arial" w:hAnsi="Arial"/>
          <w:i/>
          <w:sz w:val="22"/>
          <w:szCs w:val="22"/>
        </w:rPr>
        <w:t>KRAS</w:t>
      </w:r>
      <w:r w:rsidRPr="004A4B88">
        <w:rPr>
          <w:rFonts w:ascii="Arial" w:hAnsi="Arial"/>
          <w:sz w:val="22"/>
          <w:szCs w:val="22"/>
        </w:rPr>
        <w:t xml:space="preserve"> wild type, an anti-EGFR therapy’. </w:t>
      </w:r>
    </w:p>
    <w:p w:rsidR="008B1643" w:rsidRPr="004A4B88" w:rsidRDefault="008B1643" w:rsidP="005373D1">
      <w:pPr>
        <w:pStyle w:val="ListParagraph"/>
        <w:jc w:val="both"/>
        <w:rPr>
          <w:rFonts w:ascii="Arial" w:hAnsi="Arial"/>
          <w:sz w:val="22"/>
          <w:szCs w:val="22"/>
        </w:rPr>
      </w:pPr>
    </w:p>
    <w:p w:rsidR="008B1643" w:rsidRPr="004A4B88" w:rsidRDefault="008B1643" w:rsidP="00450382">
      <w:pPr>
        <w:pStyle w:val="ListParagraph"/>
        <w:numPr>
          <w:ilvl w:val="1"/>
          <w:numId w:val="25"/>
        </w:numPr>
        <w:jc w:val="both"/>
        <w:rPr>
          <w:rFonts w:ascii="Arial" w:hAnsi="Arial"/>
          <w:sz w:val="22"/>
          <w:szCs w:val="22"/>
        </w:rPr>
      </w:pPr>
      <w:proofErr w:type="spellStart"/>
      <w:r w:rsidRPr="004A4B88">
        <w:rPr>
          <w:rFonts w:ascii="Arial" w:hAnsi="Arial"/>
          <w:sz w:val="22"/>
          <w:szCs w:val="22"/>
        </w:rPr>
        <w:t>Regorafenib</w:t>
      </w:r>
      <w:proofErr w:type="spellEnd"/>
      <w:r w:rsidRPr="004A4B88">
        <w:rPr>
          <w:rFonts w:ascii="Arial" w:hAnsi="Arial"/>
          <w:sz w:val="22"/>
          <w:szCs w:val="22"/>
        </w:rPr>
        <w:t xml:space="preserve"> was initially rejected by the TGA (May, 2013). The TGA delegate’s overview considered that the increase in overall survival (OS) was not clinically significant and not supported by secondary endpoints. Following an appeal from the sponsor the TGA subsequently approved the listing of </w:t>
      </w:r>
      <w:proofErr w:type="spellStart"/>
      <w:r w:rsidRPr="004A4B88">
        <w:rPr>
          <w:rFonts w:ascii="Arial" w:hAnsi="Arial"/>
          <w:sz w:val="22"/>
          <w:szCs w:val="22"/>
        </w:rPr>
        <w:t>regorafenib</w:t>
      </w:r>
      <w:proofErr w:type="spellEnd"/>
      <w:r w:rsidRPr="004A4B88">
        <w:rPr>
          <w:rFonts w:ascii="Arial" w:hAnsi="Arial"/>
          <w:sz w:val="22"/>
          <w:szCs w:val="22"/>
        </w:rPr>
        <w:t>. The reviewing delegate stated that there was “evidence of statistically significant and consistent, albeit modest, benefit in terms of OS and PFS in heavily pre</w:t>
      </w:r>
      <w:r w:rsidRPr="004A4B88">
        <w:rPr>
          <w:rFonts w:ascii="Cambria Math" w:hAnsi="Cambria Math" w:cs="Cambria Math"/>
          <w:sz w:val="22"/>
          <w:szCs w:val="22"/>
        </w:rPr>
        <w:t>‐</w:t>
      </w:r>
      <w:r w:rsidRPr="004A4B88">
        <w:rPr>
          <w:rFonts w:ascii="Arial" w:hAnsi="Arial"/>
          <w:sz w:val="22"/>
          <w:szCs w:val="22"/>
        </w:rPr>
        <w:t xml:space="preserve">treated patients with </w:t>
      </w:r>
      <w:proofErr w:type="spellStart"/>
      <w:r w:rsidRPr="004A4B88">
        <w:rPr>
          <w:rFonts w:ascii="Arial" w:hAnsi="Arial"/>
          <w:sz w:val="22"/>
          <w:szCs w:val="22"/>
        </w:rPr>
        <w:t>mCRC</w:t>
      </w:r>
      <w:proofErr w:type="spellEnd"/>
      <w:r w:rsidRPr="004A4B88">
        <w:rPr>
          <w:rFonts w:ascii="Arial" w:hAnsi="Arial"/>
          <w:sz w:val="22"/>
          <w:szCs w:val="22"/>
        </w:rPr>
        <w:t xml:space="preserve"> where there is no approved treatment alternative.”</w:t>
      </w:r>
    </w:p>
    <w:p w:rsidR="008B1643" w:rsidRPr="004A4B88" w:rsidRDefault="008B1643" w:rsidP="00450382">
      <w:pPr>
        <w:pStyle w:val="ListParagraph"/>
        <w:jc w:val="both"/>
        <w:rPr>
          <w:rFonts w:ascii="Arial" w:hAnsi="Arial"/>
          <w:sz w:val="22"/>
          <w:szCs w:val="22"/>
        </w:rPr>
      </w:pPr>
    </w:p>
    <w:p w:rsidR="008B1643" w:rsidRPr="004A4B88" w:rsidRDefault="008B1643" w:rsidP="009A11D1">
      <w:pPr>
        <w:pStyle w:val="ListParagraph"/>
        <w:numPr>
          <w:ilvl w:val="1"/>
          <w:numId w:val="25"/>
        </w:numPr>
        <w:jc w:val="both"/>
        <w:rPr>
          <w:color w:val="FF0000"/>
        </w:rPr>
      </w:pPr>
      <w:r w:rsidRPr="004A4B88">
        <w:rPr>
          <w:rFonts w:ascii="Arial" w:hAnsi="Arial"/>
          <w:sz w:val="22"/>
          <w:szCs w:val="22"/>
        </w:rPr>
        <w:t xml:space="preserve">Similarly, a submission was made in Europe (May, 2012) that was initially rejected due to a negative benefit-risk profile. On review of updated survival data (CORRECT trial as presented in this submission) and consideration of sub-group analyses the European Assessment Summary (EAS) found that “the results are of potential clinical relevance considering the target population is patients for which no other treatment </w:t>
      </w:r>
      <w:r w:rsidRPr="004A4B88">
        <w:rPr>
          <w:rFonts w:ascii="Arial" w:hAnsi="Arial"/>
          <w:sz w:val="22"/>
          <w:szCs w:val="22"/>
        </w:rPr>
        <w:lastRenderedPageBreak/>
        <w:t xml:space="preserve">options are available. However, the absolute gain of 1.4 months is rather modest” (EAS, p4). </w:t>
      </w:r>
    </w:p>
    <w:p w:rsidR="008B1643" w:rsidRPr="004A4B88" w:rsidRDefault="008B1643" w:rsidP="009A11D1">
      <w:pPr>
        <w:pStyle w:val="ListParagraph"/>
        <w:jc w:val="both"/>
        <w:rPr>
          <w:rFonts w:ascii="Arial" w:hAnsi="Arial"/>
          <w:sz w:val="22"/>
          <w:szCs w:val="22"/>
        </w:rPr>
      </w:pPr>
    </w:p>
    <w:p w:rsidR="008B1643" w:rsidRPr="004A4B88" w:rsidRDefault="008B1643" w:rsidP="00CC299F">
      <w:pPr>
        <w:pStyle w:val="ListParagraph"/>
        <w:numPr>
          <w:ilvl w:val="1"/>
          <w:numId w:val="25"/>
        </w:numPr>
        <w:jc w:val="both"/>
        <w:rPr>
          <w:szCs w:val="22"/>
        </w:rPr>
      </w:pPr>
      <w:r w:rsidRPr="004A4B88">
        <w:rPr>
          <w:rFonts w:ascii="Arial" w:hAnsi="Arial" w:cs="Arial"/>
          <w:sz w:val="22"/>
          <w:szCs w:val="22"/>
        </w:rPr>
        <w:t>This drug has not been considered by PBAC previously</w:t>
      </w:r>
      <w:r w:rsidRPr="004A4B88">
        <w:rPr>
          <w:szCs w:val="22"/>
        </w:rPr>
        <w:t xml:space="preserve">. </w:t>
      </w:r>
    </w:p>
    <w:p w:rsidR="008B1643" w:rsidRPr="004A4B88" w:rsidRDefault="008B1643" w:rsidP="00882085">
      <w:pPr>
        <w:jc w:val="both"/>
        <w:rPr>
          <w:rFonts w:ascii="Arial" w:hAnsi="Arial"/>
          <w:b/>
          <w:sz w:val="22"/>
          <w:szCs w:val="22"/>
        </w:rPr>
      </w:pPr>
    </w:p>
    <w:p w:rsidR="008B1643" w:rsidRPr="004A4B88" w:rsidRDefault="008B1643" w:rsidP="00882085">
      <w:pPr>
        <w:pStyle w:val="ListParagraph"/>
        <w:numPr>
          <w:ilvl w:val="0"/>
          <w:numId w:val="25"/>
        </w:numPr>
        <w:jc w:val="both"/>
        <w:rPr>
          <w:rFonts w:ascii="Arial" w:hAnsi="Arial"/>
          <w:b/>
          <w:sz w:val="22"/>
          <w:szCs w:val="22"/>
        </w:rPr>
      </w:pPr>
      <w:r w:rsidRPr="004A4B88">
        <w:rPr>
          <w:rFonts w:ascii="Arial" w:hAnsi="Arial"/>
          <w:b/>
          <w:sz w:val="22"/>
          <w:szCs w:val="22"/>
        </w:rPr>
        <w:t>Clinical place for the proposed therapy</w:t>
      </w:r>
    </w:p>
    <w:p w:rsidR="008B1643" w:rsidRPr="004A4B88" w:rsidRDefault="008B1643" w:rsidP="00C36EA8">
      <w:pPr>
        <w:jc w:val="both"/>
        <w:rPr>
          <w:rFonts w:ascii="Arial" w:hAnsi="Arial"/>
          <w:sz w:val="22"/>
          <w:szCs w:val="22"/>
        </w:rPr>
      </w:pPr>
    </w:p>
    <w:p w:rsidR="008B1643" w:rsidRPr="004A4B88" w:rsidRDefault="008B1643" w:rsidP="006F3FFA">
      <w:pPr>
        <w:pStyle w:val="ListParagraph"/>
        <w:numPr>
          <w:ilvl w:val="1"/>
          <w:numId w:val="25"/>
        </w:numPr>
        <w:jc w:val="both"/>
        <w:rPr>
          <w:rFonts w:ascii="Arial" w:hAnsi="Arial"/>
          <w:sz w:val="22"/>
          <w:szCs w:val="22"/>
        </w:rPr>
      </w:pPr>
      <w:proofErr w:type="spellStart"/>
      <w:r w:rsidRPr="004A4B88">
        <w:rPr>
          <w:rFonts w:ascii="Arial" w:hAnsi="Arial"/>
          <w:sz w:val="22"/>
          <w:szCs w:val="22"/>
        </w:rPr>
        <w:t>Regorafenib</w:t>
      </w:r>
      <w:proofErr w:type="spellEnd"/>
      <w:r w:rsidRPr="004A4B88">
        <w:rPr>
          <w:rFonts w:ascii="Arial" w:hAnsi="Arial"/>
          <w:sz w:val="22"/>
          <w:szCs w:val="22"/>
        </w:rPr>
        <w:t xml:space="preserve"> is an oral tumour deactivation agent that blocks multiple protein kinases, including those involved in angiogenesis, </w:t>
      </w:r>
      <w:proofErr w:type="spellStart"/>
      <w:r w:rsidRPr="004A4B88">
        <w:rPr>
          <w:rFonts w:ascii="Arial" w:hAnsi="Arial"/>
          <w:sz w:val="22"/>
          <w:szCs w:val="22"/>
        </w:rPr>
        <w:t>oncogenesis</w:t>
      </w:r>
      <w:proofErr w:type="spellEnd"/>
      <w:r w:rsidRPr="004A4B88">
        <w:rPr>
          <w:rFonts w:ascii="Arial" w:hAnsi="Arial"/>
          <w:sz w:val="22"/>
          <w:szCs w:val="22"/>
        </w:rPr>
        <w:t xml:space="preserve"> and the tumour microenvironment. The current treatment algorithm is dependent on </w:t>
      </w:r>
      <w:r w:rsidRPr="004A4B88">
        <w:rPr>
          <w:rFonts w:ascii="Arial" w:hAnsi="Arial"/>
          <w:i/>
          <w:sz w:val="22"/>
          <w:szCs w:val="22"/>
        </w:rPr>
        <w:t>KRAS</w:t>
      </w:r>
      <w:r w:rsidRPr="004A4B88">
        <w:rPr>
          <w:rFonts w:ascii="Arial" w:hAnsi="Arial"/>
          <w:sz w:val="22"/>
          <w:szCs w:val="22"/>
        </w:rPr>
        <w:t xml:space="preserve"> status. </w:t>
      </w:r>
      <w:proofErr w:type="spellStart"/>
      <w:r w:rsidRPr="004A4B88">
        <w:rPr>
          <w:rFonts w:ascii="Arial" w:hAnsi="Arial"/>
          <w:sz w:val="22"/>
          <w:szCs w:val="22"/>
        </w:rPr>
        <w:t>Regorafenib</w:t>
      </w:r>
      <w:proofErr w:type="spellEnd"/>
      <w:r w:rsidRPr="004A4B88">
        <w:rPr>
          <w:rFonts w:ascii="Arial" w:hAnsi="Arial"/>
          <w:sz w:val="22"/>
          <w:szCs w:val="22"/>
        </w:rPr>
        <w:t xml:space="preserve"> is proposed for use after failure of </w:t>
      </w:r>
      <w:proofErr w:type="spellStart"/>
      <w:r w:rsidRPr="004A4B88">
        <w:rPr>
          <w:rFonts w:ascii="Arial" w:hAnsi="Arial"/>
          <w:sz w:val="22"/>
          <w:szCs w:val="22"/>
        </w:rPr>
        <w:t>oxaliplatin</w:t>
      </w:r>
      <w:proofErr w:type="spellEnd"/>
      <w:r w:rsidRPr="004A4B88">
        <w:rPr>
          <w:rFonts w:ascii="Arial" w:hAnsi="Arial"/>
          <w:sz w:val="22"/>
          <w:szCs w:val="22"/>
        </w:rPr>
        <w:t xml:space="preserve"> or </w:t>
      </w:r>
      <w:proofErr w:type="spellStart"/>
      <w:r w:rsidRPr="004A4B88">
        <w:rPr>
          <w:rFonts w:ascii="Arial" w:hAnsi="Arial"/>
          <w:sz w:val="22"/>
          <w:szCs w:val="22"/>
        </w:rPr>
        <w:t>irinotecan</w:t>
      </w:r>
      <w:proofErr w:type="spellEnd"/>
      <w:r w:rsidRPr="004A4B88">
        <w:rPr>
          <w:rFonts w:ascii="Arial" w:hAnsi="Arial"/>
          <w:sz w:val="22"/>
          <w:szCs w:val="22"/>
        </w:rPr>
        <w:t xml:space="preserve"> based regimens and after failure of treatment with </w:t>
      </w:r>
      <w:proofErr w:type="spellStart"/>
      <w:r w:rsidRPr="004A4B88">
        <w:rPr>
          <w:rFonts w:ascii="Arial" w:hAnsi="Arial"/>
          <w:sz w:val="22"/>
          <w:szCs w:val="22"/>
        </w:rPr>
        <w:t>bevacizumab</w:t>
      </w:r>
      <w:proofErr w:type="spellEnd"/>
      <w:r w:rsidRPr="004A4B88">
        <w:rPr>
          <w:rFonts w:ascii="Arial" w:hAnsi="Arial"/>
          <w:sz w:val="22"/>
          <w:szCs w:val="22"/>
        </w:rPr>
        <w:t xml:space="preserve"> or </w:t>
      </w:r>
      <w:proofErr w:type="spellStart"/>
      <w:r w:rsidRPr="004A4B88">
        <w:rPr>
          <w:rFonts w:ascii="Arial" w:hAnsi="Arial"/>
          <w:sz w:val="22"/>
          <w:szCs w:val="22"/>
        </w:rPr>
        <w:t>cetuximab</w:t>
      </w:r>
      <w:proofErr w:type="spellEnd"/>
      <w:r w:rsidRPr="004A4B88">
        <w:rPr>
          <w:rFonts w:ascii="Arial" w:hAnsi="Arial"/>
          <w:sz w:val="22"/>
          <w:szCs w:val="22"/>
        </w:rPr>
        <w:t xml:space="preserve"> (if </w:t>
      </w:r>
      <w:r w:rsidRPr="004A4B88">
        <w:rPr>
          <w:rFonts w:ascii="Arial" w:hAnsi="Arial"/>
          <w:i/>
          <w:sz w:val="22"/>
          <w:szCs w:val="22"/>
        </w:rPr>
        <w:t>KRAS</w:t>
      </w:r>
      <w:r w:rsidR="00103B61" w:rsidRPr="004A4B88">
        <w:rPr>
          <w:rFonts w:ascii="Arial" w:hAnsi="Arial"/>
          <w:sz w:val="22"/>
          <w:szCs w:val="22"/>
        </w:rPr>
        <w:t xml:space="preserve"> WT</w:t>
      </w:r>
      <w:r w:rsidRPr="004A4B88">
        <w:rPr>
          <w:rFonts w:ascii="Arial" w:hAnsi="Arial"/>
          <w:sz w:val="22"/>
          <w:szCs w:val="22"/>
        </w:rPr>
        <w:t>).</w:t>
      </w:r>
    </w:p>
    <w:p w:rsidR="008B1643" w:rsidRPr="004A4B88" w:rsidRDefault="008B1643" w:rsidP="00882085">
      <w:pPr>
        <w:pStyle w:val="Header"/>
        <w:tabs>
          <w:tab w:val="clear" w:pos="4153"/>
          <w:tab w:val="clear" w:pos="8306"/>
        </w:tabs>
        <w:jc w:val="both"/>
        <w:rPr>
          <w:rFonts w:ascii="Arial" w:hAnsi="Arial"/>
          <w:sz w:val="22"/>
          <w:szCs w:val="22"/>
        </w:rPr>
      </w:pPr>
    </w:p>
    <w:p w:rsidR="008B1643" w:rsidRPr="004A4B88" w:rsidRDefault="008B1643" w:rsidP="00BB7EC3">
      <w:pPr>
        <w:pStyle w:val="ListParagraph"/>
        <w:ind w:left="709"/>
        <w:jc w:val="both"/>
        <w:rPr>
          <w:rFonts w:ascii="Arial" w:hAnsi="Arial"/>
          <w:i/>
          <w:sz w:val="22"/>
          <w:szCs w:val="22"/>
        </w:rPr>
      </w:pPr>
      <w:r w:rsidRPr="004A4B88">
        <w:rPr>
          <w:rFonts w:ascii="Arial" w:hAnsi="Arial"/>
          <w:i/>
          <w:sz w:val="22"/>
          <w:szCs w:val="22"/>
        </w:rPr>
        <w:t>For more detail on PBAC’s view, see section 7 “PBAC outcome”</w:t>
      </w:r>
    </w:p>
    <w:p w:rsidR="008B1643" w:rsidRPr="004A4B88" w:rsidRDefault="008B1643" w:rsidP="00882085">
      <w:pPr>
        <w:pStyle w:val="Header"/>
        <w:tabs>
          <w:tab w:val="clear" w:pos="4153"/>
          <w:tab w:val="clear" w:pos="8306"/>
        </w:tabs>
        <w:jc w:val="both"/>
        <w:rPr>
          <w:rFonts w:ascii="Arial" w:hAnsi="Arial"/>
          <w:sz w:val="22"/>
          <w:szCs w:val="22"/>
        </w:rPr>
      </w:pPr>
    </w:p>
    <w:p w:rsidR="008B1643" w:rsidRPr="004A4B88" w:rsidRDefault="008B1643" w:rsidP="00882085">
      <w:pPr>
        <w:pStyle w:val="Header"/>
        <w:numPr>
          <w:ilvl w:val="0"/>
          <w:numId w:val="25"/>
        </w:numPr>
        <w:tabs>
          <w:tab w:val="clear" w:pos="4153"/>
          <w:tab w:val="clear" w:pos="8306"/>
        </w:tabs>
        <w:jc w:val="both"/>
        <w:rPr>
          <w:rFonts w:ascii="Arial" w:hAnsi="Arial"/>
          <w:b/>
          <w:sz w:val="22"/>
          <w:szCs w:val="22"/>
        </w:rPr>
      </w:pPr>
      <w:r w:rsidRPr="004A4B88">
        <w:rPr>
          <w:rFonts w:ascii="Arial" w:hAnsi="Arial"/>
          <w:b/>
          <w:sz w:val="22"/>
          <w:szCs w:val="22"/>
        </w:rPr>
        <w:t>Comparator</w:t>
      </w:r>
    </w:p>
    <w:p w:rsidR="008B1643" w:rsidRPr="004A4B88" w:rsidRDefault="008B1643" w:rsidP="00882085">
      <w:pPr>
        <w:pStyle w:val="Header"/>
        <w:tabs>
          <w:tab w:val="clear" w:pos="4153"/>
          <w:tab w:val="clear" w:pos="8306"/>
        </w:tabs>
        <w:jc w:val="both"/>
        <w:rPr>
          <w:rFonts w:ascii="Arial" w:hAnsi="Arial"/>
          <w:b/>
          <w:sz w:val="22"/>
          <w:szCs w:val="22"/>
        </w:rPr>
      </w:pPr>
    </w:p>
    <w:p w:rsidR="008B1643" w:rsidRPr="004A4B88" w:rsidRDefault="008B1643" w:rsidP="00437CEA">
      <w:pPr>
        <w:pStyle w:val="ListParagraph"/>
        <w:numPr>
          <w:ilvl w:val="1"/>
          <w:numId w:val="25"/>
        </w:numPr>
        <w:jc w:val="both"/>
        <w:rPr>
          <w:rFonts w:ascii="Arial" w:hAnsi="Arial"/>
          <w:sz w:val="22"/>
          <w:szCs w:val="22"/>
        </w:rPr>
      </w:pPr>
      <w:r w:rsidRPr="004A4B88">
        <w:rPr>
          <w:rFonts w:ascii="Arial" w:hAnsi="Arial"/>
          <w:sz w:val="22"/>
          <w:szCs w:val="22"/>
        </w:rPr>
        <w:t xml:space="preserve">The submission nominates best supportive care (BSC) as the main comparator. </w:t>
      </w:r>
    </w:p>
    <w:p w:rsidR="008B1643" w:rsidRPr="004A4B88" w:rsidRDefault="008B1643" w:rsidP="00437CEA">
      <w:pPr>
        <w:pStyle w:val="ListParagraph"/>
        <w:jc w:val="both"/>
        <w:rPr>
          <w:rFonts w:ascii="Arial" w:hAnsi="Arial"/>
          <w:sz w:val="22"/>
          <w:szCs w:val="22"/>
        </w:rPr>
      </w:pPr>
    </w:p>
    <w:p w:rsidR="008B1643" w:rsidRPr="004A4B88" w:rsidRDefault="008B1643" w:rsidP="00BB7EC3">
      <w:pPr>
        <w:pStyle w:val="ListParagraph"/>
        <w:ind w:left="709"/>
        <w:jc w:val="both"/>
        <w:rPr>
          <w:rFonts w:ascii="Arial" w:hAnsi="Arial"/>
          <w:i/>
          <w:sz w:val="22"/>
          <w:szCs w:val="22"/>
        </w:rPr>
      </w:pPr>
      <w:r w:rsidRPr="004A4B88">
        <w:rPr>
          <w:rFonts w:ascii="Arial" w:hAnsi="Arial"/>
          <w:i/>
          <w:sz w:val="22"/>
          <w:szCs w:val="22"/>
        </w:rPr>
        <w:t>For more detail on PBAC’s view, see section 7 “PBAC outcome”</w:t>
      </w:r>
    </w:p>
    <w:p w:rsidR="008B1643" w:rsidRPr="004A4B88" w:rsidRDefault="008B1643" w:rsidP="008D447E">
      <w:pPr>
        <w:pStyle w:val="ListParagraph"/>
        <w:jc w:val="both"/>
        <w:rPr>
          <w:rFonts w:ascii="Arial" w:hAnsi="Arial"/>
          <w:sz w:val="22"/>
          <w:szCs w:val="22"/>
        </w:rPr>
      </w:pPr>
      <w:r w:rsidRPr="004A4B88">
        <w:rPr>
          <w:rFonts w:ascii="Arial" w:hAnsi="Arial"/>
          <w:sz w:val="22"/>
          <w:szCs w:val="22"/>
        </w:rPr>
        <w:tab/>
      </w:r>
    </w:p>
    <w:p w:rsidR="008B1643" w:rsidRPr="004A4B88" w:rsidRDefault="008B1643" w:rsidP="00300C63">
      <w:pPr>
        <w:pStyle w:val="Header"/>
        <w:numPr>
          <w:ilvl w:val="0"/>
          <w:numId w:val="25"/>
        </w:numPr>
        <w:tabs>
          <w:tab w:val="clear" w:pos="4153"/>
          <w:tab w:val="clear" w:pos="8306"/>
        </w:tabs>
        <w:jc w:val="both"/>
        <w:rPr>
          <w:rFonts w:ascii="Arial" w:hAnsi="Arial"/>
          <w:b/>
          <w:sz w:val="22"/>
          <w:szCs w:val="22"/>
        </w:rPr>
      </w:pPr>
      <w:r w:rsidRPr="004A4B88">
        <w:rPr>
          <w:rFonts w:ascii="Arial" w:hAnsi="Arial"/>
          <w:b/>
          <w:sz w:val="22"/>
          <w:szCs w:val="22"/>
        </w:rPr>
        <w:t>Consideration of the evidence</w:t>
      </w:r>
    </w:p>
    <w:p w:rsidR="008B1643" w:rsidRPr="004A4B88" w:rsidRDefault="008B1643" w:rsidP="00882085">
      <w:pPr>
        <w:jc w:val="both"/>
        <w:rPr>
          <w:rFonts w:ascii="Arial" w:hAnsi="Arial"/>
          <w:b/>
          <w:sz w:val="22"/>
          <w:szCs w:val="22"/>
        </w:rPr>
      </w:pPr>
    </w:p>
    <w:p w:rsidR="008B1643" w:rsidRPr="004A4B88" w:rsidRDefault="008B1643" w:rsidP="00BB7EC3">
      <w:pPr>
        <w:jc w:val="both"/>
        <w:rPr>
          <w:rFonts w:ascii="Arial" w:hAnsi="Arial"/>
          <w:b/>
          <w:i/>
          <w:sz w:val="22"/>
          <w:szCs w:val="22"/>
        </w:rPr>
      </w:pPr>
      <w:r w:rsidRPr="004A4B88">
        <w:rPr>
          <w:rFonts w:ascii="Arial" w:hAnsi="Arial"/>
          <w:b/>
          <w:i/>
          <w:sz w:val="22"/>
          <w:szCs w:val="22"/>
        </w:rPr>
        <w:t>Sponsor hearing</w:t>
      </w:r>
    </w:p>
    <w:p w:rsidR="008B1643" w:rsidRPr="004A4B88" w:rsidRDefault="008B1643" w:rsidP="00186307">
      <w:pPr>
        <w:jc w:val="both"/>
        <w:rPr>
          <w:rFonts w:ascii="Arial" w:hAnsi="Arial"/>
          <w:sz w:val="22"/>
          <w:szCs w:val="22"/>
        </w:rPr>
      </w:pPr>
    </w:p>
    <w:p w:rsidR="008B1643" w:rsidRPr="004A4B88" w:rsidRDefault="008B1643" w:rsidP="007D42BF">
      <w:pPr>
        <w:pStyle w:val="ListParagraph"/>
        <w:numPr>
          <w:ilvl w:val="1"/>
          <w:numId w:val="25"/>
        </w:numPr>
        <w:jc w:val="both"/>
        <w:rPr>
          <w:rFonts w:ascii="Arial" w:hAnsi="Arial"/>
          <w:sz w:val="22"/>
          <w:szCs w:val="22"/>
        </w:rPr>
      </w:pPr>
      <w:r w:rsidRPr="004A4B88">
        <w:rPr>
          <w:rFonts w:ascii="Arial" w:hAnsi="Arial"/>
          <w:sz w:val="22"/>
          <w:szCs w:val="22"/>
        </w:rPr>
        <w:t>There was no hearing for this item.</w:t>
      </w:r>
    </w:p>
    <w:p w:rsidR="008B1643" w:rsidRPr="004A4B88" w:rsidRDefault="008B1643" w:rsidP="00BB7EC3">
      <w:pPr>
        <w:pStyle w:val="ListParagraph"/>
        <w:ind w:left="709"/>
        <w:jc w:val="both"/>
        <w:rPr>
          <w:rFonts w:ascii="Arial" w:hAnsi="Arial"/>
          <w:sz w:val="22"/>
          <w:szCs w:val="22"/>
        </w:rPr>
      </w:pPr>
    </w:p>
    <w:p w:rsidR="008B1643" w:rsidRPr="004A4B88" w:rsidRDefault="008B1643" w:rsidP="00BB7EC3">
      <w:pPr>
        <w:jc w:val="both"/>
        <w:rPr>
          <w:rFonts w:ascii="Arial" w:hAnsi="Arial"/>
          <w:b/>
          <w:i/>
          <w:sz w:val="22"/>
          <w:szCs w:val="22"/>
        </w:rPr>
      </w:pPr>
      <w:r w:rsidRPr="004A4B88">
        <w:rPr>
          <w:rFonts w:ascii="Arial" w:hAnsi="Arial"/>
          <w:b/>
          <w:i/>
          <w:sz w:val="22"/>
          <w:szCs w:val="22"/>
        </w:rPr>
        <w:t>Consumer comments</w:t>
      </w:r>
    </w:p>
    <w:p w:rsidR="008B1643" w:rsidRPr="004A4B88" w:rsidRDefault="008B1643" w:rsidP="00BB7EC3">
      <w:pPr>
        <w:pStyle w:val="ListParagraph"/>
        <w:ind w:left="709"/>
        <w:jc w:val="both"/>
        <w:rPr>
          <w:rFonts w:ascii="Arial" w:hAnsi="Arial"/>
          <w:sz w:val="22"/>
          <w:szCs w:val="22"/>
        </w:rPr>
      </w:pPr>
    </w:p>
    <w:p w:rsidR="008B1643" w:rsidRPr="004A4B88" w:rsidRDefault="008B1643" w:rsidP="007D42BF">
      <w:pPr>
        <w:pStyle w:val="ListParagraph"/>
        <w:numPr>
          <w:ilvl w:val="1"/>
          <w:numId w:val="25"/>
        </w:numPr>
        <w:jc w:val="both"/>
        <w:rPr>
          <w:rFonts w:ascii="Arial" w:hAnsi="Arial"/>
          <w:sz w:val="22"/>
          <w:szCs w:val="22"/>
        </w:rPr>
      </w:pPr>
      <w:r w:rsidRPr="004A4B88">
        <w:rPr>
          <w:rFonts w:ascii="Arial" w:hAnsi="Arial"/>
          <w:sz w:val="22"/>
          <w:szCs w:val="22"/>
        </w:rPr>
        <w:t xml:space="preserve">The PBAC noted and welcomed the input from individuals (1) and organisations (1) via the Consumer Comments facility on the PBS website.  The comments described benefits of treatment with </w:t>
      </w:r>
      <w:proofErr w:type="spellStart"/>
      <w:r w:rsidRPr="004A4B88">
        <w:rPr>
          <w:rFonts w:ascii="Arial" w:hAnsi="Arial"/>
          <w:sz w:val="22"/>
          <w:szCs w:val="22"/>
        </w:rPr>
        <w:t>regorafenib</w:t>
      </w:r>
      <w:proofErr w:type="spellEnd"/>
      <w:r w:rsidRPr="004A4B88">
        <w:rPr>
          <w:rFonts w:ascii="Arial" w:hAnsi="Arial"/>
          <w:sz w:val="22"/>
          <w:szCs w:val="22"/>
        </w:rPr>
        <w:t xml:space="preserve"> including a clinical need for new treatment options and equitable access to such cancer treatments. </w:t>
      </w:r>
    </w:p>
    <w:p w:rsidR="008B1643" w:rsidRPr="004A4B88" w:rsidRDefault="008B1643" w:rsidP="00882085">
      <w:pPr>
        <w:jc w:val="both"/>
        <w:rPr>
          <w:rFonts w:ascii="Arial" w:hAnsi="Arial"/>
          <w:b/>
          <w:sz w:val="22"/>
          <w:szCs w:val="22"/>
        </w:rPr>
      </w:pPr>
    </w:p>
    <w:p w:rsidR="008B1643" w:rsidRPr="004A4B88" w:rsidRDefault="008B1643" w:rsidP="00BB7EC3">
      <w:pPr>
        <w:pStyle w:val="ListParagraph"/>
        <w:ind w:left="709"/>
        <w:jc w:val="both"/>
        <w:rPr>
          <w:rFonts w:ascii="Arial" w:hAnsi="Arial"/>
          <w:i/>
          <w:sz w:val="22"/>
          <w:szCs w:val="22"/>
        </w:rPr>
      </w:pPr>
      <w:r w:rsidRPr="004A4B88">
        <w:rPr>
          <w:rFonts w:ascii="Arial" w:hAnsi="Arial"/>
          <w:i/>
          <w:sz w:val="22"/>
          <w:szCs w:val="22"/>
        </w:rPr>
        <w:t>For more detail on PBAC’s view, see section 7 “PBAC outcome”</w:t>
      </w:r>
    </w:p>
    <w:p w:rsidR="008B1643" w:rsidRPr="004A4B88" w:rsidRDefault="008B1643" w:rsidP="00BB7EC3">
      <w:pPr>
        <w:ind w:left="709"/>
        <w:jc w:val="both"/>
        <w:rPr>
          <w:rFonts w:ascii="Arial" w:hAnsi="Arial"/>
          <w:b/>
          <w:sz w:val="22"/>
          <w:szCs w:val="22"/>
        </w:rPr>
      </w:pPr>
    </w:p>
    <w:p w:rsidR="008B1643" w:rsidRPr="004A4B88" w:rsidRDefault="008B1643" w:rsidP="00882085">
      <w:pPr>
        <w:jc w:val="both"/>
        <w:rPr>
          <w:rFonts w:ascii="Arial" w:hAnsi="Arial"/>
          <w:b/>
          <w:i/>
          <w:sz w:val="22"/>
          <w:szCs w:val="22"/>
        </w:rPr>
      </w:pPr>
      <w:r w:rsidRPr="004A4B88">
        <w:rPr>
          <w:rFonts w:ascii="Arial" w:hAnsi="Arial"/>
          <w:b/>
          <w:i/>
          <w:sz w:val="22"/>
          <w:szCs w:val="22"/>
        </w:rPr>
        <w:t>Clinical trials</w:t>
      </w:r>
    </w:p>
    <w:p w:rsidR="008B1643" w:rsidRPr="004A4B88" w:rsidRDefault="008B1643" w:rsidP="005B6275">
      <w:pPr>
        <w:jc w:val="both"/>
        <w:rPr>
          <w:rFonts w:ascii="Arial" w:hAnsi="Arial"/>
          <w:sz w:val="22"/>
          <w:szCs w:val="22"/>
        </w:rPr>
      </w:pPr>
    </w:p>
    <w:p w:rsidR="008B1643" w:rsidRPr="004A4B88" w:rsidRDefault="008B1643" w:rsidP="005B6275">
      <w:pPr>
        <w:pStyle w:val="ListParagraph"/>
        <w:numPr>
          <w:ilvl w:val="1"/>
          <w:numId w:val="25"/>
        </w:numPr>
        <w:jc w:val="both"/>
        <w:rPr>
          <w:rFonts w:ascii="Arial" w:hAnsi="Arial"/>
          <w:sz w:val="22"/>
          <w:szCs w:val="22"/>
        </w:rPr>
      </w:pPr>
      <w:r w:rsidRPr="004A4B88">
        <w:rPr>
          <w:rFonts w:ascii="Arial" w:hAnsi="Arial"/>
          <w:sz w:val="22"/>
          <w:szCs w:val="22"/>
        </w:rPr>
        <w:t xml:space="preserve">The submission is based on one double-blind randomised trial, the CORRECT trial, comparing </w:t>
      </w:r>
      <w:proofErr w:type="spellStart"/>
      <w:r w:rsidRPr="004A4B88">
        <w:rPr>
          <w:rFonts w:ascii="Arial" w:hAnsi="Arial"/>
          <w:sz w:val="22"/>
          <w:szCs w:val="22"/>
        </w:rPr>
        <w:t>regorafenib</w:t>
      </w:r>
      <w:proofErr w:type="spellEnd"/>
      <w:r w:rsidRPr="004A4B88">
        <w:rPr>
          <w:rFonts w:ascii="Arial" w:hAnsi="Arial"/>
          <w:sz w:val="22"/>
          <w:szCs w:val="22"/>
        </w:rPr>
        <w:t xml:space="preserve"> plus BSC to placebo plus BSC, shown below.</w:t>
      </w:r>
    </w:p>
    <w:p w:rsidR="008B1643" w:rsidRPr="004A4B88" w:rsidRDefault="008B1643" w:rsidP="00CB3625">
      <w:pPr>
        <w:pStyle w:val="ListParagraph"/>
        <w:jc w:val="both"/>
        <w:rPr>
          <w:rFonts w:ascii="Arial" w:hAnsi="Arial"/>
          <w:sz w:val="22"/>
          <w:szCs w:val="22"/>
        </w:rPr>
      </w:pPr>
    </w:p>
    <w:p w:rsidR="008B1643" w:rsidRPr="004A4B88" w:rsidRDefault="008B1643" w:rsidP="00E82913">
      <w:pPr>
        <w:ind w:firstLine="720"/>
        <w:rPr>
          <w:rFonts w:ascii="Arial Narrow" w:hAnsi="Arial Narrow" w:cs="Arial"/>
          <w:b/>
          <w:snapToGrid w:val="0"/>
          <w:sz w:val="20"/>
          <w:szCs w:val="16"/>
          <w:lang w:eastAsia="en-US"/>
        </w:rPr>
      </w:pPr>
      <w:r w:rsidRPr="004A4B88">
        <w:rPr>
          <w:rFonts w:ascii="Arial Narrow" w:hAnsi="Arial Narrow" w:cs="Arial"/>
          <w:b/>
          <w:snapToGrid w:val="0"/>
          <w:sz w:val="20"/>
          <w:szCs w:val="16"/>
          <w:lang w:eastAsia="en-US"/>
        </w:rPr>
        <w:t>Trials and associated reports presented in the submission</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rials and associated reports presented in the submission"/>
      </w:tblPr>
      <w:tblGrid>
        <w:gridCol w:w="1649"/>
        <w:gridCol w:w="4446"/>
        <w:gridCol w:w="2268"/>
      </w:tblGrid>
      <w:tr w:rsidR="008B1643" w:rsidRPr="004A4B88" w:rsidTr="007D42BF">
        <w:tc>
          <w:tcPr>
            <w:tcW w:w="1649" w:type="dxa"/>
          </w:tcPr>
          <w:p w:rsidR="008B1643" w:rsidRPr="004A4B88" w:rsidRDefault="008B1643" w:rsidP="007C6B41">
            <w:pPr>
              <w:widowControl w:val="0"/>
              <w:jc w:val="both"/>
              <w:rPr>
                <w:rFonts w:ascii="Arial Narrow" w:hAnsi="Arial Narrow" w:cs="Arial"/>
                <w:b/>
                <w:snapToGrid w:val="0"/>
                <w:sz w:val="20"/>
                <w:szCs w:val="20"/>
                <w:lang w:eastAsia="en-US"/>
              </w:rPr>
            </w:pPr>
            <w:r w:rsidRPr="004A4B88">
              <w:rPr>
                <w:rFonts w:ascii="Arial Narrow" w:hAnsi="Arial Narrow" w:cs="Arial"/>
                <w:b/>
                <w:snapToGrid w:val="0"/>
                <w:sz w:val="20"/>
                <w:szCs w:val="20"/>
                <w:lang w:eastAsia="en-US"/>
              </w:rPr>
              <w:t>Trial ID</w:t>
            </w:r>
          </w:p>
        </w:tc>
        <w:tc>
          <w:tcPr>
            <w:tcW w:w="4446" w:type="dxa"/>
          </w:tcPr>
          <w:p w:rsidR="008B1643" w:rsidRPr="004A4B88" w:rsidRDefault="008B1643" w:rsidP="007C6B41">
            <w:pPr>
              <w:widowControl w:val="0"/>
              <w:jc w:val="center"/>
              <w:rPr>
                <w:rFonts w:ascii="Arial Narrow" w:hAnsi="Arial Narrow" w:cs="Arial"/>
                <w:b/>
                <w:snapToGrid w:val="0"/>
                <w:sz w:val="20"/>
                <w:szCs w:val="20"/>
                <w:lang w:eastAsia="en-US"/>
              </w:rPr>
            </w:pPr>
            <w:r w:rsidRPr="004A4B88">
              <w:rPr>
                <w:rFonts w:ascii="Arial Narrow" w:hAnsi="Arial Narrow" w:cs="Arial"/>
                <w:b/>
                <w:snapToGrid w:val="0"/>
                <w:sz w:val="20"/>
                <w:szCs w:val="20"/>
                <w:lang w:eastAsia="en-US"/>
              </w:rPr>
              <w:t>Protocol title/ Publication title</w:t>
            </w:r>
          </w:p>
        </w:tc>
        <w:tc>
          <w:tcPr>
            <w:tcW w:w="2268" w:type="dxa"/>
          </w:tcPr>
          <w:p w:rsidR="008B1643" w:rsidRPr="004A4B88" w:rsidRDefault="008B1643" w:rsidP="007C6B41">
            <w:pPr>
              <w:widowControl w:val="0"/>
              <w:jc w:val="center"/>
              <w:rPr>
                <w:rFonts w:ascii="Arial Narrow" w:hAnsi="Arial Narrow" w:cs="Arial"/>
                <w:b/>
                <w:snapToGrid w:val="0"/>
                <w:sz w:val="20"/>
                <w:szCs w:val="20"/>
                <w:lang w:eastAsia="en-US"/>
              </w:rPr>
            </w:pPr>
            <w:r w:rsidRPr="004A4B88">
              <w:rPr>
                <w:rFonts w:ascii="Arial Narrow" w:hAnsi="Arial Narrow" w:cs="Arial"/>
                <w:b/>
                <w:snapToGrid w:val="0"/>
                <w:sz w:val="20"/>
                <w:szCs w:val="20"/>
                <w:lang w:eastAsia="en-US"/>
              </w:rPr>
              <w:t>Publication citation</w:t>
            </w:r>
          </w:p>
        </w:tc>
      </w:tr>
      <w:tr w:rsidR="008B1643" w:rsidRPr="004A4B88" w:rsidTr="00E82913">
        <w:tc>
          <w:tcPr>
            <w:tcW w:w="8363" w:type="dxa"/>
            <w:gridSpan w:val="3"/>
          </w:tcPr>
          <w:p w:rsidR="008B1643" w:rsidRPr="004A4B88" w:rsidRDefault="008B1643" w:rsidP="007C6B41">
            <w:pPr>
              <w:widowControl w:val="0"/>
              <w:jc w:val="both"/>
              <w:rPr>
                <w:rFonts w:ascii="Arial Narrow" w:hAnsi="Arial Narrow" w:cs="Arial"/>
                <w:b/>
                <w:snapToGrid w:val="0"/>
                <w:sz w:val="20"/>
                <w:szCs w:val="20"/>
                <w:lang w:eastAsia="en-US"/>
              </w:rPr>
            </w:pPr>
            <w:r w:rsidRPr="004A4B88">
              <w:rPr>
                <w:rFonts w:ascii="Arial Narrow" w:hAnsi="Arial Narrow" w:cs="Arial"/>
                <w:b/>
                <w:snapToGrid w:val="0"/>
                <w:sz w:val="20"/>
                <w:szCs w:val="20"/>
                <w:lang w:eastAsia="en-US"/>
              </w:rPr>
              <w:t>Direct randomised trials</w:t>
            </w:r>
          </w:p>
        </w:tc>
      </w:tr>
      <w:tr w:rsidR="008B1643" w:rsidRPr="004A4B88" w:rsidTr="007D42BF">
        <w:tc>
          <w:tcPr>
            <w:tcW w:w="1649" w:type="dxa"/>
          </w:tcPr>
          <w:p w:rsidR="008B1643" w:rsidRPr="004A4B88" w:rsidRDefault="008B1643" w:rsidP="007C6B41">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CORRECT</w:t>
            </w:r>
          </w:p>
          <w:p w:rsidR="008B1643" w:rsidRPr="004A4B88" w:rsidRDefault="008B1643" w:rsidP="007C6B41">
            <w:pPr>
              <w:widowControl w:val="0"/>
              <w:jc w:val="both"/>
              <w:rPr>
                <w:rFonts w:ascii="Arial Narrow" w:hAnsi="Arial Narrow" w:cs="Arial"/>
                <w:snapToGrid w:val="0"/>
                <w:sz w:val="20"/>
                <w:szCs w:val="20"/>
                <w:lang w:eastAsia="en-US"/>
              </w:rPr>
            </w:pPr>
          </w:p>
        </w:tc>
        <w:tc>
          <w:tcPr>
            <w:tcW w:w="4446" w:type="dxa"/>
          </w:tcPr>
          <w:p w:rsidR="008B1643" w:rsidRPr="004A4B88" w:rsidRDefault="008B1643" w:rsidP="007C6B41">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 xml:space="preserve">A randomized, double-blind placebo-controlled phase III study of </w:t>
            </w:r>
            <w:proofErr w:type="spellStart"/>
            <w:r w:rsidRPr="004A4B88">
              <w:rPr>
                <w:rFonts w:ascii="Arial Narrow" w:hAnsi="Arial Narrow" w:cs="Arial"/>
                <w:snapToGrid w:val="0"/>
                <w:sz w:val="20"/>
                <w:szCs w:val="20"/>
                <w:lang w:eastAsia="en-US"/>
              </w:rPr>
              <w:t>regorafenib</w:t>
            </w:r>
            <w:proofErr w:type="spellEnd"/>
            <w:r w:rsidRPr="004A4B88">
              <w:rPr>
                <w:rFonts w:ascii="Arial Narrow" w:hAnsi="Arial Narrow" w:cs="Arial"/>
                <w:snapToGrid w:val="0"/>
                <w:sz w:val="20"/>
                <w:szCs w:val="20"/>
                <w:lang w:eastAsia="en-US"/>
              </w:rPr>
              <w:t xml:space="preserve"> plus BSC versus placebo plus BSC in patients with </w:t>
            </w:r>
            <w:proofErr w:type="spellStart"/>
            <w:r w:rsidRPr="004A4B88">
              <w:rPr>
                <w:rFonts w:ascii="Arial Narrow" w:hAnsi="Arial Narrow" w:cs="Arial"/>
                <w:snapToGrid w:val="0"/>
                <w:sz w:val="20"/>
                <w:szCs w:val="20"/>
                <w:lang w:eastAsia="en-US"/>
              </w:rPr>
              <w:t>mCRC</w:t>
            </w:r>
            <w:proofErr w:type="spellEnd"/>
            <w:r w:rsidRPr="004A4B88">
              <w:rPr>
                <w:rFonts w:ascii="Arial Narrow" w:hAnsi="Arial Narrow" w:cs="Arial"/>
                <w:snapToGrid w:val="0"/>
                <w:sz w:val="20"/>
                <w:szCs w:val="20"/>
                <w:lang w:eastAsia="en-US"/>
              </w:rPr>
              <w:t xml:space="preserve"> who have progressed after standard therapy</w:t>
            </w:r>
          </w:p>
          <w:p w:rsidR="008B1643" w:rsidRPr="004A4B88" w:rsidRDefault="008B1643" w:rsidP="007C6B41">
            <w:pPr>
              <w:widowControl w:val="0"/>
              <w:jc w:val="both"/>
              <w:rPr>
                <w:rFonts w:ascii="Arial Narrow" w:hAnsi="Arial Narrow" w:cs="Arial"/>
                <w:snapToGrid w:val="0"/>
                <w:sz w:val="20"/>
                <w:szCs w:val="20"/>
                <w:lang w:eastAsia="en-US"/>
              </w:rPr>
            </w:pPr>
          </w:p>
          <w:p w:rsidR="008B1643" w:rsidRPr="004A4B88" w:rsidRDefault="008B1643" w:rsidP="007C6B41">
            <w:pPr>
              <w:widowControl w:val="0"/>
              <w:jc w:val="both"/>
              <w:rPr>
                <w:rFonts w:ascii="Arial Narrow" w:hAnsi="Arial Narrow" w:cs="Arial"/>
                <w:b/>
                <w:snapToGrid w:val="0"/>
                <w:sz w:val="20"/>
                <w:szCs w:val="20"/>
                <w:lang w:eastAsia="en-US"/>
              </w:rPr>
            </w:pPr>
            <w:r w:rsidRPr="004A4B88">
              <w:rPr>
                <w:rFonts w:ascii="Arial Narrow" w:hAnsi="Arial Narrow" w:cs="Arial"/>
                <w:snapToGrid w:val="0"/>
                <w:sz w:val="20"/>
                <w:szCs w:val="20"/>
                <w:lang w:eastAsia="en-US"/>
              </w:rPr>
              <w:t xml:space="preserve">Axel </w:t>
            </w:r>
            <w:proofErr w:type="spellStart"/>
            <w:r w:rsidRPr="004A4B88">
              <w:rPr>
                <w:rFonts w:ascii="Arial Narrow" w:hAnsi="Arial Narrow" w:cs="Arial"/>
                <w:snapToGrid w:val="0"/>
                <w:sz w:val="20"/>
                <w:szCs w:val="20"/>
                <w:lang w:eastAsia="en-US"/>
              </w:rPr>
              <w:t>Grothey</w:t>
            </w:r>
            <w:proofErr w:type="spellEnd"/>
            <w:r w:rsidRPr="004A4B88">
              <w:rPr>
                <w:rFonts w:ascii="Arial Narrow" w:hAnsi="Arial Narrow" w:cs="Arial"/>
                <w:snapToGrid w:val="0"/>
                <w:sz w:val="20"/>
                <w:szCs w:val="20"/>
                <w:lang w:eastAsia="en-US"/>
              </w:rPr>
              <w:t xml:space="preserve"> et al. </w:t>
            </w:r>
            <w:proofErr w:type="spellStart"/>
            <w:r w:rsidRPr="004A4B88">
              <w:rPr>
                <w:rFonts w:ascii="Arial Narrow" w:hAnsi="Arial Narrow" w:cs="Arial"/>
                <w:snapToGrid w:val="0"/>
                <w:sz w:val="20"/>
                <w:szCs w:val="20"/>
                <w:lang w:eastAsia="en-US"/>
              </w:rPr>
              <w:t>Regorafenib</w:t>
            </w:r>
            <w:proofErr w:type="spellEnd"/>
            <w:r w:rsidRPr="004A4B88">
              <w:rPr>
                <w:rFonts w:ascii="Arial Narrow" w:hAnsi="Arial Narrow" w:cs="Arial"/>
                <w:snapToGrid w:val="0"/>
                <w:sz w:val="20"/>
                <w:szCs w:val="20"/>
                <w:lang w:eastAsia="en-US"/>
              </w:rPr>
              <w:t xml:space="preserve"> monotherapy for previously treated metastatic colorectal cancer (CORRECT): an international, multicentre, randomised, placebo-controlled, phase 3 trial. </w:t>
            </w:r>
          </w:p>
        </w:tc>
        <w:tc>
          <w:tcPr>
            <w:tcW w:w="2268" w:type="dxa"/>
          </w:tcPr>
          <w:p w:rsidR="008B1643" w:rsidRPr="004A4B88" w:rsidRDefault="008B1643" w:rsidP="007C6B41">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19 March 2012</w:t>
            </w:r>
          </w:p>
          <w:p w:rsidR="008B1643" w:rsidRPr="004A4B88" w:rsidRDefault="008B1643" w:rsidP="007C6B41">
            <w:pPr>
              <w:widowControl w:val="0"/>
              <w:jc w:val="both"/>
              <w:rPr>
                <w:rFonts w:ascii="Arial Narrow" w:hAnsi="Arial Narrow" w:cs="Arial"/>
                <w:snapToGrid w:val="0"/>
                <w:sz w:val="20"/>
                <w:szCs w:val="20"/>
                <w:lang w:eastAsia="en-US"/>
              </w:rPr>
            </w:pPr>
          </w:p>
          <w:p w:rsidR="008B1643" w:rsidRPr="004A4B88" w:rsidRDefault="008B1643" w:rsidP="007C6B41">
            <w:pPr>
              <w:widowControl w:val="0"/>
              <w:jc w:val="both"/>
              <w:rPr>
                <w:rFonts w:ascii="Arial Narrow" w:hAnsi="Arial Narrow" w:cs="Arial"/>
                <w:snapToGrid w:val="0"/>
                <w:sz w:val="20"/>
                <w:szCs w:val="20"/>
                <w:lang w:eastAsia="en-US"/>
              </w:rPr>
            </w:pPr>
          </w:p>
          <w:p w:rsidR="008B1643" w:rsidRPr="004A4B88" w:rsidRDefault="008B1643" w:rsidP="007C6B41">
            <w:pPr>
              <w:widowControl w:val="0"/>
              <w:jc w:val="both"/>
              <w:rPr>
                <w:rFonts w:ascii="Arial Narrow" w:hAnsi="Arial Narrow" w:cs="Arial"/>
                <w:snapToGrid w:val="0"/>
                <w:sz w:val="20"/>
                <w:szCs w:val="20"/>
                <w:lang w:eastAsia="en-US"/>
              </w:rPr>
            </w:pPr>
          </w:p>
          <w:p w:rsidR="008B1643" w:rsidRPr="004A4B88" w:rsidRDefault="008B1643" w:rsidP="007C6B41">
            <w:pPr>
              <w:widowControl w:val="0"/>
              <w:jc w:val="both"/>
              <w:rPr>
                <w:rFonts w:ascii="Arial Narrow" w:hAnsi="Arial Narrow" w:cs="Arial"/>
                <w:snapToGrid w:val="0"/>
                <w:sz w:val="20"/>
                <w:szCs w:val="20"/>
                <w:lang w:eastAsia="en-US"/>
              </w:rPr>
            </w:pPr>
          </w:p>
          <w:p w:rsidR="008B1643" w:rsidRPr="004A4B88" w:rsidRDefault="008B1643" w:rsidP="007C6B41">
            <w:pPr>
              <w:widowControl w:val="0"/>
              <w:jc w:val="both"/>
              <w:rPr>
                <w:rFonts w:ascii="Arial Narrow" w:hAnsi="Arial Narrow" w:cs="Arial"/>
                <w:snapToGrid w:val="0"/>
                <w:sz w:val="20"/>
                <w:szCs w:val="20"/>
                <w:lang w:eastAsia="en-US"/>
              </w:rPr>
            </w:pPr>
          </w:p>
          <w:p w:rsidR="008B1643" w:rsidRPr="004A4B88" w:rsidRDefault="008B1643" w:rsidP="007C6B41">
            <w:pPr>
              <w:widowControl w:val="0"/>
              <w:jc w:val="both"/>
              <w:rPr>
                <w:rFonts w:ascii="Arial Narrow" w:hAnsi="Arial Narrow" w:cs="Arial"/>
                <w:snapToGrid w:val="0"/>
                <w:sz w:val="20"/>
                <w:szCs w:val="20"/>
                <w:lang w:eastAsia="en-US"/>
              </w:rPr>
            </w:pPr>
          </w:p>
          <w:p w:rsidR="008B1643" w:rsidRPr="004A4B88" w:rsidRDefault="008B1643" w:rsidP="007C6B41">
            <w:pPr>
              <w:widowControl w:val="0"/>
              <w:jc w:val="both"/>
              <w:rPr>
                <w:rFonts w:ascii="Arial Narrow" w:hAnsi="Arial Narrow" w:cs="Arial"/>
                <w:b/>
                <w:snapToGrid w:val="0"/>
                <w:sz w:val="20"/>
                <w:szCs w:val="20"/>
                <w:lang w:eastAsia="en-US"/>
              </w:rPr>
            </w:pPr>
            <w:r w:rsidRPr="004A4B88">
              <w:rPr>
                <w:rFonts w:ascii="Arial Narrow" w:hAnsi="Arial Narrow" w:cs="Arial"/>
                <w:snapToGrid w:val="0"/>
                <w:sz w:val="20"/>
                <w:szCs w:val="20"/>
                <w:lang w:eastAsia="en-US"/>
              </w:rPr>
              <w:t xml:space="preserve">The Lancet. Published online 22 November 2012 pp. 1-10. </w:t>
            </w:r>
          </w:p>
        </w:tc>
      </w:tr>
    </w:tbl>
    <w:p w:rsidR="008B1643" w:rsidRPr="004A4B88" w:rsidRDefault="008B1643" w:rsidP="00E82913">
      <w:pPr>
        <w:widowControl w:val="0"/>
        <w:ind w:firstLine="720"/>
        <w:jc w:val="both"/>
        <w:rPr>
          <w:rFonts w:ascii="Arial Narrow" w:hAnsi="Arial Narrow" w:cs="Arial"/>
          <w:snapToGrid w:val="0"/>
          <w:sz w:val="18"/>
          <w:szCs w:val="18"/>
          <w:lang w:eastAsia="en-US"/>
        </w:rPr>
      </w:pPr>
      <w:r w:rsidRPr="004A4B88">
        <w:rPr>
          <w:rFonts w:ascii="Arial Narrow" w:hAnsi="Arial Narrow" w:cs="Arial"/>
          <w:snapToGrid w:val="0"/>
          <w:sz w:val="18"/>
          <w:szCs w:val="18"/>
          <w:lang w:eastAsia="en-US"/>
        </w:rPr>
        <w:t xml:space="preserve">Source: Table B.2.3, p82 of the submission </w:t>
      </w:r>
    </w:p>
    <w:p w:rsidR="008B1643" w:rsidRPr="004A4B88" w:rsidRDefault="008B1643" w:rsidP="00437CEA">
      <w:pPr>
        <w:widowControl w:val="0"/>
        <w:jc w:val="both"/>
        <w:rPr>
          <w:rFonts w:ascii="Arial" w:hAnsi="Arial" w:cs="Arial"/>
          <w:snapToGrid w:val="0"/>
          <w:sz w:val="22"/>
          <w:szCs w:val="20"/>
          <w:lang w:eastAsia="en-US"/>
        </w:rPr>
      </w:pPr>
    </w:p>
    <w:p w:rsidR="008B1643" w:rsidRPr="004A4B88" w:rsidRDefault="008B1643" w:rsidP="00CB3625">
      <w:pPr>
        <w:pStyle w:val="ListParagraph"/>
        <w:widowControl w:val="0"/>
        <w:numPr>
          <w:ilvl w:val="1"/>
          <w:numId w:val="25"/>
        </w:numPr>
        <w:jc w:val="both"/>
        <w:rPr>
          <w:rFonts w:ascii="Arial" w:hAnsi="Arial" w:cs="Arial"/>
          <w:snapToGrid w:val="0"/>
          <w:sz w:val="22"/>
          <w:szCs w:val="20"/>
          <w:lang w:eastAsia="en-US"/>
        </w:rPr>
      </w:pPr>
      <w:r w:rsidRPr="004A4B88">
        <w:rPr>
          <w:rFonts w:ascii="Arial" w:hAnsi="Arial" w:cs="Arial"/>
          <w:snapToGrid w:val="0"/>
          <w:sz w:val="22"/>
          <w:szCs w:val="20"/>
          <w:lang w:eastAsia="en-US"/>
        </w:rPr>
        <w:lastRenderedPageBreak/>
        <w:t>The ESC noted that the trial data were mature with no cross-over in the trial and the subsequent therapy was relatively balanced between treatment arms.</w:t>
      </w:r>
    </w:p>
    <w:p w:rsidR="008B1643" w:rsidRPr="004A4B88" w:rsidRDefault="008B1643" w:rsidP="00CB3625">
      <w:pPr>
        <w:pStyle w:val="ListParagraph"/>
        <w:widowControl w:val="0"/>
        <w:jc w:val="both"/>
        <w:rPr>
          <w:rFonts w:ascii="Arial" w:hAnsi="Arial" w:cs="Arial"/>
          <w:snapToGrid w:val="0"/>
          <w:sz w:val="22"/>
          <w:szCs w:val="20"/>
          <w:lang w:eastAsia="en-US"/>
        </w:rPr>
      </w:pPr>
    </w:p>
    <w:p w:rsidR="008B1643" w:rsidRPr="004A4B88" w:rsidRDefault="008B1643" w:rsidP="00E82913">
      <w:pPr>
        <w:widowControl w:val="0"/>
        <w:ind w:firstLine="720"/>
        <w:jc w:val="both"/>
        <w:rPr>
          <w:rFonts w:ascii="Arial Narrow" w:hAnsi="Arial Narrow" w:cs="Arial"/>
          <w:b/>
          <w:snapToGrid w:val="0"/>
          <w:sz w:val="20"/>
          <w:szCs w:val="16"/>
          <w:lang w:eastAsia="en-US"/>
        </w:rPr>
      </w:pPr>
      <w:r w:rsidRPr="004A4B88">
        <w:rPr>
          <w:rFonts w:ascii="Arial Narrow" w:hAnsi="Arial Narrow" w:cs="Arial"/>
          <w:b/>
          <w:snapToGrid w:val="0"/>
          <w:sz w:val="20"/>
          <w:szCs w:val="16"/>
          <w:lang w:eastAsia="en-US"/>
        </w:rPr>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Key features of the included evidence"/>
      </w:tblPr>
      <w:tblGrid>
        <w:gridCol w:w="1029"/>
        <w:gridCol w:w="912"/>
        <w:gridCol w:w="1039"/>
        <w:gridCol w:w="1151"/>
        <w:gridCol w:w="1825"/>
        <w:gridCol w:w="1276"/>
        <w:gridCol w:w="1131"/>
      </w:tblGrid>
      <w:tr w:rsidR="008B1643" w:rsidRPr="004A4B88" w:rsidTr="00E82913">
        <w:tc>
          <w:tcPr>
            <w:tcW w:w="616" w:type="pct"/>
            <w:vAlign w:val="center"/>
          </w:tcPr>
          <w:p w:rsidR="008B1643" w:rsidRPr="004A4B88" w:rsidRDefault="008B1643" w:rsidP="007C6B41">
            <w:pPr>
              <w:widowControl w:val="0"/>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Trial</w:t>
            </w:r>
          </w:p>
        </w:tc>
        <w:tc>
          <w:tcPr>
            <w:tcW w:w="545" w:type="pct"/>
            <w:vAlign w:val="center"/>
          </w:tcPr>
          <w:p w:rsidR="008B1643" w:rsidRPr="004A4B88" w:rsidRDefault="008B1643" w:rsidP="007C6B41">
            <w:pPr>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N</w:t>
            </w:r>
          </w:p>
        </w:tc>
        <w:tc>
          <w:tcPr>
            <w:tcW w:w="621" w:type="pct"/>
            <w:vAlign w:val="center"/>
          </w:tcPr>
          <w:p w:rsidR="008B1643" w:rsidRPr="004A4B88" w:rsidRDefault="008B1643" w:rsidP="007C6B41">
            <w:pPr>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Design/ duration</w:t>
            </w:r>
          </w:p>
        </w:tc>
        <w:tc>
          <w:tcPr>
            <w:tcW w:w="688" w:type="pct"/>
            <w:vAlign w:val="center"/>
          </w:tcPr>
          <w:p w:rsidR="008B1643" w:rsidRPr="004A4B88" w:rsidRDefault="008B1643" w:rsidP="007C6B41">
            <w:pPr>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Risk of bias</w:t>
            </w:r>
          </w:p>
        </w:tc>
        <w:tc>
          <w:tcPr>
            <w:tcW w:w="1091" w:type="pct"/>
            <w:vAlign w:val="center"/>
          </w:tcPr>
          <w:p w:rsidR="008B1643" w:rsidRPr="004A4B88" w:rsidRDefault="008B1643" w:rsidP="007C6B41">
            <w:pPr>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Patient population</w:t>
            </w:r>
          </w:p>
        </w:tc>
        <w:tc>
          <w:tcPr>
            <w:tcW w:w="763" w:type="pct"/>
            <w:vAlign w:val="center"/>
          </w:tcPr>
          <w:p w:rsidR="008B1643" w:rsidRPr="004A4B88" w:rsidRDefault="008B1643" w:rsidP="007C6B41">
            <w:pPr>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Outcome(s)</w:t>
            </w:r>
          </w:p>
        </w:tc>
        <w:tc>
          <w:tcPr>
            <w:tcW w:w="677" w:type="pct"/>
            <w:vAlign w:val="center"/>
          </w:tcPr>
          <w:p w:rsidR="008B1643" w:rsidRPr="004A4B88" w:rsidRDefault="008B1643" w:rsidP="007C6B41">
            <w:pPr>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Use in modelled evaluation</w:t>
            </w:r>
          </w:p>
        </w:tc>
      </w:tr>
      <w:tr w:rsidR="008B1643" w:rsidRPr="004A4B88" w:rsidTr="00E82913">
        <w:tc>
          <w:tcPr>
            <w:tcW w:w="5000" w:type="pct"/>
            <w:gridSpan w:val="7"/>
            <w:vAlign w:val="center"/>
          </w:tcPr>
          <w:p w:rsidR="008B1643" w:rsidRPr="004A4B88" w:rsidRDefault="008B1643" w:rsidP="007C6B41">
            <w:pPr>
              <w:widowControl w:val="0"/>
              <w:rPr>
                <w:rFonts w:ascii="Arial Narrow" w:hAnsi="Arial Narrow" w:cs="Arial"/>
                <w:b/>
                <w:snapToGrid w:val="0"/>
                <w:sz w:val="20"/>
                <w:szCs w:val="20"/>
                <w:lang w:val="en-US" w:eastAsia="en-US"/>
              </w:rPr>
            </w:pPr>
            <w:proofErr w:type="spellStart"/>
            <w:r w:rsidRPr="004A4B88">
              <w:rPr>
                <w:rFonts w:ascii="Arial Narrow" w:hAnsi="Arial Narrow" w:cs="Arial"/>
                <w:b/>
                <w:snapToGrid w:val="0"/>
                <w:sz w:val="20"/>
                <w:szCs w:val="20"/>
                <w:lang w:val="en-US" w:eastAsia="en-US"/>
              </w:rPr>
              <w:t>regorafenib</w:t>
            </w:r>
            <w:proofErr w:type="spellEnd"/>
            <w:r w:rsidRPr="004A4B88">
              <w:rPr>
                <w:rFonts w:ascii="Arial Narrow" w:hAnsi="Arial Narrow" w:cs="Arial"/>
                <w:b/>
                <w:snapToGrid w:val="0"/>
                <w:sz w:val="20"/>
                <w:szCs w:val="20"/>
                <w:lang w:val="en-US" w:eastAsia="en-US"/>
              </w:rPr>
              <w:t xml:space="preserve"> vs. BSC</w:t>
            </w:r>
          </w:p>
        </w:tc>
      </w:tr>
      <w:tr w:rsidR="008B1643" w:rsidRPr="004A4B88" w:rsidTr="00E82913">
        <w:tc>
          <w:tcPr>
            <w:tcW w:w="616" w:type="pct"/>
            <w:vAlign w:val="center"/>
          </w:tcPr>
          <w:p w:rsidR="008B1643" w:rsidRPr="004A4B88" w:rsidRDefault="008B1643" w:rsidP="007C6B41">
            <w:pPr>
              <w:widowControl w:val="0"/>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CORRECT trial</w:t>
            </w:r>
          </w:p>
        </w:tc>
        <w:tc>
          <w:tcPr>
            <w:tcW w:w="545" w:type="pct"/>
            <w:vAlign w:val="center"/>
          </w:tcPr>
          <w:p w:rsidR="008B1643" w:rsidRPr="004A4B88" w:rsidRDefault="008B1643" w:rsidP="007C6B41">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760 (2:1 allocation)</w:t>
            </w:r>
          </w:p>
        </w:tc>
        <w:tc>
          <w:tcPr>
            <w:tcW w:w="621" w:type="pct"/>
            <w:vAlign w:val="center"/>
          </w:tcPr>
          <w:p w:rsidR="008B1643" w:rsidRPr="004A4B88" w:rsidRDefault="008B1643" w:rsidP="007C6B41">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R, DB</w:t>
            </w:r>
          </w:p>
          <w:p w:rsidR="008B1643" w:rsidRPr="004A4B88" w:rsidRDefault="008B1643" w:rsidP="007C6B41">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12 months</w:t>
            </w:r>
          </w:p>
        </w:tc>
        <w:tc>
          <w:tcPr>
            <w:tcW w:w="688" w:type="pct"/>
            <w:vAlign w:val="center"/>
          </w:tcPr>
          <w:p w:rsidR="008B1643" w:rsidRPr="004A4B88" w:rsidRDefault="008B1643" w:rsidP="007C6B41">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Low</w:t>
            </w:r>
          </w:p>
        </w:tc>
        <w:tc>
          <w:tcPr>
            <w:tcW w:w="1091" w:type="pct"/>
            <w:vAlign w:val="center"/>
          </w:tcPr>
          <w:p w:rsidR="008B1643" w:rsidRPr="004A4B88" w:rsidRDefault="008B1643" w:rsidP="007C6B41">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Metastatic, failed ≥ 2 lines chemotherapy</w:t>
            </w:r>
          </w:p>
        </w:tc>
        <w:tc>
          <w:tcPr>
            <w:tcW w:w="763" w:type="pct"/>
            <w:vAlign w:val="center"/>
          </w:tcPr>
          <w:p w:rsidR="008B1643" w:rsidRPr="004A4B88" w:rsidRDefault="008B1643" w:rsidP="007C6B41">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OS, PFS</w:t>
            </w:r>
          </w:p>
        </w:tc>
        <w:tc>
          <w:tcPr>
            <w:tcW w:w="677" w:type="pct"/>
            <w:vAlign w:val="center"/>
          </w:tcPr>
          <w:p w:rsidR="008B1643" w:rsidRPr="004A4B88" w:rsidRDefault="008B1643" w:rsidP="007C6B41">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 xml:space="preserve">OS,PFS extrapolated </w:t>
            </w:r>
          </w:p>
        </w:tc>
      </w:tr>
    </w:tbl>
    <w:p w:rsidR="008B1643" w:rsidRPr="004A4B88" w:rsidRDefault="008B1643" w:rsidP="00E82913">
      <w:pPr>
        <w:widowControl w:val="0"/>
        <w:ind w:left="709"/>
        <w:jc w:val="both"/>
        <w:rPr>
          <w:rFonts w:ascii="Arial Narrow" w:hAnsi="Arial Narrow" w:cs="Arial"/>
          <w:snapToGrid w:val="0"/>
          <w:sz w:val="18"/>
          <w:szCs w:val="20"/>
          <w:lang w:eastAsia="en-US"/>
        </w:rPr>
      </w:pPr>
      <w:r w:rsidRPr="004A4B88">
        <w:rPr>
          <w:rFonts w:ascii="Arial Narrow" w:hAnsi="Arial Narrow" w:cs="Arial"/>
          <w:snapToGrid w:val="0"/>
          <w:sz w:val="18"/>
          <w:szCs w:val="20"/>
          <w:lang w:eastAsia="en-US"/>
        </w:rPr>
        <w:t>DB=double blind; MC=multi-centre; OL=open label; OS=overall survival; PFS=progression-free survival; R=randomised.</w:t>
      </w:r>
    </w:p>
    <w:p w:rsidR="008B1643" w:rsidRPr="004A4B88" w:rsidRDefault="008B1643" w:rsidP="00E82913">
      <w:pPr>
        <w:widowControl w:val="0"/>
        <w:ind w:left="709"/>
        <w:jc w:val="both"/>
        <w:rPr>
          <w:rFonts w:ascii="Arial Narrow" w:hAnsi="Arial Narrow" w:cs="Arial"/>
          <w:snapToGrid w:val="0"/>
          <w:sz w:val="18"/>
          <w:szCs w:val="20"/>
          <w:lang w:eastAsia="en-US"/>
        </w:rPr>
      </w:pPr>
      <w:r w:rsidRPr="004A4B88">
        <w:rPr>
          <w:rFonts w:ascii="Arial Narrow" w:hAnsi="Arial Narrow" w:cs="Arial"/>
          <w:snapToGrid w:val="0"/>
          <w:sz w:val="18"/>
          <w:szCs w:val="20"/>
          <w:lang w:eastAsia="en-US"/>
        </w:rPr>
        <w:t>Source: compiled during the evaluation</w:t>
      </w:r>
    </w:p>
    <w:p w:rsidR="008B1643" w:rsidRPr="004A4B88" w:rsidRDefault="008B1643" w:rsidP="00882085">
      <w:pPr>
        <w:jc w:val="both"/>
        <w:rPr>
          <w:rFonts w:ascii="Arial" w:hAnsi="Arial"/>
          <w:sz w:val="22"/>
          <w:szCs w:val="22"/>
        </w:rPr>
      </w:pPr>
    </w:p>
    <w:p w:rsidR="008B1643" w:rsidRPr="004A4B88" w:rsidRDefault="008B1643" w:rsidP="00BB7EC3">
      <w:pPr>
        <w:pStyle w:val="ListParagraph"/>
        <w:ind w:left="709"/>
        <w:jc w:val="both"/>
        <w:rPr>
          <w:rFonts w:ascii="Arial" w:hAnsi="Arial"/>
          <w:i/>
          <w:sz w:val="22"/>
          <w:szCs w:val="22"/>
        </w:rPr>
      </w:pPr>
      <w:r w:rsidRPr="004A4B88">
        <w:rPr>
          <w:rFonts w:ascii="Arial" w:hAnsi="Arial"/>
          <w:i/>
          <w:sz w:val="22"/>
          <w:szCs w:val="22"/>
        </w:rPr>
        <w:t>For more detail on PBAC’s view, see section 7 “PBAC outcome”</w:t>
      </w:r>
    </w:p>
    <w:p w:rsidR="008B1643" w:rsidRPr="004A4B88" w:rsidRDefault="008B1643" w:rsidP="00BB7EC3">
      <w:pPr>
        <w:ind w:left="709"/>
        <w:jc w:val="both"/>
        <w:rPr>
          <w:rFonts w:ascii="Arial" w:hAnsi="Arial"/>
          <w:sz w:val="22"/>
          <w:szCs w:val="22"/>
        </w:rPr>
      </w:pPr>
    </w:p>
    <w:p w:rsidR="008B1643" w:rsidRPr="004A4B88" w:rsidRDefault="008B1643" w:rsidP="00882085">
      <w:pPr>
        <w:jc w:val="both"/>
        <w:rPr>
          <w:rFonts w:ascii="Arial" w:hAnsi="Arial"/>
          <w:b/>
          <w:i/>
          <w:sz w:val="22"/>
          <w:szCs w:val="22"/>
        </w:rPr>
      </w:pPr>
      <w:r w:rsidRPr="004A4B88">
        <w:rPr>
          <w:rFonts w:ascii="Arial" w:hAnsi="Arial"/>
          <w:b/>
          <w:i/>
          <w:sz w:val="22"/>
          <w:szCs w:val="22"/>
        </w:rPr>
        <w:t>Comparative effectiveness</w:t>
      </w:r>
    </w:p>
    <w:p w:rsidR="008B1643" w:rsidRPr="004A4B88" w:rsidRDefault="008B1643" w:rsidP="005B6275">
      <w:pPr>
        <w:jc w:val="both"/>
        <w:rPr>
          <w:rFonts w:ascii="Arial" w:hAnsi="Arial"/>
          <w:sz w:val="22"/>
          <w:szCs w:val="22"/>
        </w:rPr>
      </w:pPr>
    </w:p>
    <w:p w:rsidR="008B1643" w:rsidRPr="004A4B88" w:rsidRDefault="008B1643" w:rsidP="00F42516">
      <w:pPr>
        <w:pStyle w:val="ListParagraph"/>
        <w:numPr>
          <w:ilvl w:val="1"/>
          <w:numId w:val="25"/>
        </w:numPr>
        <w:jc w:val="both"/>
        <w:rPr>
          <w:rFonts w:ascii="Arial" w:hAnsi="Arial"/>
          <w:sz w:val="22"/>
          <w:szCs w:val="22"/>
        </w:rPr>
      </w:pPr>
      <w:proofErr w:type="spellStart"/>
      <w:r w:rsidRPr="004A4B88">
        <w:rPr>
          <w:rFonts w:ascii="Arial" w:hAnsi="Arial"/>
          <w:sz w:val="22"/>
          <w:szCs w:val="22"/>
        </w:rPr>
        <w:t>Regorafenib</w:t>
      </w:r>
      <w:proofErr w:type="spellEnd"/>
      <w:r w:rsidRPr="004A4B88">
        <w:rPr>
          <w:rFonts w:ascii="Arial" w:hAnsi="Arial"/>
          <w:sz w:val="22"/>
          <w:szCs w:val="22"/>
        </w:rPr>
        <w:t xml:space="preserve"> treatment was associated with a statistically significant OS and PFS benefit compared with BSC (placebo). The median OS improvement was 1.4 months and median PFS improvement was 0.2 months. </w:t>
      </w:r>
    </w:p>
    <w:p w:rsidR="008B1643" w:rsidRPr="004A4B88" w:rsidRDefault="008B1643" w:rsidP="004C15AD">
      <w:pPr>
        <w:ind w:left="709"/>
        <w:rPr>
          <w:rFonts w:ascii="Arial Narrow" w:hAnsi="Arial Narrow" w:cs="Arial"/>
          <w:b/>
          <w:snapToGrid w:val="0"/>
          <w:sz w:val="20"/>
          <w:szCs w:val="16"/>
          <w:lang w:eastAsia="en-US"/>
        </w:rPr>
      </w:pPr>
    </w:p>
    <w:p w:rsidR="008B1643" w:rsidRPr="004A4B88" w:rsidRDefault="008B1643" w:rsidP="00E82913">
      <w:pPr>
        <w:ind w:left="709"/>
        <w:rPr>
          <w:rFonts w:ascii="Arial Narrow" w:hAnsi="Arial Narrow" w:cs="Arial"/>
          <w:b/>
          <w:snapToGrid w:val="0"/>
          <w:sz w:val="20"/>
          <w:szCs w:val="16"/>
          <w:lang w:eastAsia="en-US"/>
        </w:rPr>
      </w:pPr>
      <w:r w:rsidRPr="004A4B88">
        <w:rPr>
          <w:rFonts w:ascii="Arial Narrow" w:hAnsi="Arial Narrow" w:cs="Arial"/>
          <w:b/>
          <w:snapToGrid w:val="0"/>
          <w:sz w:val="20"/>
          <w:szCs w:val="16"/>
          <w:lang w:eastAsia="en-US"/>
        </w:rPr>
        <w:t xml:space="preserve">Results of OS and PFS across the direct randomised trials </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Results of OS and PFS across the direct randomised trials "/>
      </w:tblPr>
      <w:tblGrid>
        <w:gridCol w:w="1274"/>
        <w:gridCol w:w="1515"/>
        <w:gridCol w:w="1525"/>
        <w:gridCol w:w="1781"/>
        <w:gridCol w:w="2128"/>
      </w:tblGrid>
      <w:tr w:rsidR="00F20A62" w:rsidRPr="004A4B88" w:rsidTr="00F20A62">
        <w:tc>
          <w:tcPr>
            <w:tcW w:w="775" w:type="pct"/>
            <w:vAlign w:val="center"/>
          </w:tcPr>
          <w:p w:rsidR="00F20A62" w:rsidRPr="004A4B88" w:rsidRDefault="00F20A62" w:rsidP="00077BFC">
            <w:pPr>
              <w:keepNext/>
              <w:widowControl w:val="0"/>
              <w:rPr>
                <w:rFonts w:ascii="Arial Narrow" w:hAnsi="Arial Narrow" w:cs="Arial"/>
                <w:b/>
                <w:snapToGrid w:val="0"/>
                <w:sz w:val="20"/>
                <w:szCs w:val="20"/>
                <w:lang w:val="en-US" w:eastAsia="en-US"/>
              </w:rPr>
            </w:pPr>
            <w:r w:rsidRPr="004A4B88">
              <w:rPr>
                <w:rFonts w:ascii="Arial Narrow" w:hAnsi="Arial Narrow" w:cs="Arial"/>
                <w:b/>
                <w:snapToGrid w:val="0"/>
                <w:sz w:val="20"/>
                <w:szCs w:val="16"/>
                <w:lang w:eastAsia="en-US"/>
              </w:rPr>
              <w:br w:type="column"/>
            </w:r>
            <w:r w:rsidRPr="004A4B88">
              <w:rPr>
                <w:rFonts w:ascii="Arial Narrow" w:hAnsi="Arial Narrow" w:cs="Arial"/>
                <w:b/>
                <w:snapToGrid w:val="0"/>
                <w:sz w:val="20"/>
                <w:szCs w:val="20"/>
                <w:lang w:val="en-US" w:eastAsia="en-US"/>
              </w:rPr>
              <w:t>Trial ID</w:t>
            </w:r>
          </w:p>
          <w:p w:rsidR="00F20A62" w:rsidRPr="004A4B88" w:rsidRDefault="00F20A62" w:rsidP="00077BFC">
            <w:pPr>
              <w:keepNext/>
              <w:widowControl w:val="0"/>
              <w:rPr>
                <w:rFonts w:ascii="Arial Narrow" w:hAnsi="Arial Narrow" w:cs="Arial"/>
                <w:b/>
                <w:snapToGrid w:val="0"/>
                <w:sz w:val="20"/>
                <w:szCs w:val="20"/>
                <w:lang w:val="en-US" w:eastAsia="en-US"/>
              </w:rPr>
            </w:pPr>
          </w:p>
          <w:p w:rsidR="00F20A62" w:rsidRPr="004A4B88" w:rsidRDefault="00F20A62" w:rsidP="00077BFC">
            <w:pPr>
              <w:keepNext/>
              <w:widowControl w:val="0"/>
              <w:rPr>
                <w:rFonts w:ascii="Arial Narrow" w:hAnsi="Arial Narrow" w:cs="Arial"/>
                <w:b/>
                <w:snapToGrid w:val="0"/>
                <w:sz w:val="20"/>
                <w:szCs w:val="20"/>
                <w:lang w:val="en-US" w:eastAsia="en-US"/>
              </w:rPr>
            </w:pPr>
          </w:p>
          <w:p w:rsidR="00F20A62" w:rsidRPr="004A4B88" w:rsidRDefault="00F20A62" w:rsidP="00077BFC">
            <w:pPr>
              <w:keepNext/>
              <w:widowControl w:val="0"/>
              <w:rPr>
                <w:rFonts w:ascii="Arial Narrow" w:hAnsi="Arial Narrow" w:cs="Arial"/>
                <w:b/>
                <w:snapToGrid w:val="0"/>
                <w:sz w:val="20"/>
                <w:szCs w:val="20"/>
                <w:lang w:val="en-US" w:eastAsia="en-US"/>
              </w:rPr>
            </w:pPr>
            <w:r w:rsidRPr="004A4B88">
              <w:rPr>
                <w:rFonts w:ascii="Arial Narrow" w:hAnsi="Arial Narrow" w:cs="Arial"/>
                <w:snapToGrid w:val="0"/>
                <w:sz w:val="20"/>
                <w:szCs w:val="20"/>
                <w:lang w:val="en-US" w:eastAsia="en-US"/>
              </w:rPr>
              <w:t>CORRECT</w:t>
            </w:r>
          </w:p>
        </w:tc>
        <w:tc>
          <w:tcPr>
            <w:tcW w:w="921" w:type="pct"/>
            <w:vAlign w:val="center"/>
          </w:tcPr>
          <w:p w:rsidR="00F20A62" w:rsidRPr="004A4B88" w:rsidRDefault="00F20A62" w:rsidP="00077BFC">
            <w:pPr>
              <w:keepNext/>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Proposed drug</w:t>
            </w:r>
          </w:p>
          <w:p w:rsidR="00F20A62" w:rsidRPr="004A4B88" w:rsidRDefault="00F20A62" w:rsidP="00077BFC">
            <w:pPr>
              <w:keepNext/>
              <w:widowControl w:val="0"/>
              <w:jc w:val="center"/>
              <w:rPr>
                <w:rFonts w:ascii="Arial Narrow" w:hAnsi="Arial Narrow" w:cs="Arial"/>
                <w:b/>
                <w:snapToGrid w:val="0"/>
                <w:sz w:val="20"/>
                <w:szCs w:val="20"/>
                <w:lang w:val="en-US" w:eastAsia="en-US"/>
              </w:rPr>
            </w:pPr>
            <w:proofErr w:type="gramStart"/>
            <w:r w:rsidRPr="004A4B88">
              <w:rPr>
                <w:rFonts w:ascii="Arial Narrow" w:hAnsi="Arial Narrow" w:cs="Arial"/>
                <w:b/>
                <w:snapToGrid w:val="0"/>
                <w:sz w:val="20"/>
                <w:szCs w:val="20"/>
                <w:lang w:val="en-US" w:eastAsia="en-US"/>
              </w:rPr>
              <w:t>n</w:t>
            </w:r>
            <w:proofErr w:type="gramEnd"/>
            <w:r w:rsidRPr="004A4B88">
              <w:rPr>
                <w:rFonts w:ascii="Arial Narrow" w:hAnsi="Arial Narrow" w:cs="Arial"/>
                <w:b/>
                <w:snapToGrid w:val="0"/>
                <w:sz w:val="20"/>
                <w:szCs w:val="20"/>
                <w:lang w:val="en-US" w:eastAsia="en-US"/>
              </w:rPr>
              <w:t xml:space="preserve"> with event/N (%) [or mean ± SD]</w:t>
            </w:r>
          </w:p>
        </w:tc>
        <w:tc>
          <w:tcPr>
            <w:tcW w:w="927" w:type="pct"/>
            <w:vAlign w:val="center"/>
          </w:tcPr>
          <w:p w:rsidR="00F20A62" w:rsidRPr="004A4B88" w:rsidRDefault="00F20A62" w:rsidP="00077BFC">
            <w:pPr>
              <w:keepNext/>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Main comparator</w:t>
            </w:r>
          </w:p>
          <w:p w:rsidR="00F20A62" w:rsidRPr="004A4B88" w:rsidRDefault="00F20A62" w:rsidP="00077BFC">
            <w:pPr>
              <w:keepNext/>
              <w:widowControl w:val="0"/>
              <w:jc w:val="center"/>
              <w:rPr>
                <w:rFonts w:ascii="Arial Narrow" w:hAnsi="Arial Narrow" w:cs="Arial"/>
                <w:b/>
                <w:snapToGrid w:val="0"/>
                <w:sz w:val="20"/>
                <w:szCs w:val="20"/>
                <w:lang w:val="en-US" w:eastAsia="en-US"/>
              </w:rPr>
            </w:pPr>
            <w:proofErr w:type="gramStart"/>
            <w:r w:rsidRPr="004A4B88">
              <w:rPr>
                <w:rFonts w:ascii="Arial Narrow" w:hAnsi="Arial Narrow" w:cs="Arial"/>
                <w:b/>
                <w:snapToGrid w:val="0"/>
                <w:sz w:val="20"/>
                <w:szCs w:val="20"/>
                <w:lang w:val="en-US" w:eastAsia="en-US"/>
              </w:rPr>
              <w:t>n</w:t>
            </w:r>
            <w:proofErr w:type="gramEnd"/>
            <w:r w:rsidRPr="004A4B88">
              <w:rPr>
                <w:rFonts w:ascii="Arial Narrow" w:hAnsi="Arial Narrow" w:cs="Arial"/>
                <w:b/>
                <w:snapToGrid w:val="0"/>
                <w:sz w:val="20"/>
                <w:szCs w:val="20"/>
                <w:lang w:val="en-US" w:eastAsia="en-US"/>
              </w:rPr>
              <w:t xml:space="preserve"> with event/N (%) [or mean ± SD]</w:t>
            </w:r>
          </w:p>
        </w:tc>
        <w:tc>
          <w:tcPr>
            <w:tcW w:w="1083" w:type="pct"/>
            <w:vAlign w:val="center"/>
          </w:tcPr>
          <w:p w:rsidR="00F20A62" w:rsidRPr="004A4B88" w:rsidRDefault="00F20A62" w:rsidP="00077BFC">
            <w:pPr>
              <w:keepNext/>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Absolute difference RD± NNT [or mean difference]</w:t>
            </w:r>
          </w:p>
          <w:p w:rsidR="00F20A62" w:rsidRPr="004A4B88" w:rsidRDefault="00F20A62" w:rsidP="00077BFC">
            <w:pPr>
              <w:keepNext/>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(95% CI)</w:t>
            </w:r>
          </w:p>
        </w:tc>
        <w:tc>
          <w:tcPr>
            <w:tcW w:w="1294" w:type="pct"/>
            <w:vAlign w:val="center"/>
          </w:tcPr>
          <w:p w:rsidR="00F20A62" w:rsidRPr="004A4B88" w:rsidRDefault="00F20A62" w:rsidP="00077BFC">
            <w:pPr>
              <w:keepNext/>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Relative difference RR/HR [or results of statistical testing]</w:t>
            </w:r>
          </w:p>
          <w:p w:rsidR="00F20A62" w:rsidRPr="004A4B88" w:rsidRDefault="00F20A62" w:rsidP="00077BFC">
            <w:pPr>
              <w:keepNext/>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(95% CI)</w:t>
            </w:r>
          </w:p>
        </w:tc>
      </w:tr>
      <w:tr w:rsidR="00F20A62" w:rsidRPr="004A4B88" w:rsidTr="00F20A62">
        <w:tc>
          <w:tcPr>
            <w:tcW w:w="775" w:type="pct"/>
            <w:vAlign w:val="center"/>
          </w:tcPr>
          <w:p w:rsidR="00F20A62" w:rsidRPr="004A4B88" w:rsidRDefault="00F20A62" w:rsidP="00077BFC">
            <w:pPr>
              <w:keepNext/>
              <w:widowControl w:val="0"/>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OS</w:t>
            </w:r>
          </w:p>
        </w:tc>
        <w:tc>
          <w:tcPr>
            <w:tcW w:w="921" w:type="pct"/>
            <w:vAlign w:val="center"/>
          </w:tcPr>
          <w:p w:rsidR="00F20A62" w:rsidRPr="004A4B88" w:rsidRDefault="00F20A62" w:rsidP="00077BFC">
            <w:pPr>
              <w:keepNext/>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275/505(54.5)</w:t>
            </w:r>
          </w:p>
        </w:tc>
        <w:tc>
          <w:tcPr>
            <w:tcW w:w="927" w:type="pct"/>
            <w:vAlign w:val="center"/>
          </w:tcPr>
          <w:p w:rsidR="00F20A62" w:rsidRPr="004A4B88" w:rsidRDefault="00F20A62" w:rsidP="00077BFC">
            <w:pPr>
              <w:keepNext/>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157/255(61.6)</w:t>
            </w:r>
          </w:p>
        </w:tc>
        <w:tc>
          <w:tcPr>
            <w:tcW w:w="1083" w:type="pct"/>
            <w:vAlign w:val="center"/>
          </w:tcPr>
          <w:p w:rsidR="00F20A62" w:rsidRPr="004A4B88" w:rsidRDefault="00F20A62" w:rsidP="00077BFC">
            <w:pPr>
              <w:keepNext/>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0.07(0.14,0.00)</w:t>
            </w:r>
          </w:p>
        </w:tc>
        <w:tc>
          <w:tcPr>
            <w:tcW w:w="1294" w:type="pct"/>
            <w:vAlign w:val="center"/>
          </w:tcPr>
          <w:p w:rsidR="00F20A62" w:rsidRPr="004A4B88" w:rsidRDefault="00F20A62" w:rsidP="00077BFC">
            <w:pPr>
              <w:keepNext/>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0.774(0.636,0.942)</w:t>
            </w:r>
          </w:p>
        </w:tc>
      </w:tr>
      <w:tr w:rsidR="00F20A62" w:rsidRPr="004A4B88" w:rsidTr="00F20A62">
        <w:tc>
          <w:tcPr>
            <w:tcW w:w="775" w:type="pct"/>
            <w:vAlign w:val="center"/>
          </w:tcPr>
          <w:p w:rsidR="00F20A62" w:rsidRPr="004A4B88" w:rsidRDefault="00F20A62" w:rsidP="00077BFC">
            <w:pPr>
              <w:keepNext/>
              <w:widowControl w:val="0"/>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PFS</w:t>
            </w:r>
          </w:p>
        </w:tc>
        <w:tc>
          <w:tcPr>
            <w:tcW w:w="921" w:type="pct"/>
            <w:vAlign w:val="center"/>
          </w:tcPr>
          <w:p w:rsidR="00F20A62" w:rsidRPr="004A4B88" w:rsidRDefault="00F20A62" w:rsidP="00077BFC">
            <w:pPr>
              <w:keepNext/>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430/505(85.1)</w:t>
            </w:r>
          </w:p>
        </w:tc>
        <w:tc>
          <w:tcPr>
            <w:tcW w:w="927" w:type="pct"/>
            <w:vAlign w:val="center"/>
          </w:tcPr>
          <w:p w:rsidR="00F20A62" w:rsidRPr="004A4B88" w:rsidRDefault="00F20A62" w:rsidP="00077BFC">
            <w:pPr>
              <w:keepNext/>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241/255(94.5)</w:t>
            </w:r>
          </w:p>
        </w:tc>
        <w:tc>
          <w:tcPr>
            <w:tcW w:w="1083" w:type="pct"/>
            <w:vAlign w:val="center"/>
          </w:tcPr>
          <w:p w:rsidR="00F20A62" w:rsidRPr="004A4B88" w:rsidRDefault="00F20A62" w:rsidP="00077BFC">
            <w:pPr>
              <w:keepNext/>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0.09(0.14,0.05)</w:t>
            </w:r>
          </w:p>
        </w:tc>
        <w:tc>
          <w:tcPr>
            <w:tcW w:w="1294" w:type="pct"/>
            <w:vAlign w:val="center"/>
          </w:tcPr>
          <w:p w:rsidR="00F20A62" w:rsidRPr="004A4B88" w:rsidRDefault="00F20A62" w:rsidP="00077BFC">
            <w:pPr>
              <w:keepNext/>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0.494(0.419,0.582)</w:t>
            </w:r>
          </w:p>
        </w:tc>
      </w:tr>
    </w:tbl>
    <w:p w:rsidR="008B1643" w:rsidRPr="004A4B88" w:rsidRDefault="008B1643" w:rsidP="00E82913">
      <w:pPr>
        <w:widowControl w:val="0"/>
        <w:ind w:left="709"/>
        <w:jc w:val="both"/>
        <w:rPr>
          <w:rFonts w:ascii="Arial Narrow" w:hAnsi="Arial Narrow" w:cs="Arial"/>
          <w:snapToGrid w:val="0"/>
          <w:sz w:val="18"/>
          <w:szCs w:val="20"/>
          <w:lang w:eastAsia="en-US"/>
        </w:rPr>
      </w:pPr>
      <w:r w:rsidRPr="004A4B88">
        <w:rPr>
          <w:rFonts w:ascii="Arial Narrow" w:hAnsi="Arial Narrow" w:cs="Arial"/>
          <w:snapToGrid w:val="0"/>
          <w:sz w:val="18"/>
          <w:szCs w:val="20"/>
          <w:lang w:eastAsia="en-US"/>
        </w:rPr>
        <w:t xml:space="preserve">Source: Table B.6.1, Table B.6.2, Section B, p 17-18 of the commentary. </w:t>
      </w:r>
    </w:p>
    <w:p w:rsidR="008B1643" w:rsidRPr="004A4B88" w:rsidRDefault="008B1643" w:rsidP="00882085">
      <w:pPr>
        <w:jc w:val="both"/>
        <w:rPr>
          <w:rFonts w:ascii="Arial" w:hAnsi="Arial"/>
          <w:sz w:val="22"/>
          <w:szCs w:val="22"/>
        </w:rPr>
      </w:pPr>
    </w:p>
    <w:p w:rsidR="008B1643" w:rsidRPr="004A4B88" w:rsidRDefault="008B1643" w:rsidP="000F6DA9">
      <w:pPr>
        <w:pStyle w:val="ListParagraph"/>
        <w:numPr>
          <w:ilvl w:val="1"/>
          <w:numId w:val="25"/>
        </w:numPr>
        <w:jc w:val="both"/>
        <w:rPr>
          <w:rFonts w:ascii="Arial" w:hAnsi="Arial"/>
          <w:sz w:val="22"/>
          <w:szCs w:val="22"/>
        </w:rPr>
      </w:pPr>
      <w:r w:rsidRPr="004A4B88">
        <w:rPr>
          <w:rFonts w:ascii="Arial" w:hAnsi="Arial"/>
          <w:sz w:val="22"/>
          <w:szCs w:val="22"/>
        </w:rPr>
        <w:t xml:space="preserve">The ESC agreed that </w:t>
      </w:r>
      <w:proofErr w:type="spellStart"/>
      <w:r w:rsidRPr="004A4B88">
        <w:rPr>
          <w:rFonts w:ascii="Arial" w:hAnsi="Arial"/>
          <w:sz w:val="22"/>
          <w:szCs w:val="22"/>
        </w:rPr>
        <w:t>regorafenib</w:t>
      </w:r>
      <w:proofErr w:type="spellEnd"/>
      <w:r w:rsidRPr="004A4B88">
        <w:rPr>
          <w:rFonts w:ascii="Arial" w:hAnsi="Arial"/>
          <w:sz w:val="22"/>
          <w:szCs w:val="22"/>
        </w:rPr>
        <w:t xml:space="preserve"> was superior in terms of comparative effectiveness to BSC alone. </w:t>
      </w:r>
    </w:p>
    <w:p w:rsidR="008B1643" w:rsidRPr="004A4B88" w:rsidRDefault="008B1643" w:rsidP="00B938CA">
      <w:pPr>
        <w:pStyle w:val="ListParagraph"/>
        <w:jc w:val="both"/>
        <w:rPr>
          <w:rFonts w:ascii="Arial" w:hAnsi="Arial"/>
          <w:sz w:val="22"/>
          <w:szCs w:val="22"/>
        </w:rPr>
      </w:pPr>
    </w:p>
    <w:p w:rsidR="008B1643" w:rsidRPr="004A4B88" w:rsidRDefault="008B1643" w:rsidP="00084646">
      <w:pPr>
        <w:pStyle w:val="ListParagraph"/>
        <w:numPr>
          <w:ilvl w:val="1"/>
          <w:numId w:val="25"/>
        </w:numPr>
        <w:jc w:val="both"/>
        <w:rPr>
          <w:rFonts w:ascii="Arial" w:hAnsi="Arial"/>
          <w:sz w:val="22"/>
          <w:szCs w:val="22"/>
        </w:rPr>
      </w:pPr>
      <w:r w:rsidRPr="004A4B88">
        <w:rPr>
          <w:rFonts w:ascii="Arial" w:hAnsi="Arial"/>
          <w:sz w:val="22"/>
          <w:szCs w:val="22"/>
        </w:rPr>
        <w:t>The TGA (and European Medicines Agency, EMA) has previously questioned the clinical meaningfulness of the OS advantage of 1.4 months, particularly as it was not supported by a meaningful difference in PFS (0.2 months) or an improvement in quality of life over BSC. The submission provided additional information in the form of sub-group analyses and expert opinion.  On review both the TGA and EMA considered that “there is evidence of statistically significant and consistent, albeit modest, benefit in terms of overall survival and progression free survival”.</w:t>
      </w:r>
    </w:p>
    <w:p w:rsidR="008B1643" w:rsidRPr="004A4B88" w:rsidRDefault="008B1643" w:rsidP="00084646">
      <w:pPr>
        <w:pStyle w:val="ListParagraph"/>
        <w:jc w:val="both"/>
        <w:rPr>
          <w:rFonts w:ascii="Arial" w:hAnsi="Arial"/>
          <w:sz w:val="22"/>
          <w:szCs w:val="22"/>
        </w:rPr>
      </w:pPr>
    </w:p>
    <w:p w:rsidR="008B1643" w:rsidRPr="004A4B88" w:rsidRDefault="008B1643" w:rsidP="00BB7EC3">
      <w:pPr>
        <w:pStyle w:val="ListParagraph"/>
        <w:ind w:left="709"/>
        <w:jc w:val="both"/>
        <w:rPr>
          <w:rFonts w:ascii="Arial" w:hAnsi="Arial"/>
          <w:i/>
          <w:sz w:val="22"/>
          <w:szCs w:val="22"/>
        </w:rPr>
      </w:pPr>
      <w:r w:rsidRPr="004A4B88">
        <w:rPr>
          <w:rFonts w:ascii="Arial" w:hAnsi="Arial"/>
          <w:i/>
          <w:sz w:val="22"/>
          <w:szCs w:val="22"/>
        </w:rPr>
        <w:t>For more detail on PBAC’s view, see section 7 “PBAC outcome”</w:t>
      </w:r>
    </w:p>
    <w:p w:rsidR="008B1643" w:rsidRPr="004A4B88" w:rsidRDefault="008B1643" w:rsidP="00BB7EC3">
      <w:pPr>
        <w:ind w:left="709"/>
        <w:jc w:val="both"/>
        <w:rPr>
          <w:rFonts w:ascii="Arial" w:hAnsi="Arial"/>
          <w:sz w:val="22"/>
          <w:szCs w:val="22"/>
        </w:rPr>
      </w:pPr>
    </w:p>
    <w:p w:rsidR="008B1643" w:rsidRPr="004A4B88" w:rsidRDefault="008B1643" w:rsidP="00882085">
      <w:pPr>
        <w:jc w:val="both"/>
        <w:rPr>
          <w:rFonts w:ascii="Arial" w:hAnsi="Arial"/>
          <w:b/>
          <w:i/>
          <w:sz w:val="22"/>
          <w:szCs w:val="22"/>
        </w:rPr>
      </w:pPr>
      <w:r w:rsidRPr="004A4B88">
        <w:rPr>
          <w:rFonts w:ascii="Arial" w:hAnsi="Arial"/>
          <w:b/>
          <w:i/>
          <w:sz w:val="22"/>
          <w:szCs w:val="22"/>
        </w:rPr>
        <w:t>Comparative harms</w:t>
      </w:r>
    </w:p>
    <w:p w:rsidR="008B1643" w:rsidRPr="004A4B88" w:rsidRDefault="008B1643" w:rsidP="006B5BFB">
      <w:pPr>
        <w:jc w:val="both"/>
        <w:rPr>
          <w:rFonts w:ascii="Arial" w:hAnsi="Arial"/>
          <w:sz w:val="22"/>
          <w:szCs w:val="22"/>
        </w:rPr>
      </w:pPr>
    </w:p>
    <w:p w:rsidR="008B1643" w:rsidRPr="004A4B88" w:rsidRDefault="008B1643" w:rsidP="00437CEA">
      <w:pPr>
        <w:pStyle w:val="ListParagraph"/>
        <w:numPr>
          <w:ilvl w:val="1"/>
          <w:numId w:val="25"/>
        </w:numPr>
        <w:jc w:val="both"/>
        <w:rPr>
          <w:rFonts w:ascii="Arial" w:hAnsi="Arial"/>
          <w:sz w:val="22"/>
          <w:szCs w:val="22"/>
        </w:rPr>
      </w:pPr>
      <w:r w:rsidRPr="004A4B88">
        <w:rPr>
          <w:rFonts w:ascii="Arial" w:hAnsi="Arial"/>
          <w:sz w:val="22"/>
          <w:szCs w:val="22"/>
        </w:rPr>
        <w:t xml:space="preserve">More patients in the </w:t>
      </w:r>
      <w:proofErr w:type="spellStart"/>
      <w:r w:rsidRPr="004A4B88">
        <w:rPr>
          <w:rFonts w:ascii="Arial" w:hAnsi="Arial"/>
          <w:sz w:val="22"/>
          <w:szCs w:val="22"/>
        </w:rPr>
        <w:t>regorafenib</w:t>
      </w:r>
      <w:proofErr w:type="spellEnd"/>
      <w:r w:rsidRPr="004A4B88">
        <w:rPr>
          <w:rFonts w:ascii="Arial" w:hAnsi="Arial"/>
          <w:sz w:val="22"/>
          <w:szCs w:val="22"/>
        </w:rPr>
        <w:t xml:space="preserve"> arm than the placebo arm experienced Grade 3-4 drug-related, treatment-emergent serious adverse events (SAEs), </w:t>
      </w:r>
      <w:proofErr w:type="gramStart"/>
      <w:r w:rsidRPr="004A4B88">
        <w:rPr>
          <w:rFonts w:ascii="Arial" w:hAnsi="Arial"/>
          <w:sz w:val="22"/>
          <w:szCs w:val="22"/>
        </w:rPr>
        <w:t>experienced</w:t>
      </w:r>
      <w:proofErr w:type="gramEnd"/>
      <w:r w:rsidRPr="004A4B88">
        <w:rPr>
          <w:rFonts w:ascii="Arial" w:hAnsi="Arial"/>
          <w:sz w:val="22"/>
          <w:szCs w:val="22"/>
        </w:rPr>
        <w:t xml:space="preserve"> adverse events leading to discontinuation and had dose modifications. The most common treatment emergent AEs of grade 3 or higher in the </w:t>
      </w:r>
      <w:proofErr w:type="spellStart"/>
      <w:r w:rsidRPr="004A4B88">
        <w:rPr>
          <w:rFonts w:ascii="Arial" w:hAnsi="Arial"/>
          <w:sz w:val="22"/>
          <w:szCs w:val="22"/>
        </w:rPr>
        <w:t>regorafenib</w:t>
      </w:r>
      <w:proofErr w:type="spellEnd"/>
      <w:r w:rsidRPr="004A4B88">
        <w:rPr>
          <w:rFonts w:ascii="Arial" w:hAnsi="Arial"/>
          <w:sz w:val="22"/>
          <w:szCs w:val="22"/>
        </w:rPr>
        <w:t xml:space="preserve"> arm included hand-foot skin reaction, fatigue, diarrhoea, hypertension and </w:t>
      </w:r>
      <w:proofErr w:type="spellStart"/>
      <w:r w:rsidRPr="004A4B88">
        <w:rPr>
          <w:rFonts w:ascii="Arial" w:hAnsi="Arial"/>
          <w:sz w:val="22"/>
          <w:szCs w:val="22"/>
        </w:rPr>
        <w:t>hyperbilirubinaemia</w:t>
      </w:r>
      <w:proofErr w:type="spellEnd"/>
      <w:r w:rsidRPr="004A4B88">
        <w:rPr>
          <w:rFonts w:ascii="Arial" w:hAnsi="Arial"/>
          <w:sz w:val="22"/>
          <w:szCs w:val="22"/>
        </w:rPr>
        <w:t xml:space="preserve">. There were five drug related deaths, due to hepatotoxicity, haemorrhage and vascular events related to </w:t>
      </w:r>
      <w:proofErr w:type="spellStart"/>
      <w:r w:rsidRPr="004A4B88">
        <w:rPr>
          <w:rFonts w:ascii="Arial" w:hAnsi="Arial"/>
          <w:sz w:val="22"/>
          <w:szCs w:val="22"/>
        </w:rPr>
        <w:t>regorafenib</w:t>
      </w:r>
      <w:proofErr w:type="spellEnd"/>
      <w:r w:rsidRPr="004A4B88">
        <w:rPr>
          <w:rFonts w:ascii="Arial" w:hAnsi="Arial"/>
          <w:sz w:val="22"/>
          <w:szCs w:val="22"/>
        </w:rPr>
        <w:t xml:space="preserve"> use. </w:t>
      </w:r>
      <w:proofErr w:type="spellStart"/>
      <w:r w:rsidRPr="004A4B88">
        <w:rPr>
          <w:rFonts w:ascii="Arial" w:hAnsi="Arial"/>
          <w:sz w:val="22"/>
          <w:szCs w:val="22"/>
        </w:rPr>
        <w:t>Regorafenib</w:t>
      </w:r>
      <w:proofErr w:type="spellEnd"/>
      <w:r w:rsidRPr="004A4B88">
        <w:rPr>
          <w:rFonts w:ascii="Arial" w:hAnsi="Arial"/>
          <w:sz w:val="22"/>
          <w:szCs w:val="22"/>
        </w:rPr>
        <w:t xml:space="preserve"> was approved by the FDA with a boxed warning describing the risk of hepatotoxicity. </w:t>
      </w:r>
    </w:p>
    <w:p w:rsidR="008B1643" w:rsidRPr="004A4B88" w:rsidRDefault="008B1643" w:rsidP="00B938CA">
      <w:pPr>
        <w:pStyle w:val="ListParagraph"/>
        <w:jc w:val="both"/>
        <w:rPr>
          <w:rFonts w:ascii="Arial" w:hAnsi="Arial"/>
          <w:sz w:val="22"/>
          <w:szCs w:val="22"/>
        </w:rPr>
      </w:pPr>
    </w:p>
    <w:p w:rsidR="008B1643" w:rsidRPr="004A4B88" w:rsidRDefault="008B1643" w:rsidP="000F6DA9">
      <w:pPr>
        <w:pStyle w:val="ListParagraph"/>
        <w:numPr>
          <w:ilvl w:val="1"/>
          <w:numId w:val="25"/>
        </w:numPr>
        <w:jc w:val="both"/>
        <w:rPr>
          <w:rFonts w:ascii="Arial" w:hAnsi="Arial"/>
          <w:sz w:val="22"/>
          <w:szCs w:val="22"/>
        </w:rPr>
      </w:pPr>
      <w:r w:rsidRPr="004A4B88">
        <w:rPr>
          <w:rFonts w:ascii="Arial" w:hAnsi="Arial"/>
          <w:sz w:val="22"/>
          <w:szCs w:val="22"/>
        </w:rPr>
        <w:t xml:space="preserve">The ESC considered that </w:t>
      </w:r>
      <w:proofErr w:type="spellStart"/>
      <w:r w:rsidRPr="004A4B88">
        <w:rPr>
          <w:rFonts w:ascii="Arial" w:hAnsi="Arial"/>
          <w:sz w:val="22"/>
          <w:szCs w:val="22"/>
        </w:rPr>
        <w:t>regorafenib</w:t>
      </w:r>
      <w:proofErr w:type="spellEnd"/>
      <w:r w:rsidRPr="004A4B88">
        <w:rPr>
          <w:rFonts w:ascii="Arial" w:hAnsi="Arial"/>
          <w:sz w:val="22"/>
          <w:szCs w:val="22"/>
        </w:rPr>
        <w:t xml:space="preserve"> is inferior in terms of comparative safety to BSC (placebo), which is understated by the phrase ‘slightly worse’. </w:t>
      </w:r>
    </w:p>
    <w:p w:rsidR="008B1643" w:rsidRPr="004A4B88" w:rsidRDefault="008B1643" w:rsidP="00974568">
      <w:pPr>
        <w:pStyle w:val="ListParagraph"/>
        <w:jc w:val="both"/>
        <w:rPr>
          <w:rFonts w:ascii="Arial" w:hAnsi="Arial"/>
          <w:sz w:val="22"/>
          <w:szCs w:val="22"/>
        </w:rPr>
      </w:pPr>
    </w:p>
    <w:p w:rsidR="008B1643" w:rsidRPr="004A4B88" w:rsidRDefault="008B1643" w:rsidP="00974568">
      <w:pPr>
        <w:pStyle w:val="ListParagraph"/>
        <w:numPr>
          <w:ilvl w:val="1"/>
          <w:numId w:val="25"/>
        </w:numPr>
        <w:jc w:val="both"/>
        <w:rPr>
          <w:rFonts w:ascii="Arial" w:hAnsi="Arial"/>
          <w:sz w:val="22"/>
          <w:szCs w:val="22"/>
        </w:rPr>
      </w:pPr>
      <w:r w:rsidRPr="004A4B88">
        <w:rPr>
          <w:rFonts w:ascii="Arial" w:hAnsi="Arial"/>
          <w:sz w:val="22"/>
          <w:szCs w:val="22"/>
        </w:rPr>
        <w:t xml:space="preserve">The TGA considered that the safety profile is “in line with those seen in other similar drugs approved for use in metastatic solid tumours. The effect of these toxicities can be mitigated, but not eliminated, through skilled management”. </w:t>
      </w:r>
    </w:p>
    <w:p w:rsidR="008B1643" w:rsidRPr="004A4B88" w:rsidRDefault="008B1643" w:rsidP="006B5BFB">
      <w:pPr>
        <w:jc w:val="both"/>
        <w:rPr>
          <w:rFonts w:ascii="Arial" w:hAnsi="Arial"/>
          <w:sz w:val="22"/>
          <w:szCs w:val="22"/>
        </w:rPr>
      </w:pPr>
    </w:p>
    <w:p w:rsidR="008B1643" w:rsidRPr="004A4B88" w:rsidRDefault="008B1643" w:rsidP="00300C63">
      <w:pPr>
        <w:pStyle w:val="ListParagraph"/>
        <w:numPr>
          <w:ilvl w:val="1"/>
          <w:numId w:val="25"/>
        </w:numPr>
        <w:ind w:left="709" w:hanging="709"/>
        <w:jc w:val="both"/>
        <w:rPr>
          <w:rFonts w:ascii="Arial" w:hAnsi="Arial"/>
          <w:sz w:val="22"/>
          <w:szCs w:val="22"/>
        </w:rPr>
      </w:pPr>
      <w:r w:rsidRPr="004A4B88">
        <w:rPr>
          <w:rFonts w:ascii="Arial" w:hAnsi="Arial"/>
          <w:sz w:val="22"/>
          <w:szCs w:val="22"/>
        </w:rPr>
        <w:t xml:space="preserve">A summary of the comparative benefits and harms for </w:t>
      </w:r>
      <w:proofErr w:type="spellStart"/>
      <w:r w:rsidRPr="004A4B88">
        <w:rPr>
          <w:rFonts w:ascii="Arial" w:hAnsi="Arial"/>
          <w:sz w:val="22"/>
          <w:szCs w:val="22"/>
        </w:rPr>
        <w:t>regorafenib</w:t>
      </w:r>
      <w:proofErr w:type="spellEnd"/>
      <w:r w:rsidRPr="004A4B88">
        <w:rPr>
          <w:rFonts w:ascii="Arial" w:hAnsi="Arial"/>
          <w:sz w:val="22"/>
          <w:szCs w:val="22"/>
        </w:rPr>
        <w:t xml:space="preserve"> versus BSC is presented in the table below.</w:t>
      </w:r>
    </w:p>
    <w:p w:rsidR="008B1643" w:rsidRPr="004A4B88" w:rsidRDefault="008B1643" w:rsidP="00882085">
      <w:pPr>
        <w:pStyle w:val="ListParagraph"/>
        <w:jc w:val="both"/>
        <w:rPr>
          <w:rFonts w:ascii="Arial" w:hAnsi="Arial"/>
          <w:sz w:val="22"/>
          <w:szCs w:val="22"/>
        </w:rPr>
      </w:pPr>
    </w:p>
    <w:p w:rsidR="008B1643" w:rsidRPr="004A4B88" w:rsidRDefault="008B1643" w:rsidP="00E82913">
      <w:pPr>
        <w:widowControl w:val="0"/>
        <w:ind w:left="709"/>
        <w:jc w:val="both"/>
        <w:rPr>
          <w:rFonts w:ascii="Arial Narrow" w:hAnsi="Arial Narrow" w:cs="Arial"/>
          <w:b/>
          <w:snapToGrid w:val="0"/>
          <w:sz w:val="20"/>
          <w:szCs w:val="16"/>
          <w:lang w:eastAsia="en-US"/>
        </w:rPr>
      </w:pPr>
      <w:r w:rsidRPr="004A4B88">
        <w:rPr>
          <w:rFonts w:ascii="Arial Narrow" w:hAnsi="Arial Narrow" w:cs="Arial"/>
          <w:b/>
          <w:snapToGrid w:val="0"/>
          <w:sz w:val="20"/>
          <w:szCs w:val="16"/>
          <w:lang w:eastAsia="en-US"/>
        </w:rPr>
        <w:t xml:space="preserve">Summary of comparative benefits and harms for </w:t>
      </w:r>
      <w:proofErr w:type="spellStart"/>
      <w:r w:rsidRPr="004A4B88">
        <w:rPr>
          <w:rFonts w:ascii="Arial Narrow" w:hAnsi="Arial Narrow" w:cs="Arial"/>
          <w:b/>
          <w:snapToGrid w:val="0"/>
          <w:sz w:val="20"/>
          <w:szCs w:val="16"/>
          <w:lang w:eastAsia="en-US"/>
        </w:rPr>
        <w:t>regorafenib</w:t>
      </w:r>
      <w:proofErr w:type="spellEnd"/>
      <w:r w:rsidRPr="004A4B88">
        <w:rPr>
          <w:rFonts w:ascii="Arial Narrow" w:hAnsi="Arial Narrow" w:cs="Arial"/>
          <w:b/>
          <w:snapToGrid w:val="0"/>
          <w:sz w:val="20"/>
          <w:szCs w:val="16"/>
          <w:lang w:eastAsia="en-US"/>
        </w:rPr>
        <w:t xml:space="preserve"> and BSC</w:t>
      </w:r>
    </w:p>
    <w:tbl>
      <w:tblPr>
        <w:tblW w:w="464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Summary of comparative benefits and harms for regorafenib and BSC"/>
      </w:tblPr>
      <w:tblGrid>
        <w:gridCol w:w="933"/>
        <w:gridCol w:w="520"/>
        <w:gridCol w:w="703"/>
        <w:gridCol w:w="319"/>
        <w:gridCol w:w="928"/>
        <w:gridCol w:w="572"/>
        <w:gridCol w:w="580"/>
        <w:gridCol w:w="582"/>
        <w:gridCol w:w="816"/>
        <w:gridCol w:w="278"/>
        <w:gridCol w:w="999"/>
        <w:gridCol w:w="1204"/>
      </w:tblGrid>
      <w:tr w:rsidR="008B1643" w:rsidRPr="004A4B88" w:rsidTr="00F06220">
        <w:trPr>
          <w:trHeight w:val="150"/>
        </w:trPr>
        <w:tc>
          <w:tcPr>
            <w:tcW w:w="553" w:type="pct"/>
            <w:vMerge w:val="restart"/>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Trial</w:t>
            </w:r>
          </w:p>
        </w:tc>
        <w:tc>
          <w:tcPr>
            <w:tcW w:w="725" w:type="pct"/>
            <w:gridSpan w:val="2"/>
            <w:vMerge w:val="restar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roofErr w:type="spellStart"/>
            <w:r w:rsidRPr="004A4B88">
              <w:rPr>
                <w:rFonts w:ascii="Arial Narrow" w:hAnsi="Arial Narrow" w:cs="Arial"/>
                <w:b/>
                <w:snapToGrid w:val="0"/>
                <w:color w:val="000000"/>
                <w:sz w:val="20"/>
                <w:szCs w:val="18"/>
                <w:lang w:eastAsia="en-US"/>
              </w:rPr>
              <w:t>regorafenib</w:t>
            </w:r>
            <w:proofErr w:type="spellEnd"/>
          </w:p>
        </w:tc>
        <w:tc>
          <w:tcPr>
            <w:tcW w:w="739" w:type="pct"/>
            <w:gridSpan w:val="2"/>
            <w:vMerge w:val="restar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BSC</w:t>
            </w:r>
          </w:p>
        </w:tc>
        <w:tc>
          <w:tcPr>
            <w:tcW w:w="683" w:type="pct"/>
            <w:gridSpan w:val="2"/>
            <w:vMerge w:val="restar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RR</w:t>
            </w:r>
          </w:p>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(95% CI)</w:t>
            </w:r>
          </w:p>
        </w:tc>
        <w:tc>
          <w:tcPr>
            <w:tcW w:w="1586" w:type="pct"/>
            <w:gridSpan w:val="4"/>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 xml:space="preserve">Event rate/100 patients/* </w:t>
            </w:r>
          </w:p>
        </w:tc>
        <w:tc>
          <w:tcPr>
            <w:tcW w:w="714" w:type="pct"/>
            <w:vMerge w:val="restar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RD</w:t>
            </w:r>
          </w:p>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(95% CI)</w:t>
            </w:r>
          </w:p>
        </w:tc>
      </w:tr>
      <w:tr w:rsidR="008B1643" w:rsidRPr="004A4B88" w:rsidTr="00F06220">
        <w:trPr>
          <w:trHeight w:val="315"/>
        </w:trPr>
        <w:tc>
          <w:tcPr>
            <w:tcW w:w="553" w:type="pct"/>
            <w:vMerge/>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p>
        </w:tc>
        <w:tc>
          <w:tcPr>
            <w:tcW w:w="725" w:type="pct"/>
            <w:gridSpan w:val="2"/>
            <w:vMerge/>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
        </w:tc>
        <w:tc>
          <w:tcPr>
            <w:tcW w:w="739" w:type="pct"/>
            <w:gridSpan w:val="2"/>
            <w:vMerge/>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
        </w:tc>
        <w:tc>
          <w:tcPr>
            <w:tcW w:w="683" w:type="pct"/>
            <w:gridSpan w:val="2"/>
            <w:vMerge/>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
        </w:tc>
        <w:tc>
          <w:tcPr>
            <w:tcW w:w="829" w:type="pct"/>
            <w:gridSpan w:val="2"/>
            <w:vAlign w:val="center"/>
          </w:tcPr>
          <w:p w:rsidR="008B1643" w:rsidRPr="004A4B88" w:rsidRDefault="00AB7384" w:rsidP="00F06220">
            <w:pPr>
              <w:widowControl w:val="0"/>
              <w:jc w:val="center"/>
              <w:rPr>
                <w:rFonts w:ascii="Arial Narrow" w:hAnsi="Arial Narrow" w:cs="Arial"/>
                <w:b/>
                <w:snapToGrid w:val="0"/>
                <w:color w:val="000000"/>
                <w:sz w:val="20"/>
                <w:szCs w:val="18"/>
                <w:lang w:eastAsia="en-US"/>
              </w:rPr>
            </w:pPr>
            <w:proofErr w:type="spellStart"/>
            <w:r w:rsidRPr="004A4B88">
              <w:rPr>
                <w:rFonts w:ascii="Arial Narrow" w:hAnsi="Arial Narrow" w:cs="Arial"/>
                <w:b/>
                <w:snapToGrid w:val="0"/>
                <w:color w:val="000000"/>
                <w:sz w:val="20"/>
                <w:szCs w:val="18"/>
                <w:lang w:eastAsia="en-US"/>
              </w:rPr>
              <w:t>regorafenib</w:t>
            </w:r>
            <w:proofErr w:type="spellEnd"/>
          </w:p>
        </w:tc>
        <w:tc>
          <w:tcPr>
            <w:tcW w:w="757" w:type="pct"/>
            <w:gridSpan w:val="2"/>
            <w:vAlign w:val="center"/>
          </w:tcPr>
          <w:p w:rsidR="008B1643" w:rsidRPr="004A4B88" w:rsidRDefault="00AB7384"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BSC</w:t>
            </w:r>
          </w:p>
        </w:tc>
        <w:tc>
          <w:tcPr>
            <w:tcW w:w="714" w:type="pct"/>
            <w:vMerge/>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
        </w:tc>
      </w:tr>
      <w:tr w:rsidR="008B1643" w:rsidRPr="004A4B88" w:rsidTr="00F06220">
        <w:tc>
          <w:tcPr>
            <w:tcW w:w="5000" w:type="pct"/>
            <w:gridSpan w:val="12"/>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Benefits</w:t>
            </w:r>
          </w:p>
        </w:tc>
      </w:tr>
      <w:tr w:rsidR="008B1643" w:rsidRPr="004A4B88" w:rsidTr="00F06220">
        <w:tc>
          <w:tcPr>
            <w:tcW w:w="5000" w:type="pct"/>
            <w:gridSpan w:val="12"/>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Dichotomous Outcome I</w:t>
            </w:r>
          </w:p>
        </w:tc>
      </w:tr>
      <w:tr w:rsidR="008B1643" w:rsidRPr="004A4B88" w:rsidTr="00F06220">
        <w:tc>
          <w:tcPr>
            <w:tcW w:w="553" w:type="pct"/>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Deaths</w:t>
            </w:r>
          </w:p>
        </w:tc>
        <w:tc>
          <w:tcPr>
            <w:tcW w:w="725"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275/505</w:t>
            </w:r>
          </w:p>
        </w:tc>
        <w:tc>
          <w:tcPr>
            <w:tcW w:w="73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157/255</w:t>
            </w:r>
          </w:p>
        </w:tc>
        <w:tc>
          <w:tcPr>
            <w:tcW w:w="683"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0.774</w:t>
            </w:r>
          </w:p>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(0.636,0.942)</w:t>
            </w:r>
          </w:p>
        </w:tc>
        <w:tc>
          <w:tcPr>
            <w:tcW w:w="82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54.4</w:t>
            </w:r>
          </w:p>
        </w:tc>
        <w:tc>
          <w:tcPr>
            <w:tcW w:w="757"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61.6</w:t>
            </w:r>
          </w:p>
        </w:tc>
        <w:tc>
          <w:tcPr>
            <w:tcW w:w="714" w:type="pct"/>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7.2</w:t>
            </w:r>
          </w:p>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(3.0, 14)</w:t>
            </w:r>
          </w:p>
        </w:tc>
      </w:tr>
      <w:tr w:rsidR="008B1643" w:rsidRPr="004A4B88" w:rsidTr="00F06220">
        <w:tc>
          <w:tcPr>
            <w:tcW w:w="553" w:type="pct"/>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Median (</w:t>
            </w:r>
            <w:proofErr w:type="spellStart"/>
            <w:r w:rsidRPr="004A4B88">
              <w:rPr>
                <w:rFonts w:ascii="Arial Narrow" w:hAnsi="Arial Narrow" w:cs="Arial"/>
                <w:snapToGrid w:val="0"/>
                <w:color w:val="000000"/>
                <w:sz w:val="20"/>
                <w:szCs w:val="18"/>
                <w:lang w:eastAsia="en-US"/>
              </w:rPr>
              <w:t>mths</w:t>
            </w:r>
            <w:proofErr w:type="spellEnd"/>
            <w:r w:rsidRPr="004A4B88">
              <w:rPr>
                <w:rFonts w:ascii="Arial Narrow" w:hAnsi="Arial Narrow" w:cs="Arial"/>
                <w:snapToGrid w:val="0"/>
                <w:color w:val="000000"/>
                <w:sz w:val="20"/>
                <w:szCs w:val="18"/>
                <w:lang w:eastAsia="en-US"/>
              </w:rPr>
              <w:t>) [IQR]</w:t>
            </w:r>
          </w:p>
        </w:tc>
        <w:tc>
          <w:tcPr>
            <w:tcW w:w="725" w:type="pct"/>
            <w:gridSpan w:val="2"/>
          </w:tcPr>
          <w:p w:rsidR="008B1643" w:rsidRPr="004A4B88" w:rsidRDefault="008B1643" w:rsidP="00F06220">
            <w:pPr>
              <w:widowControl w:val="0"/>
              <w:jc w:val="center"/>
              <w:rPr>
                <w:rFonts w:ascii="Arial Narrow" w:hAnsi="Arial Narrow" w:cs="Arial"/>
                <w:snapToGrid w:val="0"/>
                <w:sz w:val="20"/>
                <w:szCs w:val="20"/>
                <w:lang w:eastAsia="en-US"/>
              </w:rPr>
            </w:pPr>
          </w:p>
          <w:p w:rsidR="008B1643" w:rsidRPr="004A4B88" w:rsidRDefault="008B1643" w:rsidP="00F06220">
            <w:pPr>
              <w:widowControl w:val="0"/>
              <w:jc w:val="center"/>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6.4(3-11.8)</w:t>
            </w:r>
          </w:p>
        </w:tc>
        <w:tc>
          <w:tcPr>
            <w:tcW w:w="739" w:type="pct"/>
            <w:gridSpan w:val="2"/>
          </w:tcPr>
          <w:p w:rsidR="008B1643" w:rsidRPr="004A4B88" w:rsidRDefault="008B1643" w:rsidP="00F06220">
            <w:pPr>
              <w:widowControl w:val="0"/>
              <w:jc w:val="center"/>
              <w:rPr>
                <w:rFonts w:ascii="Arial Narrow" w:hAnsi="Arial Narrow" w:cs="Arial"/>
                <w:snapToGrid w:val="0"/>
                <w:sz w:val="20"/>
                <w:szCs w:val="20"/>
                <w:lang w:eastAsia="en-US"/>
              </w:rPr>
            </w:pPr>
          </w:p>
          <w:p w:rsidR="008B1643" w:rsidRPr="004A4B88" w:rsidRDefault="008B1643" w:rsidP="00F06220">
            <w:pPr>
              <w:widowControl w:val="0"/>
              <w:jc w:val="center"/>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5.0 (2.8-10.4)</w:t>
            </w:r>
          </w:p>
        </w:tc>
        <w:tc>
          <w:tcPr>
            <w:tcW w:w="683"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w:t>
            </w:r>
          </w:p>
        </w:tc>
        <w:tc>
          <w:tcPr>
            <w:tcW w:w="82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w:t>
            </w:r>
          </w:p>
        </w:tc>
        <w:tc>
          <w:tcPr>
            <w:tcW w:w="757"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w:t>
            </w:r>
          </w:p>
        </w:tc>
        <w:tc>
          <w:tcPr>
            <w:tcW w:w="714" w:type="pct"/>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1.4 months</w:t>
            </w:r>
          </w:p>
        </w:tc>
      </w:tr>
      <w:tr w:rsidR="008B1643" w:rsidRPr="004A4B88" w:rsidTr="00F06220">
        <w:tc>
          <w:tcPr>
            <w:tcW w:w="5000" w:type="pct"/>
            <w:gridSpan w:val="12"/>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Dichotomous Outcome 2</w:t>
            </w:r>
          </w:p>
        </w:tc>
      </w:tr>
      <w:tr w:rsidR="008B1643" w:rsidRPr="004A4B88" w:rsidTr="00F06220">
        <w:tc>
          <w:tcPr>
            <w:tcW w:w="553" w:type="pct"/>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Progression</w:t>
            </w:r>
          </w:p>
        </w:tc>
        <w:tc>
          <w:tcPr>
            <w:tcW w:w="725" w:type="pct"/>
            <w:gridSpan w:val="2"/>
          </w:tcPr>
          <w:p w:rsidR="008B1643" w:rsidRPr="004A4B88" w:rsidRDefault="008B1643" w:rsidP="00F06220">
            <w:pPr>
              <w:widowControl w:val="0"/>
              <w:jc w:val="center"/>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430/505</w:t>
            </w:r>
          </w:p>
        </w:tc>
        <w:tc>
          <w:tcPr>
            <w:tcW w:w="739" w:type="pct"/>
            <w:gridSpan w:val="2"/>
          </w:tcPr>
          <w:p w:rsidR="008B1643" w:rsidRPr="004A4B88" w:rsidRDefault="008B1643" w:rsidP="00F06220">
            <w:pPr>
              <w:widowControl w:val="0"/>
              <w:jc w:val="center"/>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241/255</w:t>
            </w:r>
          </w:p>
        </w:tc>
        <w:tc>
          <w:tcPr>
            <w:tcW w:w="683"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0.494</w:t>
            </w:r>
          </w:p>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(0.419,0.582)</w:t>
            </w:r>
          </w:p>
        </w:tc>
        <w:tc>
          <w:tcPr>
            <w:tcW w:w="82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85.1</w:t>
            </w:r>
          </w:p>
        </w:tc>
        <w:tc>
          <w:tcPr>
            <w:tcW w:w="757"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94.5</w:t>
            </w:r>
          </w:p>
        </w:tc>
        <w:tc>
          <w:tcPr>
            <w:tcW w:w="714" w:type="pct"/>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9.4</w:t>
            </w:r>
          </w:p>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(4.0,13.0)</w:t>
            </w:r>
          </w:p>
        </w:tc>
      </w:tr>
      <w:tr w:rsidR="008B1643" w:rsidRPr="004A4B88" w:rsidTr="00F06220">
        <w:tc>
          <w:tcPr>
            <w:tcW w:w="553" w:type="pct"/>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Median (</w:t>
            </w:r>
            <w:proofErr w:type="spellStart"/>
            <w:r w:rsidRPr="004A4B88">
              <w:rPr>
                <w:rFonts w:ascii="Arial Narrow" w:hAnsi="Arial Narrow" w:cs="Arial"/>
                <w:snapToGrid w:val="0"/>
                <w:color w:val="000000"/>
                <w:sz w:val="20"/>
                <w:szCs w:val="18"/>
                <w:lang w:eastAsia="en-US"/>
              </w:rPr>
              <w:t>mths</w:t>
            </w:r>
            <w:proofErr w:type="spellEnd"/>
            <w:r w:rsidRPr="004A4B88">
              <w:rPr>
                <w:rFonts w:ascii="Arial Narrow" w:hAnsi="Arial Narrow" w:cs="Arial"/>
                <w:snapToGrid w:val="0"/>
                <w:color w:val="000000"/>
                <w:sz w:val="20"/>
                <w:szCs w:val="18"/>
                <w:lang w:eastAsia="en-US"/>
              </w:rPr>
              <w:t>) [IQR]</w:t>
            </w:r>
          </w:p>
        </w:tc>
        <w:tc>
          <w:tcPr>
            <w:tcW w:w="725" w:type="pct"/>
            <w:gridSpan w:val="2"/>
          </w:tcPr>
          <w:p w:rsidR="008B1643" w:rsidRPr="004A4B88" w:rsidRDefault="008B1643" w:rsidP="00F06220">
            <w:pPr>
              <w:widowControl w:val="0"/>
              <w:jc w:val="center"/>
              <w:rPr>
                <w:rFonts w:ascii="Arial Narrow" w:hAnsi="Arial Narrow" w:cs="Arial"/>
                <w:snapToGrid w:val="0"/>
                <w:sz w:val="20"/>
                <w:szCs w:val="20"/>
                <w:lang w:eastAsia="en-US"/>
              </w:rPr>
            </w:pPr>
          </w:p>
          <w:p w:rsidR="008B1643" w:rsidRPr="004A4B88" w:rsidRDefault="008B1643" w:rsidP="00F06220">
            <w:pPr>
              <w:widowControl w:val="0"/>
              <w:jc w:val="center"/>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1.9(1.6-3.9)</w:t>
            </w:r>
          </w:p>
        </w:tc>
        <w:tc>
          <w:tcPr>
            <w:tcW w:w="739" w:type="pct"/>
            <w:gridSpan w:val="2"/>
          </w:tcPr>
          <w:p w:rsidR="008B1643" w:rsidRPr="004A4B88" w:rsidRDefault="008B1643" w:rsidP="00F06220">
            <w:pPr>
              <w:widowControl w:val="0"/>
              <w:jc w:val="center"/>
              <w:rPr>
                <w:rFonts w:ascii="Arial Narrow" w:hAnsi="Arial Narrow" w:cs="Arial"/>
                <w:snapToGrid w:val="0"/>
                <w:sz w:val="20"/>
                <w:szCs w:val="20"/>
                <w:lang w:eastAsia="en-US"/>
              </w:rPr>
            </w:pPr>
          </w:p>
          <w:p w:rsidR="008B1643" w:rsidRPr="004A4B88" w:rsidRDefault="008B1643" w:rsidP="00F06220">
            <w:pPr>
              <w:widowControl w:val="0"/>
              <w:jc w:val="center"/>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1.7(1.4-1.9)</w:t>
            </w:r>
          </w:p>
        </w:tc>
        <w:tc>
          <w:tcPr>
            <w:tcW w:w="683"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w:t>
            </w:r>
          </w:p>
        </w:tc>
        <w:tc>
          <w:tcPr>
            <w:tcW w:w="82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w:t>
            </w:r>
          </w:p>
        </w:tc>
        <w:tc>
          <w:tcPr>
            <w:tcW w:w="757"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w:t>
            </w:r>
          </w:p>
        </w:tc>
        <w:tc>
          <w:tcPr>
            <w:tcW w:w="714" w:type="pct"/>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0.2 months</w:t>
            </w:r>
          </w:p>
        </w:tc>
      </w:tr>
      <w:tr w:rsidR="008B1643" w:rsidRPr="004A4B88" w:rsidTr="00F06220">
        <w:tc>
          <w:tcPr>
            <w:tcW w:w="5000" w:type="pct"/>
            <w:gridSpan w:val="12"/>
            <w:tcBorders>
              <w:top w:val="double" w:sz="4" w:space="0" w:color="auto"/>
            </w:tcBorders>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Continuous Outcome I: change from baseline EQ-5D</w:t>
            </w:r>
          </w:p>
        </w:tc>
      </w:tr>
      <w:tr w:rsidR="008B1643" w:rsidRPr="004A4B88" w:rsidTr="00CE3A48">
        <w:trPr>
          <w:trHeight w:val="225"/>
        </w:trPr>
        <w:tc>
          <w:tcPr>
            <w:tcW w:w="553" w:type="pct"/>
            <w:vMerge w:val="restart"/>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p>
        </w:tc>
        <w:tc>
          <w:tcPr>
            <w:tcW w:w="1464" w:type="pct"/>
            <w:gridSpan w:val="4"/>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proofErr w:type="spellStart"/>
            <w:r w:rsidRPr="004A4B88">
              <w:rPr>
                <w:rFonts w:ascii="Arial Narrow" w:hAnsi="Arial Narrow" w:cs="Arial"/>
                <w:b/>
                <w:snapToGrid w:val="0"/>
                <w:color w:val="000000"/>
                <w:sz w:val="20"/>
                <w:szCs w:val="18"/>
                <w:lang w:eastAsia="en-US"/>
              </w:rPr>
              <w:t>regorafenib</w:t>
            </w:r>
            <w:proofErr w:type="spellEnd"/>
          </w:p>
        </w:tc>
        <w:tc>
          <w:tcPr>
            <w:tcW w:w="1677" w:type="pct"/>
            <w:gridSpan w:val="5"/>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b/>
                <w:snapToGrid w:val="0"/>
                <w:color w:val="000000"/>
                <w:sz w:val="20"/>
                <w:szCs w:val="18"/>
                <w:lang w:eastAsia="en-US"/>
              </w:rPr>
              <w:t>BSC</w:t>
            </w:r>
          </w:p>
        </w:tc>
        <w:tc>
          <w:tcPr>
            <w:tcW w:w="1306" w:type="pct"/>
            <w:gridSpan w:val="2"/>
            <w:vMerge w:val="restart"/>
            <w:vAlign w:val="center"/>
          </w:tcPr>
          <w:p w:rsidR="008B1643" w:rsidRPr="004A4B88" w:rsidRDefault="008B1643" w:rsidP="00F06220">
            <w:pPr>
              <w:widowControl w:val="0"/>
              <w:jc w:val="center"/>
              <w:rPr>
                <w:rFonts w:ascii="Arial Narrow" w:hAnsi="Arial Narrow" w:cs="Arial"/>
                <w:b/>
                <w:snapToGrid w:val="0"/>
                <w:sz w:val="20"/>
                <w:szCs w:val="18"/>
                <w:lang w:eastAsia="en-US"/>
              </w:rPr>
            </w:pPr>
            <w:r w:rsidRPr="004A4B88">
              <w:rPr>
                <w:rFonts w:ascii="Arial Narrow" w:hAnsi="Arial Narrow" w:cs="Arial"/>
                <w:b/>
                <w:snapToGrid w:val="0"/>
                <w:sz w:val="20"/>
                <w:szCs w:val="18"/>
                <w:lang w:eastAsia="en-US"/>
              </w:rPr>
              <w:t xml:space="preserve">Mean difference*: </w:t>
            </w:r>
          </w:p>
          <w:p w:rsidR="008B1643" w:rsidRPr="004A4B88" w:rsidRDefault="008B1643" w:rsidP="00F06220">
            <w:pPr>
              <w:widowControl w:val="0"/>
              <w:jc w:val="center"/>
              <w:rPr>
                <w:rFonts w:ascii="Arial Narrow" w:hAnsi="Arial Narrow" w:cs="Arial"/>
                <w:b/>
                <w:snapToGrid w:val="0"/>
                <w:sz w:val="20"/>
                <w:szCs w:val="18"/>
                <w:lang w:eastAsia="en-US"/>
              </w:rPr>
            </w:pPr>
            <w:proofErr w:type="spellStart"/>
            <w:r w:rsidRPr="004A4B88">
              <w:rPr>
                <w:rFonts w:ascii="Arial Narrow" w:hAnsi="Arial Narrow" w:cs="Arial"/>
                <w:b/>
                <w:snapToGrid w:val="0"/>
                <w:sz w:val="20"/>
                <w:szCs w:val="18"/>
                <w:lang w:eastAsia="en-US"/>
              </w:rPr>
              <w:t>regorafenib</w:t>
            </w:r>
            <w:proofErr w:type="spellEnd"/>
            <w:r w:rsidRPr="004A4B88">
              <w:rPr>
                <w:rFonts w:ascii="Arial Narrow" w:hAnsi="Arial Narrow" w:cs="Arial"/>
                <w:b/>
                <w:snapToGrid w:val="0"/>
                <w:sz w:val="20"/>
                <w:szCs w:val="18"/>
                <w:lang w:eastAsia="en-US"/>
              </w:rPr>
              <w:t xml:space="preserve"> vs. BSC</w:t>
            </w:r>
          </w:p>
          <w:p w:rsidR="008B1643" w:rsidRPr="004A4B88" w:rsidRDefault="008B1643" w:rsidP="00F06220">
            <w:pPr>
              <w:widowControl w:val="0"/>
              <w:jc w:val="center"/>
              <w:rPr>
                <w:rFonts w:ascii="Arial Narrow" w:hAnsi="Arial Narrow" w:cs="Arial"/>
                <w:b/>
                <w:snapToGrid w:val="0"/>
                <w:sz w:val="20"/>
                <w:szCs w:val="18"/>
                <w:lang w:eastAsia="en-US"/>
              </w:rPr>
            </w:pPr>
            <w:r w:rsidRPr="004A4B88">
              <w:rPr>
                <w:rFonts w:ascii="Arial Narrow" w:hAnsi="Arial Narrow" w:cs="Arial"/>
                <w:b/>
                <w:snapToGrid w:val="0"/>
                <w:sz w:val="20"/>
                <w:szCs w:val="18"/>
                <w:lang w:eastAsia="en-US"/>
              </w:rPr>
              <w:t>(95% CI)</w:t>
            </w:r>
          </w:p>
        </w:tc>
      </w:tr>
      <w:tr w:rsidR="008B1643" w:rsidRPr="004A4B88" w:rsidTr="00CE3A48">
        <w:trPr>
          <w:trHeight w:val="225"/>
        </w:trPr>
        <w:tc>
          <w:tcPr>
            <w:tcW w:w="553" w:type="pct"/>
            <w:vMerge/>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p>
        </w:tc>
        <w:tc>
          <w:tcPr>
            <w:tcW w:w="308" w:type="pc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n</w:t>
            </w:r>
          </w:p>
        </w:tc>
        <w:tc>
          <w:tcPr>
            <w:tcW w:w="606" w:type="pct"/>
            <w:gridSpan w:val="2"/>
            <w:vAlign w:val="center"/>
          </w:tcPr>
          <w:p w:rsidR="008B1643" w:rsidRPr="004A4B88" w:rsidRDefault="008B1643" w:rsidP="00F06220">
            <w:pPr>
              <w:widowControl w:val="0"/>
              <w:jc w:val="center"/>
              <w:rPr>
                <w:rFonts w:ascii="Arial Narrow" w:hAnsi="Arial Narrow" w:cs="Arial"/>
                <w:b/>
                <w:snapToGrid w:val="0"/>
                <w:sz w:val="20"/>
                <w:szCs w:val="18"/>
                <w:lang w:eastAsia="en-US"/>
              </w:rPr>
            </w:pPr>
            <w:r w:rsidRPr="004A4B88">
              <w:rPr>
                <w:rFonts w:ascii="Arial Narrow" w:hAnsi="Arial Narrow" w:cs="Arial"/>
                <w:b/>
                <w:snapToGrid w:val="0"/>
                <w:sz w:val="20"/>
                <w:szCs w:val="18"/>
                <w:lang w:eastAsia="en-US"/>
              </w:rPr>
              <w:t>Mean ∆ baseline EQ-5D</w:t>
            </w:r>
          </w:p>
        </w:tc>
        <w:tc>
          <w:tcPr>
            <w:tcW w:w="550" w:type="pct"/>
            <w:vAlign w:val="center"/>
          </w:tcPr>
          <w:p w:rsidR="008B1643" w:rsidRPr="004A4B88" w:rsidRDefault="008B1643" w:rsidP="00F06220">
            <w:pPr>
              <w:widowControl w:val="0"/>
              <w:jc w:val="center"/>
              <w:rPr>
                <w:rFonts w:ascii="Arial Narrow" w:hAnsi="Arial Narrow" w:cs="Arial"/>
                <w:b/>
                <w:snapToGrid w:val="0"/>
                <w:sz w:val="20"/>
                <w:szCs w:val="18"/>
                <w:lang w:eastAsia="en-US"/>
              </w:rPr>
            </w:pPr>
            <w:r w:rsidRPr="004A4B88">
              <w:rPr>
                <w:rFonts w:ascii="Arial Narrow" w:hAnsi="Arial Narrow" w:cs="Arial"/>
                <w:b/>
                <w:snapToGrid w:val="0"/>
                <w:sz w:val="20"/>
                <w:szCs w:val="18"/>
                <w:lang w:eastAsia="en-US"/>
              </w:rPr>
              <w:t>SD</w:t>
            </w:r>
          </w:p>
        </w:tc>
        <w:tc>
          <w:tcPr>
            <w:tcW w:w="339" w:type="pc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n</w:t>
            </w:r>
          </w:p>
        </w:tc>
        <w:tc>
          <w:tcPr>
            <w:tcW w:w="689" w:type="pct"/>
            <w:gridSpan w:val="2"/>
            <w:vAlign w:val="center"/>
          </w:tcPr>
          <w:p w:rsidR="008B1643" w:rsidRPr="004A4B88" w:rsidRDefault="008B1643" w:rsidP="00F06220">
            <w:pPr>
              <w:widowControl w:val="0"/>
              <w:jc w:val="center"/>
              <w:rPr>
                <w:rFonts w:ascii="Arial Narrow" w:hAnsi="Arial Narrow" w:cs="Arial"/>
                <w:b/>
                <w:snapToGrid w:val="0"/>
                <w:sz w:val="20"/>
                <w:szCs w:val="18"/>
                <w:lang w:eastAsia="en-US"/>
              </w:rPr>
            </w:pPr>
            <w:r w:rsidRPr="004A4B88">
              <w:rPr>
                <w:rFonts w:ascii="Arial Narrow" w:hAnsi="Arial Narrow" w:cs="Arial"/>
                <w:b/>
                <w:snapToGrid w:val="0"/>
                <w:sz w:val="20"/>
                <w:szCs w:val="18"/>
                <w:lang w:eastAsia="en-US"/>
              </w:rPr>
              <w:t>Mean ∆ baseline EQ-5D</w:t>
            </w:r>
          </w:p>
        </w:tc>
        <w:tc>
          <w:tcPr>
            <w:tcW w:w="649" w:type="pct"/>
            <w:gridSpan w:val="2"/>
            <w:vAlign w:val="center"/>
          </w:tcPr>
          <w:p w:rsidR="008B1643" w:rsidRPr="004A4B88" w:rsidRDefault="008B1643" w:rsidP="00F06220">
            <w:pPr>
              <w:widowControl w:val="0"/>
              <w:jc w:val="center"/>
              <w:rPr>
                <w:rFonts w:ascii="Arial Narrow" w:hAnsi="Arial Narrow" w:cs="Arial"/>
                <w:b/>
                <w:snapToGrid w:val="0"/>
                <w:sz w:val="20"/>
                <w:szCs w:val="18"/>
                <w:lang w:eastAsia="en-US"/>
              </w:rPr>
            </w:pPr>
            <w:r w:rsidRPr="004A4B88">
              <w:rPr>
                <w:rFonts w:ascii="Arial Narrow" w:hAnsi="Arial Narrow" w:cs="Arial"/>
                <w:b/>
                <w:snapToGrid w:val="0"/>
                <w:sz w:val="20"/>
                <w:szCs w:val="18"/>
                <w:lang w:eastAsia="en-US"/>
              </w:rPr>
              <w:t>SD</w:t>
            </w:r>
          </w:p>
        </w:tc>
        <w:tc>
          <w:tcPr>
            <w:tcW w:w="1306" w:type="pct"/>
            <w:gridSpan w:val="2"/>
            <w:vMerge/>
            <w:vAlign w:val="center"/>
          </w:tcPr>
          <w:p w:rsidR="008B1643" w:rsidRPr="004A4B88" w:rsidRDefault="008B1643" w:rsidP="00F06220">
            <w:pPr>
              <w:widowControl w:val="0"/>
              <w:jc w:val="center"/>
              <w:rPr>
                <w:rFonts w:ascii="Arial Narrow" w:hAnsi="Arial Narrow" w:cs="Arial"/>
                <w:b/>
                <w:snapToGrid w:val="0"/>
                <w:sz w:val="20"/>
                <w:szCs w:val="18"/>
                <w:lang w:eastAsia="en-US"/>
              </w:rPr>
            </w:pPr>
          </w:p>
        </w:tc>
      </w:tr>
      <w:tr w:rsidR="008B1643" w:rsidRPr="004A4B88" w:rsidTr="00CE3A48">
        <w:tc>
          <w:tcPr>
            <w:tcW w:w="553" w:type="pct"/>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Cycle 2</w:t>
            </w:r>
          </w:p>
        </w:tc>
        <w:tc>
          <w:tcPr>
            <w:tcW w:w="308" w:type="pct"/>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354</w:t>
            </w:r>
          </w:p>
        </w:tc>
        <w:tc>
          <w:tcPr>
            <w:tcW w:w="606"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-0.075</w:t>
            </w:r>
          </w:p>
        </w:tc>
        <w:tc>
          <w:tcPr>
            <w:tcW w:w="550" w:type="pct"/>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0.25</w:t>
            </w:r>
          </w:p>
        </w:tc>
        <w:tc>
          <w:tcPr>
            <w:tcW w:w="339" w:type="pct"/>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187</w:t>
            </w:r>
          </w:p>
        </w:tc>
        <w:tc>
          <w:tcPr>
            <w:tcW w:w="68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-0.071</w:t>
            </w:r>
          </w:p>
        </w:tc>
        <w:tc>
          <w:tcPr>
            <w:tcW w:w="64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0.243</w:t>
            </w:r>
          </w:p>
        </w:tc>
        <w:tc>
          <w:tcPr>
            <w:tcW w:w="1306" w:type="pct"/>
            <w:gridSpan w:val="2"/>
            <w:vAlign w:val="center"/>
          </w:tcPr>
          <w:p w:rsidR="008B1643" w:rsidRPr="004A4B88" w:rsidRDefault="008B1643" w:rsidP="00F06220">
            <w:pPr>
              <w:widowControl w:val="0"/>
              <w:jc w:val="center"/>
              <w:rPr>
                <w:rFonts w:ascii="Arial Narrow" w:hAnsi="Arial Narrow" w:cs="Arial"/>
                <w:snapToGrid w:val="0"/>
                <w:sz w:val="20"/>
                <w:szCs w:val="18"/>
                <w:lang w:eastAsia="en-US"/>
              </w:rPr>
            </w:pPr>
            <w:r w:rsidRPr="004A4B88">
              <w:rPr>
                <w:rFonts w:ascii="Arial Narrow" w:hAnsi="Arial Narrow" w:cs="Arial"/>
                <w:snapToGrid w:val="0"/>
                <w:sz w:val="20"/>
                <w:szCs w:val="18"/>
                <w:lang w:eastAsia="en-US"/>
              </w:rPr>
              <w:t>0.004 (NR)</w:t>
            </w:r>
          </w:p>
        </w:tc>
      </w:tr>
      <w:tr w:rsidR="008B1643" w:rsidRPr="004A4B88" w:rsidTr="00CE3A48">
        <w:tc>
          <w:tcPr>
            <w:tcW w:w="553" w:type="pct"/>
            <w:tcBorders>
              <w:bottom w:val="double" w:sz="4" w:space="0" w:color="auto"/>
            </w:tcBorders>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EOT</w:t>
            </w:r>
          </w:p>
        </w:tc>
        <w:tc>
          <w:tcPr>
            <w:tcW w:w="308" w:type="pct"/>
            <w:tcBorders>
              <w:bottom w:val="double" w:sz="4" w:space="0" w:color="auto"/>
            </w:tcBorders>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262</w:t>
            </w:r>
          </w:p>
        </w:tc>
        <w:tc>
          <w:tcPr>
            <w:tcW w:w="606" w:type="pct"/>
            <w:gridSpan w:val="2"/>
            <w:tcBorders>
              <w:bottom w:val="double" w:sz="4" w:space="0" w:color="auto"/>
            </w:tcBorders>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-0.159</w:t>
            </w:r>
          </w:p>
        </w:tc>
        <w:tc>
          <w:tcPr>
            <w:tcW w:w="550" w:type="pct"/>
            <w:tcBorders>
              <w:bottom w:val="double" w:sz="4" w:space="0" w:color="auto"/>
            </w:tcBorders>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0.294</w:t>
            </w:r>
          </w:p>
        </w:tc>
        <w:tc>
          <w:tcPr>
            <w:tcW w:w="339" w:type="pct"/>
            <w:tcBorders>
              <w:bottom w:val="double" w:sz="4" w:space="0" w:color="auto"/>
            </w:tcBorders>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136</w:t>
            </w:r>
          </w:p>
        </w:tc>
        <w:tc>
          <w:tcPr>
            <w:tcW w:w="689" w:type="pct"/>
            <w:gridSpan w:val="2"/>
            <w:tcBorders>
              <w:bottom w:val="double" w:sz="4" w:space="0" w:color="auto"/>
            </w:tcBorders>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-0.20</w:t>
            </w:r>
          </w:p>
        </w:tc>
        <w:tc>
          <w:tcPr>
            <w:tcW w:w="649" w:type="pct"/>
            <w:gridSpan w:val="2"/>
            <w:tcBorders>
              <w:bottom w:val="double" w:sz="4" w:space="0" w:color="auto"/>
            </w:tcBorders>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0.300</w:t>
            </w:r>
          </w:p>
        </w:tc>
        <w:tc>
          <w:tcPr>
            <w:tcW w:w="1306" w:type="pct"/>
            <w:gridSpan w:val="2"/>
            <w:tcBorders>
              <w:bottom w:val="double" w:sz="4" w:space="0" w:color="auto"/>
            </w:tcBorders>
            <w:vAlign w:val="center"/>
          </w:tcPr>
          <w:p w:rsidR="008B1643" w:rsidRPr="004A4B88" w:rsidRDefault="008B1643" w:rsidP="00F06220">
            <w:pPr>
              <w:widowControl w:val="0"/>
              <w:jc w:val="center"/>
              <w:rPr>
                <w:rFonts w:ascii="Arial Narrow" w:hAnsi="Arial Narrow" w:cs="Arial"/>
                <w:snapToGrid w:val="0"/>
                <w:sz w:val="20"/>
                <w:szCs w:val="18"/>
                <w:lang w:eastAsia="en-US"/>
              </w:rPr>
            </w:pPr>
            <w:r w:rsidRPr="004A4B88">
              <w:rPr>
                <w:rFonts w:ascii="Arial Narrow" w:hAnsi="Arial Narrow" w:cs="Arial"/>
                <w:snapToGrid w:val="0"/>
                <w:sz w:val="20"/>
                <w:szCs w:val="18"/>
                <w:lang w:eastAsia="en-US"/>
              </w:rPr>
              <w:t>0.041(NR)</w:t>
            </w:r>
          </w:p>
        </w:tc>
      </w:tr>
      <w:tr w:rsidR="008B1643" w:rsidRPr="004A4B88" w:rsidTr="00F06220">
        <w:tc>
          <w:tcPr>
            <w:tcW w:w="5000" w:type="pct"/>
            <w:gridSpan w:val="12"/>
            <w:tcBorders>
              <w:top w:val="double" w:sz="4" w:space="0" w:color="auto"/>
            </w:tcBorders>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Harms (≥ Grade 3)</w:t>
            </w:r>
          </w:p>
        </w:tc>
      </w:tr>
      <w:tr w:rsidR="008B1643" w:rsidRPr="004A4B88" w:rsidTr="00F06220">
        <w:trPr>
          <w:trHeight w:val="70"/>
        </w:trPr>
        <w:tc>
          <w:tcPr>
            <w:tcW w:w="553" w:type="pct"/>
            <w:vMerge w:val="restart"/>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p>
        </w:tc>
        <w:tc>
          <w:tcPr>
            <w:tcW w:w="725" w:type="pct"/>
            <w:gridSpan w:val="2"/>
            <w:vMerge w:val="restar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roofErr w:type="spellStart"/>
            <w:r w:rsidRPr="004A4B88">
              <w:rPr>
                <w:rFonts w:ascii="Arial Narrow" w:hAnsi="Arial Narrow" w:cs="Arial"/>
                <w:b/>
                <w:snapToGrid w:val="0"/>
                <w:color w:val="000000"/>
                <w:sz w:val="20"/>
                <w:szCs w:val="18"/>
                <w:lang w:eastAsia="en-US"/>
              </w:rPr>
              <w:t>regorafenib</w:t>
            </w:r>
            <w:proofErr w:type="spellEnd"/>
          </w:p>
        </w:tc>
        <w:tc>
          <w:tcPr>
            <w:tcW w:w="739" w:type="pct"/>
            <w:gridSpan w:val="2"/>
            <w:vMerge w:val="restar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BSC</w:t>
            </w:r>
          </w:p>
        </w:tc>
        <w:tc>
          <w:tcPr>
            <w:tcW w:w="683" w:type="pct"/>
            <w:gridSpan w:val="2"/>
            <w:vMerge w:val="restar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RR</w:t>
            </w:r>
          </w:p>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(95% CI)</w:t>
            </w:r>
          </w:p>
        </w:tc>
        <w:tc>
          <w:tcPr>
            <w:tcW w:w="1586" w:type="pct"/>
            <w:gridSpan w:val="4"/>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 xml:space="preserve">Event rate/100 patients* </w:t>
            </w:r>
          </w:p>
        </w:tc>
        <w:tc>
          <w:tcPr>
            <w:tcW w:w="714" w:type="pct"/>
            <w:vMerge w:val="restart"/>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RD</w:t>
            </w:r>
          </w:p>
          <w:p w:rsidR="008B1643" w:rsidRPr="004A4B88" w:rsidRDefault="008B1643" w:rsidP="00F06220">
            <w:pPr>
              <w:widowControl w:val="0"/>
              <w:jc w:val="center"/>
              <w:rPr>
                <w:rFonts w:ascii="Arial Narrow" w:hAnsi="Arial Narrow" w:cs="Arial"/>
                <w:b/>
                <w:snapToGrid w:val="0"/>
                <w:color w:val="000000"/>
                <w:sz w:val="20"/>
                <w:szCs w:val="18"/>
                <w:lang w:eastAsia="en-US"/>
              </w:rPr>
            </w:pPr>
          </w:p>
        </w:tc>
      </w:tr>
      <w:tr w:rsidR="008B1643" w:rsidRPr="004A4B88" w:rsidTr="00F06220">
        <w:trPr>
          <w:trHeight w:val="390"/>
        </w:trPr>
        <w:tc>
          <w:tcPr>
            <w:tcW w:w="553" w:type="pct"/>
            <w:vMerge/>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p>
        </w:tc>
        <w:tc>
          <w:tcPr>
            <w:tcW w:w="725" w:type="pct"/>
            <w:gridSpan w:val="2"/>
            <w:vMerge/>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
        </w:tc>
        <w:tc>
          <w:tcPr>
            <w:tcW w:w="739" w:type="pct"/>
            <w:gridSpan w:val="2"/>
            <w:vMerge/>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
        </w:tc>
        <w:tc>
          <w:tcPr>
            <w:tcW w:w="683" w:type="pct"/>
            <w:gridSpan w:val="2"/>
            <w:vMerge/>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
        </w:tc>
        <w:tc>
          <w:tcPr>
            <w:tcW w:w="829" w:type="pct"/>
            <w:gridSpan w:val="2"/>
            <w:vAlign w:val="center"/>
          </w:tcPr>
          <w:p w:rsidR="008B1643" w:rsidRPr="004A4B88" w:rsidRDefault="00AB7384" w:rsidP="00F06220">
            <w:pPr>
              <w:widowControl w:val="0"/>
              <w:jc w:val="center"/>
              <w:rPr>
                <w:rFonts w:ascii="Arial Narrow" w:hAnsi="Arial Narrow" w:cs="Arial"/>
                <w:b/>
                <w:snapToGrid w:val="0"/>
                <w:color w:val="000000"/>
                <w:sz w:val="20"/>
                <w:szCs w:val="18"/>
                <w:lang w:eastAsia="en-US"/>
              </w:rPr>
            </w:pPr>
            <w:proofErr w:type="spellStart"/>
            <w:r w:rsidRPr="004A4B88">
              <w:rPr>
                <w:rFonts w:ascii="Arial Narrow" w:hAnsi="Arial Narrow" w:cs="Arial"/>
                <w:b/>
                <w:snapToGrid w:val="0"/>
                <w:color w:val="000000"/>
                <w:sz w:val="20"/>
                <w:szCs w:val="18"/>
                <w:lang w:eastAsia="en-US"/>
              </w:rPr>
              <w:t>regorafenib</w:t>
            </w:r>
            <w:proofErr w:type="spellEnd"/>
          </w:p>
        </w:tc>
        <w:tc>
          <w:tcPr>
            <w:tcW w:w="757" w:type="pct"/>
            <w:gridSpan w:val="2"/>
            <w:vAlign w:val="center"/>
          </w:tcPr>
          <w:p w:rsidR="008B1643" w:rsidRPr="004A4B88" w:rsidRDefault="00AB7384" w:rsidP="00F06220">
            <w:pPr>
              <w:widowControl w:val="0"/>
              <w:jc w:val="center"/>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BSC</w:t>
            </w:r>
          </w:p>
        </w:tc>
        <w:tc>
          <w:tcPr>
            <w:tcW w:w="714" w:type="pct"/>
            <w:vMerge/>
            <w:vAlign w:val="center"/>
          </w:tcPr>
          <w:p w:rsidR="008B1643" w:rsidRPr="004A4B88" w:rsidRDefault="008B1643" w:rsidP="00F06220">
            <w:pPr>
              <w:widowControl w:val="0"/>
              <w:jc w:val="center"/>
              <w:rPr>
                <w:rFonts w:ascii="Arial Narrow" w:hAnsi="Arial Narrow" w:cs="Arial"/>
                <w:b/>
                <w:snapToGrid w:val="0"/>
                <w:color w:val="000000"/>
                <w:sz w:val="20"/>
                <w:szCs w:val="18"/>
                <w:lang w:eastAsia="en-US"/>
              </w:rPr>
            </w:pPr>
          </w:p>
        </w:tc>
      </w:tr>
      <w:tr w:rsidR="008B1643" w:rsidRPr="004A4B88" w:rsidTr="00F06220">
        <w:tc>
          <w:tcPr>
            <w:tcW w:w="5000" w:type="pct"/>
            <w:gridSpan w:val="12"/>
            <w:vAlign w:val="center"/>
          </w:tcPr>
          <w:p w:rsidR="008B1643" w:rsidRPr="004A4B88" w:rsidRDefault="008B1643" w:rsidP="00F06220">
            <w:pPr>
              <w:widowControl w:val="0"/>
              <w:jc w:val="both"/>
              <w:rPr>
                <w:rFonts w:ascii="Arial Narrow" w:hAnsi="Arial Narrow" w:cs="Arial"/>
                <w:b/>
                <w:snapToGrid w:val="0"/>
                <w:color w:val="000000"/>
                <w:sz w:val="20"/>
                <w:szCs w:val="18"/>
                <w:lang w:eastAsia="en-US"/>
              </w:rPr>
            </w:pPr>
            <w:r w:rsidRPr="004A4B88">
              <w:rPr>
                <w:rFonts w:ascii="Arial Narrow" w:hAnsi="Arial Narrow" w:cs="Arial"/>
                <w:b/>
                <w:snapToGrid w:val="0"/>
                <w:color w:val="000000"/>
                <w:sz w:val="20"/>
                <w:szCs w:val="18"/>
                <w:lang w:eastAsia="en-US"/>
              </w:rPr>
              <w:t>Adverse event I</w:t>
            </w:r>
          </w:p>
        </w:tc>
      </w:tr>
      <w:tr w:rsidR="008B1643" w:rsidRPr="004A4B88" w:rsidTr="00F06220">
        <w:tc>
          <w:tcPr>
            <w:tcW w:w="553" w:type="pct"/>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Diarrhoea</w:t>
            </w:r>
          </w:p>
        </w:tc>
        <w:tc>
          <w:tcPr>
            <w:tcW w:w="725"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42/500(0.08)</w:t>
            </w:r>
          </w:p>
        </w:tc>
        <w:tc>
          <w:tcPr>
            <w:tcW w:w="73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5/253 (0.01)</w:t>
            </w:r>
          </w:p>
        </w:tc>
        <w:tc>
          <w:tcPr>
            <w:tcW w:w="683"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3.99</w:t>
            </w:r>
          </w:p>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(1.66,9.98)</w:t>
            </w:r>
          </w:p>
        </w:tc>
        <w:tc>
          <w:tcPr>
            <w:tcW w:w="82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8.4</w:t>
            </w:r>
          </w:p>
        </w:tc>
        <w:tc>
          <w:tcPr>
            <w:tcW w:w="757"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1.97</w:t>
            </w:r>
          </w:p>
        </w:tc>
        <w:tc>
          <w:tcPr>
            <w:tcW w:w="714" w:type="pct"/>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6.42</w:t>
            </w:r>
          </w:p>
          <w:p w:rsidR="008B1643" w:rsidRPr="004A4B88" w:rsidRDefault="008B1643" w:rsidP="00F06220">
            <w:pPr>
              <w:widowControl w:val="0"/>
              <w:jc w:val="center"/>
              <w:rPr>
                <w:rFonts w:ascii="Arial Narrow" w:hAnsi="Arial Narrow" w:cs="Arial"/>
                <w:snapToGrid w:val="0"/>
                <w:color w:val="000000"/>
                <w:sz w:val="20"/>
                <w:szCs w:val="18"/>
                <w:lang w:eastAsia="en-US"/>
              </w:rPr>
            </w:pPr>
          </w:p>
        </w:tc>
      </w:tr>
      <w:tr w:rsidR="008B1643" w:rsidRPr="004A4B88" w:rsidTr="00F06220">
        <w:tc>
          <w:tcPr>
            <w:tcW w:w="5000" w:type="pct"/>
            <w:gridSpan w:val="12"/>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b/>
                <w:snapToGrid w:val="0"/>
                <w:color w:val="000000"/>
                <w:sz w:val="20"/>
                <w:szCs w:val="18"/>
                <w:lang w:eastAsia="en-US"/>
              </w:rPr>
              <w:t>Adverse event II</w:t>
            </w:r>
          </w:p>
        </w:tc>
      </w:tr>
      <w:tr w:rsidR="008B1643" w:rsidRPr="004A4B88" w:rsidTr="00F06220">
        <w:tc>
          <w:tcPr>
            <w:tcW w:w="553" w:type="pct"/>
            <w:vAlign w:val="center"/>
          </w:tcPr>
          <w:p w:rsidR="008B1643" w:rsidRPr="004A4B88" w:rsidRDefault="008B1643" w:rsidP="00F06220">
            <w:pPr>
              <w:widowControl w:val="0"/>
              <w:jc w:val="both"/>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18"/>
                <w:lang w:eastAsia="en-US"/>
              </w:rPr>
              <w:t>Hand/foot</w:t>
            </w:r>
          </w:p>
        </w:tc>
        <w:tc>
          <w:tcPr>
            <w:tcW w:w="725"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20"/>
                <w:lang w:eastAsia="en-US"/>
              </w:rPr>
              <w:t>83/500(0.16)</w:t>
            </w:r>
          </w:p>
        </w:tc>
        <w:tc>
          <w:tcPr>
            <w:tcW w:w="73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20"/>
                <w:lang w:eastAsia="en-US"/>
              </w:rPr>
              <w:t>1/253(0.004)</w:t>
            </w:r>
          </w:p>
        </w:tc>
        <w:tc>
          <w:tcPr>
            <w:tcW w:w="683"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20"/>
                <w:lang w:eastAsia="en-US"/>
              </w:rPr>
            </w:pPr>
            <w:r w:rsidRPr="004A4B88">
              <w:rPr>
                <w:rFonts w:ascii="Arial Narrow" w:hAnsi="Arial Narrow" w:cs="Arial"/>
                <w:snapToGrid w:val="0"/>
                <w:color w:val="000000"/>
                <w:sz w:val="20"/>
                <w:szCs w:val="20"/>
                <w:lang w:eastAsia="en-US"/>
              </w:rPr>
              <w:t>36.16</w:t>
            </w:r>
          </w:p>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20"/>
                <w:lang w:eastAsia="en-US"/>
              </w:rPr>
              <w:t>(5.06,158.33)</w:t>
            </w:r>
          </w:p>
        </w:tc>
        <w:tc>
          <w:tcPr>
            <w:tcW w:w="829"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20"/>
                <w:lang w:eastAsia="en-US"/>
              </w:rPr>
              <w:t>16.6</w:t>
            </w:r>
          </w:p>
        </w:tc>
        <w:tc>
          <w:tcPr>
            <w:tcW w:w="757" w:type="pct"/>
            <w:gridSpan w:val="2"/>
            <w:vAlign w:val="center"/>
          </w:tcPr>
          <w:p w:rsidR="008B1643" w:rsidRPr="004A4B88" w:rsidRDefault="008B1643" w:rsidP="00F06220">
            <w:pPr>
              <w:widowControl w:val="0"/>
              <w:jc w:val="center"/>
              <w:rPr>
                <w:rFonts w:ascii="Arial Narrow" w:hAnsi="Arial Narrow" w:cs="Arial"/>
                <w:snapToGrid w:val="0"/>
                <w:color w:val="000000"/>
                <w:sz w:val="20"/>
                <w:szCs w:val="18"/>
                <w:lang w:eastAsia="en-US"/>
              </w:rPr>
            </w:pPr>
            <w:r w:rsidRPr="004A4B88">
              <w:rPr>
                <w:rFonts w:ascii="Arial Narrow" w:hAnsi="Arial Narrow" w:cs="Arial"/>
                <w:snapToGrid w:val="0"/>
                <w:color w:val="000000"/>
                <w:sz w:val="20"/>
                <w:szCs w:val="20"/>
                <w:lang w:eastAsia="en-US"/>
              </w:rPr>
              <w:t>0.4</w:t>
            </w:r>
          </w:p>
        </w:tc>
        <w:tc>
          <w:tcPr>
            <w:tcW w:w="714" w:type="pct"/>
            <w:vAlign w:val="center"/>
          </w:tcPr>
          <w:p w:rsidR="008B1643" w:rsidRPr="004A4B88" w:rsidRDefault="008B1643" w:rsidP="00F06220">
            <w:pPr>
              <w:widowControl w:val="0"/>
              <w:jc w:val="center"/>
              <w:rPr>
                <w:rFonts w:ascii="Arial Narrow" w:hAnsi="Arial Narrow" w:cs="Arial"/>
                <w:snapToGrid w:val="0"/>
                <w:color w:val="000000"/>
                <w:sz w:val="20"/>
                <w:szCs w:val="20"/>
                <w:lang w:eastAsia="en-US"/>
              </w:rPr>
            </w:pPr>
            <w:r w:rsidRPr="004A4B88">
              <w:rPr>
                <w:rFonts w:ascii="Arial Narrow" w:hAnsi="Arial Narrow" w:cs="Arial"/>
                <w:snapToGrid w:val="0"/>
                <w:color w:val="000000"/>
                <w:sz w:val="20"/>
                <w:szCs w:val="20"/>
                <w:lang w:eastAsia="en-US"/>
              </w:rPr>
              <w:t>16.2</w:t>
            </w:r>
          </w:p>
          <w:p w:rsidR="008B1643" w:rsidRPr="004A4B88" w:rsidRDefault="008B1643" w:rsidP="00F06220">
            <w:pPr>
              <w:widowControl w:val="0"/>
              <w:jc w:val="center"/>
              <w:rPr>
                <w:rFonts w:ascii="Arial Narrow" w:hAnsi="Arial Narrow" w:cs="Arial"/>
                <w:snapToGrid w:val="0"/>
                <w:color w:val="000000"/>
                <w:sz w:val="20"/>
                <w:szCs w:val="18"/>
                <w:lang w:eastAsia="en-US"/>
              </w:rPr>
            </w:pPr>
          </w:p>
        </w:tc>
      </w:tr>
    </w:tbl>
    <w:p w:rsidR="008B1643" w:rsidRPr="004A4B88" w:rsidRDefault="008B1643" w:rsidP="00E82913">
      <w:pPr>
        <w:widowControl w:val="0"/>
        <w:ind w:left="709"/>
        <w:jc w:val="both"/>
        <w:rPr>
          <w:rFonts w:ascii="Arial Narrow" w:hAnsi="Arial Narrow" w:cs="Arial"/>
          <w:snapToGrid w:val="0"/>
          <w:sz w:val="18"/>
          <w:szCs w:val="20"/>
          <w:lang w:eastAsia="en-US"/>
        </w:rPr>
      </w:pPr>
      <w:r w:rsidRPr="004A4B88">
        <w:rPr>
          <w:rFonts w:ascii="Arial Narrow" w:hAnsi="Arial Narrow" w:cs="Arial"/>
          <w:snapToGrid w:val="0"/>
          <w:sz w:val="18"/>
          <w:szCs w:val="20"/>
          <w:lang w:eastAsia="en-US"/>
        </w:rPr>
        <w:t xml:space="preserve">* CORRECT trial = approximately 12 months </w:t>
      </w:r>
    </w:p>
    <w:p w:rsidR="008B1643" w:rsidRPr="004A4B88" w:rsidRDefault="008B1643" w:rsidP="00E82913">
      <w:pPr>
        <w:widowControl w:val="0"/>
        <w:ind w:left="709"/>
        <w:jc w:val="both"/>
        <w:rPr>
          <w:rFonts w:ascii="Arial Narrow" w:hAnsi="Arial Narrow" w:cs="Arial"/>
          <w:snapToGrid w:val="0"/>
          <w:sz w:val="18"/>
          <w:szCs w:val="20"/>
          <w:lang w:eastAsia="en-US"/>
        </w:rPr>
      </w:pPr>
      <w:r w:rsidRPr="004A4B88">
        <w:rPr>
          <w:rFonts w:ascii="Arial Narrow" w:hAnsi="Arial Narrow" w:cs="Arial"/>
          <w:snapToGrid w:val="0"/>
          <w:sz w:val="18"/>
          <w:szCs w:val="20"/>
          <w:lang w:eastAsia="en-US"/>
        </w:rPr>
        <w:t>Abbreviations: PBO = placebo; RD = risk difference; RR = risk ratio</w:t>
      </w:r>
    </w:p>
    <w:p w:rsidR="008B1643" w:rsidRPr="004A4B88" w:rsidRDefault="008B1643" w:rsidP="00E82913">
      <w:pPr>
        <w:widowControl w:val="0"/>
        <w:ind w:left="709"/>
        <w:jc w:val="both"/>
        <w:rPr>
          <w:rFonts w:ascii="Arial Narrow" w:hAnsi="Arial Narrow" w:cs="Arial"/>
          <w:snapToGrid w:val="0"/>
          <w:sz w:val="18"/>
          <w:szCs w:val="20"/>
          <w:lang w:eastAsia="en-US"/>
        </w:rPr>
      </w:pPr>
      <w:r w:rsidRPr="004A4B88">
        <w:rPr>
          <w:rFonts w:ascii="Arial Narrow" w:hAnsi="Arial Narrow" w:cs="Arial"/>
          <w:snapToGrid w:val="0"/>
          <w:sz w:val="18"/>
          <w:szCs w:val="20"/>
          <w:lang w:eastAsia="en-US"/>
        </w:rPr>
        <w:t xml:space="preserve">Source: Compiled during the evaluation/Table </w:t>
      </w:r>
      <w:proofErr w:type="spellStart"/>
      <w:r w:rsidRPr="004A4B88">
        <w:rPr>
          <w:rFonts w:ascii="Arial Narrow" w:hAnsi="Arial Narrow" w:cs="Arial"/>
          <w:snapToGrid w:val="0"/>
          <w:sz w:val="18"/>
          <w:szCs w:val="20"/>
          <w:lang w:eastAsia="en-US"/>
        </w:rPr>
        <w:t>Table</w:t>
      </w:r>
      <w:proofErr w:type="spellEnd"/>
      <w:r w:rsidRPr="004A4B88">
        <w:rPr>
          <w:rFonts w:ascii="Arial Narrow" w:hAnsi="Arial Narrow" w:cs="Arial"/>
          <w:snapToGrid w:val="0"/>
          <w:sz w:val="18"/>
          <w:szCs w:val="20"/>
          <w:lang w:eastAsia="en-US"/>
        </w:rPr>
        <w:t xml:space="preserve"> B.6.1, Table B.6.2, Section B, p 17-18, Attachment B of the commentary.</w:t>
      </w:r>
    </w:p>
    <w:p w:rsidR="008B1643" w:rsidRPr="004A4B88" w:rsidRDefault="008B1643" w:rsidP="00882085">
      <w:pPr>
        <w:jc w:val="both"/>
        <w:rPr>
          <w:rFonts w:ascii="Arial" w:hAnsi="Arial"/>
          <w:sz w:val="22"/>
          <w:szCs w:val="22"/>
        </w:rPr>
      </w:pPr>
    </w:p>
    <w:p w:rsidR="00C83314" w:rsidRPr="004A4B88" w:rsidRDefault="00C83314" w:rsidP="00882085">
      <w:pPr>
        <w:jc w:val="both"/>
        <w:rPr>
          <w:rFonts w:ascii="Arial" w:hAnsi="Arial"/>
          <w:sz w:val="22"/>
          <w:szCs w:val="22"/>
        </w:rPr>
      </w:pPr>
    </w:p>
    <w:p w:rsidR="00F804CF" w:rsidRPr="004A4B88" w:rsidRDefault="00C83314" w:rsidP="007801B6">
      <w:pPr>
        <w:pStyle w:val="ListParagraph"/>
        <w:numPr>
          <w:ilvl w:val="1"/>
          <w:numId w:val="25"/>
        </w:numPr>
        <w:ind w:left="709" w:hanging="709"/>
        <w:jc w:val="both"/>
        <w:rPr>
          <w:rFonts w:ascii="Arial" w:hAnsi="Arial"/>
          <w:sz w:val="22"/>
          <w:szCs w:val="22"/>
        </w:rPr>
      </w:pPr>
      <w:r w:rsidRPr="004A4B88">
        <w:rPr>
          <w:rFonts w:ascii="Arial" w:hAnsi="Arial"/>
          <w:sz w:val="22"/>
          <w:szCs w:val="22"/>
        </w:rPr>
        <w:t>The PBAC noted</w:t>
      </w:r>
      <w:r w:rsidR="0071070B" w:rsidRPr="004A4B88">
        <w:rPr>
          <w:rFonts w:ascii="Arial" w:hAnsi="Arial"/>
          <w:sz w:val="22"/>
          <w:szCs w:val="22"/>
        </w:rPr>
        <w:t xml:space="preserve"> o</w:t>
      </w:r>
      <w:r w:rsidRPr="004A4B88">
        <w:rPr>
          <w:rFonts w:ascii="Arial" w:hAnsi="Arial"/>
          <w:sz w:val="22"/>
          <w:szCs w:val="22"/>
        </w:rPr>
        <w:t xml:space="preserve">n the basis of direct comparison of </w:t>
      </w:r>
      <w:proofErr w:type="spellStart"/>
      <w:r w:rsidRPr="004A4B88">
        <w:rPr>
          <w:rFonts w:ascii="Arial" w:hAnsi="Arial"/>
          <w:sz w:val="22"/>
          <w:szCs w:val="22"/>
        </w:rPr>
        <w:t>regorafenib</w:t>
      </w:r>
      <w:proofErr w:type="spellEnd"/>
      <w:r w:rsidRPr="004A4B88">
        <w:rPr>
          <w:rFonts w:ascii="Arial" w:hAnsi="Arial"/>
          <w:sz w:val="22"/>
          <w:szCs w:val="22"/>
        </w:rPr>
        <w:t xml:space="preserve"> with BSC</w:t>
      </w:r>
      <w:r w:rsidR="003B0F54" w:rsidRPr="004A4B88">
        <w:rPr>
          <w:rFonts w:ascii="Arial" w:hAnsi="Arial"/>
          <w:sz w:val="22"/>
          <w:szCs w:val="22"/>
        </w:rPr>
        <w:t>:</w:t>
      </w:r>
      <w:r w:rsidR="00F804CF" w:rsidRPr="004A4B88">
        <w:rPr>
          <w:rFonts w:ascii="Arial" w:hAnsi="Arial"/>
          <w:sz w:val="22"/>
          <w:szCs w:val="22"/>
        </w:rPr>
        <w:t xml:space="preserve"> </w:t>
      </w:r>
    </w:p>
    <w:p w:rsidR="00C83314" w:rsidRPr="004A4B88" w:rsidRDefault="00F804CF" w:rsidP="003B0F54">
      <w:pPr>
        <w:pStyle w:val="ListParagraph"/>
        <w:numPr>
          <w:ilvl w:val="0"/>
          <w:numId w:val="40"/>
        </w:numPr>
        <w:ind w:left="1134" w:hanging="283"/>
        <w:jc w:val="both"/>
        <w:rPr>
          <w:rFonts w:ascii="Arial" w:hAnsi="Arial"/>
          <w:sz w:val="22"/>
          <w:szCs w:val="22"/>
        </w:rPr>
      </w:pPr>
      <w:proofErr w:type="gramStart"/>
      <w:r w:rsidRPr="004A4B88">
        <w:rPr>
          <w:rFonts w:ascii="Arial" w:hAnsi="Arial"/>
          <w:sz w:val="22"/>
          <w:szCs w:val="22"/>
        </w:rPr>
        <w:t>the</w:t>
      </w:r>
      <w:proofErr w:type="gramEnd"/>
      <w:r w:rsidRPr="004A4B88">
        <w:rPr>
          <w:rFonts w:ascii="Arial" w:hAnsi="Arial"/>
          <w:sz w:val="22"/>
          <w:szCs w:val="22"/>
        </w:rPr>
        <w:t xml:space="preserve"> improvement in median progression-free survival was approximately 6 days, and the improvement in median overall survival was approximately 43 days. </w:t>
      </w:r>
    </w:p>
    <w:p w:rsidR="00C83314" w:rsidRPr="004A4B88" w:rsidRDefault="00C83314" w:rsidP="003B0F54">
      <w:pPr>
        <w:pStyle w:val="ListParagraph"/>
        <w:ind w:left="1134" w:hanging="283"/>
        <w:jc w:val="both"/>
        <w:rPr>
          <w:rFonts w:ascii="Arial" w:hAnsi="Arial"/>
          <w:sz w:val="22"/>
          <w:szCs w:val="22"/>
        </w:rPr>
      </w:pPr>
    </w:p>
    <w:p w:rsidR="00C83314" w:rsidRPr="004A4B88" w:rsidRDefault="00C83314" w:rsidP="003B0F54">
      <w:pPr>
        <w:pStyle w:val="ListParagraph"/>
        <w:numPr>
          <w:ilvl w:val="0"/>
          <w:numId w:val="39"/>
        </w:numPr>
        <w:ind w:left="1134" w:hanging="283"/>
        <w:jc w:val="both"/>
        <w:rPr>
          <w:rFonts w:ascii="Arial" w:hAnsi="Arial"/>
          <w:sz w:val="22"/>
          <w:szCs w:val="22"/>
        </w:rPr>
      </w:pPr>
      <w:r w:rsidRPr="004A4B88">
        <w:rPr>
          <w:rFonts w:ascii="Arial" w:hAnsi="Arial"/>
          <w:sz w:val="22"/>
          <w:szCs w:val="22"/>
        </w:rPr>
        <w:t xml:space="preserve">for every 100 patients treated with </w:t>
      </w:r>
      <w:proofErr w:type="spellStart"/>
      <w:r w:rsidRPr="004A4B88">
        <w:rPr>
          <w:rFonts w:ascii="Arial" w:hAnsi="Arial"/>
          <w:sz w:val="22"/>
          <w:szCs w:val="22"/>
        </w:rPr>
        <w:t>regorafenib</w:t>
      </w:r>
      <w:proofErr w:type="spellEnd"/>
      <w:r w:rsidRPr="004A4B88">
        <w:rPr>
          <w:rFonts w:ascii="Arial" w:hAnsi="Arial"/>
          <w:sz w:val="22"/>
          <w:szCs w:val="22"/>
        </w:rPr>
        <w:t xml:space="preserve"> compared with BSC:</w:t>
      </w:r>
    </w:p>
    <w:p w:rsidR="00C83314" w:rsidRPr="004A4B88" w:rsidRDefault="00C83314" w:rsidP="003B0F54">
      <w:pPr>
        <w:pStyle w:val="ListParagraph"/>
        <w:numPr>
          <w:ilvl w:val="0"/>
          <w:numId w:val="29"/>
        </w:numPr>
        <w:ind w:left="1134" w:firstLine="0"/>
        <w:rPr>
          <w:rFonts w:ascii="Arial" w:hAnsi="Arial"/>
          <w:sz w:val="22"/>
          <w:szCs w:val="22"/>
        </w:rPr>
      </w:pPr>
      <w:r w:rsidRPr="004A4B88">
        <w:rPr>
          <w:rFonts w:ascii="Arial" w:hAnsi="Arial"/>
          <w:sz w:val="22"/>
          <w:szCs w:val="22"/>
        </w:rPr>
        <w:t>1 patient would die from a treatment-related adverse event.</w:t>
      </w:r>
    </w:p>
    <w:p w:rsidR="00C83314" w:rsidRPr="004A4B88" w:rsidRDefault="00C83314" w:rsidP="003B0F54">
      <w:pPr>
        <w:pStyle w:val="ListParagraph"/>
        <w:numPr>
          <w:ilvl w:val="0"/>
          <w:numId w:val="29"/>
        </w:numPr>
        <w:ind w:left="1134" w:firstLine="0"/>
        <w:rPr>
          <w:rFonts w:ascii="Arial" w:hAnsi="Arial"/>
          <w:sz w:val="22"/>
          <w:szCs w:val="22"/>
        </w:rPr>
      </w:pPr>
      <w:r w:rsidRPr="004A4B88">
        <w:rPr>
          <w:rFonts w:ascii="Arial" w:hAnsi="Arial"/>
          <w:sz w:val="22"/>
          <w:szCs w:val="22"/>
        </w:rPr>
        <w:t>16 patients would experience hand/foot adverse events.</w:t>
      </w:r>
    </w:p>
    <w:p w:rsidR="00C83314" w:rsidRPr="004A4B88" w:rsidRDefault="00C83314" w:rsidP="003B0F54">
      <w:pPr>
        <w:pStyle w:val="ListParagraph"/>
        <w:numPr>
          <w:ilvl w:val="0"/>
          <w:numId w:val="29"/>
        </w:numPr>
        <w:ind w:left="1134" w:firstLine="0"/>
        <w:rPr>
          <w:rFonts w:ascii="Arial" w:hAnsi="Arial"/>
          <w:sz w:val="22"/>
          <w:szCs w:val="22"/>
        </w:rPr>
      </w:pPr>
      <w:r w:rsidRPr="004A4B88">
        <w:rPr>
          <w:rFonts w:ascii="Arial" w:hAnsi="Arial"/>
          <w:sz w:val="22"/>
          <w:szCs w:val="22"/>
        </w:rPr>
        <w:t xml:space="preserve">6 patients would experience diarrhoea. </w:t>
      </w:r>
    </w:p>
    <w:p w:rsidR="00C83314" w:rsidRPr="004A4B88" w:rsidRDefault="00C83314" w:rsidP="003B0F54">
      <w:pPr>
        <w:pStyle w:val="ListParagraph"/>
        <w:ind w:left="1134" w:hanging="283"/>
        <w:rPr>
          <w:rFonts w:ascii="Arial" w:hAnsi="Arial"/>
          <w:sz w:val="22"/>
          <w:szCs w:val="22"/>
        </w:rPr>
      </w:pPr>
    </w:p>
    <w:p w:rsidR="00C83314" w:rsidRPr="004A4B88" w:rsidRDefault="00911A35" w:rsidP="003B0F54">
      <w:pPr>
        <w:pStyle w:val="ListParagraph"/>
        <w:numPr>
          <w:ilvl w:val="0"/>
          <w:numId w:val="38"/>
        </w:numPr>
        <w:ind w:left="1134" w:hanging="283"/>
        <w:rPr>
          <w:rFonts w:ascii="Arial" w:hAnsi="Arial"/>
          <w:sz w:val="22"/>
          <w:szCs w:val="22"/>
        </w:rPr>
      </w:pPr>
      <w:proofErr w:type="gramStart"/>
      <w:r w:rsidRPr="004A4B88">
        <w:rPr>
          <w:rFonts w:ascii="Arial" w:hAnsi="Arial"/>
          <w:sz w:val="22"/>
          <w:szCs w:val="22"/>
        </w:rPr>
        <w:t>a</w:t>
      </w:r>
      <w:r w:rsidR="0071070B" w:rsidRPr="004A4B88">
        <w:rPr>
          <w:rFonts w:ascii="Arial" w:hAnsi="Arial"/>
          <w:sz w:val="22"/>
          <w:szCs w:val="22"/>
        </w:rPr>
        <w:t>t</w:t>
      </w:r>
      <w:proofErr w:type="gramEnd"/>
      <w:r w:rsidR="0071070B" w:rsidRPr="004A4B88">
        <w:rPr>
          <w:rFonts w:ascii="Arial" w:hAnsi="Arial"/>
          <w:sz w:val="22"/>
          <w:szCs w:val="22"/>
        </w:rPr>
        <w:t xml:space="preserve"> the end of treatment</w:t>
      </w:r>
      <w:r w:rsidR="00C83314" w:rsidRPr="004A4B88">
        <w:rPr>
          <w:rFonts w:ascii="Arial" w:hAnsi="Arial"/>
          <w:sz w:val="22"/>
          <w:szCs w:val="22"/>
        </w:rPr>
        <w:t>, the quality of life of participants in both arms of the study fell</w:t>
      </w:r>
      <w:r w:rsidR="0071070B" w:rsidRPr="004A4B88">
        <w:rPr>
          <w:rFonts w:ascii="Arial" w:hAnsi="Arial"/>
          <w:sz w:val="22"/>
          <w:szCs w:val="22"/>
        </w:rPr>
        <w:t xml:space="preserve"> </w:t>
      </w:r>
      <w:r w:rsidR="00C83314" w:rsidRPr="004A4B88">
        <w:rPr>
          <w:rFonts w:ascii="Arial" w:hAnsi="Arial"/>
          <w:sz w:val="22"/>
          <w:szCs w:val="22"/>
        </w:rPr>
        <w:t>as measured by EQ-5D</w:t>
      </w:r>
      <w:r w:rsidR="0071070B" w:rsidRPr="004A4B88">
        <w:rPr>
          <w:rFonts w:ascii="Arial" w:hAnsi="Arial"/>
          <w:sz w:val="22"/>
          <w:szCs w:val="22"/>
        </w:rPr>
        <w:t xml:space="preserve">, with patients on </w:t>
      </w:r>
      <w:proofErr w:type="spellStart"/>
      <w:r w:rsidR="0071070B" w:rsidRPr="004A4B88">
        <w:rPr>
          <w:rFonts w:ascii="Arial" w:hAnsi="Arial"/>
          <w:sz w:val="22"/>
          <w:szCs w:val="22"/>
        </w:rPr>
        <w:t>regorafenib</w:t>
      </w:r>
      <w:proofErr w:type="spellEnd"/>
      <w:r w:rsidR="0071070B" w:rsidRPr="004A4B88">
        <w:rPr>
          <w:rFonts w:ascii="Arial" w:hAnsi="Arial"/>
          <w:sz w:val="22"/>
          <w:szCs w:val="22"/>
        </w:rPr>
        <w:t xml:space="preserve"> falling approximately </w:t>
      </w:r>
      <w:r w:rsidR="0071070B" w:rsidRPr="004A4B88">
        <w:rPr>
          <w:rFonts w:ascii="Arial" w:hAnsi="Arial"/>
          <w:sz w:val="22"/>
          <w:szCs w:val="22"/>
        </w:rPr>
        <w:lastRenderedPageBreak/>
        <w:t xml:space="preserve">0.041 more than patients on BSC. </w:t>
      </w:r>
      <w:r w:rsidR="00C83314" w:rsidRPr="004A4B88">
        <w:rPr>
          <w:rFonts w:ascii="Arial" w:hAnsi="Arial"/>
          <w:sz w:val="22"/>
          <w:szCs w:val="22"/>
        </w:rPr>
        <w:t xml:space="preserve"> However, the </w:t>
      </w:r>
      <w:r w:rsidR="0071070B" w:rsidRPr="004A4B88">
        <w:rPr>
          <w:rFonts w:ascii="Arial" w:hAnsi="Arial"/>
          <w:sz w:val="22"/>
          <w:szCs w:val="22"/>
        </w:rPr>
        <w:t>area under curve (</w:t>
      </w:r>
      <w:r w:rsidR="00C83314" w:rsidRPr="004A4B88">
        <w:rPr>
          <w:rFonts w:ascii="Arial" w:hAnsi="Arial"/>
          <w:sz w:val="22"/>
          <w:szCs w:val="22"/>
        </w:rPr>
        <w:t>AUC</w:t>
      </w:r>
      <w:r w:rsidR="0071070B" w:rsidRPr="004A4B88">
        <w:rPr>
          <w:rFonts w:ascii="Arial" w:hAnsi="Arial"/>
          <w:sz w:val="22"/>
          <w:szCs w:val="22"/>
        </w:rPr>
        <w:t>)</w:t>
      </w:r>
      <w:r w:rsidR="00C83314" w:rsidRPr="004A4B88">
        <w:rPr>
          <w:rFonts w:ascii="Arial" w:hAnsi="Arial"/>
          <w:sz w:val="22"/>
          <w:szCs w:val="22"/>
        </w:rPr>
        <w:t xml:space="preserve"> analysis</w:t>
      </w:r>
      <w:r w:rsidR="0071070B" w:rsidRPr="004A4B88">
        <w:rPr>
          <w:rFonts w:ascii="Arial" w:hAnsi="Arial"/>
          <w:sz w:val="22"/>
          <w:szCs w:val="22"/>
        </w:rPr>
        <w:t xml:space="preserve"> over the 12 months of the trial period </w:t>
      </w:r>
      <w:r w:rsidR="00C83314" w:rsidRPr="004A4B88">
        <w:rPr>
          <w:rFonts w:ascii="Arial" w:hAnsi="Arial"/>
          <w:sz w:val="22"/>
          <w:szCs w:val="22"/>
        </w:rPr>
        <w:t>showed no significant difference in overall quality of life (Mean difference 0.00 95%CI -0.03</w:t>
      </w:r>
      <w:proofErr w:type="gramStart"/>
      <w:r w:rsidR="00C83314" w:rsidRPr="004A4B88">
        <w:rPr>
          <w:rFonts w:ascii="Arial" w:hAnsi="Arial"/>
          <w:sz w:val="22"/>
          <w:szCs w:val="22"/>
        </w:rPr>
        <w:t>,0.03</w:t>
      </w:r>
      <w:proofErr w:type="gramEnd"/>
      <w:r w:rsidR="00C83314" w:rsidRPr="004A4B88">
        <w:rPr>
          <w:rFonts w:ascii="Arial" w:hAnsi="Arial"/>
          <w:sz w:val="22"/>
          <w:szCs w:val="22"/>
        </w:rPr>
        <w:t xml:space="preserve">) between the </w:t>
      </w:r>
      <w:proofErr w:type="spellStart"/>
      <w:r w:rsidR="00C83314" w:rsidRPr="004A4B88">
        <w:rPr>
          <w:rFonts w:ascii="Arial" w:hAnsi="Arial"/>
          <w:sz w:val="22"/>
          <w:szCs w:val="22"/>
        </w:rPr>
        <w:t>regorafenib</w:t>
      </w:r>
      <w:proofErr w:type="spellEnd"/>
      <w:r w:rsidR="00C83314" w:rsidRPr="004A4B88">
        <w:rPr>
          <w:rFonts w:ascii="Arial" w:hAnsi="Arial"/>
          <w:sz w:val="22"/>
          <w:szCs w:val="22"/>
        </w:rPr>
        <w:t xml:space="preserve"> and BSC arms.  However, it is feasible that the on-treatment differences may reflect a clinically important dis-utility associated with higher adverse events that the EQ-5D was not powered to detect. Utility differences between on-treatment arms are considered in the economic evaluation. </w:t>
      </w:r>
    </w:p>
    <w:p w:rsidR="008B1643" w:rsidRPr="004A4B88" w:rsidRDefault="008B1643" w:rsidP="00BB7EC3">
      <w:pPr>
        <w:jc w:val="both"/>
        <w:rPr>
          <w:rFonts w:ascii="Arial" w:hAnsi="Arial"/>
          <w:sz w:val="22"/>
          <w:szCs w:val="22"/>
        </w:rPr>
      </w:pPr>
    </w:p>
    <w:p w:rsidR="008B1643" w:rsidRPr="004A4B88" w:rsidRDefault="008B1643" w:rsidP="00BB7EC3">
      <w:pPr>
        <w:pStyle w:val="ListParagraph"/>
        <w:ind w:left="709"/>
        <w:jc w:val="both"/>
        <w:rPr>
          <w:rFonts w:ascii="Arial" w:hAnsi="Arial"/>
          <w:i/>
          <w:sz w:val="22"/>
          <w:szCs w:val="22"/>
        </w:rPr>
      </w:pPr>
      <w:r w:rsidRPr="004A4B88">
        <w:rPr>
          <w:rFonts w:ascii="Arial" w:hAnsi="Arial"/>
          <w:i/>
          <w:sz w:val="22"/>
          <w:szCs w:val="22"/>
        </w:rPr>
        <w:t>For more detail on PBAC’s view, see section 7 “PBAC outcome”</w:t>
      </w:r>
    </w:p>
    <w:p w:rsidR="008B1643" w:rsidRPr="004A4B88" w:rsidRDefault="008B1643" w:rsidP="00882085">
      <w:pPr>
        <w:jc w:val="both"/>
        <w:rPr>
          <w:rFonts w:ascii="Arial" w:hAnsi="Arial"/>
          <w:b/>
          <w:i/>
          <w:sz w:val="22"/>
          <w:szCs w:val="22"/>
        </w:rPr>
      </w:pPr>
    </w:p>
    <w:p w:rsidR="008B1643" w:rsidRPr="004A4B88" w:rsidRDefault="008B1643" w:rsidP="00882085">
      <w:pPr>
        <w:jc w:val="both"/>
        <w:rPr>
          <w:rFonts w:ascii="Arial" w:hAnsi="Arial"/>
          <w:b/>
          <w:i/>
          <w:sz w:val="22"/>
          <w:szCs w:val="22"/>
        </w:rPr>
      </w:pPr>
      <w:r w:rsidRPr="004A4B88">
        <w:rPr>
          <w:rFonts w:ascii="Arial" w:hAnsi="Arial"/>
          <w:b/>
          <w:i/>
          <w:sz w:val="22"/>
          <w:szCs w:val="22"/>
        </w:rPr>
        <w:t>Clinical claim</w:t>
      </w:r>
    </w:p>
    <w:p w:rsidR="008B1643" w:rsidRPr="004A4B88" w:rsidRDefault="008B1643" w:rsidP="00882085">
      <w:pPr>
        <w:ind w:left="720" w:hanging="720"/>
        <w:jc w:val="both"/>
        <w:rPr>
          <w:rFonts w:ascii="Arial" w:hAnsi="Arial"/>
          <w:sz w:val="22"/>
          <w:szCs w:val="22"/>
        </w:rPr>
      </w:pPr>
    </w:p>
    <w:p w:rsidR="008B1643" w:rsidRPr="004A4B88" w:rsidRDefault="008B1643" w:rsidP="000F6DA9">
      <w:pPr>
        <w:pStyle w:val="ListParagraph"/>
        <w:numPr>
          <w:ilvl w:val="1"/>
          <w:numId w:val="25"/>
        </w:numPr>
        <w:jc w:val="both"/>
      </w:pPr>
      <w:r w:rsidRPr="004A4B88">
        <w:rPr>
          <w:rFonts w:ascii="Arial" w:hAnsi="Arial"/>
          <w:sz w:val="22"/>
          <w:szCs w:val="22"/>
        </w:rPr>
        <w:t xml:space="preserve">The submission describes </w:t>
      </w:r>
      <w:proofErr w:type="spellStart"/>
      <w:r w:rsidRPr="004A4B88">
        <w:rPr>
          <w:rFonts w:ascii="Arial" w:hAnsi="Arial"/>
          <w:sz w:val="22"/>
          <w:szCs w:val="22"/>
        </w:rPr>
        <w:t>regorafenib</w:t>
      </w:r>
      <w:proofErr w:type="spellEnd"/>
      <w:r w:rsidRPr="004A4B88">
        <w:rPr>
          <w:rFonts w:ascii="Arial" w:hAnsi="Arial"/>
          <w:sz w:val="22"/>
          <w:szCs w:val="22"/>
        </w:rPr>
        <w:t xml:space="preserve"> as superior in terms of comparative effectiveness and ‘slightly worse’ in terms of comparative safety over BSC (placebo). </w:t>
      </w:r>
    </w:p>
    <w:p w:rsidR="00644D09" w:rsidRPr="004A4B88" w:rsidRDefault="00644D09" w:rsidP="00644D09">
      <w:pPr>
        <w:pStyle w:val="ListParagraph"/>
        <w:jc w:val="both"/>
      </w:pPr>
    </w:p>
    <w:p w:rsidR="008B1643" w:rsidRPr="004A4B88" w:rsidRDefault="008B1643" w:rsidP="00644D09">
      <w:pPr>
        <w:pStyle w:val="ListParagraph"/>
        <w:numPr>
          <w:ilvl w:val="1"/>
          <w:numId w:val="25"/>
        </w:numPr>
        <w:jc w:val="both"/>
      </w:pPr>
      <w:r w:rsidRPr="004A4B88">
        <w:rPr>
          <w:rFonts w:ascii="Arial" w:hAnsi="Arial"/>
          <w:sz w:val="22"/>
          <w:szCs w:val="22"/>
        </w:rPr>
        <w:t xml:space="preserve">The PBAC considered that the claim of </w:t>
      </w:r>
      <w:r w:rsidR="000C00F5" w:rsidRPr="004A4B88">
        <w:rPr>
          <w:rFonts w:ascii="Arial" w:hAnsi="Arial"/>
          <w:sz w:val="22"/>
          <w:szCs w:val="22"/>
        </w:rPr>
        <w:t>a statistically significant improvement in survival</w:t>
      </w:r>
      <w:r w:rsidRPr="004A4B88">
        <w:rPr>
          <w:rFonts w:ascii="Arial" w:hAnsi="Arial"/>
          <w:sz w:val="22"/>
          <w:szCs w:val="22"/>
        </w:rPr>
        <w:t xml:space="preserve"> was reasonable, but </w:t>
      </w:r>
      <w:r w:rsidR="00967410" w:rsidRPr="004A4B88">
        <w:rPr>
          <w:rFonts w:ascii="Arial" w:hAnsi="Arial"/>
          <w:sz w:val="22"/>
          <w:szCs w:val="22"/>
        </w:rPr>
        <w:t xml:space="preserve">was not convinced </w:t>
      </w:r>
      <w:r w:rsidR="000C00F5" w:rsidRPr="004A4B88">
        <w:rPr>
          <w:rFonts w:ascii="Arial" w:hAnsi="Arial"/>
          <w:sz w:val="22"/>
          <w:szCs w:val="22"/>
        </w:rPr>
        <w:t xml:space="preserve">a gain </w:t>
      </w:r>
      <w:r w:rsidR="00644D09" w:rsidRPr="004A4B88">
        <w:rPr>
          <w:rFonts w:ascii="Arial" w:hAnsi="Arial"/>
          <w:sz w:val="22"/>
          <w:szCs w:val="22"/>
        </w:rPr>
        <w:t>in</w:t>
      </w:r>
      <w:r w:rsidR="000C00F5" w:rsidRPr="004A4B88">
        <w:rPr>
          <w:rFonts w:ascii="Arial" w:hAnsi="Arial"/>
          <w:sz w:val="22"/>
          <w:szCs w:val="22"/>
        </w:rPr>
        <w:t xml:space="preserve"> PFS of</w:t>
      </w:r>
      <w:r w:rsidR="00875539" w:rsidRPr="004A4B88">
        <w:rPr>
          <w:rFonts w:ascii="Arial" w:hAnsi="Arial"/>
          <w:sz w:val="22"/>
          <w:szCs w:val="22"/>
        </w:rPr>
        <w:t xml:space="preserve"> a median </w:t>
      </w:r>
      <w:r w:rsidR="000C00F5" w:rsidRPr="004A4B88">
        <w:rPr>
          <w:rFonts w:ascii="Arial" w:hAnsi="Arial"/>
          <w:sz w:val="22"/>
          <w:szCs w:val="22"/>
        </w:rPr>
        <w:t xml:space="preserve">0.2 months and OS of </w:t>
      </w:r>
      <w:r w:rsidR="00875539" w:rsidRPr="004A4B88">
        <w:rPr>
          <w:rFonts w:ascii="Arial" w:hAnsi="Arial"/>
          <w:sz w:val="22"/>
          <w:szCs w:val="22"/>
        </w:rPr>
        <w:t xml:space="preserve">a median of </w:t>
      </w:r>
      <w:r w:rsidR="000C00F5" w:rsidRPr="004A4B88">
        <w:rPr>
          <w:rFonts w:ascii="Arial" w:hAnsi="Arial"/>
          <w:sz w:val="22"/>
          <w:szCs w:val="22"/>
        </w:rPr>
        <w:t>1.4</w:t>
      </w:r>
      <w:r w:rsidR="00875539" w:rsidRPr="004A4B88">
        <w:rPr>
          <w:rFonts w:ascii="Arial" w:hAnsi="Arial"/>
          <w:sz w:val="22"/>
          <w:szCs w:val="22"/>
        </w:rPr>
        <w:t xml:space="preserve"> </w:t>
      </w:r>
      <w:r w:rsidR="000C00F5" w:rsidRPr="004A4B88">
        <w:rPr>
          <w:rFonts w:ascii="Arial" w:hAnsi="Arial"/>
          <w:sz w:val="22"/>
          <w:szCs w:val="22"/>
        </w:rPr>
        <w:t>months</w:t>
      </w:r>
      <w:r w:rsidR="00875539" w:rsidRPr="004A4B88">
        <w:rPr>
          <w:rFonts w:ascii="Arial" w:hAnsi="Arial"/>
          <w:sz w:val="22"/>
          <w:szCs w:val="22"/>
        </w:rPr>
        <w:t xml:space="preserve"> (</w:t>
      </w:r>
      <w:r w:rsidR="00C26FD4" w:rsidRPr="004A4B88">
        <w:rPr>
          <w:rFonts w:ascii="Arial" w:hAnsi="Arial"/>
          <w:sz w:val="22"/>
          <w:szCs w:val="22"/>
        </w:rPr>
        <w:t xml:space="preserve">approximately </w:t>
      </w:r>
      <w:r w:rsidR="00875539" w:rsidRPr="004A4B88">
        <w:rPr>
          <w:rFonts w:ascii="Arial" w:hAnsi="Arial"/>
          <w:sz w:val="22"/>
          <w:szCs w:val="22"/>
        </w:rPr>
        <w:t xml:space="preserve">43 days) </w:t>
      </w:r>
      <w:r w:rsidR="00967410" w:rsidRPr="004A4B88">
        <w:rPr>
          <w:rFonts w:ascii="Arial" w:hAnsi="Arial"/>
          <w:sz w:val="22"/>
          <w:szCs w:val="22"/>
        </w:rPr>
        <w:t>is clinically significant.</w:t>
      </w:r>
    </w:p>
    <w:p w:rsidR="000C00F5" w:rsidRPr="004A4B88" w:rsidRDefault="000C00F5" w:rsidP="005A29CE">
      <w:pPr>
        <w:pStyle w:val="ListParagraph"/>
        <w:rPr>
          <w:rFonts w:ascii="Arial" w:hAnsi="Arial"/>
          <w:sz w:val="22"/>
          <w:szCs w:val="22"/>
        </w:rPr>
      </w:pPr>
    </w:p>
    <w:p w:rsidR="008B1643" w:rsidRPr="004A4B88" w:rsidRDefault="008B1643" w:rsidP="00180A1F">
      <w:pPr>
        <w:pStyle w:val="ListParagraph"/>
        <w:numPr>
          <w:ilvl w:val="1"/>
          <w:numId w:val="25"/>
        </w:numPr>
        <w:ind w:left="709" w:hanging="709"/>
        <w:jc w:val="both"/>
        <w:rPr>
          <w:rFonts w:ascii="Arial" w:hAnsi="Arial"/>
          <w:sz w:val="22"/>
          <w:szCs w:val="22"/>
        </w:rPr>
      </w:pPr>
      <w:r w:rsidRPr="004A4B88">
        <w:rPr>
          <w:rFonts w:ascii="Arial" w:hAnsi="Arial"/>
          <w:sz w:val="22"/>
          <w:szCs w:val="22"/>
        </w:rPr>
        <w:t>The PBAC agreed with the ESC that the claim of ‘slightly worse’ comparative safety is understated and considered that a claim of inferior comparative safety was reasonable.</w:t>
      </w:r>
    </w:p>
    <w:p w:rsidR="008B1643" w:rsidRPr="004A4B88" w:rsidRDefault="008B1643" w:rsidP="00882085">
      <w:pPr>
        <w:ind w:left="720" w:hanging="720"/>
        <w:jc w:val="both"/>
        <w:rPr>
          <w:rFonts w:ascii="Arial" w:hAnsi="Arial"/>
          <w:sz w:val="22"/>
          <w:szCs w:val="22"/>
        </w:rPr>
      </w:pPr>
    </w:p>
    <w:p w:rsidR="008B1643" w:rsidRPr="004A4B88" w:rsidRDefault="008B1643" w:rsidP="00882085">
      <w:pPr>
        <w:ind w:left="720" w:hanging="720"/>
        <w:jc w:val="both"/>
        <w:rPr>
          <w:rFonts w:ascii="Arial" w:hAnsi="Arial"/>
          <w:b/>
          <w:i/>
          <w:sz w:val="22"/>
          <w:szCs w:val="22"/>
        </w:rPr>
      </w:pPr>
      <w:r w:rsidRPr="004A4B88">
        <w:rPr>
          <w:rFonts w:ascii="Arial" w:hAnsi="Arial"/>
          <w:b/>
          <w:i/>
          <w:sz w:val="22"/>
          <w:szCs w:val="22"/>
        </w:rPr>
        <w:t>Economic analysis</w:t>
      </w:r>
    </w:p>
    <w:p w:rsidR="008B1643" w:rsidRPr="004A4B88" w:rsidRDefault="008B1643" w:rsidP="00883561">
      <w:pPr>
        <w:pStyle w:val="ListParagraph"/>
        <w:rPr>
          <w:rFonts w:ascii="Arial" w:hAnsi="Arial"/>
          <w:color w:val="00B0F0"/>
          <w:sz w:val="22"/>
          <w:szCs w:val="22"/>
        </w:rPr>
      </w:pPr>
    </w:p>
    <w:p w:rsidR="008B1643" w:rsidRPr="004A4B88" w:rsidRDefault="008B1643" w:rsidP="00AE62D3">
      <w:pPr>
        <w:pStyle w:val="ListParagraph"/>
        <w:numPr>
          <w:ilvl w:val="1"/>
          <w:numId w:val="25"/>
        </w:numPr>
        <w:jc w:val="both"/>
        <w:rPr>
          <w:rFonts w:ascii="Arial" w:hAnsi="Arial"/>
          <w:sz w:val="22"/>
          <w:szCs w:val="22"/>
        </w:rPr>
      </w:pPr>
      <w:r w:rsidRPr="004A4B88">
        <w:rPr>
          <w:rFonts w:ascii="Arial" w:hAnsi="Arial"/>
          <w:sz w:val="22"/>
          <w:szCs w:val="22"/>
        </w:rPr>
        <w:t>A summary of the model structure and key drivers of the model are shown below.</w:t>
      </w:r>
    </w:p>
    <w:p w:rsidR="008B1643" w:rsidRPr="004A4B88" w:rsidRDefault="008B1643" w:rsidP="00AE62D3">
      <w:pPr>
        <w:jc w:val="both"/>
        <w:rPr>
          <w:rFonts w:ascii="Arial" w:hAnsi="Arial"/>
          <w:sz w:val="22"/>
          <w:szCs w:val="22"/>
        </w:rPr>
      </w:pPr>
    </w:p>
    <w:p w:rsidR="008B1643" w:rsidRPr="004A4B88" w:rsidRDefault="008B1643" w:rsidP="00E82913">
      <w:pPr>
        <w:widowControl w:val="0"/>
        <w:ind w:left="709"/>
        <w:jc w:val="both"/>
        <w:rPr>
          <w:rFonts w:ascii="Arial Narrow" w:hAnsi="Arial Narrow" w:cs="Arial"/>
          <w:b/>
          <w:snapToGrid w:val="0"/>
          <w:sz w:val="20"/>
          <w:szCs w:val="16"/>
          <w:lang w:eastAsia="en-US"/>
        </w:rPr>
      </w:pPr>
      <w:r w:rsidRPr="004A4B88">
        <w:rPr>
          <w:rFonts w:ascii="Arial Narrow" w:hAnsi="Arial Narrow" w:cs="Arial"/>
          <w:b/>
          <w:snapToGrid w:val="0"/>
          <w:sz w:val="20"/>
          <w:szCs w:val="16"/>
          <w:lang w:eastAsia="en-US"/>
        </w:rPr>
        <w:t>Summary of model structure and rationale</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ummary of model structure and rationale"/>
      </w:tblPr>
      <w:tblGrid>
        <w:gridCol w:w="2199"/>
        <w:gridCol w:w="6163"/>
      </w:tblGrid>
      <w:tr w:rsidR="008B1643" w:rsidRPr="004A4B88" w:rsidTr="00E82913">
        <w:tc>
          <w:tcPr>
            <w:tcW w:w="131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Time horizon</w:t>
            </w:r>
          </w:p>
        </w:tc>
        <w:tc>
          <w:tcPr>
            <w:tcW w:w="368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 xml:space="preserve">5 years in the model base case versus approximately 13 months (400days) for PFS and OS in the trial. </w:t>
            </w:r>
          </w:p>
        </w:tc>
      </w:tr>
      <w:tr w:rsidR="008B1643" w:rsidRPr="004A4B88" w:rsidTr="00E82913">
        <w:tc>
          <w:tcPr>
            <w:tcW w:w="131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Outcomes</w:t>
            </w:r>
          </w:p>
        </w:tc>
        <w:tc>
          <w:tcPr>
            <w:tcW w:w="368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LYG and QALYs</w:t>
            </w:r>
          </w:p>
        </w:tc>
      </w:tr>
      <w:tr w:rsidR="008B1643" w:rsidRPr="004A4B88" w:rsidTr="00E82913">
        <w:tc>
          <w:tcPr>
            <w:tcW w:w="131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Methods used to generate results</w:t>
            </w:r>
          </w:p>
        </w:tc>
        <w:tc>
          <w:tcPr>
            <w:tcW w:w="368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Directly trial-based, using log-normal and log-logistic and area under the curve analysis.</w:t>
            </w:r>
          </w:p>
        </w:tc>
      </w:tr>
      <w:tr w:rsidR="008B1643" w:rsidRPr="004A4B88" w:rsidTr="00E82913">
        <w:tc>
          <w:tcPr>
            <w:tcW w:w="131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Cycle length</w:t>
            </w:r>
          </w:p>
        </w:tc>
        <w:tc>
          <w:tcPr>
            <w:tcW w:w="368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1 week (based on chemotherapy cycles). Half cycle correction are applied to outcomes (not costs)</w:t>
            </w:r>
          </w:p>
        </w:tc>
      </w:tr>
      <w:tr w:rsidR="008B1643" w:rsidRPr="004A4B88" w:rsidTr="00E82913">
        <w:tc>
          <w:tcPr>
            <w:tcW w:w="131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Transition probabilities</w:t>
            </w:r>
          </w:p>
        </w:tc>
        <w:tc>
          <w:tcPr>
            <w:tcW w:w="368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 xml:space="preserve">Calculated by survival analysis. </w:t>
            </w:r>
          </w:p>
        </w:tc>
      </w:tr>
      <w:tr w:rsidR="008B1643" w:rsidRPr="004A4B88" w:rsidTr="00E82913">
        <w:tc>
          <w:tcPr>
            <w:tcW w:w="131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Discount rate</w:t>
            </w:r>
          </w:p>
        </w:tc>
        <w:tc>
          <w:tcPr>
            <w:tcW w:w="368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5% for costs and outcomes</w:t>
            </w:r>
          </w:p>
        </w:tc>
      </w:tr>
      <w:tr w:rsidR="008B1643" w:rsidRPr="004A4B88" w:rsidTr="00E82913">
        <w:tc>
          <w:tcPr>
            <w:tcW w:w="131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Software package</w:t>
            </w:r>
          </w:p>
        </w:tc>
        <w:tc>
          <w:tcPr>
            <w:tcW w:w="3685" w:type="pct"/>
          </w:tcPr>
          <w:p w:rsidR="008B1643" w:rsidRPr="004A4B88" w:rsidRDefault="008B1643" w:rsidP="00AE62D3">
            <w:pPr>
              <w:widowControl w:val="0"/>
              <w:jc w:val="both"/>
              <w:rPr>
                <w:rFonts w:ascii="Arial Narrow" w:hAnsi="Arial Narrow" w:cs="Arial"/>
                <w:snapToGrid w:val="0"/>
                <w:sz w:val="20"/>
                <w:szCs w:val="20"/>
                <w:lang w:eastAsia="en-US"/>
              </w:rPr>
            </w:pPr>
            <w:r w:rsidRPr="004A4B88">
              <w:rPr>
                <w:rFonts w:ascii="Arial Narrow" w:hAnsi="Arial Narrow" w:cs="Arial"/>
                <w:snapToGrid w:val="0"/>
                <w:sz w:val="20"/>
                <w:szCs w:val="20"/>
                <w:lang w:eastAsia="en-US"/>
              </w:rPr>
              <w:t>Excel 2007.</w:t>
            </w:r>
          </w:p>
        </w:tc>
      </w:tr>
    </w:tbl>
    <w:p w:rsidR="008B1643" w:rsidRPr="004A4B88" w:rsidRDefault="008B1643" w:rsidP="00E82913">
      <w:pPr>
        <w:widowControl w:val="0"/>
        <w:ind w:left="709"/>
        <w:jc w:val="both"/>
        <w:rPr>
          <w:rFonts w:ascii="Arial Narrow" w:hAnsi="Arial Narrow" w:cs="Arial"/>
          <w:snapToGrid w:val="0"/>
          <w:sz w:val="20"/>
          <w:szCs w:val="20"/>
          <w:lang w:eastAsia="en-US"/>
        </w:rPr>
      </w:pPr>
      <w:r w:rsidRPr="004A4B88">
        <w:rPr>
          <w:rFonts w:ascii="Arial Narrow" w:hAnsi="Arial Narrow" w:cs="Arial"/>
          <w:snapToGrid w:val="0"/>
          <w:sz w:val="18"/>
          <w:szCs w:val="20"/>
          <w:lang w:eastAsia="en-US"/>
        </w:rPr>
        <w:t>Source: compiled during the evaluation</w:t>
      </w:r>
    </w:p>
    <w:p w:rsidR="008B1643" w:rsidRPr="004A4B88" w:rsidRDefault="008B1643" w:rsidP="00AE62D3">
      <w:pPr>
        <w:widowControl w:val="0"/>
        <w:jc w:val="both"/>
        <w:rPr>
          <w:rFonts w:ascii="Arial" w:hAnsi="Arial" w:cs="Arial"/>
          <w:snapToGrid w:val="0"/>
          <w:sz w:val="22"/>
          <w:szCs w:val="20"/>
          <w:lang w:eastAsia="en-US"/>
        </w:rPr>
      </w:pPr>
    </w:p>
    <w:p w:rsidR="008B1643" w:rsidRPr="004A4B88" w:rsidRDefault="008B1643" w:rsidP="00E82913">
      <w:pPr>
        <w:widowControl w:val="0"/>
        <w:ind w:left="709"/>
        <w:jc w:val="both"/>
        <w:rPr>
          <w:rFonts w:ascii="Arial Narrow" w:hAnsi="Arial Narrow" w:cs="Arial"/>
          <w:b/>
          <w:snapToGrid w:val="0"/>
          <w:sz w:val="20"/>
          <w:szCs w:val="16"/>
          <w:lang w:eastAsia="en-US"/>
        </w:rPr>
      </w:pPr>
      <w:r w:rsidRPr="004A4B88">
        <w:rPr>
          <w:rFonts w:ascii="Arial Narrow" w:hAnsi="Arial Narrow" w:cs="Arial"/>
          <w:b/>
          <w:snapToGrid w:val="0"/>
          <w:sz w:val="20"/>
          <w:szCs w:val="16"/>
          <w:lang w:eastAsia="en-US"/>
        </w:rPr>
        <w:t>Key drivers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Key drivers of the model"/>
      </w:tblPr>
      <w:tblGrid>
        <w:gridCol w:w="2188"/>
        <w:gridCol w:w="4049"/>
        <w:gridCol w:w="2126"/>
      </w:tblGrid>
      <w:tr w:rsidR="008B1643" w:rsidRPr="004A4B88" w:rsidTr="00E82913">
        <w:trPr>
          <w:tblHeader/>
        </w:trPr>
        <w:tc>
          <w:tcPr>
            <w:tcW w:w="1308" w:type="pct"/>
            <w:vAlign w:val="center"/>
          </w:tcPr>
          <w:p w:rsidR="008B1643" w:rsidRPr="004A4B88" w:rsidRDefault="008B1643" w:rsidP="00AE62D3">
            <w:pPr>
              <w:widowControl w:val="0"/>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Description</w:t>
            </w:r>
          </w:p>
        </w:tc>
        <w:tc>
          <w:tcPr>
            <w:tcW w:w="2421" w:type="pct"/>
            <w:vAlign w:val="center"/>
          </w:tcPr>
          <w:p w:rsidR="008B1643" w:rsidRPr="004A4B88" w:rsidRDefault="008B1643" w:rsidP="00AE62D3">
            <w:pPr>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Method/Value</w:t>
            </w:r>
          </w:p>
        </w:tc>
        <w:tc>
          <w:tcPr>
            <w:tcW w:w="1271" w:type="pct"/>
            <w:vAlign w:val="center"/>
          </w:tcPr>
          <w:p w:rsidR="008B1643" w:rsidRPr="004A4B88" w:rsidRDefault="008B1643" w:rsidP="00AE62D3">
            <w:pPr>
              <w:widowControl w:val="0"/>
              <w:jc w:val="center"/>
              <w:rPr>
                <w:rFonts w:ascii="Arial Narrow" w:hAnsi="Arial Narrow" w:cs="Arial"/>
                <w:b/>
                <w:snapToGrid w:val="0"/>
                <w:sz w:val="20"/>
                <w:szCs w:val="20"/>
                <w:lang w:val="en-US" w:eastAsia="en-US"/>
              </w:rPr>
            </w:pPr>
            <w:r w:rsidRPr="004A4B88">
              <w:rPr>
                <w:rFonts w:ascii="Arial Narrow" w:hAnsi="Arial Narrow" w:cs="Arial"/>
                <w:b/>
                <w:snapToGrid w:val="0"/>
                <w:sz w:val="20"/>
                <w:szCs w:val="20"/>
                <w:lang w:val="en-US" w:eastAsia="en-US"/>
              </w:rPr>
              <w:t>Impact</w:t>
            </w:r>
          </w:p>
        </w:tc>
      </w:tr>
      <w:tr w:rsidR="008B1643" w:rsidRPr="004A4B88" w:rsidTr="00E82913">
        <w:tc>
          <w:tcPr>
            <w:tcW w:w="1308" w:type="pct"/>
            <w:vAlign w:val="center"/>
          </w:tcPr>
          <w:p w:rsidR="008B1643" w:rsidRPr="004A4B88" w:rsidRDefault="008B1643" w:rsidP="00AE62D3">
            <w:pPr>
              <w:widowControl w:val="0"/>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Time horizon</w:t>
            </w:r>
          </w:p>
        </w:tc>
        <w:tc>
          <w:tcPr>
            <w:tcW w:w="2421" w:type="pct"/>
            <w:vAlign w:val="center"/>
          </w:tcPr>
          <w:p w:rsidR="008B1643" w:rsidRPr="004A4B88" w:rsidRDefault="008B1643" w:rsidP="00AE62D3">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5 years; assumed from approximately 12 month trial duration</w:t>
            </w:r>
          </w:p>
        </w:tc>
        <w:tc>
          <w:tcPr>
            <w:tcW w:w="1271" w:type="pct"/>
            <w:vAlign w:val="center"/>
          </w:tcPr>
          <w:p w:rsidR="008B1643" w:rsidRPr="004A4B88" w:rsidRDefault="008B1643" w:rsidP="00AE62D3">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 xml:space="preserve">High, </w:t>
            </w:r>
            <w:proofErr w:type="spellStart"/>
            <w:r w:rsidRPr="004A4B88">
              <w:rPr>
                <w:rFonts w:ascii="Arial Narrow" w:hAnsi="Arial Narrow" w:cs="Arial"/>
                <w:snapToGrid w:val="0"/>
                <w:sz w:val="20"/>
                <w:szCs w:val="20"/>
                <w:lang w:val="en-US" w:eastAsia="en-US"/>
              </w:rPr>
              <w:t>favours</w:t>
            </w:r>
            <w:proofErr w:type="spellEnd"/>
            <w:r w:rsidRPr="004A4B88">
              <w:rPr>
                <w:rFonts w:ascii="Arial Narrow" w:hAnsi="Arial Narrow" w:cs="Arial"/>
                <w:snapToGrid w:val="0"/>
                <w:sz w:val="20"/>
                <w:szCs w:val="20"/>
                <w:lang w:val="en-US" w:eastAsia="en-US"/>
              </w:rPr>
              <w:t xml:space="preserve"> </w:t>
            </w:r>
            <w:proofErr w:type="spellStart"/>
            <w:r w:rsidRPr="004A4B88">
              <w:rPr>
                <w:rFonts w:ascii="Arial Narrow" w:hAnsi="Arial Narrow" w:cs="Arial"/>
                <w:snapToGrid w:val="0"/>
                <w:sz w:val="20"/>
                <w:szCs w:val="20"/>
                <w:lang w:val="en-US" w:eastAsia="en-US"/>
              </w:rPr>
              <w:t>regorafenib</w:t>
            </w:r>
            <w:proofErr w:type="spellEnd"/>
          </w:p>
        </w:tc>
      </w:tr>
      <w:tr w:rsidR="008B1643" w:rsidRPr="004A4B88" w:rsidTr="00E82913">
        <w:tc>
          <w:tcPr>
            <w:tcW w:w="1308" w:type="pct"/>
            <w:vAlign w:val="center"/>
          </w:tcPr>
          <w:p w:rsidR="008B1643" w:rsidRPr="004A4B88" w:rsidRDefault="008B1643" w:rsidP="00AE62D3">
            <w:pPr>
              <w:widowControl w:val="0"/>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Extrapolated OS assumptions</w:t>
            </w:r>
          </w:p>
        </w:tc>
        <w:tc>
          <w:tcPr>
            <w:tcW w:w="2421" w:type="pct"/>
            <w:vAlign w:val="center"/>
          </w:tcPr>
          <w:p w:rsidR="008B1643" w:rsidRPr="004A4B88" w:rsidRDefault="008B1643" w:rsidP="00AE62D3">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 xml:space="preserve">Based on modelled OS using log-normal </w:t>
            </w:r>
          </w:p>
        </w:tc>
        <w:tc>
          <w:tcPr>
            <w:tcW w:w="1271" w:type="pct"/>
            <w:vAlign w:val="center"/>
          </w:tcPr>
          <w:p w:rsidR="008B1643" w:rsidRPr="004A4B88" w:rsidRDefault="008B1643" w:rsidP="00AE62D3">
            <w:pPr>
              <w:widowControl w:val="0"/>
              <w:jc w:val="center"/>
              <w:rPr>
                <w:rFonts w:ascii="Arial Narrow" w:hAnsi="Arial Narrow" w:cs="Arial"/>
                <w:snapToGrid w:val="0"/>
                <w:sz w:val="20"/>
                <w:szCs w:val="20"/>
                <w:lang w:val="en-US" w:eastAsia="en-US"/>
              </w:rPr>
            </w:pPr>
            <w:r w:rsidRPr="004A4B88">
              <w:rPr>
                <w:rFonts w:ascii="Arial Narrow" w:hAnsi="Arial Narrow" w:cs="Arial"/>
                <w:snapToGrid w:val="0"/>
                <w:sz w:val="20"/>
                <w:szCs w:val="20"/>
                <w:lang w:val="en-US" w:eastAsia="en-US"/>
              </w:rPr>
              <w:t xml:space="preserve">High, </w:t>
            </w:r>
            <w:proofErr w:type="spellStart"/>
            <w:r w:rsidRPr="004A4B88">
              <w:rPr>
                <w:rFonts w:ascii="Arial Narrow" w:hAnsi="Arial Narrow" w:cs="Arial"/>
                <w:snapToGrid w:val="0"/>
                <w:sz w:val="20"/>
                <w:szCs w:val="20"/>
                <w:lang w:val="en-US" w:eastAsia="en-US"/>
              </w:rPr>
              <w:t>favours</w:t>
            </w:r>
            <w:proofErr w:type="spellEnd"/>
            <w:r w:rsidRPr="004A4B88">
              <w:rPr>
                <w:rFonts w:ascii="Arial Narrow" w:hAnsi="Arial Narrow" w:cs="Arial"/>
                <w:snapToGrid w:val="0"/>
                <w:sz w:val="20"/>
                <w:szCs w:val="20"/>
                <w:lang w:val="en-US" w:eastAsia="en-US"/>
              </w:rPr>
              <w:t xml:space="preserve"> </w:t>
            </w:r>
            <w:proofErr w:type="spellStart"/>
            <w:r w:rsidRPr="004A4B88">
              <w:rPr>
                <w:rFonts w:ascii="Arial Narrow" w:hAnsi="Arial Narrow" w:cs="Arial"/>
                <w:snapToGrid w:val="0"/>
                <w:sz w:val="20"/>
                <w:szCs w:val="20"/>
                <w:lang w:val="en-US" w:eastAsia="en-US"/>
              </w:rPr>
              <w:t>regorafenib</w:t>
            </w:r>
            <w:proofErr w:type="spellEnd"/>
          </w:p>
        </w:tc>
      </w:tr>
    </w:tbl>
    <w:p w:rsidR="008B1643" w:rsidRPr="004A4B88" w:rsidRDefault="008B1643" w:rsidP="00E82913">
      <w:pPr>
        <w:widowControl w:val="0"/>
        <w:ind w:left="709"/>
        <w:jc w:val="both"/>
        <w:rPr>
          <w:rFonts w:ascii="Arial Narrow" w:hAnsi="Arial Narrow" w:cs="Arial"/>
          <w:snapToGrid w:val="0"/>
          <w:sz w:val="18"/>
          <w:szCs w:val="20"/>
          <w:lang w:eastAsia="en-US"/>
        </w:rPr>
      </w:pPr>
      <w:r w:rsidRPr="004A4B88">
        <w:rPr>
          <w:rFonts w:ascii="Arial Narrow" w:hAnsi="Arial Narrow" w:cs="Arial"/>
          <w:snapToGrid w:val="0"/>
          <w:sz w:val="18"/>
          <w:szCs w:val="20"/>
          <w:lang w:eastAsia="en-US"/>
        </w:rPr>
        <w:t>Source: compiled during the evaluation</w:t>
      </w:r>
    </w:p>
    <w:p w:rsidR="008B1643" w:rsidRPr="004A4B88" w:rsidRDefault="008B1643" w:rsidP="000914FD">
      <w:pPr>
        <w:widowControl w:val="0"/>
        <w:ind w:left="709"/>
        <w:jc w:val="both"/>
        <w:rPr>
          <w:rFonts w:ascii="Arial Narrow" w:hAnsi="Arial Narrow" w:cs="Arial"/>
          <w:b/>
          <w:snapToGrid w:val="0"/>
          <w:sz w:val="20"/>
          <w:szCs w:val="16"/>
          <w:lang w:eastAsia="en-US"/>
        </w:rPr>
      </w:pPr>
    </w:p>
    <w:p w:rsidR="008B1643" w:rsidRPr="004A4B88" w:rsidRDefault="008B1643" w:rsidP="000914FD">
      <w:pPr>
        <w:pStyle w:val="ListParagraph"/>
        <w:numPr>
          <w:ilvl w:val="1"/>
          <w:numId w:val="25"/>
        </w:numPr>
        <w:jc w:val="both"/>
        <w:rPr>
          <w:rFonts w:ascii="Arial" w:hAnsi="Arial"/>
          <w:sz w:val="22"/>
          <w:szCs w:val="22"/>
        </w:rPr>
      </w:pPr>
      <w:r w:rsidRPr="004A4B88">
        <w:rPr>
          <w:rFonts w:ascii="Arial" w:hAnsi="Arial"/>
          <w:sz w:val="22"/>
          <w:szCs w:val="22"/>
        </w:rPr>
        <w:t>The ESC agreed with the Commentary, that if BSC was accepted as the comparator, then patients in the placebo group</w:t>
      </w:r>
      <w:r w:rsidR="000C00F5" w:rsidRPr="004A4B88">
        <w:rPr>
          <w:rFonts w:ascii="Arial" w:hAnsi="Arial"/>
          <w:sz w:val="22"/>
          <w:szCs w:val="22"/>
        </w:rPr>
        <w:t xml:space="preserve"> would not</w:t>
      </w:r>
      <w:r w:rsidRPr="004A4B88">
        <w:rPr>
          <w:rFonts w:ascii="Arial" w:hAnsi="Arial"/>
          <w:sz w:val="22"/>
          <w:szCs w:val="22"/>
        </w:rPr>
        <w:t xml:space="preserve"> receive chemotherapy at progression. </w:t>
      </w:r>
      <w:r w:rsidR="000C00F5" w:rsidRPr="004A4B88">
        <w:rPr>
          <w:rFonts w:ascii="Arial" w:hAnsi="Arial"/>
          <w:sz w:val="22"/>
          <w:szCs w:val="22"/>
        </w:rPr>
        <w:t>The</w:t>
      </w:r>
      <w:r w:rsidRPr="004A4B88">
        <w:rPr>
          <w:rFonts w:ascii="Arial" w:hAnsi="Arial"/>
          <w:sz w:val="22"/>
          <w:szCs w:val="22"/>
        </w:rPr>
        <w:t xml:space="preserve"> assumption </w:t>
      </w:r>
      <w:r w:rsidR="000C00F5" w:rsidRPr="004A4B88">
        <w:rPr>
          <w:rFonts w:ascii="Arial" w:hAnsi="Arial"/>
          <w:sz w:val="22"/>
          <w:szCs w:val="22"/>
        </w:rPr>
        <w:t xml:space="preserve">that BSC patients do receive chemotherapy </w:t>
      </w:r>
      <w:r w:rsidRPr="004A4B88">
        <w:rPr>
          <w:rFonts w:ascii="Arial" w:hAnsi="Arial"/>
          <w:sz w:val="22"/>
          <w:szCs w:val="22"/>
        </w:rPr>
        <w:t xml:space="preserve">is </w:t>
      </w:r>
      <w:r w:rsidR="000C00F5" w:rsidRPr="004A4B88">
        <w:rPr>
          <w:rFonts w:ascii="Arial" w:hAnsi="Arial"/>
          <w:sz w:val="22"/>
          <w:szCs w:val="22"/>
        </w:rPr>
        <w:t xml:space="preserve">therefore </w:t>
      </w:r>
      <w:r w:rsidRPr="004A4B88">
        <w:rPr>
          <w:rFonts w:ascii="Arial" w:hAnsi="Arial"/>
          <w:sz w:val="22"/>
          <w:szCs w:val="22"/>
        </w:rPr>
        <w:t xml:space="preserve">inappropriate and favours </w:t>
      </w:r>
      <w:proofErr w:type="spellStart"/>
      <w:r w:rsidRPr="004A4B88">
        <w:rPr>
          <w:rFonts w:ascii="Arial" w:hAnsi="Arial"/>
          <w:sz w:val="22"/>
          <w:szCs w:val="22"/>
        </w:rPr>
        <w:t>regorafenib</w:t>
      </w:r>
      <w:proofErr w:type="spellEnd"/>
      <w:r w:rsidRPr="004A4B88">
        <w:rPr>
          <w:rFonts w:ascii="Arial" w:hAnsi="Arial"/>
          <w:sz w:val="22"/>
          <w:szCs w:val="22"/>
        </w:rPr>
        <w:t xml:space="preserve">. </w:t>
      </w:r>
      <w:r w:rsidR="000C00F5" w:rsidRPr="004A4B88">
        <w:rPr>
          <w:rFonts w:ascii="Arial" w:hAnsi="Arial"/>
          <w:sz w:val="22"/>
          <w:szCs w:val="22"/>
        </w:rPr>
        <w:t>On this basis, p</w:t>
      </w:r>
      <w:r w:rsidRPr="004A4B88">
        <w:rPr>
          <w:rFonts w:ascii="Arial" w:hAnsi="Arial"/>
          <w:sz w:val="22"/>
          <w:szCs w:val="22"/>
        </w:rPr>
        <w:t xml:space="preserve">ost-progression </w:t>
      </w:r>
      <w:r w:rsidR="000C00F5" w:rsidRPr="004A4B88">
        <w:rPr>
          <w:rFonts w:ascii="Arial" w:hAnsi="Arial"/>
          <w:sz w:val="22"/>
          <w:szCs w:val="22"/>
        </w:rPr>
        <w:t xml:space="preserve">chemotherapy </w:t>
      </w:r>
      <w:r w:rsidRPr="004A4B88">
        <w:rPr>
          <w:rFonts w:ascii="Arial" w:hAnsi="Arial"/>
          <w:sz w:val="22"/>
          <w:szCs w:val="22"/>
        </w:rPr>
        <w:t xml:space="preserve">costs </w:t>
      </w:r>
      <w:r w:rsidR="000C00F5" w:rsidRPr="004A4B88">
        <w:rPr>
          <w:rFonts w:ascii="Arial" w:hAnsi="Arial"/>
          <w:sz w:val="22"/>
          <w:szCs w:val="22"/>
        </w:rPr>
        <w:t xml:space="preserve">in the BSC </w:t>
      </w:r>
      <w:r w:rsidRPr="004A4B88">
        <w:rPr>
          <w:rFonts w:ascii="Arial" w:hAnsi="Arial"/>
          <w:sz w:val="22"/>
          <w:szCs w:val="22"/>
        </w:rPr>
        <w:t xml:space="preserve">should be excluded from the economic evaluation. The ESC agreed that the revised base-case ICER </w:t>
      </w:r>
      <w:r w:rsidR="00A71D97">
        <w:rPr>
          <w:rFonts w:ascii="Arial" w:hAnsi="Arial"/>
          <w:sz w:val="22"/>
          <w:szCs w:val="22"/>
        </w:rPr>
        <w:t xml:space="preserve">range </w:t>
      </w:r>
      <w:r w:rsidRPr="004A4B88">
        <w:rPr>
          <w:rFonts w:ascii="Arial" w:hAnsi="Arial"/>
          <w:sz w:val="22"/>
          <w:szCs w:val="22"/>
        </w:rPr>
        <w:t>of</w:t>
      </w:r>
      <w:r w:rsidR="00A71D97">
        <w:rPr>
          <w:rFonts w:ascii="Arial" w:hAnsi="Arial"/>
          <w:sz w:val="22"/>
          <w:szCs w:val="22"/>
        </w:rPr>
        <w:t xml:space="preserve"> $45,000/QALY to $75,000/QALY</w:t>
      </w:r>
      <w:r w:rsidRPr="004A4B88">
        <w:rPr>
          <w:rFonts w:ascii="Arial" w:hAnsi="Arial"/>
          <w:sz w:val="22"/>
          <w:szCs w:val="22"/>
        </w:rPr>
        <w:t xml:space="preserve"> should be </w:t>
      </w:r>
      <w:r w:rsidRPr="004A4B88">
        <w:rPr>
          <w:rFonts w:ascii="Arial" w:hAnsi="Arial"/>
          <w:sz w:val="22"/>
          <w:szCs w:val="22"/>
        </w:rPr>
        <w:lastRenderedPageBreak/>
        <w:t xml:space="preserve">used for testing all other sensitivity analyses. In the pre-PBAC response, the sponsor agreed with this approach. </w:t>
      </w:r>
    </w:p>
    <w:p w:rsidR="008B1643" w:rsidRPr="004A4B88" w:rsidRDefault="008B1643" w:rsidP="000914FD">
      <w:pPr>
        <w:pStyle w:val="ListParagraph"/>
        <w:jc w:val="both"/>
        <w:rPr>
          <w:rFonts w:ascii="Arial" w:hAnsi="Arial"/>
          <w:sz w:val="22"/>
          <w:szCs w:val="22"/>
        </w:rPr>
      </w:pPr>
    </w:p>
    <w:p w:rsidR="008B1643" w:rsidRPr="00B64E8F" w:rsidRDefault="008B1643" w:rsidP="000914FD">
      <w:pPr>
        <w:widowControl w:val="0"/>
        <w:ind w:left="709"/>
        <w:jc w:val="both"/>
        <w:rPr>
          <w:rFonts w:ascii="Arial Narrow" w:hAnsi="Arial Narrow" w:cs="Arial"/>
          <w:b/>
          <w:snapToGrid w:val="0"/>
          <w:sz w:val="20"/>
          <w:szCs w:val="16"/>
          <w:lang w:eastAsia="en-US"/>
        </w:rPr>
      </w:pPr>
      <w:r w:rsidRPr="00B64E8F">
        <w:rPr>
          <w:rFonts w:ascii="Arial Narrow" w:hAnsi="Arial Narrow" w:cs="Arial"/>
          <w:b/>
          <w:snapToGrid w:val="0"/>
          <w:sz w:val="20"/>
          <w:szCs w:val="16"/>
          <w:lang w:eastAsia="en-US"/>
        </w:rPr>
        <w:t xml:space="preserve">Results of the stepped economic </w:t>
      </w:r>
      <w:proofErr w:type="spellStart"/>
      <w:r w:rsidRPr="00B64E8F">
        <w:rPr>
          <w:rFonts w:ascii="Arial Narrow" w:hAnsi="Arial Narrow" w:cs="Arial"/>
          <w:b/>
          <w:snapToGrid w:val="0"/>
          <w:sz w:val="20"/>
          <w:szCs w:val="16"/>
          <w:lang w:eastAsia="en-US"/>
        </w:rPr>
        <w:t>evaluation</w:t>
      </w:r>
      <w:r w:rsidRPr="00B64E8F">
        <w:rPr>
          <w:rFonts w:ascii="Arial Narrow" w:hAnsi="Arial Narrow" w:cs="Arial"/>
          <w:b/>
          <w:snapToGrid w:val="0"/>
          <w:sz w:val="20"/>
          <w:szCs w:val="16"/>
          <w:vertAlign w:val="superscript"/>
          <w:lang w:eastAsia="en-US"/>
        </w:rPr>
        <w:t>a</w:t>
      </w:r>
      <w:proofErr w:type="spellEnd"/>
    </w:p>
    <w:tbl>
      <w:tblPr>
        <w:tblW w:w="8406"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Description w:val="Results of the stepped economic evaluation"/>
      </w:tblPr>
      <w:tblGrid>
        <w:gridCol w:w="2552"/>
        <w:gridCol w:w="1543"/>
        <w:gridCol w:w="1859"/>
        <w:gridCol w:w="2452"/>
      </w:tblGrid>
      <w:tr w:rsidR="008B1643" w:rsidRPr="00A71D97" w:rsidTr="006449D1">
        <w:trPr>
          <w:cantSplit/>
        </w:trPr>
        <w:tc>
          <w:tcPr>
            <w:tcW w:w="2552" w:type="dxa"/>
          </w:tcPr>
          <w:p w:rsidR="008B1643" w:rsidRPr="0019090F" w:rsidRDefault="008B1643" w:rsidP="006449D1">
            <w:pPr>
              <w:widowControl w:val="0"/>
              <w:rPr>
                <w:rFonts w:ascii="Arial Narrow" w:hAnsi="Arial Narrow" w:cs="Arial"/>
                <w:b/>
                <w:snapToGrid w:val="0"/>
                <w:sz w:val="20"/>
                <w:szCs w:val="20"/>
                <w:lang w:eastAsia="en-US"/>
              </w:rPr>
            </w:pPr>
          </w:p>
          <w:p w:rsidR="008B1643" w:rsidRPr="0019090F" w:rsidRDefault="008B1643" w:rsidP="006449D1">
            <w:pPr>
              <w:widowControl w:val="0"/>
              <w:rPr>
                <w:rFonts w:ascii="Arial Narrow" w:hAnsi="Arial Narrow" w:cs="Arial"/>
                <w:snapToGrid w:val="0"/>
                <w:sz w:val="20"/>
                <w:szCs w:val="20"/>
                <w:lang w:eastAsia="en-US"/>
              </w:rPr>
            </w:pPr>
            <w:r w:rsidRPr="00B64E8F">
              <w:rPr>
                <w:rFonts w:ascii="Arial Narrow" w:hAnsi="Arial Narrow" w:cs="Arial"/>
                <w:b/>
                <w:snapToGrid w:val="0"/>
                <w:sz w:val="20"/>
                <w:szCs w:val="20"/>
                <w:lang w:eastAsia="en-US"/>
              </w:rPr>
              <w:t>Component</w:t>
            </w:r>
          </w:p>
        </w:tc>
        <w:tc>
          <w:tcPr>
            <w:tcW w:w="0" w:type="auto"/>
            <w:vAlign w:val="bottom"/>
          </w:tcPr>
          <w:p w:rsidR="008B1643" w:rsidRPr="0019090F" w:rsidRDefault="008B1643" w:rsidP="006449D1">
            <w:pPr>
              <w:widowControl w:val="0"/>
              <w:jc w:val="center"/>
              <w:rPr>
                <w:rFonts w:ascii="Arial Narrow" w:hAnsi="Arial Narrow" w:cs="Arial"/>
                <w:snapToGrid w:val="0"/>
                <w:sz w:val="20"/>
                <w:szCs w:val="20"/>
                <w:lang w:eastAsia="en-US"/>
              </w:rPr>
            </w:pPr>
            <w:r w:rsidRPr="00B64E8F">
              <w:rPr>
                <w:rFonts w:ascii="Arial Narrow" w:hAnsi="Arial Narrow" w:cs="Arial"/>
                <w:b/>
                <w:snapToGrid w:val="0"/>
                <w:sz w:val="20"/>
                <w:szCs w:val="20"/>
                <w:lang w:eastAsia="en-US"/>
              </w:rPr>
              <w:t>Incremental costs</w:t>
            </w:r>
          </w:p>
        </w:tc>
        <w:tc>
          <w:tcPr>
            <w:tcW w:w="1859" w:type="dxa"/>
            <w:vAlign w:val="bottom"/>
          </w:tcPr>
          <w:p w:rsidR="008B1643" w:rsidRPr="0019090F" w:rsidRDefault="008B1643" w:rsidP="006449D1">
            <w:pPr>
              <w:widowControl w:val="0"/>
              <w:jc w:val="center"/>
              <w:rPr>
                <w:rFonts w:ascii="Arial Narrow" w:hAnsi="Arial Narrow" w:cs="Arial"/>
                <w:snapToGrid w:val="0"/>
                <w:sz w:val="20"/>
                <w:szCs w:val="20"/>
                <w:lang w:eastAsia="en-US"/>
              </w:rPr>
            </w:pPr>
            <w:r w:rsidRPr="00B64E8F">
              <w:rPr>
                <w:rFonts w:ascii="Arial Narrow" w:hAnsi="Arial Narrow" w:cs="Arial"/>
                <w:b/>
                <w:snapToGrid w:val="0"/>
                <w:sz w:val="20"/>
                <w:szCs w:val="20"/>
                <w:lang w:eastAsia="en-US"/>
              </w:rPr>
              <w:t>Incremental effectiveness</w:t>
            </w:r>
          </w:p>
        </w:tc>
        <w:tc>
          <w:tcPr>
            <w:tcW w:w="0" w:type="auto"/>
            <w:vAlign w:val="bottom"/>
          </w:tcPr>
          <w:p w:rsidR="008B1643" w:rsidRPr="0019090F" w:rsidRDefault="008B1643" w:rsidP="006449D1">
            <w:pPr>
              <w:widowControl w:val="0"/>
              <w:jc w:val="center"/>
              <w:rPr>
                <w:rFonts w:ascii="Arial Narrow" w:hAnsi="Arial Narrow" w:cs="Arial"/>
                <w:snapToGrid w:val="0"/>
                <w:sz w:val="20"/>
                <w:szCs w:val="20"/>
                <w:lang w:eastAsia="en-US"/>
              </w:rPr>
            </w:pPr>
            <w:r w:rsidRPr="00B64E8F">
              <w:rPr>
                <w:rFonts w:ascii="Arial Narrow" w:hAnsi="Arial Narrow" w:cs="Arial"/>
                <w:b/>
                <w:snapToGrid w:val="0"/>
                <w:sz w:val="20"/>
                <w:szCs w:val="20"/>
                <w:lang w:eastAsia="en-US"/>
              </w:rPr>
              <w:t>Incremental cost-</w:t>
            </w:r>
            <w:proofErr w:type="spellStart"/>
            <w:r w:rsidRPr="00B64E8F">
              <w:rPr>
                <w:rFonts w:ascii="Arial Narrow" w:hAnsi="Arial Narrow" w:cs="Arial"/>
                <w:b/>
                <w:snapToGrid w:val="0"/>
                <w:sz w:val="20"/>
                <w:szCs w:val="20"/>
                <w:lang w:eastAsia="en-US"/>
              </w:rPr>
              <w:t>effectiveness</w:t>
            </w:r>
            <w:r w:rsidRPr="00B64E8F">
              <w:rPr>
                <w:rFonts w:ascii="Arial Narrow" w:hAnsi="Arial Narrow" w:cs="Arial"/>
                <w:b/>
                <w:snapToGrid w:val="0"/>
                <w:sz w:val="20"/>
                <w:szCs w:val="20"/>
                <w:vertAlign w:val="superscript"/>
                <w:lang w:eastAsia="en-US"/>
              </w:rPr>
              <w:t>a</w:t>
            </w:r>
            <w:proofErr w:type="spellEnd"/>
          </w:p>
        </w:tc>
      </w:tr>
      <w:tr w:rsidR="008B1643" w:rsidRPr="00A71D97" w:rsidTr="006449D1">
        <w:trPr>
          <w:cantSplit/>
        </w:trPr>
        <w:tc>
          <w:tcPr>
            <w:tcW w:w="8406" w:type="dxa"/>
            <w:gridSpan w:val="4"/>
          </w:tcPr>
          <w:p w:rsidR="008B1643" w:rsidRPr="0019090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 xml:space="preserve">Within trial </w:t>
            </w:r>
          </w:p>
        </w:tc>
      </w:tr>
      <w:tr w:rsidR="008B1643" w:rsidRPr="00A71D97" w:rsidTr="006449D1">
        <w:trPr>
          <w:cantSplit/>
        </w:trPr>
        <w:tc>
          <w:tcPr>
            <w:tcW w:w="2552" w:type="dxa"/>
          </w:tcPr>
          <w:p w:rsidR="008B1643" w:rsidRPr="00B64E8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IC/LYS</w:t>
            </w:r>
          </w:p>
          <w:p w:rsidR="008B1643" w:rsidRPr="0019090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revised</w:t>
            </w:r>
          </w:p>
        </w:tc>
        <w:tc>
          <w:tcPr>
            <w:tcW w:w="0" w:type="auto"/>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859" w:type="dxa"/>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0" w:type="auto"/>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8B1643" w:rsidRPr="00A71D97" w:rsidTr="006449D1">
        <w:trPr>
          <w:cantSplit/>
        </w:trPr>
        <w:tc>
          <w:tcPr>
            <w:tcW w:w="2552" w:type="dxa"/>
          </w:tcPr>
          <w:p w:rsidR="008B1643" w:rsidRPr="00B64E8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IC/QALY</w:t>
            </w:r>
          </w:p>
          <w:p w:rsidR="008B1643" w:rsidRPr="0019090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revised</w:t>
            </w:r>
          </w:p>
        </w:tc>
        <w:tc>
          <w:tcPr>
            <w:tcW w:w="0" w:type="auto"/>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859" w:type="dxa"/>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0" w:type="auto"/>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8B1643" w:rsidRPr="00A71D97" w:rsidTr="006449D1">
        <w:trPr>
          <w:cantSplit/>
        </w:trPr>
        <w:tc>
          <w:tcPr>
            <w:tcW w:w="8406" w:type="dxa"/>
            <w:gridSpan w:val="4"/>
          </w:tcPr>
          <w:p w:rsidR="008B1643" w:rsidRPr="0019090F" w:rsidRDefault="008B1643" w:rsidP="006449D1">
            <w:pPr>
              <w:widowControl w:val="0"/>
              <w:rPr>
                <w:rFonts w:ascii="Arial Narrow" w:hAnsi="Arial Narrow" w:cs="Arial"/>
                <w:b/>
                <w:snapToGrid w:val="0"/>
                <w:sz w:val="20"/>
                <w:szCs w:val="20"/>
                <w:lang w:eastAsia="en-US"/>
              </w:rPr>
            </w:pPr>
            <w:r w:rsidRPr="00B64E8F">
              <w:rPr>
                <w:rFonts w:ascii="Arial Narrow" w:hAnsi="Arial Narrow" w:cs="Arial"/>
                <w:snapToGrid w:val="0"/>
                <w:sz w:val="20"/>
                <w:szCs w:val="20"/>
                <w:lang w:eastAsia="en-US"/>
              </w:rPr>
              <w:t>Extrapolated to 5 years</w:t>
            </w:r>
          </w:p>
        </w:tc>
      </w:tr>
      <w:tr w:rsidR="008B1643" w:rsidRPr="00A71D97" w:rsidTr="006449D1">
        <w:trPr>
          <w:cantSplit/>
        </w:trPr>
        <w:tc>
          <w:tcPr>
            <w:tcW w:w="2552" w:type="dxa"/>
          </w:tcPr>
          <w:p w:rsidR="008B1643" w:rsidRPr="00B64E8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IC/LYS</w:t>
            </w:r>
          </w:p>
          <w:p w:rsidR="008B1643" w:rsidRPr="0019090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revised</w:t>
            </w:r>
          </w:p>
        </w:tc>
        <w:tc>
          <w:tcPr>
            <w:tcW w:w="0" w:type="auto"/>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859" w:type="dxa"/>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0" w:type="auto"/>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19090F" w:rsidP="006449D1">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8B1643" w:rsidRPr="00A71D97" w:rsidTr="006449D1">
        <w:trPr>
          <w:cantSplit/>
        </w:trPr>
        <w:tc>
          <w:tcPr>
            <w:tcW w:w="2552" w:type="dxa"/>
          </w:tcPr>
          <w:p w:rsidR="008B1643" w:rsidRPr="00B64E8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IC/QALY</w:t>
            </w:r>
          </w:p>
          <w:p w:rsidR="008B1643" w:rsidRPr="0019090F" w:rsidRDefault="008B1643" w:rsidP="006449D1">
            <w:pPr>
              <w:widowControl w:val="0"/>
              <w:rPr>
                <w:rFonts w:ascii="Arial Narrow" w:hAnsi="Arial Narrow" w:cs="Arial"/>
                <w:snapToGrid w:val="0"/>
                <w:sz w:val="20"/>
                <w:szCs w:val="20"/>
                <w:lang w:eastAsia="en-US"/>
              </w:rPr>
            </w:pPr>
            <w:r w:rsidRPr="00B64E8F">
              <w:rPr>
                <w:rFonts w:ascii="Arial Narrow" w:hAnsi="Arial Narrow" w:cs="Arial"/>
                <w:snapToGrid w:val="0"/>
                <w:sz w:val="20"/>
                <w:szCs w:val="20"/>
                <w:lang w:eastAsia="en-US"/>
              </w:rPr>
              <w:t xml:space="preserve">Revised </w:t>
            </w:r>
            <w:r w:rsidRPr="00B64E8F">
              <w:rPr>
                <w:rFonts w:ascii="Arial Narrow" w:hAnsi="Arial Narrow" w:cs="Arial"/>
                <w:i/>
                <w:snapToGrid w:val="0"/>
                <w:sz w:val="20"/>
                <w:szCs w:val="20"/>
                <w:lang w:eastAsia="en-US"/>
              </w:rPr>
              <w:t>(revised base-case accepted by ESC)</w:t>
            </w:r>
          </w:p>
        </w:tc>
        <w:tc>
          <w:tcPr>
            <w:tcW w:w="0" w:type="auto"/>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859" w:type="dxa"/>
          </w:tcPr>
          <w:p w:rsidR="008B1643" w:rsidRPr="0019090F" w:rsidRDefault="0019090F" w:rsidP="006449D1">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0" w:type="auto"/>
          </w:tcPr>
          <w:p w:rsidR="008B1643" w:rsidRPr="0019090F" w:rsidRDefault="0019090F" w:rsidP="006449D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19090F" w:rsidP="006449D1">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r>
    </w:tbl>
    <w:p w:rsidR="008B1643" w:rsidRPr="004A4B88" w:rsidRDefault="008B1643" w:rsidP="000914FD">
      <w:pPr>
        <w:widowControl w:val="0"/>
        <w:ind w:left="709"/>
        <w:jc w:val="both"/>
        <w:rPr>
          <w:rFonts w:ascii="Arial Narrow" w:hAnsi="Arial Narrow" w:cs="Arial"/>
          <w:snapToGrid w:val="0"/>
          <w:sz w:val="18"/>
          <w:szCs w:val="18"/>
          <w:lang w:eastAsia="en-US"/>
        </w:rPr>
      </w:pPr>
      <w:proofErr w:type="gramStart"/>
      <w:r w:rsidRPr="004A4B88">
        <w:rPr>
          <w:rFonts w:ascii="Arial Narrow" w:hAnsi="Arial Narrow" w:cs="Arial"/>
          <w:snapToGrid w:val="0"/>
          <w:sz w:val="18"/>
          <w:szCs w:val="18"/>
          <w:vertAlign w:val="superscript"/>
          <w:lang w:eastAsia="en-US"/>
        </w:rPr>
        <w:t>a</w:t>
      </w:r>
      <w:proofErr w:type="gramEnd"/>
      <w:r w:rsidRPr="004A4B88">
        <w:rPr>
          <w:rFonts w:ascii="Arial Narrow" w:hAnsi="Arial Narrow" w:cs="Arial"/>
          <w:snapToGrid w:val="0"/>
          <w:sz w:val="18"/>
          <w:szCs w:val="18"/>
          <w:vertAlign w:val="superscript"/>
          <w:lang w:eastAsia="en-US"/>
        </w:rPr>
        <w:t xml:space="preserve"> </w:t>
      </w:r>
      <w:r w:rsidRPr="004A4B88">
        <w:rPr>
          <w:rFonts w:ascii="Arial Narrow" w:hAnsi="Arial Narrow" w:cs="Arial"/>
          <w:snapToGrid w:val="0"/>
          <w:sz w:val="18"/>
          <w:szCs w:val="18"/>
          <w:lang w:eastAsia="en-US"/>
        </w:rPr>
        <w:t xml:space="preserve">revised base-case assumes no post-progression costs (refer p47 of the commentary). Source: pp50-51 of the commentary. </w:t>
      </w:r>
    </w:p>
    <w:p w:rsidR="008B1643" w:rsidRPr="004A4B88" w:rsidRDefault="008B1643" w:rsidP="00AE62D3">
      <w:pPr>
        <w:jc w:val="both"/>
        <w:rPr>
          <w:rFonts w:ascii="Arial" w:hAnsi="Arial"/>
          <w:sz w:val="22"/>
          <w:szCs w:val="22"/>
        </w:rPr>
      </w:pPr>
    </w:p>
    <w:p w:rsidR="008B1643" w:rsidRPr="004A4B88" w:rsidRDefault="008B1643" w:rsidP="00AE62D3">
      <w:pPr>
        <w:pStyle w:val="ListParagraph"/>
        <w:numPr>
          <w:ilvl w:val="1"/>
          <w:numId w:val="25"/>
        </w:numPr>
        <w:jc w:val="both"/>
        <w:rPr>
          <w:rFonts w:ascii="Arial" w:hAnsi="Arial"/>
          <w:sz w:val="22"/>
          <w:szCs w:val="22"/>
        </w:rPr>
      </w:pPr>
      <w:r w:rsidRPr="004A4B88">
        <w:rPr>
          <w:rFonts w:ascii="Arial" w:hAnsi="Arial"/>
          <w:sz w:val="22"/>
          <w:szCs w:val="22"/>
        </w:rPr>
        <w:t xml:space="preserve">The ESC considered that a time horizon of 3 years may be more appropriate for modelling this stage of disease. The ESC noted that additional sensitivity analyses of models extrapolating the OS outcomes were provided in table 2 of the PSCR (p5). From the base case ICER presented in the submission of </w:t>
      </w:r>
      <w:r w:rsidR="00A71D97">
        <w:rPr>
          <w:rFonts w:ascii="Arial" w:hAnsi="Arial"/>
          <w:sz w:val="22"/>
          <w:szCs w:val="22"/>
        </w:rPr>
        <w:t>$45,000/QALY to $75,000/QALY</w:t>
      </w:r>
      <w:r w:rsidRPr="004A4B88">
        <w:rPr>
          <w:rFonts w:ascii="Arial" w:hAnsi="Arial"/>
          <w:sz w:val="22"/>
          <w:szCs w:val="22"/>
        </w:rPr>
        <w:t xml:space="preserve">, the ESC noted that the ICER varied between </w:t>
      </w:r>
      <w:r w:rsidR="00A71D97">
        <w:rPr>
          <w:rFonts w:ascii="Arial" w:hAnsi="Arial"/>
          <w:sz w:val="22"/>
          <w:szCs w:val="22"/>
        </w:rPr>
        <w:t>$45,000/QALY to $75,000/QALY</w:t>
      </w:r>
      <w:r w:rsidRPr="004A4B88">
        <w:rPr>
          <w:rFonts w:ascii="Arial" w:hAnsi="Arial"/>
          <w:sz w:val="22"/>
          <w:szCs w:val="22"/>
        </w:rPr>
        <w:t xml:space="preserve"> (Reference curve and HR, Log logistic) and </w:t>
      </w:r>
      <w:r w:rsidR="00A71D97">
        <w:rPr>
          <w:rFonts w:ascii="Arial" w:hAnsi="Arial"/>
          <w:sz w:val="22"/>
          <w:szCs w:val="22"/>
        </w:rPr>
        <w:t>$75,000/QALY to $105,000/QALY</w:t>
      </w:r>
      <w:r w:rsidRPr="004A4B88">
        <w:rPr>
          <w:rFonts w:ascii="Arial" w:hAnsi="Arial"/>
          <w:sz w:val="22"/>
          <w:szCs w:val="22"/>
        </w:rPr>
        <w:t xml:space="preserve"> (Independent Curves, Exponential). </w:t>
      </w:r>
    </w:p>
    <w:p w:rsidR="008B1643" w:rsidRPr="004A4B88" w:rsidRDefault="008B1643" w:rsidP="00AE62D3">
      <w:pPr>
        <w:pStyle w:val="ListParagraph"/>
        <w:ind w:left="709"/>
        <w:jc w:val="both"/>
        <w:rPr>
          <w:rFonts w:ascii="Arial" w:hAnsi="Arial"/>
          <w:sz w:val="22"/>
          <w:szCs w:val="22"/>
        </w:rPr>
      </w:pPr>
    </w:p>
    <w:p w:rsidR="008B1643" w:rsidRPr="004A4B88" w:rsidRDefault="008B1643" w:rsidP="00883561">
      <w:pPr>
        <w:pStyle w:val="ListParagraph"/>
        <w:numPr>
          <w:ilvl w:val="1"/>
          <w:numId w:val="25"/>
        </w:numPr>
        <w:jc w:val="both"/>
        <w:rPr>
          <w:rFonts w:ascii="Arial" w:hAnsi="Arial"/>
          <w:sz w:val="22"/>
          <w:szCs w:val="22"/>
        </w:rPr>
      </w:pPr>
      <w:r w:rsidRPr="004A4B88">
        <w:rPr>
          <w:rFonts w:ascii="Arial" w:hAnsi="Arial"/>
          <w:sz w:val="22"/>
          <w:szCs w:val="22"/>
        </w:rPr>
        <w:t xml:space="preserve">The submission presents </w:t>
      </w:r>
      <w:proofErr w:type="spellStart"/>
      <w:r w:rsidRPr="004A4B88">
        <w:rPr>
          <w:rFonts w:ascii="Arial" w:hAnsi="Arial"/>
          <w:sz w:val="22"/>
          <w:szCs w:val="22"/>
        </w:rPr>
        <w:t>univariate</w:t>
      </w:r>
      <w:proofErr w:type="spellEnd"/>
      <w:r w:rsidRPr="004A4B88">
        <w:rPr>
          <w:rFonts w:ascii="Arial" w:hAnsi="Arial"/>
          <w:sz w:val="22"/>
          <w:szCs w:val="22"/>
        </w:rPr>
        <w:t xml:space="preserve"> sensitivity analysis. The key drivers are the estimates of OS, extrapolation and the time on treatment.</w:t>
      </w:r>
    </w:p>
    <w:p w:rsidR="008B1643" w:rsidRPr="004A4B88" w:rsidRDefault="008B1643" w:rsidP="00883561">
      <w:pPr>
        <w:pStyle w:val="ListParagraph"/>
        <w:jc w:val="both"/>
        <w:rPr>
          <w:rFonts w:ascii="Arial" w:hAnsi="Arial"/>
          <w:sz w:val="22"/>
          <w:szCs w:val="22"/>
        </w:rPr>
      </w:pPr>
    </w:p>
    <w:p w:rsidR="008B1643" w:rsidRPr="007160C2" w:rsidRDefault="008B1643" w:rsidP="00E82913">
      <w:pPr>
        <w:widowControl w:val="0"/>
        <w:ind w:left="709"/>
        <w:jc w:val="both"/>
        <w:rPr>
          <w:rFonts w:ascii="Arial Narrow" w:hAnsi="Arial Narrow" w:cs="Arial"/>
          <w:b/>
          <w:snapToGrid w:val="0"/>
          <w:sz w:val="20"/>
          <w:szCs w:val="16"/>
          <w:lang w:eastAsia="en-US"/>
        </w:rPr>
      </w:pPr>
      <w:r w:rsidRPr="007160C2">
        <w:rPr>
          <w:rFonts w:ascii="Arial Narrow" w:hAnsi="Arial Narrow" w:cs="Arial"/>
          <w:b/>
          <w:snapToGrid w:val="0"/>
          <w:sz w:val="20"/>
          <w:szCs w:val="16"/>
          <w:lang w:eastAsia="en-US"/>
        </w:rPr>
        <w:t>Key sensitivity analyses</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Key sensitivity analyses"/>
      </w:tblPr>
      <w:tblGrid>
        <w:gridCol w:w="2744"/>
        <w:gridCol w:w="1876"/>
        <w:gridCol w:w="1902"/>
        <w:gridCol w:w="1840"/>
      </w:tblGrid>
      <w:tr w:rsidR="008B1643" w:rsidRPr="00A71D97" w:rsidTr="000914FD">
        <w:trPr>
          <w:trHeight w:val="227"/>
        </w:trPr>
        <w:tc>
          <w:tcPr>
            <w:tcW w:w="1641" w:type="pct"/>
            <w:vMerge w:val="restart"/>
            <w:shd w:val="clear" w:color="auto" w:fill="BFBFBF"/>
            <w:vAlign w:val="center"/>
          </w:tcPr>
          <w:p w:rsidR="008B1643" w:rsidRPr="007160C2" w:rsidRDefault="008B1643" w:rsidP="00B047AE">
            <w:pPr>
              <w:tabs>
                <w:tab w:val="left" w:pos="416"/>
                <w:tab w:val="left" w:pos="582"/>
              </w:tabs>
              <w:rPr>
                <w:rFonts w:ascii="Arial Narrow" w:hAnsi="Arial Narrow" w:cs="Arial"/>
                <w:sz w:val="20"/>
                <w:szCs w:val="20"/>
                <w:lang w:eastAsia="en-US"/>
              </w:rPr>
            </w:pPr>
            <w:r w:rsidRPr="007160C2">
              <w:rPr>
                <w:rFonts w:ascii="Arial Narrow" w:hAnsi="Arial Narrow" w:cs="Arial"/>
                <w:sz w:val="20"/>
                <w:szCs w:val="20"/>
                <w:lang w:eastAsia="en-US"/>
              </w:rPr>
              <w:t>Sensitivity analysis</w:t>
            </w:r>
          </w:p>
          <w:p w:rsidR="008B1643" w:rsidRPr="007160C2" w:rsidRDefault="008B1643" w:rsidP="00B047AE">
            <w:pPr>
              <w:tabs>
                <w:tab w:val="left" w:pos="416"/>
                <w:tab w:val="left" w:pos="582"/>
              </w:tabs>
              <w:rPr>
                <w:rFonts w:ascii="Arial Narrow" w:hAnsi="Arial Narrow" w:cs="Arial"/>
                <w:sz w:val="20"/>
                <w:szCs w:val="20"/>
                <w:lang w:eastAsia="en-US"/>
              </w:rPr>
            </w:pPr>
            <w:r w:rsidRPr="007160C2">
              <w:rPr>
                <w:rFonts w:ascii="Arial Narrow" w:hAnsi="Arial Narrow" w:cs="Arial"/>
                <w:sz w:val="20"/>
                <w:szCs w:val="20"/>
                <w:lang w:eastAsia="en-US"/>
              </w:rPr>
              <w:t>Base Case ICER = $</w:t>
            </w:r>
            <w:r w:rsidR="0019090F">
              <w:rPr>
                <w:rFonts w:ascii="Arial Narrow" w:hAnsi="Arial Narrow" w:cs="Arial"/>
                <w:noProof/>
                <w:color w:val="000000"/>
                <w:sz w:val="20"/>
                <w:szCs w:val="20"/>
                <w:highlight w:val="black"/>
                <w:lang w:eastAsia="en-US"/>
              </w:rPr>
              <w:t>''''''''''''''''''</w:t>
            </w:r>
          </w:p>
        </w:tc>
        <w:tc>
          <w:tcPr>
            <w:tcW w:w="1122" w:type="pct"/>
            <w:shd w:val="clear" w:color="auto" w:fill="BFBFBF"/>
            <w:vAlign w:val="center"/>
          </w:tcPr>
          <w:p w:rsidR="008B1643" w:rsidRPr="007160C2" w:rsidRDefault="008B1643" w:rsidP="00B047AE">
            <w:pPr>
              <w:tabs>
                <w:tab w:val="left" w:pos="416"/>
                <w:tab w:val="left" w:pos="582"/>
              </w:tabs>
              <w:jc w:val="center"/>
              <w:rPr>
                <w:rFonts w:ascii="Arial Narrow" w:hAnsi="Arial Narrow" w:cs="Arial"/>
                <w:sz w:val="20"/>
                <w:szCs w:val="20"/>
                <w:lang w:eastAsia="en-US"/>
              </w:rPr>
            </w:pPr>
            <w:r w:rsidRPr="007160C2">
              <w:rPr>
                <w:rFonts w:ascii="Arial Narrow" w:hAnsi="Arial Narrow" w:cs="Arial"/>
                <w:sz w:val="20"/>
                <w:szCs w:val="20"/>
                <w:lang w:eastAsia="en-US"/>
              </w:rPr>
              <w:t>Base Case</w:t>
            </w:r>
          </w:p>
        </w:tc>
        <w:tc>
          <w:tcPr>
            <w:tcW w:w="2238" w:type="pct"/>
            <w:gridSpan w:val="2"/>
            <w:shd w:val="clear" w:color="auto" w:fill="BFBFBF"/>
            <w:vAlign w:val="center"/>
          </w:tcPr>
          <w:p w:rsidR="008B1643" w:rsidRPr="007160C2" w:rsidRDefault="008B1643" w:rsidP="00B047AE">
            <w:pPr>
              <w:tabs>
                <w:tab w:val="left" w:pos="416"/>
                <w:tab w:val="left" w:pos="582"/>
              </w:tabs>
              <w:jc w:val="center"/>
              <w:rPr>
                <w:rFonts w:ascii="Arial Narrow" w:hAnsi="Arial Narrow" w:cs="Arial"/>
                <w:sz w:val="20"/>
                <w:szCs w:val="20"/>
                <w:lang w:eastAsia="en-US"/>
              </w:rPr>
            </w:pPr>
            <w:r w:rsidRPr="007160C2">
              <w:rPr>
                <w:rFonts w:ascii="Arial Narrow" w:hAnsi="Arial Narrow" w:cs="Arial"/>
                <w:sz w:val="20"/>
                <w:szCs w:val="20"/>
                <w:lang w:eastAsia="en-US"/>
              </w:rPr>
              <w:t>Worst Case</w:t>
            </w:r>
          </w:p>
        </w:tc>
      </w:tr>
      <w:tr w:rsidR="008B1643" w:rsidRPr="00A71D97" w:rsidTr="000914FD">
        <w:trPr>
          <w:trHeight w:val="227"/>
        </w:trPr>
        <w:tc>
          <w:tcPr>
            <w:tcW w:w="1641" w:type="pct"/>
            <w:vMerge/>
            <w:shd w:val="clear" w:color="auto" w:fill="FFFFFF"/>
            <w:vAlign w:val="center"/>
          </w:tcPr>
          <w:p w:rsidR="008B1643" w:rsidRPr="0019090F" w:rsidRDefault="008B1643" w:rsidP="00B047AE">
            <w:pPr>
              <w:tabs>
                <w:tab w:val="left" w:pos="416"/>
                <w:tab w:val="left" w:pos="582"/>
              </w:tabs>
              <w:rPr>
                <w:rFonts w:ascii="Arial Narrow" w:hAnsi="Arial Narrow" w:cs="Arial"/>
                <w:sz w:val="20"/>
                <w:szCs w:val="20"/>
                <w:lang w:eastAsia="en-US"/>
              </w:rPr>
            </w:pPr>
          </w:p>
        </w:tc>
        <w:tc>
          <w:tcPr>
            <w:tcW w:w="1122" w:type="pct"/>
            <w:shd w:val="clear" w:color="auto" w:fill="BFBFBF"/>
            <w:vAlign w:val="center"/>
          </w:tcPr>
          <w:p w:rsidR="008B1643" w:rsidRPr="0019090F" w:rsidRDefault="008B1643" w:rsidP="00B047AE">
            <w:pPr>
              <w:tabs>
                <w:tab w:val="left" w:pos="416"/>
                <w:tab w:val="left" w:pos="582"/>
              </w:tabs>
              <w:jc w:val="center"/>
              <w:rPr>
                <w:rFonts w:ascii="Arial Narrow" w:hAnsi="Arial Narrow" w:cs="Arial"/>
                <w:sz w:val="20"/>
                <w:szCs w:val="20"/>
                <w:lang w:eastAsia="en-US"/>
              </w:rPr>
            </w:pPr>
            <w:r w:rsidRPr="007160C2">
              <w:rPr>
                <w:rFonts w:ascii="Arial Narrow" w:hAnsi="Arial Narrow" w:cs="Arial"/>
                <w:sz w:val="20"/>
                <w:szCs w:val="20"/>
                <w:lang w:eastAsia="en-US"/>
              </w:rPr>
              <w:t>Value</w:t>
            </w:r>
          </w:p>
        </w:tc>
        <w:tc>
          <w:tcPr>
            <w:tcW w:w="1137" w:type="pct"/>
            <w:shd w:val="clear" w:color="auto" w:fill="BFBFBF"/>
            <w:vAlign w:val="center"/>
          </w:tcPr>
          <w:p w:rsidR="008B1643" w:rsidRPr="0019090F" w:rsidRDefault="008B1643" w:rsidP="00B047AE">
            <w:pPr>
              <w:tabs>
                <w:tab w:val="left" w:pos="416"/>
                <w:tab w:val="left" w:pos="582"/>
              </w:tabs>
              <w:jc w:val="center"/>
              <w:rPr>
                <w:rFonts w:ascii="Arial Narrow" w:hAnsi="Arial Narrow" w:cs="Arial"/>
                <w:sz w:val="20"/>
                <w:szCs w:val="20"/>
                <w:lang w:eastAsia="en-US"/>
              </w:rPr>
            </w:pPr>
            <w:r w:rsidRPr="007160C2">
              <w:rPr>
                <w:rFonts w:ascii="Arial Narrow" w:hAnsi="Arial Narrow" w:cs="Arial"/>
                <w:sz w:val="20"/>
                <w:szCs w:val="20"/>
                <w:lang w:eastAsia="en-US"/>
              </w:rPr>
              <w:t>Value</w:t>
            </w:r>
          </w:p>
        </w:tc>
        <w:tc>
          <w:tcPr>
            <w:tcW w:w="1100" w:type="pct"/>
            <w:shd w:val="clear" w:color="auto" w:fill="BFBFBF"/>
            <w:vAlign w:val="center"/>
          </w:tcPr>
          <w:p w:rsidR="008B1643" w:rsidRPr="0019090F" w:rsidRDefault="008B1643" w:rsidP="00B047AE">
            <w:pPr>
              <w:tabs>
                <w:tab w:val="left" w:pos="416"/>
                <w:tab w:val="left" w:pos="582"/>
              </w:tabs>
              <w:jc w:val="center"/>
              <w:rPr>
                <w:rFonts w:ascii="Arial Narrow" w:hAnsi="Arial Narrow" w:cs="Arial"/>
                <w:sz w:val="20"/>
                <w:szCs w:val="20"/>
                <w:lang w:eastAsia="en-US"/>
              </w:rPr>
            </w:pPr>
            <w:r w:rsidRPr="007160C2">
              <w:rPr>
                <w:rFonts w:ascii="Arial Narrow" w:hAnsi="Arial Narrow" w:cs="Arial"/>
                <w:sz w:val="20"/>
                <w:szCs w:val="20"/>
                <w:lang w:eastAsia="en-US"/>
              </w:rPr>
              <w:t>Cost/QALY</w:t>
            </w:r>
          </w:p>
        </w:tc>
      </w:tr>
      <w:tr w:rsidR="008B1643" w:rsidRPr="00A71D97" w:rsidTr="000914FD">
        <w:trPr>
          <w:trHeight w:val="227"/>
        </w:trPr>
        <w:tc>
          <w:tcPr>
            <w:tcW w:w="1641" w:type="pct"/>
            <w:shd w:val="clear" w:color="auto" w:fill="FFFFFF"/>
            <w:vAlign w:val="center"/>
          </w:tcPr>
          <w:p w:rsidR="008B1643" w:rsidRPr="0019090F" w:rsidRDefault="008B1643" w:rsidP="00B047AE">
            <w:pPr>
              <w:tabs>
                <w:tab w:val="left" w:pos="416"/>
                <w:tab w:val="left" w:pos="582"/>
              </w:tabs>
              <w:rPr>
                <w:rFonts w:ascii="Arial Narrow" w:hAnsi="Arial Narrow" w:cs="Arial"/>
                <w:sz w:val="20"/>
                <w:szCs w:val="20"/>
                <w:lang w:eastAsia="en-US"/>
              </w:rPr>
            </w:pPr>
            <w:r w:rsidRPr="007160C2">
              <w:rPr>
                <w:rFonts w:ascii="Arial Narrow" w:hAnsi="Arial Narrow" w:cs="Arial"/>
                <w:sz w:val="20"/>
                <w:szCs w:val="20"/>
                <w:lang w:eastAsia="en-US"/>
              </w:rPr>
              <w:t>95% CI OS HR</w:t>
            </w:r>
          </w:p>
        </w:tc>
        <w:tc>
          <w:tcPr>
            <w:tcW w:w="1122" w:type="pct"/>
            <w:shd w:val="clear" w:color="auto" w:fill="FFFFFF"/>
            <w:vAlign w:val="center"/>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1137" w:type="pct"/>
            <w:shd w:val="clear" w:color="auto" w:fill="FFFFFF"/>
            <w:vAlign w:val="center"/>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1100" w:type="pct"/>
            <w:shd w:val="clear" w:color="auto" w:fill="FFFFFF"/>
            <w:vAlign w:val="bottom"/>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0914FD">
        <w:trPr>
          <w:trHeight w:val="227"/>
        </w:trPr>
        <w:tc>
          <w:tcPr>
            <w:tcW w:w="1641" w:type="pct"/>
            <w:shd w:val="clear" w:color="auto" w:fill="FFFFFF"/>
            <w:vAlign w:val="center"/>
          </w:tcPr>
          <w:p w:rsidR="008B1643" w:rsidRPr="0019090F" w:rsidRDefault="008B1643" w:rsidP="00B047AE">
            <w:pPr>
              <w:tabs>
                <w:tab w:val="left" w:pos="416"/>
                <w:tab w:val="left" w:pos="582"/>
              </w:tabs>
              <w:rPr>
                <w:rFonts w:ascii="Arial Narrow" w:hAnsi="Arial Narrow" w:cs="Arial"/>
                <w:sz w:val="20"/>
                <w:szCs w:val="20"/>
                <w:lang w:eastAsia="en-US"/>
              </w:rPr>
            </w:pPr>
            <w:r w:rsidRPr="007160C2">
              <w:rPr>
                <w:rFonts w:ascii="Arial Narrow" w:hAnsi="Arial Narrow" w:cs="Arial"/>
                <w:sz w:val="20"/>
                <w:szCs w:val="20"/>
                <w:lang w:eastAsia="en-US"/>
              </w:rPr>
              <w:t xml:space="preserve">Weeks on </w:t>
            </w:r>
            <w:proofErr w:type="spellStart"/>
            <w:r w:rsidRPr="007160C2">
              <w:rPr>
                <w:rFonts w:ascii="Arial Narrow" w:hAnsi="Arial Narrow" w:cs="Arial"/>
                <w:sz w:val="20"/>
                <w:szCs w:val="20"/>
                <w:lang w:eastAsia="en-US"/>
              </w:rPr>
              <w:t>regorafenib</w:t>
            </w:r>
            <w:proofErr w:type="spellEnd"/>
            <w:r w:rsidRPr="007160C2">
              <w:rPr>
                <w:rFonts w:ascii="Arial Narrow" w:hAnsi="Arial Narrow" w:cs="Arial"/>
                <w:sz w:val="20"/>
                <w:szCs w:val="20"/>
                <w:lang w:eastAsia="en-US"/>
              </w:rPr>
              <w:t xml:space="preserve"> treatment</w:t>
            </w:r>
          </w:p>
        </w:tc>
        <w:tc>
          <w:tcPr>
            <w:tcW w:w="1122" w:type="pct"/>
            <w:shd w:val="clear" w:color="auto" w:fill="FFFFFF"/>
            <w:vAlign w:val="center"/>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1137" w:type="pct"/>
            <w:shd w:val="clear" w:color="auto" w:fill="FFFFFF"/>
            <w:vAlign w:val="center"/>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1100" w:type="pct"/>
            <w:shd w:val="clear" w:color="auto" w:fill="FFFFFF"/>
            <w:vAlign w:val="bottom"/>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0914FD">
        <w:trPr>
          <w:trHeight w:val="227"/>
        </w:trPr>
        <w:tc>
          <w:tcPr>
            <w:tcW w:w="1641" w:type="pct"/>
            <w:shd w:val="clear" w:color="auto" w:fill="FFFFFF"/>
            <w:vAlign w:val="center"/>
          </w:tcPr>
          <w:p w:rsidR="008B1643" w:rsidRPr="0019090F" w:rsidRDefault="008B1643" w:rsidP="00B047AE">
            <w:pPr>
              <w:tabs>
                <w:tab w:val="left" w:pos="416"/>
                <w:tab w:val="left" w:pos="582"/>
              </w:tabs>
              <w:rPr>
                <w:rFonts w:ascii="Arial Narrow" w:hAnsi="Arial Narrow" w:cs="Arial"/>
                <w:sz w:val="20"/>
                <w:szCs w:val="20"/>
                <w:lang w:eastAsia="en-US"/>
              </w:rPr>
            </w:pPr>
            <w:r w:rsidRPr="007160C2">
              <w:rPr>
                <w:rFonts w:ascii="Arial Narrow" w:hAnsi="Arial Narrow" w:cs="Arial"/>
                <w:sz w:val="20"/>
                <w:szCs w:val="20"/>
                <w:lang w:eastAsia="en-US"/>
              </w:rPr>
              <w:t>Assuming no treatment effect beyond trial /trial based ICER</w:t>
            </w:r>
          </w:p>
        </w:tc>
        <w:tc>
          <w:tcPr>
            <w:tcW w:w="1122" w:type="pct"/>
            <w:shd w:val="clear" w:color="auto" w:fill="FFFFFF"/>
            <w:vAlign w:val="center"/>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 xml:space="preserve">'''''''''''''''''''''''' '''''''''''''''''' </w:t>
            </w:r>
          </w:p>
        </w:tc>
        <w:tc>
          <w:tcPr>
            <w:tcW w:w="1137" w:type="pct"/>
            <w:shd w:val="clear" w:color="auto" w:fill="FFFFFF"/>
            <w:vAlign w:val="center"/>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 ''''''''''''''''</w:t>
            </w:r>
          </w:p>
        </w:tc>
        <w:tc>
          <w:tcPr>
            <w:tcW w:w="1100" w:type="pct"/>
            <w:shd w:val="clear" w:color="auto" w:fill="FFFFFF"/>
            <w:vAlign w:val="center"/>
          </w:tcPr>
          <w:p w:rsidR="008B1643" w:rsidRPr="0019090F" w:rsidRDefault="0019090F" w:rsidP="00B047AE">
            <w:pPr>
              <w:tabs>
                <w:tab w:val="left" w:pos="416"/>
                <w:tab w:val="left" w:pos="582"/>
              </w:tab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bl>
    <w:p w:rsidR="008B1643" w:rsidRPr="004A4B88" w:rsidRDefault="008B1643" w:rsidP="000914FD">
      <w:pPr>
        <w:pStyle w:val="ListParagraph"/>
        <w:jc w:val="both"/>
        <w:rPr>
          <w:rFonts w:ascii="Arial" w:hAnsi="Arial"/>
          <w:sz w:val="22"/>
          <w:szCs w:val="22"/>
        </w:rPr>
      </w:pPr>
    </w:p>
    <w:p w:rsidR="008B1643" w:rsidRPr="004A4B88" w:rsidRDefault="008B1643" w:rsidP="000914FD">
      <w:pPr>
        <w:pStyle w:val="ListParagraph"/>
        <w:numPr>
          <w:ilvl w:val="1"/>
          <w:numId w:val="25"/>
        </w:numPr>
        <w:jc w:val="both"/>
        <w:rPr>
          <w:rFonts w:ascii="Arial" w:hAnsi="Arial"/>
          <w:sz w:val="22"/>
          <w:szCs w:val="22"/>
        </w:rPr>
      </w:pPr>
      <w:r w:rsidRPr="004A4B88">
        <w:rPr>
          <w:rFonts w:ascii="Arial" w:hAnsi="Arial"/>
          <w:sz w:val="22"/>
          <w:szCs w:val="22"/>
        </w:rPr>
        <w:t xml:space="preserve">The economic evaluation used values from the EQ-5D from the CORRECT trial. The ESC noted that </w:t>
      </w:r>
      <w:r w:rsidR="00856EE0" w:rsidRPr="004A4B88">
        <w:rPr>
          <w:rFonts w:ascii="Arial" w:hAnsi="Arial"/>
          <w:sz w:val="22"/>
          <w:szCs w:val="22"/>
        </w:rPr>
        <w:t xml:space="preserve">CORRECT also collected </w:t>
      </w:r>
      <w:r w:rsidR="000200B4" w:rsidRPr="004A4B88">
        <w:rPr>
          <w:rFonts w:ascii="Arial" w:hAnsi="Arial"/>
          <w:sz w:val="22"/>
          <w:szCs w:val="22"/>
        </w:rPr>
        <w:t xml:space="preserve">cancer specific quality of life data using </w:t>
      </w:r>
      <w:r w:rsidRPr="004A4B88">
        <w:rPr>
          <w:rFonts w:ascii="Arial" w:hAnsi="Arial"/>
          <w:sz w:val="22"/>
          <w:szCs w:val="22"/>
        </w:rPr>
        <w:t>QLQ-C30</w:t>
      </w:r>
      <w:r w:rsidR="000200B4" w:rsidRPr="004A4B88">
        <w:rPr>
          <w:rFonts w:ascii="Arial" w:hAnsi="Arial"/>
          <w:sz w:val="22"/>
          <w:szCs w:val="22"/>
        </w:rPr>
        <w:t>. ESC noted that a sensitivity analysis could have been undertaken by transforming the QLQ-C30</w:t>
      </w:r>
      <w:r w:rsidR="00856EE0" w:rsidRPr="004A4B88">
        <w:rPr>
          <w:rFonts w:ascii="Arial" w:hAnsi="Arial"/>
          <w:sz w:val="22"/>
          <w:szCs w:val="22"/>
        </w:rPr>
        <w:t xml:space="preserve"> values </w:t>
      </w:r>
      <w:r w:rsidR="000200B4" w:rsidRPr="004A4B88">
        <w:rPr>
          <w:rFonts w:ascii="Arial" w:hAnsi="Arial"/>
          <w:sz w:val="22"/>
          <w:szCs w:val="22"/>
        </w:rPr>
        <w:t xml:space="preserve">to utility scores. </w:t>
      </w:r>
    </w:p>
    <w:p w:rsidR="008B1643" w:rsidRPr="004A4B88" w:rsidRDefault="008B1643" w:rsidP="00B047AE">
      <w:pPr>
        <w:jc w:val="both"/>
        <w:rPr>
          <w:rFonts w:ascii="Arial" w:hAnsi="Arial"/>
          <w:sz w:val="22"/>
          <w:szCs w:val="22"/>
        </w:rPr>
      </w:pPr>
    </w:p>
    <w:p w:rsidR="008B1643" w:rsidRPr="004A4B88" w:rsidRDefault="008B1643" w:rsidP="00B047AE">
      <w:pPr>
        <w:pStyle w:val="ListParagraph"/>
        <w:numPr>
          <w:ilvl w:val="1"/>
          <w:numId w:val="25"/>
        </w:numPr>
        <w:jc w:val="both"/>
        <w:rPr>
          <w:rFonts w:ascii="Arial" w:hAnsi="Arial"/>
          <w:sz w:val="22"/>
          <w:szCs w:val="22"/>
        </w:rPr>
      </w:pPr>
      <w:r w:rsidRPr="004A4B88">
        <w:rPr>
          <w:rFonts w:ascii="Arial" w:hAnsi="Arial"/>
          <w:sz w:val="22"/>
          <w:szCs w:val="22"/>
        </w:rPr>
        <w:t xml:space="preserve">Regarding whether a sustained treatment effect is clinically feasible for these patients, the PSCR (p3) argued that ‘…the treatment effect cannot readily be equalized between groups beyond the trial period without imposing an artificial assumption that patients in the </w:t>
      </w:r>
      <w:proofErr w:type="spellStart"/>
      <w:r w:rsidRPr="004A4B88">
        <w:rPr>
          <w:rFonts w:ascii="Arial" w:hAnsi="Arial"/>
          <w:sz w:val="22"/>
          <w:szCs w:val="22"/>
        </w:rPr>
        <w:t>regorafenib</w:t>
      </w:r>
      <w:proofErr w:type="spellEnd"/>
      <w:r w:rsidRPr="004A4B88">
        <w:rPr>
          <w:rFonts w:ascii="Arial" w:hAnsi="Arial"/>
          <w:sz w:val="22"/>
          <w:szCs w:val="22"/>
        </w:rPr>
        <w:t xml:space="preserve"> group have a greater hazard of death in the post-trial period than those in the BSC group’. The ESC considered that a sensitivity analysis as proposed in the Commentary would be informative to assess the ‘worst case’. </w:t>
      </w:r>
    </w:p>
    <w:p w:rsidR="008B1643" w:rsidRPr="004A4B88" w:rsidRDefault="008B1643" w:rsidP="00B047AE">
      <w:pPr>
        <w:pStyle w:val="ListParagraph"/>
        <w:jc w:val="both"/>
        <w:rPr>
          <w:rFonts w:ascii="Arial" w:hAnsi="Arial"/>
          <w:sz w:val="22"/>
          <w:szCs w:val="22"/>
        </w:rPr>
      </w:pPr>
    </w:p>
    <w:p w:rsidR="008B1643" w:rsidRPr="004A4B88" w:rsidRDefault="008B1643" w:rsidP="00B047AE">
      <w:pPr>
        <w:pStyle w:val="ListParagraph"/>
        <w:numPr>
          <w:ilvl w:val="1"/>
          <w:numId w:val="25"/>
        </w:numPr>
        <w:jc w:val="both"/>
        <w:rPr>
          <w:rFonts w:ascii="Arial" w:hAnsi="Arial"/>
          <w:sz w:val="22"/>
          <w:szCs w:val="22"/>
        </w:rPr>
      </w:pPr>
      <w:r w:rsidRPr="004A4B88">
        <w:rPr>
          <w:rFonts w:ascii="Arial" w:hAnsi="Arial"/>
          <w:sz w:val="22"/>
          <w:szCs w:val="22"/>
        </w:rPr>
        <w:t xml:space="preserve">The ESC </w:t>
      </w:r>
      <w:r w:rsidR="00C33A93">
        <w:rPr>
          <w:rFonts w:ascii="Arial" w:hAnsi="Arial"/>
          <w:sz w:val="22"/>
          <w:szCs w:val="22"/>
        </w:rPr>
        <w:t>considered</w:t>
      </w:r>
      <w:r w:rsidRPr="004A4B88">
        <w:rPr>
          <w:rFonts w:ascii="Arial" w:hAnsi="Arial"/>
          <w:sz w:val="22"/>
          <w:szCs w:val="22"/>
        </w:rPr>
        <w:t xml:space="preserve"> that the cost of adverse events was likely to be underestimated as the model does not include palliative care costs or costs associated with adverse events that require hospitalisation. All adverse event costs in the model are inappropriately applied as a one-off cost during the first cycle of the model. </w:t>
      </w:r>
    </w:p>
    <w:p w:rsidR="008B1643" w:rsidRPr="004A4B88" w:rsidRDefault="008B1643" w:rsidP="00B047AE">
      <w:pPr>
        <w:pStyle w:val="ListParagraph"/>
        <w:jc w:val="both"/>
        <w:rPr>
          <w:rFonts w:ascii="Arial" w:hAnsi="Arial"/>
          <w:sz w:val="22"/>
          <w:szCs w:val="22"/>
        </w:rPr>
      </w:pPr>
    </w:p>
    <w:p w:rsidR="008B1643" w:rsidRPr="004A4B88" w:rsidRDefault="008B1643" w:rsidP="00B047AE">
      <w:pPr>
        <w:pStyle w:val="ListParagraph"/>
        <w:numPr>
          <w:ilvl w:val="1"/>
          <w:numId w:val="25"/>
        </w:numPr>
        <w:jc w:val="both"/>
        <w:rPr>
          <w:rFonts w:ascii="Arial" w:hAnsi="Arial"/>
          <w:sz w:val="22"/>
          <w:szCs w:val="22"/>
        </w:rPr>
      </w:pPr>
      <w:r w:rsidRPr="004A4B88">
        <w:rPr>
          <w:rFonts w:ascii="Arial" w:hAnsi="Arial"/>
          <w:sz w:val="22"/>
          <w:szCs w:val="22"/>
        </w:rPr>
        <w:lastRenderedPageBreak/>
        <w:t xml:space="preserve">The ESC noted that the evaluation has tested the impact of higher costs associated with the management of adverse events in the sensitivity analysis and the impact is low. </w:t>
      </w:r>
    </w:p>
    <w:p w:rsidR="008B1643" w:rsidRPr="004A4B88" w:rsidRDefault="008B1643" w:rsidP="00B047AE">
      <w:pPr>
        <w:pStyle w:val="ListParagraph"/>
        <w:jc w:val="both"/>
        <w:rPr>
          <w:rFonts w:ascii="Arial" w:hAnsi="Arial"/>
          <w:sz w:val="22"/>
          <w:szCs w:val="22"/>
        </w:rPr>
      </w:pPr>
    </w:p>
    <w:p w:rsidR="008B1643" w:rsidRPr="004A4B88" w:rsidRDefault="008B1643" w:rsidP="00B047AE">
      <w:pPr>
        <w:pStyle w:val="ListParagraph"/>
        <w:numPr>
          <w:ilvl w:val="1"/>
          <w:numId w:val="25"/>
        </w:numPr>
        <w:jc w:val="both"/>
        <w:rPr>
          <w:rFonts w:ascii="Arial" w:hAnsi="Arial"/>
          <w:sz w:val="22"/>
          <w:szCs w:val="22"/>
        </w:rPr>
      </w:pPr>
      <w:r w:rsidRPr="004A4B88">
        <w:rPr>
          <w:rFonts w:ascii="Arial" w:hAnsi="Arial"/>
          <w:sz w:val="22"/>
          <w:szCs w:val="22"/>
        </w:rPr>
        <w:t xml:space="preserve">The PSCR (p3-4) argues that the alternative scenario considered by the evaluator in a revised sensitivity analysis, in which every patient with Grade 3 or </w:t>
      </w:r>
      <w:proofErr w:type="gramStart"/>
      <w:r w:rsidRPr="004A4B88">
        <w:rPr>
          <w:rFonts w:ascii="Arial" w:hAnsi="Arial"/>
          <w:sz w:val="22"/>
          <w:szCs w:val="22"/>
        </w:rPr>
        <w:t>4 diarrhoea</w:t>
      </w:r>
      <w:proofErr w:type="gramEnd"/>
      <w:r w:rsidRPr="004A4B88">
        <w:rPr>
          <w:rFonts w:ascii="Arial" w:hAnsi="Arial"/>
          <w:sz w:val="22"/>
          <w:szCs w:val="22"/>
        </w:rPr>
        <w:t xml:space="preserve"> would incur an admitted episode of hospitalization is simply not plausible. Noting that this may be extreme, the ESC agreed that it would be appropriate to consider a ‘worst case’ scenario of the costs associated with adverse events that require hospitalisation, as a counter point to  the submission which has assumed a ‘best case’ by assuming no hospitalisations. </w:t>
      </w:r>
    </w:p>
    <w:p w:rsidR="008B1643" w:rsidRPr="004A4B88" w:rsidRDefault="008B1643" w:rsidP="00B047AE">
      <w:pPr>
        <w:pStyle w:val="ListParagraph"/>
        <w:rPr>
          <w:rFonts w:ascii="Arial" w:hAnsi="Arial"/>
          <w:sz w:val="22"/>
          <w:szCs w:val="22"/>
        </w:rPr>
      </w:pPr>
    </w:p>
    <w:p w:rsidR="008B1643" w:rsidRPr="00B64E8F" w:rsidRDefault="008B1643" w:rsidP="0013249E">
      <w:pPr>
        <w:keepNext/>
        <w:ind w:left="709"/>
        <w:rPr>
          <w:rFonts w:ascii="Arial Narrow" w:hAnsi="Arial Narrow" w:cs="Arial Narrow"/>
          <w:b/>
          <w:bCs/>
          <w:sz w:val="20"/>
          <w:szCs w:val="22"/>
          <w:lang w:eastAsia="en-US"/>
        </w:rPr>
      </w:pPr>
      <w:r w:rsidRPr="00B64E8F">
        <w:rPr>
          <w:rFonts w:ascii="Arial Narrow" w:hAnsi="Arial Narrow" w:cs="Arial Narrow"/>
          <w:b/>
          <w:bCs/>
          <w:sz w:val="20"/>
          <w:szCs w:val="22"/>
          <w:lang w:eastAsia="en-US"/>
        </w:rPr>
        <w:t xml:space="preserve">Results of </w:t>
      </w:r>
      <w:proofErr w:type="spellStart"/>
      <w:r w:rsidRPr="00B64E8F">
        <w:rPr>
          <w:rFonts w:ascii="Arial Narrow" w:hAnsi="Arial Narrow" w:cs="Arial Narrow"/>
          <w:b/>
          <w:bCs/>
          <w:sz w:val="20"/>
          <w:szCs w:val="22"/>
          <w:lang w:eastAsia="en-US"/>
        </w:rPr>
        <w:t>uni-variate</w:t>
      </w:r>
      <w:proofErr w:type="spellEnd"/>
      <w:r w:rsidRPr="00B64E8F">
        <w:rPr>
          <w:rFonts w:ascii="Arial Narrow" w:hAnsi="Arial Narrow" w:cs="Arial Narrow"/>
          <w:b/>
          <w:bCs/>
          <w:sz w:val="20"/>
          <w:szCs w:val="22"/>
          <w:lang w:eastAsia="en-US"/>
        </w:rPr>
        <w:t xml:space="preserve"> sensitivity analyses- evaluation</w:t>
      </w:r>
    </w:p>
    <w:tbl>
      <w:tblPr>
        <w:tblW w:w="452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Results of uni-variate sensitivity analyses- evaluation"/>
      </w:tblPr>
      <w:tblGrid>
        <w:gridCol w:w="2836"/>
        <w:gridCol w:w="1133"/>
        <w:gridCol w:w="1108"/>
        <w:gridCol w:w="1088"/>
        <w:gridCol w:w="1181"/>
        <w:gridCol w:w="1009"/>
      </w:tblGrid>
      <w:tr w:rsidR="008B1643" w:rsidRPr="00A71D97" w:rsidTr="0013249E">
        <w:trPr>
          <w:trHeight w:val="227"/>
        </w:trPr>
        <w:tc>
          <w:tcPr>
            <w:tcW w:w="1697" w:type="pct"/>
            <w:shd w:val="clear" w:color="auto" w:fill="FFFFFF"/>
            <w:vAlign w:val="center"/>
          </w:tcPr>
          <w:p w:rsidR="008B1643" w:rsidRPr="0019090F" w:rsidRDefault="008B1643" w:rsidP="00B047AE">
            <w:pPr>
              <w:keepNext/>
              <w:rPr>
                <w:rFonts w:ascii="Arial Narrow" w:hAnsi="Arial Narrow" w:cs="Arial"/>
                <w:b/>
                <w:sz w:val="20"/>
                <w:szCs w:val="20"/>
                <w:lang w:eastAsia="en-US"/>
              </w:rPr>
            </w:pPr>
          </w:p>
        </w:tc>
        <w:tc>
          <w:tcPr>
            <w:tcW w:w="678" w:type="pct"/>
            <w:shd w:val="clear" w:color="auto" w:fill="FFFFFF"/>
            <w:vAlign w:val="center"/>
          </w:tcPr>
          <w:p w:rsidR="008B1643" w:rsidRPr="0019090F" w:rsidRDefault="008B1643" w:rsidP="00B047AE">
            <w:pPr>
              <w:keepNext/>
              <w:rPr>
                <w:rFonts w:ascii="Arial Narrow" w:hAnsi="Arial Narrow" w:cs="Arial"/>
                <w:b/>
                <w:sz w:val="20"/>
                <w:szCs w:val="20"/>
                <w:lang w:eastAsia="en-US"/>
              </w:rPr>
            </w:pPr>
            <w:r w:rsidRPr="00B64E8F">
              <w:rPr>
                <w:rFonts w:ascii="Arial Narrow" w:hAnsi="Arial Narrow" w:cs="Arial"/>
                <w:b/>
                <w:sz w:val="20"/>
                <w:szCs w:val="20"/>
                <w:lang w:eastAsia="en-US"/>
              </w:rPr>
              <w:t>INC Costs</w:t>
            </w:r>
          </w:p>
        </w:tc>
        <w:tc>
          <w:tcPr>
            <w:tcW w:w="663" w:type="pct"/>
            <w:shd w:val="clear" w:color="auto" w:fill="FFFFFF"/>
            <w:vAlign w:val="center"/>
          </w:tcPr>
          <w:p w:rsidR="008B1643" w:rsidRPr="0019090F" w:rsidRDefault="008B1643" w:rsidP="00B047AE">
            <w:pPr>
              <w:keepNext/>
              <w:rPr>
                <w:rFonts w:ascii="Arial Narrow" w:hAnsi="Arial Narrow" w:cs="Arial"/>
                <w:b/>
                <w:sz w:val="20"/>
                <w:szCs w:val="20"/>
                <w:lang w:eastAsia="en-US"/>
              </w:rPr>
            </w:pPr>
            <w:r w:rsidRPr="00B64E8F">
              <w:rPr>
                <w:rFonts w:ascii="Arial Narrow" w:hAnsi="Arial Narrow" w:cs="Arial"/>
                <w:b/>
                <w:sz w:val="20"/>
                <w:szCs w:val="20"/>
                <w:lang w:eastAsia="en-US"/>
              </w:rPr>
              <w:t>INC QALYs</w:t>
            </w:r>
          </w:p>
        </w:tc>
        <w:tc>
          <w:tcPr>
            <w:tcW w:w="651" w:type="pct"/>
            <w:shd w:val="clear" w:color="auto" w:fill="FFFFFF"/>
            <w:vAlign w:val="center"/>
          </w:tcPr>
          <w:p w:rsidR="008B1643" w:rsidRPr="0019090F" w:rsidRDefault="008B1643" w:rsidP="00B047AE">
            <w:pPr>
              <w:keepNext/>
              <w:rPr>
                <w:rFonts w:ascii="Arial Narrow" w:hAnsi="Arial Narrow" w:cs="Arial"/>
                <w:b/>
                <w:sz w:val="20"/>
                <w:szCs w:val="20"/>
                <w:lang w:eastAsia="en-US"/>
              </w:rPr>
            </w:pPr>
            <w:r w:rsidRPr="00B64E8F">
              <w:rPr>
                <w:rFonts w:ascii="Arial Narrow" w:hAnsi="Arial Narrow" w:cs="Arial"/>
                <w:b/>
                <w:sz w:val="20"/>
                <w:szCs w:val="20"/>
                <w:lang w:eastAsia="en-US"/>
              </w:rPr>
              <w:t>INC LYS</w:t>
            </w:r>
          </w:p>
        </w:tc>
        <w:tc>
          <w:tcPr>
            <w:tcW w:w="707" w:type="pct"/>
            <w:shd w:val="clear" w:color="auto" w:fill="FFFFFF"/>
            <w:vAlign w:val="center"/>
          </w:tcPr>
          <w:p w:rsidR="008B1643" w:rsidRPr="0019090F" w:rsidRDefault="008B1643" w:rsidP="00B047AE">
            <w:pPr>
              <w:keepNext/>
              <w:rPr>
                <w:rFonts w:ascii="Arial Narrow" w:hAnsi="Arial Narrow" w:cs="Arial"/>
                <w:b/>
                <w:sz w:val="20"/>
                <w:szCs w:val="20"/>
                <w:lang w:eastAsia="en-US"/>
              </w:rPr>
            </w:pPr>
            <w:r w:rsidRPr="00B64E8F">
              <w:rPr>
                <w:rFonts w:ascii="Arial Narrow" w:hAnsi="Arial Narrow" w:cs="Arial"/>
                <w:b/>
                <w:sz w:val="20"/>
                <w:szCs w:val="20"/>
                <w:lang w:eastAsia="en-US"/>
              </w:rPr>
              <w:t>ICER/QALY</w:t>
            </w:r>
          </w:p>
        </w:tc>
        <w:tc>
          <w:tcPr>
            <w:tcW w:w="604" w:type="pct"/>
            <w:shd w:val="clear" w:color="auto" w:fill="FFFFFF"/>
            <w:vAlign w:val="center"/>
          </w:tcPr>
          <w:p w:rsidR="008B1643" w:rsidRPr="0019090F" w:rsidRDefault="008B1643" w:rsidP="00B047AE">
            <w:pPr>
              <w:keepNext/>
              <w:rPr>
                <w:rFonts w:ascii="Arial Narrow" w:hAnsi="Arial Narrow" w:cs="Arial"/>
                <w:b/>
                <w:sz w:val="20"/>
                <w:szCs w:val="20"/>
                <w:lang w:eastAsia="en-US"/>
              </w:rPr>
            </w:pPr>
            <w:r w:rsidRPr="00B64E8F">
              <w:rPr>
                <w:rFonts w:ascii="Arial Narrow" w:hAnsi="Arial Narrow" w:cs="Arial"/>
                <w:b/>
                <w:sz w:val="20"/>
                <w:szCs w:val="20"/>
                <w:lang w:eastAsia="en-US"/>
              </w:rPr>
              <w:t>ICER/LYS</w:t>
            </w:r>
          </w:p>
        </w:tc>
      </w:tr>
      <w:tr w:rsidR="008B1643" w:rsidRPr="00A71D97" w:rsidTr="0013249E">
        <w:trPr>
          <w:trHeight w:val="227"/>
        </w:trPr>
        <w:tc>
          <w:tcPr>
            <w:tcW w:w="1697" w:type="pct"/>
            <w:shd w:val="clear" w:color="auto" w:fill="FFFFFF"/>
            <w:vAlign w:val="center"/>
          </w:tcPr>
          <w:p w:rsidR="008B1643" w:rsidRPr="0019090F" w:rsidRDefault="008B1643" w:rsidP="00B047AE">
            <w:pPr>
              <w:keepNext/>
              <w:rPr>
                <w:rFonts w:ascii="Arial Narrow" w:hAnsi="Arial Narrow" w:cs="Arial"/>
                <w:sz w:val="20"/>
                <w:szCs w:val="20"/>
                <w:lang w:eastAsia="en-US"/>
              </w:rPr>
            </w:pPr>
            <w:r w:rsidRPr="00B64E8F">
              <w:rPr>
                <w:rFonts w:ascii="Arial Narrow" w:hAnsi="Arial Narrow" w:cs="Arial"/>
                <w:sz w:val="20"/>
                <w:szCs w:val="20"/>
                <w:lang w:eastAsia="en-US"/>
              </w:rPr>
              <w:t>Base- Case</w:t>
            </w:r>
          </w:p>
        </w:tc>
        <w:tc>
          <w:tcPr>
            <w:tcW w:w="678"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eastAsia="SimSun" w:hAnsi="Arial Narrow" w:cs="Arial"/>
                <w:noProof/>
                <w:color w:val="000000"/>
                <w:sz w:val="20"/>
                <w:szCs w:val="20"/>
                <w:highlight w:val="black"/>
                <w:lang w:eastAsia="en-US"/>
              </w:rPr>
              <w:t>''''''''''''''''''''''''''''</w:t>
            </w:r>
          </w:p>
        </w:tc>
        <w:tc>
          <w:tcPr>
            <w:tcW w:w="663"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51"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07"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04"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13249E">
        <w:trPr>
          <w:trHeight w:val="227"/>
        </w:trPr>
        <w:tc>
          <w:tcPr>
            <w:tcW w:w="1697" w:type="pct"/>
            <w:shd w:val="clear" w:color="auto" w:fill="FFFFFF"/>
            <w:vAlign w:val="center"/>
          </w:tcPr>
          <w:p w:rsidR="008B1643" w:rsidRPr="0019090F" w:rsidRDefault="008B1643" w:rsidP="00B047AE">
            <w:pPr>
              <w:keepNext/>
              <w:rPr>
                <w:rFonts w:ascii="Arial Narrow" w:hAnsi="Arial Narrow" w:cs="Arial"/>
                <w:sz w:val="20"/>
                <w:szCs w:val="20"/>
                <w:lang w:eastAsia="en-US"/>
              </w:rPr>
            </w:pPr>
            <w:r w:rsidRPr="00B64E8F">
              <w:rPr>
                <w:rFonts w:ascii="Arial Narrow" w:hAnsi="Arial Narrow" w:cs="Arial"/>
                <w:sz w:val="20"/>
                <w:szCs w:val="20"/>
                <w:lang w:eastAsia="en-US"/>
              </w:rPr>
              <w:t xml:space="preserve">Within trial results </w:t>
            </w:r>
          </w:p>
        </w:tc>
        <w:tc>
          <w:tcPr>
            <w:tcW w:w="678"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63"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51"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07"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04"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13249E">
        <w:trPr>
          <w:trHeight w:val="227"/>
        </w:trPr>
        <w:tc>
          <w:tcPr>
            <w:tcW w:w="1697" w:type="pct"/>
            <w:shd w:val="clear" w:color="auto" w:fill="FFFFFF"/>
            <w:vAlign w:val="center"/>
          </w:tcPr>
          <w:p w:rsidR="008B1643" w:rsidRPr="00B64E8F" w:rsidRDefault="008B1643" w:rsidP="00B047AE">
            <w:pPr>
              <w:keepNext/>
              <w:rPr>
                <w:rFonts w:ascii="Arial Narrow" w:hAnsi="Arial Narrow" w:cs="Arial"/>
                <w:sz w:val="20"/>
                <w:szCs w:val="20"/>
                <w:lang w:eastAsia="en-US"/>
              </w:rPr>
            </w:pPr>
            <w:r w:rsidRPr="00B64E8F">
              <w:rPr>
                <w:rFonts w:ascii="Arial Narrow" w:hAnsi="Arial Narrow" w:cs="Arial"/>
                <w:sz w:val="20"/>
                <w:szCs w:val="20"/>
                <w:lang w:eastAsia="en-US"/>
              </w:rPr>
              <w:t>Revised base case- no post-progression costs.</w:t>
            </w:r>
          </w:p>
          <w:p w:rsidR="008B1643" w:rsidRPr="0019090F" w:rsidRDefault="008B1643" w:rsidP="00B047AE">
            <w:pPr>
              <w:keepNext/>
              <w:rPr>
                <w:rFonts w:ascii="Arial Narrow" w:hAnsi="Arial Narrow" w:cs="Arial"/>
                <w:sz w:val="20"/>
                <w:szCs w:val="20"/>
                <w:lang w:eastAsia="en-US"/>
              </w:rPr>
            </w:pPr>
          </w:p>
        </w:tc>
        <w:tc>
          <w:tcPr>
            <w:tcW w:w="678" w:type="pct"/>
            <w:shd w:val="clear" w:color="auto" w:fill="FFFFFF"/>
            <w:vAlign w:val="center"/>
          </w:tcPr>
          <w:p w:rsidR="008B1643" w:rsidRPr="0019090F" w:rsidRDefault="008B1643" w:rsidP="00B047AE">
            <w:pPr>
              <w:keepNext/>
              <w:rPr>
                <w:rFonts w:ascii="Arial Narrow" w:hAnsi="Arial Narrow" w:cs="Arial"/>
                <w:sz w:val="20"/>
                <w:szCs w:val="20"/>
                <w:lang w:eastAsia="en-US"/>
              </w:rPr>
            </w:pPr>
          </w:p>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p w:rsidR="008B1643" w:rsidRPr="0019090F" w:rsidRDefault="008B1643" w:rsidP="00B047AE">
            <w:pPr>
              <w:keepNext/>
              <w:rPr>
                <w:rFonts w:ascii="Arial Narrow" w:hAnsi="Arial Narrow" w:cs="Arial"/>
                <w:sz w:val="20"/>
                <w:szCs w:val="20"/>
                <w:lang w:eastAsia="en-US"/>
              </w:rPr>
            </w:pPr>
          </w:p>
        </w:tc>
        <w:tc>
          <w:tcPr>
            <w:tcW w:w="663"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51"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07"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04"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13249E">
        <w:trPr>
          <w:trHeight w:val="227"/>
        </w:trPr>
        <w:tc>
          <w:tcPr>
            <w:tcW w:w="1697" w:type="pct"/>
            <w:shd w:val="clear" w:color="auto" w:fill="FFFFFF"/>
            <w:vAlign w:val="center"/>
          </w:tcPr>
          <w:p w:rsidR="008B1643" w:rsidRPr="00B64E8F" w:rsidRDefault="008B1643" w:rsidP="00B047AE">
            <w:pPr>
              <w:keepNext/>
              <w:rPr>
                <w:rFonts w:ascii="Arial Narrow" w:hAnsi="Arial Narrow" w:cs="Arial"/>
                <w:sz w:val="20"/>
                <w:szCs w:val="20"/>
                <w:lang w:eastAsia="en-US"/>
              </w:rPr>
            </w:pPr>
            <w:r w:rsidRPr="00B64E8F">
              <w:rPr>
                <w:rFonts w:ascii="Arial Narrow" w:hAnsi="Arial Narrow" w:cs="Arial"/>
                <w:sz w:val="20"/>
                <w:szCs w:val="20"/>
                <w:lang w:eastAsia="en-US"/>
              </w:rPr>
              <w:t xml:space="preserve">SA1 revised AE costs- including hospitalisation </w:t>
            </w:r>
          </w:p>
          <w:p w:rsidR="008B1643" w:rsidRPr="0019090F" w:rsidRDefault="008B1643" w:rsidP="00B047AE">
            <w:pPr>
              <w:keepNext/>
              <w:rPr>
                <w:rFonts w:ascii="Arial Narrow" w:hAnsi="Arial Narrow" w:cs="Arial"/>
                <w:sz w:val="20"/>
                <w:szCs w:val="20"/>
                <w:lang w:eastAsia="en-US"/>
              </w:rPr>
            </w:pPr>
            <w:r w:rsidRPr="00B64E8F">
              <w:rPr>
                <w:rFonts w:ascii="Arial Narrow" w:hAnsi="Arial Narrow" w:cs="Arial"/>
                <w:sz w:val="20"/>
                <w:szCs w:val="20"/>
                <w:lang w:eastAsia="en-US"/>
              </w:rPr>
              <w:t>DRG-G60B $</w:t>
            </w:r>
            <w:r w:rsidR="0019090F">
              <w:rPr>
                <w:rFonts w:ascii="Arial Narrow" w:hAnsi="Arial Narrow" w:cs="Arial"/>
                <w:noProof/>
                <w:color w:val="000000"/>
                <w:sz w:val="20"/>
                <w:szCs w:val="20"/>
                <w:highlight w:val="black"/>
                <w:lang w:eastAsia="en-US"/>
              </w:rPr>
              <w:t>''''''''''''''''''''''''''''''''''</w:t>
            </w:r>
          </w:p>
          <w:p w:rsidR="008B1643" w:rsidRPr="0019090F" w:rsidRDefault="008B1643" w:rsidP="00B047AE">
            <w:pPr>
              <w:keepNext/>
              <w:rPr>
                <w:rFonts w:ascii="Arial Narrow" w:hAnsi="Arial Narrow" w:cs="Arial"/>
                <w:sz w:val="20"/>
                <w:szCs w:val="20"/>
                <w:lang w:eastAsia="en-US"/>
              </w:rPr>
            </w:pPr>
            <w:r w:rsidRPr="00B64E8F">
              <w:rPr>
                <w:rFonts w:ascii="Arial Narrow" w:hAnsi="Arial Narrow" w:cs="Arial"/>
                <w:sz w:val="20"/>
                <w:szCs w:val="20"/>
                <w:lang w:eastAsia="en-US"/>
              </w:rPr>
              <w:t xml:space="preserve"> + </w:t>
            </w:r>
            <w:proofErr w:type="gramStart"/>
            <w:r w:rsidRPr="00B64E8F">
              <w:rPr>
                <w:rFonts w:ascii="Arial Narrow" w:hAnsi="Arial Narrow" w:cs="Arial"/>
                <w:sz w:val="20"/>
                <w:szCs w:val="20"/>
                <w:lang w:eastAsia="en-US"/>
              </w:rPr>
              <w:t>revised</w:t>
            </w:r>
            <w:proofErr w:type="gramEnd"/>
            <w:r w:rsidRPr="00B64E8F">
              <w:rPr>
                <w:rFonts w:ascii="Arial Narrow" w:hAnsi="Arial Narrow" w:cs="Arial"/>
                <w:sz w:val="20"/>
                <w:szCs w:val="20"/>
                <w:lang w:eastAsia="en-US"/>
              </w:rPr>
              <w:t xml:space="preserve"> </w:t>
            </w:r>
            <w:proofErr w:type="spellStart"/>
            <w:r w:rsidRPr="00B64E8F">
              <w:rPr>
                <w:rFonts w:ascii="Arial Narrow" w:hAnsi="Arial Narrow" w:cs="Arial"/>
                <w:sz w:val="20"/>
                <w:szCs w:val="20"/>
                <w:lang w:eastAsia="en-US"/>
              </w:rPr>
              <w:t>basecase</w:t>
            </w:r>
            <w:proofErr w:type="spellEnd"/>
            <w:r w:rsidRPr="00B64E8F">
              <w:rPr>
                <w:rFonts w:ascii="Arial Narrow" w:hAnsi="Arial Narrow" w:cs="Arial"/>
                <w:sz w:val="20"/>
                <w:szCs w:val="20"/>
                <w:lang w:eastAsia="en-US"/>
              </w:rPr>
              <w:t>.</w:t>
            </w:r>
          </w:p>
        </w:tc>
        <w:tc>
          <w:tcPr>
            <w:tcW w:w="678" w:type="pct"/>
            <w:shd w:val="clear" w:color="auto" w:fill="FFFFFF"/>
            <w:vAlign w:val="center"/>
          </w:tcPr>
          <w:p w:rsidR="008B1643" w:rsidRPr="0019090F" w:rsidRDefault="0019090F" w:rsidP="00B047AE">
            <w:pPr>
              <w:widowControl w:val="0"/>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w:t>
            </w:r>
          </w:p>
          <w:p w:rsidR="008B1643" w:rsidRPr="0019090F" w:rsidRDefault="008B1643" w:rsidP="00B047AE">
            <w:pPr>
              <w:keepNext/>
              <w:rPr>
                <w:rFonts w:ascii="Arial Narrow" w:hAnsi="Arial Narrow" w:cs="Arial"/>
                <w:sz w:val="20"/>
                <w:szCs w:val="20"/>
                <w:lang w:eastAsia="en-US"/>
              </w:rPr>
            </w:pPr>
          </w:p>
        </w:tc>
        <w:tc>
          <w:tcPr>
            <w:tcW w:w="663"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51"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07"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04"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13249E">
        <w:trPr>
          <w:trHeight w:val="227"/>
        </w:trPr>
        <w:tc>
          <w:tcPr>
            <w:tcW w:w="1697" w:type="pct"/>
            <w:shd w:val="clear" w:color="auto" w:fill="FFFFFF"/>
            <w:vAlign w:val="center"/>
          </w:tcPr>
          <w:p w:rsidR="008B1643" w:rsidRPr="0019090F" w:rsidRDefault="008B1643" w:rsidP="00B047AE">
            <w:pPr>
              <w:keepNext/>
              <w:rPr>
                <w:rFonts w:ascii="Arial Narrow" w:hAnsi="Arial Narrow" w:cs="Arial"/>
                <w:sz w:val="20"/>
                <w:szCs w:val="20"/>
                <w:lang w:eastAsia="en-US"/>
              </w:rPr>
            </w:pPr>
            <w:r w:rsidRPr="00B64E8F">
              <w:rPr>
                <w:rFonts w:ascii="Arial Narrow" w:hAnsi="Arial Narrow" w:cs="Arial"/>
                <w:sz w:val="20"/>
                <w:szCs w:val="20"/>
                <w:lang w:eastAsia="en-US"/>
              </w:rPr>
              <w:t>SA2- assuming no treatment effect beyond 12 months / trial based ICER</w:t>
            </w:r>
          </w:p>
        </w:tc>
        <w:tc>
          <w:tcPr>
            <w:tcW w:w="678" w:type="pct"/>
            <w:shd w:val="clear" w:color="auto" w:fill="FFFFFF"/>
            <w:vAlign w:val="center"/>
          </w:tcPr>
          <w:p w:rsidR="008B1643" w:rsidRPr="0019090F" w:rsidRDefault="0019090F" w:rsidP="00B047AE">
            <w:pPr>
              <w:widowControl w:val="0"/>
              <w:rPr>
                <w:rFonts w:ascii="Arial Narrow" w:hAnsi="Arial Narrow" w:cs="Arial"/>
                <w:snapToGrid w:val="0"/>
                <w:color w:val="000000"/>
                <w:sz w:val="20"/>
                <w:szCs w:val="20"/>
                <w:highlight w:val="black"/>
                <w:lang w:eastAsia="en-US"/>
              </w:rPr>
            </w:pPr>
            <w:r>
              <w:rPr>
                <w:rFonts w:ascii="Arial Narrow" w:eastAsia="SimSun" w:hAnsi="Arial Narrow" w:cs="Arial"/>
                <w:noProof/>
                <w:color w:val="000000"/>
                <w:sz w:val="20"/>
                <w:szCs w:val="20"/>
                <w:highlight w:val="black"/>
                <w:lang w:eastAsia="en-US"/>
              </w:rPr>
              <w:t>'''''''''''''''''''''''''''</w:t>
            </w:r>
          </w:p>
        </w:tc>
        <w:tc>
          <w:tcPr>
            <w:tcW w:w="663"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51"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07"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04" w:type="pct"/>
            <w:shd w:val="clear" w:color="auto" w:fill="FFFFFF"/>
            <w:vAlign w:val="center"/>
          </w:tcPr>
          <w:p w:rsidR="008B1643" w:rsidRPr="0019090F" w:rsidRDefault="0019090F" w:rsidP="00B047AE">
            <w:pPr>
              <w:keepNext/>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bl>
    <w:p w:rsidR="008B1643" w:rsidRPr="00CB2A58" w:rsidRDefault="008B1643" w:rsidP="000914FD">
      <w:pPr>
        <w:widowControl w:val="0"/>
        <w:ind w:left="709"/>
        <w:jc w:val="both"/>
        <w:rPr>
          <w:rFonts w:ascii="Arial Narrow" w:hAnsi="Arial Narrow" w:cs="Arial"/>
          <w:snapToGrid w:val="0"/>
          <w:sz w:val="18"/>
          <w:szCs w:val="18"/>
          <w:lang w:eastAsia="en-US"/>
        </w:rPr>
      </w:pPr>
      <w:proofErr w:type="gramStart"/>
      <w:r w:rsidRPr="00CB2A58">
        <w:rPr>
          <w:rFonts w:ascii="Arial Narrow" w:hAnsi="Arial Narrow" w:cs="Arial"/>
          <w:snapToGrid w:val="0"/>
          <w:sz w:val="18"/>
          <w:szCs w:val="18"/>
          <w:lang w:eastAsia="en-US"/>
        </w:rPr>
        <w:t>Developed as part of the evaluation.</w:t>
      </w:r>
      <w:proofErr w:type="gramEnd"/>
    </w:p>
    <w:p w:rsidR="008B1643" w:rsidRPr="004A4B88" w:rsidRDefault="008B1643" w:rsidP="00BB7EC3">
      <w:pPr>
        <w:pStyle w:val="ListParagraph"/>
        <w:rPr>
          <w:rFonts w:ascii="Arial" w:hAnsi="Arial"/>
          <w:sz w:val="22"/>
          <w:szCs w:val="22"/>
        </w:rPr>
      </w:pPr>
    </w:p>
    <w:p w:rsidR="008B1643" w:rsidRPr="004A4B88" w:rsidRDefault="008B1643" w:rsidP="00BB7EC3">
      <w:pPr>
        <w:pStyle w:val="ListParagraph"/>
        <w:ind w:left="709"/>
        <w:jc w:val="both"/>
        <w:rPr>
          <w:rFonts w:ascii="Arial" w:hAnsi="Arial"/>
          <w:i/>
          <w:sz w:val="22"/>
          <w:szCs w:val="22"/>
        </w:rPr>
      </w:pPr>
      <w:r w:rsidRPr="004A4B88">
        <w:rPr>
          <w:rFonts w:ascii="Arial" w:hAnsi="Arial"/>
          <w:i/>
          <w:sz w:val="22"/>
          <w:szCs w:val="22"/>
        </w:rPr>
        <w:t>For more detail on PBAC’s view, see section 7 “PBAC outcome”</w:t>
      </w:r>
    </w:p>
    <w:p w:rsidR="008B1643" w:rsidRPr="004A4B88" w:rsidRDefault="008B1643" w:rsidP="00882085">
      <w:pPr>
        <w:ind w:left="720" w:hanging="720"/>
        <w:jc w:val="both"/>
        <w:rPr>
          <w:rFonts w:ascii="Arial" w:hAnsi="Arial"/>
          <w:sz w:val="22"/>
          <w:szCs w:val="22"/>
        </w:rPr>
      </w:pPr>
    </w:p>
    <w:p w:rsidR="008B1643" w:rsidRPr="004A4B88" w:rsidRDefault="008B1643" w:rsidP="008B5521">
      <w:pPr>
        <w:widowControl w:val="0"/>
        <w:jc w:val="both"/>
        <w:rPr>
          <w:rFonts w:ascii="Arial" w:hAnsi="Arial" w:cs="Arial"/>
          <w:snapToGrid w:val="0"/>
          <w:sz w:val="22"/>
          <w:szCs w:val="20"/>
          <w:lang w:eastAsia="en-US"/>
        </w:rPr>
      </w:pPr>
      <w:bookmarkStart w:id="0" w:name="_Toc387147621"/>
      <w:r w:rsidRPr="004A4B88">
        <w:rPr>
          <w:rFonts w:ascii="Arial" w:hAnsi="Arial" w:cs="Arial"/>
          <w:b/>
          <w:i/>
          <w:sz w:val="22"/>
          <w:szCs w:val="20"/>
          <w:lang w:eastAsia="en-US"/>
        </w:rPr>
        <w:t>Drug cost/patient/course:</w:t>
      </w:r>
      <w:bookmarkEnd w:id="0"/>
      <w:r w:rsidRPr="004A4B88">
        <w:rPr>
          <w:rFonts w:ascii="Arial" w:hAnsi="Arial" w:cs="Arial"/>
          <w:snapToGrid w:val="0"/>
          <w:sz w:val="22"/>
          <w:szCs w:val="20"/>
          <w:lang w:eastAsia="en-US"/>
        </w:rPr>
        <w:t xml:space="preserve"> </w:t>
      </w:r>
      <w:r w:rsidRPr="007160C2">
        <w:rPr>
          <w:rFonts w:ascii="Arial" w:hAnsi="Arial" w:cs="Arial"/>
          <w:snapToGrid w:val="0"/>
          <w:sz w:val="22"/>
          <w:szCs w:val="20"/>
          <w:lang w:eastAsia="en-US"/>
        </w:rPr>
        <w:t>$</w:t>
      </w:r>
      <w:r w:rsidR="0019090F">
        <w:rPr>
          <w:rFonts w:ascii="Arial" w:hAnsi="Arial" w:cs="Arial"/>
          <w:noProof/>
          <w:snapToGrid w:val="0"/>
          <w:color w:val="000000"/>
          <w:sz w:val="22"/>
          <w:szCs w:val="20"/>
          <w:highlight w:val="black"/>
          <w:lang w:eastAsia="en-US"/>
        </w:rPr>
        <w:t>'''''''''''''''</w:t>
      </w:r>
      <w:r w:rsidRPr="004A4B88">
        <w:rPr>
          <w:rFonts w:ascii="Arial" w:hAnsi="Arial" w:cs="Arial"/>
          <w:snapToGrid w:val="0"/>
          <w:sz w:val="22"/>
          <w:szCs w:val="20"/>
          <w:lang w:eastAsia="en-US"/>
        </w:rPr>
        <w:t>/per patient/per course.</w:t>
      </w:r>
    </w:p>
    <w:p w:rsidR="008B1643" w:rsidRPr="004A4B88" w:rsidRDefault="008B1643" w:rsidP="00882085">
      <w:pPr>
        <w:ind w:left="720" w:hanging="720"/>
        <w:jc w:val="both"/>
        <w:rPr>
          <w:rFonts w:ascii="Arial" w:hAnsi="Arial"/>
          <w:sz w:val="22"/>
          <w:szCs w:val="22"/>
        </w:rPr>
      </w:pPr>
    </w:p>
    <w:p w:rsidR="008B1643" w:rsidRPr="004A4B88" w:rsidRDefault="008B1643" w:rsidP="00882085">
      <w:pPr>
        <w:ind w:left="720" w:hanging="720"/>
        <w:jc w:val="both"/>
        <w:rPr>
          <w:rFonts w:ascii="Arial" w:hAnsi="Arial"/>
          <w:b/>
          <w:i/>
          <w:sz w:val="22"/>
          <w:szCs w:val="22"/>
        </w:rPr>
      </w:pPr>
      <w:r w:rsidRPr="004A4B88">
        <w:rPr>
          <w:rFonts w:ascii="Arial" w:hAnsi="Arial"/>
          <w:b/>
          <w:i/>
          <w:sz w:val="22"/>
          <w:szCs w:val="22"/>
        </w:rPr>
        <w:t>Estimated PBS usage &amp; financial implications</w:t>
      </w:r>
    </w:p>
    <w:p w:rsidR="008B1643" w:rsidRPr="004A4B88" w:rsidRDefault="008B1643" w:rsidP="00882085">
      <w:pPr>
        <w:ind w:left="720" w:hanging="720"/>
        <w:jc w:val="both"/>
        <w:rPr>
          <w:rFonts w:ascii="Arial" w:hAnsi="Arial"/>
          <w:b/>
          <w:i/>
          <w:sz w:val="22"/>
          <w:szCs w:val="22"/>
        </w:rPr>
      </w:pPr>
    </w:p>
    <w:p w:rsidR="008B1643" w:rsidRPr="004A4B88" w:rsidRDefault="008B1643" w:rsidP="00300C63">
      <w:pPr>
        <w:pStyle w:val="ListParagraph"/>
        <w:numPr>
          <w:ilvl w:val="1"/>
          <w:numId w:val="25"/>
        </w:numPr>
        <w:ind w:left="709" w:hanging="709"/>
        <w:jc w:val="both"/>
        <w:rPr>
          <w:rFonts w:ascii="Arial" w:hAnsi="Arial"/>
          <w:sz w:val="22"/>
          <w:szCs w:val="22"/>
        </w:rPr>
      </w:pPr>
      <w:r w:rsidRPr="004A4B88">
        <w:rPr>
          <w:rFonts w:ascii="Arial" w:hAnsi="Arial"/>
          <w:sz w:val="22"/>
          <w:szCs w:val="22"/>
        </w:rPr>
        <w:t>This submission was not considered by DUSC.</w:t>
      </w:r>
    </w:p>
    <w:p w:rsidR="008B1643" w:rsidRPr="004A4B88" w:rsidRDefault="008B1643" w:rsidP="00216F32">
      <w:pPr>
        <w:pStyle w:val="ListParagraph"/>
        <w:ind w:left="709"/>
        <w:jc w:val="both"/>
        <w:rPr>
          <w:rFonts w:ascii="Arial" w:hAnsi="Arial"/>
          <w:sz w:val="22"/>
          <w:szCs w:val="22"/>
        </w:rPr>
      </w:pPr>
    </w:p>
    <w:p w:rsidR="008B1643" w:rsidRPr="007160C2" w:rsidRDefault="008B1643" w:rsidP="00216F32">
      <w:pPr>
        <w:pStyle w:val="ListParagraph"/>
        <w:numPr>
          <w:ilvl w:val="1"/>
          <w:numId w:val="25"/>
        </w:numPr>
        <w:jc w:val="both"/>
        <w:rPr>
          <w:rFonts w:ascii="Arial" w:hAnsi="Arial"/>
          <w:sz w:val="22"/>
          <w:szCs w:val="22"/>
        </w:rPr>
      </w:pPr>
      <w:r w:rsidRPr="007160C2">
        <w:rPr>
          <w:rFonts w:ascii="Arial" w:hAnsi="Arial"/>
          <w:sz w:val="22"/>
          <w:szCs w:val="22"/>
        </w:rPr>
        <w:t>The submission’s estimates of PBS usage and the financial implications are summarised in the table below:</w:t>
      </w:r>
    </w:p>
    <w:p w:rsidR="008B1643" w:rsidRPr="0019090F" w:rsidRDefault="0019090F" w:rsidP="0013249E">
      <w:pPr>
        <w:ind w:left="709"/>
        <w:rPr>
          <w:rFonts w:ascii="Arial Narrow" w:hAnsi="Arial Narrow" w:cs="Arial"/>
          <w:b/>
          <w:snapToGrid w:val="0"/>
          <w:sz w:val="20"/>
          <w:szCs w:val="16"/>
          <w:lang w:eastAsia="en-US"/>
        </w:rPr>
      </w:pPr>
      <w:r>
        <w:rPr>
          <w:rFonts w:ascii="Arial" w:hAnsi="Arial"/>
          <w:noProof/>
          <w:color w:val="000000"/>
          <w:sz w:val="22"/>
          <w:szCs w:val="22"/>
          <w:highlight w:val="black"/>
        </w:rPr>
        <w:br/>
      </w:r>
      <w:r w:rsidR="008B1643" w:rsidRPr="007160C2">
        <w:rPr>
          <w:rFonts w:ascii="Arial Narrow" w:hAnsi="Arial Narrow" w:cs="Arial"/>
          <w:b/>
          <w:snapToGrid w:val="0"/>
          <w:sz w:val="20"/>
          <w:szCs w:val="16"/>
          <w:lang w:eastAsia="en-US"/>
        </w:rPr>
        <w:t>Estimated use and financial implications</w:t>
      </w:r>
    </w:p>
    <w:tbl>
      <w:tblPr>
        <w:tblW w:w="465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Estimated use and financial implications"/>
      </w:tblPr>
      <w:tblGrid>
        <w:gridCol w:w="2253"/>
        <w:gridCol w:w="1150"/>
        <w:gridCol w:w="1133"/>
        <w:gridCol w:w="1275"/>
        <w:gridCol w:w="1275"/>
        <w:gridCol w:w="1360"/>
      </w:tblGrid>
      <w:tr w:rsidR="008B1643" w:rsidRPr="00A71D97" w:rsidTr="0013249E">
        <w:trPr>
          <w:tblHeader/>
        </w:trPr>
        <w:tc>
          <w:tcPr>
            <w:tcW w:w="1333" w:type="pct"/>
            <w:vAlign w:val="center"/>
          </w:tcPr>
          <w:p w:rsidR="008B1643" w:rsidRPr="0019090F" w:rsidRDefault="008B1643" w:rsidP="00F36D39">
            <w:pPr>
              <w:widowControl w:val="0"/>
              <w:tabs>
                <w:tab w:val="left" w:pos="142"/>
              </w:tabs>
              <w:rPr>
                <w:rFonts w:ascii="Arial Narrow" w:hAnsi="Arial Narrow" w:cs="Arial"/>
                <w:b/>
                <w:snapToGrid w:val="0"/>
                <w:sz w:val="20"/>
                <w:szCs w:val="20"/>
                <w:lang w:eastAsia="en-US"/>
              </w:rPr>
            </w:pPr>
            <w:bookmarkStart w:id="1" w:name="_GoBack"/>
          </w:p>
        </w:tc>
        <w:tc>
          <w:tcPr>
            <w:tcW w:w="681" w:type="pct"/>
            <w:vAlign w:val="center"/>
          </w:tcPr>
          <w:p w:rsidR="008B1643" w:rsidRPr="0019090F" w:rsidRDefault="008B1643" w:rsidP="00F36D39">
            <w:pPr>
              <w:widowControl w:val="0"/>
              <w:jc w:val="center"/>
              <w:rPr>
                <w:rFonts w:ascii="Arial Narrow" w:hAnsi="Arial Narrow" w:cs="Arial"/>
                <w:b/>
                <w:snapToGrid w:val="0"/>
                <w:sz w:val="20"/>
                <w:szCs w:val="20"/>
                <w:lang w:eastAsia="en-US"/>
              </w:rPr>
            </w:pPr>
            <w:r w:rsidRPr="007160C2">
              <w:rPr>
                <w:rFonts w:ascii="Arial Narrow" w:hAnsi="Arial Narrow" w:cs="Arial"/>
                <w:b/>
                <w:snapToGrid w:val="0"/>
                <w:sz w:val="20"/>
                <w:szCs w:val="20"/>
                <w:lang w:eastAsia="en-US"/>
              </w:rPr>
              <w:t>Year 1</w:t>
            </w:r>
          </w:p>
        </w:tc>
        <w:tc>
          <w:tcPr>
            <w:tcW w:w="671" w:type="pct"/>
            <w:vAlign w:val="center"/>
          </w:tcPr>
          <w:p w:rsidR="008B1643" w:rsidRPr="0019090F" w:rsidRDefault="008B1643" w:rsidP="00F36D39">
            <w:pPr>
              <w:widowControl w:val="0"/>
              <w:jc w:val="center"/>
              <w:rPr>
                <w:rFonts w:ascii="Arial Narrow" w:hAnsi="Arial Narrow" w:cs="Arial"/>
                <w:b/>
                <w:snapToGrid w:val="0"/>
                <w:sz w:val="20"/>
                <w:szCs w:val="20"/>
                <w:lang w:eastAsia="en-US"/>
              </w:rPr>
            </w:pPr>
            <w:r w:rsidRPr="007160C2">
              <w:rPr>
                <w:rFonts w:ascii="Arial Narrow" w:hAnsi="Arial Narrow" w:cs="Arial"/>
                <w:b/>
                <w:snapToGrid w:val="0"/>
                <w:sz w:val="20"/>
                <w:szCs w:val="20"/>
                <w:lang w:eastAsia="en-US"/>
              </w:rPr>
              <w:t>Year 2</w:t>
            </w:r>
          </w:p>
        </w:tc>
        <w:tc>
          <w:tcPr>
            <w:tcW w:w="755" w:type="pct"/>
            <w:vAlign w:val="center"/>
          </w:tcPr>
          <w:p w:rsidR="008B1643" w:rsidRPr="0019090F" w:rsidRDefault="008B1643" w:rsidP="00F36D39">
            <w:pPr>
              <w:widowControl w:val="0"/>
              <w:jc w:val="center"/>
              <w:rPr>
                <w:rFonts w:ascii="Arial Narrow" w:hAnsi="Arial Narrow" w:cs="Arial"/>
                <w:b/>
                <w:snapToGrid w:val="0"/>
                <w:sz w:val="20"/>
                <w:szCs w:val="20"/>
                <w:lang w:eastAsia="en-US"/>
              </w:rPr>
            </w:pPr>
            <w:r w:rsidRPr="007160C2">
              <w:rPr>
                <w:rFonts w:ascii="Arial Narrow" w:hAnsi="Arial Narrow" w:cs="Arial"/>
                <w:b/>
                <w:snapToGrid w:val="0"/>
                <w:sz w:val="20"/>
                <w:szCs w:val="20"/>
                <w:lang w:eastAsia="en-US"/>
              </w:rPr>
              <w:t>Year 3</w:t>
            </w:r>
          </w:p>
        </w:tc>
        <w:tc>
          <w:tcPr>
            <w:tcW w:w="755" w:type="pct"/>
            <w:vAlign w:val="center"/>
          </w:tcPr>
          <w:p w:rsidR="008B1643" w:rsidRPr="0019090F" w:rsidRDefault="008B1643" w:rsidP="00F36D39">
            <w:pPr>
              <w:widowControl w:val="0"/>
              <w:jc w:val="center"/>
              <w:rPr>
                <w:rFonts w:ascii="Arial Narrow" w:hAnsi="Arial Narrow" w:cs="Arial"/>
                <w:b/>
                <w:snapToGrid w:val="0"/>
                <w:sz w:val="20"/>
                <w:szCs w:val="20"/>
                <w:lang w:eastAsia="en-US"/>
              </w:rPr>
            </w:pPr>
            <w:r w:rsidRPr="007160C2">
              <w:rPr>
                <w:rFonts w:ascii="Arial Narrow" w:hAnsi="Arial Narrow" w:cs="Arial"/>
                <w:b/>
                <w:snapToGrid w:val="0"/>
                <w:sz w:val="20"/>
                <w:szCs w:val="20"/>
                <w:lang w:eastAsia="en-US"/>
              </w:rPr>
              <w:t>Year 4</w:t>
            </w:r>
          </w:p>
        </w:tc>
        <w:tc>
          <w:tcPr>
            <w:tcW w:w="804" w:type="pct"/>
            <w:vAlign w:val="center"/>
          </w:tcPr>
          <w:p w:rsidR="008B1643" w:rsidRPr="0019090F" w:rsidRDefault="008B1643" w:rsidP="00F36D39">
            <w:pPr>
              <w:widowControl w:val="0"/>
              <w:jc w:val="center"/>
              <w:rPr>
                <w:rFonts w:ascii="Arial Narrow" w:hAnsi="Arial Narrow" w:cs="Arial"/>
                <w:b/>
                <w:snapToGrid w:val="0"/>
                <w:sz w:val="20"/>
                <w:szCs w:val="20"/>
                <w:lang w:eastAsia="en-US"/>
              </w:rPr>
            </w:pPr>
            <w:r w:rsidRPr="007160C2">
              <w:rPr>
                <w:rFonts w:ascii="Arial Narrow" w:hAnsi="Arial Narrow" w:cs="Arial"/>
                <w:b/>
                <w:snapToGrid w:val="0"/>
                <w:sz w:val="20"/>
                <w:szCs w:val="20"/>
                <w:lang w:eastAsia="en-US"/>
              </w:rPr>
              <w:t>Year 5</w:t>
            </w:r>
          </w:p>
        </w:tc>
      </w:tr>
      <w:tr w:rsidR="008B1643" w:rsidRPr="00A71D97" w:rsidTr="0013249E">
        <w:tc>
          <w:tcPr>
            <w:tcW w:w="5000" w:type="pct"/>
            <w:gridSpan w:val="6"/>
            <w:vAlign w:val="center"/>
          </w:tcPr>
          <w:p w:rsidR="008B1643" w:rsidRPr="0019090F" w:rsidRDefault="008B1643" w:rsidP="00F36D39">
            <w:pPr>
              <w:widowControl w:val="0"/>
              <w:rPr>
                <w:rFonts w:ascii="Arial Narrow" w:hAnsi="Arial Narrow" w:cs="Arial"/>
                <w:b/>
                <w:bCs/>
                <w:snapToGrid w:val="0"/>
                <w:color w:val="000000"/>
                <w:sz w:val="20"/>
                <w:szCs w:val="20"/>
                <w:lang w:eastAsia="en-US"/>
              </w:rPr>
            </w:pPr>
            <w:r w:rsidRPr="007160C2">
              <w:rPr>
                <w:rFonts w:ascii="Arial Narrow" w:hAnsi="Arial Narrow" w:cs="Arial"/>
                <w:b/>
                <w:bCs/>
                <w:snapToGrid w:val="0"/>
                <w:color w:val="000000"/>
                <w:sz w:val="20"/>
                <w:szCs w:val="20"/>
                <w:lang w:eastAsia="en-US"/>
              </w:rPr>
              <w:t>Estimated extent of use</w:t>
            </w:r>
          </w:p>
        </w:tc>
      </w:tr>
      <w:tr w:rsidR="008B1643" w:rsidRPr="00A71D97" w:rsidTr="0013249E">
        <w:tc>
          <w:tcPr>
            <w:tcW w:w="1333" w:type="pct"/>
            <w:vAlign w:val="center"/>
          </w:tcPr>
          <w:p w:rsidR="008B1643" w:rsidRPr="0019090F" w:rsidRDefault="008B1643" w:rsidP="00F36D39">
            <w:pPr>
              <w:widowControl w:val="0"/>
              <w:tabs>
                <w:tab w:val="left" w:pos="142"/>
              </w:tabs>
              <w:rPr>
                <w:rFonts w:ascii="Arial Narrow" w:hAnsi="Arial Narrow" w:cs="Arial"/>
                <w:snapToGrid w:val="0"/>
                <w:sz w:val="20"/>
                <w:szCs w:val="20"/>
                <w:lang w:eastAsia="en-US"/>
              </w:rPr>
            </w:pPr>
            <w:r w:rsidRPr="007160C2">
              <w:rPr>
                <w:rFonts w:ascii="Arial Narrow" w:hAnsi="Arial Narrow" w:cs="Arial"/>
                <w:snapToGrid w:val="0"/>
                <w:sz w:val="20"/>
                <w:szCs w:val="20"/>
                <w:lang w:eastAsia="en-US"/>
              </w:rPr>
              <w:t>Number treated</w:t>
            </w:r>
          </w:p>
        </w:tc>
        <w:tc>
          <w:tcPr>
            <w:tcW w:w="681"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71"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5"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5"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804"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13249E">
        <w:tc>
          <w:tcPr>
            <w:tcW w:w="1333" w:type="pct"/>
            <w:vAlign w:val="center"/>
          </w:tcPr>
          <w:p w:rsidR="008B1643" w:rsidRPr="0019090F" w:rsidRDefault="008B1643" w:rsidP="00F36D39">
            <w:pPr>
              <w:widowControl w:val="0"/>
              <w:tabs>
                <w:tab w:val="left" w:pos="142"/>
              </w:tabs>
              <w:rPr>
                <w:rFonts w:ascii="Arial Narrow" w:hAnsi="Arial Narrow" w:cs="Arial"/>
                <w:snapToGrid w:val="0"/>
                <w:sz w:val="20"/>
                <w:szCs w:val="20"/>
                <w:lang w:eastAsia="en-US"/>
              </w:rPr>
            </w:pPr>
            <w:r w:rsidRPr="007160C2">
              <w:rPr>
                <w:rFonts w:ascii="Arial Narrow" w:hAnsi="Arial Narrow" w:cs="Arial"/>
                <w:snapToGrid w:val="0"/>
                <w:sz w:val="20"/>
                <w:szCs w:val="20"/>
                <w:lang w:eastAsia="en-US"/>
              </w:rPr>
              <w:t>Uptake Rate</w:t>
            </w:r>
          </w:p>
        </w:tc>
        <w:tc>
          <w:tcPr>
            <w:tcW w:w="681" w:type="pct"/>
            <w:vAlign w:val="center"/>
          </w:tcPr>
          <w:p w:rsidR="008B1643" w:rsidRPr="0019090F" w:rsidRDefault="0019090F" w:rsidP="00F36D3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671" w:type="pct"/>
            <w:vAlign w:val="center"/>
          </w:tcPr>
          <w:p w:rsidR="008B1643" w:rsidRPr="0019090F" w:rsidRDefault="0019090F" w:rsidP="00F36D3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55" w:type="pct"/>
            <w:vAlign w:val="center"/>
          </w:tcPr>
          <w:p w:rsidR="008B1643" w:rsidRPr="0019090F" w:rsidRDefault="0019090F" w:rsidP="00F36D3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55" w:type="pct"/>
            <w:vAlign w:val="center"/>
          </w:tcPr>
          <w:p w:rsidR="008B1643" w:rsidRPr="0019090F" w:rsidRDefault="0019090F" w:rsidP="00F36D3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804" w:type="pct"/>
            <w:vAlign w:val="center"/>
          </w:tcPr>
          <w:p w:rsidR="008B1643" w:rsidRPr="0019090F" w:rsidRDefault="0019090F" w:rsidP="00F36D3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r>
      <w:tr w:rsidR="008B1643" w:rsidRPr="00A71D97" w:rsidTr="0013249E">
        <w:tc>
          <w:tcPr>
            <w:tcW w:w="1333" w:type="pct"/>
            <w:vAlign w:val="center"/>
          </w:tcPr>
          <w:p w:rsidR="008B1643" w:rsidRPr="0019090F" w:rsidRDefault="008B1643" w:rsidP="00F36D39">
            <w:pPr>
              <w:widowControl w:val="0"/>
              <w:tabs>
                <w:tab w:val="left" w:pos="142"/>
              </w:tabs>
              <w:rPr>
                <w:rFonts w:ascii="Arial Narrow" w:hAnsi="Arial Narrow" w:cs="Arial"/>
                <w:snapToGrid w:val="0"/>
                <w:sz w:val="20"/>
                <w:szCs w:val="20"/>
                <w:lang w:eastAsia="en-US"/>
              </w:rPr>
            </w:pPr>
            <w:proofErr w:type="spellStart"/>
            <w:r w:rsidRPr="007160C2">
              <w:rPr>
                <w:rFonts w:ascii="Arial Narrow" w:hAnsi="Arial Narrow" w:cs="Arial"/>
                <w:snapToGrid w:val="0"/>
                <w:sz w:val="20"/>
                <w:szCs w:val="20"/>
                <w:lang w:eastAsia="en-US"/>
              </w:rPr>
              <w:t>Scripts</w:t>
            </w:r>
            <w:r w:rsidRPr="007160C2">
              <w:rPr>
                <w:rFonts w:ascii="Arial Narrow" w:hAnsi="Arial Narrow" w:cs="Arial"/>
                <w:snapToGrid w:val="0"/>
                <w:sz w:val="20"/>
                <w:szCs w:val="20"/>
                <w:vertAlign w:val="superscript"/>
                <w:lang w:eastAsia="en-US"/>
              </w:rPr>
              <w:t>a</w:t>
            </w:r>
            <w:proofErr w:type="spellEnd"/>
          </w:p>
        </w:tc>
        <w:tc>
          <w:tcPr>
            <w:tcW w:w="681"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71"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5"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5"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804" w:type="pct"/>
          </w:tcPr>
          <w:p w:rsidR="008B1643" w:rsidRPr="0019090F" w:rsidRDefault="0019090F" w:rsidP="00F36D39">
            <w:pPr>
              <w:tabs>
                <w:tab w:val="left" w:pos="416"/>
                <w:tab w:val="left" w:pos="582"/>
              </w:tabs>
              <w:spacing w:line="276"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13249E">
        <w:tc>
          <w:tcPr>
            <w:tcW w:w="5000" w:type="pct"/>
            <w:gridSpan w:val="6"/>
            <w:vAlign w:val="center"/>
          </w:tcPr>
          <w:p w:rsidR="008B1643" w:rsidRPr="0019090F" w:rsidRDefault="008B1643" w:rsidP="00F36D39">
            <w:pPr>
              <w:widowControl w:val="0"/>
              <w:rPr>
                <w:rFonts w:ascii="Arial Narrow" w:hAnsi="Arial Narrow" w:cs="Arial"/>
                <w:b/>
                <w:bCs/>
                <w:snapToGrid w:val="0"/>
                <w:color w:val="000000"/>
                <w:sz w:val="20"/>
                <w:szCs w:val="20"/>
                <w:lang w:eastAsia="en-US"/>
              </w:rPr>
            </w:pPr>
            <w:r w:rsidRPr="007160C2">
              <w:rPr>
                <w:rFonts w:ascii="Arial Narrow" w:hAnsi="Arial Narrow" w:cs="Arial"/>
                <w:b/>
                <w:bCs/>
                <w:snapToGrid w:val="0"/>
                <w:color w:val="000000"/>
                <w:sz w:val="20"/>
                <w:szCs w:val="20"/>
                <w:lang w:eastAsia="en-US"/>
              </w:rPr>
              <w:t>Estimated net cost to PBS/RPBS/MBS</w:t>
            </w:r>
          </w:p>
        </w:tc>
      </w:tr>
      <w:tr w:rsidR="008B1643" w:rsidRPr="00A71D97" w:rsidTr="0013249E">
        <w:tc>
          <w:tcPr>
            <w:tcW w:w="1333" w:type="pct"/>
            <w:vAlign w:val="center"/>
          </w:tcPr>
          <w:p w:rsidR="008B1643" w:rsidRPr="007160C2" w:rsidRDefault="008B1643" w:rsidP="00F36D39">
            <w:pPr>
              <w:widowControl w:val="0"/>
              <w:tabs>
                <w:tab w:val="left" w:pos="142"/>
              </w:tabs>
              <w:rPr>
                <w:rFonts w:ascii="Arial Narrow" w:hAnsi="Arial Narrow" w:cs="Arial"/>
                <w:snapToGrid w:val="0"/>
                <w:sz w:val="19"/>
                <w:szCs w:val="19"/>
                <w:lang w:eastAsia="en-US"/>
              </w:rPr>
            </w:pPr>
            <w:r w:rsidRPr="007160C2">
              <w:rPr>
                <w:rFonts w:ascii="Arial Narrow" w:hAnsi="Arial Narrow" w:cs="Arial"/>
                <w:snapToGrid w:val="0"/>
                <w:sz w:val="19"/>
                <w:szCs w:val="19"/>
                <w:lang w:eastAsia="en-US"/>
              </w:rPr>
              <w:t>Net cost to PBS</w:t>
            </w:r>
          </w:p>
          <w:p w:rsidR="008B1643" w:rsidRPr="0019090F" w:rsidRDefault="008B1643" w:rsidP="00F36D39">
            <w:pPr>
              <w:widowControl w:val="0"/>
              <w:tabs>
                <w:tab w:val="left" w:pos="142"/>
              </w:tabs>
              <w:rPr>
                <w:rFonts w:ascii="Arial Narrow" w:hAnsi="Arial Narrow" w:cs="Arial"/>
                <w:snapToGrid w:val="0"/>
                <w:sz w:val="20"/>
                <w:szCs w:val="20"/>
                <w:lang w:eastAsia="en-US"/>
              </w:rPr>
            </w:pPr>
            <w:r w:rsidRPr="007160C2">
              <w:rPr>
                <w:rFonts w:ascii="Arial Narrow" w:hAnsi="Arial Narrow" w:cs="Arial"/>
                <w:snapToGrid w:val="0"/>
                <w:sz w:val="19"/>
                <w:szCs w:val="19"/>
                <w:lang w:eastAsia="en-US"/>
              </w:rPr>
              <w:t xml:space="preserve">Revised net cost to </w:t>
            </w:r>
            <w:proofErr w:type="spellStart"/>
            <w:r w:rsidRPr="007160C2">
              <w:rPr>
                <w:rFonts w:ascii="Arial Narrow" w:hAnsi="Arial Narrow" w:cs="Arial"/>
                <w:snapToGrid w:val="0"/>
                <w:sz w:val="19"/>
                <w:szCs w:val="19"/>
                <w:lang w:eastAsia="en-US"/>
              </w:rPr>
              <w:t>PBS</w:t>
            </w:r>
            <w:r w:rsidRPr="007160C2">
              <w:rPr>
                <w:rFonts w:ascii="Arial Narrow" w:hAnsi="Arial Narrow" w:cs="Arial"/>
                <w:snapToGrid w:val="0"/>
                <w:sz w:val="19"/>
                <w:szCs w:val="19"/>
                <w:vertAlign w:val="superscript"/>
                <w:lang w:eastAsia="en-US"/>
              </w:rPr>
              <w:t>b</w:t>
            </w:r>
            <w:proofErr w:type="spellEnd"/>
          </w:p>
        </w:tc>
        <w:tc>
          <w:tcPr>
            <w:tcW w:w="681" w:type="pct"/>
          </w:tcPr>
          <w:p w:rsidR="008B1643" w:rsidRPr="0019090F" w:rsidRDefault="0019090F" w:rsidP="00F36D39">
            <w:pPr>
              <w:tabs>
                <w:tab w:val="left" w:pos="416"/>
                <w:tab w:val="left" w:pos="582"/>
              </w:tabs>
              <w:spacing w:line="276"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tc>
        <w:tc>
          <w:tcPr>
            <w:tcW w:w="671" w:type="pct"/>
          </w:tcPr>
          <w:p w:rsidR="008B1643" w:rsidRPr="0019090F" w:rsidRDefault="0019090F" w:rsidP="00F36D39">
            <w:pPr>
              <w:tabs>
                <w:tab w:val="left" w:pos="416"/>
                <w:tab w:val="left" w:pos="582"/>
              </w:tabs>
              <w:spacing w:line="276"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p w:rsidR="008B1643" w:rsidRPr="0019090F" w:rsidRDefault="0019090F" w:rsidP="00F36D39">
            <w:pPr>
              <w:tabs>
                <w:tab w:val="left" w:pos="416"/>
                <w:tab w:val="left" w:pos="582"/>
              </w:tabs>
              <w:spacing w:line="276"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tc>
        <w:tc>
          <w:tcPr>
            <w:tcW w:w="755" w:type="pct"/>
          </w:tcPr>
          <w:p w:rsidR="008B1643" w:rsidRPr="0019090F" w:rsidRDefault="0019090F" w:rsidP="00F36D39">
            <w:pPr>
              <w:tabs>
                <w:tab w:val="left" w:pos="416"/>
                <w:tab w:val="left" w:pos="582"/>
              </w:tabs>
              <w:spacing w:line="276"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iCs/>
                <w:noProof/>
                <w:color w:val="000000"/>
                <w:sz w:val="20"/>
                <w:szCs w:val="20"/>
                <w:highlight w:val="black"/>
                <w:lang w:eastAsia="en-US"/>
              </w:rPr>
              <w:t>''''''''''''''''''''''''''</w:t>
            </w:r>
          </w:p>
        </w:tc>
        <w:tc>
          <w:tcPr>
            <w:tcW w:w="755" w:type="pct"/>
          </w:tcPr>
          <w:p w:rsidR="008B1643" w:rsidRPr="0019090F" w:rsidRDefault="0019090F" w:rsidP="00F36D39">
            <w:pPr>
              <w:tabs>
                <w:tab w:val="left" w:pos="416"/>
                <w:tab w:val="left" w:pos="582"/>
              </w:tabs>
              <w:spacing w:line="276"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iCs/>
                <w:noProof/>
                <w:color w:val="000000"/>
                <w:sz w:val="20"/>
                <w:szCs w:val="20"/>
                <w:highlight w:val="black"/>
                <w:lang w:eastAsia="en-US"/>
              </w:rPr>
              <w:t>'''''''''''''''''''''''''</w:t>
            </w:r>
          </w:p>
        </w:tc>
        <w:tc>
          <w:tcPr>
            <w:tcW w:w="804" w:type="pct"/>
          </w:tcPr>
          <w:p w:rsidR="008B1643" w:rsidRPr="0019090F" w:rsidRDefault="0019090F" w:rsidP="00F36D39">
            <w:pPr>
              <w:tabs>
                <w:tab w:val="left" w:pos="416"/>
                <w:tab w:val="left" w:pos="582"/>
              </w:tabs>
              <w:spacing w:line="276"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iCs/>
                <w:noProof/>
                <w:color w:val="000000"/>
                <w:sz w:val="20"/>
                <w:szCs w:val="20"/>
                <w:highlight w:val="black"/>
                <w:lang w:eastAsia="en-US"/>
              </w:rPr>
              <w:t>'''''''''''''''''''''''''''''</w:t>
            </w:r>
          </w:p>
        </w:tc>
      </w:tr>
      <w:tr w:rsidR="008B1643" w:rsidRPr="00A71D97" w:rsidTr="0013249E">
        <w:tc>
          <w:tcPr>
            <w:tcW w:w="1333" w:type="pct"/>
          </w:tcPr>
          <w:p w:rsidR="008B1643" w:rsidRPr="007160C2" w:rsidRDefault="008B1643" w:rsidP="00F36D39">
            <w:pPr>
              <w:tabs>
                <w:tab w:val="left" w:pos="416"/>
                <w:tab w:val="left" w:pos="582"/>
              </w:tabs>
              <w:rPr>
                <w:rFonts w:ascii="Arial Narrow" w:hAnsi="Arial Narrow" w:cs="Arial"/>
                <w:sz w:val="20"/>
                <w:szCs w:val="20"/>
                <w:lang w:eastAsia="en-US"/>
              </w:rPr>
            </w:pPr>
            <w:r w:rsidRPr="007160C2">
              <w:rPr>
                <w:rFonts w:ascii="Arial Narrow" w:hAnsi="Arial Narrow" w:cs="Arial"/>
                <w:sz w:val="20"/>
                <w:szCs w:val="20"/>
                <w:lang w:eastAsia="en-US"/>
              </w:rPr>
              <w:t>Net cost to Government for MBS</w:t>
            </w:r>
          </w:p>
          <w:p w:rsidR="008B1643" w:rsidRPr="0019090F" w:rsidRDefault="008B1643" w:rsidP="00F36D39">
            <w:pPr>
              <w:tabs>
                <w:tab w:val="left" w:pos="416"/>
                <w:tab w:val="left" w:pos="582"/>
              </w:tabs>
              <w:rPr>
                <w:rFonts w:ascii="Arial Narrow" w:hAnsi="Arial Narrow" w:cs="Arial"/>
                <w:sz w:val="20"/>
                <w:szCs w:val="20"/>
                <w:lang w:eastAsia="en-US"/>
              </w:rPr>
            </w:pPr>
            <w:r w:rsidRPr="007160C2">
              <w:rPr>
                <w:rFonts w:ascii="Arial Narrow" w:hAnsi="Arial Narrow" w:cs="Arial"/>
                <w:sz w:val="20"/>
                <w:szCs w:val="20"/>
                <w:lang w:eastAsia="en-US"/>
              </w:rPr>
              <w:t xml:space="preserve">Revised Net cost to Government for </w:t>
            </w:r>
            <w:proofErr w:type="spellStart"/>
            <w:r w:rsidRPr="007160C2">
              <w:rPr>
                <w:rFonts w:ascii="Arial Narrow" w:hAnsi="Arial Narrow" w:cs="Arial"/>
                <w:sz w:val="20"/>
                <w:szCs w:val="20"/>
                <w:lang w:eastAsia="en-US"/>
              </w:rPr>
              <w:t>MBS</w:t>
            </w:r>
            <w:r w:rsidRPr="007160C2">
              <w:rPr>
                <w:rFonts w:ascii="Arial Narrow" w:hAnsi="Arial Narrow" w:cs="Arial"/>
                <w:sz w:val="20"/>
                <w:szCs w:val="20"/>
                <w:vertAlign w:val="superscript"/>
                <w:lang w:eastAsia="en-US"/>
              </w:rPr>
              <w:t>c</w:t>
            </w:r>
            <w:proofErr w:type="spellEnd"/>
          </w:p>
        </w:tc>
        <w:tc>
          <w:tcPr>
            <w:tcW w:w="681" w:type="pct"/>
          </w:tcPr>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sz w:val="20"/>
                <w:szCs w:val="20"/>
                <w:lang w:eastAsia="en-US"/>
              </w:rPr>
            </w:pPr>
          </w:p>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71" w:type="pct"/>
          </w:tcPr>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sz w:val="20"/>
                <w:szCs w:val="20"/>
                <w:lang w:eastAsia="en-US"/>
              </w:rPr>
            </w:pPr>
          </w:p>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5" w:type="pct"/>
          </w:tcPr>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sz w:val="20"/>
                <w:szCs w:val="20"/>
                <w:lang w:eastAsia="en-US"/>
              </w:rPr>
            </w:pPr>
          </w:p>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5" w:type="pct"/>
          </w:tcPr>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sz w:val="20"/>
                <w:szCs w:val="20"/>
                <w:lang w:eastAsia="en-US"/>
              </w:rPr>
            </w:pPr>
          </w:p>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804" w:type="pct"/>
          </w:tcPr>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sz w:val="20"/>
                <w:szCs w:val="20"/>
                <w:lang w:eastAsia="en-US"/>
              </w:rPr>
            </w:pPr>
          </w:p>
          <w:p w:rsidR="008B1643" w:rsidRPr="0019090F" w:rsidRDefault="0019090F" w:rsidP="00F36D39">
            <w:pPr>
              <w:tabs>
                <w:tab w:val="left" w:pos="416"/>
                <w:tab w:val="left" w:pos="582"/>
              </w:tabs>
              <w:spacing w:line="360" w:lineRule="auto"/>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8B1643" w:rsidRPr="00A71D97" w:rsidTr="0013249E">
        <w:tc>
          <w:tcPr>
            <w:tcW w:w="5000" w:type="pct"/>
            <w:gridSpan w:val="6"/>
            <w:vAlign w:val="center"/>
          </w:tcPr>
          <w:p w:rsidR="008B1643" w:rsidRPr="0019090F" w:rsidRDefault="008B1643" w:rsidP="00F36D39">
            <w:pPr>
              <w:widowControl w:val="0"/>
              <w:rPr>
                <w:rFonts w:ascii="Arial Narrow" w:hAnsi="Arial Narrow" w:cs="Arial"/>
                <w:b/>
                <w:snapToGrid w:val="0"/>
                <w:color w:val="000000"/>
                <w:sz w:val="20"/>
                <w:szCs w:val="20"/>
                <w:lang w:eastAsia="en-US"/>
              </w:rPr>
            </w:pPr>
            <w:r w:rsidRPr="007160C2">
              <w:rPr>
                <w:rFonts w:ascii="Arial Narrow" w:hAnsi="Arial Narrow" w:cs="Arial"/>
                <w:b/>
                <w:snapToGrid w:val="0"/>
                <w:color w:val="000000"/>
                <w:sz w:val="20"/>
                <w:szCs w:val="20"/>
                <w:lang w:eastAsia="en-US"/>
              </w:rPr>
              <w:t>Estimated total net cost</w:t>
            </w:r>
          </w:p>
        </w:tc>
      </w:tr>
      <w:tr w:rsidR="008B1643" w:rsidRPr="00A71D97" w:rsidTr="0013249E">
        <w:tc>
          <w:tcPr>
            <w:tcW w:w="1333" w:type="pct"/>
            <w:vAlign w:val="center"/>
          </w:tcPr>
          <w:p w:rsidR="008B1643" w:rsidRPr="007160C2" w:rsidRDefault="008B1643" w:rsidP="00F36D39">
            <w:pPr>
              <w:tabs>
                <w:tab w:val="left" w:pos="416"/>
                <w:tab w:val="left" w:pos="582"/>
              </w:tabs>
              <w:rPr>
                <w:rFonts w:ascii="Arial Narrow" w:hAnsi="Arial Narrow" w:cs="Arial"/>
                <w:bCs/>
                <w:sz w:val="20"/>
                <w:szCs w:val="20"/>
                <w:lang w:eastAsia="en-US"/>
              </w:rPr>
            </w:pPr>
            <w:r w:rsidRPr="007160C2">
              <w:rPr>
                <w:rFonts w:ascii="Arial Narrow" w:hAnsi="Arial Narrow" w:cs="Arial"/>
                <w:bCs/>
                <w:sz w:val="20"/>
                <w:szCs w:val="20"/>
                <w:lang w:eastAsia="en-US"/>
              </w:rPr>
              <w:t xml:space="preserve">Net cost of </w:t>
            </w:r>
            <w:proofErr w:type="spellStart"/>
            <w:r w:rsidRPr="007160C2">
              <w:rPr>
                <w:rFonts w:ascii="Arial Narrow" w:hAnsi="Arial Narrow" w:cs="Arial"/>
                <w:bCs/>
                <w:sz w:val="20"/>
                <w:szCs w:val="20"/>
                <w:lang w:eastAsia="en-US"/>
              </w:rPr>
              <w:t>regorafenib</w:t>
            </w:r>
            <w:proofErr w:type="spellEnd"/>
            <w:r w:rsidRPr="007160C2">
              <w:rPr>
                <w:rFonts w:ascii="Arial Narrow" w:hAnsi="Arial Narrow" w:cs="Arial"/>
                <w:bCs/>
                <w:sz w:val="20"/>
                <w:szCs w:val="20"/>
                <w:lang w:eastAsia="en-US"/>
              </w:rPr>
              <w:t xml:space="preserve"> to Government Health Budget</w:t>
            </w:r>
          </w:p>
          <w:p w:rsidR="008B1643" w:rsidRPr="0019090F" w:rsidRDefault="008B1643" w:rsidP="00F36D39">
            <w:pPr>
              <w:widowControl w:val="0"/>
              <w:tabs>
                <w:tab w:val="left" w:pos="142"/>
              </w:tabs>
              <w:rPr>
                <w:rFonts w:ascii="Arial Narrow" w:hAnsi="Arial Narrow" w:cs="Arial"/>
                <w:snapToGrid w:val="0"/>
                <w:sz w:val="20"/>
                <w:szCs w:val="20"/>
                <w:lang w:eastAsia="en-US"/>
              </w:rPr>
            </w:pPr>
            <w:r w:rsidRPr="007160C2">
              <w:rPr>
                <w:rFonts w:ascii="Arial Narrow" w:hAnsi="Arial Narrow" w:cs="Arial"/>
                <w:bCs/>
                <w:sz w:val="20"/>
                <w:szCs w:val="20"/>
                <w:lang w:eastAsia="en-US"/>
              </w:rPr>
              <w:t xml:space="preserve">Revised net cost of </w:t>
            </w:r>
            <w:proofErr w:type="spellStart"/>
            <w:r w:rsidRPr="007160C2">
              <w:rPr>
                <w:rFonts w:ascii="Arial Narrow" w:hAnsi="Arial Narrow" w:cs="Arial"/>
                <w:bCs/>
                <w:sz w:val="20"/>
                <w:szCs w:val="20"/>
                <w:lang w:eastAsia="en-US"/>
              </w:rPr>
              <w:lastRenderedPageBreak/>
              <w:t>regorafenib</w:t>
            </w:r>
            <w:proofErr w:type="spellEnd"/>
            <w:r w:rsidRPr="007160C2">
              <w:rPr>
                <w:rFonts w:ascii="Arial Narrow" w:hAnsi="Arial Narrow" w:cs="Arial"/>
                <w:bCs/>
                <w:sz w:val="20"/>
                <w:szCs w:val="20"/>
                <w:lang w:eastAsia="en-US"/>
              </w:rPr>
              <w:t xml:space="preserve"> to Government Health Budget</w:t>
            </w:r>
          </w:p>
        </w:tc>
        <w:tc>
          <w:tcPr>
            <w:tcW w:w="681" w:type="pct"/>
            <w:vAlign w:val="bottom"/>
          </w:tcPr>
          <w:p w:rsidR="008B1643" w:rsidRPr="0019090F" w:rsidRDefault="0019090F" w:rsidP="00F36D39">
            <w:pPr>
              <w:tabs>
                <w:tab w:val="left" w:pos="416"/>
                <w:tab w:val="left" w:pos="582"/>
              </w:tabs>
              <w:spacing w:line="360" w:lineRule="auto"/>
              <w:jc w:val="center"/>
              <w:rPr>
                <w:rFonts w:ascii="Arial Narrow" w:hAnsi="Arial Narrow" w:cs="Arial"/>
                <w:bCs/>
                <w:iCs/>
                <w:sz w:val="20"/>
                <w:szCs w:val="20"/>
                <w:highlight w:val="black"/>
                <w:lang w:eastAsia="en-US"/>
              </w:rPr>
            </w:pPr>
            <w:r>
              <w:rPr>
                <w:rFonts w:ascii="Arial Narrow" w:hAnsi="Arial Narrow" w:cs="Arial"/>
                <w:bCs/>
                <w:noProof/>
                <w:color w:val="000000"/>
                <w:sz w:val="20"/>
                <w:szCs w:val="20"/>
                <w:highlight w:val="black"/>
                <w:lang w:eastAsia="en-US"/>
              </w:rPr>
              <w:lastRenderedPageBreak/>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iCs/>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bCs/>
                <w:sz w:val="20"/>
                <w:szCs w:val="20"/>
                <w:lang w:eastAsia="en-US"/>
              </w:rPr>
            </w:pPr>
          </w:p>
        </w:tc>
        <w:tc>
          <w:tcPr>
            <w:tcW w:w="671" w:type="pct"/>
            <w:vAlign w:val="bottom"/>
          </w:tcPr>
          <w:p w:rsidR="008B1643" w:rsidRPr="0019090F" w:rsidRDefault="0019090F" w:rsidP="00F36D39">
            <w:pPr>
              <w:tabs>
                <w:tab w:val="left" w:pos="416"/>
                <w:tab w:val="left" w:pos="582"/>
              </w:tabs>
              <w:spacing w:line="360" w:lineRule="auto"/>
              <w:jc w:val="center"/>
              <w:rPr>
                <w:rFonts w:ascii="Arial Narrow" w:hAnsi="Arial Narrow" w:cs="Arial"/>
                <w:bCs/>
                <w:iCs/>
                <w:sz w:val="20"/>
                <w:szCs w:val="20"/>
                <w:highlight w:val="black"/>
                <w:lang w:eastAsia="en-US"/>
              </w:rPr>
            </w:pPr>
            <w:r>
              <w:rPr>
                <w:rFonts w:ascii="Arial Narrow" w:hAnsi="Arial Narrow" w:cs="Arial"/>
                <w:bCs/>
                <w:noProof/>
                <w:color w:val="000000"/>
                <w:sz w:val="20"/>
                <w:szCs w:val="20"/>
                <w:highlight w:val="black"/>
                <w:lang w:eastAsia="en-US"/>
              </w:rPr>
              <w:lastRenderedPageBreak/>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iCs/>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bCs/>
                <w:sz w:val="20"/>
                <w:szCs w:val="20"/>
                <w:lang w:eastAsia="en-US"/>
              </w:rPr>
            </w:pPr>
          </w:p>
        </w:tc>
        <w:tc>
          <w:tcPr>
            <w:tcW w:w="755" w:type="pct"/>
            <w:vAlign w:val="bottom"/>
          </w:tcPr>
          <w:p w:rsidR="008B1643" w:rsidRPr="0019090F" w:rsidRDefault="0019090F" w:rsidP="00F36D39">
            <w:pPr>
              <w:tabs>
                <w:tab w:val="left" w:pos="416"/>
                <w:tab w:val="left" w:pos="582"/>
              </w:tabs>
              <w:spacing w:line="360" w:lineRule="auto"/>
              <w:jc w:val="center"/>
              <w:rPr>
                <w:rFonts w:ascii="Arial Narrow" w:hAnsi="Arial Narrow" w:cs="Arial"/>
                <w:bCs/>
                <w:iCs/>
                <w:sz w:val="20"/>
                <w:szCs w:val="20"/>
                <w:highlight w:val="black"/>
                <w:lang w:eastAsia="en-US"/>
              </w:rPr>
            </w:pPr>
            <w:r>
              <w:rPr>
                <w:rFonts w:ascii="Arial Narrow" w:hAnsi="Arial Narrow" w:cs="Arial"/>
                <w:bCs/>
                <w:noProof/>
                <w:color w:val="000000"/>
                <w:sz w:val="20"/>
                <w:szCs w:val="20"/>
                <w:highlight w:val="black"/>
                <w:lang w:eastAsia="en-US"/>
              </w:rPr>
              <w:lastRenderedPageBreak/>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iCs/>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bCs/>
                <w:sz w:val="20"/>
                <w:szCs w:val="20"/>
                <w:lang w:eastAsia="en-US"/>
              </w:rPr>
            </w:pPr>
          </w:p>
        </w:tc>
        <w:tc>
          <w:tcPr>
            <w:tcW w:w="755" w:type="pct"/>
            <w:vAlign w:val="bottom"/>
          </w:tcPr>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lastRenderedPageBreak/>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bCs/>
                <w:sz w:val="20"/>
                <w:szCs w:val="20"/>
                <w:lang w:eastAsia="en-US"/>
              </w:rPr>
            </w:pPr>
          </w:p>
        </w:tc>
        <w:tc>
          <w:tcPr>
            <w:tcW w:w="804" w:type="pct"/>
            <w:vAlign w:val="bottom"/>
          </w:tcPr>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lastRenderedPageBreak/>
              <w:t>'''''''''''''''''''''''''''''</w:t>
            </w:r>
          </w:p>
          <w:p w:rsidR="008B1643" w:rsidRPr="0019090F" w:rsidRDefault="0019090F" w:rsidP="00F36D39">
            <w:pPr>
              <w:tabs>
                <w:tab w:val="left" w:pos="416"/>
                <w:tab w:val="left" w:pos="582"/>
              </w:tabs>
              <w:spacing w:line="360" w:lineRule="auto"/>
              <w:jc w:val="center"/>
              <w:rPr>
                <w:rFonts w:ascii="Arial Narrow" w:hAnsi="Arial Narrow" w:cs="Arial"/>
                <w:bCs/>
                <w:sz w:val="20"/>
                <w:szCs w:val="20"/>
                <w:highlight w:val="black"/>
                <w:lang w:eastAsia="en-US"/>
              </w:rPr>
            </w:pPr>
            <w:r>
              <w:rPr>
                <w:rFonts w:ascii="Arial Narrow" w:hAnsi="Arial Narrow" w:cs="Arial"/>
                <w:bCs/>
                <w:noProof/>
                <w:color w:val="000000"/>
                <w:sz w:val="20"/>
                <w:szCs w:val="20"/>
                <w:highlight w:val="black"/>
                <w:lang w:eastAsia="en-US"/>
              </w:rPr>
              <w:t>'''''''''''''''''''''''''</w:t>
            </w:r>
          </w:p>
          <w:p w:rsidR="008B1643" w:rsidRPr="0019090F" w:rsidRDefault="008B1643" w:rsidP="00F36D39">
            <w:pPr>
              <w:tabs>
                <w:tab w:val="left" w:pos="416"/>
                <w:tab w:val="left" w:pos="582"/>
              </w:tabs>
              <w:spacing w:line="360" w:lineRule="auto"/>
              <w:jc w:val="center"/>
              <w:rPr>
                <w:rFonts w:ascii="Arial Narrow" w:hAnsi="Arial Narrow" w:cs="Arial"/>
                <w:bCs/>
                <w:sz w:val="20"/>
                <w:szCs w:val="20"/>
                <w:lang w:eastAsia="en-US"/>
              </w:rPr>
            </w:pPr>
          </w:p>
        </w:tc>
      </w:tr>
    </w:tbl>
    <w:bookmarkEnd w:id="1"/>
    <w:p w:rsidR="008B1643" w:rsidRPr="0019090F" w:rsidRDefault="0019090F" w:rsidP="0013249E">
      <w:pPr>
        <w:widowControl w:val="0"/>
        <w:ind w:left="709"/>
        <w:jc w:val="both"/>
        <w:rPr>
          <w:rFonts w:ascii="Arial Narrow" w:hAnsi="Arial Narrow" w:cs="Arial"/>
          <w:snapToGrid w:val="0"/>
          <w:sz w:val="16"/>
          <w:szCs w:val="18"/>
          <w:highlight w:val="black"/>
          <w:lang w:eastAsia="en-US"/>
        </w:rPr>
      </w:pPr>
      <w:r>
        <w:rPr>
          <w:rFonts w:ascii="Arial Narrow" w:hAnsi="Arial Narrow" w:cs="Arial"/>
          <w:noProof/>
          <w:snapToGrid w:val="0"/>
          <w:color w:val="000000"/>
          <w:sz w:val="18"/>
          <w:szCs w:val="20"/>
          <w:highlight w:val="black"/>
          <w:vertAlign w:val="superscript"/>
          <w:lang w:eastAsia="en-US"/>
        </w:rPr>
        <w:lastRenderedPageBreak/>
        <w:t>'''' ''''''''''''''''''''''''' ''''''''' '''''''''''''''' ''''''''' ''''''''''''''''' '''''' '''''''''''''''''''''''' '''''' '''''''' ''''''''''''''''''''''''''</w:t>
      </w:r>
    </w:p>
    <w:p w:rsidR="008B1643" w:rsidRPr="0019090F" w:rsidRDefault="0019090F" w:rsidP="0013249E">
      <w:pPr>
        <w:widowControl w:val="0"/>
        <w:ind w:left="709"/>
        <w:jc w:val="both"/>
        <w:rPr>
          <w:rFonts w:ascii="Arial Narrow" w:hAnsi="Arial Narrow" w:cs="Arial"/>
          <w:snapToGrid w:val="0"/>
          <w:sz w:val="16"/>
          <w:szCs w:val="18"/>
          <w:highlight w:val="black"/>
          <w:lang w:eastAsia="en-US"/>
        </w:rPr>
      </w:pPr>
      <w:r>
        <w:rPr>
          <w:rFonts w:ascii="Arial Narrow" w:hAnsi="Arial Narrow" w:cs="Arial"/>
          <w:noProof/>
          <w:snapToGrid w:val="0"/>
          <w:color w:val="000000"/>
          <w:sz w:val="16"/>
          <w:szCs w:val="18"/>
          <w:highlight w:val="black"/>
          <w:vertAlign w:val="superscript"/>
          <w:lang w:eastAsia="en-US"/>
        </w:rPr>
        <w:t>'''' '''''''''''''''''''' '''''''''''''''' ''''''''''''' ''''''''''''''''''''''' ''''''''' '''''''' ''''''''' '''''''''''''''''''''''' '''''''''''''''''''' '''''' ''' ''''''''''''' ''''' ''''''' ''''''''''''''' ''''' '''''''''''''''''''''''''''</w:t>
      </w:r>
    </w:p>
    <w:p w:rsidR="008B1643" w:rsidRPr="0019090F" w:rsidRDefault="0019090F" w:rsidP="0013249E">
      <w:pPr>
        <w:widowControl w:val="0"/>
        <w:ind w:left="709"/>
        <w:jc w:val="both"/>
        <w:rPr>
          <w:rFonts w:ascii="Arial Narrow" w:hAnsi="Arial Narrow" w:cs="Arial"/>
          <w:snapToGrid w:val="0"/>
          <w:sz w:val="16"/>
          <w:szCs w:val="18"/>
          <w:highlight w:val="black"/>
          <w:lang w:eastAsia="en-US"/>
        </w:rPr>
      </w:pPr>
      <w:r>
        <w:rPr>
          <w:rFonts w:ascii="Arial Narrow" w:hAnsi="Arial Narrow" w:cs="Arial"/>
          <w:noProof/>
          <w:snapToGrid w:val="0"/>
          <w:color w:val="000000"/>
          <w:sz w:val="16"/>
          <w:szCs w:val="18"/>
          <w:highlight w:val="black"/>
          <w:vertAlign w:val="superscript"/>
          <w:lang w:eastAsia="en-US"/>
        </w:rPr>
        <w:t>'''' ''''''''''''''''''''' '''''''''''''''''' '''''''''''''''''''''''''''''''''' '''''''''''' '''''''''''''''''''''''''''' ''''''''' '''''''' ''''''''' '''''''''''''''''''''''' '''''''''''''''''''''' ''''''' '''' ''''''''''''' ''''' ''''''''' ''''''''''''''' ''''' ''''''''''''''''''''''''''</w:t>
      </w:r>
    </w:p>
    <w:p w:rsidR="008B1643" w:rsidRPr="0019090F" w:rsidRDefault="0019090F" w:rsidP="0013249E">
      <w:pPr>
        <w:widowControl w:val="0"/>
        <w:ind w:left="709"/>
        <w:jc w:val="both"/>
        <w:rPr>
          <w:rFonts w:ascii="Arial Narrow" w:hAnsi="Arial Narrow" w:cs="Arial"/>
          <w:snapToGrid w:val="0"/>
          <w:color w:val="0000FF"/>
          <w:sz w:val="20"/>
          <w:szCs w:val="20"/>
          <w:highlight w:val="black"/>
          <w:lang w:eastAsia="en-US"/>
        </w:rPr>
      </w:pPr>
      <w:r>
        <w:rPr>
          <w:rFonts w:ascii="Arial Narrow" w:hAnsi="Arial Narrow" w:cs="Arial"/>
          <w:noProof/>
          <w:snapToGrid w:val="0"/>
          <w:color w:val="000000"/>
          <w:sz w:val="16"/>
          <w:szCs w:val="18"/>
          <w:highlight w:val="black"/>
          <w:lang w:eastAsia="en-US"/>
        </w:rPr>
        <w:t>'''''''''''''''''' ''''''''''''''''''' ''''' '''''''''''''''''''' ''''' '''''''' '''''''''''''''''''''''''''''</w:t>
      </w:r>
    </w:p>
    <w:p w:rsidR="008B1643" w:rsidRPr="0019090F" w:rsidRDefault="008B1643" w:rsidP="00B41974">
      <w:pPr>
        <w:jc w:val="both"/>
        <w:rPr>
          <w:rFonts w:ascii="Arial" w:hAnsi="Arial"/>
          <w:sz w:val="22"/>
          <w:szCs w:val="22"/>
        </w:rPr>
      </w:pPr>
    </w:p>
    <w:p w:rsidR="008B1643" w:rsidRPr="004A4B88" w:rsidRDefault="008B1643" w:rsidP="004C15AD">
      <w:pPr>
        <w:pStyle w:val="ListParagraph"/>
        <w:numPr>
          <w:ilvl w:val="1"/>
          <w:numId w:val="25"/>
        </w:numPr>
        <w:rPr>
          <w:rFonts w:ascii="Arial" w:hAnsi="Arial"/>
          <w:sz w:val="22"/>
          <w:szCs w:val="22"/>
        </w:rPr>
      </w:pPr>
      <w:r w:rsidRPr="004A4B88">
        <w:rPr>
          <w:rFonts w:ascii="Arial" w:hAnsi="Arial"/>
          <w:sz w:val="22"/>
          <w:szCs w:val="22"/>
        </w:rPr>
        <w:t>The submission has indicated that the Sponsor is willing to enter into a special pricing arrangement with a published and effective price.</w:t>
      </w:r>
    </w:p>
    <w:p w:rsidR="008B1643" w:rsidRPr="004C15AD" w:rsidRDefault="008B1643" w:rsidP="004C15AD">
      <w:pPr>
        <w:rPr>
          <w:rFonts w:ascii="Arial" w:hAnsi="Arial"/>
          <w:sz w:val="22"/>
          <w:szCs w:val="22"/>
        </w:rPr>
      </w:pPr>
      <w:r w:rsidRPr="004C15AD">
        <w:rPr>
          <w:rFonts w:ascii="Arial" w:hAnsi="Arial"/>
          <w:sz w:val="22"/>
          <w:szCs w:val="22"/>
        </w:rPr>
        <w:t xml:space="preserve"> </w:t>
      </w:r>
    </w:p>
    <w:p w:rsidR="008B1643" w:rsidRPr="0019234C" w:rsidRDefault="008B1643" w:rsidP="0019234C">
      <w:pPr>
        <w:jc w:val="both"/>
        <w:rPr>
          <w:rFonts w:ascii="Arial" w:hAnsi="Arial"/>
          <w:i/>
          <w:sz w:val="22"/>
          <w:szCs w:val="22"/>
        </w:rPr>
      </w:pPr>
      <w:r w:rsidRPr="0019234C">
        <w:rPr>
          <w:rFonts w:ascii="Arial" w:hAnsi="Arial"/>
          <w:i/>
          <w:sz w:val="22"/>
          <w:szCs w:val="22"/>
        </w:rPr>
        <w:t>For more detail on PBAC’s view, see section 7 “PBAC outcome”</w:t>
      </w:r>
    </w:p>
    <w:p w:rsidR="008B1643" w:rsidRPr="00882085" w:rsidRDefault="008B1643" w:rsidP="00882085">
      <w:pPr>
        <w:jc w:val="both"/>
        <w:rPr>
          <w:rFonts w:ascii="Arial" w:hAnsi="Arial"/>
          <w:b/>
          <w:sz w:val="22"/>
          <w:szCs w:val="22"/>
        </w:rPr>
      </w:pPr>
    </w:p>
    <w:p w:rsidR="008B1643" w:rsidRPr="00882085" w:rsidRDefault="008B1643" w:rsidP="00300C63">
      <w:pPr>
        <w:pStyle w:val="ListParagraph"/>
        <w:numPr>
          <w:ilvl w:val="0"/>
          <w:numId w:val="25"/>
        </w:numPr>
        <w:jc w:val="both"/>
        <w:rPr>
          <w:rFonts w:ascii="Arial" w:hAnsi="Arial"/>
          <w:b/>
          <w:sz w:val="22"/>
          <w:szCs w:val="22"/>
        </w:rPr>
      </w:pPr>
      <w:r w:rsidRPr="00882085">
        <w:rPr>
          <w:rFonts w:ascii="Arial" w:hAnsi="Arial"/>
          <w:b/>
          <w:sz w:val="22"/>
          <w:szCs w:val="22"/>
        </w:rPr>
        <w:t xml:space="preserve">PBAC Outcome </w:t>
      </w:r>
    </w:p>
    <w:p w:rsidR="008B1643" w:rsidRPr="003E4FD7" w:rsidRDefault="008B1643" w:rsidP="003E4FD7">
      <w:pPr>
        <w:jc w:val="both"/>
        <w:rPr>
          <w:rFonts w:ascii="Arial" w:hAnsi="Arial"/>
          <w:sz w:val="22"/>
          <w:szCs w:val="22"/>
        </w:rPr>
      </w:pPr>
    </w:p>
    <w:p w:rsidR="00151F0F" w:rsidRDefault="008B1643" w:rsidP="00922D15">
      <w:pPr>
        <w:pStyle w:val="ListParagraph"/>
        <w:numPr>
          <w:ilvl w:val="1"/>
          <w:numId w:val="25"/>
        </w:numPr>
        <w:ind w:left="709" w:hanging="709"/>
        <w:jc w:val="both"/>
        <w:rPr>
          <w:rFonts w:ascii="Arial" w:hAnsi="Arial"/>
          <w:sz w:val="22"/>
          <w:szCs w:val="22"/>
        </w:rPr>
      </w:pPr>
      <w:r w:rsidRPr="00820018">
        <w:rPr>
          <w:rFonts w:ascii="Arial" w:hAnsi="Arial"/>
          <w:sz w:val="22"/>
          <w:szCs w:val="22"/>
        </w:rPr>
        <w:t xml:space="preserve">The PBAC rejected the submission on the basis </w:t>
      </w:r>
      <w:r w:rsidR="00820018">
        <w:rPr>
          <w:rFonts w:ascii="Arial" w:hAnsi="Arial"/>
          <w:sz w:val="22"/>
          <w:szCs w:val="22"/>
        </w:rPr>
        <w:t xml:space="preserve">that the </w:t>
      </w:r>
      <w:r w:rsidR="00E05859">
        <w:rPr>
          <w:rFonts w:ascii="Arial" w:hAnsi="Arial"/>
          <w:sz w:val="22"/>
          <w:szCs w:val="22"/>
        </w:rPr>
        <w:t xml:space="preserve">observed </w:t>
      </w:r>
      <w:r w:rsidR="00820018">
        <w:rPr>
          <w:rFonts w:ascii="Arial" w:hAnsi="Arial"/>
          <w:sz w:val="22"/>
          <w:szCs w:val="22"/>
        </w:rPr>
        <w:t xml:space="preserve">improvement in comparative effectiveness </w:t>
      </w:r>
      <w:r w:rsidR="00E05859">
        <w:rPr>
          <w:rFonts w:ascii="Arial" w:hAnsi="Arial"/>
          <w:sz w:val="22"/>
          <w:szCs w:val="22"/>
        </w:rPr>
        <w:t xml:space="preserve">associated with </w:t>
      </w:r>
      <w:proofErr w:type="spellStart"/>
      <w:r w:rsidR="00E05859">
        <w:rPr>
          <w:rFonts w:ascii="Arial" w:hAnsi="Arial"/>
          <w:sz w:val="22"/>
          <w:szCs w:val="22"/>
        </w:rPr>
        <w:t>regorafenib</w:t>
      </w:r>
      <w:proofErr w:type="spellEnd"/>
      <w:r w:rsidR="00875539">
        <w:rPr>
          <w:rFonts w:ascii="Arial" w:hAnsi="Arial"/>
          <w:sz w:val="22"/>
          <w:szCs w:val="22"/>
        </w:rPr>
        <w:t xml:space="preserve"> was of uncertain clinical significance especially in the context of the increase in serious adverse effects associated with treatment.</w:t>
      </w:r>
      <w:r w:rsidR="00A17BCB">
        <w:rPr>
          <w:rFonts w:ascii="Arial" w:hAnsi="Arial"/>
          <w:sz w:val="22"/>
          <w:szCs w:val="22"/>
        </w:rPr>
        <w:t xml:space="preserve"> </w:t>
      </w:r>
      <w:r w:rsidR="00691A64">
        <w:rPr>
          <w:rFonts w:ascii="Arial" w:hAnsi="Arial"/>
          <w:sz w:val="22"/>
          <w:szCs w:val="22"/>
        </w:rPr>
        <w:t>Even if the small incremental survival g</w:t>
      </w:r>
      <w:r w:rsidR="0015758D">
        <w:rPr>
          <w:rFonts w:ascii="Arial" w:hAnsi="Arial"/>
          <w:sz w:val="22"/>
          <w:szCs w:val="22"/>
        </w:rPr>
        <w:t>ain was considered to be clinic</w:t>
      </w:r>
      <w:r w:rsidR="00691A64">
        <w:rPr>
          <w:rFonts w:ascii="Arial" w:hAnsi="Arial"/>
          <w:sz w:val="22"/>
          <w:szCs w:val="22"/>
        </w:rPr>
        <w:t xml:space="preserve">ally significant, the </w:t>
      </w:r>
      <w:r w:rsidR="00C24D36">
        <w:rPr>
          <w:rFonts w:ascii="Arial" w:hAnsi="Arial"/>
          <w:sz w:val="22"/>
          <w:szCs w:val="22"/>
        </w:rPr>
        <w:t xml:space="preserve">most reliable estimate of the </w:t>
      </w:r>
      <w:r w:rsidR="00875539">
        <w:rPr>
          <w:rFonts w:ascii="Arial" w:hAnsi="Arial"/>
          <w:sz w:val="22"/>
          <w:szCs w:val="22"/>
        </w:rPr>
        <w:t xml:space="preserve">incremental cost-effectiveness ratio </w:t>
      </w:r>
      <w:r w:rsidR="00C24D36">
        <w:rPr>
          <w:rFonts w:ascii="Arial" w:hAnsi="Arial"/>
          <w:sz w:val="22"/>
          <w:szCs w:val="22"/>
        </w:rPr>
        <w:t xml:space="preserve">for </w:t>
      </w:r>
      <w:proofErr w:type="spellStart"/>
      <w:r w:rsidR="00C24D36">
        <w:rPr>
          <w:rFonts w:ascii="Arial" w:hAnsi="Arial"/>
          <w:sz w:val="22"/>
          <w:szCs w:val="22"/>
        </w:rPr>
        <w:t>regorafenib</w:t>
      </w:r>
      <w:proofErr w:type="spellEnd"/>
      <w:r w:rsidR="00C24D36">
        <w:rPr>
          <w:rFonts w:ascii="Arial" w:hAnsi="Arial"/>
          <w:sz w:val="22"/>
          <w:szCs w:val="22"/>
        </w:rPr>
        <w:t xml:space="preserve"> compared to best support</w:t>
      </w:r>
      <w:r w:rsidR="00F45920">
        <w:rPr>
          <w:rFonts w:ascii="Arial" w:hAnsi="Arial"/>
          <w:sz w:val="22"/>
          <w:szCs w:val="22"/>
        </w:rPr>
        <w:t>ive</w:t>
      </w:r>
      <w:r w:rsidR="00C24D36">
        <w:rPr>
          <w:rFonts w:ascii="Arial" w:hAnsi="Arial"/>
          <w:sz w:val="22"/>
          <w:szCs w:val="22"/>
        </w:rPr>
        <w:t xml:space="preserve"> care</w:t>
      </w:r>
      <w:r w:rsidR="00691A64">
        <w:rPr>
          <w:rFonts w:ascii="Arial" w:hAnsi="Arial"/>
          <w:sz w:val="22"/>
          <w:szCs w:val="22"/>
        </w:rPr>
        <w:t xml:space="preserve"> was unacceptably high. </w:t>
      </w:r>
    </w:p>
    <w:p w:rsidR="008B1643" w:rsidRPr="00820018" w:rsidRDefault="008B1643" w:rsidP="00151F0F">
      <w:pPr>
        <w:pStyle w:val="ListParagraph"/>
        <w:ind w:left="709"/>
        <w:jc w:val="both"/>
        <w:rPr>
          <w:rFonts w:ascii="Arial" w:hAnsi="Arial"/>
          <w:sz w:val="22"/>
          <w:szCs w:val="22"/>
        </w:rPr>
      </w:pPr>
    </w:p>
    <w:p w:rsidR="00875539" w:rsidRDefault="00875539" w:rsidP="00875539">
      <w:pPr>
        <w:pStyle w:val="ListParagraph"/>
        <w:numPr>
          <w:ilvl w:val="1"/>
          <w:numId w:val="25"/>
        </w:numPr>
        <w:ind w:left="709" w:hanging="709"/>
        <w:jc w:val="both"/>
        <w:rPr>
          <w:rFonts w:ascii="Arial" w:hAnsi="Arial"/>
          <w:sz w:val="22"/>
          <w:szCs w:val="22"/>
        </w:rPr>
      </w:pPr>
      <w:r w:rsidRPr="006E665F">
        <w:rPr>
          <w:rFonts w:ascii="Arial" w:hAnsi="Arial"/>
          <w:sz w:val="22"/>
          <w:szCs w:val="22"/>
        </w:rPr>
        <w:t xml:space="preserve">The PBAC noted the consumer comments regarding the </w:t>
      </w:r>
      <w:r>
        <w:rPr>
          <w:rFonts w:ascii="Arial" w:hAnsi="Arial"/>
          <w:sz w:val="22"/>
          <w:szCs w:val="22"/>
        </w:rPr>
        <w:t xml:space="preserve">importance of </w:t>
      </w:r>
      <w:r w:rsidRPr="006E665F">
        <w:rPr>
          <w:rFonts w:ascii="Arial" w:hAnsi="Arial"/>
          <w:sz w:val="22"/>
          <w:szCs w:val="22"/>
        </w:rPr>
        <w:t xml:space="preserve">effective treatments for bowel cancer. However, the PBAC considered that the comparative effectiveness </w:t>
      </w:r>
      <w:r>
        <w:rPr>
          <w:rFonts w:ascii="Arial" w:hAnsi="Arial"/>
          <w:sz w:val="22"/>
          <w:szCs w:val="22"/>
        </w:rPr>
        <w:t xml:space="preserve">of this drug was small and that treatment was associated with </w:t>
      </w:r>
      <w:r w:rsidRPr="006E665F">
        <w:rPr>
          <w:rFonts w:ascii="Arial" w:hAnsi="Arial"/>
          <w:sz w:val="22"/>
          <w:szCs w:val="22"/>
        </w:rPr>
        <w:t>significant adverse effects</w:t>
      </w:r>
      <w:r>
        <w:rPr>
          <w:rFonts w:ascii="Arial" w:hAnsi="Arial"/>
          <w:sz w:val="22"/>
          <w:szCs w:val="22"/>
        </w:rPr>
        <w:t>.</w:t>
      </w:r>
      <w:r w:rsidRPr="006E665F">
        <w:rPr>
          <w:rFonts w:ascii="Arial" w:hAnsi="Arial"/>
          <w:sz w:val="22"/>
          <w:szCs w:val="22"/>
        </w:rPr>
        <w:t xml:space="preserve"> </w:t>
      </w:r>
    </w:p>
    <w:p w:rsidR="00C24D36" w:rsidRDefault="00C24D36" w:rsidP="00F45920">
      <w:pPr>
        <w:pStyle w:val="ListParagraph"/>
        <w:ind w:left="709"/>
        <w:jc w:val="both"/>
        <w:rPr>
          <w:rFonts w:ascii="Arial" w:hAnsi="Arial"/>
          <w:sz w:val="22"/>
          <w:szCs w:val="22"/>
        </w:rPr>
      </w:pPr>
    </w:p>
    <w:p w:rsidR="008B1643" w:rsidRPr="00FB4638" w:rsidRDefault="008B1643" w:rsidP="00FB4638">
      <w:pPr>
        <w:pStyle w:val="ListParagraph"/>
        <w:numPr>
          <w:ilvl w:val="1"/>
          <w:numId w:val="25"/>
        </w:numPr>
        <w:ind w:left="709" w:hanging="709"/>
        <w:jc w:val="both"/>
        <w:rPr>
          <w:rFonts w:ascii="Arial" w:hAnsi="Arial"/>
          <w:sz w:val="22"/>
          <w:szCs w:val="22"/>
        </w:rPr>
      </w:pPr>
      <w:r w:rsidRPr="001D1949">
        <w:rPr>
          <w:rFonts w:ascii="Arial" w:hAnsi="Arial"/>
          <w:sz w:val="22"/>
          <w:szCs w:val="22"/>
        </w:rPr>
        <w:t>The PBAC accepted that BSC</w:t>
      </w:r>
      <w:r>
        <w:rPr>
          <w:rFonts w:ascii="Arial" w:hAnsi="Arial"/>
          <w:sz w:val="22"/>
          <w:szCs w:val="22"/>
        </w:rPr>
        <w:t xml:space="preserve"> (placebo)</w:t>
      </w:r>
      <w:r w:rsidRPr="001D1949">
        <w:rPr>
          <w:rFonts w:ascii="Arial" w:hAnsi="Arial"/>
          <w:sz w:val="22"/>
          <w:szCs w:val="22"/>
        </w:rPr>
        <w:t xml:space="preserve"> was an appropriate comparator.</w:t>
      </w:r>
    </w:p>
    <w:p w:rsidR="008B1643" w:rsidRPr="00FB4638" w:rsidRDefault="008B1643" w:rsidP="00FB4638">
      <w:pPr>
        <w:rPr>
          <w:rFonts w:ascii="Arial" w:hAnsi="Arial"/>
          <w:sz w:val="22"/>
          <w:szCs w:val="22"/>
        </w:rPr>
      </w:pPr>
    </w:p>
    <w:p w:rsidR="00EF185C" w:rsidRPr="00F45920" w:rsidRDefault="008B1643" w:rsidP="00F45920">
      <w:pPr>
        <w:pStyle w:val="ListParagraph"/>
        <w:numPr>
          <w:ilvl w:val="1"/>
          <w:numId w:val="25"/>
        </w:numPr>
        <w:ind w:left="709" w:hanging="709"/>
        <w:jc w:val="both"/>
        <w:rPr>
          <w:rFonts w:ascii="Arial" w:hAnsi="Arial"/>
          <w:sz w:val="22"/>
          <w:szCs w:val="22"/>
        </w:rPr>
      </w:pPr>
      <w:r w:rsidRPr="00E05859">
        <w:rPr>
          <w:rFonts w:ascii="Arial" w:hAnsi="Arial"/>
          <w:sz w:val="22"/>
          <w:szCs w:val="22"/>
        </w:rPr>
        <w:t xml:space="preserve">The PBAC noted that </w:t>
      </w:r>
      <w:r w:rsidR="00820018" w:rsidRPr="00E05859">
        <w:rPr>
          <w:rFonts w:ascii="Arial" w:hAnsi="Arial"/>
          <w:sz w:val="22"/>
          <w:szCs w:val="22"/>
        </w:rPr>
        <w:t xml:space="preserve">there is a risk of use </w:t>
      </w:r>
      <w:r w:rsidRPr="00E05859">
        <w:rPr>
          <w:rFonts w:ascii="Arial" w:hAnsi="Arial"/>
          <w:sz w:val="22"/>
          <w:szCs w:val="22"/>
        </w:rPr>
        <w:t>outside the requested listing</w:t>
      </w:r>
      <w:r w:rsidR="00820018" w:rsidRPr="00E05859">
        <w:rPr>
          <w:rFonts w:ascii="Arial" w:hAnsi="Arial"/>
          <w:sz w:val="22"/>
          <w:szCs w:val="22"/>
        </w:rPr>
        <w:t>,</w:t>
      </w:r>
      <w:r w:rsidR="005A29CE" w:rsidRPr="00E05859">
        <w:rPr>
          <w:rFonts w:ascii="Arial" w:hAnsi="Arial"/>
          <w:sz w:val="22"/>
          <w:szCs w:val="22"/>
        </w:rPr>
        <w:t xml:space="preserve"> </w:t>
      </w:r>
      <w:r w:rsidRPr="00E05859">
        <w:rPr>
          <w:rFonts w:ascii="Arial" w:hAnsi="Arial"/>
          <w:sz w:val="22"/>
          <w:szCs w:val="22"/>
        </w:rPr>
        <w:t xml:space="preserve">in patients with a WHO performance status greater than 1 and in </w:t>
      </w:r>
      <w:r w:rsidR="00820018" w:rsidRPr="00E05859">
        <w:rPr>
          <w:rFonts w:ascii="Arial" w:hAnsi="Arial"/>
          <w:sz w:val="22"/>
          <w:szCs w:val="22"/>
        </w:rPr>
        <w:t xml:space="preserve">the </w:t>
      </w:r>
      <w:r w:rsidRPr="00E05859">
        <w:rPr>
          <w:rFonts w:ascii="Arial" w:hAnsi="Arial"/>
          <w:sz w:val="22"/>
          <w:szCs w:val="22"/>
        </w:rPr>
        <w:t>post-progression</w:t>
      </w:r>
      <w:r w:rsidR="00820018" w:rsidRPr="00E05859">
        <w:rPr>
          <w:rFonts w:ascii="Arial" w:hAnsi="Arial"/>
          <w:sz w:val="22"/>
          <w:szCs w:val="22"/>
        </w:rPr>
        <w:t xml:space="preserve"> setting</w:t>
      </w:r>
      <w:r w:rsidRPr="00E05859">
        <w:rPr>
          <w:rFonts w:ascii="Arial" w:hAnsi="Arial"/>
          <w:sz w:val="22"/>
          <w:szCs w:val="22"/>
        </w:rPr>
        <w:t xml:space="preserve">. </w:t>
      </w:r>
      <w:r w:rsidR="00820018" w:rsidRPr="00E05859">
        <w:rPr>
          <w:rFonts w:ascii="Arial" w:hAnsi="Arial"/>
          <w:sz w:val="22"/>
          <w:szCs w:val="22"/>
        </w:rPr>
        <w:t>Leakage would further worsen the cost-effectiveness of this medicine.</w:t>
      </w:r>
      <w:r w:rsidRPr="00E05859">
        <w:rPr>
          <w:rFonts w:ascii="Arial" w:hAnsi="Arial"/>
          <w:sz w:val="22"/>
          <w:szCs w:val="22"/>
        </w:rPr>
        <w:t xml:space="preserve"> </w:t>
      </w:r>
    </w:p>
    <w:p w:rsidR="008B1643" w:rsidRPr="006E665F" w:rsidRDefault="008B1643" w:rsidP="0019370F"/>
    <w:p w:rsidR="008B1643" w:rsidRPr="001D1949" w:rsidRDefault="008B1643" w:rsidP="0026260E">
      <w:pPr>
        <w:pStyle w:val="ListParagraph"/>
        <w:numPr>
          <w:ilvl w:val="1"/>
          <w:numId w:val="25"/>
        </w:numPr>
        <w:jc w:val="both"/>
        <w:rPr>
          <w:rFonts w:ascii="Arial" w:hAnsi="Arial"/>
          <w:sz w:val="22"/>
          <w:szCs w:val="22"/>
        </w:rPr>
      </w:pPr>
      <w:r w:rsidRPr="001D1949">
        <w:rPr>
          <w:rFonts w:ascii="Arial" w:hAnsi="Arial"/>
          <w:sz w:val="22"/>
          <w:szCs w:val="22"/>
        </w:rPr>
        <w:t xml:space="preserve">The PBAC </w:t>
      </w:r>
      <w:r>
        <w:rPr>
          <w:rFonts w:ascii="Arial" w:hAnsi="Arial"/>
          <w:sz w:val="22"/>
          <w:szCs w:val="22"/>
        </w:rPr>
        <w:t>considered that the clinical evidence from the key clinical trial CORRECT</w:t>
      </w:r>
      <w:r w:rsidR="006E665F">
        <w:rPr>
          <w:rFonts w:ascii="Arial" w:hAnsi="Arial"/>
          <w:sz w:val="22"/>
          <w:szCs w:val="22"/>
        </w:rPr>
        <w:t xml:space="preserve"> trial data was mature, there </w:t>
      </w:r>
      <w:r w:rsidR="00B84570">
        <w:rPr>
          <w:rFonts w:ascii="Arial" w:hAnsi="Arial"/>
          <w:sz w:val="22"/>
          <w:szCs w:val="22"/>
        </w:rPr>
        <w:t xml:space="preserve">was </w:t>
      </w:r>
      <w:r w:rsidR="006E665F">
        <w:rPr>
          <w:rFonts w:ascii="Arial" w:hAnsi="Arial"/>
          <w:sz w:val="22"/>
          <w:szCs w:val="22"/>
        </w:rPr>
        <w:t xml:space="preserve">no cross-over and subsequent therapy was </w:t>
      </w:r>
      <w:r w:rsidRPr="0026260E">
        <w:rPr>
          <w:rFonts w:ascii="Arial" w:hAnsi="Arial"/>
          <w:sz w:val="22"/>
          <w:szCs w:val="22"/>
        </w:rPr>
        <w:t>relatively balanced between treatment arms</w:t>
      </w:r>
      <w:r>
        <w:rPr>
          <w:rFonts w:ascii="Arial" w:hAnsi="Arial"/>
          <w:sz w:val="22"/>
          <w:szCs w:val="22"/>
        </w:rPr>
        <w:t>.</w:t>
      </w:r>
      <w:r w:rsidR="006E665F">
        <w:rPr>
          <w:rFonts w:ascii="Arial" w:hAnsi="Arial"/>
          <w:sz w:val="22"/>
          <w:szCs w:val="22"/>
        </w:rPr>
        <w:t xml:space="preserve"> For this reason, the CORRECT trial was unlikely to have underestimated the effectiveness of </w:t>
      </w:r>
      <w:proofErr w:type="spellStart"/>
      <w:r w:rsidR="006E665F">
        <w:rPr>
          <w:rFonts w:ascii="Arial" w:hAnsi="Arial"/>
          <w:sz w:val="22"/>
          <w:szCs w:val="22"/>
        </w:rPr>
        <w:t>regorafenib</w:t>
      </w:r>
      <w:proofErr w:type="spellEnd"/>
      <w:r w:rsidR="006E665F">
        <w:rPr>
          <w:rFonts w:ascii="Arial" w:hAnsi="Arial"/>
          <w:sz w:val="22"/>
          <w:szCs w:val="22"/>
        </w:rPr>
        <w:t xml:space="preserve"> compared with BSC.</w:t>
      </w:r>
    </w:p>
    <w:p w:rsidR="008B1643" w:rsidRPr="001D1949" w:rsidRDefault="008B1643" w:rsidP="002609C1">
      <w:pPr>
        <w:pStyle w:val="ListParagraph"/>
        <w:rPr>
          <w:rFonts w:ascii="Arial" w:hAnsi="Arial"/>
          <w:sz w:val="22"/>
          <w:szCs w:val="22"/>
        </w:rPr>
      </w:pPr>
    </w:p>
    <w:p w:rsidR="008B1643" w:rsidRDefault="008B1643" w:rsidP="00300C63">
      <w:pPr>
        <w:pStyle w:val="ListParagraph"/>
        <w:numPr>
          <w:ilvl w:val="1"/>
          <w:numId w:val="25"/>
        </w:numPr>
        <w:ind w:left="709" w:hanging="709"/>
        <w:jc w:val="both"/>
        <w:rPr>
          <w:rFonts w:ascii="Arial" w:hAnsi="Arial"/>
          <w:sz w:val="22"/>
          <w:szCs w:val="22"/>
        </w:rPr>
      </w:pPr>
      <w:r w:rsidRPr="001D1949">
        <w:rPr>
          <w:rFonts w:ascii="Arial" w:hAnsi="Arial"/>
          <w:sz w:val="22"/>
          <w:szCs w:val="22"/>
        </w:rPr>
        <w:t xml:space="preserve">The PBAC noted the </w:t>
      </w:r>
      <w:r w:rsidR="006E665F">
        <w:rPr>
          <w:rFonts w:ascii="Arial" w:hAnsi="Arial"/>
          <w:sz w:val="22"/>
          <w:szCs w:val="22"/>
        </w:rPr>
        <w:t>small</w:t>
      </w:r>
      <w:r w:rsidR="006E665F" w:rsidRPr="001D1949">
        <w:rPr>
          <w:rFonts w:ascii="Arial" w:hAnsi="Arial"/>
          <w:sz w:val="22"/>
          <w:szCs w:val="22"/>
        </w:rPr>
        <w:t xml:space="preserve"> </w:t>
      </w:r>
      <w:r w:rsidRPr="001D1949">
        <w:rPr>
          <w:rFonts w:ascii="Arial" w:hAnsi="Arial"/>
          <w:sz w:val="22"/>
          <w:szCs w:val="22"/>
        </w:rPr>
        <w:t>gain in median PFS of 0.2 months and median OS of 1.4 months</w:t>
      </w:r>
      <w:r w:rsidRPr="00FB4638">
        <w:rPr>
          <w:rFonts w:ascii="Arial" w:hAnsi="Arial"/>
          <w:sz w:val="22"/>
          <w:szCs w:val="22"/>
        </w:rPr>
        <w:t xml:space="preserve"> </w:t>
      </w:r>
      <w:r>
        <w:rPr>
          <w:rFonts w:ascii="Arial" w:hAnsi="Arial"/>
          <w:sz w:val="22"/>
          <w:szCs w:val="22"/>
        </w:rPr>
        <w:t>in CORRECT</w:t>
      </w:r>
      <w:r w:rsidRPr="001D1949">
        <w:rPr>
          <w:rFonts w:ascii="Arial" w:hAnsi="Arial"/>
          <w:sz w:val="22"/>
          <w:szCs w:val="22"/>
        </w:rPr>
        <w:t>. The Committee also expressed concern at the inconsistency between the relatively larger (</w:t>
      </w:r>
      <w:r>
        <w:rPr>
          <w:rFonts w:ascii="Arial" w:hAnsi="Arial"/>
          <w:sz w:val="22"/>
          <w:szCs w:val="22"/>
        </w:rPr>
        <w:t xml:space="preserve">although still numerically </w:t>
      </w:r>
      <w:r w:rsidRPr="001D1949">
        <w:rPr>
          <w:rFonts w:ascii="Arial" w:hAnsi="Arial"/>
          <w:sz w:val="22"/>
          <w:szCs w:val="22"/>
        </w:rPr>
        <w:t xml:space="preserve">small) </w:t>
      </w:r>
      <w:proofErr w:type="gramStart"/>
      <w:r w:rsidRPr="001D1949">
        <w:rPr>
          <w:rFonts w:ascii="Arial" w:hAnsi="Arial"/>
          <w:sz w:val="22"/>
          <w:szCs w:val="22"/>
        </w:rPr>
        <w:t>gain</w:t>
      </w:r>
      <w:proofErr w:type="gramEnd"/>
      <w:r w:rsidRPr="001D1949">
        <w:rPr>
          <w:rFonts w:ascii="Arial" w:hAnsi="Arial"/>
          <w:sz w:val="22"/>
          <w:szCs w:val="22"/>
        </w:rPr>
        <w:t xml:space="preserve"> in OS </w:t>
      </w:r>
      <w:r>
        <w:rPr>
          <w:rFonts w:ascii="Arial" w:hAnsi="Arial"/>
          <w:sz w:val="22"/>
          <w:szCs w:val="22"/>
        </w:rPr>
        <w:t>compared</w:t>
      </w:r>
      <w:r w:rsidRPr="001D1949">
        <w:rPr>
          <w:rFonts w:ascii="Arial" w:hAnsi="Arial"/>
          <w:sz w:val="22"/>
          <w:szCs w:val="22"/>
        </w:rPr>
        <w:t xml:space="preserve"> to PFS, noting the initial TGA delegate’s overview that considered that the increase in OS was not supported by secondary endpoints. The PBAC </w:t>
      </w:r>
      <w:r>
        <w:rPr>
          <w:rFonts w:ascii="Arial" w:hAnsi="Arial"/>
          <w:sz w:val="22"/>
          <w:szCs w:val="22"/>
        </w:rPr>
        <w:t>noted</w:t>
      </w:r>
      <w:r w:rsidRPr="001D1949">
        <w:rPr>
          <w:rFonts w:ascii="Arial" w:hAnsi="Arial"/>
          <w:sz w:val="22"/>
          <w:szCs w:val="22"/>
        </w:rPr>
        <w:t xml:space="preserve"> that no patients in the CORRECT trial had a complete response and that EQ-5D data showed no improvement in quality of life with </w:t>
      </w:r>
      <w:proofErr w:type="spellStart"/>
      <w:r w:rsidRPr="001D1949">
        <w:rPr>
          <w:rFonts w:ascii="Arial" w:hAnsi="Arial"/>
          <w:sz w:val="22"/>
          <w:szCs w:val="22"/>
        </w:rPr>
        <w:t>regorafenib</w:t>
      </w:r>
      <w:proofErr w:type="spellEnd"/>
      <w:r w:rsidRPr="001D1949">
        <w:rPr>
          <w:rFonts w:ascii="Arial" w:hAnsi="Arial"/>
          <w:sz w:val="22"/>
          <w:szCs w:val="22"/>
        </w:rPr>
        <w:t xml:space="preserve">. </w:t>
      </w:r>
    </w:p>
    <w:p w:rsidR="008B1643" w:rsidRPr="00FB4638" w:rsidRDefault="008B1643" w:rsidP="00FB4638">
      <w:pPr>
        <w:pStyle w:val="ListParagraph"/>
        <w:rPr>
          <w:rFonts w:ascii="Arial" w:hAnsi="Arial"/>
          <w:sz w:val="22"/>
          <w:szCs w:val="22"/>
        </w:rPr>
      </w:pPr>
    </w:p>
    <w:p w:rsidR="008B1643" w:rsidRPr="001D1949" w:rsidRDefault="008B1643" w:rsidP="00300C63">
      <w:pPr>
        <w:pStyle w:val="ListParagraph"/>
        <w:numPr>
          <w:ilvl w:val="1"/>
          <w:numId w:val="25"/>
        </w:numPr>
        <w:ind w:left="709" w:hanging="709"/>
        <w:jc w:val="both"/>
        <w:rPr>
          <w:rFonts w:ascii="Arial" w:hAnsi="Arial"/>
          <w:sz w:val="22"/>
          <w:szCs w:val="22"/>
        </w:rPr>
      </w:pPr>
      <w:r w:rsidRPr="001D1949">
        <w:rPr>
          <w:rFonts w:ascii="Arial" w:hAnsi="Arial"/>
          <w:sz w:val="22"/>
          <w:szCs w:val="22"/>
        </w:rPr>
        <w:t xml:space="preserve">The PBAC agreed that </w:t>
      </w:r>
      <w:proofErr w:type="spellStart"/>
      <w:r w:rsidRPr="001D1949">
        <w:rPr>
          <w:rFonts w:ascii="Arial" w:hAnsi="Arial"/>
          <w:sz w:val="22"/>
          <w:szCs w:val="22"/>
        </w:rPr>
        <w:t>regorafenib</w:t>
      </w:r>
      <w:proofErr w:type="spellEnd"/>
      <w:r w:rsidRPr="001D1949">
        <w:rPr>
          <w:rFonts w:ascii="Arial" w:hAnsi="Arial"/>
          <w:sz w:val="22"/>
          <w:szCs w:val="22"/>
        </w:rPr>
        <w:t xml:space="preserve"> was inferior in comparative safety to BSC and noted the severe adverse effects associated with the drug, particularly hepatotoxicity and hand-foot skin reactions. </w:t>
      </w:r>
    </w:p>
    <w:p w:rsidR="008B1643" w:rsidRPr="001D1949" w:rsidRDefault="008B1643" w:rsidP="00BB7EC3">
      <w:pPr>
        <w:pStyle w:val="ListParagraph"/>
        <w:rPr>
          <w:rFonts w:ascii="Arial" w:hAnsi="Arial"/>
          <w:sz w:val="22"/>
          <w:szCs w:val="22"/>
        </w:rPr>
      </w:pPr>
    </w:p>
    <w:p w:rsidR="008B1643" w:rsidRPr="001D1949" w:rsidRDefault="008B1643" w:rsidP="00300C63">
      <w:pPr>
        <w:pStyle w:val="ListParagraph"/>
        <w:numPr>
          <w:ilvl w:val="1"/>
          <w:numId w:val="25"/>
        </w:numPr>
        <w:ind w:left="709" w:hanging="709"/>
        <w:jc w:val="both"/>
        <w:rPr>
          <w:rFonts w:ascii="Arial" w:hAnsi="Arial"/>
          <w:sz w:val="22"/>
          <w:szCs w:val="22"/>
        </w:rPr>
      </w:pPr>
      <w:r w:rsidRPr="001D1949">
        <w:rPr>
          <w:rFonts w:ascii="Arial" w:hAnsi="Arial"/>
          <w:sz w:val="22"/>
          <w:szCs w:val="22"/>
        </w:rPr>
        <w:t>The PBAC</w:t>
      </w:r>
      <w:r w:rsidR="00C24D36">
        <w:rPr>
          <w:rFonts w:ascii="Arial" w:hAnsi="Arial"/>
          <w:sz w:val="22"/>
          <w:szCs w:val="22"/>
        </w:rPr>
        <w:t xml:space="preserve"> accepted the ESC advice about the </w:t>
      </w:r>
      <w:r w:rsidRPr="001D1949">
        <w:rPr>
          <w:rFonts w:ascii="Arial" w:hAnsi="Arial"/>
          <w:sz w:val="22"/>
          <w:szCs w:val="22"/>
        </w:rPr>
        <w:t xml:space="preserve">modelled evaluation including:  </w:t>
      </w:r>
    </w:p>
    <w:p w:rsidR="008B1643" w:rsidRPr="001D1949" w:rsidRDefault="008B1643" w:rsidP="004F1BEF">
      <w:pPr>
        <w:pStyle w:val="ListParagraph"/>
        <w:numPr>
          <w:ilvl w:val="0"/>
          <w:numId w:val="38"/>
        </w:numPr>
        <w:jc w:val="both"/>
        <w:rPr>
          <w:rFonts w:ascii="Arial" w:hAnsi="Arial"/>
          <w:sz w:val="22"/>
          <w:szCs w:val="22"/>
        </w:rPr>
      </w:pPr>
      <w:r w:rsidRPr="00FD1576">
        <w:rPr>
          <w:rFonts w:ascii="Arial" w:hAnsi="Arial"/>
          <w:sz w:val="22"/>
          <w:szCs w:val="22"/>
          <w:u w:val="single"/>
        </w:rPr>
        <w:t>Time Horizon:</w:t>
      </w:r>
      <w:r>
        <w:rPr>
          <w:rFonts w:ascii="Arial" w:hAnsi="Arial"/>
          <w:sz w:val="22"/>
          <w:szCs w:val="22"/>
        </w:rPr>
        <w:t xml:space="preserve"> </w:t>
      </w:r>
      <w:r w:rsidRPr="001D1949">
        <w:rPr>
          <w:rFonts w:ascii="Arial" w:hAnsi="Arial"/>
          <w:sz w:val="22"/>
          <w:szCs w:val="22"/>
        </w:rPr>
        <w:t>the submission assumes a sustained treatment effect with a time horizon of 5 years. T</w:t>
      </w:r>
      <w:r w:rsidR="00C24D36">
        <w:rPr>
          <w:rFonts w:ascii="Arial" w:hAnsi="Arial"/>
          <w:sz w:val="22"/>
          <w:szCs w:val="22"/>
        </w:rPr>
        <w:t>his extrapolation was not</w:t>
      </w:r>
      <w:r w:rsidRPr="001D1949">
        <w:rPr>
          <w:rFonts w:ascii="Arial" w:hAnsi="Arial"/>
          <w:sz w:val="22"/>
          <w:szCs w:val="22"/>
        </w:rPr>
        <w:t xml:space="preserve"> accept</w:t>
      </w:r>
      <w:r w:rsidR="00C24D36">
        <w:rPr>
          <w:rFonts w:ascii="Arial" w:hAnsi="Arial"/>
          <w:sz w:val="22"/>
          <w:szCs w:val="22"/>
        </w:rPr>
        <w:t>ed</w:t>
      </w:r>
      <w:r>
        <w:rPr>
          <w:rFonts w:ascii="Arial" w:hAnsi="Arial"/>
          <w:sz w:val="22"/>
          <w:szCs w:val="22"/>
        </w:rPr>
        <w:t>, noting that most patients with metastatic colorectal cancer would not survive to 5 years.</w:t>
      </w:r>
      <w:r w:rsidRPr="001D1949">
        <w:rPr>
          <w:rFonts w:ascii="Arial" w:hAnsi="Arial"/>
          <w:sz w:val="22"/>
          <w:szCs w:val="22"/>
        </w:rPr>
        <w:t xml:space="preserve"> </w:t>
      </w:r>
      <w:r w:rsidR="00C24D36">
        <w:rPr>
          <w:rFonts w:ascii="Arial" w:hAnsi="Arial"/>
          <w:sz w:val="22"/>
          <w:szCs w:val="22"/>
        </w:rPr>
        <w:t>The revised model truncated the time horizon to 3 years.</w:t>
      </w:r>
    </w:p>
    <w:p w:rsidR="008B1643" w:rsidRPr="001D1949" w:rsidRDefault="008B1643" w:rsidP="004F1BEF">
      <w:pPr>
        <w:pStyle w:val="ListParagraph"/>
        <w:numPr>
          <w:ilvl w:val="0"/>
          <w:numId w:val="38"/>
        </w:numPr>
        <w:jc w:val="both"/>
        <w:rPr>
          <w:rFonts w:ascii="Arial" w:hAnsi="Arial"/>
          <w:sz w:val="22"/>
          <w:szCs w:val="22"/>
        </w:rPr>
      </w:pPr>
      <w:r w:rsidRPr="00FD1576">
        <w:rPr>
          <w:rFonts w:ascii="Arial" w:hAnsi="Arial"/>
          <w:sz w:val="22"/>
          <w:szCs w:val="22"/>
          <w:u w:val="single"/>
        </w:rPr>
        <w:lastRenderedPageBreak/>
        <w:t>Inclusion of post-progression costs in the economic evaluation:</w:t>
      </w:r>
      <w:r w:rsidRPr="001D1949">
        <w:rPr>
          <w:rFonts w:ascii="Arial" w:hAnsi="Arial"/>
          <w:sz w:val="22"/>
          <w:szCs w:val="22"/>
        </w:rPr>
        <w:t xml:space="preserve"> </w:t>
      </w:r>
      <w:r w:rsidR="00C24D36">
        <w:rPr>
          <w:rFonts w:ascii="Arial" w:hAnsi="Arial"/>
          <w:sz w:val="22"/>
          <w:szCs w:val="22"/>
        </w:rPr>
        <w:t xml:space="preserve"> the revision to post progression costs of chemotherapy as recommend by ESC was accepted by the sponsor </w:t>
      </w:r>
      <w:r>
        <w:rPr>
          <w:rFonts w:ascii="Arial" w:hAnsi="Arial"/>
          <w:sz w:val="22"/>
          <w:szCs w:val="22"/>
        </w:rPr>
        <w:t>in the Pre-PBAC response.</w:t>
      </w:r>
    </w:p>
    <w:p w:rsidR="008B1643" w:rsidRPr="001D1949" w:rsidRDefault="008B1643" w:rsidP="004F1BEF">
      <w:pPr>
        <w:pStyle w:val="ListParagraph"/>
        <w:numPr>
          <w:ilvl w:val="0"/>
          <w:numId w:val="38"/>
        </w:numPr>
        <w:jc w:val="both"/>
        <w:rPr>
          <w:rFonts w:ascii="Arial" w:hAnsi="Arial"/>
          <w:sz w:val="22"/>
          <w:szCs w:val="22"/>
        </w:rPr>
      </w:pPr>
      <w:r w:rsidRPr="00641E60">
        <w:rPr>
          <w:rFonts w:ascii="Arial" w:hAnsi="Arial"/>
          <w:sz w:val="22"/>
          <w:szCs w:val="22"/>
          <w:u w:val="single"/>
        </w:rPr>
        <w:t>Costs associated with adverse effects requiring hospitalisation:</w:t>
      </w:r>
      <w:r>
        <w:rPr>
          <w:rFonts w:ascii="Arial" w:hAnsi="Arial"/>
          <w:sz w:val="22"/>
          <w:szCs w:val="22"/>
        </w:rPr>
        <w:t xml:space="preserve"> t</w:t>
      </w:r>
      <w:r w:rsidRPr="001D1949">
        <w:rPr>
          <w:rFonts w:ascii="Arial" w:hAnsi="Arial"/>
          <w:sz w:val="22"/>
          <w:szCs w:val="22"/>
        </w:rPr>
        <w:t xml:space="preserve">he submission </w:t>
      </w:r>
      <w:r>
        <w:rPr>
          <w:rFonts w:ascii="Arial" w:hAnsi="Arial"/>
          <w:sz w:val="22"/>
          <w:szCs w:val="22"/>
        </w:rPr>
        <w:t>did</w:t>
      </w:r>
      <w:r w:rsidRPr="001D1949">
        <w:rPr>
          <w:rFonts w:ascii="Arial" w:hAnsi="Arial"/>
          <w:sz w:val="22"/>
          <w:szCs w:val="22"/>
        </w:rPr>
        <w:t xml:space="preserve"> not consider costs associated with adverse effects that require hospitalisation. The PBAC </w:t>
      </w:r>
      <w:r w:rsidR="00C24D36">
        <w:rPr>
          <w:rFonts w:ascii="Arial" w:hAnsi="Arial"/>
          <w:sz w:val="22"/>
          <w:szCs w:val="22"/>
        </w:rPr>
        <w:t>agreed that the exclusion of these costs</w:t>
      </w:r>
      <w:r w:rsidRPr="001D1949">
        <w:rPr>
          <w:rFonts w:ascii="Arial" w:hAnsi="Arial"/>
          <w:sz w:val="22"/>
          <w:szCs w:val="22"/>
        </w:rPr>
        <w:t xml:space="preserve"> may underestimate the cost of managing adverse events. </w:t>
      </w:r>
    </w:p>
    <w:p w:rsidR="008B1643" w:rsidRPr="001D1949" w:rsidRDefault="008B1643" w:rsidP="004F1BEF">
      <w:pPr>
        <w:pStyle w:val="ListParagraph"/>
        <w:numPr>
          <w:ilvl w:val="0"/>
          <w:numId w:val="38"/>
        </w:numPr>
        <w:jc w:val="both"/>
        <w:rPr>
          <w:rFonts w:ascii="Arial" w:hAnsi="Arial"/>
          <w:sz w:val="22"/>
          <w:szCs w:val="22"/>
        </w:rPr>
      </w:pPr>
      <w:r>
        <w:rPr>
          <w:rFonts w:ascii="Arial" w:hAnsi="Arial"/>
          <w:sz w:val="22"/>
          <w:szCs w:val="22"/>
          <w:u w:val="single"/>
        </w:rPr>
        <w:t>Palliative care costs:</w:t>
      </w:r>
      <w:r w:rsidRPr="003E34D6">
        <w:rPr>
          <w:rFonts w:ascii="Arial" w:hAnsi="Arial"/>
          <w:sz w:val="22"/>
          <w:szCs w:val="22"/>
        </w:rPr>
        <w:t xml:space="preserve"> </w:t>
      </w:r>
      <w:r>
        <w:rPr>
          <w:rFonts w:ascii="Arial" w:hAnsi="Arial"/>
          <w:sz w:val="22"/>
          <w:szCs w:val="22"/>
        </w:rPr>
        <w:t>t</w:t>
      </w:r>
      <w:r w:rsidRPr="001D1949">
        <w:rPr>
          <w:rFonts w:ascii="Arial" w:hAnsi="Arial"/>
          <w:sz w:val="22"/>
          <w:szCs w:val="22"/>
        </w:rPr>
        <w:t xml:space="preserve">he submission </w:t>
      </w:r>
      <w:r>
        <w:rPr>
          <w:rFonts w:ascii="Arial" w:hAnsi="Arial"/>
          <w:sz w:val="22"/>
          <w:szCs w:val="22"/>
        </w:rPr>
        <w:t>did</w:t>
      </w:r>
      <w:r w:rsidRPr="001D1949">
        <w:rPr>
          <w:rFonts w:ascii="Arial" w:hAnsi="Arial"/>
          <w:sz w:val="22"/>
          <w:szCs w:val="22"/>
        </w:rPr>
        <w:t xml:space="preserve"> not include palliative costs in the model</w:t>
      </w:r>
      <w:r>
        <w:rPr>
          <w:rFonts w:ascii="Arial" w:hAnsi="Arial"/>
          <w:sz w:val="22"/>
          <w:szCs w:val="22"/>
        </w:rPr>
        <w:t>.</w:t>
      </w:r>
      <w:r w:rsidRPr="001D1949">
        <w:rPr>
          <w:rFonts w:ascii="Arial" w:hAnsi="Arial"/>
          <w:sz w:val="22"/>
          <w:szCs w:val="22"/>
        </w:rPr>
        <w:t xml:space="preserve"> </w:t>
      </w:r>
      <w:r>
        <w:rPr>
          <w:rFonts w:ascii="Arial" w:hAnsi="Arial"/>
          <w:sz w:val="22"/>
          <w:szCs w:val="22"/>
        </w:rPr>
        <w:t xml:space="preserve">The PBAC considered that while it is possible that </w:t>
      </w:r>
      <w:proofErr w:type="spellStart"/>
      <w:r>
        <w:rPr>
          <w:rFonts w:ascii="Arial" w:hAnsi="Arial"/>
          <w:sz w:val="22"/>
          <w:szCs w:val="22"/>
        </w:rPr>
        <w:t>regorafenib</w:t>
      </w:r>
      <w:proofErr w:type="spellEnd"/>
      <w:r>
        <w:rPr>
          <w:rFonts w:ascii="Arial" w:hAnsi="Arial"/>
          <w:sz w:val="22"/>
          <w:szCs w:val="22"/>
        </w:rPr>
        <w:t xml:space="preserve"> may delay palliation, it is also possible that</w:t>
      </w:r>
      <w:r w:rsidRPr="001D1949">
        <w:rPr>
          <w:rFonts w:ascii="Arial" w:hAnsi="Arial"/>
          <w:sz w:val="22"/>
          <w:szCs w:val="22"/>
        </w:rPr>
        <w:t xml:space="preserve"> palliative care costs may begin to accrue before treatment with </w:t>
      </w:r>
      <w:proofErr w:type="spellStart"/>
      <w:r w:rsidRPr="001D1949">
        <w:rPr>
          <w:rFonts w:ascii="Arial" w:hAnsi="Arial"/>
          <w:sz w:val="22"/>
          <w:szCs w:val="22"/>
        </w:rPr>
        <w:t>regorafenib</w:t>
      </w:r>
      <w:proofErr w:type="spellEnd"/>
      <w:r w:rsidRPr="001D1949">
        <w:rPr>
          <w:rFonts w:ascii="Arial" w:hAnsi="Arial"/>
          <w:sz w:val="22"/>
          <w:szCs w:val="22"/>
        </w:rPr>
        <w:t xml:space="preserve"> is completed</w:t>
      </w:r>
      <w:r>
        <w:rPr>
          <w:rFonts w:ascii="Arial" w:hAnsi="Arial"/>
          <w:sz w:val="22"/>
          <w:szCs w:val="22"/>
        </w:rPr>
        <w:t>, and that these should be included in the model</w:t>
      </w:r>
      <w:r w:rsidRPr="001D1949">
        <w:rPr>
          <w:rFonts w:ascii="Arial" w:hAnsi="Arial"/>
          <w:sz w:val="22"/>
          <w:szCs w:val="22"/>
        </w:rPr>
        <w:t>.</w:t>
      </w:r>
    </w:p>
    <w:p w:rsidR="00E05859" w:rsidRPr="00F20A62" w:rsidRDefault="008B1643" w:rsidP="00F20A62">
      <w:pPr>
        <w:pStyle w:val="ListParagraph"/>
        <w:numPr>
          <w:ilvl w:val="0"/>
          <w:numId w:val="38"/>
        </w:numPr>
        <w:jc w:val="both"/>
        <w:rPr>
          <w:rFonts w:ascii="Arial" w:hAnsi="Arial"/>
          <w:sz w:val="22"/>
          <w:szCs w:val="22"/>
        </w:rPr>
      </w:pPr>
      <w:r w:rsidRPr="00F20A62">
        <w:rPr>
          <w:rFonts w:ascii="Arial" w:hAnsi="Arial"/>
          <w:sz w:val="22"/>
          <w:szCs w:val="22"/>
          <w:u w:val="single"/>
        </w:rPr>
        <w:t xml:space="preserve">The use of </w:t>
      </w:r>
      <w:proofErr w:type="spellStart"/>
      <w:r w:rsidRPr="00F20A62">
        <w:rPr>
          <w:rFonts w:ascii="Arial" w:hAnsi="Arial"/>
          <w:sz w:val="22"/>
          <w:szCs w:val="22"/>
          <w:u w:val="single"/>
        </w:rPr>
        <w:t>cetuximab</w:t>
      </w:r>
      <w:proofErr w:type="spellEnd"/>
      <w:r w:rsidRPr="00F20A62">
        <w:rPr>
          <w:rFonts w:ascii="Arial" w:hAnsi="Arial"/>
          <w:sz w:val="22"/>
          <w:szCs w:val="22"/>
          <w:u w:val="single"/>
        </w:rPr>
        <w:t xml:space="preserve"> to calculate third-line treatment costs</w:t>
      </w:r>
      <w:r w:rsidRPr="00F20A62">
        <w:rPr>
          <w:rFonts w:ascii="Arial" w:hAnsi="Arial"/>
          <w:sz w:val="22"/>
          <w:szCs w:val="22"/>
        </w:rPr>
        <w:t xml:space="preserve">: the current restriction for </w:t>
      </w:r>
      <w:proofErr w:type="spellStart"/>
      <w:r w:rsidRPr="00F20A62">
        <w:rPr>
          <w:rFonts w:ascii="Arial" w:hAnsi="Arial"/>
          <w:sz w:val="22"/>
          <w:szCs w:val="22"/>
        </w:rPr>
        <w:t>cetuximab</w:t>
      </w:r>
      <w:proofErr w:type="spellEnd"/>
      <w:r w:rsidRPr="00F20A62">
        <w:rPr>
          <w:rFonts w:ascii="Arial" w:hAnsi="Arial"/>
          <w:sz w:val="22"/>
          <w:szCs w:val="22"/>
        </w:rPr>
        <w:t xml:space="preserve"> suggests that it would be used second-line rather than third-line and the requested restriction requires that anti-EGFR </w:t>
      </w:r>
      <w:r w:rsidR="006E665F" w:rsidRPr="00F20A62">
        <w:rPr>
          <w:rFonts w:ascii="Arial" w:hAnsi="Arial"/>
          <w:sz w:val="22"/>
          <w:szCs w:val="22"/>
        </w:rPr>
        <w:t xml:space="preserve">antibody </w:t>
      </w:r>
      <w:r w:rsidRPr="00F20A62">
        <w:rPr>
          <w:rFonts w:ascii="Arial" w:hAnsi="Arial"/>
          <w:sz w:val="22"/>
          <w:szCs w:val="22"/>
        </w:rPr>
        <w:t xml:space="preserve">be used prior to </w:t>
      </w:r>
      <w:proofErr w:type="spellStart"/>
      <w:r w:rsidRPr="00F20A62">
        <w:rPr>
          <w:rFonts w:ascii="Arial" w:hAnsi="Arial"/>
          <w:sz w:val="22"/>
          <w:szCs w:val="22"/>
        </w:rPr>
        <w:t>regorafenib</w:t>
      </w:r>
      <w:proofErr w:type="spellEnd"/>
      <w:r w:rsidRPr="00F20A62">
        <w:rPr>
          <w:rFonts w:ascii="Arial" w:hAnsi="Arial"/>
          <w:sz w:val="22"/>
          <w:szCs w:val="22"/>
        </w:rPr>
        <w:t xml:space="preserve">. Therefore the PBAC did not accept it appropriate to include </w:t>
      </w:r>
      <w:proofErr w:type="spellStart"/>
      <w:r w:rsidRPr="00F20A62">
        <w:rPr>
          <w:rFonts w:ascii="Arial" w:hAnsi="Arial"/>
          <w:sz w:val="22"/>
          <w:szCs w:val="22"/>
        </w:rPr>
        <w:t>cetuximab</w:t>
      </w:r>
      <w:proofErr w:type="spellEnd"/>
      <w:r w:rsidRPr="00F20A62">
        <w:rPr>
          <w:rFonts w:ascii="Arial" w:hAnsi="Arial"/>
          <w:sz w:val="22"/>
          <w:szCs w:val="22"/>
        </w:rPr>
        <w:t xml:space="preserve"> in the analysis.</w:t>
      </w:r>
      <w:r w:rsidR="00E05859" w:rsidRPr="00F20A62">
        <w:rPr>
          <w:rFonts w:ascii="Arial" w:hAnsi="Arial"/>
          <w:sz w:val="22"/>
          <w:szCs w:val="22"/>
        </w:rPr>
        <w:t xml:space="preserve"> </w:t>
      </w:r>
    </w:p>
    <w:p w:rsidR="00E05859" w:rsidRDefault="00E05859" w:rsidP="00E05859">
      <w:pPr>
        <w:ind w:left="709"/>
        <w:jc w:val="both"/>
        <w:rPr>
          <w:rFonts w:ascii="Arial" w:hAnsi="Arial"/>
          <w:sz w:val="22"/>
          <w:szCs w:val="22"/>
        </w:rPr>
      </w:pPr>
    </w:p>
    <w:p w:rsidR="008B1643" w:rsidRDefault="00E05859" w:rsidP="00B84570">
      <w:pPr>
        <w:ind w:left="709"/>
        <w:jc w:val="both"/>
        <w:rPr>
          <w:rFonts w:ascii="Arial" w:hAnsi="Arial"/>
          <w:sz w:val="22"/>
          <w:szCs w:val="22"/>
        </w:rPr>
      </w:pPr>
      <w:r w:rsidRPr="001D1949">
        <w:rPr>
          <w:rFonts w:ascii="Arial" w:hAnsi="Arial"/>
          <w:sz w:val="22"/>
          <w:szCs w:val="22"/>
        </w:rPr>
        <w:t xml:space="preserve">The PBAC considered that these issues, combined with </w:t>
      </w:r>
      <w:r w:rsidR="00C24D36">
        <w:rPr>
          <w:rFonts w:ascii="Arial" w:hAnsi="Arial"/>
          <w:sz w:val="22"/>
          <w:szCs w:val="22"/>
        </w:rPr>
        <w:t>the estimate of the small overall effect</w:t>
      </w:r>
      <w:r w:rsidR="005C2473">
        <w:rPr>
          <w:rFonts w:ascii="Arial" w:hAnsi="Arial"/>
          <w:sz w:val="22"/>
          <w:szCs w:val="22"/>
        </w:rPr>
        <w:t xml:space="preserve"> of</w:t>
      </w:r>
      <w:r w:rsidR="00C24D36">
        <w:rPr>
          <w:rFonts w:ascii="Arial" w:hAnsi="Arial"/>
          <w:sz w:val="22"/>
          <w:szCs w:val="22"/>
        </w:rPr>
        <w:t xml:space="preserve"> </w:t>
      </w:r>
      <w:proofErr w:type="spellStart"/>
      <w:r w:rsidRPr="001D1949">
        <w:rPr>
          <w:rFonts w:ascii="Arial" w:hAnsi="Arial"/>
          <w:sz w:val="22"/>
          <w:szCs w:val="22"/>
        </w:rPr>
        <w:t>regorafenib</w:t>
      </w:r>
      <w:proofErr w:type="spellEnd"/>
      <w:r w:rsidRPr="001D1949">
        <w:rPr>
          <w:rFonts w:ascii="Arial" w:hAnsi="Arial"/>
          <w:sz w:val="22"/>
          <w:szCs w:val="22"/>
        </w:rPr>
        <w:t xml:space="preserve">, resulted in an unacceptably high ICER. </w:t>
      </w:r>
      <w:r w:rsidR="00486785">
        <w:rPr>
          <w:rFonts w:ascii="Arial" w:hAnsi="Arial"/>
          <w:sz w:val="22"/>
          <w:szCs w:val="22"/>
        </w:rPr>
        <w:t>While some inputs to the model might be adjusted to address the PBAC concerns, the overall question of the likely value to patients of the small gain in survival compared to the increase in adverse effects would not be able to be resolved by amending the economic model</w:t>
      </w:r>
      <w:r w:rsidR="00F45920">
        <w:rPr>
          <w:rFonts w:ascii="Arial" w:hAnsi="Arial"/>
          <w:sz w:val="22"/>
          <w:szCs w:val="22"/>
        </w:rPr>
        <w:t>.</w:t>
      </w:r>
    </w:p>
    <w:p w:rsidR="00486785" w:rsidRPr="001D1949" w:rsidRDefault="00486785" w:rsidP="004B6CC0">
      <w:pPr>
        <w:jc w:val="both"/>
        <w:rPr>
          <w:rFonts w:ascii="Arial" w:hAnsi="Arial"/>
          <w:sz w:val="22"/>
          <w:szCs w:val="22"/>
        </w:rPr>
      </w:pPr>
    </w:p>
    <w:p w:rsidR="00B84570" w:rsidRPr="00B84570" w:rsidRDefault="00486785" w:rsidP="00B84570">
      <w:pPr>
        <w:pStyle w:val="ListParagraph"/>
        <w:numPr>
          <w:ilvl w:val="1"/>
          <w:numId w:val="25"/>
        </w:numPr>
        <w:rPr>
          <w:rFonts w:ascii="Arial" w:hAnsi="Arial"/>
          <w:sz w:val="22"/>
          <w:szCs w:val="22"/>
        </w:rPr>
      </w:pPr>
      <w:r w:rsidRPr="00B84570">
        <w:rPr>
          <w:rFonts w:ascii="Arial" w:hAnsi="Arial"/>
          <w:sz w:val="22"/>
          <w:szCs w:val="22"/>
        </w:rPr>
        <w:t>T</w:t>
      </w:r>
      <w:r w:rsidR="008B1643" w:rsidRPr="00B84570">
        <w:rPr>
          <w:rFonts w:ascii="Arial" w:hAnsi="Arial"/>
          <w:sz w:val="22"/>
          <w:szCs w:val="22"/>
        </w:rPr>
        <w:t>he PBAC noted that the sensitivity analysis showed that there is considerable variation in the financial estimates</w:t>
      </w:r>
      <w:r w:rsidRPr="00B84570">
        <w:rPr>
          <w:rFonts w:ascii="Arial" w:hAnsi="Arial"/>
          <w:sz w:val="22"/>
          <w:szCs w:val="22"/>
        </w:rPr>
        <w:t xml:space="preserve"> of cost to the Commonwealth</w:t>
      </w:r>
      <w:r w:rsidR="00B84570" w:rsidRPr="00B84570">
        <w:rPr>
          <w:rFonts w:ascii="Arial" w:hAnsi="Arial"/>
          <w:sz w:val="22"/>
          <w:szCs w:val="22"/>
        </w:rPr>
        <w:t>.</w:t>
      </w:r>
    </w:p>
    <w:p w:rsidR="00B84570" w:rsidRPr="00B84570" w:rsidRDefault="00486785" w:rsidP="00486785">
      <w:r w:rsidDel="00486785">
        <w:t xml:space="preserve"> </w:t>
      </w:r>
    </w:p>
    <w:p w:rsidR="008B1643" w:rsidRPr="001D1949" w:rsidRDefault="008B1643" w:rsidP="0019234C">
      <w:pPr>
        <w:pStyle w:val="ListParagraph"/>
        <w:numPr>
          <w:ilvl w:val="1"/>
          <w:numId w:val="25"/>
        </w:numPr>
        <w:ind w:left="709" w:hanging="709"/>
        <w:jc w:val="both"/>
        <w:rPr>
          <w:rFonts w:ascii="Arial" w:hAnsi="Arial"/>
          <w:bCs/>
          <w:sz w:val="22"/>
          <w:szCs w:val="22"/>
        </w:rPr>
      </w:pPr>
      <w:r w:rsidRPr="001D1949">
        <w:rPr>
          <w:rFonts w:ascii="Arial" w:hAnsi="Arial"/>
          <w:sz w:val="22"/>
          <w:szCs w:val="22"/>
        </w:rPr>
        <w:t>The PBAC noted that this submission is eligible for an Independent Review.</w:t>
      </w:r>
    </w:p>
    <w:p w:rsidR="008B1643" w:rsidRPr="001D1949" w:rsidRDefault="008B1643" w:rsidP="00882085">
      <w:pPr>
        <w:jc w:val="both"/>
        <w:rPr>
          <w:rFonts w:ascii="Arial" w:hAnsi="Arial"/>
          <w:sz w:val="22"/>
          <w:szCs w:val="22"/>
        </w:rPr>
      </w:pPr>
    </w:p>
    <w:p w:rsidR="008B1643" w:rsidRPr="001D1949" w:rsidRDefault="008B1643" w:rsidP="00882085">
      <w:pPr>
        <w:jc w:val="both"/>
        <w:rPr>
          <w:rFonts w:ascii="Arial" w:hAnsi="Arial"/>
          <w:b/>
          <w:sz w:val="22"/>
          <w:szCs w:val="22"/>
        </w:rPr>
      </w:pPr>
      <w:r w:rsidRPr="001D1949">
        <w:rPr>
          <w:rFonts w:ascii="Arial" w:hAnsi="Arial"/>
          <w:b/>
          <w:sz w:val="22"/>
          <w:szCs w:val="22"/>
        </w:rPr>
        <w:t>Outcome:</w:t>
      </w:r>
    </w:p>
    <w:p w:rsidR="008B1643" w:rsidRPr="001D1949" w:rsidRDefault="008B1643" w:rsidP="00882085">
      <w:pPr>
        <w:jc w:val="both"/>
        <w:rPr>
          <w:rFonts w:ascii="Arial" w:hAnsi="Arial"/>
          <w:sz w:val="22"/>
          <w:szCs w:val="22"/>
        </w:rPr>
      </w:pPr>
      <w:proofErr w:type="gramStart"/>
      <w:r w:rsidRPr="001D1949">
        <w:rPr>
          <w:rFonts w:ascii="Arial" w:hAnsi="Arial"/>
          <w:sz w:val="22"/>
          <w:szCs w:val="22"/>
        </w:rPr>
        <w:t>Rejected.</w:t>
      </w:r>
      <w:proofErr w:type="gramEnd"/>
    </w:p>
    <w:p w:rsidR="008B1643" w:rsidRDefault="008B1643" w:rsidP="00BC4B9A">
      <w:pPr>
        <w:rPr>
          <w:rFonts w:ascii="Arial" w:hAnsi="Arial"/>
        </w:rPr>
      </w:pPr>
    </w:p>
    <w:p w:rsidR="005F5D2F" w:rsidRDefault="005F5D2F" w:rsidP="005F5D2F">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5F5D2F" w:rsidRPr="00D4420F" w:rsidRDefault="005F5D2F" w:rsidP="005F5D2F">
      <w:pPr>
        <w:pStyle w:val="ListParagraph"/>
        <w:jc w:val="both"/>
        <w:rPr>
          <w:rFonts w:ascii="Arial" w:hAnsi="Arial" w:cs="Arial"/>
          <w:b/>
          <w:sz w:val="22"/>
        </w:rPr>
      </w:pPr>
    </w:p>
    <w:p w:rsidR="005F5D2F" w:rsidRPr="00D4420F" w:rsidRDefault="005F5D2F" w:rsidP="005F5D2F">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F5D2F" w:rsidRPr="00D4420F" w:rsidRDefault="005F5D2F" w:rsidP="005F5D2F">
      <w:pPr>
        <w:jc w:val="both"/>
        <w:rPr>
          <w:rFonts w:ascii="Arial" w:hAnsi="Arial" w:cs="Arial"/>
          <w:sz w:val="22"/>
        </w:rPr>
      </w:pPr>
    </w:p>
    <w:p w:rsidR="005F5D2F" w:rsidRPr="00D4420F" w:rsidRDefault="005F5D2F" w:rsidP="005F5D2F">
      <w:pPr>
        <w:pStyle w:val="ListParagraph"/>
        <w:numPr>
          <w:ilvl w:val="0"/>
          <w:numId w:val="25"/>
        </w:numPr>
        <w:jc w:val="both"/>
        <w:rPr>
          <w:rFonts w:ascii="Arial" w:hAnsi="Arial" w:cs="Arial"/>
          <w:b/>
          <w:sz w:val="22"/>
        </w:rPr>
      </w:pPr>
      <w:r w:rsidRPr="00D4420F">
        <w:rPr>
          <w:rFonts w:ascii="Arial" w:hAnsi="Arial" w:cs="Arial"/>
          <w:b/>
          <w:sz w:val="22"/>
        </w:rPr>
        <w:t>Sponsor’s Comment</w:t>
      </w:r>
    </w:p>
    <w:p w:rsidR="005F5D2F" w:rsidRDefault="005F5D2F" w:rsidP="00BC4B9A">
      <w:pPr>
        <w:rPr>
          <w:rFonts w:ascii="Arial" w:hAnsi="Arial"/>
        </w:rPr>
      </w:pPr>
    </w:p>
    <w:p w:rsidR="007160C2" w:rsidRPr="007160C2" w:rsidRDefault="007160C2" w:rsidP="007160C2">
      <w:pPr>
        <w:ind w:firstLine="720"/>
        <w:rPr>
          <w:rFonts w:ascii="Arial" w:hAnsi="Arial"/>
          <w:sz w:val="22"/>
        </w:rPr>
      </w:pPr>
      <w:r w:rsidRPr="007160C2">
        <w:rPr>
          <w:rFonts w:ascii="Arial" w:hAnsi="Arial"/>
          <w:sz w:val="22"/>
        </w:rPr>
        <w:t xml:space="preserve">The sponsor had no comment. </w:t>
      </w:r>
    </w:p>
    <w:sectPr w:rsidR="007160C2" w:rsidRPr="007160C2" w:rsidSect="00653D69">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C0B1D" w15:done="0"/>
  <w15:commentEx w15:paraId="67733066" w15:done="0"/>
  <w15:commentEx w15:paraId="4914A33A" w15:done="0"/>
  <w15:commentEx w15:paraId="37C6D0AC" w15:done="0"/>
  <w15:commentEx w15:paraId="61401FD6" w15:done="0"/>
  <w15:commentEx w15:paraId="74124E46" w15:done="0"/>
  <w15:commentEx w15:paraId="576B9A65" w15:done="0"/>
  <w15:commentEx w15:paraId="7507F74E" w15:done="0"/>
  <w15:commentEx w15:paraId="7D51C518" w15:done="0"/>
  <w15:commentEx w15:paraId="1748EACA" w15:done="0"/>
  <w15:commentEx w15:paraId="57F999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FE7" w:rsidRDefault="00997FE7">
      <w:r>
        <w:separator/>
      </w:r>
    </w:p>
  </w:endnote>
  <w:endnote w:type="continuationSeparator" w:id="0">
    <w:p w:rsidR="00997FE7" w:rsidRDefault="00997FE7">
      <w:r>
        <w:continuationSeparator/>
      </w:r>
    </w:p>
  </w:endnote>
  <w:endnote w:type="continuationNotice" w:id="1">
    <w:p w:rsidR="00997FE7" w:rsidRDefault="00997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0A0" w:firstRow="1" w:lastRow="0" w:firstColumn="1" w:lastColumn="0" w:noHBand="0" w:noVBand="0"/>
    </w:tblPr>
    <w:tblGrid>
      <w:gridCol w:w="3995"/>
      <w:gridCol w:w="1252"/>
      <w:gridCol w:w="3995"/>
    </w:tblGrid>
    <w:tr w:rsidR="00997FE7" w:rsidTr="005A3173">
      <w:trPr>
        <w:trHeight w:val="151"/>
      </w:trPr>
      <w:tc>
        <w:tcPr>
          <w:tcW w:w="2250" w:type="pct"/>
          <w:tcBorders>
            <w:top w:val="nil"/>
            <w:left w:val="nil"/>
            <w:bottom w:val="single" w:sz="4" w:space="0" w:color="4F81BD"/>
            <w:right w:val="nil"/>
          </w:tcBorders>
        </w:tcPr>
        <w:p w:rsidR="00997FE7" w:rsidRPr="00F06220" w:rsidRDefault="00997FE7" w:rsidP="005A3173">
          <w:pPr>
            <w:pStyle w:val="Header"/>
            <w:spacing w:line="276" w:lineRule="auto"/>
            <w:rPr>
              <w:rFonts w:ascii="Calibri" w:eastAsia="MS Gothic" w:hAnsi="Calibri"/>
              <w:b/>
              <w:bCs/>
              <w:color w:val="4F81BD"/>
            </w:rPr>
          </w:pPr>
        </w:p>
      </w:tc>
      <w:tc>
        <w:tcPr>
          <w:tcW w:w="500" w:type="pct"/>
          <w:vMerge w:val="restart"/>
          <w:noWrap/>
          <w:vAlign w:val="center"/>
        </w:tcPr>
        <w:p w:rsidR="00997FE7" w:rsidRPr="005A3173" w:rsidRDefault="00997FE7"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997FE7" w:rsidRPr="00F06220" w:rsidRDefault="00997FE7" w:rsidP="005A3173">
          <w:pPr>
            <w:pStyle w:val="Header"/>
            <w:spacing w:line="276" w:lineRule="auto"/>
            <w:rPr>
              <w:rFonts w:ascii="Calibri" w:eastAsia="MS Gothic" w:hAnsi="Calibri"/>
              <w:b/>
              <w:bCs/>
              <w:color w:val="4F81BD"/>
            </w:rPr>
          </w:pPr>
        </w:p>
      </w:tc>
    </w:tr>
    <w:tr w:rsidR="00997FE7" w:rsidTr="005A3173">
      <w:trPr>
        <w:trHeight w:val="150"/>
      </w:trPr>
      <w:tc>
        <w:tcPr>
          <w:tcW w:w="2250" w:type="pct"/>
          <w:tcBorders>
            <w:top w:val="single" w:sz="4" w:space="0" w:color="4F81BD"/>
            <w:left w:val="nil"/>
            <w:bottom w:val="nil"/>
            <w:right w:val="nil"/>
          </w:tcBorders>
        </w:tcPr>
        <w:p w:rsidR="00997FE7" w:rsidRPr="00F06220" w:rsidRDefault="00997FE7" w:rsidP="005A3173">
          <w:pPr>
            <w:pStyle w:val="Header"/>
            <w:spacing w:line="276" w:lineRule="auto"/>
            <w:rPr>
              <w:rFonts w:ascii="Calibri" w:eastAsia="MS Gothic" w:hAnsi="Calibri"/>
              <w:b/>
              <w:bCs/>
              <w:color w:val="4F81BD"/>
            </w:rPr>
          </w:pPr>
        </w:p>
      </w:tc>
      <w:tc>
        <w:tcPr>
          <w:tcW w:w="0" w:type="auto"/>
          <w:vMerge/>
          <w:vAlign w:val="center"/>
        </w:tcPr>
        <w:p w:rsidR="00997FE7" w:rsidRPr="005A3173" w:rsidRDefault="00997FE7" w:rsidP="005A3173">
          <w:pPr>
            <w:rPr>
              <w:rFonts w:ascii="Calibri" w:hAnsi="Calibri"/>
              <w:color w:val="365F91"/>
            </w:rPr>
          </w:pPr>
        </w:p>
      </w:tc>
      <w:tc>
        <w:tcPr>
          <w:tcW w:w="2250" w:type="pct"/>
          <w:tcBorders>
            <w:top w:val="single" w:sz="4" w:space="0" w:color="4F81BD"/>
            <w:left w:val="nil"/>
            <w:bottom w:val="nil"/>
            <w:right w:val="nil"/>
          </w:tcBorders>
        </w:tcPr>
        <w:p w:rsidR="00997FE7" w:rsidRPr="00F06220" w:rsidRDefault="00997FE7" w:rsidP="005A3173">
          <w:pPr>
            <w:pStyle w:val="Header"/>
            <w:spacing w:line="276" w:lineRule="auto"/>
            <w:rPr>
              <w:rFonts w:ascii="Calibri" w:eastAsia="MS Gothic" w:hAnsi="Calibri"/>
              <w:b/>
              <w:bCs/>
              <w:color w:val="4F81BD"/>
            </w:rPr>
          </w:pPr>
        </w:p>
      </w:tc>
    </w:tr>
  </w:tbl>
  <w:p w:rsidR="00997FE7" w:rsidRDefault="00997FE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7FE7" w:rsidRDefault="00997F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E7" w:rsidRDefault="00997FE7">
    <w:pPr>
      <w:pStyle w:val="Footer"/>
      <w:jc w:val="center"/>
      <w:rPr>
        <w:rFonts w:ascii="Arial" w:hAnsi="Arial" w:cs="Arial"/>
        <w:sz w:val="20"/>
        <w:szCs w:val="20"/>
      </w:rPr>
    </w:pPr>
  </w:p>
  <w:p w:rsidR="00997FE7" w:rsidRPr="00651169" w:rsidRDefault="00997FE7">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8F105B">
      <w:rPr>
        <w:rFonts w:ascii="Arial" w:hAnsi="Arial" w:cs="Arial"/>
        <w:noProof/>
        <w:sz w:val="20"/>
        <w:szCs w:val="20"/>
      </w:rPr>
      <w:t>9</w:t>
    </w:r>
    <w:r w:rsidRPr="00651169">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3995"/>
      <w:gridCol w:w="1252"/>
      <w:gridCol w:w="3995"/>
    </w:tblGrid>
    <w:tr w:rsidR="00997FE7" w:rsidTr="005A3173">
      <w:trPr>
        <w:trHeight w:val="151"/>
      </w:trPr>
      <w:tc>
        <w:tcPr>
          <w:tcW w:w="2250" w:type="pct"/>
          <w:tcBorders>
            <w:top w:val="nil"/>
            <w:left w:val="nil"/>
            <w:bottom w:val="single" w:sz="4" w:space="0" w:color="4F81BD"/>
            <w:right w:val="nil"/>
          </w:tcBorders>
        </w:tcPr>
        <w:p w:rsidR="00997FE7" w:rsidRPr="00F06220" w:rsidRDefault="00997FE7" w:rsidP="005A3173">
          <w:pPr>
            <w:pStyle w:val="Header"/>
            <w:spacing w:line="276" w:lineRule="auto"/>
            <w:rPr>
              <w:rFonts w:ascii="Calibri" w:eastAsia="MS Gothic" w:hAnsi="Calibri"/>
              <w:b/>
              <w:bCs/>
              <w:color w:val="4F81BD"/>
            </w:rPr>
          </w:pPr>
        </w:p>
      </w:tc>
      <w:tc>
        <w:tcPr>
          <w:tcW w:w="500" w:type="pct"/>
          <w:vMerge w:val="restart"/>
          <w:noWrap/>
          <w:vAlign w:val="center"/>
        </w:tcPr>
        <w:p w:rsidR="00997FE7" w:rsidRPr="005A3173" w:rsidRDefault="00997FE7"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997FE7" w:rsidRPr="00F06220" w:rsidRDefault="00997FE7" w:rsidP="005A3173">
          <w:pPr>
            <w:pStyle w:val="Header"/>
            <w:spacing w:line="276" w:lineRule="auto"/>
            <w:rPr>
              <w:rFonts w:ascii="Calibri" w:eastAsia="MS Gothic" w:hAnsi="Calibri"/>
              <w:b/>
              <w:bCs/>
              <w:color w:val="4F81BD"/>
            </w:rPr>
          </w:pPr>
        </w:p>
      </w:tc>
    </w:tr>
    <w:tr w:rsidR="00997FE7" w:rsidTr="005A3173">
      <w:trPr>
        <w:trHeight w:val="150"/>
      </w:trPr>
      <w:tc>
        <w:tcPr>
          <w:tcW w:w="2250" w:type="pct"/>
          <w:tcBorders>
            <w:top w:val="single" w:sz="4" w:space="0" w:color="4F81BD"/>
            <w:left w:val="nil"/>
            <w:bottom w:val="nil"/>
            <w:right w:val="nil"/>
          </w:tcBorders>
        </w:tcPr>
        <w:p w:rsidR="00997FE7" w:rsidRPr="00F06220" w:rsidRDefault="00997FE7" w:rsidP="005A3173">
          <w:pPr>
            <w:pStyle w:val="Header"/>
            <w:spacing w:line="276" w:lineRule="auto"/>
            <w:rPr>
              <w:rFonts w:ascii="Calibri" w:eastAsia="MS Gothic" w:hAnsi="Calibri"/>
              <w:b/>
              <w:bCs/>
              <w:color w:val="4F81BD"/>
            </w:rPr>
          </w:pPr>
        </w:p>
      </w:tc>
      <w:tc>
        <w:tcPr>
          <w:tcW w:w="0" w:type="auto"/>
          <w:vMerge/>
          <w:vAlign w:val="center"/>
        </w:tcPr>
        <w:p w:rsidR="00997FE7" w:rsidRPr="005A3173" w:rsidRDefault="00997FE7" w:rsidP="005A3173">
          <w:pPr>
            <w:rPr>
              <w:rFonts w:ascii="Calibri" w:hAnsi="Calibri"/>
              <w:color w:val="365F91"/>
            </w:rPr>
          </w:pPr>
        </w:p>
      </w:tc>
      <w:tc>
        <w:tcPr>
          <w:tcW w:w="2250" w:type="pct"/>
          <w:tcBorders>
            <w:top w:val="single" w:sz="4" w:space="0" w:color="4F81BD"/>
            <w:left w:val="nil"/>
            <w:bottom w:val="nil"/>
            <w:right w:val="nil"/>
          </w:tcBorders>
        </w:tcPr>
        <w:p w:rsidR="00997FE7" w:rsidRPr="00F06220" w:rsidRDefault="00997FE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0A0" w:firstRow="1" w:lastRow="0" w:firstColumn="1" w:lastColumn="0" w:noHBand="0" w:noVBand="0"/>
    </w:tblPr>
    <w:tblGrid>
      <w:gridCol w:w="3995"/>
      <w:gridCol w:w="1252"/>
      <w:gridCol w:w="3995"/>
    </w:tblGrid>
    <w:tr w:rsidR="00997FE7" w:rsidTr="005A3173">
      <w:trPr>
        <w:trHeight w:val="151"/>
      </w:trPr>
      <w:tc>
        <w:tcPr>
          <w:tcW w:w="2250" w:type="pct"/>
          <w:tcBorders>
            <w:top w:val="nil"/>
            <w:left w:val="nil"/>
            <w:bottom w:val="single" w:sz="4" w:space="0" w:color="4F81BD"/>
            <w:right w:val="nil"/>
          </w:tcBorders>
        </w:tcPr>
        <w:p w:rsidR="00997FE7" w:rsidRPr="00F06220" w:rsidRDefault="00997FE7" w:rsidP="005A3173">
          <w:pPr>
            <w:pStyle w:val="Header"/>
            <w:spacing w:line="276" w:lineRule="auto"/>
            <w:rPr>
              <w:rFonts w:ascii="Calibri" w:eastAsia="MS Gothic" w:hAnsi="Calibri"/>
              <w:b/>
              <w:bCs/>
              <w:color w:val="4F81BD"/>
            </w:rPr>
          </w:pPr>
        </w:p>
      </w:tc>
      <w:tc>
        <w:tcPr>
          <w:tcW w:w="500" w:type="pct"/>
          <w:vMerge w:val="restart"/>
          <w:noWrap/>
          <w:vAlign w:val="center"/>
        </w:tcPr>
        <w:p w:rsidR="00997FE7" w:rsidRPr="005A3173" w:rsidRDefault="00997FE7"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997FE7" w:rsidRPr="00F06220" w:rsidRDefault="00997FE7" w:rsidP="005A3173">
          <w:pPr>
            <w:pStyle w:val="Header"/>
            <w:spacing w:line="276" w:lineRule="auto"/>
            <w:rPr>
              <w:rFonts w:ascii="Calibri" w:eastAsia="MS Gothic" w:hAnsi="Calibri"/>
              <w:b/>
              <w:bCs/>
              <w:color w:val="4F81BD"/>
            </w:rPr>
          </w:pPr>
        </w:p>
      </w:tc>
    </w:tr>
    <w:tr w:rsidR="00997FE7" w:rsidTr="005A3173">
      <w:trPr>
        <w:trHeight w:val="150"/>
      </w:trPr>
      <w:tc>
        <w:tcPr>
          <w:tcW w:w="2250" w:type="pct"/>
          <w:tcBorders>
            <w:top w:val="single" w:sz="4" w:space="0" w:color="4F81BD"/>
            <w:left w:val="nil"/>
            <w:bottom w:val="nil"/>
            <w:right w:val="nil"/>
          </w:tcBorders>
        </w:tcPr>
        <w:p w:rsidR="00997FE7" w:rsidRPr="00F06220" w:rsidRDefault="00997FE7" w:rsidP="005A3173">
          <w:pPr>
            <w:pStyle w:val="Header"/>
            <w:spacing w:line="276" w:lineRule="auto"/>
            <w:rPr>
              <w:rFonts w:ascii="Calibri" w:eastAsia="MS Gothic" w:hAnsi="Calibri"/>
              <w:b/>
              <w:bCs/>
              <w:color w:val="4F81BD"/>
            </w:rPr>
          </w:pPr>
        </w:p>
      </w:tc>
      <w:tc>
        <w:tcPr>
          <w:tcW w:w="0" w:type="auto"/>
          <w:vMerge/>
          <w:vAlign w:val="center"/>
        </w:tcPr>
        <w:p w:rsidR="00997FE7" w:rsidRPr="005A3173" w:rsidRDefault="00997FE7" w:rsidP="005A3173">
          <w:pPr>
            <w:rPr>
              <w:rFonts w:ascii="Calibri" w:hAnsi="Calibri"/>
              <w:color w:val="365F91"/>
            </w:rPr>
          </w:pPr>
        </w:p>
      </w:tc>
      <w:tc>
        <w:tcPr>
          <w:tcW w:w="2250" w:type="pct"/>
          <w:tcBorders>
            <w:top w:val="single" w:sz="4" w:space="0" w:color="4F81BD"/>
            <w:left w:val="nil"/>
            <w:bottom w:val="nil"/>
            <w:right w:val="nil"/>
          </w:tcBorders>
        </w:tcPr>
        <w:p w:rsidR="00997FE7" w:rsidRPr="00F06220" w:rsidRDefault="00997FE7" w:rsidP="005A3173">
          <w:pPr>
            <w:pStyle w:val="Header"/>
            <w:spacing w:line="276" w:lineRule="auto"/>
            <w:rPr>
              <w:rFonts w:ascii="Calibri" w:eastAsia="MS Gothic" w:hAnsi="Calibri"/>
              <w:b/>
              <w:bCs/>
              <w:color w:val="4F81BD"/>
            </w:rPr>
          </w:pPr>
        </w:p>
      </w:tc>
    </w:tr>
  </w:tbl>
  <w:p w:rsidR="00997FE7" w:rsidRPr="007C0F57" w:rsidRDefault="00997FE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97FE7" w:rsidRPr="007C0F57" w:rsidRDefault="00997FE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FE7" w:rsidRDefault="00997FE7">
      <w:r>
        <w:separator/>
      </w:r>
    </w:p>
  </w:footnote>
  <w:footnote w:type="continuationSeparator" w:id="0">
    <w:p w:rsidR="00997FE7" w:rsidRDefault="00997FE7">
      <w:r>
        <w:continuationSeparator/>
      </w:r>
    </w:p>
  </w:footnote>
  <w:footnote w:type="continuationNotice" w:id="1">
    <w:p w:rsidR="00997FE7" w:rsidRDefault="00997F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0A0" w:firstRow="1" w:lastRow="0" w:firstColumn="1" w:lastColumn="0" w:noHBand="0" w:noVBand="0"/>
    </w:tblPr>
    <w:tblGrid>
      <w:gridCol w:w="4038"/>
      <w:gridCol w:w="1252"/>
      <w:gridCol w:w="3836"/>
    </w:tblGrid>
    <w:tr w:rsidR="00997FE7" w:rsidRPr="008E0D90" w:rsidTr="00A06225">
      <w:trPr>
        <w:trHeight w:val="151"/>
      </w:trPr>
      <w:tc>
        <w:tcPr>
          <w:tcW w:w="2389" w:type="pct"/>
          <w:tcBorders>
            <w:top w:val="nil"/>
            <w:left w:val="nil"/>
            <w:bottom w:val="single" w:sz="4" w:space="0" w:color="4F81BD"/>
            <w:right w:val="nil"/>
          </w:tcBorders>
        </w:tcPr>
        <w:p w:rsidR="00997FE7" w:rsidRPr="00F06220" w:rsidRDefault="00997FE7">
          <w:pPr>
            <w:pStyle w:val="Header"/>
            <w:spacing w:line="276" w:lineRule="auto"/>
            <w:rPr>
              <w:rFonts w:ascii="Cambria" w:eastAsia="MS Gothic" w:hAnsi="Cambria"/>
              <w:b/>
              <w:bCs/>
              <w:color w:val="4F81BD"/>
            </w:rPr>
          </w:pPr>
        </w:p>
      </w:tc>
      <w:tc>
        <w:tcPr>
          <w:tcW w:w="333" w:type="pct"/>
          <w:vMerge w:val="restart"/>
          <w:noWrap/>
          <w:vAlign w:val="center"/>
        </w:tcPr>
        <w:p w:rsidR="00997FE7" w:rsidRPr="00A06225" w:rsidRDefault="00997FE7" w:rsidP="00A06225">
          <w:pPr>
            <w:pStyle w:val="MediumGrid21"/>
            <w:rPr>
              <w:rFonts w:ascii="Cambria" w:hAnsi="Cambria"/>
              <w:color w:val="4F81BD"/>
              <w:szCs w:val="20"/>
              <w:lang w:eastAsia="en-US"/>
            </w:rPr>
          </w:pPr>
          <w:r w:rsidRPr="00A06225">
            <w:rPr>
              <w:rFonts w:ascii="Cambria" w:hAnsi="Cambria"/>
              <w:color w:val="4F81BD"/>
              <w:lang w:eastAsia="en-US"/>
            </w:rPr>
            <w:t>[Type text]</w:t>
          </w:r>
        </w:p>
      </w:tc>
      <w:tc>
        <w:tcPr>
          <w:tcW w:w="2278" w:type="pct"/>
          <w:tcBorders>
            <w:top w:val="nil"/>
            <w:left w:val="nil"/>
            <w:bottom w:val="single" w:sz="4" w:space="0" w:color="4F81BD"/>
            <w:right w:val="nil"/>
          </w:tcBorders>
        </w:tcPr>
        <w:p w:rsidR="00997FE7" w:rsidRPr="00F06220" w:rsidRDefault="00997FE7">
          <w:pPr>
            <w:pStyle w:val="Header"/>
            <w:spacing w:line="276" w:lineRule="auto"/>
            <w:rPr>
              <w:rFonts w:ascii="Cambria" w:eastAsia="MS Gothic" w:hAnsi="Cambria"/>
              <w:b/>
              <w:bCs/>
              <w:color w:val="4F81BD"/>
            </w:rPr>
          </w:pPr>
        </w:p>
      </w:tc>
    </w:tr>
    <w:tr w:rsidR="00997FE7" w:rsidRPr="008E0D90" w:rsidTr="00A06225">
      <w:trPr>
        <w:trHeight w:val="150"/>
      </w:trPr>
      <w:tc>
        <w:tcPr>
          <w:tcW w:w="2389" w:type="pct"/>
          <w:tcBorders>
            <w:top w:val="single" w:sz="4" w:space="0" w:color="4F81BD"/>
            <w:left w:val="nil"/>
            <w:bottom w:val="nil"/>
            <w:right w:val="nil"/>
          </w:tcBorders>
        </w:tcPr>
        <w:p w:rsidR="00997FE7" w:rsidRPr="00F06220" w:rsidRDefault="00997FE7">
          <w:pPr>
            <w:pStyle w:val="Header"/>
            <w:spacing w:line="276" w:lineRule="auto"/>
            <w:rPr>
              <w:rFonts w:ascii="Cambria" w:eastAsia="MS Gothic" w:hAnsi="Cambria"/>
              <w:b/>
              <w:bCs/>
              <w:color w:val="4F81BD"/>
            </w:rPr>
          </w:pPr>
        </w:p>
      </w:tc>
      <w:tc>
        <w:tcPr>
          <w:tcW w:w="0" w:type="auto"/>
          <w:vMerge/>
          <w:vAlign w:val="center"/>
        </w:tcPr>
        <w:p w:rsidR="00997FE7" w:rsidRPr="00A06225" w:rsidRDefault="00997FE7">
          <w:pPr>
            <w:rPr>
              <w:rFonts w:ascii="Cambria" w:hAnsi="Cambria"/>
              <w:color w:val="4F81BD"/>
            </w:rPr>
          </w:pPr>
        </w:p>
      </w:tc>
      <w:tc>
        <w:tcPr>
          <w:tcW w:w="2278" w:type="pct"/>
          <w:tcBorders>
            <w:top w:val="single" w:sz="4" w:space="0" w:color="4F81BD"/>
            <w:left w:val="nil"/>
            <w:bottom w:val="nil"/>
            <w:right w:val="nil"/>
          </w:tcBorders>
        </w:tcPr>
        <w:p w:rsidR="00997FE7" w:rsidRPr="00F06220" w:rsidRDefault="00997FE7">
          <w:pPr>
            <w:pStyle w:val="Header"/>
            <w:spacing w:line="276" w:lineRule="auto"/>
            <w:rPr>
              <w:rFonts w:ascii="Cambria" w:eastAsia="MS Gothic" w:hAnsi="Cambria"/>
              <w:b/>
              <w:bCs/>
              <w:color w:val="4F81BD"/>
            </w:rPr>
          </w:pPr>
        </w:p>
      </w:tc>
    </w:tr>
  </w:tbl>
  <w:p w:rsidR="00997FE7" w:rsidRDefault="00997F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E7" w:rsidRPr="00DF217D" w:rsidRDefault="00997FE7" w:rsidP="005F5D2F">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997FE7" w:rsidRPr="00DF217D" w:rsidRDefault="00997FE7"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hint="default"/>
      </w:rPr>
    </w:lvl>
    <w:lvl w:ilvl="1" w:tplc="0C090003" w:tentative="1">
      <w:start w:val="1"/>
      <w:numFmt w:val="bullet"/>
      <w:lvlText w:val="o"/>
      <w:lvlJc w:val="left"/>
      <w:pPr>
        <w:ind w:left="1860" w:hanging="360"/>
      </w:pPr>
      <w:rPr>
        <w:rFonts w:ascii="Courier New" w:hAnsi="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2BA28CE"/>
    <w:multiLevelType w:val="hybridMultilevel"/>
    <w:tmpl w:val="B5AC12B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637D3C"/>
    <w:multiLevelType w:val="hybridMultilevel"/>
    <w:tmpl w:val="5CD0F9C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cs="Times New Roman" w:hint="default"/>
        <w:b w:val="0"/>
      </w:rPr>
    </w:lvl>
    <w:lvl w:ilvl="1" w:tplc="D0EC86D2" w:tentative="1">
      <w:start w:val="1"/>
      <w:numFmt w:val="lowerLetter"/>
      <w:lvlText w:val="%2."/>
      <w:lvlJc w:val="left"/>
      <w:pPr>
        <w:tabs>
          <w:tab w:val="num" w:pos="1440"/>
        </w:tabs>
        <w:ind w:left="1440" w:hanging="360"/>
      </w:pPr>
      <w:rPr>
        <w:rFonts w:cs="Times New Roman"/>
      </w:rPr>
    </w:lvl>
    <w:lvl w:ilvl="2" w:tplc="8D14A0C2" w:tentative="1">
      <w:start w:val="1"/>
      <w:numFmt w:val="lowerRoman"/>
      <w:lvlText w:val="%3."/>
      <w:lvlJc w:val="right"/>
      <w:pPr>
        <w:tabs>
          <w:tab w:val="num" w:pos="2160"/>
        </w:tabs>
        <w:ind w:left="2160" w:hanging="180"/>
      </w:pPr>
      <w:rPr>
        <w:rFonts w:cs="Times New Roman"/>
      </w:rPr>
    </w:lvl>
    <w:lvl w:ilvl="3" w:tplc="C4BE3906" w:tentative="1">
      <w:start w:val="1"/>
      <w:numFmt w:val="decimal"/>
      <w:lvlText w:val="%4."/>
      <w:lvlJc w:val="left"/>
      <w:pPr>
        <w:tabs>
          <w:tab w:val="num" w:pos="2880"/>
        </w:tabs>
        <w:ind w:left="2880" w:hanging="360"/>
      </w:pPr>
      <w:rPr>
        <w:rFonts w:cs="Times New Roman"/>
      </w:rPr>
    </w:lvl>
    <w:lvl w:ilvl="4" w:tplc="1D220490" w:tentative="1">
      <w:start w:val="1"/>
      <w:numFmt w:val="lowerLetter"/>
      <w:lvlText w:val="%5."/>
      <w:lvlJc w:val="left"/>
      <w:pPr>
        <w:tabs>
          <w:tab w:val="num" w:pos="3600"/>
        </w:tabs>
        <w:ind w:left="3600" w:hanging="360"/>
      </w:pPr>
      <w:rPr>
        <w:rFonts w:cs="Times New Roman"/>
      </w:rPr>
    </w:lvl>
    <w:lvl w:ilvl="5" w:tplc="676CFA04" w:tentative="1">
      <w:start w:val="1"/>
      <w:numFmt w:val="lowerRoman"/>
      <w:lvlText w:val="%6."/>
      <w:lvlJc w:val="right"/>
      <w:pPr>
        <w:tabs>
          <w:tab w:val="num" w:pos="4320"/>
        </w:tabs>
        <w:ind w:left="4320" w:hanging="180"/>
      </w:pPr>
      <w:rPr>
        <w:rFonts w:cs="Times New Roman"/>
      </w:rPr>
    </w:lvl>
    <w:lvl w:ilvl="6" w:tplc="0558725C" w:tentative="1">
      <w:start w:val="1"/>
      <w:numFmt w:val="decimal"/>
      <w:lvlText w:val="%7."/>
      <w:lvlJc w:val="left"/>
      <w:pPr>
        <w:tabs>
          <w:tab w:val="num" w:pos="5040"/>
        </w:tabs>
        <w:ind w:left="5040" w:hanging="360"/>
      </w:pPr>
      <w:rPr>
        <w:rFonts w:cs="Times New Roman"/>
      </w:rPr>
    </w:lvl>
    <w:lvl w:ilvl="7" w:tplc="ADE47330" w:tentative="1">
      <w:start w:val="1"/>
      <w:numFmt w:val="lowerLetter"/>
      <w:lvlText w:val="%8."/>
      <w:lvlJc w:val="left"/>
      <w:pPr>
        <w:tabs>
          <w:tab w:val="num" w:pos="5760"/>
        </w:tabs>
        <w:ind w:left="5760" w:hanging="360"/>
      </w:pPr>
      <w:rPr>
        <w:rFonts w:cs="Times New Roman"/>
      </w:rPr>
    </w:lvl>
    <w:lvl w:ilvl="8" w:tplc="8346BE84" w:tentative="1">
      <w:start w:val="1"/>
      <w:numFmt w:val="lowerRoman"/>
      <w:lvlText w:val="%9."/>
      <w:lvlJc w:val="right"/>
      <w:pPr>
        <w:tabs>
          <w:tab w:val="num" w:pos="6480"/>
        </w:tabs>
        <w:ind w:left="6480" w:hanging="180"/>
      </w:pPr>
      <w:rPr>
        <w:rFonts w:cs="Times New Roman"/>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1CF3FFB"/>
    <w:multiLevelType w:val="hybridMultilevel"/>
    <w:tmpl w:val="90AC86D6"/>
    <w:lvl w:ilvl="0" w:tplc="0C090001">
      <w:start w:val="1"/>
      <w:numFmt w:val="bullet"/>
      <w:lvlText w:val=""/>
      <w:lvlJc w:val="left"/>
      <w:pPr>
        <w:ind w:left="2640" w:hanging="360"/>
      </w:pPr>
      <w:rPr>
        <w:rFonts w:ascii="Symbol" w:hAnsi="Symbol" w:hint="default"/>
      </w:rPr>
    </w:lvl>
    <w:lvl w:ilvl="1" w:tplc="0C090003" w:tentative="1">
      <w:start w:val="1"/>
      <w:numFmt w:val="bullet"/>
      <w:lvlText w:val="o"/>
      <w:lvlJc w:val="left"/>
      <w:pPr>
        <w:ind w:left="3360" w:hanging="360"/>
      </w:pPr>
      <w:rPr>
        <w:rFonts w:ascii="Courier New" w:hAnsi="Courier New" w:cs="Courier New" w:hint="default"/>
      </w:rPr>
    </w:lvl>
    <w:lvl w:ilvl="2" w:tplc="0C090005" w:tentative="1">
      <w:start w:val="1"/>
      <w:numFmt w:val="bullet"/>
      <w:lvlText w:val=""/>
      <w:lvlJc w:val="left"/>
      <w:pPr>
        <w:ind w:left="4080" w:hanging="360"/>
      </w:pPr>
      <w:rPr>
        <w:rFonts w:ascii="Wingdings" w:hAnsi="Wingdings" w:hint="default"/>
      </w:rPr>
    </w:lvl>
    <w:lvl w:ilvl="3" w:tplc="0C090001" w:tentative="1">
      <w:start w:val="1"/>
      <w:numFmt w:val="bullet"/>
      <w:lvlText w:val=""/>
      <w:lvlJc w:val="left"/>
      <w:pPr>
        <w:ind w:left="4800" w:hanging="360"/>
      </w:pPr>
      <w:rPr>
        <w:rFonts w:ascii="Symbol" w:hAnsi="Symbol" w:hint="default"/>
      </w:rPr>
    </w:lvl>
    <w:lvl w:ilvl="4" w:tplc="0C090003" w:tentative="1">
      <w:start w:val="1"/>
      <w:numFmt w:val="bullet"/>
      <w:lvlText w:val="o"/>
      <w:lvlJc w:val="left"/>
      <w:pPr>
        <w:ind w:left="5520" w:hanging="360"/>
      </w:pPr>
      <w:rPr>
        <w:rFonts w:ascii="Courier New" w:hAnsi="Courier New" w:cs="Courier New" w:hint="default"/>
      </w:rPr>
    </w:lvl>
    <w:lvl w:ilvl="5" w:tplc="0C090005" w:tentative="1">
      <w:start w:val="1"/>
      <w:numFmt w:val="bullet"/>
      <w:lvlText w:val=""/>
      <w:lvlJc w:val="left"/>
      <w:pPr>
        <w:ind w:left="6240" w:hanging="360"/>
      </w:pPr>
      <w:rPr>
        <w:rFonts w:ascii="Wingdings" w:hAnsi="Wingdings" w:hint="default"/>
      </w:rPr>
    </w:lvl>
    <w:lvl w:ilvl="6" w:tplc="0C090001" w:tentative="1">
      <w:start w:val="1"/>
      <w:numFmt w:val="bullet"/>
      <w:lvlText w:val=""/>
      <w:lvlJc w:val="left"/>
      <w:pPr>
        <w:ind w:left="6960" w:hanging="360"/>
      </w:pPr>
      <w:rPr>
        <w:rFonts w:ascii="Symbol" w:hAnsi="Symbol" w:hint="default"/>
      </w:rPr>
    </w:lvl>
    <w:lvl w:ilvl="7" w:tplc="0C090003" w:tentative="1">
      <w:start w:val="1"/>
      <w:numFmt w:val="bullet"/>
      <w:lvlText w:val="o"/>
      <w:lvlJc w:val="left"/>
      <w:pPr>
        <w:ind w:left="7680" w:hanging="360"/>
      </w:pPr>
      <w:rPr>
        <w:rFonts w:ascii="Courier New" w:hAnsi="Courier New" w:cs="Courier New" w:hint="default"/>
      </w:rPr>
    </w:lvl>
    <w:lvl w:ilvl="8" w:tplc="0C090005" w:tentative="1">
      <w:start w:val="1"/>
      <w:numFmt w:val="bullet"/>
      <w:lvlText w:val=""/>
      <w:lvlJc w:val="left"/>
      <w:pPr>
        <w:ind w:left="8400" w:hanging="360"/>
      </w:pPr>
      <w:rPr>
        <w:rFonts w:ascii="Wingdings" w:hAnsi="Wingding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cs="Times New Roman"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rPr>
        <w:rFonts w:cs="Times New Roman"/>
      </w:rPr>
    </w:lvl>
    <w:lvl w:ilvl="3" w:tplc="4C4A2488" w:tentative="1">
      <w:start w:val="1"/>
      <w:numFmt w:val="decimal"/>
      <w:lvlText w:val="%4."/>
      <w:lvlJc w:val="left"/>
      <w:pPr>
        <w:tabs>
          <w:tab w:val="num" w:pos="2880"/>
        </w:tabs>
        <w:ind w:left="2880" w:hanging="360"/>
      </w:pPr>
      <w:rPr>
        <w:rFonts w:cs="Times New Roman"/>
      </w:rPr>
    </w:lvl>
    <w:lvl w:ilvl="4" w:tplc="E2046DE8" w:tentative="1">
      <w:start w:val="1"/>
      <w:numFmt w:val="lowerLetter"/>
      <w:lvlText w:val="%5."/>
      <w:lvlJc w:val="left"/>
      <w:pPr>
        <w:tabs>
          <w:tab w:val="num" w:pos="3600"/>
        </w:tabs>
        <w:ind w:left="3600" w:hanging="360"/>
      </w:pPr>
      <w:rPr>
        <w:rFonts w:cs="Times New Roman"/>
      </w:rPr>
    </w:lvl>
    <w:lvl w:ilvl="5" w:tplc="FC2E3076" w:tentative="1">
      <w:start w:val="1"/>
      <w:numFmt w:val="lowerRoman"/>
      <w:lvlText w:val="%6."/>
      <w:lvlJc w:val="right"/>
      <w:pPr>
        <w:tabs>
          <w:tab w:val="num" w:pos="4320"/>
        </w:tabs>
        <w:ind w:left="4320" w:hanging="180"/>
      </w:pPr>
      <w:rPr>
        <w:rFonts w:cs="Times New Roman"/>
      </w:rPr>
    </w:lvl>
    <w:lvl w:ilvl="6" w:tplc="7C7E4D22" w:tentative="1">
      <w:start w:val="1"/>
      <w:numFmt w:val="decimal"/>
      <w:lvlText w:val="%7."/>
      <w:lvlJc w:val="left"/>
      <w:pPr>
        <w:tabs>
          <w:tab w:val="num" w:pos="5040"/>
        </w:tabs>
        <w:ind w:left="5040" w:hanging="360"/>
      </w:pPr>
      <w:rPr>
        <w:rFonts w:cs="Times New Roman"/>
      </w:rPr>
    </w:lvl>
    <w:lvl w:ilvl="7" w:tplc="8A88F2DA" w:tentative="1">
      <w:start w:val="1"/>
      <w:numFmt w:val="lowerLetter"/>
      <w:lvlText w:val="%8."/>
      <w:lvlJc w:val="left"/>
      <w:pPr>
        <w:tabs>
          <w:tab w:val="num" w:pos="5760"/>
        </w:tabs>
        <w:ind w:left="5760" w:hanging="360"/>
      </w:pPr>
      <w:rPr>
        <w:rFonts w:cs="Times New Roman"/>
      </w:rPr>
    </w:lvl>
    <w:lvl w:ilvl="8" w:tplc="4BF21BD6" w:tentative="1">
      <w:start w:val="1"/>
      <w:numFmt w:val="lowerRoman"/>
      <w:lvlText w:val="%9."/>
      <w:lvlJc w:val="right"/>
      <w:pPr>
        <w:tabs>
          <w:tab w:val="num" w:pos="6480"/>
        </w:tabs>
        <w:ind w:left="6480" w:hanging="180"/>
      </w:pPr>
      <w:rPr>
        <w:rFonts w:cs="Times New Roman"/>
      </w:rPr>
    </w:lvl>
  </w:abstractNum>
  <w:abstractNum w:abstractNumId="1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7">
    <w:nsid w:val="3D0D5913"/>
    <w:multiLevelType w:val="hybridMultilevel"/>
    <w:tmpl w:val="DB7C9EEC"/>
    <w:lvl w:ilvl="0" w:tplc="01B82BD6">
      <w:start w:val="1"/>
      <w:numFmt w:val="lowerLetter"/>
      <w:lvlText w:val="%1)"/>
      <w:lvlJc w:val="left"/>
      <w:pPr>
        <w:tabs>
          <w:tab w:val="num" w:pos="720"/>
        </w:tabs>
        <w:ind w:left="720" w:hanging="360"/>
      </w:pPr>
      <w:rPr>
        <w:rFonts w:cs="Times New Roman" w:hint="default"/>
      </w:rPr>
    </w:lvl>
    <w:lvl w:ilvl="1" w:tplc="0DA0F9B6" w:tentative="1">
      <w:start w:val="1"/>
      <w:numFmt w:val="lowerLetter"/>
      <w:lvlText w:val="%2."/>
      <w:lvlJc w:val="left"/>
      <w:pPr>
        <w:tabs>
          <w:tab w:val="num" w:pos="1440"/>
        </w:tabs>
        <w:ind w:left="1440" w:hanging="360"/>
      </w:pPr>
      <w:rPr>
        <w:rFonts w:cs="Times New Roman"/>
      </w:rPr>
    </w:lvl>
    <w:lvl w:ilvl="2" w:tplc="6028710A" w:tentative="1">
      <w:start w:val="1"/>
      <w:numFmt w:val="lowerRoman"/>
      <w:lvlText w:val="%3."/>
      <w:lvlJc w:val="right"/>
      <w:pPr>
        <w:tabs>
          <w:tab w:val="num" w:pos="2160"/>
        </w:tabs>
        <w:ind w:left="2160" w:hanging="180"/>
      </w:pPr>
      <w:rPr>
        <w:rFonts w:cs="Times New Roman"/>
      </w:rPr>
    </w:lvl>
    <w:lvl w:ilvl="3" w:tplc="1FD486B0" w:tentative="1">
      <w:start w:val="1"/>
      <w:numFmt w:val="decimal"/>
      <w:lvlText w:val="%4."/>
      <w:lvlJc w:val="left"/>
      <w:pPr>
        <w:tabs>
          <w:tab w:val="num" w:pos="2880"/>
        </w:tabs>
        <w:ind w:left="2880" w:hanging="360"/>
      </w:pPr>
      <w:rPr>
        <w:rFonts w:cs="Times New Roman"/>
      </w:rPr>
    </w:lvl>
    <w:lvl w:ilvl="4" w:tplc="9BE2B8D4" w:tentative="1">
      <w:start w:val="1"/>
      <w:numFmt w:val="lowerLetter"/>
      <w:lvlText w:val="%5."/>
      <w:lvlJc w:val="left"/>
      <w:pPr>
        <w:tabs>
          <w:tab w:val="num" w:pos="3600"/>
        </w:tabs>
        <w:ind w:left="3600" w:hanging="360"/>
      </w:pPr>
      <w:rPr>
        <w:rFonts w:cs="Times New Roman"/>
      </w:rPr>
    </w:lvl>
    <w:lvl w:ilvl="5" w:tplc="43E8AAE6" w:tentative="1">
      <w:start w:val="1"/>
      <w:numFmt w:val="lowerRoman"/>
      <w:lvlText w:val="%6."/>
      <w:lvlJc w:val="right"/>
      <w:pPr>
        <w:tabs>
          <w:tab w:val="num" w:pos="4320"/>
        </w:tabs>
        <w:ind w:left="4320" w:hanging="180"/>
      </w:pPr>
      <w:rPr>
        <w:rFonts w:cs="Times New Roman"/>
      </w:rPr>
    </w:lvl>
    <w:lvl w:ilvl="6" w:tplc="BEA67336" w:tentative="1">
      <w:start w:val="1"/>
      <w:numFmt w:val="decimal"/>
      <w:lvlText w:val="%7."/>
      <w:lvlJc w:val="left"/>
      <w:pPr>
        <w:tabs>
          <w:tab w:val="num" w:pos="5040"/>
        </w:tabs>
        <w:ind w:left="5040" w:hanging="360"/>
      </w:pPr>
      <w:rPr>
        <w:rFonts w:cs="Times New Roman"/>
      </w:rPr>
    </w:lvl>
    <w:lvl w:ilvl="7" w:tplc="3ACE5E54" w:tentative="1">
      <w:start w:val="1"/>
      <w:numFmt w:val="lowerLetter"/>
      <w:lvlText w:val="%8."/>
      <w:lvlJc w:val="left"/>
      <w:pPr>
        <w:tabs>
          <w:tab w:val="num" w:pos="5760"/>
        </w:tabs>
        <w:ind w:left="5760" w:hanging="360"/>
      </w:pPr>
      <w:rPr>
        <w:rFonts w:cs="Times New Roman"/>
      </w:rPr>
    </w:lvl>
    <w:lvl w:ilvl="8" w:tplc="53A2C09C" w:tentative="1">
      <w:start w:val="1"/>
      <w:numFmt w:val="lowerRoman"/>
      <w:lvlText w:val="%9."/>
      <w:lvlJc w:val="right"/>
      <w:pPr>
        <w:tabs>
          <w:tab w:val="num" w:pos="6480"/>
        </w:tabs>
        <w:ind w:left="6480" w:hanging="180"/>
      </w:pPr>
      <w:rPr>
        <w:rFonts w:cs="Times New Roman"/>
      </w:r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rFonts w:cs="Times New Roman"/>
        <w:color w:val="auto"/>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nsid w:val="51822598"/>
    <w:multiLevelType w:val="multilevel"/>
    <w:tmpl w:val="A87079A4"/>
    <w:lvl w:ilvl="0">
      <w:start w:val="1"/>
      <w:numFmt w:val="lowerLetter"/>
      <w:lvlText w:val="(%1)"/>
      <w:lvlJc w:val="left"/>
      <w:pPr>
        <w:ind w:left="1788" w:hanging="795"/>
      </w:pPr>
      <w:rPr>
        <w:rFonts w:cs="Times New Roman" w:hint="default"/>
      </w:rPr>
    </w:lvl>
    <w:lvl w:ilvl="1" w:tentative="1">
      <w:start w:val="1"/>
      <w:numFmt w:val="lowerLetter"/>
      <w:lvlText w:val="%2."/>
      <w:lvlJc w:val="left"/>
      <w:pPr>
        <w:ind w:left="2073" w:hanging="360"/>
      </w:pPr>
      <w:rPr>
        <w:rFonts w:cs="Times New Roman"/>
      </w:rPr>
    </w:lvl>
    <w:lvl w:ilvl="2" w:tentative="1">
      <w:start w:val="1"/>
      <w:numFmt w:val="lowerRoman"/>
      <w:lvlText w:val="%3."/>
      <w:lvlJc w:val="right"/>
      <w:pPr>
        <w:ind w:left="2793" w:hanging="180"/>
      </w:pPr>
      <w:rPr>
        <w:rFonts w:cs="Times New Roman"/>
      </w:rPr>
    </w:lvl>
    <w:lvl w:ilvl="3" w:tentative="1">
      <w:start w:val="1"/>
      <w:numFmt w:val="decimal"/>
      <w:lvlText w:val="%4."/>
      <w:lvlJc w:val="left"/>
      <w:pPr>
        <w:ind w:left="3513" w:hanging="360"/>
      </w:pPr>
      <w:rPr>
        <w:rFonts w:cs="Times New Roman"/>
      </w:rPr>
    </w:lvl>
    <w:lvl w:ilvl="4" w:tentative="1">
      <w:start w:val="1"/>
      <w:numFmt w:val="lowerLetter"/>
      <w:lvlText w:val="%5."/>
      <w:lvlJc w:val="left"/>
      <w:pPr>
        <w:ind w:left="4233" w:hanging="360"/>
      </w:pPr>
      <w:rPr>
        <w:rFonts w:cs="Times New Roman"/>
      </w:rPr>
    </w:lvl>
    <w:lvl w:ilvl="5" w:tentative="1">
      <w:start w:val="1"/>
      <w:numFmt w:val="lowerRoman"/>
      <w:lvlText w:val="%6."/>
      <w:lvlJc w:val="right"/>
      <w:pPr>
        <w:ind w:left="4953" w:hanging="180"/>
      </w:pPr>
      <w:rPr>
        <w:rFonts w:cs="Times New Roman"/>
      </w:rPr>
    </w:lvl>
    <w:lvl w:ilvl="6" w:tentative="1">
      <w:start w:val="1"/>
      <w:numFmt w:val="decimal"/>
      <w:lvlText w:val="%7."/>
      <w:lvlJc w:val="left"/>
      <w:pPr>
        <w:ind w:left="5673" w:hanging="360"/>
      </w:pPr>
      <w:rPr>
        <w:rFonts w:cs="Times New Roman"/>
      </w:rPr>
    </w:lvl>
    <w:lvl w:ilvl="7" w:tentative="1">
      <w:start w:val="1"/>
      <w:numFmt w:val="lowerLetter"/>
      <w:lvlText w:val="%8."/>
      <w:lvlJc w:val="left"/>
      <w:pPr>
        <w:ind w:left="6393" w:hanging="360"/>
      </w:pPr>
      <w:rPr>
        <w:rFonts w:cs="Times New Roman"/>
      </w:rPr>
    </w:lvl>
    <w:lvl w:ilvl="8" w:tentative="1">
      <w:start w:val="1"/>
      <w:numFmt w:val="lowerRoman"/>
      <w:lvlText w:val="%9."/>
      <w:lvlJc w:val="right"/>
      <w:pPr>
        <w:ind w:left="7113" w:hanging="180"/>
      </w:pPr>
      <w:rPr>
        <w:rFonts w:cs="Times New Roman"/>
      </w:rPr>
    </w:lvl>
  </w:abstractNum>
  <w:abstractNum w:abstractNumId="23">
    <w:nsid w:val="51CF3102"/>
    <w:multiLevelType w:val="hybridMultilevel"/>
    <w:tmpl w:val="A8D09DBA"/>
    <w:lvl w:ilvl="0" w:tplc="5D4EED54">
      <w:numFmt w:val="bullet"/>
      <w:lvlText w:val="-"/>
      <w:lvlJc w:val="left"/>
      <w:pPr>
        <w:ind w:left="1920" w:hanging="360"/>
      </w:pPr>
      <w:rPr>
        <w:rFonts w:ascii="Arial" w:eastAsia="Times New Roman" w:hAnsi="Arial" w:hint="default"/>
      </w:rPr>
    </w:lvl>
    <w:lvl w:ilvl="1" w:tplc="0C090003" w:tentative="1">
      <w:start w:val="1"/>
      <w:numFmt w:val="bullet"/>
      <w:lvlText w:val="o"/>
      <w:lvlJc w:val="left"/>
      <w:pPr>
        <w:ind w:left="2220" w:hanging="360"/>
      </w:pPr>
      <w:rPr>
        <w:rFonts w:ascii="Courier New" w:hAnsi="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cs="Times New Roman" w:hint="default"/>
        <w:i/>
        <w:color w:val="auto"/>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59BC5196"/>
    <w:multiLevelType w:val="multilevel"/>
    <w:tmpl w:val="8C66A856"/>
    <w:lvl w:ilvl="0">
      <w:start w:val="6"/>
      <w:numFmt w:val="decimal"/>
      <w:lvlText w:val="%1"/>
      <w:lvlJc w:val="left"/>
      <w:pPr>
        <w:ind w:left="360" w:hanging="360"/>
      </w:pPr>
      <w:rPr>
        <w:rFonts w:cs="Times New Roman" w:hint="default"/>
        <w:i w:val="0"/>
      </w:rPr>
    </w:lvl>
    <w:lvl w:ilvl="1">
      <w:start w:val="1"/>
      <w:numFmt w:val="decimal"/>
      <w:lvlText w:val="%1.%2"/>
      <w:lvlJc w:val="left"/>
      <w:pPr>
        <w:ind w:left="107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932DED"/>
    <w:multiLevelType w:val="hybridMultilevel"/>
    <w:tmpl w:val="72C69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B905492"/>
    <w:multiLevelType w:val="hybridMultilevel"/>
    <w:tmpl w:val="2084D5D4"/>
    <w:lvl w:ilvl="0" w:tplc="513E3F20">
      <w:start w:val="4"/>
      <w:numFmt w:val="decimal"/>
      <w:lvlText w:val="%1."/>
      <w:lvlJc w:val="left"/>
      <w:pPr>
        <w:tabs>
          <w:tab w:val="num" w:pos="720"/>
        </w:tabs>
        <w:ind w:left="720" w:hanging="360"/>
      </w:pPr>
      <w:rPr>
        <w:rFonts w:cs="Times New Roman" w:hint="default"/>
      </w:rPr>
    </w:lvl>
    <w:lvl w:ilvl="1" w:tplc="02E6A8EE" w:tentative="1">
      <w:start w:val="1"/>
      <w:numFmt w:val="lowerLetter"/>
      <w:lvlText w:val="%2."/>
      <w:lvlJc w:val="left"/>
      <w:pPr>
        <w:tabs>
          <w:tab w:val="num" w:pos="1440"/>
        </w:tabs>
        <w:ind w:left="1440" w:hanging="360"/>
      </w:pPr>
      <w:rPr>
        <w:rFonts w:cs="Times New Roman"/>
      </w:rPr>
    </w:lvl>
    <w:lvl w:ilvl="2" w:tplc="59C2CD90" w:tentative="1">
      <w:start w:val="1"/>
      <w:numFmt w:val="lowerRoman"/>
      <w:lvlText w:val="%3."/>
      <w:lvlJc w:val="right"/>
      <w:pPr>
        <w:tabs>
          <w:tab w:val="num" w:pos="2160"/>
        </w:tabs>
        <w:ind w:left="2160" w:hanging="180"/>
      </w:pPr>
      <w:rPr>
        <w:rFonts w:cs="Times New Roman"/>
      </w:rPr>
    </w:lvl>
    <w:lvl w:ilvl="3" w:tplc="B706D67C" w:tentative="1">
      <w:start w:val="1"/>
      <w:numFmt w:val="decimal"/>
      <w:lvlText w:val="%4."/>
      <w:lvlJc w:val="left"/>
      <w:pPr>
        <w:tabs>
          <w:tab w:val="num" w:pos="2880"/>
        </w:tabs>
        <w:ind w:left="2880" w:hanging="360"/>
      </w:pPr>
      <w:rPr>
        <w:rFonts w:cs="Times New Roman"/>
      </w:rPr>
    </w:lvl>
    <w:lvl w:ilvl="4" w:tplc="CF22E9E2" w:tentative="1">
      <w:start w:val="1"/>
      <w:numFmt w:val="lowerLetter"/>
      <w:lvlText w:val="%5."/>
      <w:lvlJc w:val="left"/>
      <w:pPr>
        <w:tabs>
          <w:tab w:val="num" w:pos="3600"/>
        </w:tabs>
        <w:ind w:left="3600" w:hanging="360"/>
      </w:pPr>
      <w:rPr>
        <w:rFonts w:cs="Times New Roman"/>
      </w:rPr>
    </w:lvl>
    <w:lvl w:ilvl="5" w:tplc="2FF2CB52" w:tentative="1">
      <w:start w:val="1"/>
      <w:numFmt w:val="lowerRoman"/>
      <w:lvlText w:val="%6."/>
      <w:lvlJc w:val="right"/>
      <w:pPr>
        <w:tabs>
          <w:tab w:val="num" w:pos="4320"/>
        </w:tabs>
        <w:ind w:left="4320" w:hanging="180"/>
      </w:pPr>
      <w:rPr>
        <w:rFonts w:cs="Times New Roman"/>
      </w:rPr>
    </w:lvl>
    <w:lvl w:ilvl="6" w:tplc="C0086DAC" w:tentative="1">
      <w:start w:val="1"/>
      <w:numFmt w:val="decimal"/>
      <w:lvlText w:val="%7."/>
      <w:lvlJc w:val="left"/>
      <w:pPr>
        <w:tabs>
          <w:tab w:val="num" w:pos="5040"/>
        </w:tabs>
        <w:ind w:left="5040" w:hanging="360"/>
      </w:pPr>
      <w:rPr>
        <w:rFonts w:cs="Times New Roman"/>
      </w:rPr>
    </w:lvl>
    <w:lvl w:ilvl="7" w:tplc="E192646A" w:tentative="1">
      <w:start w:val="1"/>
      <w:numFmt w:val="lowerLetter"/>
      <w:lvlText w:val="%8."/>
      <w:lvlJc w:val="left"/>
      <w:pPr>
        <w:tabs>
          <w:tab w:val="num" w:pos="5760"/>
        </w:tabs>
        <w:ind w:left="5760" w:hanging="360"/>
      </w:pPr>
      <w:rPr>
        <w:rFonts w:cs="Times New Roman"/>
      </w:rPr>
    </w:lvl>
    <w:lvl w:ilvl="8" w:tplc="A33818BA" w:tentative="1">
      <w:start w:val="1"/>
      <w:numFmt w:val="lowerRoman"/>
      <w:lvlText w:val="%9."/>
      <w:lvlJc w:val="right"/>
      <w:pPr>
        <w:tabs>
          <w:tab w:val="num" w:pos="6480"/>
        </w:tabs>
        <w:ind w:left="6480" w:hanging="180"/>
      </w:pPr>
      <w:rPr>
        <w:rFonts w:cs="Times New Roman"/>
      </w:rPr>
    </w:lvl>
  </w:abstractNum>
  <w:abstractNum w:abstractNumId="30">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2">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nsid w:val="76346CBF"/>
    <w:multiLevelType w:val="hybridMultilevel"/>
    <w:tmpl w:val="A87079A4"/>
    <w:lvl w:ilvl="0" w:tplc="0DBC61CE">
      <w:start w:val="1"/>
      <w:numFmt w:val="lowerLetter"/>
      <w:lvlText w:val="(%1)"/>
      <w:lvlJc w:val="left"/>
      <w:pPr>
        <w:ind w:left="1788" w:hanging="795"/>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3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nsid w:val="784D033C"/>
    <w:multiLevelType w:val="multilevel"/>
    <w:tmpl w:val="207EF2DE"/>
    <w:lvl w:ilvl="0">
      <w:start w:val="1"/>
      <w:numFmt w:val="decimal"/>
      <w:lvlText w:val="%1"/>
      <w:lvlJc w:val="left"/>
      <w:pPr>
        <w:ind w:left="720" w:hanging="720"/>
      </w:pPr>
      <w:rPr>
        <w:rFonts w:cs="Times New Roman" w:hint="default"/>
        <w:b/>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01EF5"/>
    <w:multiLevelType w:val="hybridMultilevel"/>
    <w:tmpl w:val="408E12BC"/>
    <w:lvl w:ilvl="0" w:tplc="FC4E0402">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num w:numId="1">
    <w:abstractNumId w:val="9"/>
  </w:num>
  <w:num w:numId="2">
    <w:abstractNumId w:val="31"/>
  </w:num>
  <w:num w:numId="3">
    <w:abstractNumId w:val="18"/>
  </w:num>
  <w:num w:numId="4">
    <w:abstractNumId w:val="0"/>
  </w:num>
  <w:num w:numId="5">
    <w:abstractNumId w:val="4"/>
  </w:num>
  <w:num w:numId="6">
    <w:abstractNumId w:val="17"/>
  </w:num>
  <w:num w:numId="7">
    <w:abstractNumId w:val="15"/>
  </w:num>
  <w:num w:numId="8">
    <w:abstractNumId w:val="3"/>
  </w:num>
  <w:num w:numId="9">
    <w:abstractNumId w:val="8"/>
  </w:num>
  <w:num w:numId="10">
    <w:abstractNumId w:val="29"/>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2"/>
  </w:num>
  <w:num w:numId="15">
    <w:abstractNumId w:val="25"/>
  </w:num>
  <w:num w:numId="16">
    <w:abstractNumId w:val="21"/>
  </w:num>
  <w:num w:numId="17">
    <w:abstractNumId w:val="34"/>
  </w:num>
  <w:num w:numId="18">
    <w:abstractNumId w:val="13"/>
  </w:num>
  <w:num w:numId="19">
    <w:abstractNumId w:val="16"/>
  </w:num>
  <w:num w:numId="20">
    <w:abstractNumId w:val="2"/>
  </w:num>
  <w:num w:numId="21">
    <w:abstractNumId w:val="27"/>
  </w:num>
  <w:num w:numId="22">
    <w:abstractNumId w:val="30"/>
  </w:num>
  <w:num w:numId="23">
    <w:abstractNumId w:val="36"/>
  </w:num>
  <w:num w:numId="24">
    <w:abstractNumId w:val="14"/>
  </w:num>
  <w:num w:numId="25">
    <w:abstractNumId w:val="35"/>
  </w:num>
  <w:num w:numId="26">
    <w:abstractNumId w:val="26"/>
  </w:num>
  <w:num w:numId="27">
    <w:abstractNumId w:val="11"/>
  </w:num>
  <w:num w:numId="28">
    <w:abstractNumId w:val="5"/>
  </w:num>
  <w:num w:numId="29">
    <w:abstractNumId w:val="23"/>
  </w:num>
  <w:num w:numId="30">
    <w:abstractNumId w:val="1"/>
  </w:num>
  <w:num w:numId="31">
    <w:abstractNumId w:val="24"/>
  </w:num>
  <w:num w:numId="32">
    <w:abstractNumId w:val="33"/>
  </w:num>
  <w:num w:numId="33">
    <w:abstractNumId w:val="22"/>
  </w:num>
  <w:num w:numId="34">
    <w:abstractNumId w:val="37"/>
  </w:num>
  <w:num w:numId="35">
    <w:abstractNumId w:val="10"/>
  </w:num>
  <w:num w:numId="36">
    <w:abstractNumId w:val="20"/>
  </w:num>
  <w:num w:numId="37">
    <w:abstractNumId w:val="7"/>
  </w:num>
  <w:num w:numId="38">
    <w:abstractNumId w:val="28"/>
  </w:num>
  <w:num w:numId="39">
    <w:abstractNumId w:val="6"/>
  </w:num>
  <w:num w:numId="4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E50"/>
    <w:rsid w:val="000200B4"/>
    <w:rsid w:val="0002464A"/>
    <w:rsid w:val="0003106B"/>
    <w:rsid w:val="000421A1"/>
    <w:rsid w:val="0004240E"/>
    <w:rsid w:val="00045E26"/>
    <w:rsid w:val="000514B5"/>
    <w:rsid w:val="00060E64"/>
    <w:rsid w:val="00062599"/>
    <w:rsid w:val="00071965"/>
    <w:rsid w:val="00077BFC"/>
    <w:rsid w:val="00080BD5"/>
    <w:rsid w:val="00084646"/>
    <w:rsid w:val="000914FD"/>
    <w:rsid w:val="000969AD"/>
    <w:rsid w:val="000A08EB"/>
    <w:rsid w:val="000B558D"/>
    <w:rsid w:val="000C00F5"/>
    <w:rsid w:val="000C6996"/>
    <w:rsid w:val="000D23BA"/>
    <w:rsid w:val="000E681E"/>
    <w:rsid w:val="000F4E6A"/>
    <w:rsid w:val="000F6DA9"/>
    <w:rsid w:val="00100D8D"/>
    <w:rsid w:val="00103B61"/>
    <w:rsid w:val="001107BF"/>
    <w:rsid w:val="00110E52"/>
    <w:rsid w:val="0012417C"/>
    <w:rsid w:val="0013249E"/>
    <w:rsid w:val="00142395"/>
    <w:rsid w:val="00142714"/>
    <w:rsid w:val="0014407A"/>
    <w:rsid w:val="001452ED"/>
    <w:rsid w:val="00151F0F"/>
    <w:rsid w:val="0015758D"/>
    <w:rsid w:val="001602A3"/>
    <w:rsid w:val="00180A1F"/>
    <w:rsid w:val="001830CE"/>
    <w:rsid w:val="00186307"/>
    <w:rsid w:val="0019090F"/>
    <w:rsid w:val="0019234C"/>
    <w:rsid w:val="0019370F"/>
    <w:rsid w:val="00196307"/>
    <w:rsid w:val="001B017F"/>
    <w:rsid w:val="001B5129"/>
    <w:rsid w:val="001C1195"/>
    <w:rsid w:val="001D0BCB"/>
    <w:rsid w:val="001D1949"/>
    <w:rsid w:val="001D6A8D"/>
    <w:rsid w:val="00203A24"/>
    <w:rsid w:val="002148E6"/>
    <w:rsid w:val="00216F32"/>
    <w:rsid w:val="00224487"/>
    <w:rsid w:val="00227785"/>
    <w:rsid w:val="00231A04"/>
    <w:rsid w:val="00247AEF"/>
    <w:rsid w:val="002555B2"/>
    <w:rsid w:val="00257CA6"/>
    <w:rsid w:val="002609C1"/>
    <w:rsid w:val="0026260E"/>
    <w:rsid w:val="00262CB4"/>
    <w:rsid w:val="00271BA1"/>
    <w:rsid w:val="00277505"/>
    <w:rsid w:val="0029458F"/>
    <w:rsid w:val="002965B7"/>
    <w:rsid w:val="0029782F"/>
    <w:rsid w:val="002A12B5"/>
    <w:rsid w:val="002A3FAF"/>
    <w:rsid w:val="002A4960"/>
    <w:rsid w:val="002B0CEA"/>
    <w:rsid w:val="002B1AE6"/>
    <w:rsid w:val="002B30F8"/>
    <w:rsid w:val="002C212F"/>
    <w:rsid w:val="002E0538"/>
    <w:rsid w:val="002F75CC"/>
    <w:rsid w:val="00300C63"/>
    <w:rsid w:val="00303E16"/>
    <w:rsid w:val="0030564E"/>
    <w:rsid w:val="00312340"/>
    <w:rsid w:val="0031720F"/>
    <w:rsid w:val="00326E79"/>
    <w:rsid w:val="003367EF"/>
    <w:rsid w:val="00341AE4"/>
    <w:rsid w:val="00346ADE"/>
    <w:rsid w:val="00347D68"/>
    <w:rsid w:val="003543DE"/>
    <w:rsid w:val="00384E1E"/>
    <w:rsid w:val="00396F2B"/>
    <w:rsid w:val="003A5B4A"/>
    <w:rsid w:val="003B0F54"/>
    <w:rsid w:val="003B23C5"/>
    <w:rsid w:val="003B2A75"/>
    <w:rsid w:val="003B327C"/>
    <w:rsid w:val="003B4DF4"/>
    <w:rsid w:val="003C05C5"/>
    <w:rsid w:val="003D0504"/>
    <w:rsid w:val="003D1289"/>
    <w:rsid w:val="003D4AC4"/>
    <w:rsid w:val="003D614A"/>
    <w:rsid w:val="003D63B7"/>
    <w:rsid w:val="003E34D6"/>
    <w:rsid w:val="003E468B"/>
    <w:rsid w:val="003E4FD7"/>
    <w:rsid w:val="003F41A3"/>
    <w:rsid w:val="003F5C8C"/>
    <w:rsid w:val="004021A9"/>
    <w:rsid w:val="00425F22"/>
    <w:rsid w:val="00437CEA"/>
    <w:rsid w:val="00441D11"/>
    <w:rsid w:val="00450382"/>
    <w:rsid w:val="00452BC6"/>
    <w:rsid w:val="0045614B"/>
    <w:rsid w:val="00464E62"/>
    <w:rsid w:val="00466ADA"/>
    <w:rsid w:val="00486785"/>
    <w:rsid w:val="004941B8"/>
    <w:rsid w:val="004A4B88"/>
    <w:rsid w:val="004A60EE"/>
    <w:rsid w:val="004B5640"/>
    <w:rsid w:val="004B5F16"/>
    <w:rsid w:val="004B6CC0"/>
    <w:rsid w:val="004C15AD"/>
    <w:rsid w:val="004C1BD7"/>
    <w:rsid w:val="004C5A0B"/>
    <w:rsid w:val="004C691D"/>
    <w:rsid w:val="004E692D"/>
    <w:rsid w:val="004E7B2E"/>
    <w:rsid w:val="004F1BEF"/>
    <w:rsid w:val="004F574B"/>
    <w:rsid w:val="00514CD7"/>
    <w:rsid w:val="00517167"/>
    <w:rsid w:val="005335E4"/>
    <w:rsid w:val="00534E2E"/>
    <w:rsid w:val="005373D1"/>
    <w:rsid w:val="00544552"/>
    <w:rsid w:val="00560DFC"/>
    <w:rsid w:val="005666D6"/>
    <w:rsid w:val="00581932"/>
    <w:rsid w:val="00584384"/>
    <w:rsid w:val="005859A6"/>
    <w:rsid w:val="00591B6C"/>
    <w:rsid w:val="005A29CE"/>
    <w:rsid w:val="005A29FB"/>
    <w:rsid w:val="005A3173"/>
    <w:rsid w:val="005A3223"/>
    <w:rsid w:val="005A3DA3"/>
    <w:rsid w:val="005A52C4"/>
    <w:rsid w:val="005B6275"/>
    <w:rsid w:val="005C2473"/>
    <w:rsid w:val="005D03AB"/>
    <w:rsid w:val="005D5017"/>
    <w:rsid w:val="005E7A2C"/>
    <w:rsid w:val="005F071F"/>
    <w:rsid w:val="005F5D2F"/>
    <w:rsid w:val="00601A91"/>
    <w:rsid w:val="00602BA3"/>
    <w:rsid w:val="00614159"/>
    <w:rsid w:val="00617C00"/>
    <w:rsid w:val="006263BF"/>
    <w:rsid w:val="00630A2C"/>
    <w:rsid w:val="00641E60"/>
    <w:rsid w:val="006449D1"/>
    <w:rsid w:val="00644D09"/>
    <w:rsid w:val="00645D85"/>
    <w:rsid w:val="00651169"/>
    <w:rsid w:val="00653D69"/>
    <w:rsid w:val="0066734E"/>
    <w:rsid w:val="00670A76"/>
    <w:rsid w:val="006711AA"/>
    <w:rsid w:val="00675622"/>
    <w:rsid w:val="006906DB"/>
    <w:rsid w:val="00691A64"/>
    <w:rsid w:val="006A12A5"/>
    <w:rsid w:val="006B0D94"/>
    <w:rsid w:val="006B4526"/>
    <w:rsid w:val="006B485D"/>
    <w:rsid w:val="006B5BFB"/>
    <w:rsid w:val="006C224D"/>
    <w:rsid w:val="006D6EC7"/>
    <w:rsid w:val="006E5172"/>
    <w:rsid w:val="006E665F"/>
    <w:rsid w:val="006F3FFA"/>
    <w:rsid w:val="006F5125"/>
    <w:rsid w:val="00701AFF"/>
    <w:rsid w:val="00705E0C"/>
    <w:rsid w:val="00707544"/>
    <w:rsid w:val="0071070B"/>
    <w:rsid w:val="0071476E"/>
    <w:rsid w:val="007160C2"/>
    <w:rsid w:val="007174BB"/>
    <w:rsid w:val="007246AD"/>
    <w:rsid w:val="0073020E"/>
    <w:rsid w:val="00741278"/>
    <w:rsid w:val="007753C2"/>
    <w:rsid w:val="007801B6"/>
    <w:rsid w:val="0078385D"/>
    <w:rsid w:val="007838B8"/>
    <w:rsid w:val="00784C75"/>
    <w:rsid w:val="00785BA6"/>
    <w:rsid w:val="00786A3A"/>
    <w:rsid w:val="007C0F57"/>
    <w:rsid w:val="007C40B6"/>
    <w:rsid w:val="007C6B41"/>
    <w:rsid w:val="007C729F"/>
    <w:rsid w:val="007D188A"/>
    <w:rsid w:val="007D42BF"/>
    <w:rsid w:val="007E1D28"/>
    <w:rsid w:val="007F03DC"/>
    <w:rsid w:val="007F2641"/>
    <w:rsid w:val="00806796"/>
    <w:rsid w:val="00806D6E"/>
    <w:rsid w:val="00813B74"/>
    <w:rsid w:val="00820018"/>
    <w:rsid w:val="00845232"/>
    <w:rsid w:val="008477A5"/>
    <w:rsid w:val="00854489"/>
    <w:rsid w:val="00856EE0"/>
    <w:rsid w:val="00860BFA"/>
    <w:rsid w:val="00863E68"/>
    <w:rsid w:val="00873545"/>
    <w:rsid w:val="00875539"/>
    <w:rsid w:val="00882085"/>
    <w:rsid w:val="00883188"/>
    <w:rsid w:val="00883561"/>
    <w:rsid w:val="00897D58"/>
    <w:rsid w:val="008A4937"/>
    <w:rsid w:val="008B1643"/>
    <w:rsid w:val="008B5521"/>
    <w:rsid w:val="008B6603"/>
    <w:rsid w:val="008D3C82"/>
    <w:rsid w:val="008D447E"/>
    <w:rsid w:val="008E0D90"/>
    <w:rsid w:val="008E3680"/>
    <w:rsid w:val="008E5870"/>
    <w:rsid w:val="008E59BD"/>
    <w:rsid w:val="008F105B"/>
    <w:rsid w:val="008F1434"/>
    <w:rsid w:val="008F7355"/>
    <w:rsid w:val="00906D41"/>
    <w:rsid w:val="00911A35"/>
    <w:rsid w:val="00922D15"/>
    <w:rsid w:val="00930937"/>
    <w:rsid w:val="00942160"/>
    <w:rsid w:val="00952B36"/>
    <w:rsid w:val="00952D9C"/>
    <w:rsid w:val="009554B9"/>
    <w:rsid w:val="009602C5"/>
    <w:rsid w:val="00966FE3"/>
    <w:rsid w:val="00967410"/>
    <w:rsid w:val="00974568"/>
    <w:rsid w:val="00974C21"/>
    <w:rsid w:val="00997FE7"/>
    <w:rsid w:val="009A11D1"/>
    <w:rsid w:val="009B4234"/>
    <w:rsid w:val="009C3D27"/>
    <w:rsid w:val="009C703C"/>
    <w:rsid w:val="009D1A04"/>
    <w:rsid w:val="009D3CAA"/>
    <w:rsid w:val="009D3D9F"/>
    <w:rsid w:val="009F1A08"/>
    <w:rsid w:val="009F36A0"/>
    <w:rsid w:val="009F5B65"/>
    <w:rsid w:val="009F744B"/>
    <w:rsid w:val="00A06225"/>
    <w:rsid w:val="00A07AFF"/>
    <w:rsid w:val="00A17BCB"/>
    <w:rsid w:val="00A23E7E"/>
    <w:rsid w:val="00A24FC4"/>
    <w:rsid w:val="00A27AAC"/>
    <w:rsid w:val="00A37C8D"/>
    <w:rsid w:val="00A442A1"/>
    <w:rsid w:val="00A47F77"/>
    <w:rsid w:val="00A5273B"/>
    <w:rsid w:val="00A53A9D"/>
    <w:rsid w:val="00A614FE"/>
    <w:rsid w:val="00A62C1A"/>
    <w:rsid w:val="00A6426D"/>
    <w:rsid w:val="00A70622"/>
    <w:rsid w:val="00A70977"/>
    <w:rsid w:val="00A71D97"/>
    <w:rsid w:val="00A8390C"/>
    <w:rsid w:val="00AA4D1C"/>
    <w:rsid w:val="00AB6099"/>
    <w:rsid w:val="00AB7384"/>
    <w:rsid w:val="00AC5206"/>
    <w:rsid w:val="00AE11A5"/>
    <w:rsid w:val="00AE62D3"/>
    <w:rsid w:val="00AF3224"/>
    <w:rsid w:val="00AF68CC"/>
    <w:rsid w:val="00B03F86"/>
    <w:rsid w:val="00B047AE"/>
    <w:rsid w:val="00B072DB"/>
    <w:rsid w:val="00B205AA"/>
    <w:rsid w:val="00B22C4A"/>
    <w:rsid w:val="00B25F75"/>
    <w:rsid w:val="00B4127C"/>
    <w:rsid w:val="00B41974"/>
    <w:rsid w:val="00B43E90"/>
    <w:rsid w:val="00B56118"/>
    <w:rsid w:val="00B62CB1"/>
    <w:rsid w:val="00B64E8F"/>
    <w:rsid w:val="00B73966"/>
    <w:rsid w:val="00B811A1"/>
    <w:rsid w:val="00B84570"/>
    <w:rsid w:val="00B937C3"/>
    <w:rsid w:val="00B938CA"/>
    <w:rsid w:val="00B943E3"/>
    <w:rsid w:val="00BB6006"/>
    <w:rsid w:val="00BB69F5"/>
    <w:rsid w:val="00BB7EC3"/>
    <w:rsid w:val="00BC4B9A"/>
    <w:rsid w:val="00BD3127"/>
    <w:rsid w:val="00BE726B"/>
    <w:rsid w:val="00BF4CB6"/>
    <w:rsid w:val="00BF5830"/>
    <w:rsid w:val="00C123D8"/>
    <w:rsid w:val="00C12768"/>
    <w:rsid w:val="00C24D36"/>
    <w:rsid w:val="00C253DE"/>
    <w:rsid w:val="00C26FD4"/>
    <w:rsid w:val="00C33A93"/>
    <w:rsid w:val="00C35996"/>
    <w:rsid w:val="00C36EA8"/>
    <w:rsid w:val="00C453A6"/>
    <w:rsid w:val="00C5342C"/>
    <w:rsid w:val="00C6256A"/>
    <w:rsid w:val="00C83314"/>
    <w:rsid w:val="00C91449"/>
    <w:rsid w:val="00C92D10"/>
    <w:rsid w:val="00C9617A"/>
    <w:rsid w:val="00CB2A58"/>
    <w:rsid w:val="00CB3625"/>
    <w:rsid w:val="00CC299F"/>
    <w:rsid w:val="00CC4375"/>
    <w:rsid w:val="00CE10C4"/>
    <w:rsid w:val="00CE27B5"/>
    <w:rsid w:val="00CE3A48"/>
    <w:rsid w:val="00D0321E"/>
    <w:rsid w:val="00D3280C"/>
    <w:rsid w:val="00D32998"/>
    <w:rsid w:val="00D3406A"/>
    <w:rsid w:val="00D469B2"/>
    <w:rsid w:val="00D51CED"/>
    <w:rsid w:val="00D53C49"/>
    <w:rsid w:val="00D61FA0"/>
    <w:rsid w:val="00D72A31"/>
    <w:rsid w:val="00D741EB"/>
    <w:rsid w:val="00D85143"/>
    <w:rsid w:val="00D91271"/>
    <w:rsid w:val="00D95D3F"/>
    <w:rsid w:val="00D95FC5"/>
    <w:rsid w:val="00DA4BAC"/>
    <w:rsid w:val="00DA56D0"/>
    <w:rsid w:val="00DB2F28"/>
    <w:rsid w:val="00DB657C"/>
    <w:rsid w:val="00DD04C4"/>
    <w:rsid w:val="00DD092F"/>
    <w:rsid w:val="00DD147F"/>
    <w:rsid w:val="00DD64A4"/>
    <w:rsid w:val="00DD6672"/>
    <w:rsid w:val="00DD71B8"/>
    <w:rsid w:val="00DE694F"/>
    <w:rsid w:val="00DE6D27"/>
    <w:rsid w:val="00DF1632"/>
    <w:rsid w:val="00DF217D"/>
    <w:rsid w:val="00DF26A7"/>
    <w:rsid w:val="00E05859"/>
    <w:rsid w:val="00E16910"/>
    <w:rsid w:val="00E34CC6"/>
    <w:rsid w:val="00E54945"/>
    <w:rsid w:val="00E65E54"/>
    <w:rsid w:val="00E80155"/>
    <w:rsid w:val="00E804DB"/>
    <w:rsid w:val="00E82913"/>
    <w:rsid w:val="00E848C0"/>
    <w:rsid w:val="00E865AD"/>
    <w:rsid w:val="00E91B96"/>
    <w:rsid w:val="00E941A1"/>
    <w:rsid w:val="00E95CE3"/>
    <w:rsid w:val="00EA0CC6"/>
    <w:rsid w:val="00EA2825"/>
    <w:rsid w:val="00EA4A09"/>
    <w:rsid w:val="00EB5088"/>
    <w:rsid w:val="00EC65B9"/>
    <w:rsid w:val="00ED1644"/>
    <w:rsid w:val="00EF0BAC"/>
    <w:rsid w:val="00EF185C"/>
    <w:rsid w:val="00EF2397"/>
    <w:rsid w:val="00F02ABF"/>
    <w:rsid w:val="00F050BD"/>
    <w:rsid w:val="00F05657"/>
    <w:rsid w:val="00F06220"/>
    <w:rsid w:val="00F20A62"/>
    <w:rsid w:val="00F25578"/>
    <w:rsid w:val="00F258E5"/>
    <w:rsid w:val="00F300BC"/>
    <w:rsid w:val="00F3334E"/>
    <w:rsid w:val="00F36D39"/>
    <w:rsid w:val="00F42516"/>
    <w:rsid w:val="00F45920"/>
    <w:rsid w:val="00F50EC4"/>
    <w:rsid w:val="00F5322A"/>
    <w:rsid w:val="00F562B5"/>
    <w:rsid w:val="00F563A2"/>
    <w:rsid w:val="00F57A6D"/>
    <w:rsid w:val="00F60444"/>
    <w:rsid w:val="00F638CC"/>
    <w:rsid w:val="00F73834"/>
    <w:rsid w:val="00F804CF"/>
    <w:rsid w:val="00F8247A"/>
    <w:rsid w:val="00FA1572"/>
    <w:rsid w:val="00FA5883"/>
    <w:rsid w:val="00FA6055"/>
    <w:rsid w:val="00FB322F"/>
    <w:rsid w:val="00FB442F"/>
    <w:rsid w:val="00FB4638"/>
    <w:rsid w:val="00FC1929"/>
    <w:rsid w:val="00FC4B59"/>
    <w:rsid w:val="00FC5B46"/>
    <w:rsid w:val="00FD1576"/>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27"/>
    <w:rPr>
      <w:sz w:val="24"/>
      <w:szCs w:val="24"/>
    </w:rPr>
  </w:style>
  <w:style w:type="paragraph" w:styleId="Heading1">
    <w:name w:val="heading 1"/>
    <w:basedOn w:val="Normal"/>
    <w:next w:val="Normal"/>
    <w:link w:val="Heading1Char"/>
    <w:uiPriority w:val="99"/>
    <w:qFormat/>
    <w:rsid w:val="00997FE7"/>
    <w:pPr>
      <w:keepNext/>
      <w:outlineLvl w:val="0"/>
    </w:pPr>
    <w:rPr>
      <w:rFonts w:ascii="Arial" w:hAnsi="Arial"/>
      <w:sz w:val="28"/>
    </w:rPr>
  </w:style>
  <w:style w:type="paragraph" w:styleId="Heading2">
    <w:name w:val="heading 2"/>
    <w:basedOn w:val="Normal"/>
    <w:next w:val="Normal"/>
    <w:link w:val="Heading2Char"/>
    <w:uiPriority w:val="99"/>
    <w:qFormat/>
    <w:rsid w:val="009C3D27"/>
    <w:pPr>
      <w:keepNext/>
      <w:outlineLvl w:val="1"/>
    </w:pPr>
  </w:style>
  <w:style w:type="paragraph" w:styleId="Heading5">
    <w:name w:val="heading 5"/>
    <w:basedOn w:val="Normal"/>
    <w:next w:val="Normal"/>
    <w:link w:val="Heading5Char"/>
    <w:uiPriority w:val="99"/>
    <w:qFormat/>
    <w:rsid w:val="009C3D27"/>
    <w:pPr>
      <w:spacing w:before="240" w:after="60"/>
      <w:outlineLvl w:val="4"/>
    </w:pPr>
    <w:rPr>
      <w:b/>
      <w:bCs/>
      <w:i/>
      <w:iCs/>
      <w:sz w:val="26"/>
      <w:szCs w:val="26"/>
    </w:rPr>
  </w:style>
  <w:style w:type="paragraph" w:styleId="Heading6">
    <w:name w:val="heading 6"/>
    <w:basedOn w:val="Normal"/>
    <w:next w:val="Normal"/>
    <w:link w:val="Heading6Char"/>
    <w:uiPriority w:val="99"/>
    <w:qFormat/>
    <w:rsid w:val="009C3D2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7FE7"/>
    <w:rPr>
      <w:rFonts w:ascii="Arial" w:hAnsi="Arial"/>
      <w:sz w:val="28"/>
      <w:szCs w:val="24"/>
    </w:rPr>
  </w:style>
  <w:style w:type="character" w:customStyle="1" w:styleId="Heading2Char">
    <w:name w:val="Heading 2 Char"/>
    <w:basedOn w:val="DefaultParagraphFont"/>
    <w:link w:val="Heading2"/>
    <w:uiPriority w:val="9"/>
    <w:semiHidden/>
    <w:rsid w:val="00BD19A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BD19A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D19AE"/>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9C3D27"/>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9C3D27"/>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9C3D27"/>
    <w:rPr>
      <w:rFonts w:cs="Times New Roman"/>
    </w:rPr>
  </w:style>
  <w:style w:type="paragraph" w:styleId="BalloonText">
    <w:name w:val="Balloon Text"/>
    <w:basedOn w:val="Normal"/>
    <w:link w:val="BalloonTextChar"/>
    <w:uiPriority w:val="99"/>
    <w:semiHidden/>
    <w:rsid w:val="009C3D27"/>
    <w:rPr>
      <w:rFonts w:ascii="Tahoma" w:hAnsi="Tahoma" w:cs="Tahoma"/>
      <w:sz w:val="16"/>
      <w:szCs w:val="16"/>
    </w:rPr>
  </w:style>
  <w:style w:type="character" w:customStyle="1" w:styleId="BalloonTextChar">
    <w:name w:val="Balloon Text Char"/>
    <w:basedOn w:val="DefaultParagraphFont"/>
    <w:link w:val="BalloonText"/>
    <w:uiPriority w:val="99"/>
    <w:semiHidden/>
    <w:rsid w:val="00BD19AE"/>
    <w:rPr>
      <w:sz w:val="0"/>
      <w:szCs w:val="0"/>
    </w:rPr>
  </w:style>
  <w:style w:type="table" w:styleId="TableGrid">
    <w:name w:val="Table Grid"/>
    <w:basedOn w:val="TableNormal"/>
    <w:uiPriority w:val="99"/>
    <w:rsid w:val="009C3D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9C3D27"/>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9C3D27"/>
    <w:pPr>
      <w:spacing w:after="120"/>
    </w:pPr>
    <w:rPr>
      <w:rFonts w:ascii="Arial" w:hAnsi="Arial"/>
      <w:sz w:val="20"/>
      <w:szCs w:val="20"/>
      <w:lang w:eastAsia="en-US"/>
    </w:rPr>
  </w:style>
  <w:style w:type="paragraph" w:styleId="BodyText2">
    <w:name w:val="Body Text 2"/>
    <w:basedOn w:val="Normal"/>
    <w:link w:val="BodyText2Char"/>
    <w:uiPriority w:val="99"/>
    <w:rsid w:val="009C3D27"/>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9C3D27"/>
    <w:rPr>
      <w:rFonts w:ascii="Arial" w:hAnsi="Arial"/>
      <w:snapToGrid w:val="0"/>
      <w:lang w:val="en-AU" w:eastAsia="en-US"/>
    </w:rPr>
  </w:style>
  <w:style w:type="paragraph" w:customStyle="1" w:styleId="TableHeading">
    <w:name w:val="TableHeading"/>
    <w:basedOn w:val="Normal"/>
    <w:uiPriority w:val="99"/>
    <w:rsid w:val="009C3D27"/>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9C3D27"/>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9C3D27"/>
    <w:pPr>
      <w:spacing w:after="120"/>
    </w:pPr>
    <w:rPr>
      <w:sz w:val="16"/>
      <w:szCs w:val="16"/>
    </w:rPr>
  </w:style>
  <w:style w:type="character" w:customStyle="1" w:styleId="BodyText3Char">
    <w:name w:val="Body Text 3 Char"/>
    <w:basedOn w:val="DefaultParagraphFont"/>
    <w:link w:val="BodyText3"/>
    <w:uiPriority w:val="99"/>
    <w:semiHidden/>
    <w:rsid w:val="00BD19AE"/>
    <w:rPr>
      <w:sz w:val="16"/>
      <w:szCs w:val="16"/>
    </w:rPr>
  </w:style>
  <w:style w:type="character" w:customStyle="1" w:styleId="SubtitleChar">
    <w:name w:val="Subtitle Char"/>
    <w:link w:val="Subtitle"/>
    <w:uiPriority w:val="99"/>
    <w:semiHidden/>
    <w:locked/>
    <w:rsid w:val="009C3D27"/>
    <w:rPr>
      <w:lang w:val="en-AU" w:eastAsia="en-US"/>
    </w:rPr>
  </w:style>
  <w:style w:type="paragraph" w:styleId="Subtitle">
    <w:name w:val="Subtitle"/>
    <w:basedOn w:val="Normal"/>
    <w:link w:val="SubtitleChar"/>
    <w:uiPriority w:val="99"/>
    <w:qFormat/>
    <w:rsid w:val="009C3D27"/>
    <w:pPr>
      <w:jc w:val="both"/>
    </w:pPr>
    <w:rPr>
      <w:sz w:val="20"/>
      <w:szCs w:val="20"/>
      <w:lang w:eastAsia="en-US"/>
    </w:rPr>
  </w:style>
  <w:style w:type="character" w:customStyle="1" w:styleId="SubtitleChar1">
    <w:name w:val="Subtitle Char1"/>
    <w:basedOn w:val="DefaultParagraphFont"/>
    <w:uiPriority w:val="11"/>
    <w:rsid w:val="00BD19AE"/>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link w:val="ListParagraphChar"/>
    <w:uiPriority w:val="72"/>
    <w:qFormat/>
    <w:rsid w:val="00C35996"/>
    <w:pPr>
      <w:ind w:left="720"/>
      <w:contextualSpacing/>
    </w:pPr>
    <w:rPr>
      <w:lang w:eastAsia="ja-JP"/>
    </w:rPr>
  </w:style>
  <w:style w:type="character" w:styleId="CommentReference">
    <w:name w:val="annotation reference"/>
    <w:basedOn w:val="DefaultParagraphFont"/>
    <w:uiPriority w:val="99"/>
    <w:rsid w:val="00BB7EC3"/>
    <w:rPr>
      <w:rFonts w:cs="Times New Roman"/>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character" w:styleId="Hyperlink">
    <w:name w:val="Hyperlink"/>
    <w:basedOn w:val="DefaultParagraphFont"/>
    <w:uiPriority w:val="99"/>
    <w:rsid w:val="00E54945"/>
    <w:rPr>
      <w:rFonts w:cs="Times New Roman"/>
      <w:color w:val="0000FF"/>
      <w:u w:val="single"/>
    </w:rPr>
  </w:style>
  <w:style w:type="paragraph" w:styleId="Revision">
    <w:name w:val="Revision"/>
    <w:hidden/>
    <w:uiPriority w:val="99"/>
    <w:rsid w:val="00EA4A09"/>
    <w:rPr>
      <w:sz w:val="24"/>
      <w:szCs w:val="24"/>
    </w:rPr>
  </w:style>
  <w:style w:type="character" w:customStyle="1" w:styleId="ListParagraphChar">
    <w:name w:val="List Paragraph Char"/>
    <w:link w:val="ListParagraph"/>
    <w:uiPriority w:val="99"/>
    <w:locked/>
    <w:rsid w:val="00CC299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27"/>
    <w:rPr>
      <w:sz w:val="24"/>
      <w:szCs w:val="24"/>
    </w:rPr>
  </w:style>
  <w:style w:type="paragraph" w:styleId="Heading1">
    <w:name w:val="heading 1"/>
    <w:basedOn w:val="Normal"/>
    <w:next w:val="Normal"/>
    <w:link w:val="Heading1Char"/>
    <w:uiPriority w:val="99"/>
    <w:qFormat/>
    <w:rsid w:val="00997FE7"/>
    <w:pPr>
      <w:keepNext/>
      <w:outlineLvl w:val="0"/>
    </w:pPr>
    <w:rPr>
      <w:rFonts w:ascii="Arial" w:hAnsi="Arial"/>
      <w:sz w:val="28"/>
    </w:rPr>
  </w:style>
  <w:style w:type="paragraph" w:styleId="Heading2">
    <w:name w:val="heading 2"/>
    <w:basedOn w:val="Normal"/>
    <w:next w:val="Normal"/>
    <w:link w:val="Heading2Char"/>
    <w:uiPriority w:val="99"/>
    <w:qFormat/>
    <w:rsid w:val="009C3D27"/>
    <w:pPr>
      <w:keepNext/>
      <w:outlineLvl w:val="1"/>
    </w:pPr>
  </w:style>
  <w:style w:type="paragraph" w:styleId="Heading5">
    <w:name w:val="heading 5"/>
    <w:basedOn w:val="Normal"/>
    <w:next w:val="Normal"/>
    <w:link w:val="Heading5Char"/>
    <w:uiPriority w:val="99"/>
    <w:qFormat/>
    <w:rsid w:val="009C3D27"/>
    <w:pPr>
      <w:spacing w:before="240" w:after="60"/>
      <w:outlineLvl w:val="4"/>
    </w:pPr>
    <w:rPr>
      <w:b/>
      <w:bCs/>
      <w:i/>
      <w:iCs/>
      <w:sz w:val="26"/>
      <w:szCs w:val="26"/>
    </w:rPr>
  </w:style>
  <w:style w:type="paragraph" w:styleId="Heading6">
    <w:name w:val="heading 6"/>
    <w:basedOn w:val="Normal"/>
    <w:next w:val="Normal"/>
    <w:link w:val="Heading6Char"/>
    <w:uiPriority w:val="99"/>
    <w:qFormat/>
    <w:rsid w:val="009C3D2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7FE7"/>
    <w:rPr>
      <w:rFonts w:ascii="Arial" w:hAnsi="Arial"/>
      <w:sz w:val="28"/>
      <w:szCs w:val="24"/>
    </w:rPr>
  </w:style>
  <w:style w:type="character" w:customStyle="1" w:styleId="Heading2Char">
    <w:name w:val="Heading 2 Char"/>
    <w:basedOn w:val="DefaultParagraphFont"/>
    <w:link w:val="Heading2"/>
    <w:uiPriority w:val="9"/>
    <w:semiHidden/>
    <w:rsid w:val="00BD19A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BD19A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D19AE"/>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9C3D27"/>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9C3D27"/>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9C3D27"/>
    <w:rPr>
      <w:rFonts w:cs="Times New Roman"/>
    </w:rPr>
  </w:style>
  <w:style w:type="paragraph" w:styleId="BalloonText">
    <w:name w:val="Balloon Text"/>
    <w:basedOn w:val="Normal"/>
    <w:link w:val="BalloonTextChar"/>
    <w:uiPriority w:val="99"/>
    <w:semiHidden/>
    <w:rsid w:val="009C3D27"/>
    <w:rPr>
      <w:rFonts w:ascii="Tahoma" w:hAnsi="Tahoma" w:cs="Tahoma"/>
      <w:sz w:val="16"/>
      <w:szCs w:val="16"/>
    </w:rPr>
  </w:style>
  <w:style w:type="character" w:customStyle="1" w:styleId="BalloonTextChar">
    <w:name w:val="Balloon Text Char"/>
    <w:basedOn w:val="DefaultParagraphFont"/>
    <w:link w:val="BalloonText"/>
    <w:uiPriority w:val="99"/>
    <w:semiHidden/>
    <w:rsid w:val="00BD19AE"/>
    <w:rPr>
      <w:sz w:val="0"/>
      <w:szCs w:val="0"/>
    </w:rPr>
  </w:style>
  <w:style w:type="table" w:styleId="TableGrid">
    <w:name w:val="Table Grid"/>
    <w:basedOn w:val="TableNormal"/>
    <w:uiPriority w:val="99"/>
    <w:rsid w:val="009C3D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9C3D27"/>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9C3D27"/>
    <w:pPr>
      <w:spacing w:after="120"/>
    </w:pPr>
    <w:rPr>
      <w:rFonts w:ascii="Arial" w:hAnsi="Arial"/>
      <w:sz w:val="20"/>
      <w:szCs w:val="20"/>
      <w:lang w:eastAsia="en-US"/>
    </w:rPr>
  </w:style>
  <w:style w:type="paragraph" w:styleId="BodyText2">
    <w:name w:val="Body Text 2"/>
    <w:basedOn w:val="Normal"/>
    <w:link w:val="BodyText2Char"/>
    <w:uiPriority w:val="99"/>
    <w:rsid w:val="009C3D27"/>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9C3D27"/>
    <w:rPr>
      <w:rFonts w:ascii="Arial" w:hAnsi="Arial"/>
      <w:snapToGrid w:val="0"/>
      <w:lang w:val="en-AU" w:eastAsia="en-US"/>
    </w:rPr>
  </w:style>
  <w:style w:type="paragraph" w:customStyle="1" w:styleId="TableHeading">
    <w:name w:val="TableHeading"/>
    <w:basedOn w:val="Normal"/>
    <w:uiPriority w:val="99"/>
    <w:rsid w:val="009C3D27"/>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9C3D27"/>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9C3D27"/>
    <w:pPr>
      <w:spacing w:after="120"/>
    </w:pPr>
    <w:rPr>
      <w:sz w:val="16"/>
      <w:szCs w:val="16"/>
    </w:rPr>
  </w:style>
  <w:style w:type="character" w:customStyle="1" w:styleId="BodyText3Char">
    <w:name w:val="Body Text 3 Char"/>
    <w:basedOn w:val="DefaultParagraphFont"/>
    <w:link w:val="BodyText3"/>
    <w:uiPriority w:val="99"/>
    <w:semiHidden/>
    <w:rsid w:val="00BD19AE"/>
    <w:rPr>
      <w:sz w:val="16"/>
      <w:szCs w:val="16"/>
    </w:rPr>
  </w:style>
  <w:style w:type="character" w:customStyle="1" w:styleId="SubtitleChar">
    <w:name w:val="Subtitle Char"/>
    <w:link w:val="Subtitle"/>
    <w:uiPriority w:val="99"/>
    <w:semiHidden/>
    <w:locked/>
    <w:rsid w:val="009C3D27"/>
    <w:rPr>
      <w:lang w:val="en-AU" w:eastAsia="en-US"/>
    </w:rPr>
  </w:style>
  <w:style w:type="paragraph" w:styleId="Subtitle">
    <w:name w:val="Subtitle"/>
    <w:basedOn w:val="Normal"/>
    <w:link w:val="SubtitleChar"/>
    <w:uiPriority w:val="99"/>
    <w:qFormat/>
    <w:rsid w:val="009C3D27"/>
    <w:pPr>
      <w:jc w:val="both"/>
    </w:pPr>
    <w:rPr>
      <w:sz w:val="20"/>
      <w:szCs w:val="20"/>
      <w:lang w:eastAsia="en-US"/>
    </w:rPr>
  </w:style>
  <w:style w:type="character" w:customStyle="1" w:styleId="SubtitleChar1">
    <w:name w:val="Subtitle Char1"/>
    <w:basedOn w:val="DefaultParagraphFont"/>
    <w:uiPriority w:val="11"/>
    <w:rsid w:val="00BD19AE"/>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link w:val="ListParagraphChar"/>
    <w:uiPriority w:val="72"/>
    <w:qFormat/>
    <w:rsid w:val="00C35996"/>
    <w:pPr>
      <w:ind w:left="720"/>
      <w:contextualSpacing/>
    </w:pPr>
    <w:rPr>
      <w:lang w:eastAsia="ja-JP"/>
    </w:rPr>
  </w:style>
  <w:style w:type="character" w:styleId="CommentReference">
    <w:name w:val="annotation reference"/>
    <w:basedOn w:val="DefaultParagraphFont"/>
    <w:uiPriority w:val="99"/>
    <w:rsid w:val="00BB7EC3"/>
    <w:rPr>
      <w:rFonts w:cs="Times New Roman"/>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character" w:styleId="Hyperlink">
    <w:name w:val="Hyperlink"/>
    <w:basedOn w:val="DefaultParagraphFont"/>
    <w:uiPriority w:val="99"/>
    <w:rsid w:val="00E54945"/>
    <w:rPr>
      <w:rFonts w:cs="Times New Roman"/>
      <w:color w:val="0000FF"/>
      <w:u w:val="single"/>
    </w:rPr>
  </w:style>
  <w:style w:type="paragraph" w:styleId="Revision">
    <w:name w:val="Revision"/>
    <w:hidden/>
    <w:uiPriority w:val="99"/>
    <w:rsid w:val="00EA4A09"/>
    <w:rPr>
      <w:sz w:val="24"/>
      <w:szCs w:val="24"/>
    </w:rPr>
  </w:style>
  <w:style w:type="character" w:customStyle="1" w:styleId="ListParagraphChar">
    <w:name w:val="List Paragraph Char"/>
    <w:link w:val="ListParagraph"/>
    <w:uiPriority w:val="99"/>
    <w:locked/>
    <w:rsid w:val="00CC29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161440">
      <w:marLeft w:val="0"/>
      <w:marRight w:val="0"/>
      <w:marTop w:val="0"/>
      <w:marBottom w:val="0"/>
      <w:divBdr>
        <w:top w:val="none" w:sz="0" w:space="0" w:color="auto"/>
        <w:left w:val="none" w:sz="0" w:space="0" w:color="auto"/>
        <w:bottom w:val="none" w:sz="0" w:space="0" w:color="auto"/>
        <w:right w:val="none" w:sz="0" w:space="0" w:color="auto"/>
      </w:divBdr>
    </w:div>
    <w:div w:id="1773161442">
      <w:marLeft w:val="0"/>
      <w:marRight w:val="0"/>
      <w:marTop w:val="0"/>
      <w:marBottom w:val="0"/>
      <w:divBdr>
        <w:top w:val="none" w:sz="0" w:space="0" w:color="auto"/>
        <w:left w:val="none" w:sz="0" w:space="0" w:color="auto"/>
        <w:bottom w:val="none" w:sz="0" w:space="0" w:color="auto"/>
        <w:right w:val="none" w:sz="0" w:space="0" w:color="auto"/>
      </w:divBdr>
    </w:div>
    <w:div w:id="1773161443">
      <w:marLeft w:val="0"/>
      <w:marRight w:val="0"/>
      <w:marTop w:val="0"/>
      <w:marBottom w:val="0"/>
      <w:divBdr>
        <w:top w:val="none" w:sz="0" w:space="0" w:color="auto"/>
        <w:left w:val="none" w:sz="0" w:space="0" w:color="auto"/>
        <w:bottom w:val="none" w:sz="0" w:space="0" w:color="auto"/>
        <w:right w:val="none" w:sz="0" w:space="0" w:color="auto"/>
      </w:divBdr>
      <w:divsChild>
        <w:div w:id="1773161444">
          <w:marLeft w:val="0"/>
          <w:marRight w:val="0"/>
          <w:marTop w:val="0"/>
          <w:marBottom w:val="0"/>
          <w:divBdr>
            <w:top w:val="none" w:sz="0" w:space="0" w:color="auto"/>
            <w:left w:val="none" w:sz="0" w:space="0" w:color="auto"/>
            <w:bottom w:val="none" w:sz="0" w:space="0" w:color="auto"/>
            <w:right w:val="none" w:sz="0" w:space="0" w:color="auto"/>
          </w:divBdr>
        </w:div>
      </w:divsChild>
    </w:div>
    <w:div w:id="1773161445">
      <w:marLeft w:val="0"/>
      <w:marRight w:val="0"/>
      <w:marTop w:val="0"/>
      <w:marBottom w:val="0"/>
      <w:divBdr>
        <w:top w:val="none" w:sz="0" w:space="0" w:color="auto"/>
        <w:left w:val="none" w:sz="0" w:space="0" w:color="auto"/>
        <w:bottom w:val="none" w:sz="0" w:space="0" w:color="auto"/>
        <w:right w:val="none" w:sz="0" w:space="0" w:color="auto"/>
      </w:divBdr>
      <w:divsChild>
        <w:div w:id="1773161441">
          <w:marLeft w:val="0"/>
          <w:marRight w:val="0"/>
          <w:marTop w:val="0"/>
          <w:marBottom w:val="0"/>
          <w:divBdr>
            <w:top w:val="none" w:sz="0" w:space="0" w:color="auto"/>
            <w:left w:val="none" w:sz="0" w:space="0" w:color="auto"/>
            <w:bottom w:val="none" w:sz="0" w:space="0" w:color="auto"/>
            <w:right w:val="none" w:sz="0" w:space="0" w:color="auto"/>
          </w:divBdr>
        </w:div>
      </w:divsChild>
    </w:div>
    <w:div w:id="1773161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3449</Words>
  <Characters>21322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2014-10-27T22:29:00Z</dcterms:created>
  <dcterms:modified xsi:type="dcterms:W3CDTF">2014-11-09T23:58:00Z</dcterms:modified>
</cp:coreProperties>
</file>