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4F8" w:rsidRPr="00B614F8" w:rsidRDefault="00B43E2B" w:rsidP="00B43E2B">
      <w:pPr>
        <w:ind w:left="709" w:hanging="709"/>
        <w:rPr>
          <w:b/>
          <w:sz w:val="28"/>
          <w:szCs w:val="28"/>
        </w:rPr>
      </w:pPr>
      <w:bookmarkStart w:id="0" w:name="_Toc341702017"/>
      <w:bookmarkStart w:id="1" w:name="_Toc380679747"/>
      <w:bookmarkStart w:id="2" w:name="_Toc380742604"/>
      <w:bookmarkStart w:id="3" w:name="_Toc380746171"/>
      <w:bookmarkStart w:id="4" w:name="_Toc380746294"/>
      <w:bookmarkStart w:id="5" w:name="_Toc380746578"/>
      <w:bookmarkStart w:id="6" w:name="_Toc388361898"/>
      <w:r>
        <w:rPr>
          <w:b/>
          <w:sz w:val="28"/>
          <w:szCs w:val="28"/>
        </w:rPr>
        <w:t>7.5</w:t>
      </w:r>
      <w:r>
        <w:rPr>
          <w:b/>
          <w:sz w:val="28"/>
          <w:szCs w:val="28"/>
        </w:rPr>
        <w:tab/>
      </w:r>
      <w:r w:rsidR="00B614F8" w:rsidRPr="00B614F8">
        <w:rPr>
          <w:b/>
          <w:sz w:val="28"/>
          <w:szCs w:val="28"/>
        </w:rPr>
        <w:t>PANITUMUMAB, injection, 100</w:t>
      </w:r>
      <w:r w:rsidR="00C41EDE">
        <w:rPr>
          <w:b/>
          <w:sz w:val="28"/>
          <w:szCs w:val="28"/>
        </w:rPr>
        <w:t xml:space="preserve"> </w:t>
      </w:r>
      <w:r w:rsidR="00B614F8" w:rsidRPr="00B614F8">
        <w:rPr>
          <w:b/>
          <w:sz w:val="28"/>
          <w:szCs w:val="28"/>
        </w:rPr>
        <w:t>mg/5</w:t>
      </w:r>
      <w:r w:rsidR="00C41EDE">
        <w:rPr>
          <w:b/>
          <w:sz w:val="28"/>
          <w:szCs w:val="28"/>
        </w:rPr>
        <w:t xml:space="preserve"> </w:t>
      </w:r>
      <w:r w:rsidR="00B614F8" w:rsidRPr="00B614F8">
        <w:rPr>
          <w:b/>
          <w:sz w:val="28"/>
          <w:szCs w:val="28"/>
        </w:rPr>
        <w:t>mL and 400</w:t>
      </w:r>
      <w:r w:rsidR="00C41EDE">
        <w:rPr>
          <w:b/>
          <w:sz w:val="28"/>
          <w:szCs w:val="28"/>
        </w:rPr>
        <w:t xml:space="preserve"> </w:t>
      </w:r>
      <w:r w:rsidR="00B614F8" w:rsidRPr="00B614F8">
        <w:rPr>
          <w:b/>
          <w:sz w:val="28"/>
          <w:szCs w:val="28"/>
        </w:rPr>
        <w:t>mg/20</w:t>
      </w:r>
      <w:r w:rsidR="00C41EDE">
        <w:rPr>
          <w:b/>
          <w:sz w:val="28"/>
          <w:szCs w:val="28"/>
        </w:rPr>
        <w:t xml:space="preserve"> </w:t>
      </w:r>
      <w:r w:rsidR="00B614F8" w:rsidRPr="00B614F8">
        <w:rPr>
          <w:b/>
          <w:sz w:val="28"/>
          <w:szCs w:val="28"/>
        </w:rPr>
        <w:t xml:space="preserve">mL, </w:t>
      </w:r>
      <w:proofErr w:type="spellStart"/>
      <w:r w:rsidR="00B614F8" w:rsidRPr="00B614F8">
        <w:rPr>
          <w:b/>
          <w:sz w:val="28"/>
          <w:szCs w:val="28"/>
        </w:rPr>
        <w:t>Vectibix</w:t>
      </w:r>
      <w:proofErr w:type="spellEnd"/>
      <w:r w:rsidR="00B614F8" w:rsidRPr="00B614F8">
        <w:rPr>
          <w:b/>
          <w:sz w:val="28"/>
          <w:szCs w:val="28"/>
          <w:vertAlign w:val="superscript"/>
        </w:rPr>
        <w:t>®</w:t>
      </w:r>
      <w:r w:rsidR="00B614F8" w:rsidRPr="00B614F8">
        <w:rPr>
          <w:b/>
          <w:sz w:val="28"/>
          <w:szCs w:val="28"/>
        </w:rPr>
        <w:t>, Amgen Australia Pty Ltd.</w:t>
      </w:r>
    </w:p>
    <w:bookmarkEnd w:id="0"/>
    <w:bookmarkEnd w:id="1"/>
    <w:bookmarkEnd w:id="2"/>
    <w:bookmarkEnd w:id="3"/>
    <w:bookmarkEnd w:id="4"/>
    <w:bookmarkEnd w:id="5"/>
    <w:bookmarkEnd w:id="6"/>
    <w:p w:rsidR="005E00C5" w:rsidRDefault="005E00C5">
      <w:pPr>
        <w:widowControl/>
        <w:jc w:val="left"/>
      </w:pPr>
    </w:p>
    <w:p w:rsidR="00B43E2B" w:rsidRPr="005E00C5" w:rsidRDefault="00B43E2B">
      <w:pPr>
        <w:widowControl/>
        <w:jc w:val="left"/>
      </w:pPr>
    </w:p>
    <w:p w:rsidR="001A53B7" w:rsidRPr="00407F2D" w:rsidRDefault="001A53B7" w:rsidP="001A53B7">
      <w:pPr>
        <w:pStyle w:val="ListParagraph"/>
        <w:widowControl/>
        <w:numPr>
          <w:ilvl w:val="0"/>
          <w:numId w:val="18"/>
        </w:numPr>
        <w:rPr>
          <w:b/>
          <w:szCs w:val="22"/>
        </w:rPr>
      </w:pPr>
      <w:bookmarkStart w:id="7" w:name="_Toc380679749"/>
      <w:bookmarkStart w:id="8" w:name="_Toc380742606"/>
      <w:bookmarkStart w:id="9" w:name="_Toc380746173"/>
      <w:bookmarkStart w:id="10" w:name="_Toc380746296"/>
      <w:bookmarkStart w:id="11" w:name="_Toc380746580"/>
      <w:r w:rsidRPr="00407F2D">
        <w:rPr>
          <w:b/>
          <w:szCs w:val="22"/>
        </w:rPr>
        <w:t>Purpose of Application</w:t>
      </w:r>
    </w:p>
    <w:p w:rsidR="00A474D7" w:rsidRPr="00CA2924" w:rsidRDefault="00A474D7" w:rsidP="00704E8B"/>
    <w:p w:rsidR="0071390E" w:rsidRPr="001A53B7" w:rsidRDefault="0071390E" w:rsidP="001A53B7">
      <w:pPr>
        <w:pStyle w:val="ListParagraph"/>
        <w:widowControl/>
        <w:numPr>
          <w:ilvl w:val="1"/>
          <w:numId w:val="18"/>
        </w:numPr>
        <w:rPr>
          <w:szCs w:val="22"/>
        </w:rPr>
      </w:pPr>
      <w:r w:rsidRPr="00CA2924">
        <w:t>To request that the</w:t>
      </w:r>
      <w:r w:rsidR="00AE0226" w:rsidRPr="00CA2924">
        <w:t xml:space="preserve"> </w:t>
      </w:r>
      <w:r w:rsidR="00C41EDE" w:rsidRPr="00CA2924">
        <w:t xml:space="preserve">current </w:t>
      </w:r>
      <w:r w:rsidR="00AE0226" w:rsidRPr="00CA2924">
        <w:t>Section 100 (Efficient Funding of Chemotherapy Program)</w:t>
      </w:r>
      <w:r w:rsidRPr="00CA2924">
        <w:t xml:space="preserve"> </w:t>
      </w:r>
      <w:r w:rsidR="00704E8B" w:rsidRPr="00CA2924">
        <w:t xml:space="preserve">Authority Required listing of </w:t>
      </w:r>
      <w:proofErr w:type="spellStart"/>
      <w:r w:rsidR="00704E8B" w:rsidRPr="00CA2924">
        <w:t>panitumumab</w:t>
      </w:r>
      <w:proofErr w:type="spellEnd"/>
      <w:r w:rsidR="00704E8B" w:rsidRPr="00CA2924">
        <w:t xml:space="preserve"> </w:t>
      </w:r>
      <w:r w:rsidRPr="00CA2924">
        <w:t xml:space="preserve">in the treatment of </w:t>
      </w:r>
      <w:r w:rsidR="00AE0226" w:rsidRPr="00CA2924">
        <w:t xml:space="preserve">later-line </w:t>
      </w:r>
      <w:r w:rsidRPr="00CA2924">
        <w:t>metastatic colorectal cancer (</w:t>
      </w:r>
      <w:proofErr w:type="spellStart"/>
      <w:r w:rsidRPr="00CA2924">
        <w:t>mCRC</w:t>
      </w:r>
      <w:proofErr w:type="spellEnd"/>
      <w:r w:rsidRPr="00CA2924">
        <w:t>) be amended to:</w:t>
      </w:r>
    </w:p>
    <w:p w:rsidR="006306F5" w:rsidRPr="00CA2924" w:rsidRDefault="006306F5" w:rsidP="006306F5">
      <w:pPr>
        <w:pStyle w:val="ListParagraph"/>
      </w:pPr>
      <w:r w:rsidRPr="00CA2924">
        <w:t xml:space="preserve">a) </w:t>
      </w:r>
      <w:proofErr w:type="gramStart"/>
      <w:r w:rsidRPr="00CA2924">
        <w:t>include</w:t>
      </w:r>
      <w:proofErr w:type="gramEnd"/>
      <w:r w:rsidRPr="00CA2924">
        <w:t xml:space="preserve"> first-line treatment</w:t>
      </w:r>
      <w:r w:rsidR="00B63667" w:rsidRPr="00CA2924">
        <w:t>; and</w:t>
      </w:r>
    </w:p>
    <w:p w:rsidR="006306F5" w:rsidRPr="00CA2924" w:rsidRDefault="006306F5" w:rsidP="006306F5">
      <w:pPr>
        <w:pStyle w:val="ListParagraph"/>
      </w:pPr>
      <w:r w:rsidRPr="00CA2924">
        <w:t xml:space="preserve">b) </w:t>
      </w:r>
      <w:proofErr w:type="gramStart"/>
      <w:r w:rsidRPr="00CA2924">
        <w:t>be</w:t>
      </w:r>
      <w:proofErr w:type="gramEnd"/>
      <w:r w:rsidRPr="00CA2924">
        <w:t xml:space="preserve"> limited to patients whose tumours have rat sarcoma proto-oncogene wild type (</w:t>
      </w:r>
      <w:r w:rsidRPr="00CA2924">
        <w:rPr>
          <w:i/>
          <w:u w:val="single"/>
        </w:rPr>
        <w:t>RAS</w:t>
      </w:r>
      <w:r w:rsidRPr="00CA2924">
        <w:rPr>
          <w:u w:val="single"/>
        </w:rPr>
        <w:t xml:space="preserve"> WT</w:t>
      </w:r>
      <w:r w:rsidRPr="00CA2924">
        <w:t xml:space="preserve">) status rather than Kirsten </w:t>
      </w:r>
      <w:r w:rsidRPr="00CA2924">
        <w:rPr>
          <w:i/>
        </w:rPr>
        <w:t>RAS</w:t>
      </w:r>
      <w:r w:rsidRPr="00CA2924">
        <w:t xml:space="preserve"> wild type (</w:t>
      </w:r>
      <w:r w:rsidRPr="00CA2924">
        <w:rPr>
          <w:i/>
          <w:u w:val="single"/>
        </w:rPr>
        <w:t>KRAS</w:t>
      </w:r>
      <w:r w:rsidRPr="00CA2924">
        <w:rPr>
          <w:u w:val="single"/>
        </w:rPr>
        <w:t xml:space="preserve"> WT</w:t>
      </w:r>
      <w:r w:rsidRPr="00CA2924">
        <w:t>) status.</w:t>
      </w:r>
    </w:p>
    <w:p w:rsidR="00704E8B" w:rsidRDefault="00704E8B" w:rsidP="00704E8B"/>
    <w:p w:rsidR="00B43E2B" w:rsidRPr="00CA2924" w:rsidRDefault="00B43E2B" w:rsidP="00704E8B"/>
    <w:p w:rsidR="001A53B7" w:rsidRPr="00407F2D" w:rsidRDefault="001A53B7" w:rsidP="001A53B7">
      <w:pPr>
        <w:pStyle w:val="ListParagraph"/>
        <w:widowControl/>
        <w:numPr>
          <w:ilvl w:val="0"/>
          <w:numId w:val="18"/>
        </w:numPr>
        <w:rPr>
          <w:b/>
          <w:szCs w:val="22"/>
        </w:rPr>
      </w:pPr>
      <w:r w:rsidRPr="00407F2D">
        <w:rPr>
          <w:b/>
          <w:szCs w:val="22"/>
        </w:rPr>
        <w:t>Requested listing</w:t>
      </w:r>
    </w:p>
    <w:p w:rsidR="00B43E2B" w:rsidRPr="00B43E2B" w:rsidRDefault="00B43E2B" w:rsidP="00B43E2B"/>
    <w:tbl>
      <w:tblPr>
        <w:tblW w:w="63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requested listing - panitumumab"/>
      </w:tblPr>
      <w:tblGrid>
        <w:gridCol w:w="2835"/>
        <w:gridCol w:w="709"/>
        <w:gridCol w:w="567"/>
        <w:gridCol w:w="1134"/>
        <w:gridCol w:w="1134"/>
      </w:tblGrid>
      <w:tr w:rsidR="000A70D2" w:rsidRPr="00B43E2B" w:rsidTr="000A70D2">
        <w:trPr>
          <w:cantSplit/>
          <w:trHeight w:val="471"/>
        </w:trPr>
        <w:tc>
          <w:tcPr>
            <w:tcW w:w="2835" w:type="dxa"/>
          </w:tcPr>
          <w:p w:rsidR="000A70D2" w:rsidRPr="00B43E2B" w:rsidRDefault="000A70D2" w:rsidP="00B43E2B">
            <w:pPr>
              <w:keepNext/>
              <w:ind w:left="-108"/>
              <w:jc w:val="center"/>
              <w:rPr>
                <w:rFonts w:ascii="Arial Narrow" w:hAnsi="Arial Narrow"/>
                <w:b/>
                <w:sz w:val="20"/>
              </w:rPr>
            </w:pPr>
            <w:r w:rsidRPr="00B43E2B">
              <w:rPr>
                <w:rFonts w:ascii="Arial Narrow" w:hAnsi="Arial Narrow"/>
                <w:b/>
                <w:sz w:val="20"/>
              </w:rPr>
              <w:t>Name, Restriction,</w:t>
            </w:r>
          </w:p>
          <w:p w:rsidR="000A70D2" w:rsidRPr="00B43E2B" w:rsidRDefault="000A70D2" w:rsidP="00B43E2B">
            <w:pPr>
              <w:keepNext/>
              <w:ind w:left="-108"/>
              <w:jc w:val="center"/>
              <w:rPr>
                <w:rFonts w:ascii="Arial Narrow" w:hAnsi="Arial Narrow"/>
                <w:b/>
                <w:sz w:val="20"/>
              </w:rPr>
            </w:pPr>
            <w:r w:rsidRPr="00B43E2B">
              <w:rPr>
                <w:rFonts w:ascii="Arial Narrow" w:hAnsi="Arial Narrow"/>
                <w:b/>
                <w:sz w:val="20"/>
              </w:rPr>
              <w:t>Manner of administration and form</w:t>
            </w:r>
          </w:p>
        </w:tc>
        <w:tc>
          <w:tcPr>
            <w:tcW w:w="709" w:type="dxa"/>
          </w:tcPr>
          <w:p w:rsidR="000A70D2" w:rsidRPr="00B43E2B" w:rsidRDefault="000A70D2" w:rsidP="00B43E2B">
            <w:pPr>
              <w:keepNext/>
              <w:ind w:left="-108"/>
              <w:jc w:val="center"/>
              <w:rPr>
                <w:rFonts w:ascii="Arial Narrow" w:hAnsi="Arial Narrow"/>
                <w:b/>
                <w:sz w:val="20"/>
              </w:rPr>
            </w:pPr>
            <w:r w:rsidRPr="00B43E2B">
              <w:rPr>
                <w:rFonts w:ascii="Arial Narrow" w:hAnsi="Arial Narrow"/>
                <w:b/>
                <w:sz w:val="20"/>
              </w:rPr>
              <w:t>Max.</w:t>
            </w:r>
          </w:p>
          <w:p w:rsidR="000A70D2" w:rsidRPr="00B43E2B" w:rsidRDefault="000A70D2" w:rsidP="00B43E2B">
            <w:pPr>
              <w:keepNext/>
              <w:ind w:left="-108"/>
              <w:jc w:val="center"/>
              <w:rPr>
                <w:rFonts w:ascii="Arial Narrow" w:hAnsi="Arial Narrow"/>
                <w:b/>
                <w:sz w:val="20"/>
              </w:rPr>
            </w:pPr>
            <w:r w:rsidRPr="00B43E2B">
              <w:rPr>
                <w:rFonts w:ascii="Arial Narrow" w:hAnsi="Arial Narrow"/>
                <w:b/>
                <w:sz w:val="20"/>
              </w:rPr>
              <w:t>Amt.</w:t>
            </w:r>
          </w:p>
        </w:tc>
        <w:tc>
          <w:tcPr>
            <w:tcW w:w="567" w:type="dxa"/>
          </w:tcPr>
          <w:p w:rsidR="000A70D2" w:rsidRPr="00B43E2B" w:rsidRDefault="000A70D2" w:rsidP="00B43E2B">
            <w:pPr>
              <w:keepNext/>
              <w:ind w:left="-108"/>
              <w:jc w:val="center"/>
              <w:rPr>
                <w:rFonts w:ascii="Arial Narrow" w:hAnsi="Arial Narrow"/>
                <w:b/>
                <w:sz w:val="20"/>
              </w:rPr>
            </w:pPr>
            <w:r w:rsidRPr="00B43E2B">
              <w:rPr>
                <w:rFonts w:ascii="Arial Narrow" w:hAnsi="Arial Narrow"/>
                <w:b/>
                <w:sz w:val="20"/>
              </w:rPr>
              <w:t>№.of</w:t>
            </w:r>
          </w:p>
          <w:p w:rsidR="000A70D2" w:rsidRPr="00B43E2B" w:rsidRDefault="000A70D2" w:rsidP="00B43E2B">
            <w:pPr>
              <w:keepNext/>
              <w:ind w:left="-108"/>
              <w:jc w:val="center"/>
              <w:rPr>
                <w:rFonts w:ascii="Arial Narrow" w:hAnsi="Arial Narrow"/>
                <w:b/>
                <w:sz w:val="20"/>
              </w:rPr>
            </w:pPr>
            <w:proofErr w:type="spellStart"/>
            <w:r w:rsidRPr="00B43E2B">
              <w:rPr>
                <w:rFonts w:ascii="Arial Narrow" w:hAnsi="Arial Narrow"/>
                <w:b/>
                <w:sz w:val="20"/>
              </w:rPr>
              <w:t>Rpts</w:t>
            </w:r>
            <w:proofErr w:type="spellEnd"/>
          </w:p>
        </w:tc>
        <w:tc>
          <w:tcPr>
            <w:tcW w:w="2268" w:type="dxa"/>
            <w:gridSpan w:val="2"/>
          </w:tcPr>
          <w:p w:rsidR="000A70D2" w:rsidRPr="00B43E2B" w:rsidRDefault="000A70D2" w:rsidP="00B43E2B">
            <w:pPr>
              <w:keepNext/>
              <w:jc w:val="center"/>
              <w:rPr>
                <w:rFonts w:ascii="Arial Narrow" w:hAnsi="Arial Narrow"/>
                <w:b/>
                <w:sz w:val="20"/>
                <w:lang w:val="fr-FR"/>
              </w:rPr>
            </w:pPr>
            <w:r w:rsidRPr="00B43E2B">
              <w:rPr>
                <w:rFonts w:ascii="Arial Narrow" w:hAnsi="Arial Narrow"/>
                <w:b/>
                <w:sz w:val="20"/>
              </w:rPr>
              <w:t>Proprietary Name and Manufacturer</w:t>
            </w:r>
          </w:p>
        </w:tc>
      </w:tr>
      <w:tr w:rsidR="000A70D2" w:rsidRPr="00B43E2B" w:rsidTr="000A70D2">
        <w:trPr>
          <w:cantSplit/>
          <w:trHeight w:val="577"/>
        </w:trPr>
        <w:tc>
          <w:tcPr>
            <w:tcW w:w="2835" w:type="dxa"/>
          </w:tcPr>
          <w:p w:rsidR="000A70D2" w:rsidRPr="00B43E2B" w:rsidRDefault="000A70D2" w:rsidP="00A474D7">
            <w:pPr>
              <w:keepNext/>
              <w:ind w:left="-108"/>
              <w:rPr>
                <w:rFonts w:ascii="Arial Narrow" w:hAnsi="Arial Narrow"/>
                <w:sz w:val="20"/>
              </w:rPr>
            </w:pPr>
            <w:r w:rsidRPr="00B43E2B">
              <w:rPr>
                <w:rFonts w:ascii="Arial Narrow" w:hAnsi="Arial Narrow"/>
                <w:smallCaps/>
                <w:sz w:val="20"/>
              </w:rPr>
              <w:t>PANITUMUMAB</w:t>
            </w:r>
          </w:p>
          <w:p w:rsidR="000A70D2" w:rsidRPr="00B43E2B" w:rsidRDefault="000A70D2" w:rsidP="00481537">
            <w:pPr>
              <w:keepNext/>
              <w:ind w:left="-108"/>
              <w:jc w:val="left"/>
              <w:rPr>
                <w:rFonts w:ascii="Arial Narrow" w:hAnsi="Arial Narrow"/>
                <w:sz w:val="20"/>
              </w:rPr>
            </w:pPr>
            <w:r w:rsidRPr="00B43E2B">
              <w:rPr>
                <w:rFonts w:ascii="Arial Narrow" w:hAnsi="Arial Narrow"/>
                <w:sz w:val="20"/>
              </w:rPr>
              <w:t>Solution for IV infusion</w:t>
            </w:r>
            <w:r w:rsidRPr="00B43E2B">
              <w:rPr>
                <w:rFonts w:ascii="Arial Narrow" w:hAnsi="Arial Narrow"/>
                <w:sz w:val="20"/>
              </w:rPr>
              <w:br/>
              <w:t>100 mg in 5 mL &amp; 400 mg in 20 mL</w:t>
            </w:r>
          </w:p>
        </w:tc>
        <w:tc>
          <w:tcPr>
            <w:tcW w:w="709" w:type="dxa"/>
          </w:tcPr>
          <w:p w:rsidR="000A70D2" w:rsidRPr="00B43E2B" w:rsidRDefault="000A70D2" w:rsidP="00A474D7">
            <w:pPr>
              <w:keepNext/>
              <w:ind w:left="-108"/>
              <w:rPr>
                <w:rFonts w:ascii="Arial Narrow" w:hAnsi="Arial Narrow"/>
                <w:sz w:val="20"/>
              </w:rPr>
            </w:pPr>
          </w:p>
          <w:p w:rsidR="000A70D2" w:rsidRPr="00B43E2B" w:rsidRDefault="000A70D2" w:rsidP="00A474D7">
            <w:pPr>
              <w:keepNext/>
              <w:ind w:left="-108"/>
              <w:rPr>
                <w:rFonts w:ascii="Arial Narrow" w:hAnsi="Arial Narrow"/>
                <w:sz w:val="20"/>
              </w:rPr>
            </w:pPr>
            <w:r w:rsidRPr="00B43E2B">
              <w:rPr>
                <w:rFonts w:ascii="Arial Narrow" w:hAnsi="Arial Narrow"/>
                <w:sz w:val="20"/>
              </w:rPr>
              <w:t>720 mg</w:t>
            </w:r>
          </w:p>
        </w:tc>
        <w:tc>
          <w:tcPr>
            <w:tcW w:w="567" w:type="dxa"/>
          </w:tcPr>
          <w:p w:rsidR="000A70D2" w:rsidRPr="00B43E2B" w:rsidRDefault="000A70D2" w:rsidP="00A474D7">
            <w:pPr>
              <w:keepNext/>
              <w:ind w:left="-108"/>
              <w:rPr>
                <w:rFonts w:ascii="Arial Narrow" w:hAnsi="Arial Narrow"/>
                <w:sz w:val="20"/>
              </w:rPr>
            </w:pPr>
          </w:p>
          <w:p w:rsidR="000A70D2" w:rsidRPr="00B43E2B" w:rsidRDefault="000A70D2" w:rsidP="00A474D7">
            <w:pPr>
              <w:keepNext/>
              <w:ind w:left="-108"/>
              <w:rPr>
                <w:rFonts w:ascii="Arial Narrow" w:hAnsi="Arial Narrow"/>
                <w:sz w:val="20"/>
              </w:rPr>
            </w:pPr>
            <w:r w:rsidRPr="00B43E2B">
              <w:rPr>
                <w:rFonts w:ascii="Arial Narrow" w:hAnsi="Arial Narrow"/>
                <w:sz w:val="20"/>
              </w:rPr>
              <w:t>11</w:t>
            </w:r>
          </w:p>
        </w:tc>
        <w:tc>
          <w:tcPr>
            <w:tcW w:w="1134" w:type="dxa"/>
          </w:tcPr>
          <w:p w:rsidR="000A70D2" w:rsidRPr="00B43E2B" w:rsidRDefault="000A70D2" w:rsidP="00A474D7">
            <w:pPr>
              <w:keepNext/>
              <w:rPr>
                <w:rFonts w:ascii="Arial Narrow" w:hAnsi="Arial Narrow"/>
                <w:sz w:val="20"/>
              </w:rPr>
            </w:pPr>
            <w:proofErr w:type="spellStart"/>
            <w:r w:rsidRPr="00B43E2B">
              <w:rPr>
                <w:rFonts w:ascii="Arial Narrow" w:hAnsi="Arial Narrow"/>
                <w:sz w:val="20"/>
              </w:rPr>
              <w:t>Vectibix</w:t>
            </w:r>
            <w:proofErr w:type="spellEnd"/>
            <w:r w:rsidRPr="00B43E2B">
              <w:rPr>
                <w:rFonts w:ascii="Arial Narrow" w:hAnsi="Arial Narrow"/>
                <w:sz w:val="20"/>
                <w:vertAlign w:val="superscript"/>
              </w:rPr>
              <w:t>®</w:t>
            </w:r>
          </w:p>
        </w:tc>
        <w:tc>
          <w:tcPr>
            <w:tcW w:w="1134" w:type="dxa"/>
          </w:tcPr>
          <w:p w:rsidR="000A70D2" w:rsidRPr="00B43E2B" w:rsidRDefault="000A70D2" w:rsidP="00A474D7">
            <w:pPr>
              <w:keepNext/>
              <w:ind w:left="-108"/>
              <w:rPr>
                <w:rFonts w:ascii="Arial Narrow" w:hAnsi="Arial Narrow"/>
                <w:sz w:val="20"/>
              </w:rPr>
            </w:pPr>
            <w:r w:rsidRPr="00B43E2B">
              <w:rPr>
                <w:rFonts w:ascii="Arial Narrow" w:hAnsi="Arial Narrow"/>
                <w:sz w:val="20"/>
              </w:rPr>
              <w:t>AMGEN</w:t>
            </w:r>
          </w:p>
        </w:tc>
      </w:tr>
    </w:tbl>
    <w:p w:rsidR="00A474D7" w:rsidRPr="00CA2924" w:rsidRDefault="00A474D7" w:rsidP="00A474D7"/>
    <w:p w:rsidR="00A474D7" w:rsidRPr="001A53B7" w:rsidRDefault="00A474D7" w:rsidP="001A53B7">
      <w:pPr>
        <w:pStyle w:val="ListParagraph"/>
        <w:widowControl/>
        <w:numPr>
          <w:ilvl w:val="1"/>
          <w:numId w:val="18"/>
        </w:numPr>
        <w:rPr>
          <w:szCs w:val="22"/>
        </w:rPr>
      </w:pPr>
      <w:r w:rsidRPr="00CA2924">
        <w:t xml:space="preserve">The </w:t>
      </w:r>
      <w:r w:rsidR="00481537" w:rsidRPr="00CA2924">
        <w:t xml:space="preserve">two </w:t>
      </w:r>
      <w:r w:rsidRPr="00CA2924">
        <w:t>request</w:t>
      </w:r>
      <w:r w:rsidR="00481537" w:rsidRPr="00CA2924">
        <w:t xml:space="preserve">s </w:t>
      </w:r>
      <w:r w:rsidR="00812674" w:rsidRPr="00CA2924">
        <w:t xml:space="preserve">of the re-submission </w:t>
      </w:r>
      <w:r w:rsidR="00481537" w:rsidRPr="00CA2924">
        <w:t xml:space="preserve">are </w:t>
      </w:r>
      <w:r w:rsidR="00812674" w:rsidRPr="00CA2924">
        <w:t xml:space="preserve">both </w:t>
      </w:r>
      <w:r w:rsidR="00481537" w:rsidRPr="00CA2924">
        <w:t xml:space="preserve">consistent with recent changes in approvals by </w:t>
      </w:r>
      <w:r w:rsidRPr="00CA2924">
        <w:t>the TGA and the European Medicines Agency (EMA)</w:t>
      </w:r>
      <w:r w:rsidR="00481537" w:rsidRPr="00CA2924">
        <w:t xml:space="preserve">. </w:t>
      </w:r>
      <w:r w:rsidR="00287193" w:rsidRPr="00CA2924">
        <w:t xml:space="preserve"> </w:t>
      </w:r>
      <w:r w:rsidRPr="00CA2924">
        <w:t>The current TGA indications for</w:t>
      </w:r>
      <w:r w:rsidR="00481537" w:rsidRPr="00CA2924">
        <w:t xml:space="preserve"> </w:t>
      </w:r>
      <w:proofErr w:type="spellStart"/>
      <w:r w:rsidRPr="00CA2924">
        <w:t>panitumumab</w:t>
      </w:r>
      <w:proofErr w:type="spellEnd"/>
      <w:r w:rsidRPr="00CA2924">
        <w:t xml:space="preserve"> </w:t>
      </w:r>
      <w:r w:rsidR="00F135D8" w:rsidRPr="00CA2924">
        <w:t xml:space="preserve">(product information amended 26 May 2014) </w:t>
      </w:r>
      <w:r w:rsidR="00481537" w:rsidRPr="00CA2924">
        <w:t xml:space="preserve">and </w:t>
      </w:r>
      <w:proofErr w:type="spellStart"/>
      <w:r w:rsidRPr="00CA2924">
        <w:t>cetuximab</w:t>
      </w:r>
      <w:proofErr w:type="spellEnd"/>
      <w:r w:rsidRPr="00CA2924">
        <w:t xml:space="preserve"> </w:t>
      </w:r>
      <w:r w:rsidR="00F135D8" w:rsidRPr="00CA2924">
        <w:t xml:space="preserve">(product information amended 3 April 2014) both </w:t>
      </w:r>
      <w:r w:rsidR="00481537" w:rsidRPr="00CA2924">
        <w:t xml:space="preserve">include first-line treatment and </w:t>
      </w:r>
      <w:r w:rsidR="00F135D8" w:rsidRPr="00CA2924">
        <w:t xml:space="preserve">also </w:t>
      </w:r>
      <w:r w:rsidR="00481537" w:rsidRPr="00CA2924">
        <w:t xml:space="preserve">are limited to </w:t>
      </w:r>
      <w:proofErr w:type="spellStart"/>
      <w:r w:rsidRPr="00CA2924">
        <w:t>mCRC</w:t>
      </w:r>
      <w:proofErr w:type="spellEnd"/>
      <w:r w:rsidRPr="00CA2924">
        <w:t xml:space="preserve"> patients with </w:t>
      </w:r>
      <w:r w:rsidRPr="001A53B7">
        <w:rPr>
          <w:i/>
        </w:rPr>
        <w:t>RAS</w:t>
      </w:r>
      <w:r w:rsidRPr="00CA2924">
        <w:t xml:space="preserve"> WT tumours.</w:t>
      </w:r>
      <w:r w:rsidR="003377AA" w:rsidRPr="00CA2924">
        <w:t xml:space="preserve">  </w:t>
      </w:r>
      <w:r w:rsidR="003377AA" w:rsidRPr="001A53B7">
        <w:rPr>
          <w:szCs w:val="22"/>
        </w:rPr>
        <w:t xml:space="preserve">The intention of the </w:t>
      </w:r>
      <w:r w:rsidR="00EF739D" w:rsidRPr="001A53B7">
        <w:rPr>
          <w:szCs w:val="22"/>
        </w:rPr>
        <w:t>request regarding</w:t>
      </w:r>
      <w:r w:rsidR="00D171ED" w:rsidRPr="001A53B7">
        <w:rPr>
          <w:szCs w:val="22"/>
        </w:rPr>
        <w:t xml:space="preserve"> </w:t>
      </w:r>
      <w:r w:rsidR="00EF739D" w:rsidRPr="001A53B7">
        <w:rPr>
          <w:i/>
          <w:szCs w:val="22"/>
        </w:rPr>
        <w:t>RAS</w:t>
      </w:r>
      <w:r w:rsidR="00EF739D" w:rsidRPr="001A53B7">
        <w:rPr>
          <w:szCs w:val="22"/>
        </w:rPr>
        <w:t xml:space="preserve"> is that anti-EGFR </w:t>
      </w:r>
      <w:r w:rsidR="00BB46EB" w:rsidRPr="001A53B7">
        <w:rPr>
          <w:szCs w:val="22"/>
        </w:rPr>
        <w:t>antibodies</w:t>
      </w:r>
      <w:r w:rsidR="00EF739D" w:rsidRPr="001A53B7">
        <w:rPr>
          <w:szCs w:val="22"/>
        </w:rPr>
        <w:t xml:space="preserve"> (</w:t>
      </w:r>
      <w:proofErr w:type="spellStart"/>
      <w:r w:rsidR="00EF739D" w:rsidRPr="001A53B7">
        <w:rPr>
          <w:szCs w:val="22"/>
        </w:rPr>
        <w:t>cetuximab</w:t>
      </w:r>
      <w:proofErr w:type="spellEnd"/>
      <w:r w:rsidR="00EF739D" w:rsidRPr="001A53B7">
        <w:rPr>
          <w:szCs w:val="22"/>
        </w:rPr>
        <w:t xml:space="preserve"> and </w:t>
      </w:r>
      <w:proofErr w:type="spellStart"/>
      <w:r w:rsidR="00EF739D" w:rsidRPr="001A53B7">
        <w:rPr>
          <w:szCs w:val="22"/>
        </w:rPr>
        <w:t>panitumumab</w:t>
      </w:r>
      <w:proofErr w:type="spellEnd"/>
      <w:r w:rsidR="00EF739D" w:rsidRPr="001A53B7">
        <w:rPr>
          <w:szCs w:val="22"/>
        </w:rPr>
        <w:t xml:space="preserve">) should </w:t>
      </w:r>
      <w:r w:rsidR="00D171ED" w:rsidRPr="001A53B7">
        <w:rPr>
          <w:szCs w:val="22"/>
        </w:rPr>
        <w:t xml:space="preserve">only be used in </w:t>
      </w:r>
      <w:r w:rsidR="003377AA" w:rsidRPr="001A53B7">
        <w:rPr>
          <w:szCs w:val="22"/>
        </w:rPr>
        <w:t>patients</w:t>
      </w:r>
      <w:r w:rsidR="00EF739D" w:rsidRPr="001A53B7">
        <w:rPr>
          <w:szCs w:val="22"/>
        </w:rPr>
        <w:t xml:space="preserve"> with</w:t>
      </w:r>
      <w:r w:rsidR="003377AA" w:rsidRPr="001A53B7">
        <w:rPr>
          <w:szCs w:val="22"/>
        </w:rPr>
        <w:t xml:space="preserve"> </w:t>
      </w:r>
      <w:r w:rsidR="003377AA" w:rsidRPr="001A53B7">
        <w:rPr>
          <w:i/>
          <w:szCs w:val="22"/>
        </w:rPr>
        <w:t>RAS</w:t>
      </w:r>
      <w:r w:rsidR="003377AA" w:rsidRPr="001A53B7">
        <w:rPr>
          <w:szCs w:val="22"/>
        </w:rPr>
        <w:t xml:space="preserve"> </w:t>
      </w:r>
      <w:r w:rsidR="00D171ED" w:rsidRPr="001A53B7">
        <w:rPr>
          <w:szCs w:val="22"/>
        </w:rPr>
        <w:t>WT tumours</w:t>
      </w:r>
      <w:r w:rsidR="003377AA" w:rsidRPr="001A53B7">
        <w:rPr>
          <w:szCs w:val="22"/>
        </w:rPr>
        <w:t>.</w:t>
      </w:r>
    </w:p>
    <w:p w:rsidR="001B6109" w:rsidRPr="00CA2924" w:rsidRDefault="001B6109" w:rsidP="00704E8B">
      <w:pPr>
        <w:rPr>
          <w:szCs w:val="22"/>
        </w:rPr>
      </w:pPr>
    </w:p>
    <w:p w:rsidR="00B614F8" w:rsidRPr="00CA2924" w:rsidRDefault="00B614F8" w:rsidP="00B614F8">
      <w:pPr>
        <w:pStyle w:val="ListParagraph"/>
        <w:ind w:left="709"/>
        <w:rPr>
          <w:i/>
          <w:szCs w:val="22"/>
        </w:rPr>
      </w:pPr>
      <w:r w:rsidRPr="00CA2924">
        <w:rPr>
          <w:i/>
          <w:szCs w:val="22"/>
        </w:rPr>
        <w:t>For more detail on PBAC’s view, see section 7 “PBAC outcome”</w:t>
      </w:r>
      <w:r w:rsidR="00C41EDE" w:rsidRPr="00CA2924">
        <w:rPr>
          <w:i/>
          <w:szCs w:val="22"/>
        </w:rPr>
        <w:t xml:space="preserve"> and section 8 “Recommended listing”</w:t>
      </w:r>
    </w:p>
    <w:p w:rsidR="00B614F8" w:rsidRDefault="00B614F8" w:rsidP="00704E8B">
      <w:pPr>
        <w:rPr>
          <w:szCs w:val="22"/>
          <w:highlight w:val="lightGray"/>
        </w:rPr>
      </w:pPr>
    </w:p>
    <w:p w:rsidR="00B43E2B" w:rsidRPr="006068F2" w:rsidRDefault="00B43E2B" w:rsidP="00704E8B">
      <w:pPr>
        <w:rPr>
          <w:szCs w:val="22"/>
          <w:highlight w:val="lightGray"/>
        </w:rPr>
      </w:pPr>
    </w:p>
    <w:p w:rsidR="001A53B7" w:rsidRPr="00407F2D" w:rsidRDefault="001A53B7" w:rsidP="001A53B7">
      <w:pPr>
        <w:pStyle w:val="ListParagraph"/>
        <w:widowControl/>
        <w:numPr>
          <w:ilvl w:val="0"/>
          <w:numId w:val="18"/>
        </w:numPr>
        <w:rPr>
          <w:szCs w:val="22"/>
        </w:rPr>
      </w:pPr>
      <w:r w:rsidRPr="00407F2D">
        <w:rPr>
          <w:b/>
          <w:szCs w:val="22"/>
        </w:rPr>
        <w:t>Background</w:t>
      </w:r>
    </w:p>
    <w:p w:rsidR="005E00C5" w:rsidRPr="00CA2924" w:rsidRDefault="005E00C5" w:rsidP="00704E8B">
      <w:pPr>
        <w:rPr>
          <w:szCs w:val="22"/>
        </w:rPr>
      </w:pPr>
    </w:p>
    <w:p w:rsidR="006306F5" w:rsidRPr="001A53B7" w:rsidRDefault="006306F5" w:rsidP="001A53B7">
      <w:pPr>
        <w:pStyle w:val="ListParagraph"/>
        <w:widowControl/>
        <w:numPr>
          <w:ilvl w:val="1"/>
          <w:numId w:val="18"/>
        </w:numPr>
        <w:rPr>
          <w:szCs w:val="22"/>
        </w:rPr>
      </w:pPr>
      <w:proofErr w:type="spellStart"/>
      <w:r w:rsidRPr="001A53B7">
        <w:rPr>
          <w:szCs w:val="22"/>
        </w:rPr>
        <w:t>Panitumumab</w:t>
      </w:r>
      <w:proofErr w:type="spellEnd"/>
      <w:r w:rsidRPr="001A53B7">
        <w:rPr>
          <w:szCs w:val="22"/>
        </w:rPr>
        <w:t xml:space="preserve"> is TGA registered for treatment of patients with wild-type </w:t>
      </w:r>
      <w:r w:rsidRPr="001A53B7">
        <w:rPr>
          <w:i/>
          <w:szCs w:val="22"/>
        </w:rPr>
        <w:t>RAS</w:t>
      </w:r>
      <w:r w:rsidRPr="001A53B7">
        <w:rPr>
          <w:szCs w:val="22"/>
        </w:rPr>
        <w:t xml:space="preserve"> metastatic colorectal cancer as first line therapy in combination with FOLFOX, as second line therapy in </w:t>
      </w:r>
      <w:r w:rsidR="00B63667" w:rsidRPr="001A53B7">
        <w:rPr>
          <w:szCs w:val="22"/>
        </w:rPr>
        <w:t>conjunction</w:t>
      </w:r>
      <w:r w:rsidRPr="001A53B7">
        <w:rPr>
          <w:szCs w:val="22"/>
        </w:rPr>
        <w:t xml:space="preserve"> with FOLFIRI in patients who have received first-line </w:t>
      </w:r>
      <w:proofErr w:type="spellStart"/>
      <w:r w:rsidRPr="001A53B7">
        <w:rPr>
          <w:szCs w:val="22"/>
        </w:rPr>
        <w:t>fluoropyrimidine</w:t>
      </w:r>
      <w:proofErr w:type="spellEnd"/>
      <w:r w:rsidRPr="001A53B7">
        <w:rPr>
          <w:szCs w:val="22"/>
        </w:rPr>
        <w:t xml:space="preserve">-based chemotherapy, and as monotherapy in patients after failure of standard chemotherapy. </w:t>
      </w:r>
    </w:p>
    <w:p w:rsidR="006306F5" w:rsidRPr="00B43E2B" w:rsidRDefault="006306F5" w:rsidP="006306F5">
      <w:pPr>
        <w:rPr>
          <w:szCs w:val="22"/>
        </w:rPr>
      </w:pPr>
    </w:p>
    <w:p w:rsidR="001B6109" w:rsidRPr="001A53B7" w:rsidRDefault="001B6109" w:rsidP="001A53B7">
      <w:pPr>
        <w:pStyle w:val="ListParagraph"/>
        <w:widowControl/>
        <w:numPr>
          <w:ilvl w:val="1"/>
          <w:numId w:val="18"/>
        </w:numPr>
        <w:rPr>
          <w:szCs w:val="22"/>
        </w:rPr>
      </w:pPr>
      <w:r w:rsidRPr="00CA2924">
        <w:t xml:space="preserve">This is the </w:t>
      </w:r>
      <w:r w:rsidR="00812674" w:rsidRPr="00CA2924">
        <w:t>fourth</w:t>
      </w:r>
      <w:r w:rsidRPr="00CA2924">
        <w:t xml:space="preserve"> submission for </w:t>
      </w:r>
      <w:proofErr w:type="spellStart"/>
      <w:r w:rsidRPr="00CA2924">
        <w:t>panitumumab</w:t>
      </w:r>
      <w:proofErr w:type="spellEnd"/>
      <w:r w:rsidRPr="00CA2924">
        <w:t xml:space="preserve"> for consideration by the PBAC.</w:t>
      </w:r>
    </w:p>
    <w:p w:rsidR="001B6109" w:rsidRPr="00CA2924" w:rsidRDefault="001B6109" w:rsidP="001B6109">
      <w:pPr>
        <w:rPr>
          <w:szCs w:val="22"/>
        </w:rPr>
      </w:pPr>
    </w:p>
    <w:p w:rsidR="001B6109" w:rsidRPr="001A53B7" w:rsidRDefault="001B6109" w:rsidP="001A53B7">
      <w:pPr>
        <w:pStyle w:val="ListParagraph"/>
        <w:widowControl/>
        <w:numPr>
          <w:ilvl w:val="1"/>
          <w:numId w:val="18"/>
        </w:numPr>
        <w:rPr>
          <w:szCs w:val="22"/>
        </w:rPr>
      </w:pPr>
      <w:r w:rsidRPr="00CA2924">
        <w:t xml:space="preserve">In November 2008, the PBAC rejected a submission for the treatment of </w:t>
      </w:r>
      <w:r w:rsidRPr="001A53B7">
        <w:rPr>
          <w:i/>
        </w:rPr>
        <w:t>KRAS</w:t>
      </w:r>
      <w:r w:rsidRPr="00CA2924">
        <w:t xml:space="preserve"> WT </w:t>
      </w:r>
      <w:proofErr w:type="spellStart"/>
      <w:r w:rsidRPr="00CA2924">
        <w:t>mCRC</w:t>
      </w:r>
      <w:proofErr w:type="spellEnd"/>
      <w:r w:rsidRPr="00CA2924">
        <w:t xml:space="preserve"> after failure of treatment with chemotherapy on the basis of uncertainty regarding the extent of clinical benefit over best supportive care (BSC).</w:t>
      </w:r>
    </w:p>
    <w:p w:rsidR="001B6109" w:rsidRPr="00CA2924" w:rsidRDefault="001B6109" w:rsidP="001B6109">
      <w:pPr>
        <w:rPr>
          <w:szCs w:val="22"/>
        </w:rPr>
      </w:pPr>
    </w:p>
    <w:p w:rsidR="001B6109" w:rsidRPr="001A53B7" w:rsidRDefault="001B6109" w:rsidP="001A53B7">
      <w:pPr>
        <w:pStyle w:val="ListParagraph"/>
        <w:widowControl/>
        <w:numPr>
          <w:ilvl w:val="1"/>
          <w:numId w:val="18"/>
        </w:numPr>
        <w:rPr>
          <w:szCs w:val="22"/>
        </w:rPr>
      </w:pPr>
      <w:r w:rsidRPr="00CA2924">
        <w:t xml:space="preserve">In March 2013, the PBAC recommended listing of </w:t>
      </w:r>
      <w:proofErr w:type="spellStart"/>
      <w:r w:rsidRPr="00CA2924">
        <w:t>panitumumab</w:t>
      </w:r>
      <w:proofErr w:type="spellEnd"/>
      <w:r w:rsidRPr="00CA2924">
        <w:t xml:space="preserve"> in the later-line treatment of </w:t>
      </w:r>
      <w:r w:rsidRPr="001A53B7">
        <w:rPr>
          <w:i/>
        </w:rPr>
        <w:t>KRAS</w:t>
      </w:r>
      <w:r w:rsidRPr="00CA2924">
        <w:t xml:space="preserve"> WT </w:t>
      </w:r>
      <w:proofErr w:type="spellStart"/>
      <w:r w:rsidRPr="00CA2924">
        <w:t>mCRC</w:t>
      </w:r>
      <w:proofErr w:type="spellEnd"/>
      <w:r w:rsidRPr="00CA2924">
        <w:t xml:space="preserve">, but rejected a request for </w:t>
      </w:r>
      <w:r w:rsidR="00A27C64" w:rsidRPr="00CA2924">
        <w:t>first</w:t>
      </w:r>
      <w:r w:rsidRPr="00CA2924">
        <w:t xml:space="preserve">-line </w:t>
      </w:r>
      <w:r w:rsidR="00A27C64" w:rsidRPr="00CA2924">
        <w:t xml:space="preserve">treatment of </w:t>
      </w:r>
      <w:r w:rsidR="000B345D" w:rsidRPr="00CA2924">
        <w:t xml:space="preserve">patients for whom </w:t>
      </w:r>
      <w:r w:rsidRPr="00CA2924">
        <w:t xml:space="preserve">treatment with </w:t>
      </w:r>
      <w:proofErr w:type="spellStart"/>
      <w:r w:rsidRPr="00CA2924">
        <w:t>bevacizumab</w:t>
      </w:r>
      <w:proofErr w:type="spellEnd"/>
      <w:r w:rsidRPr="00CA2924">
        <w:t xml:space="preserve"> is unsuitable.</w:t>
      </w:r>
    </w:p>
    <w:p w:rsidR="001B6109" w:rsidRPr="00CA2924" w:rsidRDefault="001B6109" w:rsidP="001B6109">
      <w:pPr>
        <w:rPr>
          <w:szCs w:val="22"/>
        </w:rPr>
      </w:pPr>
    </w:p>
    <w:p w:rsidR="00F135D8" w:rsidRPr="001A53B7" w:rsidRDefault="001B6109" w:rsidP="001A53B7">
      <w:pPr>
        <w:pStyle w:val="ListParagraph"/>
        <w:widowControl/>
        <w:numPr>
          <w:ilvl w:val="1"/>
          <w:numId w:val="18"/>
        </w:numPr>
        <w:rPr>
          <w:szCs w:val="22"/>
        </w:rPr>
      </w:pPr>
      <w:r w:rsidRPr="001A53B7">
        <w:rPr>
          <w:szCs w:val="22"/>
        </w:rPr>
        <w:t xml:space="preserve">In November 2013, the PBAC recommended a revised cost-minimisation basis for </w:t>
      </w:r>
      <w:r w:rsidRPr="00CA2924">
        <w:t xml:space="preserve">listing of </w:t>
      </w:r>
      <w:proofErr w:type="spellStart"/>
      <w:r w:rsidRPr="00CA2924">
        <w:t>panitumumab</w:t>
      </w:r>
      <w:proofErr w:type="spellEnd"/>
      <w:r w:rsidRPr="00CA2924">
        <w:t xml:space="preserve"> in the later-line </w:t>
      </w:r>
      <w:r w:rsidR="000B345D" w:rsidRPr="00CA2924">
        <w:t xml:space="preserve">treatment of </w:t>
      </w:r>
      <w:r w:rsidR="000B345D" w:rsidRPr="001A53B7">
        <w:rPr>
          <w:i/>
        </w:rPr>
        <w:t>KRAS</w:t>
      </w:r>
      <w:r w:rsidR="000B345D" w:rsidRPr="00CA2924">
        <w:t xml:space="preserve"> WT </w:t>
      </w:r>
      <w:proofErr w:type="spellStart"/>
      <w:r w:rsidR="000B345D" w:rsidRPr="00CA2924">
        <w:t>mCRC</w:t>
      </w:r>
      <w:proofErr w:type="spellEnd"/>
      <w:r w:rsidR="000B345D" w:rsidRPr="00CA2924">
        <w:t xml:space="preserve">. </w:t>
      </w:r>
      <w:r w:rsidR="00287193" w:rsidRPr="00CA2924">
        <w:t xml:space="preserve"> </w:t>
      </w:r>
      <w:r w:rsidR="000B345D" w:rsidRPr="00CA2924">
        <w:t>However, t</w:t>
      </w:r>
      <w:r w:rsidR="000B345D" w:rsidRPr="001A53B7">
        <w:rPr>
          <w:szCs w:val="22"/>
        </w:rPr>
        <w:t xml:space="preserve">he </w:t>
      </w:r>
      <w:r w:rsidR="000B345D" w:rsidRPr="001A53B7">
        <w:rPr>
          <w:szCs w:val="22"/>
        </w:rPr>
        <w:lastRenderedPageBreak/>
        <w:t xml:space="preserve">PBAC noted with concern the emerging data on a reduced treatment effect of </w:t>
      </w:r>
      <w:proofErr w:type="spellStart"/>
      <w:r w:rsidR="000B345D" w:rsidRPr="001A53B7">
        <w:rPr>
          <w:szCs w:val="22"/>
        </w:rPr>
        <w:t>panitumumab</w:t>
      </w:r>
      <w:proofErr w:type="spellEnd"/>
      <w:r w:rsidR="000B345D" w:rsidRPr="001A53B7">
        <w:rPr>
          <w:szCs w:val="22"/>
        </w:rPr>
        <w:t xml:space="preserve"> (and </w:t>
      </w:r>
      <w:proofErr w:type="spellStart"/>
      <w:r w:rsidR="000B345D" w:rsidRPr="001A53B7">
        <w:rPr>
          <w:szCs w:val="22"/>
        </w:rPr>
        <w:t>cetuximab</w:t>
      </w:r>
      <w:proofErr w:type="spellEnd"/>
      <w:r w:rsidR="000B345D" w:rsidRPr="001A53B7">
        <w:rPr>
          <w:szCs w:val="22"/>
        </w:rPr>
        <w:t>)</w:t>
      </w:r>
      <w:r w:rsidR="00D171ED" w:rsidRPr="001A53B7">
        <w:rPr>
          <w:szCs w:val="22"/>
        </w:rPr>
        <w:t xml:space="preserve"> in patients with</w:t>
      </w:r>
      <w:r w:rsidR="000B345D" w:rsidRPr="001A53B7">
        <w:rPr>
          <w:szCs w:val="22"/>
        </w:rPr>
        <w:t xml:space="preserve"> </w:t>
      </w:r>
      <w:r w:rsidR="00D171ED" w:rsidRPr="001A53B7">
        <w:rPr>
          <w:szCs w:val="22"/>
        </w:rPr>
        <w:t>mutations in the</w:t>
      </w:r>
      <w:r w:rsidR="00D171ED" w:rsidRPr="001A53B7">
        <w:rPr>
          <w:i/>
          <w:szCs w:val="22"/>
        </w:rPr>
        <w:t xml:space="preserve"> </w:t>
      </w:r>
      <w:r w:rsidR="000B345D" w:rsidRPr="001A53B7">
        <w:rPr>
          <w:i/>
          <w:szCs w:val="22"/>
        </w:rPr>
        <w:t>RAS</w:t>
      </w:r>
      <w:r w:rsidR="000B345D" w:rsidRPr="001A53B7">
        <w:rPr>
          <w:szCs w:val="22"/>
        </w:rPr>
        <w:t xml:space="preserve"> </w:t>
      </w:r>
      <w:r w:rsidR="00D171ED" w:rsidRPr="001A53B7">
        <w:rPr>
          <w:szCs w:val="22"/>
        </w:rPr>
        <w:t xml:space="preserve">family other than in </w:t>
      </w:r>
      <w:r w:rsidR="00D171ED" w:rsidRPr="001A53B7">
        <w:rPr>
          <w:i/>
          <w:szCs w:val="22"/>
        </w:rPr>
        <w:t>KRAS</w:t>
      </w:r>
      <w:r w:rsidR="00D171ED" w:rsidRPr="001A53B7">
        <w:rPr>
          <w:szCs w:val="22"/>
        </w:rPr>
        <w:t xml:space="preserve"> </w:t>
      </w:r>
      <w:r w:rsidR="000B345D" w:rsidRPr="001A53B7">
        <w:rPr>
          <w:szCs w:val="22"/>
        </w:rPr>
        <w:t>exon 2</w:t>
      </w:r>
      <w:r w:rsidR="00B93FF8" w:rsidRPr="001A53B7">
        <w:rPr>
          <w:szCs w:val="22"/>
        </w:rPr>
        <w:t>.</w:t>
      </w:r>
    </w:p>
    <w:p w:rsidR="00F135D8" w:rsidRPr="00CA2924" w:rsidRDefault="00F135D8" w:rsidP="00F135D8">
      <w:pPr>
        <w:rPr>
          <w:szCs w:val="22"/>
        </w:rPr>
      </w:pPr>
    </w:p>
    <w:p w:rsidR="00704E8B" w:rsidRPr="001A53B7" w:rsidRDefault="00812674" w:rsidP="001A53B7">
      <w:pPr>
        <w:pStyle w:val="ListParagraph"/>
        <w:widowControl/>
        <w:numPr>
          <w:ilvl w:val="1"/>
          <w:numId w:val="18"/>
        </w:numPr>
        <w:rPr>
          <w:szCs w:val="22"/>
        </w:rPr>
      </w:pPr>
      <w:r w:rsidRPr="001A53B7">
        <w:rPr>
          <w:szCs w:val="22"/>
        </w:rPr>
        <w:t xml:space="preserve">Existing </w:t>
      </w:r>
      <w:r w:rsidRPr="001A53B7">
        <w:rPr>
          <w:i/>
          <w:szCs w:val="22"/>
        </w:rPr>
        <w:t>KRAS</w:t>
      </w:r>
      <w:r w:rsidRPr="001A53B7">
        <w:rPr>
          <w:szCs w:val="22"/>
        </w:rPr>
        <w:t xml:space="preserve"> mutation testing </w:t>
      </w:r>
      <w:r w:rsidR="008A0451" w:rsidRPr="001A53B7">
        <w:rPr>
          <w:szCs w:val="22"/>
        </w:rPr>
        <w:t>f</w:t>
      </w:r>
      <w:r w:rsidRPr="001A53B7">
        <w:rPr>
          <w:szCs w:val="22"/>
        </w:rPr>
        <w:t xml:space="preserve">ocuses on detecting mutations on </w:t>
      </w:r>
      <w:r w:rsidR="00704E8B" w:rsidRPr="001A53B7">
        <w:rPr>
          <w:i/>
          <w:szCs w:val="22"/>
        </w:rPr>
        <w:t>KRAS</w:t>
      </w:r>
      <w:r w:rsidR="00704E8B" w:rsidRPr="001A53B7">
        <w:rPr>
          <w:szCs w:val="22"/>
        </w:rPr>
        <w:t xml:space="preserve"> </w:t>
      </w:r>
      <w:r w:rsidRPr="001A53B7">
        <w:rPr>
          <w:szCs w:val="22"/>
        </w:rPr>
        <w:t xml:space="preserve">exon 2, although neither the existing MBS item descriptor nor the PBS restriction excludes </w:t>
      </w:r>
      <w:r w:rsidR="008A0451" w:rsidRPr="001A53B7">
        <w:rPr>
          <w:szCs w:val="22"/>
        </w:rPr>
        <w:t xml:space="preserve">testing for </w:t>
      </w:r>
      <w:r w:rsidRPr="001A53B7">
        <w:rPr>
          <w:i/>
          <w:szCs w:val="22"/>
        </w:rPr>
        <w:t>KRAS</w:t>
      </w:r>
      <w:r w:rsidRPr="001A53B7">
        <w:rPr>
          <w:szCs w:val="22"/>
        </w:rPr>
        <w:t xml:space="preserve"> mutations on </w:t>
      </w:r>
      <w:r w:rsidR="008A0451" w:rsidRPr="001A53B7">
        <w:rPr>
          <w:i/>
          <w:szCs w:val="22"/>
        </w:rPr>
        <w:t>KRAS</w:t>
      </w:r>
      <w:r w:rsidR="008A0451" w:rsidRPr="001A53B7">
        <w:rPr>
          <w:szCs w:val="22"/>
        </w:rPr>
        <w:t xml:space="preserve"> </w:t>
      </w:r>
      <w:r w:rsidRPr="001A53B7">
        <w:rPr>
          <w:szCs w:val="22"/>
        </w:rPr>
        <w:t>e</w:t>
      </w:r>
      <w:r w:rsidR="00704E8B" w:rsidRPr="001A53B7">
        <w:rPr>
          <w:szCs w:val="22"/>
        </w:rPr>
        <w:t>xons 3</w:t>
      </w:r>
      <w:r w:rsidRPr="001A53B7">
        <w:rPr>
          <w:szCs w:val="22"/>
        </w:rPr>
        <w:t xml:space="preserve"> or </w:t>
      </w:r>
      <w:r w:rsidR="00704E8B" w:rsidRPr="001A53B7">
        <w:rPr>
          <w:szCs w:val="22"/>
        </w:rPr>
        <w:t>4</w:t>
      </w:r>
      <w:r w:rsidR="008A0451" w:rsidRPr="001A53B7">
        <w:rPr>
          <w:szCs w:val="22"/>
        </w:rPr>
        <w:t xml:space="preserve">. </w:t>
      </w:r>
      <w:r w:rsidR="00287193" w:rsidRPr="001A53B7">
        <w:rPr>
          <w:szCs w:val="22"/>
        </w:rPr>
        <w:t xml:space="preserve"> </w:t>
      </w:r>
      <w:r w:rsidRPr="001A53B7">
        <w:rPr>
          <w:szCs w:val="22"/>
        </w:rPr>
        <w:t xml:space="preserve">This re-submission to the PBAC is being coordinated with an application </w:t>
      </w:r>
      <w:r w:rsidR="003377AA" w:rsidRPr="00CA2924">
        <w:t xml:space="preserve">(Application 1363) </w:t>
      </w:r>
      <w:r w:rsidRPr="001A53B7">
        <w:rPr>
          <w:szCs w:val="22"/>
        </w:rPr>
        <w:t xml:space="preserve">to the July/August 2014 MSAC meeting </w:t>
      </w:r>
      <w:r w:rsidR="008A0451" w:rsidRPr="001A53B7">
        <w:rPr>
          <w:szCs w:val="22"/>
        </w:rPr>
        <w:t xml:space="preserve">requesting </w:t>
      </w:r>
      <w:r w:rsidRPr="001A53B7">
        <w:rPr>
          <w:szCs w:val="22"/>
        </w:rPr>
        <w:t>expansion of the existing MBS item descriptor</w:t>
      </w:r>
      <w:r w:rsidR="003377AA" w:rsidRPr="00CA2924">
        <w:t xml:space="preserve"> in order to determine eligibility for </w:t>
      </w:r>
      <w:proofErr w:type="spellStart"/>
      <w:r w:rsidR="003377AA" w:rsidRPr="00CA2924">
        <w:t>panitumumab</w:t>
      </w:r>
      <w:proofErr w:type="spellEnd"/>
      <w:r w:rsidR="003377AA" w:rsidRPr="00CA2924">
        <w:t xml:space="preserve"> or </w:t>
      </w:r>
      <w:proofErr w:type="spellStart"/>
      <w:r w:rsidR="003377AA" w:rsidRPr="00CA2924">
        <w:t>cetuximab</w:t>
      </w:r>
      <w:proofErr w:type="spellEnd"/>
      <w:r w:rsidR="003377AA" w:rsidRPr="00CA2924">
        <w:t xml:space="preserve"> (regardless of line of therapy)</w:t>
      </w:r>
      <w:r w:rsidR="008A0451" w:rsidRPr="001A53B7">
        <w:rPr>
          <w:szCs w:val="22"/>
        </w:rPr>
        <w:t xml:space="preserve">. </w:t>
      </w:r>
      <w:r w:rsidR="00287193" w:rsidRPr="001A53B7">
        <w:rPr>
          <w:szCs w:val="22"/>
        </w:rPr>
        <w:t xml:space="preserve"> </w:t>
      </w:r>
      <w:r w:rsidR="008A0451" w:rsidRPr="001A53B7">
        <w:rPr>
          <w:szCs w:val="22"/>
        </w:rPr>
        <w:t xml:space="preserve">The intention is to also test for mutations on </w:t>
      </w:r>
      <w:r w:rsidR="00704E8B" w:rsidRPr="001A53B7">
        <w:rPr>
          <w:i/>
          <w:szCs w:val="22"/>
        </w:rPr>
        <w:t>NRAS</w:t>
      </w:r>
      <w:r w:rsidR="00704E8B" w:rsidRPr="001A53B7">
        <w:rPr>
          <w:szCs w:val="22"/>
        </w:rPr>
        <w:t xml:space="preserve"> </w:t>
      </w:r>
      <w:r w:rsidR="008A0451" w:rsidRPr="001A53B7">
        <w:rPr>
          <w:szCs w:val="22"/>
        </w:rPr>
        <w:t>e</w:t>
      </w:r>
      <w:r w:rsidR="00704E8B" w:rsidRPr="001A53B7">
        <w:rPr>
          <w:szCs w:val="22"/>
        </w:rPr>
        <w:t xml:space="preserve">xons 2, 3, </w:t>
      </w:r>
      <w:r w:rsidR="008A0451" w:rsidRPr="001A53B7">
        <w:rPr>
          <w:szCs w:val="22"/>
        </w:rPr>
        <w:t>or</w:t>
      </w:r>
      <w:r w:rsidR="00704E8B" w:rsidRPr="001A53B7">
        <w:rPr>
          <w:szCs w:val="22"/>
        </w:rPr>
        <w:t xml:space="preserve"> 4</w:t>
      </w:r>
      <w:r w:rsidR="008A0451" w:rsidRPr="001A53B7">
        <w:rPr>
          <w:szCs w:val="22"/>
        </w:rPr>
        <w:t xml:space="preserve">, although the request would not exclude testing for </w:t>
      </w:r>
      <w:r w:rsidR="008A0451" w:rsidRPr="001A53B7">
        <w:rPr>
          <w:i/>
          <w:szCs w:val="22"/>
        </w:rPr>
        <w:t>HRAS</w:t>
      </w:r>
      <w:r w:rsidR="008A0451" w:rsidRPr="001A53B7">
        <w:rPr>
          <w:szCs w:val="22"/>
        </w:rPr>
        <w:t xml:space="preserve"> mutations.</w:t>
      </w:r>
    </w:p>
    <w:p w:rsidR="008A0451" w:rsidRPr="00CA2924" w:rsidRDefault="008A0451" w:rsidP="008A0451">
      <w:pPr>
        <w:rPr>
          <w:szCs w:val="22"/>
        </w:rPr>
      </w:pPr>
    </w:p>
    <w:p w:rsidR="008A0451" w:rsidRPr="001A53B7" w:rsidRDefault="008A0451" w:rsidP="001A53B7">
      <w:pPr>
        <w:pStyle w:val="ListParagraph"/>
        <w:widowControl/>
        <w:numPr>
          <w:ilvl w:val="1"/>
          <w:numId w:val="18"/>
        </w:numPr>
        <w:rPr>
          <w:szCs w:val="22"/>
        </w:rPr>
      </w:pPr>
      <w:r w:rsidRPr="001A53B7">
        <w:rPr>
          <w:szCs w:val="22"/>
        </w:rPr>
        <w:t xml:space="preserve">From the 2011 EMA Assessment Report for </w:t>
      </w:r>
      <w:proofErr w:type="spellStart"/>
      <w:r w:rsidRPr="001A53B7">
        <w:rPr>
          <w:szCs w:val="22"/>
        </w:rPr>
        <w:t>panitumumab</w:t>
      </w:r>
      <w:proofErr w:type="spellEnd"/>
      <w:r w:rsidRPr="001A53B7">
        <w:rPr>
          <w:szCs w:val="22"/>
        </w:rPr>
        <w:t xml:space="preserve">, the </w:t>
      </w:r>
      <w:r w:rsidR="00C513F4" w:rsidRPr="001A53B7">
        <w:rPr>
          <w:szCs w:val="22"/>
        </w:rPr>
        <w:t>prevalence</w:t>
      </w:r>
      <w:r w:rsidRPr="001A53B7">
        <w:rPr>
          <w:szCs w:val="22"/>
        </w:rPr>
        <w:t xml:space="preserve"> of these </w:t>
      </w:r>
      <w:r w:rsidRPr="001A53B7">
        <w:rPr>
          <w:i/>
          <w:szCs w:val="22"/>
        </w:rPr>
        <w:t>RAS</w:t>
      </w:r>
      <w:r w:rsidRPr="001A53B7">
        <w:rPr>
          <w:szCs w:val="22"/>
        </w:rPr>
        <w:t xml:space="preserve"> mutations is: </w:t>
      </w:r>
      <w:r w:rsidRPr="001A53B7">
        <w:rPr>
          <w:i/>
          <w:szCs w:val="22"/>
        </w:rPr>
        <w:t>KRAS</w:t>
      </w:r>
      <w:r w:rsidRPr="001A53B7">
        <w:rPr>
          <w:szCs w:val="22"/>
        </w:rPr>
        <w:t xml:space="preserve"> exon 2 (42.4%), </w:t>
      </w:r>
      <w:r w:rsidR="00C513F4" w:rsidRPr="001A53B7">
        <w:rPr>
          <w:i/>
          <w:szCs w:val="22"/>
        </w:rPr>
        <w:t>KRAS</w:t>
      </w:r>
      <w:r w:rsidR="00C513F4" w:rsidRPr="001A53B7">
        <w:rPr>
          <w:szCs w:val="22"/>
        </w:rPr>
        <w:t xml:space="preserve"> </w:t>
      </w:r>
      <w:r w:rsidRPr="001A53B7">
        <w:rPr>
          <w:szCs w:val="22"/>
        </w:rPr>
        <w:t xml:space="preserve">exon 3 (4.5%), </w:t>
      </w:r>
      <w:r w:rsidR="00C513F4" w:rsidRPr="001A53B7">
        <w:rPr>
          <w:i/>
          <w:szCs w:val="22"/>
        </w:rPr>
        <w:t>KRAS</w:t>
      </w:r>
      <w:r w:rsidR="00C513F4" w:rsidRPr="001A53B7">
        <w:rPr>
          <w:szCs w:val="22"/>
        </w:rPr>
        <w:t xml:space="preserve"> </w:t>
      </w:r>
      <w:r w:rsidRPr="001A53B7">
        <w:rPr>
          <w:szCs w:val="22"/>
        </w:rPr>
        <w:t xml:space="preserve">exon 4 (5.5%), </w:t>
      </w:r>
      <w:r w:rsidRPr="001A53B7">
        <w:rPr>
          <w:i/>
          <w:szCs w:val="22"/>
        </w:rPr>
        <w:t>NRAS</w:t>
      </w:r>
      <w:r w:rsidRPr="001A53B7">
        <w:rPr>
          <w:szCs w:val="22"/>
        </w:rPr>
        <w:t xml:space="preserve"> exon 2 (3.8%), </w:t>
      </w:r>
      <w:r w:rsidR="00C513F4" w:rsidRPr="001A53B7">
        <w:rPr>
          <w:i/>
          <w:szCs w:val="22"/>
        </w:rPr>
        <w:t>NRAS</w:t>
      </w:r>
      <w:r w:rsidR="00C513F4" w:rsidRPr="001A53B7">
        <w:rPr>
          <w:szCs w:val="22"/>
        </w:rPr>
        <w:t xml:space="preserve"> </w:t>
      </w:r>
      <w:r w:rsidRPr="001A53B7">
        <w:rPr>
          <w:szCs w:val="22"/>
        </w:rPr>
        <w:t xml:space="preserve">exon 3 (3.2%), </w:t>
      </w:r>
      <w:r w:rsidR="00C513F4" w:rsidRPr="001A53B7">
        <w:rPr>
          <w:i/>
          <w:szCs w:val="22"/>
        </w:rPr>
        <w:t xml:space="preserve">NRAS </w:t>
      </w:r>
      <w:r w:rsidRPr="001A53B7">
        <w:rPr>
          <w:szCs w:val="22"/>
        </w:rPr>
        <w:t xml:space="preserve">exon 4 (not determinable), and </w:t>
      </w:r>
      <w:r w:rsidRPr="001A53B7">
        <w:rPr>
          <w:i/>
          <w:szCs w:val="22"/>
        </w:rPr>
        <w:t>HRAS</w:t>
      </w:r>
      <w:r w:rsidRPr="001A53B7">
        <w:rPr>
          <w:szCs w:val="22"/>
        </w:rPr>
        <w:t xml:space="preserve"> (&lt;1%).</w:t>
      </w:r>
    </w:p>
    <w:p w:rsidR="00704E8B" w:rsidRDefault="00704E8B" w:rsidP="00704E8B"/>
    <w:p w:rsidR="00B11BF0" w:rsidRPr="00CA2924" w:rsidRDefault="00B11BF0" w:rsidP="00704E8B"/>
    <w:p w:rsidR="001A53B7" w:rsidRPr="00407F2D" w:rsidRDefault="001A53B7" w:rsidP="001A53B7">
      <w:pPr>
        <w:pStyle w:val="ListParagraph"/>
        <w:widowControl/>
        <w:numPr>
          <w:ilvl w:val="0"/>
          <w:numId w:val="18"/>
        </w:numPr>
        <w:rPr>
          <w:b/>
          <w:szCs w:val="22"/>
        </w:rPr>
      </w:pPr>
      <w:bookmarkStart w:id="12" w:name="_Toc380679753"/>
      <w:bookmarkStart w:id="13" w:name="_Toc380742610"/>
      <w:bookmarkStart w:id="14" w:name="_Toc380746177"/>
      <w:bookmarkStart w:id="15" w:name="_Toc380746303"/>
      <w:bookmarkStart w:id="16" w:name="_Toc380746584"/>
      <w:bookmarkEnd w:id="7"/>
      <w:bookmarkEnd w:id="8"/>
      <w:bookmarkEnd w:id="9"/>
      <w:bookmarkEnd w:id="10"/>
      <w:bookmarkEnd w:id="11"/>
      <w:r w:rsidRPr="00407F2D">
        <w:rPr>
          <w:b/>
          <w:szCs w:val="22"/>
        </w:rPr>
        <w:t>Clinical place for the proposed therapy</w:t>
      </w:r>
    </w:p>
    <w:p w:rsidR="008A0451" w:rsidRPr="00CA2924" w:rsidRDefault="008A0451" w:rsidP="00382131"/>
    <w:p w:rsidR="006E0405" w:rsidRPr="001A53B7" w:rsidRDefault="00382131" w:rsidP="001A53B7">
      <w:pPr>
        <w:pStyle w:val="ListParagraph"/>
        <w:widowControl/>
        <w:numPr>
          <w:ilvl w:val="1"/>
          <w:numId w:val="18"/>
        </w:numPr>
        <w:rPr>
          <w:szCs w:val="22"/>
        </w:rPr>
      </w:pPr>
      <w:r w:rsidRPr="00CA2924">
        <w:t xml:space="preserve">Bowel cancer is the second most common cancer in Australia with 15,840 cases in 2012. In 2010, it was the second leading cause of cancer death in Australia, with 3,982 </w:t>
      </w:r>
      <w:r w:rsidR="00AB6E1A" w:rsidRPr="00CA2924">
        <w:t>deaths</w:t>
      </w:r>
      <w:r w:rsidRPr="00CA2924">
        <w:t xml:space="preserve">. </w:t>
      </w:r>
      <w:r w:rsidR="00287193" w:rsidRPr="00CA2924">
        <w:t xml:space="preserve"> </w:t>
      </w:r>
      <w:r w:rsidRPr="00CA2924">
        <w:t xml:space="preserve">The average life expectancy of a patient with </w:t>
      </w:r>
      <w:proofErr w:type="spellStart"/>
      <w:r w:rsidRPr="00CA2924">
        <w:t>mCRC</w:t>
      </w:r>
      <w:proofErr w:type="spellEnd"/>
      <w:r w:rsidRPr="00CA2924">
        <w:t xml:space="preserve"> is less than 3 years</w:t>
      </w:r>
      <w:r w:rsidRPr="001A53B7">
        <w:rPr>
          <w:color w:val="3366FF"/>
        </w:rPr>
        <w:t>.</w:t>
      </w:r>
    </w:p>
    <w:p w:rsidR="006E0405" w:rsidRPr="00CA2924" w:rsidRDefault="006E0405" w:rsidP="006E0405"/>
    <w:p w:rsidR="00382131" w:rsidRPr="001A53B7" w:rsidRDefault="00382131" w:rsidP="001A53B7">
      <w:pPr>
        <w:pStyle w:val="ListParagraph"/>
        <w:widowControl/>
        <w:numPr>
          <w:ilvl w:val="1"/>
          <w:numId w:val="18"/>
        </w:numPr>
        <w:rPr>
          <w:szCs w:val="22"/>
        </w:rPr>
      </w:pPr>
      <w:r w:rsidRPr="001A53B7">
        <w:rPr>
          <w:szCs w:val="22"/>
        </w:rPr>
        <w:t xml:space="preserve">Current treatment options for first-line treatment of </w:t>
      </w:r>
      <w:proofErr w:type="spellStart"/>
      <w:r w:rsidRPr="001A53B7">
        <w:rPr>
          <w:szCs w:val="22"/>
        </w:rPr>
        <w:t>mCRC</w:t>
      </w:r>
      <w:proofErr w:type="spellEnd"/>
      <w:r w:rsidRPr="001A53B7">
        <w:rPr>
          <w:szCs w:val="22"/>
        </w:rPr>
        <w:t xml:space="preserve"> </w:t>
      </w:r>
      <w:r w:rsidRPr="001A53B7">
        <w:rPr>
          <w:rFonts w:eastAsia="Arial Narrow"/>
          <w:spacing w:val="1"/>
          <w:szCs w:val="22"/>
        </w:rPr>
        <w:t>are</w:t>
      </w:r>
      <w:r w:rsidRPr="001A53B7">
        <w:rPr>
          <w:rFonts w:eastAsia="Arial Narrow"/>
          <w:szCs w:val="22"/>
        </w:rPr>
        <w:t xml:space="preserve"> </w:t>
      </w:r>
      <w:r w:rsidR="006E0405" w:rsidRPr="001A53B7">
        <w:rPr>
          <w:rFonts w:eastAsia="Arial Narrow"/>
          <w:spacing w:val="1"/>
          <w:szCs w:val="22"/>
        </w:rPr>
        <w:t>c</w:t>
      </w:r>
      <w:r w:rsidR="006E0405" w:rsidRPr="001A53B7">
        <w:rPr>
          <w:rFonts w:eastAsia="Arial Narrow"/>
          <w:szCs w:val="22"/>
        </w:rPr>
        <w:t>he</w:t>
      </w:r>
      <w:r w:rsidR="006E0405" w:rsidRPr="001A53B7">
        <w:rPr>
          <w:rFonts w:eastAsia="Arial Narrow"/>
          <w:spacing w:val="-2"/>
          <w:szCs w:val="22"/>
        </w:rPr>
        <w:t>m</w:t>
      </w:r>
      <w:r w:rsidR="006E0405" w:rsidRPr="001A53B7">
        <w:rPr>
          <w:rFonts w:eastAsia="Arial Narrow"/>
          <w:szCs w:val="22"/>
        </w:rPr>
        <w:t>othera</w:t>
      </w:r>
      <w:r w:rsidR="006E0405" w:rsidRPr="001A53B7">
        <w:rPr>
          <w:rFonts w:eastAsia="Arial Narrow"/>
          <w:spacing w:val="-2"/>
          <w:szCs w:val="22"/>
        </w:rPr>
        <w:t>p</w:t>
      </w:r>
      <w:r w:rsidR="006E0405" w:rsidRPr="001A53B7">
        <w:rPr>
          <w:rFonts w:eastAsia="Arial Narrow"/>
          <w:szCs w:val="22"/>
        </w:rPr>
        <w:t>y alone (e.g. F</w:t>
      </w:r>
      <w:r w:rsidR="006E0405" w:rsidRPr="001A53B7">
        <w:rPr>
          <w:rFonts w:eastAsia="Arial Narrow"/>
          <w:spacing w:val="-2"/>
          <w:szCs w:val="22"/>
        </w:rPr>
        <w:t>O</w:t>
      </w:r>
      <w:r w:rsidR="006E0405" w:rsidRPr="001A53B7">
        <w:rPr>
          <w:rFonts w:eastAsia="Arial Narrow"/>
          <w:szCs w:val="22"/>
        </w:rPr>
        <w:t>LFI</w:t>
      </w:r>
      <w:r w:rsidR="006E0405" w:rsidRPr="001A53B7">
        <w:rPr>
          <w:rFonts w:eastAsia="Arial Narrow"/>
          <w:spacing w:val="-1"/>
          <w:szCs w:val="22"/>
        </w:rPr>
        <w:t>R</w:t>
      </w:r>
      <w:r w:rsidR="006E0405" w:rsidRPr="001A53B7">
        <w:rPr>
          <w:rFonts w:eastAsia="Arial Narrow"/>
          <w:spacing w:val="2"/>
          <w:szCs w:val="22"/>
        </w:rPr>
        <w:t>I</w:t>
      </w:r>
      <w:r w:rsidR="006E0405" w:rsidRPr="001A53B7">
        <w:rPr>
          <w:rFonts w:eastAsia="Arial Narrow"/>
          <w:szCs w:val="22"/>
        </w:rPr>
        <w:t xml:space="preserve"> or </w:t>
      </w:r>
      <w:r w:rsidR="006E0405" w:rsidRPr="001A53B7">
        <w:rPr>
          <w:rFonts w:eastAsia="Arial Narrow"/>
          <w:spacing w:val="-3"/>
          <w:szCs w:val="22"/>
        </w:rPr>
        <w:t>F</w:t>
      </w:r>
      <w:r w:rsidR="006E0405" w:rsidRPr="001A53B7">
        <w:rPr>
          <w:rFonts w:eastAsia="Arial Narrow"/>
          <w:spacing w:val="1"/>
          <w:szCs w:val="22"/>
        </w:rPr>
        <w:t>O</w:t>
      </w:r>
      <w:r w:rsidR="006E0405" w:rsidRPr="001A53B7">
        <w:rPr>
          <w:rFonts w:eastAsia="Arial Narrow"/>
          <w:szCs w:val="22"/>
        </w:rPr>
        <w:t>LF</w:t>
      </w:r>
      <w:r w:rsidR="006E0405" w:rsidRPr="001A53B7">
        <w:rPr>
          <w:rFonts w:eastAsia="Arial Narrow"/>
          <w:spacing w:val="1"/>
          <w:szCs w:val="22"/>
        </w:rPr>
        <w:t>O</w:t>
      </w:r>
      <w:r w:rsidR="006E0405" w:rsidRPr="001A53B7">
        <w:rPr>
          <w:rFonts w:eastAsia="Arial Narrow"/>
          <w:szCs w:val="22"/>
        </w:rPr>
        <w:t xml:space="preserve">X) or </w:t>
      </w:r>
      <w:r w:rsidR="006E0405" w:rsidRPr="001A53B7">
        <w:rPr>
          <w:rFonts w:eastAsia="Arial Narrow"/>
          <w:spacing w:val="1"/>
          <w:szCs w:val="22"/>
        </w:rPr>
        <w:t>c</w:t>
      </w:r>
      <w:r w:rsidR="006E0405" w:rsidRPr="001A53B7">
        <w:rPr>
          <w:rFonts w:eastAsia="Arial Narrow"/>
          <w:szCs w:val="22"/>
        </w:rPr>
        <w:t>he</w:t>
      </w:r>
      <w:r w:rsidR="006E0405" w:rsidRPr="001A53B7">
        <w:rPr>
          <w:rFonts w:eastAsia="Arial Narrow"/>
          <w:spacing w:val="-2"/>
          <w:szCs w:val="22"/>
        </w:rPr>
        <w:t>m</w:t>
      </w:r>
      <w:r w:rsidR="006E0405" w:rsidRPr="001A53B7">
        <w:rPr>
          <w:rFonts w:eastAsia="Arial Narrow"/>
          <w:szCs w:val="22"/>
        </w:rPr>
        <w:t>othera</w:t>
      </w:r>
      <w:r w:rsidR="006E0405" w:rsidRPr="001A53B7">
        <w:rPr>
          <w:rFonts w:eastAsia="Arial Narrow"/>
          <w:spacing w:val="-2"/>
          <w:szCs w:val="22"/>
        </w:rPr>
        <w:t>p</w:t>
      </w:r>
      <w:r w:rsidR="006E0405" w:rsidRPr="001A53B7">
        <w:rPr>
          <w:rFonts w:eastAsia="Arial Narrow"/>
          <w:szCs w:val="22"/>
        </w:rPr>
        <w:t xml:space="preserve">y plus </w:t>
      </w:r>
      <w:proofErr w:type="spellStart"/>
      <w:r w:rsidRPr="001A53B7">
        <w:rPr>
          <w:rFonts w:eastAsia="Arial Narrow"/>
          <w:szCs w:val="22"/>
        </w:rPr>
        <w:t>bevacizumab</w:t>
      </w:r>
      <w:proofErr w:type="spellEnd"/>
      <w:r w:rsidRPr="001A53B7">
        <w:rPr>
          <w:rFonts w:eastAsia="Arial Narrow"/>
          <w:szCs w:val="22"/>
        </w:rPr>
        <w:t xml:space="preserve">. </w:t>
      </w:r>
      <w:r w:rsidR="00287193" w:rsidRPr="001A53B7">
        <w:rPr>
          <w:rFonts w:eastAsia="Arial Narrow"/>
          <w:szCs w:val="22"/>
        </w:rPr>
        <w:t xml:space="preserve"> </w:t>
      </w:r>
      <w:proofErr w:type="spellStart"/>
      <w:r w:rsidRPr="001A53B7">
        <w:rPr>
          <w:rFonts w:eastAsia="Arial Narrow"/>
          <w:szCs w:val="22"/>
        </w:rPr>
        <w:t>Panitumumab</w:t>
      </w:r>
      <w:proofErr w:type="spellEnd"/>
      <w:r w:rsidRPr="001A53B7">
        <w:rPr>
          <w:rFonts w:eastAsia="Arial Narrow"/>
          <w:szCs w:val="22"/>
        </w:rPr>
        <w:t xml:space="preserve"> and </w:t>
      </w:r>
      <w:proofErr w:type="spellStart"/>
      <w:r w:rsidRPr="001A53B7">
        <w:rPr>
          <w:rFonts w:eastAsia="Arial Narrow"/>
          <w:szCs w:val="22"/>
        </w:rPr>
        <w:t>cetuximab</w:t>
      </w:r>
      <w:proofErr w:type="spellEnd"/>
      <w:r w:rsidRPr="001A53B7">
        <w:rPr>
          <w:rFonts w:eastAsia="Arial Narrow"/>
          <w:szCs w:val="22"/>
        </w:rPr>
        <w:t xml:space="preserve"> are currently </w:t>
      </w:r>
      <w:r w:rsidR="006E0405" w:rsidRPr="001A53B7">
        <w:rPr>
          <w:rFonts w:eastAsia="Arial Narrow"/>
          <w:szCs w:val="22"/>
        </w:rPr>
        <w:t>PBS-</w:t>
      </w:r>
      <w:r w:rsidRPr="001A53B7">
        <w:rPr>
          <w:rFonts w:eastAsia="Arial Narrow"/>
          <w:szCs w:val="22"/>
        </w:rPr>
        <w:t xml:space="preserve">listed for the later-line treatment of </w:t>
      </w:r>
      <w:proofErr w:type="spellStart"/>
      <w:r w:rsidRPr="001A53B7">
        <w:rPr>
          <w:rFonts w:eastAsia="Arial Narrow"/>
          <w:szCs w:val="22"/>
        </w:rPr>
        <w:t>mCRC</w:t>
      </w:r>
      <w:proofErr w:type="spellEnd"/>
      <w:r w:rsidRPr="001A53B7">
        <w:rPr>
          <w:rFonts w:eastAsia="Arial Narrow"/>
          <w:szCs w:val="22"/>
        </w:rPr>
        <w:t xml:space="preserve"> patients with </w:t>
      </w:r>
      <w:r w:rsidRPr="001A53B7">
        <w:rPr>
          <w:rFonts w:eastAsia="Arial Narrow"/>
          <w:i/>
          <w:szCs w:val="22"/>
        </w:rPr>
        <w:t>KRAS</w:t>
      </w:r>
      <w:r w:rsidRPr="001A53B7">
        <w:rPr>
          <w:rFonts w:eastAsia="Arial Narrow"/>
          <w:szCs w:val="22"/>
        </w:rPr>
        <w:t xml:space="preserve"> WT tumours</w:t>
      </w:r>
      <w:r w:rsidR="00287193" w:rsidRPr="001A53B7">
        <w:rPr>
          <w:rFonts w:eastAsia="Arial Narrow"/>
          <w:szCs w:val="22"/>
        </w:rPr>
        <w:t xml:space="preserve">.  </w:t>
      </w:r>
      <w:proofErr w:type="spellStart"/>
      <w:r w:rsidR="00287193" w:rsidRPr="001A53B7">
        <w:rPr>
          <w:rFonts w:eastAsia="Arial Narrow"/>
          <w:szCs w:val="22"/>
        </w:rPr>
        <w:t>B</w:t>
      </w:r>
      <w:r w:rsidRPr="001A53B7">
        <w:rPr>
          <w:rFonts w:eastAsia="Arial Narrow"/>
          <w:szCs w:val="22"/>
        </w:rPr>
        <w:t>evacizumab</w:t>
      </w:r>
      <w:proofErr w:type="spellEnd"/>
      <w:r w:rsidRPr="001A53B7">
        <w:rPr>
          <w:rFonts w:eastAsia="Arial Narrow"/>
          <w:szCs w:val="22"/>
        </w:rPr>
        <w:t xml:space="preserve"> is not PBS</w:t>
      </w:r>
      <w:r w:rsidR="006E0405" w:rsidRPr="001A53B7">
        <w:rPr>
          <w:rFonts w:eastAsia="Arial Narrow"/>
          <w:szCs w:val="22"/>
        </w:rPr>
        <w:t>-subsidised</w:t>
      </w:r>
      <w:r w:rsidRPr="001A53B7">
        <w:rPr>
          <w:rFonts w:eastAsia="Arial Narrow"/>
          <w:szCs w:val="22"/>
        </w:rPr>
        <w:t xml:space="preserve"> for later-line treatment.</w:t>
      </w:r>
    </w:p>
    <w:p w:rsidR="00B614F8" w:rsidRPr="00CA2924" w:rsidRDefault="00B614F8" w:rsidP="00B614F8">
      <w:pPr>
        <w:pStyle w:val="ListParagraph"/>
        <w:rPr>
          <w:i/>
          <w:szCs w:val="22"/>
        </w:rPr>
      </w:pPr>
    </w:p>
    <w:p w:rsidR="00B614F8" w:rsidRPr="00CA2924" w:rsidRDefault="00B614F8" w:rsidP="00B614F8">
      <w:pPr>
        <w:pStyle w:val="ListParagraph"/>
        <w:rPr>
          <w:i/>
          <w:szCs w:val="22"/>
        </w:rPr>
      </w:pPr>
      <w:r w:rsidRPr="00CA2924">
        <w:rPr>
          <w:i/>
          <w:szCs w:val="22"/>
        </w:rPr>
        <w:t>For more detail on PBAC’s view, see section 7 “PBAC outcome”</w:t>
      </w:r>
    </w:p>
    <w:p w:rsidR="008C14B9" w:rsidRDefault="008C14B9" w:rsidP="008C14B9"/>
    <w:p w:rsidR="001A53B7" w:rsidRPr="00407F2D" w:rsidRDefault="001A53B7" w:rsidP="001A53B7">
      <w:pPr>
        <w:pStyle w:val="Header"/>
        <w:widowControl/>
        <w:numPr>
          <w:ilvl w:val="0"/>
          <w:numId w:val="18"/>
        </w:numPr>
        <w:tabs>
          <w:tab w:val="clear" w:pos="4513"/>
          <w:tab w:val="clear" w:pos="9026"/>
        </w:tabs>
        <w:rPr>
          <w:b/>
          <w:szCs w:val="22"/>
        </w:rPr>
      </w:pPr>
      <w:bookmarkStart w:id="17" w:name="_Toc388361904"/>
      <w:bookmarkStart w:id="18" w:name="_Toc380679754"/>
      <w:bookmarkStart w:id="19" w:name="_Toc380742611"/>
      <w:bookmarkStart w:id="20" w:name="_Toc380746178"/>
      <w:bookmarkStart w:id="21" w:name="_Toc380746304"/>
      <w:bookmarkStart w:id="22" w:name="_Toc380746585"/>
      <w:bookmarkEnd w:id="12"/>
      <w:bookmarkEnd w:id="13"/>
      <w:bookmarkEnd w:id="14"/>
      <w:bookmarkEnd w:id="15"/>
      <w:bookmarkEnd w:id="16"/>
      <w:r w:rsidRPr="00407F2D">
        <w:rPr>
          <w:b/>
          <w:szCs w:val="22"/>
        </w:rPr>
        <w:t>Comparator</w:t>
      </w:r>
    </w:p>
    <w:bookmarkEnd w:id="17"/>
    <w:p w:rsidR="006E0405" w:rsidRPr="00CA2924" w:rsidRDefault="006E0405" w:rsidP="00382131"/>
    <w:p w:rsidR="00127E3C" w:rsidRPr="001A53B7" w:rsidRDefault="00382131" w:rsidP="001A53B7">
      <w:pPr>
        <w:pStyle w:val="ListParagraph"/>
        <w:widowControl/>
        <w:numPr>
          <w:ilvl w:val="1"/>
          <w:numId w:val="18"/>
        </w:numPr>
        <w:rPr>
          <w:szCs w:val="22"/>
        </w:rPr>
      </w:pPr>
      <w:r w:rsidRPr="00CA2924">
        <w:t xml:space="preserve">The appropriate main comparators </w:t>
      </w:r>
      <w:r w:rsidR="006E0405" w:rsidRPr="00CA2924">
        <w:t xml:space="preserve">for </w:t>
      </w:r>
      <w:r w:rsidR="006E0405" w:rsidRPr="001A53B7">
        <w:rPr>
          <w:szCs w:val="22"/>
        </w:rPr>
        <w:t xml:space="preserve">first-line treatment of </w:t>
      </w:r>
      <w:proofErr w:type="spellStart"/>
      <w:r w:rsidR="006E0405" w:rsidRPr="001A53B7">
        <w:rPr>
          <w:szCs w:val="22"/>
        </w:rPr>
        <w:t>mCRC</w:t>
      </w:r>
      <w:proofErr w:type="spellEnd"/>
      <w:r w:rsidR="006E0405" w:rsidRPr="001A53B7">
        <w:rPr>
          <w:szCs w:val="22"/>
        </w:rPr>
        <w:t xml:space="preserve"> </w:t>
      </w:r>
      <w:r w:rsidR="006E0405" w:rsidRPr="00CA2924">
        <w:t xml:space="preserve">are chemotherapy alone or </w:t>
      </w:r>
      <w:r w:rsidRPr="00CA2924">
        <w:t>chemotherapy</w:t>
      </w:r>
      <w:r w:rsidR="006E0405" w:rsidRPr="00CA2924">
        <w:t xml:space="preserve"> plus </w:t>
      </w:r>
      <w:proofErr w:type="spellStart"/>
      <w:r w:rsidR="006E0405" w:rsidRPr="00CA2924">
        <w:t>bevacizumab</w:t>
      </w:r>
      <w:proofErr w:type="spellEnd"/>
      <w:r w:rsidRPr="00CA2924">
        <w:t>.</w:t>
      </w:r>
      <w:r w:rsidR="00287193" w:rsidRPr="00CA2924">
        <w:t xml:space="preserve"> </w:t>
      </w:r>
      <w:r w:rsidRPr="00CA2924">
        <w:t xml:space="preserve"> </w:t>
      </w:r>
      <w:proofErr w:type="spellStart"/>
      <w:r w:rsidR="006E0405" w:rsidRPr="00CA2924">
        <w:t>C</w:t>
      </w:r>
      <w:r w:rsidRPr="00CA2924">
        <w:t>etuximab</w:t>
      </w:r>
      <w:proofErr w:type="spellEnd"/>
      <w:r w:rsidRPr="00CA2924">
        <w:t xml:space="preserve"> (another </w:t>
      </w:r>
      <w:r w:rsidR="00D171ED" w:rsidRPr="00CA2924">
        <w:t>anti-</w:t>
      </w:r>
      <w:r w:rsidRPr="00CA2924">
        <w:t xml:space="preserve">EGFR </w:t>
      </w:r>
      <w:r w:rsidR="00D171ED" w:rsidRPr="00CA2924">
        <w:t>antibody</w:t>
      </w:r>
      <w:r w:rsidRPr="00CA2924">
        <w:t xml:space="preserve">) </w:t>
      </w:r>
      <w:r w:rsidR="006E0405" w:rsidRPr="00CA2924">
        <w:t xml:space="preserve">is another relevant comparator </w:t>
      </w:r>
      <w:r w:rsidRPr="00CA2924">
        <w:t xml:space="preserve">should the </w:t>
      </w:r>
      <w:r w:rsidR="006E0405" w:rsidRPr="00CA2924">
        <w:t>same listing be sought</w:t>
      </w:r>
      <w:r w:rsidRPr="00CA2924">
        <w:t>.</w:t>
      </w:r>
    </w:p>
    <w:p w:rsidR="008C14B9" w:rsidRPr="00CA2924" w:rsidRDefault="008C14B9" w:rsidP="008C14B9"/>
    <w:p w:rsidR="00B614F8" w:rsidRPr="00CA2924" w:rsidRDefault="00B614F8" w:rsidP="00B614F8">
      <w:pPr>
        <w:pStyle w:val="ListParagraph"/>
        <w:ind w:left="709"/>
        <w:rPr>
          <w:i/>
          <w:szCs w:val="22"/>
        </w:rPr>
      </w:pPr>
      <w:r w:rsidRPr="00CA2924">
        <w:rPr>
          <w:i/>
          <w:szCs w:val="22"/>
        </w:rPr>
        <w:t>For more detail on PBAC’s view, see section 7 “PBAC outcome”</w:t>
      </w:r>
    </w:p>
    <w:p w:rsidR="00600009" w:rsidRDefault="00600009" w:rsidP="008C14B9"/>
    <w:p w:rsidR="00B11BF0" w:rsidRPr="00CA2924" w:rsidRDefault="00B11BF0" w:rsidP="008C14B9"/>
    <w:p w:rsidR="001A53B7" w:rsidRPr="00407F2D" w:rsidRDefault="001A53B7" w:rsidP="001A53B7">
      <w:pPr>
        <w:pStyle w:val="Header"/>
        <w:widowControl/>
        <w:numPr>
          <w:ilvl w:val="0"/>
          <w:numId w:val="18"/>
        </w:numPr>
        <w:tabs>
          <w:tab w:val="clear" w:pos="4513"/>
          <w:tab w:val="clear" w:pos="9026"/>
        </w:tabs>
        <w:rPr>
          <w:b/>
          <w:szCs w:val="22"/>
        </w:rPr>
      </w:pPr>
      <w:r>
        <w:rPr>
          <w:b/>
          <w:szCs w:val="22"/>
        </w:rPr>
        <w:t>C</w:t>
      </w:r>
      <w:r w:rsidRPr="00407F2D">
        <w:rPr>
          <w:b/>
          <w:szCs w:val="22"/>
        </w:rPr>
        <w:t>onsideration of the evidence</w:t>
      </w:r>
    </w:p>
    <w:p w:rsidR="00A474D7" w:rsidRPr="005E00C5" w:rsidRDefault="00A474D7" w:rsidP="00A27C64"/>
    <w:bookmarkEnd w:id="18"/>
    <w:bookmarkEnd w:id="19"/>
    <w:bookmarkEnd w:id="20"/>
    <w:bookmarkEnd w:id="21"/>
    <w:bookmarkEnd w:id="22"/>
    <w:p w:rsidR="00B614F8" w:rsidRPr="00BB7EC3" w:rsidRDefault="00B614F8" w:rsidP="00B614F8">
      <w:pPr>
        <w:rPr>
          <w:b/>
          <w:i/>
          <w:szCs w:val="22"/>
        </w:rPr>
      </w:pPr>
      <w:r w:rsidRPr="00BB7EC3">
        <w:rPr>
          <w:b/>
          <w:i/>
          <w:szCs w:val="22"/>
        </w:rPr>
        <w:t>Sponsor hearing</w:t>
      </w:r>
    </w:p>
    <w:p w:rsidR="00A27C64" w:rsidRDefault="00A27C64" w:rsidP="008C14B9"/>
    <w:p w:rsidR="005B32EE" w:rsidRPr="001A53B7" w:rsidRDefault="00B614F8" w:rsidP="005B32EE">
      <w:pPr>
        <w:pStyle w:val="ListParagraph"/>
        <w:widowControl/>
        <w:numPr>
          <w:ilvl w:val="1"/>
          <w:numId w:val="18"/>
        </w:numPr>
        <w:rPr>
          <w:szCs w:val="22"/>
        </w:rPr>
      </w:pPr>
      <w:r w:rsidRPr="001A53B7">
        <w:rPr>
          <w:szCs w:val="22"/>
        </w:rPr>
        <w:t xml:space="preserve">The sponsor requested a hearing for this item.  The clinician discussed how the drug would be used in practice and addressed other matters in response to the Committee’s questions. </w:t>
      </w:r>
      <w:r w:rsidR="008E205D" w:rsidRPr="001A53B7">
        <w:rPr>
          <w:szCs w:val="22"/>
        </w:rPr>
        <w:t xml:space="preserve"> The clinician expressed the view that </w:t>
      </w:r>
      <w:proofErr w:type="spellStart"/>
      <w:r w:rsidR="008E205D" w:rsidRPr="001A53B7">
        <w:rPr>
          <w:szCs w:val="22"/>
        </w:rPr>
        <w:t>panitumumab</w:t>
      </w:r>
      <w:proofErr w:type="spellEnd"/>
      <w:r w:rsidR="008E205D" w:rsidRPr="001A53B7">
        <w:rPr>
          <w:szCs w:val="22"/>
        </w:rPr>
        <w:t xml:space="preserve"> and </w:t>
      </w:r>
      <w:proofErr w:type="spellStart"/>
      <w:r w:rsidR="008E205D" w:rsidRPr="001A53B7">
        <w:rPr>
          <w:szCs w:val="22"/>
        </w:rPr>
        <w:t>cetuximab</w:t>
      </w:r>
      <w:proofErr w:type="spellEnd"/>
      <w:r w:rsidR="008E205D" w:rsidRPr="001A53B7">
        <w:rPr>
          <w:szCs w:val="22"/>
        </w:rPr>
        <w:t xml:space="preserve"> exerted a class effect, and</w:t>
      </w:r>
      <w:r w:rsidR="00B0576E">
        <w:rPr>
          <w:szCs w:val="22"/>
        </w:rPr>
        <w:t xml:space="preserve"> </w:t>
      </w:r>
      <w:r w:rsidR="008E205D" w:rsidRPr="001A53B7">
        <w:rPr>
          <w:szCs w:val="22"/>
        </w:rPr>
        <w:t xml:space="preserve">that clinicians would prefer to have </w:t>
      </w:r>
      <w:r w:rsidR="0073665C" w:rsidRPr="001A53B7">
        <w:rPr>
          <w:szCs w:val="22"/>
        </w:rPr>
        <w:t xml:space="preserve">both </w:t>
      </w:r>
      <w:r w:rsidR="008E205D" w:rsidRPr="001A53B7">
        <w:rPr>
          <w:szCs w:val="22"/>
        </w:rPr>
        <w:t xml:space="preserve">these medicines available to be used in sequence with each other for a minority of </w:t>
      </w:r>
      <w:r w:rsidR="00AD7DEC">
        <w:rPr>
          <w:szCs w:val="22"/>
        </w:rPr>
        <w:t>patients</w:t>
      </w:r>
      <w:r w:rsidR="008E205D" w:rsidRPr="001A53B7">
        <w:rPr>
          <w:szCs w:val="22"/>
        </w:rPr>
        <w:t>.</w:t>
      </w:r>
      <w:r w:rsidR="00AD7DEC" w:rsidRPr="001A53B7">
        <w:rPr>
          <w:szCs w:val="22"/>
        </w:rPr>
        <w:t xml:space="preserve"> </w:t>
      </w:r>
      <w:r w:rsidR="0073665C" w:rsidRPr="001A53B7">
        <w:rPr>
          <w:szCs w:val="22"/>
        </w:rPr>
        <w:t xml:space="preserve">The clinician also expressed the view that anti-EGFR </w:t>
      </w:r>
      <w:r w:rsidR="00BB46EB" w:rsidRPr="001A53B7">
        <w:rPr>
          <w:szCs w:val="22"/>
        </w:rPr>
        <w:t>antibodies</w:t>
      </w:r>
      <w:r w:rsidR="0073665C" w:rsidRPr="001A53B7">
        <w:rPr>
          <w:szCs w:val="22"/>
        </w:rPr>
        <w:t xml:space="preserve"> and combination chemotherapy used as first line agents for </w:t>
      </w:r>
      <w:r w:rsidR="0073665C" w:rsidRPr="001A53B7">
        <w:rPr>
          <w:i/>
          <w:szCs w:val="22"/>
        </w:rPr>
        <w:t>KRAS</w:t>
      </w:r>
      <w:r w:rsidR="0073665C" w:rsidRPr="001A53B7">
        <w:rPr>
          <w:szCs w:val="22"/>
        </w:rPr>
        <w:t xml:space="preserve"> WT patients were at least as effective as </w:t>
      </w:r>
      <w:proofErr w:type="spellStart"/>
      <w:r w:rsidR="0073665C" w:rsidRPr="001A53B7">
        <w:rPr>
          <w:szCs w:val="22"/>
        </w:rPr>
        <w:t>bevacizumab</w:t>
      </w:r>
      <w:proofErr w:type="spellEnd"/>
      <w:r w:rsidR="0073665C" w:rsidRPr="001A53B7">
        <w:rPr>
          <w:szCs w:val="22"/>
        </w:rPr>
        <w:t xml:space="preserve"> and combination chemotherapy. </w:t>
      </w:r>
      <w:r w:rsidR="005B32EE" w:rsidRPr="005B32EE">
        <w:rPr>
          <w:szCs w:val="22"/>
        </w:rPr>
        <w:t>In this regard, the clinician mentioned the CALGB/SWOG study.</w:t>
      </w:r>
    </w:p>
    <w:p w:rsidR="00B614F8" w:rsidRPr="001A7755" w:rsidRDefault="00B614F8" w:rsidP="00470D4A">
      <w:pPr>
        <w:pStyle w:val="ListParagraph"/>
        <w:widowControl/>
        <w:rPr>
          <w:szCs w:val="22"/>
        </w:rPr>
      </w:pPr>
    </w:p>
    <w:p w:rsidR="008E205D" w:rsidRPr="008E205D" w:rsidRDefault="008E205D" w:rsidP="00213EC8">
      <w:pPr>
        <w:rPr>
          <w:szCs w:val="22"/>
        </w:rPr>
      </w:pPr>
    </w:p>
    <w:p w:rsidR="008E205D" w:rsidRPr="008E205D" w:rsidRDefault="008E205D" w:rsidP="008E205D">
      <w:pPr>
        <w:ind w:left="709"/>
        <w:rPr>
          <w:i/>
          <w:szCs w:val="22"/>
        </w:rPr>
      </w:pPr>
      <w:r w:rsidRPr="008E205D">
        <w:rPr>
          <w:i/>
          <w:szCs w:val="22"/>
        </w:rPr>
        <w:t>For more detail on PBAC’s view, see section 7 “PBAC outcome”</w:t>
      </w:r>
    </w:p>
    <w:p w:rsidR="00B614F8" w:rsidRDefault="00B614F8" w:rsidP="00B614F8"/>
    <w:p w:rsidR="00B614F8" w:rsidRDefault="00B614F8" w:rsidP="00B614F8">
      <w:pPr>
        <w:rPr>
          <w:b/>
          <w:i/>
        </w:rPr>
      </w:pPr>
      <w:r w:rsidRPr="009A3574">
        <w:rPr>
          <w:b/>
          <w:i/>
        </w:rPr>
        <w:t>Consumer comments</w:t>
      </w:r>
    </w:p>
    <w:p w:rsidR="00B614F8" w:rsidRPr="008E205D" w:rsidRDefault="00B614F8" w:rsidP="00B614F8">
      <w:pPr>
        <w:rPr>
          <w:i/>
        </w:rPr>
      </w:pPr>
    </w:p>
    <w:p w:rsidR="00B614F8" w:rsidRPr="001A53B7" w:rsidRDefault="004F1EB7" w:rsidP="001A53B7">
      <w:pPr>
        <w:pStyle w:val="ListParagraph"/>
        <w:widowControl/>
        <w:numPr>
          <w:ilvl w:val="1"/>
          <w:numId w:val="18"/>
        </w:numPr>
        <w:rPr>
          <w:szCs w:val="22"/>
        </w:rPr>
      </w:pPr>
      <w:bookmarkStart w:id="23" w:name="_Toc388361905"/>
      <w:r w:rsidRPr="001A53B7">
        <w:rPr>
          <w:szCs w:val="22"/>
        </w:rPr>
        <w:t>N</w:t>
      </w:r>
      <w:r w:rsidR="00B614F8" w:rsidRPr="001A53B7">
        <w:rPr>
          <w:szCs w:val="22"/>
        </w:rPr>
        <w:t>o consumer comments were received for this item.</w:t>
      </w:r>
    </w:p>
    <w:p w:rsidR="00B614F8" w:rsidRPr="008E205D" w:rsidRDefault="00B614F8" w:rsidP="00B503AA">
      <w:pPr>
        <w:pStyle w:val="ListParagraph"/>
        <w:ind w:left="709"/>
      </w:pPr>
    </w:p>
    <w:p w:rsidR="00B614F8" w:rsidRPr="00CA2924" w:rsidRDefault="00B614F8" w:rsidP="00B614F8">
      <w:pPr>
        <w:pStyle w:val="Heading2"/>
        <w:rPr>
          <w:i/>
        </w:rPr>
      </w:pPr>
      <w:r w:rsidRPr="00CA2924">
        <w:rPr>
          <w:i/>
        </w:rPr>
        <w:t>Clinical trials</w:t>
      </w:r>
      <w:bookmarkEnd w:id="23"/>
    </w:p>
    <w:p w:rsidR="00B614F8" w:rsidRPr="00CA2924" w:rsidRDefault="00B614F8" w:rsidP="00213EC8"/>
    <w:p w:rsidR="006050DE" w:rsidRPr="001A53B7" w:rsidRDefault="003113FE" w:rsidP="001A53B7">
      <w:pPr>
        <w:pStyle w:val="ListParagraph"/>
        <w:widowControl/>
        <w:numPr>
          <w:ilvl w:val="1"/>
          <w:numId w:val="18"/>
        </w:numPr>
        <w:rPr>
          <w:szCs w:val="22"/>
        </w:rPr>
      </w:pPr>
      <w:r w:rsidRPr="00CA2924">
        <w:t>T</w:t>
      </w:r>
      <w:r w:rsidR="007C30F3" w:rsidRPr="00CA2924">
        <w:t>he table below identifies the t</w:t>
      </w:r>
      <w:r w:rsidRPr="00CA2924">
        <w:t xml:space="preserve">wo direct randomised trials </w:t>
      </w:r>
      <w:r w:rsidR="00A975F6" w:rsidRPr="00CA2924">
        <w:t>(PRIME and PEAK</w:t>
      </w:r>
      <w:r w:rsidR="00362CE5" w:rsidRPr="00CA2924">
        <w:t>) that</w:t>
      </w:r>
      <w:r w:rsidR="007C30F3" w:rsidRPr="00CA2924">
        <w:t xml:space="preserve"> </w:t>
      </w:r>
      <w:r w:rsidRPr="00CA2924">
        <w:t xml:space="preserve">support the request to list </w:t>
      </w:r>
      <w:proofErr w:type="spellStart"/>
      <w:r w:rsidRPr="00CA2924">
        <w:t>panitumumab</w:t>
      </w:r>
      <w:proofErr w:type="spellEnd"/>
      <w:r w:rsidRPr="00CA2924">
        <w:t xml:space="preserve"> as f</w:t>
      </w:r>
      <w:r w:rsidR="00A27C64" w:rsidRPr="00CA2924">
        <w:t>irst-line treatment</w:t>
      </w:r>
      <w:r w:rsidRPr="00CA2924">
        <w:t xml:space="preserve">. </w:t>
      </w:r>
      <w:r w:rsidR="00287193" w:rsidRPr="00CA2924">
        <w:t xml:space="preserve"> </w:t>
      </w:r>
      <w:r w:rsidR="00613F7C" w:rsidRPr="00CA2924">
        <w:t>Six</w:t>
      </w:r>
      <w:r w:rsidRPr="00CA2924">
        <w:t xml:space="preserve"> </w:t>
      </w:r>
      <w:r w:rsidR="007C30F3" w:rsidRPr="00CA2924">
        <w:t xml:space="preserve">additional </w:t>
      </w:r>
      <w:r w:rsidRPr="00CA2924">
        <w:t>randomised trials (</w:t>
      </w:r>
      <w:r w:rsidR="00613F7C" w:rsidRPr="00CA2924">
        <w:t>three</w:t>
      </w:r>
      <w:r w:rsidRPr="00CA2924">
        <w:t xml:space="preserve"> for </w:t>
      </w:r>
      <w:proofErr w:type="spellStart"/>
      <w:r w:rsidRPr="00CA2924">
        <w:t>cetuximab</w:t>
      </w:r>
      <w:proofErr w:type="spellEnd"/>
      <w:r w:rsidRPr="00CA2924">
        <w:t xml:space="preserve"> as first-line </w:t>
      </w:r>
      <w:r w:rsidR="00613F7C" w:rsidRPr="00CA2924">
        <w:t>treatment</w:t>
      </w:r>
      <w:r w:rsidRPr="00CA2924">
        <w:t>: FIRE-3</w:t>
      </w:r>
      <w:r w:rsidR="00613F7C" w:rsidRPr="00CA2924">
        <w:t>,</w:t>
      </w:r>
      <w:r w:rsidRPr="00CA2924">
        <w:t xml:space="preserve"> OPUS</w:t>
      </w:r>
      <w:r w:rsidR="00613F7C" w:rsidRPr="00CA2924">
        <w:t xml:space="preserve"> and COIN</w:t>
      </w:r>
      <w:r w:rsidRPr="00CA2924">
        <w:t xml:space="preserve">; and three for </w:t>
      </w:r>
      <w:proofErr w:type="spellStart"/>
      <w:r w:rsidRPr="00CA2924">
        <w:t>panitumumab</w:t>
      </w:r>
      <w:proofErr w:type="spellEnd"/>
      <w:r w:rsidRPr="00CA2924">
        <w:t xml:space="preserve"> as later-line treatment: Study 181, Study 408 and PICCOLO) are </w:t>
      </w:r>
      <w:r w:rsidR="007C30F3" w:rsidRPr="00CA2924">
        <w:t xml:space="preserve">also </w:t>
      </w:r>
      <w:r w:rsidR="00613F7C" w:rsidRPr="00CA2924">
        <w:t>relevant</w:t>
      </w:r>
      <w:r w:rsidRPr="00CA2924">
        <w:t xml:space="preserve"> to support the request for eligibility to be determined on the basis of </w:t>
      </w:r>
      <w:r w:rsidRPr="001A53B7">
        <w:rPr>
          <w:i/>
        </w:rPr>
        <w:t>RAS</w:t>
      </w:r>
      <w:r w:rsidRPr="00CA2924">
        <w:t xml:space="preserve"> WT rather than </w:t>
      </w:r>
      <w:r w:rsidRPr="001A53B7">
        <w:rPr>
          <w:i/>
        </w:rPr>
        <w:t>KRAS</w:t>
      </w:r>
      <w:r w:rsidRPr="00CA2924">
        <w:t xml:space="preserve"> WT</w:t>
      </w:r>
      <w:r w:rsidR="00AB6E1A" w:rsidRPr="00CA2924">
        <w:t>.</w:t>
      </w:r>
    </w:p>
    <w:p w:rsidR="00B11BF0" w:rsidRDefault="00B11BF0" w:rsidP="00B11BF0"/>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panitumumab published trials"/>
      </w:tblPr>
      <w:tblGrid>
        <w:gridCol w:w="851"/>
        <w:gridCol w:w="5952"/>
        <w:gridCol w:w="1542"/>
      </w:tblGrid>
      <w:tr w:rsidR="00A27C64" w:rsidRPr="00CA2924" w:rsidTr="00B43E2B">
        <w:trPr>
          <w:trHeight w:val="224"/>
        </w:trPr>
        <w:tc>
          <w:tcPr>
            <w:tcW w:w="510" w:type="pct"/>
          </w:tcPr>
          <w:p w:rsidR="00A27C64" w:rsidRPr="00CA2924" w:rsidRDefault="00A27C64" w:rsidP="00A27C64">
            <w:pPr>
              <w:rPr>
                <w:rFonts w:ascii="Arial Narrow" w:hAnsi="Arial Narrow"/>
                <w:b/>
                <w:sz w:val="20"/>
              </w:rPr>
            </w:pPr>
            <w:r w:rsidRPr="00CA2924">
              <w:rPr>
                <w:rFonts w:ascii="Arial Narrow" w:hAnsi="Arial Narrow"/>
                <w:b/>
                <w:sz w:val="20"/>
              </w:rPr>
              <w:t>Trial ID</w:t>
            </w:r>
          </w:p>
        </w:tc>
        <w:tc>
          <w:tcPr>
            <w:tcW w:w="3566" w:type="pct"/>
          </w:tcPr>
          <w:p w:rsidR="00A27C64" w:rsidRPr="00CA2924" w:rsidRDefault="00A27C64" w:rsidP="00823F84">
            <w:pPr>
              <w:jc w:val="center"/>
              <w:rPr>
                <w:rFonts w:ascii="Arial Narrow" w:hAnsi="Arial Narrow"/>
                <w:b/>
                <w:sz w:val="20"/>
              </w:rPr>
            </w:pPr>
            <w:r w:rsidRPr="00CA2924">
              <w:rPr>
                <w:rFonts w:ascii="Arial Narrow" w:hAnsi="Arial Narrow"/>
                <w:b/>
                <w:sz w:val="20"/>
              </w:rPr>
              <w:t xml:space="preserve">Protocol title/ </w:t>
            </w:r>
            <w:r w:rsidR="00823F84" w:rsidRPr="00CA2924">
              <w:rPr>
                <w:rFonts w:ascii="Arial Narrow" w:hAnsi="Arial Narrow"/>
                <w:b/>
                <w:sz w:val="20"/>
              </w:rPr>
              <w:t>p</w:t>
            </w:r>
            <w:r w:rsidRPr="00CA2924">
              <w:rPr>
                <w:rFonts w:ascii="Arial Narrow" w:hAnsi="Arial Narrow"/>
                <w:b/>
                <w:sz w:val="20"/>
              </w:rPr>
              <w:t>ublication title</w:t>
            </w:r>
          </w:p>
        </w:tc>
        <w:tc>
          <w:tcPr>
            <w:tcW w:w="924" w:type="pct"/>
          </w:tcPr>
          <w:p w:rsidR="00A27C64" w:rsidRPr="00CA2924" w:rsidRDefault="00A27C64" w:rsidP="00A27C64">
            <w:pPr>
              <w:jc w:val="center"/>
              <w:rPr>
                <w:rFonts w:ascii="Arial Narrow" w:hAnsi="Arial Narrow"/>
                <w:b/>
                <w:sz w:val="20"/>
              </w:rPr>
            </w:pPr>
            <w:r w:rsidRPr="00CA2924">
              <w:rPr>
                <w:rFonts w:ascii="Arial Narrow" w:hAnsi="Arial Narrow"/>
                <w:b/>
                <w:sz w:val="20"/>
              </w:rPr>
              <w:t>Publication citation</w:t>
            </w:r>
          </w:p>
        </w:tc>
      </w:tr>
      <w:tr w:rsidR="00FE62ED" w:rsidRPr="00CA2924" w:rsidTr="00B43E2B">
        <w:trPr>
          <w:trHeight w:val="177"/>
        </w:trPr>
        <w:tc>
          <w:tcPr>
            <w:tcW w:w="5000" w:type="pct"/>
            <w:gridSpan w:val="3"/>
            <w:shd w:val="clear" w:color="auto" w:fill="FFFFFF" w:themeFill="background1"/>
          </w:tcPr>
          <w:p w:rsidR="00FE62ED" w:rsidRPr="00CA2924" w:rsidRDefault="00FE62ED" w:rsidP="00FE62ED">
            <w:pPr>
              <w:pStyle w:val="TableText0"/>
              <w:spacing w:before="0" w:after="0"/>
              <w:rPr>
                <w:rFonts w:cs="Arial"/>
                <w:lang w:eastAsia="en-AU"/>
              </w:rPr>
            </w:pPr>
            <w:proofErr w:type="spellStart"/>
            <w:r w:rsidRPr="00CA2924">
              <w:rPr>
                <w:b/>
              </w:rPr>
              <w:t>Panitumumab</w:t>
            </w:r>
            <w:proofErr w:type="spellEnd"/>
            <w:r w:rsidRPr="00CA2924">
              <w:rPr>
                <w:b/>
              </w:rPr>
              <w:t xml:space="preserve"> + FOLFOX versus FOLFOX alone</w:t>
            </w:r>
          </w:p>
        </w:tc>
      </w:tr>
      <w:tr w:rsidR="00FE62ED" w:rsidRPr="00CA2924" w:rsidTr="00B43E2B">
        <w:trPr>
          <w:trHeight w:val="983"/>
        </w:trPr>
        <w:tc>
          <w:tcPr>
            <w:tcW w:w="510" w:type="pct"/>
          </w:tcPr>
          <w:p w:rsidR="00FE62ED" w:rsidRPr="00CA2924" w:rsidRDefault="00FE62ED" w:rsidP="00FE62ED">
            <w:pPr>
              <w:rPr>
                <w:rFonts w:ascii="Arial Narrow" w:hAnsi="Arial Narrow"/>
                <w:sz w:val="20"/>
              </w:rPr>
            </w:pPr>
            <w:r w:rsidRPr="00CA2924">
              <w:rPr>
                <w:rFonts w:ascii="Arial Narrow" w:hAnsi="Arial Narrow"/>
                <w:sz w:val="20"/>
                <w:lang w:eastAsia="en-AU"/>
              </w:rPr>
              <w:t>PRIME</w:t>
            </w:r>
          </w:p>
        </w:tc>
        <w:tc>
          <w:tcPr>
            <w:tcW w:w="3566" w:type="pct"/>
          </w:tcPr>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lang w:val="en-AU"/>
              </w:rPr>
              <w:t xml:space="preserve">Amgen </w:t>
            </w:r>
            <w:proofErr w:type="spellStart"/>
            <w:r w:rsidRPr="00CA2924">
              <w:rPr>
                <w:rFonts w:ascii="Arial Narrow" w:eastAsia="Batang" w:hAnsi="Arial Narrow"/>
                <w:lang w:val="en-AU"/>
              </w:rPr>
              <w:t>Inc</w:t>
            </w:r>
            <w:proofErr w:type="spellEnd"/>
            <w:r w:rsidRPr="00CA2924">
              <w:rPr>
                <w:rFonts w:ascii="Arial Narrow" w:eastAsia="Batang" w:hAnsi="Arial Narrow"/>
                <w:lang w:val="en-AU"/>
              </w:rPr>
              <w:t xml:space="preserve">: Clinical Study Report: 20050203 A Randomised, </w:t>
            </w:r>
            <w:proofErr w:type="spellStart"/>
            <w:r w:rsidRPr="00CA2924">
              <w:rPr>
                <w:rFonts w:ascii="Arial Narrow" w:eastAsia="Batang" w:hAnsi="Arial Narrow"/>
                <w:lang w:val="en-AU"/>
              </w:rPr>
              <w:t>Multicenter</w:t>
            </w:r>
            <w:proofErr w:type="spellEnd"/>
            <w:r w:rsidRPr="00CA2924">
              <w:rPr>
                <w:rFonts w:ascii="Arial Narrow" w:eastAsia="Batang" w:hAnsi="Arial Narrow"/>
                <w:lang w:val="en-AU"/>
              </w:rPr>
              <w:t xml:space="preserve">, </w:t>
            </w:r>
            <w:proofErr w:type="gramStart"/>
            <w:r w:rsidRPr="00CA2924">
              <w:rPr>
                <w:rFonts w:ascii="Arial Narrow" w:eastAsia="Batang" w:hAnsi="Arial Narrow"/>
                <w:lang w:val="en-AU"/>
              </w:rPr>
              <w:t>Phase</w:t>
            </w:r>
            <w:proofErr w:type="gramEnd"/>
            <w:r w:rsidRPr="00CA2924">
              <w:rPr>
                <w:rFonts w:ascii="Arial Narrow" w:eastAsia="Batang" w:hAnsi="Arial Narrow"/>
                <w:lang w:val="en-AU"/>
              </w:rPr>
              <w:t xml:space="preserve"> 3 Study to Compare the Efficacy of </w:t>
            </w:r>
            <w:proofErr w:type="spellStart"/>
            <w:r w:rsidRPr="00CA2924">
              <w:rPr>
                <w:rFonts w:ascii="Arial Narrow" w:eastAsia="Batang" w:hAnsi="Arial Narrow"/>
                <w:lang w:val="en-AU"/>
              </w:rPr>
              <w:t>Panitumumab</w:t>
            </w:r>
            <w:proofErr w:type="spellEnd"/>
            <w:r w:rsidRPr="00CA2924">
              <w:rPr>
                <w:rFonts w:ascii="Arial Narrow" w:eastAsia="Batang" w:hAnsi="Arial Narrow"/>
                <w:lang w:val="en-AU"/>
              </w:rPr>
              <w:t xml:space="preserve"> in Combination with </w:t>
            </w:r>
            <w:proofErr w:type="spellStart"/>
            <w:r w:rsidRPr="00CA2924">
              <w:rPr>
                <w:rFonts w:ascii="Arial Narrow" w:eastAsia="Batang" w:hAnsi="Arial Narrow"/>
                <w:lang w:val="en-AU"/>
              </w:rPr>
              <w:t>Oxaliplatin</w:t>
            </w:r>
            <w:proofErr w:type="spellEnd"/>
            <w:r w:rsidRPr="00CA2924">
              <w:rPr>
                <w:rFonts w:ascii="Arial Narrow" w:eastAsia="Batang" w:hAnsi="Arial Narrow"/>
                <w:lang w:val="en-AU"/>
              </w:rPr>
              <w:t>/5-fluorouracil/</w:t>
            </w:r>
            <w:proofErr w:type="spellStart"/>
            <w:r w:rsidRPr="00CA2924">
              <w:rPr>
                <w:rFonts w:ascii="Arial Narrow" w:eastAsia="Batang" w:hAnsi="Arial Narrow"/>
                <w:lang w:val="en-AU"/>
              </w:rPr>
              <w:t>leucovorin</w:t>
            </w:r>
            <w:proofErr w:type="spellEnd"/>
            <w:r w:rsidRPr="00CA2924">
              <w:rPr>
                <w:rFonts w:ascii="Arial Narrow" w:eastAsia="Batang" w:hAnsi="Arial Narrow"/>
                <w:lang w:val="en-AU"/>
              </w:rPr>
              <w:t xml:space="preserve"> to the Efficacy of </w:t>
            </w:r>
            <w:proofErr w:type="spellStart"/>
            <w:r w:rsidRPr="00CA2924">
              <w:rPr>
                <w:rFonts w:ascii="Arial Narrow" w:eastAsia="Batang" w:hAnsi="Arial Narrow"/>
                <w:lang w:val="en-AU"/>
              </w:rPr>
              <w:t>Oxaliplatin</w:t>
            </w:r>
            <w:proofErr w:type="spellEnd"/>
            <w:r w:rsidRPr="00CA2924">
              <w:rPr>
                <w:rFonts w:ascii="Arial Narrow" w:eastAsia="Batang" w:hAnsi="Arial Narrow"/>
                <w:lang w:val="en-AU"/>
              </w:rPr>
              <w:t>/5-fluorouracil/</w:t>
            </w:r>
            <w:proofErr w:type="spellStart"/>
            <w:r w:rsidRPr="00CA2924">
              <w:rPr>
                <w:rFonts w:ascii="Arial Narrow" w:eastAsia="Batang" w:hAnsi="Arial Narrow"/>
                <w:lang w:val="en-AU"/>
              </w:rPr>
              <w:t>leucovorin</w:t>
            </w:r>
            <w:proofErr w:type="spellEnd"/>
            <w:r w:rsidRPr="00CA2924">
              <w:rPr>
                <w:rFonts w:ascii="Arial Narrow" w:eastAsia="Batang" w:hAnsi="Arial Narrow"/>
                <w:lang w:val="en-AU"/>
              </w:rPr>
              <w:t xml:space="preserve"> Alone in Patients with Previously Untreated Metastatic Colorectal Cancer.</w:t>
            </w:r>
          </w:p>
          <w:p w:rsidR="00FE62ED" w:rsidRPr="00CA2924" w:rsidRDefault="00FE62ED" w:rsidP="00B614F8">
            <w:pPr>
              <w:pStyle w:val="TableLeftAlign"/>
              <w:keepNext w:val="0"/>
              <w:numPr>
                <w:ilvl w:val="0"/>
                <w:numId w:val="15"/>
              </w:numPr>
              <w:ind w:left="397" w:hanging="357"/>
              <w:rPr>
                <w:rFonts w:ascii="Arial Narrow" w:eastAsia="Batang" w:hAnsi="Arial Narrow"/>
                <w:lang w:val="en-AU"/>
              </w:rPr>
            </w:pPr>
            <w:r w:rsidRPr="00CA2924">
              <w:rPr>
                <w:rFonts w:ascii="Arial Narrow" w:eastAsia="Batang" w:hAnsi="Arial Narrow"/>
                <w:lang w:val="en-AU"/>
              </w:rPr>
              <w:t>Data cut-off date 30 September 2008 (primary analysis of PFS)</w:t>
            </w:r>
          </w:p>
          <w:p w:rsidR="00FE62ED" w:rsidRPr="00CA2924" w:rsidRDefault="00FE62ED" w:rsidP="00B614F8">
            <w:pPr>
              <w:pStyle w:val="TableLeftAlign"/>
              <w:keepNext w:val="0"/>
              <w:numPr>
                <w:ilvl w:val="0"/>
                <w:numId w:val="15"/>
              </w:numPr>
              <w:ind w:left="397"/>
              <w:rPr>
                <w:rFonts w:ascii="Arial Narrow" w:eastAsia="Batang" w:hAnsi="Arial Narrow"/>
                <w:lang w:val="en-AU"/>
              </w:rPr>
            </w:pPr>
            <w:r w:rsidRPr="00CA2924">
              <w:rPr>
                <w:rFonts w:ascii="Arial Narrow" w:eastAsia="Batang" w:hAnsi="Arial Narrow"/>
                <w:lang w:val="en-AU"/>
              </w:rPr>
              <w:t>Data cut-off date 28 August 2009 (primary analysis of OS)</w:t>
            </w:r>
          </w:p>
          <w:p w:rsidR="00FE62ED" w:rsidRPr="00CA2924" w:rsidRDefault="00FE62ED" w:rsidP="00B614F8">
            <w:pPr>
              <w:pStyle w:val="TableLeftAlign"/>
              <w:keepNext w:val="0"/>
              <w:numPr>
                <w:ilvl w:val="0"/>
                <w:numId w:val="15"/>
              </w:numPr>
              <w:ind w:left="397"/>
              <w:rPr>
                <w:rFonts w:ascii="Arial Narrow" w:eastAsia="Batang" w:hAnsi="Arial Narrow"/>
                <w:lang w:val="en-AU"/>
              </w:rPr>
            </w:pPr>
            <w:r w:rsidRPr="00CA2924">
              <w:rPr>
                <w:rFonts w:ascii="Arial Narrow" w:eastAsia="Batang" w:hAnsi="Arial Narrow"/>
                <w:lang w:val="en-AU"/>
              </w:rPr>
              <w:t>Data cut-off date 19 January 2012 (final descriptive analyses)</w:t>
            </w:r>
          </w:p>
          <w:p w:rsidR="00FE62ED" w:rsidRPr="00CA2924" w:rsidRDefault="00FE62ED" w:rsidP="00B614F8">
            <w:pPr>
              <w:pStyle w:val="TableLeftAlign"/>
              <w:keepNext w:val="0"/>
              <w:numPr>
                <w:ilvl w:val="0"/>
                <w:numId w:val="15"/>
              </w:numPr>
              <w:ind w:left="397"/>
              <w:rPr>
                <w:rFonts w:ascii="Arial Narrow" w:eastAsia="Batang" w:hAnsi="Arial Narrow"/>
                <w:lang w:val="en-AU"/>
              </w:rPr>
            </w:pPr>
            <w:r w:rsidRPr="00CA2924">
              <w:rPr>
                <w:rFonts w:ascii="Arial Narrow" w:eastAsia="Batang" w:hAnsi="Arial Narrow"/>
                <w:lang w:val="en-AU"/>
              </w:rPr>
              <w:t>Data cut-off date 15 April 2013 (RAS/BRAF supplement)</w:t>
            </w:r>
          </w:p>
          <w:p w:rsidR="00FE62ED" w:rsidRPr="00CA2924" w:rsidRDefault="00FE62ED" w:rsidP="00FE62ED">
            <w:pPr>
              <w:pStyle w:val="TableLeftAlign"/>
              <w:keepNext w:val="0"/>
              <w:rPr>
                <w:rFonts w:ascii="Arial Narrow" w:eastAsia="Batang" w:hAnsi="Arial Narrow"/>
                <w:lang w:val="en-AU"/>
              </w:rPr>
            </w:pPr>
          </w:p>
          <w:p w:rsidR="00FE62ED" w:rsidRPr="00CA2924" w:rsidRDefault="00FE62ED" w:rsidP="00FE62ED">
            <w:pPr>
              <w:pStyle w:val="TableLeftAlign"/>
              <w:keepNext w:val="0"/>
              <w:rPr>
                <w:rFonts w:ascii="Arial Narrow" w:eastAsia="Batang" w:hAnsi="Arial Narrow"/>
                <w:lang w:val="en-AU"/>
              </w:rPr>
            </w:pPr>
            <w:proofErr w:type="spellStart"/>
            <w:r w:rsidRPr="00CA2924">
              <w:rPr>
                <w:rFonts w:ascii="Arial Narrow" w:eastAsia="Batang" w:hAnsi="Arial Narrow"/>
                <w:lang w:val="en-AU"/>
              </w:rPr>
              <w:t>Douillard</w:t>
            </w:r>
            <w:proofErr w:type="spellEnd"/>
            <w:r w:rsidRPr="00CA2924">
              <w:rPr>
                <w:rFonts w:ascii="Arial Narrow" w:eastAsia="Batang" w:hAnsi="Arial Narrow"/>
                <w:lang w:val="en-AU"/>
              </w:rPr>
              <w:t xml:space="preserve">, J. Y., S. Siena, et al. "Randomised, Phase III trial of </w:t>
            </w:r>
            <w:proofErr w:type="spellStart"/>
            <w:r w:rsidRPr="00CA2924">
              <w:rPr>
                <w:rFonts w:ascii="Arial Narrow" w:eastAsia="Batang" w:hAnsi="Arial Narrow"/>
                <w:lang w:val="en-AU"/>
              </w:rPr>
              <w:t>panitumumab</w:t>
            </w:r>
            <w:proofErr w:type="spellEnd"/>
            <w:r w:rsidRPr="00CA2924">
              <w:rPr>
                <w:rFonts w:ascii="Arial Narrow" w:eastAsia="Batang" w:hAnsi="Arial Narrow"/>
                <w:lang w:val="en-AU"/>
              </w:rPr>
              <w:t xml:space="preserve"> with </w:t>
            </w:r>
            <w:proofErr w:type="spellStart"/>
            <w:r w:rsidRPr="00CA2924">
              <w:rPr>
                <w:rFonts w:ascii="Arial Narrow" w:eastAsia="Batang" w:hAnsi="Arial Narrow"/>
                <w:lang w:val="en-AU"/>
              </w:rPr>
              <w:t>infusional</w:t>
            </w:r>
            <w:proofErr w:type="spellEnd"/>
            <w:r w:rsidRPr="00CA2924">
              <w:rPr>
                <w:rFonts w:ascii="Arial Narrow" w:eastAsia="Batang" w:hAnsi="Arial Narrow"/>
                <w:lang w:val="en-AU"/>
              </w:rPr>
              <w:t xml:space="preserve"> fluorouracil, </w:t>
            </w:r>
            <w:proofErr w:type="spellStart"/>
            <w:r w:rsidRPr="00CA2924">
              <w:rPr>
                <w:rFonts w:ascii="Arial Narrow" w:eastAsia="Batang" w:hAnsi="Arial Narrow"/>
                <w:lang w:val="en-AU"/>
              </w:rPr>
              <w:t>leucovorin</w:t>
            </w:r>
            <w:proofErr w:type="spellEnd"/>
            <w:r w:rsidRPr="00CA2924">
              <w:rPr>
                <w:rFonts w:ascii="Arial Narrow" w:eastAsia="Batang" w:hAnsi="Arial Narrow"/>
                <w:lang w:val="en-AU"/>
              </w:rPr>
              <w:t xml:space="preserve">, and </w:t>
            </w:r>
            <w:proofErr w:type="spellStart"/>
            <w:r w:rsidRPr="00CA2924">
              <w:rPr>
                <w:rFonts w:ascii="Arial Narrow" w:eastAsia="Batang" w:hAnsi="Arial Narrow"/>
                <w:lang w:val="en-AU"/>
              </w:rPr>
              <w:t>oxaliplatin</w:t>
            </w:r>
            <w:proofErr w:type="spellEnd"/>
            <w:r w:rsidRPr="00CA2924">
              <w:rPr>
                <w:rFonts w:ascii="Arial Narrow" w:eastAsia="Batang" w:hAnsi="Arial Narrow"/>
                <w:lang w:val="en-AU"/>
              </w:rPr>
              <w:t xml:space="preserve"> (FOLFOX4) Versus FOLFOX4 alone as first-line treatment in patients with previously untreated metastatic colorectal cancer: The PRIME study." </w:t>
            </w:r>
          </w:p>
          <w:p w:rsidR="00FE62ED" w:rsidRPr="00CA2924" w:rsidRDefault="00FE62ED" w:rsidP="00FE62ED">
            <w:pPr>
              <w:pStyle w:val="TableLeftAlign"/>
              <w:keepNext w:val="0"/>
              <w:rPr>
                <w:rFonts w:ascii="Arial Narrow" w:eastAsia="Batang" w:hAnsi="Arial Narrow"/>
                <w:lang w:val="en-AU"/>
              </w:rPr>
            </w:pPr>
            <w:proofErr w:type="spellStart"/>
            <w:r w:rsidRPr="00CA2924">
              <w:rPr>
                <w:rFonts w:ascii="Arial Narrow" w:eastAsia="Batang" w:hAnsi="Arial Narrow"/>
                <w:lang w:val="en-AU"/>
              </w:rPr>
              <w:t>Douillard</w:t>
            </w:r>
            <w:proofErr w:type="spellEnd"/>
            <w:r w:rsidRPr="00CA2924">
              <w:rPr>
                <w:rFonts w:ascii="Arial Narrow" w:eastAsia="Batang" w:hAnsi="Arial Narrow"/>
                <w:lang w:val="en-AU"/>
              </w:rPr>
              <w:t xml:space="preserve"> JY, </w:t>
            </w:r>
            <w:proofErr w:type="spellStart"/>
            <w:r w:rsidRPr="00CA2924">
              <w:rPr>
                <w:rFonts w:ascii="Arial Narrow" w:eastAsia="Batang" w:hAnsi="Arial Narrow"/>
                <w:lang w:val="en-AU"/>
              </w:rPr>
              <w:t>Oliner</w:t>
            </w:r>
            <w:proofErr w:type="spellEnd"/>
            <w:r w:rsidRPr="00CA2924">
              <w:rPr>
                <w:rFonts w:ascii="Arial Narrow" w:eastAsia="Batang" w:hAnsi="Arial Narrow"/>
                <w:lang w:val="en-AU"/>
              </w:rPr>
              <w:t xml:space="preserve"> KS, Siena S et al. “Panitumumab-FOLFOX4 treatment and RAS mutations in colorectal cancer." </w:t>
            </w:r>
          </w:p>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lang w:val="en-AU"/>
              </w:rPr>
              <w:t xml:space="preserve">Bennett, L., Z. Zhao, et al. "Health-related quality of life in patients with metastatic colorectal cancer treated with </w:t>
            </w:r>
            <w:proofErr w:type="spellStart"/>
            <w:r w:rsidRPr="00CA2924">
              <w:rPr>
                <w:rFonts w:ascii="Arial Narrow" w:eastAsia="Batang" w:hAnsi="Arial Narrow"/>
                <w:lang w:val="en-AU"/>
              </w:rPr>
              <w:t>panitumumab</w:t>
            </w:r>
            <w:proofErr w:type="spellEnd"/>
            <w:r w:rsidRPr="00CA2924">
              <w:rPr>
                <w:rFonts w:ascii="Arial Narrow" w:eastAsia="Batang" w:hAnsi="Arial Narrow"/>
                <w:lang w:val="en-AU"/>
              </w:rPr>
              <w:t xml:space="preserve"> in first-or second-line treatment."</w:t>
            </w:r>
          </w:p>
        </w:tc>
        <w:tc>
          <w:tcPr>
            <w:tcW w:w="924" w:type="pct"/>
          </w:tcPr>
          <w:p w:rsidR="00FE62ED" w:rsidRPr="00CA2924" w:rsidRDefault="00FE62ED" w:rsidP="00FE62ED">
            <w:pPr>
              <w:pStyle w:val="TableLeftAlign"/>
              <w:keepNext w:val="0"/>
              <w:spacing w:after="0"/>
              <w:rPr>
                <w:rFonts w:ascii="Arial Narrow" w:eastAsia="Batang" w:hAnsi="Arial Narrow"/>
                <w:lang w:val="en-AU"/>
              </w:rPr>
            </w:pPr>
          </w:p>
          <w:p w:rsidR="00FE62ED" w:rsidRPr="00CA2924" w:rsidRDefault="00FE62ED" w:rsidP="00FE62ED">
            <w:pPr>
              <w:pStyle w:val="TableLeftAlign"/>
              <w:keepNext w:val="0"/>
              <w:spacing w:before="0" w:after="0"/>
              <w:rPr>
                <w:rFonts w:ascii="Arial Narrow" w:eastAsia="Batang" w:hAnsi="Arial Narrow"/>
                <w:lang w:val="en-AU"/>
              </w:rPr>
            </w:pPr>
          </w:p>
          <w:p w:rsidR="00FE62ED" w:rsidRPr="00CA2924" w:rsidRDefault="00FE62ED" w:rsidP="00FE62ED">
            <w:pPr>
              <w:pStyle w:val="TableLeftAlign"/>
              <w:keepNext w:val="0"/>
              <w:spacing w:before="0" w:after="0"/>
              <w:rPr>
                <w:rFonts w:ascii="Arial Narrow" w:eastAsia="Batang" w:hAnsi="Arial Narrow"/>
                <w:lang w:val="en-AU"/>
              </w:rPr>
            </w:pPr>
          </w:p>
          <w:p w:rsidR="00FE62ED" w:rsidRPr="00CA2924" w:rsidRDefault="00FE62ED" w:rsidP="00FE62ED">
            <w:pPr>
              <w:pStyle w:val="TableLeftAlign"/>
              <w:keepNext w:val="0"/>
              <w:spacing w:before="0"/>
              <w:rPr>
                <w:rFonts w:ascii="Arial Narrow" w:eastAsia="Batang" w:hAnsi="Arial Narrow"/>
                <w:lang w:val="en-AU"/>
              </w:rPr>
            </w:pPr>
          </w:p>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lang w:val="en-AU"/>
              </w:rPr>
              <w:t>March 2010</w:t>
            </w:r>
          </w:p>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lang w:val="en-AU"/>
              </w:rPr>
              <w:t>Jun 2010</w:t>
            </w:r>
          </w:p>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lang w:val="en-AU"/>
              </w:rPr>
              <w:t>January 2012</w:t>
            </w:r>
          </w:p>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lang w:val="en-AU"/>
              </w:rPr>
              <w:t>April 2013</w:t>
            </w:r>
          </w:p>
          <w:p w:rsidR="00FE62ED" w:rsidRPr="00CA2924" w:rsidRDefault="00FE62ED" w:rsidP="00FE62ED">
            <w:pPr>
              <w:pStyle w:val="TableLeftAlign"/>
              <w:keepNext w:val="0"/>
              <w:rPr>
                <w:rFonts w:ascii="Arial Narrow" w:eastAsia="Batang" w:hAnsi="Arial Narrow"/>
                <w:lang w:val="en-AU"/>
              </w:rPr>
            </w:pPr>
          </w:p>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i/>
                <w:lang w:val="en-AU"/>
              </w:rPr>
              <w:t xml:space="preserve">Journal of Clinical Oncology, </w:t>
            </w:r>
            <w:r w:rsidRPr="00CA2924">
              <w:rPr>
                <w:rFonts w:ascii="Arial Narrow" w:eastAsia="Batang" w:hAnsi="Arial Narrow"/>
                <w:lang w:val="en-AU"/>
              </w:rPr>
              <w:t xml:space="preserve">2010; </w:t>
            </w:r>
            <w:r w:rsidRPr="00CA2924">
              <w:rPr>
                <w:rFonts w:ascii="Arial Narrow" w:eastAsia="Batang" w:hAnsi="Arial Narrow"/>
                <w:bCs/>
                <w:lang w:val="en-AU"/>
              </w:rPr>
              <w:t>28</w:t>
            </w:r>
            <w:r w:rsidRPr="00CA2924">
              <w:rPr>
                <w:rFonts w:ascii="Arial Narrow" w:eastAsia="Batang" w:hAnsi="Arial Narrow"/>
                <w:lang w:val="en-AU"/>
              </w:rPr>
              <w:t>(31):4697-4705</w:t>
            </w:r>
          </w:p>
          <w:p w:rsidR="00FE62ED" w:rsidRPr="00CA2924" w:rsidRDefault="00FE62ED" w:rsidP="00FE62ED">
            <w:pPr>
              <w:pStyle w:val="TableLeftAlign"/>
              <w:keepNext w:val="0"/>
              <w:rPr>
                <w:rFonts w:ascii="Arial Narrow" w:eastAsia="Batang" w:hAnsi="Arial Narrow"/>
                <w:lang w:val="en-AU"/>
              </w:rPr>
            </w:pPr>
          </w:p>
          <w:p w:rsidR="00FE62ED" w:rsidRPr="00CA2924" w:rsidRDefault="00FE62ED" w:rsidP="00FE62ED">
            <w:pPr>
              <w:pStyle w:val="TableLeftAlign"/>
              <w:keepNext w:val="0"/>
              <w:rPr>
                <w:rFonts w:ascii="Arial Narrow" w:eastAsia="Batang" w:hAnsi="Arial Narrow"/>
                <w:lang w:val="en-AU"/>
              </w:rPr>
            </w:pPr>
          </w:p>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i/>
                <w:lang w:val="en-AU"/>
              </w:rPr>
              <w:t xml:space="preserve">New England Journal of Medicine, </w:t>
            </w:r>
            <w:r w:rsidRPr="00CA2924">
              <w:rPr>
                <w:rFonts w:ascii="Arial Narrow" w:eastAsia="Batang" w:hAnsi="Arial Narrow"/>
                <w:lang w:val="en-AU"/>
              </w:rPr>
              <w:t xml:space="preserve">2013; 369:1023-34. </w:t>
            </w:r>
          </w:p>
          <w:p w:rsidR="00FE62ED" w:rsidRPr="00CA2924" w:rsidRDefault="00FE62ED" w:rsidP="00FE62ED">
            <w:pPr>
              <w:pStyle w:val="TableLeftAlign"/>
              <w:keepNext w:val="0"/>
              <w:rPr>
                <w:rFonts w:ascii="Arial Narrow" w:eastAsia="Batang" w:hAnsi="Arial Narrow"/>
                <w:lang w:val="en-AU"/>
              </w:rPr>
            </w:pPr>
            <w:r w:rsidRPr="00CA2924">
              <w:rPr>
                <w:rFonts w:ascii="Arial Narrow" w:eastAsia="Batang" w:hAnsi="Arial Narrow"/>
                <w:i/>
                <w:lang w:val="en-AU"/>
              </w:rPr>
              <w:t>British Journal of Cancer</w:t>
            </w:r>
            <w:r w:rsidRPr="00CA2924">
              <w:rPr>
                <w:rFonts w:ascii="Arial Narrow" w:eastAsia="Batang" w:hAnsi="Arial Narrow"/>
                <w:lang w:val="en-AU"/>
              </w:rPr>
              <w:t xml:space="preserve">, 2011a; </w:t>
            </w:r>
            <w:r w:rsidRPr="00CA2924">
              <w:rPr>
                <w:rFonts w:ascii="Arial Narrow" w:eastAsia="Batang" w:hAnsi="Arial Narrow"/>
                <w:bCs/>
                <w:lang w:val="en-AU"/>
              </w:rPr>
              <w:t>105</w:t>
            </w:r>
            <w:r w:rsidRPr="00CA2924">
              <w:rPr>
                <w:rFonts w:ascii="Arial Narrow" w:eastAsia="Batang" w:hAnsi="Arial Narrow"/>
                <w:lang w:val="en-AU"/>
              </w:rPr>
              <w:t>(10):1495-1502.</w:t>
            </w:r>
          </w:p>
        </w:tc>
      </w:tr>
      <w:tr w:rsidR="00FE62ED" w:rsidRPr="00CA2924" w:rsidTr="00B43E2B">
        <w:trPr>
          <w:trHeight w:val="230"/>
        </w:trPr>
        <w:tc>
          <w:tcPr>
            <w:tcW w:w="5000" w:type="pct"/>
            <w:gridSpan w:val="3"/>
          </w:tcPr>
          <w:p w:rsidR="00FE62ED" w:rsidRPr="00CA2924" w:rsidRDefault="00FE62ED" w:rsidP="00FE62ED">
            <w:pPr>
              <w:rPr>
                <w:rFonts w:ascii="Arial Narrow" w:hAnsi="Arial Narrow"/>
                <w:b/>
                <w:sz w:val="20"/>
              </w:rPr>
            </w:pPr>
            <w:proofErr w:type="spellStart"/>
            <w:r w:rsidRPr="00CA2924">
              <w:rPr>
                <w:rFonts w:ascii="Arial Narrow" w:hAnsi="Arial Narrow"/>
                <w:b/>
                <w:sz w:val="20"/>
              </w:rPr>
              <w:t>Panitumumab</w:t>
            </w:r>
            <w:proofErr w:type="spellEnd"/>
            <w:r w:rsidRPr="00CA2924">
              <w:rPr>
                <w:rFonts w:ascii="Arial Narrow" w:hAnsi="Arial Narrow"/>
                <w:b/>
                <w:sz w:val="20"/>
              </w:rPr>
              <w:t xml:space="preserve"> + FOLFOX versus </w:t>
            </w:r>
            <w:proofErr w:type="spellStart"/>
            <w:r w:rsidRPr="00CA2924">
              <w:rPr>
                <w:rFonts w:ascii="Arial Narrow" w:hAnsi="Arial Narrow"/>
                <w:b/>
                <w:sz w:val="20"/>
              </w:rPr>
              <w:t>bevacizumab</w:t>
            </w:r>
            <w:proofErr w:type="spellEnd"/>
            <w:r w:rsidRPr="00CA2924">
              <w:rPr>
                <w:rFonts w:ascii="Arial Narrow" w:hAnsi="Arial Narrow"/>
                <w:b/>
                <w:sz w:val="20"/>
              </w:rPr>
              <w:t xml:space="preserve"> + FOLFOX</w:t>
            </w:r>
          </w:p>
        </w:tc>
      </w:tr>
      <w:tr w:rsidR="00FE62ED" w:rsidRPr="00CA2924" w:rsidTr="00B43E2B">
        <w:trPr>
          <w:trHeight w:val="686"/>
        </w:trPr>
        <w:tc>
          <w:tcPr>
            <w:tcW w:w="510" w:type="pct"/>
          </w:tcPr>
          <w:p w:rsidR="00FE62ED" w:rsidRPr="00CA2924" w:rsidRDefault="00FE62ED" w:rsidP="00FE62ED">
            <w:pPr>
              <w:rPr>
                <w:rFonts w:ascii="Arial Narrow" w:hAnsi="Arial Narrow"/>
                <w:sz w:val="20"/>
                <w:lang w:eastAsia="en-AU"/>
              </w:rPr>
            </w:pPr>
            <w:r w:rsidRPr="00CA2924">
              <w:rPr>
                <w:rFonts w:ascii="Arial Narrow" w:hAnsi="Arial Narrow"/>
                <w:sz w:val="20"/>
                <w:lang w:eastAsia="en-AU"/>
              </w:rPr>
              <w:t>PEAK</w:t>
            </w:r>
          </w:p>
        </w:tc>
        <w:tc>
          <w:tcPr>
            <w:tcW w:w="3566" w:type="pct"/>
          </w:tcPr>
          <w:p w:rsidR="00FE62ED" w:rsidRPr="00CA2924" w:rsidRDefault="00FE62ED" w:rsidP="00FE62ED">
            <w:pPr>
              <w:pStyle w:val="TableLeftAlign"/>
              <w:spacing w:before="0" w:after="0"/>
              <w:rPr>
                <w:rFonts w:ascii="Arial Narrow" w:eastAsia="Batang" w:hAnsi="Arial Narrow"/>
                <w:lang w:val="en-AU"/>
              </w:rPr>
            </w:pPr>
            <w:r w:rsidRPr="00CA2924">
              <w:rPr>
                <w:rFonts w:ascii="Arial Narrow" w:eastAsia="Batang" w:hAnsi="Arial Narrow"/>
                <w:lang w:val="en-AU"/>
              </w:rPr>
              <w:t xml:space="preserve">Amgen </w:t>
            </w:r>
            <w:proofErr w:type="spellStart"/>
            <w:r w:rsidRPr="00CA2924">
              <w:rPr>
                <w:rFonts w:ascii="Arial Narrow" w:eastAsia="Batang" w:hAnsi="Arial Narrow"/>
                <w:lang w:val="en-AU"/>
              </w:rPr>
              <w:t>Inc</w:t>
            </w:r>
            <w:proofErr w:type="spellEnd"/>
            <w:r w:rsidRPr="00CA2924">
              <w:rPr>
                <w:rFonts w:ascii="Arial Narrow" w:eastAsia="Batang" w:hAnsi="Arial Narrow"/>
                <w:lang w:val="en-AU"/>
              </w:rPr>
              <w:t xml:space="preserve">: Clinical Study Report: 20070509 A Randomized, </w:t>
            </w:r>
            <w:proofErr w:type="spellStart"/>
            <w:r w:rsidRPr="00CA2924">
              <w:rPr>
                <w:rFonts w:ascii="Arial Narrow" w:eastAsia="Batang" w:hAnsi="Arial Narrow"/>
                <w:lang w:val="en-AU"/>
              </w:rPr>
              <w:t>Multicenter</w:t>
            </w:r>
            <w:proofErr w:type="spellEnd"/>
            <w:r w:rsidRPr="00CA2924">
              <w:rPr>
                <w:rFonts w:ascii="Arial Narrow" w:eastAsia="Batang" w:hAnsi="Arial Narrow"/>
                <w:lang w:val="en-AU"/>
              </w:rPr>
              <w:t xml:space="preserve">, Phase 2 study to compare the efficacy of </w:t>
            </w:r>
            <w:proofErr w:type="spellStart"/>
            <w:r w:rsidRPr="00CA2924">
              <w:rPr>
                <w:rFonts w:ascii="Arial Narrow" w:eastAsia="Batang" w:hAnsi="Arial Narrow"/>
                <w:lang w:val="en-AU"/>
              </w:rPr>
              <w:t>panitumumab</w:t>
            </w:r>
            <w:proofErr w:type="spellEnd"/>
            <w:r w:rsidRPr="00CA2924">
              <w:rPr>
                <w:rFonts w:ascii="Arial Narrow" w:eastAsia="Batang" w:hAnsi="Arial Narrow"/>
                <w:lang w:val="en-AU"/>
              </w:rPr>
              <w:t xml:space="preserve"> in combination with mFOLFOX6 to the efficacy of </w:t>
            </w:r>
            <w:proofErr w:type="spellStart"/>
            <w:r w:rsidRPr="00CA2924">
              <w:rPr>
                <w:rFonts w:ascii="Arial Narrow" w:eastAsia="Batang" w:hAnsi="Arial Narrow"/>
                <w:lang w:val="en-AU"/>
              </w:rPr>
              <w:t>bevacizumab</w:t>
            </w:r>
            <w:proofErr w:type="spellEnd"/>
            <w:r w:rsidRPr="00CA2924">
              <w:rPr>
                <w:rFonts w:ascii="Arial Narrow" w:eastAsia="Batang" w:hAnsi="Arial Narrow"/>
                <w:lang w:val="en-AU"/>
              </w:rPr>
              <w:t xml:space="preserve"> in combination with mFOLFOX6 in patients with previously untreated, KRAS wild-type, </w:t>
            </w:r>
            <w:proofErr w:type="spellStart"/>
            <w:r w:rsidRPr="00CA2924">
              <w:rPr>
                <w:rFonts w:ascii="Arial Narrow" w:eastAsia="Batang" w:hAnsi="Arial Narrow"/>
                <w:lang w:val="en-AU"/>
              </w:rPr>
              <w:t>unresectable</w:t>
            </w:r>
            <w:proofErr w:type="spellEnd"/>
            <w:r w:rsidRPr="00CA2924">
              <w:rPr>
                <w:rFonts w:ascii="Arial Narrow" w:eastAsia="Batang" w:hAnsi="Arial Narrow"/>
                <w:lang w:val="en-AU"/>
              </w:rPr>
              <w:t>, metastatic colorectal cancer. Protocol Number 20070509.</w:t>
            </w:r>
          </w:p>
          <w:p w:rsidR="00FE62ED" w:rsidRPr="00CA2924" w:rsidRDefault="00FE62ED" w:rsidP="00FE62ED">
            <w:pPr>
              <w:pStyle w:val="TableLeftAlign"/>
              <w:spacing w:before="0" w:after="0"/>
              <w:rPr>
                <w:rFonts w:ascii="Arial Narrow" w:eastAsia="Batang" w:hAnsi="Arial Narrow"/>
                <w:lang w:val="en-AU"/>
              </w:rPr>
            </w:pPr>
          </w:p>
          <w:p w:rsidR="00FE62ED" w:rsidRPr="00CA2924" w:rsidRDefault="00FE62ED" w:rsidP="00FE62ED">
            <w:pPr>
              <w:pStyle w:val="TableLeftAlign"/>
              <w:spacing w:before="0" w:after="0"/>
              <w:rPr>
                <w:rFonts w:ascii="Arial Narrow" w:eastAsia="Batang" w:hAnsi="Arial Narrow"/>
                <w:lang w:val="en-AU"/>
              </w:rPr>
            </w:pPr>
            <w:r w:rsidRPr="00CA2924">
              <w:rPr>
                <w:rFonts w:ascii="Arial Narrow" w:eastAsia="Batang" w:hAnsi="Arial Narrow"/>
                <w:lang w:val="de-CH"/>
              </w:rPr>
              <w:t xml:space="preserve">Schwartzberg, L. S. and V. J. Wagner : </w:t>
            </w:r>
            <w:r w:rsidRPr="00CA2924">
              <w:rPr>
                <w:rFonts w:ascii="Arial Narrow" w:eastAsia="Batang" w:hAnsi="Arial Narrow"/>
                <w:lang w:val="en-AU"/>
              </w:rPr>
              <w:t xml:space="preserve">"PEAK: A randomised phase II study to compare the efficacy of </w:t>
            </w:r>
            <w:proofErr w:type="spellStart"/>
            <w:r w:rsidRPr="00CA2924">
              <w:rPr>
                <w:rFonts w:ascii="Arial Narrow" w:eastAsia="Batang" w:hAnsi="Arial Narrow"/>
                <w:lang w:val="en-AU"/>
              </w:rPr>
              <w:t>panitumumab</w:t>
            </w:r>
            <w:proofErr w:type="spellEnd"/>
            <w:r w:rsidRPr="00CA2924">
              <w:rPr>
                <w:rFonts w:ascii="Arial Narrow" w:eastAsia="Batang" w:hAnsi="Arial Narrow"/>
                <w:lang w:val="en-AU"/>
              </w:rPr>
              <w:t xml:space="preserve"> plus mFOLFOX6 to </w:t>
            </w:r>
            <w:proofErr w:type="spellStart"/>
            <w:r w:rsidRPr="00CA2924">
              <w:rPr>
                <w:rFonts w:ascii="Arial Narrow" w:eastAsia="Batang" w:hAnsi="Arial Narrow"/>
                <w:lang w:val="en-AU"/>
              </w:rPr>
              <w:t>bevacizumab</w:t>
            </w:r>
            <w:proofErr w:type="spellEnd"/>
            <w:r w:rsidRPr="00CA2924">
              <w:rPr>
                <w:rFonts w:ascii="Arial Narrow" w:eastAsia="Batang" w:hAnsi="Arial Narrow"/>
                <w:lang w:val="en-AU"/>
              </w:rPr>
              <w:t xml:space="preserve"> plus mFOLFOX6 in patients (</w:t>
            </w:r>
            <w:proofErr w:type="spellStart"/>
            <w:r w:rsidRPr="00CA2924">
              <w:rPr>
                <w:rFonts w:ascii="Arial Narrow" w:eastAsia="Batang" w:hAnsi="Arial Narrow"/>
                <w:lang w:val="en-AU"/>
              </w:rPr>
              <w:t>pts</w:t>
            </w:r>
            <w:proofErr w:type="spellEnd"/>
            <w:r w:rsidRPr="00CA2924">
              <w:rPr>
                <w:rFonts w:ascii="Arial Narrow" w:eastAsia="Batang" w:hAnsi="Arial Narrow"/>
                <w:lang w:val="en-AU"/>
              </w:rPr>
              <w:t xml:space="preserve">) with previously untreated, </w:t>
            </w:r>
            <w:proofErr w:type="spellStart"/>
            <w:r w:rsidRPr="00CA2924">
              <w:rPr>
                <w:rFonts w:ascii="Arial Narrow" w:eastAsia="Batang" w:hAnsi="Arial Narrow"/>
                <w:lang w:val="en-AU"/>
              </w:rPr>
              <w:t>unresectable</w:t>
            </w:r>
            <w:proofErr w:type="spellEnd"/>
            <w:r w:rsidRPr="00CA2924">
              <w:rPr>
                <w:rFonts w:ascii="Arial Narrow" w:eastAsia="Batang" w:hAnsi="Arial Narrow"/>
                <w:lang w:val="en-AU"/>
              </w:rPr>
              <w:t xml:space="preserve"> metastatic colorectal cancer (</w:t>
            </w:r>
            <w:proofErr w:type="spellStart"/>
            <w:r w:rsidRPr="00CA2924">
              <w:rPr>
                <w:rFonts w:ascii="Arial Narrow" w:eastAsia="Batang" w:hAnsi="Arial Narrow"/>
                <w:lang w:val="en-AU"/>
              </w:rPr>
              <w:t>mCRC</w:t>
            </w:r>
            <w:proofErr w:type="spellEnd"/>
            <w:r w:rsidRPr="00CA2924">
              <w:rPr>
                <w:rFonts w:ascii="Arial Narrow" w:eastAsia="Batang" w:hAnsi="Arial Narrow"/>
                <w:lang w:val="en-AU"/>
              </w:rPr>
              <w:t xml:space="preserve">) expressing wild-type KRAS." </w:t>
            </w:r>
          </w:p>
        </w:tc>
        <w:tc>
          <w:tcPr>
            <w:tcW w:w="924" w:type="pct"/>
          </w:tcPr>
          <w:p w:rsidR="00FE62ED" w:rsidRPr="00CA2924" w:rsidRDefault="00FE62ED" w:rsidP="00FE62ED">
            <w:pPr>
              <w:pStyle w:val="TableText0"/>
              <w:spacing w:before="0" w:after="0"/>
              <w:rPr>
                <w:rFonts w:eastAsia="Batang"/>
              </w:rPr>
            </w:pPr>
            <w:r w:rsidRPr="00CA2924">
              <w:rPr>
                <w:rFonts w:eastAsia="Batang"/>
              </w:rPr>
              <w:t>December 2012 and July 2013</w:t>
            </w:r>
          </w:p>
          <w:p w:rsidR="00FE62ED" w:rsidRPr="00CA2924" w:rsidRDefault="00FE62ED" w:rsidP="00FE62ED">
            <w:pPr>
              <w:pStyle w:val="TableText0"/>
              <w:spacing w:before="0" w:after="0"/>
              <w:rPr>
                <w:rFonts w:eastAsia="Batang"/>
              </w:rPr>
            </w:pPr>
          </w:p>
          <w:p w:rsidR="00FE62ED" w:rsidRPr="00CA2924" w:rsidRDefault="00FE62ED" w:rsidP="00FE62ED">
            <w:pPr>
              <w:pStyle w:val="TableText0"/>
              <w:spacing w:before="0" w:after="0"/>
              <w:rPr>
                <w:rFonts w:eastAsia="Batang"/>
              </w:rPr>
            </w:pPr>
          </w:p>
          <w:p w:rsidR="00FE62ED" w:rsidRPr="00CA2924" w:rsidRDefault="00FE62ED" w:rsidP="00FE62ED">
            <w:pPr>
              <w:pStyle w:val="TableText0"/>
              <w:spacing w:before="0" w:after="0"/>
              <w:rPr>
                <w:rFonts w:eastAsia="Batang"/>
              </w:rPr>
            </w:pPr>
          </w:p>
          <w:p w:rsidR="00FE62ED" w:rsidRPr="00CA2924" w:rsidRDefault="00FE62ED" w:rsidP="00FE62ED">
            <w:pPr>
              <w:pStyle w:val="TableText0"/>
              <w:spacing w:before="0" w:after="0"/>
              <w:rPr>
                <w:rFonts w:eastAsia="Batang"/>
              </w:rPr>
            </w:pPr>
          </w:p>
          <w:p w:rsidR="00FE62ED" w:rsidRPr="00CA2924" w:rsidRDefault="00FE62ED" w:rsidP="00FE62ED">
            <w:pPr>
              <w:pStyle w:val="TableText0"/>
              <w:spacing w:before="0" w:after="0"/>
              <w:rPr>
                <w:rFonts w:cs="Arial"/>
                <w:lang w:eastAsia="en-AU"/>
              </w:rPr>
            </w:pPr>
            <w:r w:rsidRPr="00CA2924">
              <w:rPr>
                <w:rFonts w:eastAsia="Batang"/>
                <w:i/>
              </w:rPr>
              <w:t>Journal of Clinical Oncology,</w:t>
            </w:r>
            <w:r w:rsidRPr="00CA2924">
              <w:rPr>
                <w:rFonts w:eastAsia="Batang"/>
              </w:rPr>
              <w:t xml:space="preserve"> 2013; </w:t>
            </w:r>
            <w:r w:rsidRPr="00CA2924">
              <w:rPr>
                <w:rFonts w:eastAsia="Batang"/>
                <w:bCs/>
              </w:rPr>
              <w:t>31</w:t>
            </w:r>
            <w:r w:rsidRPr="00CA2924">
              <w:rPr>
                <w:rFonts w:eastAsia="Batang"/>
              </w:rPr>
              <w:t>(15). (</w:t>
            </w:r>
            <w:r w:rsidRPr="00CA2924">
              <w:rPr>
                <w:rFonts w:eastAsia="Batang"/>
                <w:lang w:val="de-CH"/>
              </w:rPr>
              <w:t>Abstract</w:t>
            </w:r>
            <w:r w:rsidRPr="00CA2924">
              <w:rPr>
                <w:rFonts w:eastAsia="Batang"/>
              </w:rPr>
              <w:t>)</w:t>
            </w:r>
          </w:p>
        </w:tc>
      </w:tr>
    </w:tbl>
    <w:p w:rsidR="00A27C64" w:rsidRPr="00CA2924" w:rsidRDefault="00A27C64" w:rsidP="00B43E2B">
      <w:pPr>
        <w:pStyle w:val="TableFooter"/>
        <w:ind w:firstLine="720"/>
      </w:pPr>
      <w:r w:rsidRPr="00CA2924">
        <w:t xml:space="preserve">Source: Table B.2.3, pp5-7, Section B of the </w:t>
      </w:r>
      <w:r w:rsidR="00AF0640" w:rsidRPr="00CA2924">
        <w:t>re-</w:t>
      </w:r>
      <w:r w:rsidRPr="00CA2924">
        <w:t>submission.</w:t>
      </w:r>
    </w:p>
    <w:p w:rsidR="00B614F8" w:rsidRPr="00CA2924" w:rsidRDefault="00B614F8" w:rsidP="00B503AA">
      <w:pPr>
        <w:pStyle w:val="ListParagraph"/>
        <w:ind w:left="709"/>
      </w:pPr>
    </w:p>
    <w:p w:rsidR="003113FE" w:rsidRPr="001A53B7" w:rsidRDefault="003113FE" w:rsidP="001A53B7">
      <w:pPr>
        <w:pStyle w:val="ListParagraph"/>
        <w:widowControl/>
        <w:numPr>
          <w:ilvl w:val="1"/>
          <w:numId w:val="18"/>
        </w:numPr>
        <w:rPr>
          <w:szCs w:val="22"/>
        </w:rPr>
      </w:pPr>
      <w:r w:rsidRPr="00CA2924">
        <w:t xml:space="preserve">The key features of the two trials involving </w:t>
      </w:r>
      <w:proofErr w:type="spellStart"/>
      <w:r w:rsidRPr="00CA2924">
        <w:t>panitumumab</w:t>
      </w:r>
      <w:proofErr w:type="spellEnd"/>
      <w:r w:rsidRPr="00CA2924">
        <w:t xml:space="preserve"> as first-line treatment are summarised in the table below.</w:t>
      </w:r>
    </w:p>
    <w:p w:rsidR="00B11BF0" w:rsidRDefault="00B11BF0">
      <w:pPr>
        <w:widowControl/>
        <w:jc w:val="left"/>
      </w:pP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Description w:val="two trials involving panitumumab"/>
      </w:tblPr>
      <w:tblGrid>
        <w:gridCol w:w="1275"/>
        <w:gridCol w:w="848"/>
        <w:gridCol w:w="1417"/>
        <w:gridCol w:w="1987"/>
        <w:gridCol w:w="1134"/>
        <w:gridCol w:w="993"/>
        <w:gridCol w:w="693"/>
      </w:tblGrid>
      <w:tr w:rsidR="00B43E2B" w:rsidRPr="00B43E2B" w:rsidTr="00B43E2B">
        <w:tc>
          <w:tcPr>
            <w:tcW w:w="764" w:type="pct"/>
            <w:shd w:val="clear" w:color="auto" w:fill="auto"/>
            <w:vAlign w:val="center"/>
          </w:tcPr>
          <w:p w:rsidR="008C14B9" w:rsidRPr="00B43E2B" w:rsidRDefault="008C14B9" w:rsidP="00A4505B">
            <w:pPr>
              <w:jc w:val="left"/>
              <w:rPr>
                <w:rFonts w:ascii="Arial Narrow" w:hAnsi="Arial Narrow"/>
                <w:b/>
                <w:sz w:val="20"/>
                <w:lang w:val="en-US"/>
              </w:rPr>
            </w:pPr>
            <w:r w:rsidRPr="00B43E2B">
              <w:rPr>
                <w:rFonts w:ascii="Arial Narrow" w:hAnsi="Arial Narrow"/>
                <w:b/>
                <w:sz w:val="20"/>
                <w:lang w:val="en-US"/>
              </w:rPr>
              <w:lastRenderedPageBreak/>
              <w:t>Trial</w:t>
            </w:r>
          </w:p>
        </w:tc>
        <w:tc>
          <w:tcPr>
            <w:tcW w:w="507" w:type="pct"/>
            <w:shd w:val="clear" w:color="auto" w:fill="auto"/>
            <w:vAlign w:val="center"/>
          </w:tcPr>
          <w:p w:rsidR="008C14B9" w:rsidRPr="00B43E2B" w:rsidRDefault="008C14B9" w:rsidP="00A4505B">
            <w:pPr>
              <w:jc w:val="center"/>
              <w:rPr>
                <w:rFonts w:ascii="Arial Narrow" w:hAnsi="Arial Narrow"/>
                <w:b/>
                <w:sz w:val="20"/>
                <w:lang w:val="en-US"/>
              </w:rPr>
            </w:pPr>
            <w:r w:rsidRPr="00B43E2B">
              <w:rPr>
                <w:rFonts w:ascii="Arial Narrow" w:hAnsi="Arial Narrow"/>
                <w:b/>
                <w:sz w:val="20"/>
                <w:lang w:val="en-US"/>
              </w:rPr>
              <w:t>N</w:t>
            </w:r>
          </w:p>
        </w:tc>
        <w:tc>
          <w:tcPr>
            <w:tcW w:w="849" w:type="pct"/>
            <w:shd w:val="clear" w:color="auto" w:fill="auto"/>
            <w:vAlign w:val="center"/>
          </w:tcPr>
          <w:p w:rsidR="008C14B9" w:rsidRPr="00B43E2B" w:rsidRDefault="008C14B9" w:rsidP="00A4505B">
            <w:pPr>
              <w:jc w:val="center"/>
              <w:rPr>
                <w:rFonts w:ascii="Arial Narrow" w:hAnsi="Arial Narrow"/>
                <w:b/>
                <w:sz w:val="20"/>
                <w:lang w:val="en-US"/>
              </w:rPr>
            </w:pPr>
            <w:r w:rsidRPr="00B43E2B">
              <w:rPr>
                <w:rFonts w:ascii="Arial Narrow" w:hAnsi="Arial Narrow"/>
                <w:b/>
                <w:sz w:val="20"/>
                <w:lang w:val="en-US"/>
              </w:rPr>
              <w:t>Design/approx. duration of follow-up</w:t>
            </w:r>
          </w:p>
        </w:tc>
        <w:tc>
          <w:tcPr>
            <w:tcW w:w="1190" w:type="pct"/>
            <w:shd w:val="clear" w:color="auto" w:fill="auto"/>
            <w:vAlign w:val="center"/>
          </w:tcPr>
          <w:p w:rsidR="008C14B9" w:rsidRPr="00B43E2B" w:rsidRDefault="005778A9" w:rsidP="00293C18">
            <w:pPr>
              <w:jc w:val="center"/>
              <w:rPr>
                <w:rFonts w:ascii="Arial Narrow" w:hAnsi="Arial Narrow"/>
                <w:b/>
                <w:sz w:val="20"/>
                <w:lang w:val="en-US"/>
              </w:rPr>
            </w:pPr>
            <w:r w:rsidRPr="00B43E2B">
              <w:rPr>
                <w:rFonts w:ascii="Arial Narrow" w:hAnsi="Arial Narrow"/>
                <w:b/>
                <w:sz w:val="20"/>
                <w:lang w:val="en-US"/>
              </w:rPr>
              <w:t>Risk of bias/confounding</w:t>
            </w:r>
          </w:p>
        </w:tc>
        <w:tc>
          <w:tcPr>
            <w:tcW w:w="679" w:type="pct"/>
            <w:shd w:val="clear" w:color="auto" w:fill="auto"/>
            <w:vAlign w:val="center"/>
          </w:tcPr>
          <w:p w:rsidR="008C14B9" w:rsidRPr="00B43E2B" w:rsidRDefault="008C14B9" w:rsidP="005C3A36">
            <w:pPr>
              <w:jc w:val="center"/>
              <w:rPr>
                <w:rFonts w:ascii="Arial Narrow" w:hAnsi="Arial Narrow"/>
                <w:b/>
                <w:sz w:val="20"/>
                <w:lang w:val="en-US"/>
              </w:rPr>
            </w:pPr>
            <w:r w:rsidRPr="00B43E2B">
              <w:rPr>
                <w:rFonts w:ascii="Arial Narrow" w:hAnsi="Arial Narrow"/>
                <w:b/>
                <w:sz w:val="20"/>
                <w:lang w:val="en-US"/>
              </w:rPr>
              <w:t>Patient</w:t>
            </w:r>
            <w:r w:rsidR="005C3A36" w:rsidRPr="00B43E2B">
              <w:rPr>
                <w:rFonts w:ascii="Arial Narrow" w:hAnsi="Arial Narrow"/>
                <w:b/>
                <w:sz w:val="20"/>
                <w:lang w:val="en-US"/>
              </w:rPr>
              <w:t xml:space="preserve"> </w:t>
            </w:r>
            <w:r w:rsidRPr="00B43E2B">
              <w:rPr>
                <w:rFonts w:ascii="Arial Narrow" w:hAnsi="Arial Narrow"/>
                <w:b/>
                <w:sz w:val="20"/>
                <w:lang w:val="en-US"/>
              </w:rPr>
              <w:t>population</w:t>
            </w:r>
            <w:r w:rsidR="007C30F3" w:rsidRPr="00B43E2B">
              <w:rPr>
                <w:rFonts w:ascii="Arial Narrow" w:hAnsi="Arial Narrow"/>
                <w:b/>
                <w:sz w:val="20"/>
                <w:lang w:val="en-US"/>
              </w:rPr>
              <w:t xml:space="preserve"> </w:t>
            </w:r>
            <w:r w:rsidR="007C30F3" w:rsidRPr="00B43E2B">
              <w:rPr>
                <w:rFonts w:ascii="Arial Narrow" w:hAnsi="Arial Narrow"/>
                <w:b/>
                <w:sz w:val="20"/>
                <w:vertAlign w:val="superscript"/>
              </w:rPr>
              <w:t>A</w:t>
            </w:r>
          </w:p>
        </w:tc>
        <w:tc>
          <w:tcPr>
            <w:tcW w:w="595" w:type="pct"/>
            <w:shd w:val="clear" w:color="auto" w:fill="auto"/>
            <w:vAlign w:val="center"/>
          </w:tcPr>
          <w:p w:rsidR="008C14B9" w:rsidRPr="00B43E2B" w:rsidRDefault="008C14B9" w:rsidP="00A4505B">
            <w:pPr>
              <w:jc w:val="center"/>
              <w:rPr>
                <w:rFonts w:ascii="Arial Narrow" w:hAnsi="Arial Narrow"/>
                <w:b/>
                <w:sz w:val="20"/>
                <w:lang w:val="en-US"/>
              </w:rPr>
            </w:pPr>
            <w:r w:rsidRPr="00B43E2B">
              <w:rPr>
                <w:rFonts w:ascii="Arial Narrow" w:hAnsi="Arial Narrow"/>
                <w:b/>
                <w:sz w:val="20"/>
                <w:lang w:val="en-US"/>
              </w:rPr>
              <w:t>Outcome(s)</w:t>
            </w:r>
          </w:p>
        </w:tc>
        <w:tc>
          <w:tcPr>
            <w:tcW w:w="415" w:type="pct"/>
            <w:shd w:val="clear" w:color="auto" w:fill="auto"/>
            <w:vAlign w:val="center"/>
          </w:tcPr>
          <w:p w:rsidR="008C14B9" w:rsidRPr="00B43E2B" w:rsidRDefault="008C14B9" w:rsidP="00B43E2B">
            <w:pPr>
              <w:jc w:val="center"/>
              <w:rPr>
                <w:rFonts w:ascii="Arial Narrow" w:hAnsi="Arial Narrow"/>
                <w:b/>
                <w:sz w:val="20"/>
                <w:lang w:val="en-US"/>
              </w:rPr>
            </w:pPr>
            <w:r w:rsidRPr="00B43E2B">
              <w:rPr>
                <w:rFonts w:ascii="Arial Narrow" w:hAnsi="Arial Narrow"/>
                <w:b/>
                <w:sz w:val="20"/>
                <w:lang w:val="en-US"/>
              </w:rPr>
              <w:t>Use in model</w:t>
            </w:r>
          </w:p>
        </w:tc>
      </w:tr>
      <w:tr w:rsidR="003113FE" w:rsidRPr="00B43E2B" w:rsidTr="00B43E2B">
        <w:tc>
          <w:tcPr>
            <w:tcW w:w="5000" w:type="pct"/>
            <w:gridSpan w:val="7"/>
            <w:shd w:val="clear" w:color="auto" w:fill="auto"/>
            <w:vAlign w:val="center"/>
          </w:tcPr>
          <w:p w:rsidR="003113FE" w:rsidRPr="00B43E2B" w:rsidRDefault="003113FE" w:rsidP="00131AC7">
            <w:pPr>
              <w:jc w:val="left"/>
              <w:rPr>
                <w:rFonts w:ascii="Arial Narrow" w:hAnsi="Arial Narrow"/>
                <w:sz w:val="20"/>
                <w:lang w:val="en-US"/>
              </w:rPr>
            </w:pPr>
            <w:r w:rsidRPr="00B43E2B">
              <w:rPr>
                <w:rFonts w:ascii="Arial Narrow" w:hAnsi="Arial Narrow"/>
                <w:b/>
                <w:sz w:val="20"/>
                <w:lang w:val="en-US"/>
              </w:rPr>
              <w:t xml:space="preserve">Direct comparison: </w:t>
            </w:r>
            <w:proofErr w:type="spellStart"/>
            <w:r w:rsidR="00131AC7" w:rsidRPr="00B43E2B">
              <w:rPr>
                <w:rFonts w:ascii="Arial Narrow" w:hAnsi="Arial Narrow"/>
                <w:b/>
                <w:sz w:val="20"/>
                <w:lang w:val="en-US"/>
              </w:rPr>
              <w:t>p</w:t>
            </w:r>
            <w:r w:rsidRPr="00B43E2B">
              <w:rPr>
                <w:rFonts w:ascii="Arial Narrow" w:hAnsi="Arial Narrow"/>
                <w:b/>
                <w:sz w:val="20"/>
                <w:lang w:val="en-US"/>
              </w:rPr>
              <w:t>anitumumab</w:t>
            </w:r>
            <w:proofErr w:type="spellEnd"/>
            <w:r w:rsidRPr="00B43E2B">
              <w:rPr>
                <w:rFonts w:ascii="Arial Narrow" w:hAnsi="Arial Narrow"/>
                <w:b/>
                <w:sz w:val="20"/>
                <w:lang w:val="en-US"/>
              </w:rPr>
              <w:t xml:space="preserve"> +</w:t>
            </w:r>
            <w:r w:rsidR="00131AC7" w:rsidRPr="00B43E2B">
              <w:rPr>
                <w:rFonts w:ascii="Arial Narrow" w:hAnsi="Arial Narrow"/>
                <w:b/>
                <w:sz w:val="20"/>
                <w:lang w:val="en-US"/>
              </w:rPr>
              <w:t xml:space="preserve"> </w:t>
            </w:r>
            <w:r w:rsidRPr="00B43E2B">
              <w:rPr>
                <w:rFonts w:ascii="Arial Narrow" w:hAnsi="Arial Narrow"/>
                <w:b/>
                <w:sz w:val="20"/>
                <w:lang w:val="en-US"/>
              </w:rPr>
              <w:t>FOLFOX vs FOLFOX alone</w:t>
            </w:r>
          </w:p>
        </w:tc>
      </w:tr>
      <w:tr w:rsidR="00B43E2B" w:rsidRPr="00B43E2B" w:rsidTr="00B43E2B">
        <w:tc>
          <w:tcPr>
            <w:tcW w:w="764" w:type="pct"/>
            <w:shd w:val="clear" w:color="auto" w:fill="auto"/>
          </w:tcPr>
          <w:p w:rsidR="003113FE" w:rsidRPr="00B43E2B" w:rsidRDefault="003113FE" w:rsidP="003113FE">
            <w:pPr>
              <w:jc w:val="left"/>
              <w:rPr>
                <w:rFonts w:ascii="Arial Narrow" w:hAnsi="Arial Narrow"/>
                <w:sz w:val="20"/>
                <w:u w:val="single"/>
                <w:lang w:val="en-US"/>
              </w:rPr>
            </w:pPr>
            <w:r w:rsidRPr="00B43E2B">
              <w:rPr>
                <w:rFonts w:ascii="Arial Narrow" w:hAnsi="Arial Narrow"/>
                <w:sz w:val="20"/>
                <w:u w:val="single"/>
                <w:lang w:val="en-US"/>
              </w:rPr>
              <w:t>PRIME</w:t>
            </w:r>
          </w:p>
          <w:p w:rsidR="003113FE" w:rsidRPr="00B43E2B" w:rsidRDefault="003113FE" w:rsidP="00B43E2B">
            <w:pPr>
              <w:jc w:val="left"/>
              <w:rPr>
                <w:rFonts w:ascii="Arial Narrow" w:hAnsi="Arial Narrow"/>
                <w:sz w:val="20"/>
                <w:lang w:val="en-US"/>
              </w:rPr>
            </w:pPr>
            <w:r w:rsidRPr="00B43E2B">
              <w:rPr>
                <w:rFonts w:ascii="Arial Narrow" w:hAnsi="Arial Narrow"/>
                <w:sz w:val="20"/>
                <w:lang w:val="en-US"/>
              </w:rPr>
              <w:t>ITT (Unselected)</w:t>
            </w:r>
          </w:p>
          <w:p w:rsidR="00B43E2B" w:rsidRDefault="00B43E2B" w:rsidP="00B43E2B">
            <w:pPr>
              <w:jc w:val="left"/>
              <w:rPr>
                <w:rFonts w:ascii="Arial Narrow" w:hAnsi="Arial Narrow"/>
                <w:i/>
                <w:sz w:val="20"/>
                <w:lang w:val="en-US"/>
              </w:rPr>
            </w:pPr>
          </w:p>
          <w:p w:rsidR="003113FE" w:rsidRPr="00B43E2B" w:rsidRDefault="003113FE" w:rsidP="00B43E2B">
            <w:pPr>
              <w:jc w:val="left"/>
              <w:rPr>
                <w:rFonts w:ascii="Arial Narrow" w:hAnsi="Arial Narrow"/>
                <w:sz w:val="20"/>
                <w:lang w:val="en-US"/>
              </w:rPr>
            </w:pPr>
            <w:r w:rsidRPr="00B43E2B">
              <w:rPr>
                <w:rFonts w:ascii="Arial Narrow" w:hAnsi="Arial Narrow"/>
                <w:i/>
                <w:sz w:val="20"/>
                <w:lang w:val="en-US"/>
              </w:rPr>
              <w:t>RAS</w:t>
            </w:r>
            <w:r w:rsidRPr="00B43E2B">
              <w:rPr>
                <w:rFonts w:ascii="Arial Narrow" w:hAnsi="Arial Narrow"/>
                <w:sz w:val="20"/>
                <w:lang w:val="en-US"/>
              </w:rPr>
              <w:t xml:space="preserve"> WT subgroup (pre-specified)</w:t>
            </w:r>
          </w:p>
        </w:tc>
        <w:tc>
          <w:tcPr>
            <w:tcW w:w="508" w:type="pct"/>
            <w:shd w:val="clear" w:color="auto" w:fill="auto"/>
          </w:tcPr>
          <w:p w:rsidR="003113FE" w:rsidRPr="00B43E2B" w:rsidRDefault="003113FE" w:rsidP="003113FE">
            <w:pPr>
              <w:jc w:val="center"/>
              <w:rPr>
                <w:rFonts w:ascii="Arial Narrow" w:hAnsi="Arial Narrow"/>
                <w:sz w:val="20"/>
                <w:lang w:val="en-US"/>
              </w:rPr>
            </w:pPr>
          </w:p>
          <w:p w:rsidR="003113FE" w:rsidRPr="00B43E2B" w:rsidRDefault="003113FE" w:rsidP="003113FE">
            <w:pPr>
              <w:jc w:val="center"/>
              <w:rPr>
                <w:rFonts w:ascii="Arial Narrow" w:hAnsi="Arial Narrow"/>
                <w:sz w:val="20"/>
                <w:lang w:val="en-US"/>
              </w:rPr>
            </w:pPr>
            <w:r w:rsidRPr="00B43E2B">
              <w:rPr>
                <w:rFonts w:ascii="Arial Narrow" w:hAnsi="Arial Narrow"/>
                <w:sz w:val="20"/>
                <w:lang w:val="en-US"/>
              </w:rPr>
              <w:t>1183</w:t>
            </w:r>
          </w:p>
          <w:p w:rsidR="003113FE" w:rsidRPr="00B43E2B" w:rsidRDefault="003113FE" w:rsidP="003113FE">
            <w:pPr>
              <w:jc w:val="center"/>
              <w:rPr>
                <w:rFonts w:ascii="Arial Narrow" w:hAnsi="Arial Narrow"/>
                <w:sz w:val="20"/>
                <w:lang w:val="en-US"/>
              </w:rPr>
            </w:pPr>
          </w:p>
          <w:p w:rsidR="003113FE" w:rsidRPr="00B43E2B" w:rsidRDefault="003113FE" w:rsidP="003113FE">
            <w:pPr>
              <w:jc w:val="center"/>
              <w:rPr>
                <w:rFonts w:ascii="Arial Narrow" w:hAnsi="Arial Narrow"/>
                <w:sz w:val="20"/>
                <w:lang w:val="en-US"/>
              </w:rPr>
            </w:pPr>
            <w:r w:rsidRPr="00B43E2B">
              <w:rPr>
                <w:rFonts w:ascii="Arial Narrow" w:hAnsi="Arial Narrow"/>
                <w:sz w:val="20"/>
                <w:lang w:val="en-US"/>
              </w:rPr>
              <w:t>512</w:t>
            </w:r>
          </w:p>
        </w:tc>
        <w:tc>
          <w:tcPr>
            <w:tcW w:w="849" w:type="pct"/>
            <w:shd w:val="clear" w:color="auto" w:fill="auto"/>
          </w:tcPr>
          <w:p w:rsidR="003113FE" w:rsidRPr="00B43E2B" w:rsidRDefault="003113FE" w:rsidP="003113FE">
            <w:pPr>
              <w:jc w:val="left"/>
              <w:rPr>
                <w:rFonts w:ascii="Arial Narrow" w:hAnsi="Arial Narrow"/>
                <w:sz w:val="20"/>
                <w:lang w:val="en-US"/>
              </w:rPr>
            </w:pPr>
            <w:r w:rsidRPr="00B43E2B">
              <w:rPr>
                <w:rFonts w:ascii="Arial Narrow" w:hAnsi="Arial Narrow"/>
                <w:sz w:val="20"/>
                <w:lang w:val="en-US"/>
              </w:rPr>
              <w:t>R, OL</w:t>
            </w:r>
          </w:p>
          <w:p w:rsidR="003113FE" w:rsidRPr="00B43E2B" w:rsidRDefault="003113FE" w:rsidP="003113FE">
            <w:pPr>
              <w:jc w:val="left"/>
              <w:rPr>
                <w:rFonts w:ascii="Arial Narrow" w:hAnsi="Arial Narrow"/>
                <w:sz w:val="20"/>
                <w:lang w:val="en-US"/>
              </w:rPr>
            </w:pPr>
            <w:r w:rsidRPr="00B43E2B">
              <w:rPr>
                <w:rFonts w:ascii="Arial Narrow" w:hAnsi="Arial Narrow"/>
                <w:sz w:val="20"/>
                <w:lang w:val="en-US"/>
              </w:rPr>
              <w:t xml:space="preserve">Duration NR </w:t>
            </w:r>
          </w:p>
          <w:p w:rsidR="003113FE" w:rsidRPr="00B43E2B" w:rsidRDefault="003113FE" w:rsidP="003113FE">
            <w:pPr>
              <w:jc w:val="left"/>
              <w:rPr>
                <w:rFonts w:ascii="Arial Narrow" w:hAnsi="Arial Narrow"/>
                <w:sz w:val="20"/>
                <w:lang w:val="en-US"/>
              </w:rPr>
            </w:pPr>
          </w:p>
          <w:p w:rsidR="003113FE" w:rsidRPr="00B43E2B" w:rsidRDefault="003113FE" w:rsidP="003113FE">
            <w:pPr>
              <w:jc w:val="left"/>
              <w:rPr>
                <w:rFonts w:ascii="Arial Narrow" w:hAnsi="Arial Narrow"/>
                <w:sz w:val="20"/>
                <w:lang w:val="en-US"/>
              </w:rPr>
            </w:pPr>
            <w:r w:rsidRPr="00B43E2B">
              <w:rPr>
                <w:rFonts w:ascii="Arial Narrow" w:hAnsi="Arial Narrow"/>
                <w:sz w:val="20"/>
                <w:lang w:val="en-US"/>
              </w:rPr>
              <w:t xml:space="preserve">95 weeks </w:t>
            </w:r>
            <w:proofErr w:type="spellStart"/>
            <w:r w:rsidRPr="00B43E2B">
              <w:rPr>
                <w:rFonts w:ascii="Arial Narrow" w:hAnsi="Arial Narrow"/>
                <w:sz w:val="20"/>
                <w:lang w:val="en-US"/>
              </w:rPr>
              <w:t>pmab</w:t>
            </w:r>
            <w:proofErr w:type="spellEnd"/>
            <w:r w:rsidRPr="00B43E2B">
              <w:rPr>
                <w:rFonts w:ascii="Arial Narrow" w:hAnsi="Arial Narrow"/>
                <w:sz w:val="20"/>
                <w:lang w:val="en-US"/>
              </w:rPr>
              <w:t xml:space="preserve">, 77 weeks FOLFOX </w:t>
            </w:r>
          </w:p>
        </w:tc>
        <w:tc>
          <w:tcPr>
            <w:tcW w:w="1190" w:type="pct"/>
            <w:shd w:val="clear" w:color="auto" w:fill="auto"/>
          </w:tcPr>
          <w:p w:rsidR="003113FE" w:rsidRPr="00B43E2B" w:rsidRDefault="003113FE" w:rsidP="003113FE">
            <w:pPr>
              <w:jc w:val="left"/>
              <w:rPr>
                <w:rFonts w:ascii="Arial Narrow" w:hAnsi="Arial Narrow"/>
                <w:sz w:val="20"/>
              </w:rPr>
            </w:pPr>
            <w:r w:rsidRPr="00B43E2B">
              <w:rPr>
                <w:rFonts w:ascii="Arial Narrow" w:hAnsi="Arial Narrow"/>
                <w:sz w:val="20"/>
              </w:rPr>
              <w:t>PFS: low risk of bias.</w:t>
            </w:r>
            <w:r w:rsidR="00287193" w:rsidRPr="00B43E2B">
              <w:rPr>
                <w:rFonts w:ascii="Arial Narrow" w:hAnsi="Arial Narrow"/>
                <w:sz w:val="20"/>
              </w:rPr>
              <w:t xml:space="preserve"> </w:t>
            </w:r>
            <w:r w:rsidRPr="00B43E2B">
              <w:rPr>
                <w:rFonts w:ascii="Arial Narrow" w:hAnsi="Arial Narrow"/>
                <w:sz w:val="20"/>
              </w:rPr>
              <w:t xml:space="preserve"> OS: </w:t>
            </w:r>
            <w:r w:rsidR="007C30F3" w:rsidRPr="00B43E2B">
              <w:rPr>
                <w:rFonts w:ascii="Arial Narrow" w:hAnsi="Arial Narrow"/>
                <w:sz w:val="20"/>
              </w:rPr>
              <w:t xml:space="preserve">low risk </w:t>
            </w:r>
            <w:r w:rsidRPr="00B43E2B">
              <w:rPr>
                <w:rFonts w:ascii="Arial Narrow" w:hAnsi="Arial Narrow"/>
                <w:sz w:val="20"/>
              </w:rPr>
              <w:t>of confounding d</w:t>
            </w:r>
            <w:r w:rsidR="007C30F3" w:rsidRPr="00B43E2B">
              <w:rPr>
                <w:rFonts w:ascii="Arial Narrow" w:hAnsi="Arial Narrow"/>
                <w:sz w:val="20"/>
              </w:rPr>
              <w:t>espite</w:t>
            </w:r>
            <w:r w:rsidRPr="00B43E2B">
              <w:rPr>
                <w:rFonts w:ascii="Arial Narrow" w:hAnsi="Arial Narrow"/>
                <w:sz w:val="20"/>
              </w:rPr>
              <w:t xml:space="preserve"> </w:t>
            </w:r>
            <w:r w:rsidR="00613F7C" w:rsidRPr="00B43E2B">
              <w:rPr>
                <w:rFonts w:ascii="Arial Narrow" w:hAnsi="Arial Narrow"/>
                <w:sz w:val="20"/>
              </w:rPr>
              <w:t>post-progression therapy</w:t>
            </w:r>
            <w:r w:rsidRPr="00B43E2B">
              <w:rPr>
                <w:rFonts w:ascii="Arial Narrow" w:hAnsi="Arial Narrow"/>
                <w:sz w:val="20"/>
              </w:rPr>
              <w:t>.</w:t>
            </w:r>
            <w:r w:rsidR="007C30F3" w:rsidRPr="00B43E2B">
              <w:rPr>
                <w:rFonts w:ascii="Arial Narrow" w:hAnsi="Arial Narrow"/>
                <w:sz w:val="20"/>
                <w:vertAlign w:val="superscript"/>
                <w:lang w:val="en-US"/>
              </w:rPr>
              <w:t xml:space="preserve"> B</w:t>
            </w:r>
          </w:p>
          <w:p w:rsidR="003113FE" w:rsidRPr="00B43E2B" w:rsidRDefault="003113FE" w:rsidP="003113FE">
            <w:pPr>
              <w:jc w:val="left"/>
              <w:rPr>
                <w:rFonts w:ascii="Arial Narrow" w:hAnsi="Arial Narrow"/>
                <w:sz w:val="20"/>
                <w:lang w:val="en-US"/>
              </w:rPr>
            </w:pPr>
            <w:r w:rsidRPr="00B43E2B">
              <w:rPr>
                <w:rFonts w:ascii="Arial Narrow" w:hAnsi="Arial Narrow"/>
                <w:sz w:val="20"/>
              </w:rPr>
              <w:t>Estimation of adverse events: high risk of bias due to open label design</w:t>
            </w:r>
          </w:p>
        </w:tc>
        <w:tc>
          <w:tcPr>
            <w:tcW w:w="679" w:type="pct"/>
            <w:shd w:val="clear" w:color="auto" w:fill="auto"/>
            <w:vAlign w:val="center"/>
          </w:tcPr>
          <w:p w:rsidR="003113FE" w:rsidRPr="00B43E2B" w:rsidRDefault="003113FE" w:rsidP="003113FE">
            <w:pPr>
              <w:jc w:val="center"/>
              <w:rPr>
                <w:rFonts w:ascii="Arial Narrow" w:hAnsi="Arial Narrow"/>
                <w:sz w:val="20"/>
                <w:lang w:val="en-US"/>
              </w:rPr>
            </w:pPr>
            <w:r w:rsidRPr="00B43E2B">
              <w:rPr>
                <w:rFonts w:ascii="Arial Narrow" w:hAnsi="Arial Narrow"/>
                <w:sz w:val="20"/>
                <w:lang w:val="en-US"/>
              </w:rPr>
              <w:t xml:space="preserve">First-line </w:t>
            </w:r>
            <w:r w:rsidRPr="00B43E2B">
              <w:rPr>
                <w:rFonts w:ascii="Arial Narrow" w:hAnsi="Arial Narrow"/>
                <w:i/>
                <w:sz w:val="20"/>
                <w:lang w:val="en-US"/>
              </w:rPr>
              <w:t>RAS</w:t>
            </w:r>
            <w:r w:rsidRPr="00B43E2B">
              <w:rPr>
                <w:rFonts w:ascii="Arial Narrow" w:hAnsi="Arial Narrow"/>
                <w:sz w:val="20"/>
                <w:lang w:val="en-US"/>
              </w:rPr>
              <w:t xml:space="preserve"> WT </w:t>
            </w:r>
            <w:proofErr w:type="spellStart"/>
            <w:r w:rsidRPr="00B43E2B">
              <w:rPr>
                <w:rFonts w:ascii="Arial Narrow" w:hAnsi="Arial Narrow"/>
                <w:sz w:val="20"/>
                <w:lang w:val="en-US"/>
              </w:rPr>
              <w:t>mCRC</w:t>
            </w:r>
            <w:proofErr w:type="spellEnd"/>
          </w:p>
        </w:tc>
        <w:tc>
          <w:tcPr>
            <w:tcW w:w="595" w:type="pct"/>
            <w:shd w:val="clear" w:color="auto" w:fill="auto"/>
            <w:vAlign w:val="center"/>
          </w:tcPr>
          <w:p w:rsidR="003113FE" w:rsidRPr="00B43E2B" w:rsidRDefault="003113FE" w:rsidP="003113FE">
            <w:pPr>
              <w:jc w:val="center"/>
              <w:rPr>
                <w:rFonts w:ascii="Arial Narrow" w:hAnsi="Arial Narrow"/>
                <w:sz w:val="20"/>
                <w:lang w:val="en-US"/>
              </w:rPr>
            </w:pPr>
            <w:r w:rsidRPr="00B43E2B">
              <w:rPr>
                <w:rFonts w:ascii="Arial Narrow" w:hAnsi="Arial Narrow"/>
                <w:sz w:val="20"/>
                <w:lang w:val="en-US"/>
              </w:rPr>
              <w:t>PFS, OS</w:t>
            </w:r>
          </w:p>
        </w:tc>
        <w:tc>
          <w:tcPr>
            <w:tcW w:w="415" w:type="pct"/>
            <w:shd w:val="clear" w:color="auto" w:fill="auto"/>
            <w:vAlign w:val="center"/>
          </w:tcPr>
          <w:p w:rsidR="003113FE" w:rsidRPr="00B43E2B" w:rsidRDefault="003113FE" w:rsidP="003113FE">
            <w:pPr>
              <w:jc w:val="center"/>
              <w:rPr>
                <w:rFonts w:ascii="Arial Narrow" w:hAnsi="Arial Narrow"/>
                <w:sz w:val="20"/>
                <w:lang w:val="en-US"/>
              </w:rPr>
            </w:pPr>
            <w:r w:rsidRPr="00B43E2B">
              <w:rPr>
                <w:rFonts w:ascii="Arial Narrow" w:hAnsi="Arial Narrow"/>
                <w:sz w:val="20"/>
                <w:lang w:val="en-US"/>
              </w:rPr>
              <w:t>Used</w:t>
            </w:r>
          </w:p>
        </w:tc>
      </w:tr>
      <w:tr w:rsidR="003113FE" w:rsidRPr="00B43E2B" w:rsidTr="00B43E2B">
        <w:tc>
          <w:tcPr>
            <w:tcW w:w="5000" w:type="pct"/>
            <w:gridSpan w:val="7"/>
            <w:shd w:val="clear" w:color="auto" w:fill="auto"/>
            <w:vAlign w:val="center"/>
          </w:tcPr>
          <w:p w:rsidR="003113FE" w:rsidRPr="00B43E2B" w:rsidRDefault="00131AC7" w:rsidP="003113FE">
            <w:pPr>
              <w:jc w:val="left"/>
              <w:rPr>
                <w:rFonts w:ascii="Arial Narrow" w:hAnsi="Arial Narrow"/>
                <w:b/>
                <w:sz w:val="20"/>
                <w:lang w:val="en-US"/>
              </w:rPr>
            </w:pPr>
            <w:r w:rsidRPr="00B43E2B">
              <w:rPr>
                <w:rFonts w:ascii="Arial Narrow" w:hAnsi="Arial Narrow"/>
                <w:b/>
                <w:sz w:val="20"/>
                <w:lang w:val="en-US"/>
              </w:rPr>
              <w:t xml:space="preserve">Direct comparison: </w:t>
            </w:r>
            <w:proofErr w:type="spellStart"/>
            <w:r w:rsidRPr="00B43E2B">
              <w:rPr>
                <w:rFonts w:ascii="Arial Narrow" w:hAnsi="Arial Narrow"/>
                <w:b/>
                <w:sz w:val="20"/>
                <w:lang w:val="en-US"/>
              </w:rPr>
              <w:t>p</w:t>
            </w:r>
            <w:r w:rsidR="003113FE" w:rsidRPr="00B43E2B">
              <w:rPr>
                <w:rFonts w:ascii="Arial Narrow" w:hAnsi="Arial Narrow"/>
                <w:b/>
                <w:sz w:val="20"/>
                <w:lang w:val="en-US"/>
              </w:rPr>
              <w:t>anitumumab</w:t>
            </w:r>
            <w:proofErr w:type="spellEnd"/>
            <w:r w:rsidR="003113FE" w:rsidRPr="00B43E2B">
              <w:rPr>
                <w:rFonts w:ascii="Arial Narrow" w:hAnsi="Arial Narrow"/>
                <w:b/>
                <w:sz w:val="20"/>
                <w:lang w:val="en-US"/>
              </w:rPr>
              <w:t xml:space="preserve"> +</w:t>
            </w:r>
            <w:r w:rsidRPr="00B43E2B">
              <w:rPr>
                <w:rFonts w:ascii="Arial Narrow" w:hAnsi="Arial Narrow"/>
                <w:b/>
                <w:sz w:val="20"/>
                <w:lang w:val="en-US"/>
              </w:rPr>
              <w:t xml:space="preserve"> </w:t>
            </w:r>
            <w:r w:rsidR="003113FE" w:rsidRPr="00B43E2B">
              <w:rPr>
                <w:rFonts w:ascii="Arial Narrow" w:hAnsi="Arial Narrow"/>
                <w:b/>
                <w:sz w:val="20"/>
                <w:lang w:val="en-US"/>
              </w:rPr>
              <w:t xml:space="preserve">FOLFOX vs </w:t>
            </w:r>
            <w:proofErr w:type="spellStart"/>
            <w:r w:rsidR="003113FE" w:rsidRPr="00B43E2B">
              <w:rPr>
                <w:rFonts w:ascii="Arial Narrow" w:hAnsi="Arial Narrow"/>
                <w:b/>
                <w:sz w:val="20"/>
                <w:lang w:val="en-US"/>
              </w:rPr>
              <w:t>bevacizumab</w:t>
            </w:r>
            <w:proofErr w:type="spellEnd"/>
            <w:r w:rsidR="003113FE" w:rsidRPr="00B43E2B">
              <w:rPr>
                <w:rFonts w:ascii="Arial Narrow" w:hAnsi="Arial Narrow"/>
                <w:b/>
                <w:sz w:val="20"/>
                <w:lang w:val="en-US"/>
              </w:rPr>
              <w:t xml:space="preserve"> + FOLFOX</w:t>
            </w:r>
          </w:p>
        </w:tc>
      </w:tr>
      <w:tr w:rsidR="00B43E2B" w:rsidRPr="00B43E2B" w:rsidTr="00B43E2B">
        <w:tc>
          <w:tcPr>
            <w:tcW w:w="764" w:type="pct"/>
            <w:shd w:val="clear" w:color="auto" w:fill="auto"/>
            <w:vAlign w:val="center"/>
          </w:tcPr>
          <w:p w:rsidR="003113FE" w:rsidRPr="00B43E2B" w:rsidRDefault="003113FE" w:rsidP="003113FE">
            <w:pPr>
              <w:jc w:val="left"/>
              <w:rPr>
                <w:rFonts w:ascii="Arial Narrow" w:hAnsi="Arial Narrow"/>
                <w:sz w:val="20"/>
                <w:u w:val="single"/>
                <w:lang w:val="en-US"/>
              </w:rPr>
            </w:pPr>
            <w:r w:rsidRPr="00B43E2B">
              <w:rPr>
                <w:rFonts w:ascii="Arial Narrow" w:hAnsi="Arial Narrow"/>
                <w:sz w:val="20"/>
                <w:u w:val="single"/>
                <w:lang w:val="en-US"/>
              </w:rPr>
              <w:t>PEAK</w:t>
            </w:r>
          </w:p>
          <w:p w:rsidR="003113FE" w:rsidRPr="00B43E2B" w:rsidRDefault="003113FE" w:rsidP="00B43E2B">
            <w:pPr>
              <w:jc w:val="left"/>
              <w:rPr>
                <w:rFonts w:ascii="Arial Narrow" w:hAnsi="Arial Narrow"/>
                <w:sz w:val="20"/>
                <w:lang w:val="en-US"/>
              </w:rPr>
            </w:pPr>
            <w:r w:rsidRPr="00B43E2B">
              <w:rPr>
                <w:rFonts w:ascii="Arial Narrow" w:hAnsi="Arial Narrow"/>
                <w:sz w:val="20"/>
                <w:lang w:val="en-US"/>
              </w:rPr>
              <w:t xml:space="preserve">ITT: </w:t>
            </w:r>
            <w:r w:rsidRPr="00B43E2B">
              <w:rPr>
                <w:rFonts w:ascii="Arial Narrow" w:hAnsi="Arial Narrow"/>
                <w:i/>
                <w:sz w:val="20"/>
                <w:lang w:val="en-US"/>
              </w:rPr>
              <w:t>KRAS</w:t>
            </w:r>
            <w:r w:rsidRPr="00B43E2B">
              <w:rPr>
                <w:rFonts w:ascii="Arial Narrow" w:hAnsi="Arial Narrow"/>
                <w:sz w:val="20"/>
                <w:lang w:val="en-US"/>
              </w:rPr>
              <w:t xml:space="preserve"> WT (Exon 2)</w:t>
            </w:r>
          </w:p>
          <w:p w:rsidR="003113FE" w:rsidRPr="00B43E2B" w:rsidRDefault="003113FE" w:rsidP="003113FE">
            <w:pPr>
              <w:ind w:left="360"/>
              <w:jc w:val="left"/>
              <w:rPr>
                <w:rFonts w:ascii="Arial Narrow" w:hAnsi="Arial Narrow"/>
                <w:sz w:val="20"/>
                <w:lang w:val="en-US"/>
              </w:rPr>
            </w:pPr>
          </w:p>
          <w:p w:rsidR="003113FE" w:rsidRPr="00B43E2B" w:rsidRDefault="003113FE" w:rsidP="00B43E2B">
            <w:pPr>
              <w:jc w:val="left"/>
              <w:rPr>
                <w:rFonts w:ascii="Arial Narrow" w:hAnsi="Arial Narrow"/>
                <w:sz w:val="20"/>
                <w:lang w:val="en-US"/>
              </w:rPr>
            </w:pPr>
            <w:r w:rsidRPr="00B43E2B">
              <w:rPr>
                <w:rFonts w:ascii="Arial Narrow" w:hAnsi="Arial Narrow"/>
                <w:i/>
                <w:sz w:val="20"/>
                <w:lang w:val="en-US"/>
              </w:rPr>
              <w:t>RAS</w:t>
            </w:r>
            <w:r w:rsidRPr="00B43E2B">
              <w:rPr>
                <w:rFonts w:ascii="Arial Narrow" w:hAnsi="Arial Narrow"/>
                <w:sz w:val="20"/>
                <w:lang w:val="en-US"/>
              </w:rPr>
              <w:t xml:space="preserve"> WT subgroup (pre-specified)</w:t>
            </w:r>
          </w:p>
        </w:tc>
        <w:tc>
          <w:tcPr>
            <w:tcW w:w="508" w:type="pct"/>
            <w:shd w:val="clear" w:color="auto" w:fill="auto"/>
            <w:vAlign w:val="center"/>
          </w:tcPr>
          <w:p w:rsidR="003113FE" w:rsidRPr="00B43E2B" w:rsidRDefault="003113FE" w:rsidP="00B43E2B">
            <w:pPr>
              <w:jc w:val="center"/>
              <w:rPr>
                <w:rFonts w:ascii="Arial Narrow" w:hAnsi="Arial Narrow"/>
                <w:sz w:val="20"/>
                <w:lang w:val="en-US"/>
              </w:rPr>
            </w:pPr>
            <w:r w:rsidRPr="00B43E2B">
              <w:rPr>
                <w:rFonts w:ascii="Arial Narrow" w:hAnsi="Arial Narrow"/>
                <w:sz w:val="20"/>
                <w:lang w:val="en-US"/>
              </w:rPr>
              <w:t>285</w:t>
            </w:r>
          </w:p>
          <w:p w:rsidR="003113FE" w:rsidRPr="00B43E2B" w:rsidRDefault="003113FE" w:rsidP="00B43E2B">
            <w:pPr>
              <w:jc w:val="center"/>
              <w:rPr>
                <w:rFonts w:ascii="Arial Narrow" w:hAnsi="Arial Narrow"/>
                <w:sz w:val="20"/>
                <w:lang w:val="en-US"/>
              </w:rPr>
            </w:pPr>
          </w:p>
          <w:p w:rsidR="003113FE" w:rsidRPr="00B43E2B" w:rsidRDefault="003113FE" w:rsidP="00B43E2B">
            <w:pPr>
              <w:jc w:val="center"/>
              <w:rPr>
                <w:rFonts w:ascii="Arial Narrow" w:hAnsi="Arial Narrow"/>
                <w:sz w:val="20"/>
                <w:lang w:val="en-US"/>
              </w:rPr>
            </w:pPr>
          </w:p>
          <w:p w:rsidR="003113FE" w:rsidRPr="00B43E2B" w:rsidRDefault="003113FE" w:rsidP="00B43E2B">
            <w:pPr>
              <w:jc w:val="center"/>
              <w:rPr>
                <w:rFonts w:ascii="Arial Narrow" w:hAnsi="Arial Narrow"/>
                <w:sz w:val="20"/>
                <w:lang w:val="en-US"/>
              </w:rPr>
            </w:pPr>
            <w:r w:rsidRPr="00B43E2B">
              <w:rPr>
                <w:rFonts w:ascii="Arial Narrow" w:hAnsi="Arial Narrow"/>
                <w:sz w:val="20"/>
                <w:lang w:val="en-US"/>
              </w:rPr>
              <w:t>170</w:t>
            </w:r>
          </w:p>
        </w:tc>
        <w:tc>
          <w:tcPr>
            <w:tcW w:w="849" w:type="pct"/>
            <w:shd w:val="clear" w:color="auto" w:fill="auto"/>
          </w:tcPr>
          <w:p w:rsidR="003113FE" w:rsidRPr="00B43E2B" w:rsidRDefault="003113FE" w:rsidP="003113FE">
            <w:pPr>
              <w:jc w:val="left"/>
              <w:rPr>
                <w:rFonts w:ascii="Arial Narrow" w:hAnsi="Arial Narrow"/>
                <w:sz w:val="20"/>
                <w:lang w:val="en-US"/>
              </w:rPr>
            </w:pPr>
            <w:r w:rsidRPr="00B43E2B">
              <w:rPr>
                <w:rFonts w:ascii="Arial Narrow" w:hAnsi="Arial Narrow"/>
                <w:sz w:val="20"/>
                <w:lang w:val="en-US"/>
              </w:rPr>
              <w:t>R, OL</w:t>
            </w:r>
          </w:p>
          <w:p w:rsidR="003113FE" w:rsidRPr="00B43E2B" w:rsidRDefault="003113FE" w:rsidP="003113FE">
            <w:pPr>
              <w:jc w:val="left"/>
              <w:rPr>
                <w:rFonts w:ascii="Arial Narrow" w:hAnsi="Arial Narrow"/>
                <w:sz w:val="20"/>
                <w:lang w:val="en-US"/>
              </w:rPr>
            </w:pPr>
          </w:p>
          <w:p w:rsidR="003113FE" w:rsidRPr="00B43E2B" w:rsidRDefault="003113FE" w:rsidP="003113FE">
            <w:pPr>
              <w:jc w:val="left"/>
              <w:rPr>
                <w:rFonts w:ascii="Arial Narrow" w:hAnsi="Arial Narrow"/>
                <w:sz w:val="20"/>
                <w:lang w:val="en-US"/>
              </w:rPr>
            </w:pPr>
            <w:r w:rsidRPr="00B43E2B">
              <w:rPr>
                <w:rFonts w:ascii="Arial Narrow" w:hAnsi="Arial Narrow"/>
                <w:sz w:val="20"/>
                <w:lang w:val="en-US"/>
              </w:rPr>
              <w:t xml:space="preserve">60 weeks for </w:t>
            </w:r>
            <w:proofErr w:type="spellStart"/>
            <w:r w:rsidRPr="00B43E2B">
              <w:rPr>
                <w:rFonts w:ascii="Arial Narrow" w:hAnsi="Arial Narrow"/>
                <w:sz w:val="20"/>
                <w:lang w:val="en-US"/>
              </w:rPr>
              <w:t>pmab</w:t>
            </w:r>
            <w:proofErr w:type="spellEnd"/>
            <w:r w:rsidRPr="00B43E2B">
              <w:rPr>
                <w:rFonts w:ascii="Arial Narrow" w:hAnsi="Arial Narrow"/>
                <w:sz w:val="20"/>
                <w:lang w:val="en-US"/>
              </w:rPr>
              <w:t xml:space="preserve"> or </w:t>
            </w:r>
            <w:proofErr w:type="spellStart"/>
            <w:r w:rsidRPr="00B43E2B">
              <w:rPr>
                <w:rFonts w:ascii="Arial Narrow" w:hAnsi="Arial Narrow"/>
                <w:sz w:val="20"/>
                <w:lang w:val="en-US"/>
              </w:rPr>
              <w:t>bev</w:t>
            </w:r>
            <w:proofErr w:type="spellEnd"/>
          </w:p>
          <w:p w:rsidR="003113FE" w:rsidRPr="00B43E2B" w:rsidRDefault="003113FE" w:rsidP="003113FE">
            <w:pPr>
              <w:jc w:val="left"/>
              <w:rPr>
                <w:rFonts w:ascii="Arial Narrow" w:hAnsi="Arial Narrow"/>
                <w:sz w:val="20"/>
                <w:lang w:val="en-US"/>
              </w:rPr>
            </w:pPr>
          </w:p>
          <w:p w:rsidR="003113FE" w:rsidRPr="00B43E2B" w:rsidRDefault="003113FE" w:rsidP="003113FE">
            <w:pPr>
              <w:jc w:val="left"/>
              <w:rPr>
                <w:rFonts w:ascii="Arial Narrow" w:hAnsi="Arial Narrow"/>
                <w:sz w:val="20"/>
                <w:lang w:val="en-US"/>
              </w:rPr>
            </w:pPr>
            <w:r w:rsidRPr="00B43E2B">
              <w:rPr>
                <w:rFonts w:ascii="Arial Narrow" w:hAnsi="Arial Narrow"/>
                <w:sz w:val="20"/>
                <w:lang w:val="en-US"/>
              </w:rPr>
              <w:t xml:space="preserve">90 weeks for </w:t>
            </w:r>
            <w:proofErr w:type="spellStart"/>
            <w:r w:rsidRPr="00B43E2B">
              <w:rPr>
                <w:rFonts w:ascii="Arial Narrow" w:hAnsi="Arial Narrow"/>
                <w:sz w:val="20"/>
                <w:lang w:val="en-US"/>
              </w:rPr>
              <w:t>pmab</w:t>
            </w:r>
            <w:proofErr w:type="spellEnd"/>
            <w:r w:rsidRPr="00B43E2B">
              <w:rPr>
                <w:rFonts w:ascii="Arial Narrow" w:hAnsi="Arial Narrow"/>
                <w:sz w:val="20"/>
                <w:lang w:val="en-US"/>
              </w:rPr>
              <w:t xml:space="preserve"> or </w:t>
            </w:r>
            <w:proofErr w:type="spellStart"/>
            <w:r w:rsidRPr="00B43E2B">
              <w:rPr>
                <w:rFonts w:ascii="Arial Narrow" w:hAnsi="Arial Narrow"/>
                <w:sz w:val="20"/>
                <w:lang w:val="en-US"/>
              </w:rPr>
              <w:t>bev</w:t>
            </w:r>
            <w:proofErr w:type="spellEnd"/>
          </w:p>
        </w:tc>
        <w:tc>
          <w:tcPr>
            <w:tcW w:w="1190" w:type="pct"/>
            <w:shd w:val="clear" w:color="auto" w:fill="auto"/>
          </w:tcPr>
          <w:p w:rsidR="003113FE" w:rsidRPr="00B43E2B" w:rsidRDefault="003113FE" w:rsidP="003113FE">
            <w:pPr>
              <w:jc w:val="left"/>
              <w:rPr>
                <w:rFonts w:ascii="Arial Narrow" w:hAnsi="Arial Narrow"/>
                <w:sz w:val="20"/>
                <w:lang w:val="en-US"/>
              </w:rPr>
            </w:pPr>
            <w:r w:rsidRPr="00B43E2B">
              <w:rPr>
                <w:rFonts w:ascii="Arial Narrow" w:hAnsi="Arial Narrow"/>
                <w:sz w:val="20"/>
                <w:lang w:val="en-US"/>
              </w:rPr>
              <w:t xml:space="preserve">PFS: low risk of bias.  OS: high risk of confounding due to </w:t>
            </w:r>
            <w:r w:rsidR="007C30F3" w:rsidRPr="00B43E2B">
              <w:rPr>
                <w:rFonts w:ascii="Arial Narrow" w:hAnsi="Arial Narrow"/>
                <w:sz w:val="20"/>
              </w:rPr>
              <w:t>post-progression therapy.</w:t>
            </w:r>
            <w:r w:rsidRPr="00B43E2B">
              <w:rPr>
                <w:rFonts w:ascii="Arial Narrow" w:hAnsi="Arial Narrow"/>
                <w:sz w:val="20"/>
                <w:lang w:val="en-US"/>
              </w:rPr>
              <w:t xml:space="preserve"> </w:t>
            </w:r>
            <w:r w:rsidR="00C961A6" w:rsidRPr="00B43E2B">
              <w:rPr>
                <w:rFonts w:ascii="Arial Narrow" w:hAnsi="Arial Narrow"/>
                <w:sz w:val="20"/>
                <w:vertAlign w:val="superscript"/>
                <w:lang w:val="en-US"/>
              </w:rPr>
              <w:t>C</w:t>
            </w:r>
          </w:p>
          <w:p w:rsidR="003113FE" w:rsidRPr="00B43E2B" w:rsidRDefault="003113FE" w:rsidP="003113FE">
            <w:pPr>
              <w:jc w:val="left"/>
              <w:rPr>
                <w:rFonts w:ascii="Arial Narrow" w:hAnsi="Arial Narrow"/>
                <w:sz w:val="20"/>
                <w:lang w:val="en-US"/>
              </w:rPr>
            </w:pPr>
            <w:r w:rsidRPr="00B43E2B">
              <w:rPr>
                <w:rFonts w:ascii="Arial Narrow" w:hAnsi="Arial Narrow"/>
                <w:sz w:val="20"/>
                <w:lang w:val="en-US"/>
              </w:rPr>
              <w:t>Estimation of adverse events: high risk of bias due to open label design.</w:t>
            </w:r>
          </w:p>
        </w:tc>
        <w:tc>
          <w:tcPr>
            <w:tcW w:w="679" w:type="pct"/>
            <w:shd w:val="clear" w:color="auto" w:fill="auto"/>
            <w:vAlign w:val="center"/>
          </w:tcPr>
          <w:p w:rsidR="003113FE" w:rsidRPr="00B43E2B" w:rsidRDefault="003113FE" w:rsidP="003113FE">
            <w:pPr>
              <w:jc w:val="center"/>
              <w:rPr>
                <w:rFonts w:ascii="Arial Narrow" w:hAnsi="Arial Narrow"/>
                <w:sz w:val="20"/>
                <w:lang w:val="en-US"/>
              </w:rPr>
            </w:pPr>
            <w:r w:rsidRPr="00B43E2B">
              <w:rPr>
                <w:rFonts w:ascii="Arial Narrow" w:hAnsi="Arial Narrow"/>
                <w:sz w:val="20"/>
                <w:lang w:val="en-US"/>
              </w:rPr>
              <w:t xml:space="preserve">First-line </w:t>
            </w:r>
            <w:r w:rsidRPr="00B43E2B">
              <w:rPr>
                <w:rFonts w:ascii="Arial Narrow" w:hAnsi="Arial Narrow"/>
                <w:i/>
                <w:sz w:val="20"/>
                <w:lang w:val="en-US"/>
              </w:rPr>
              <w:t>RAS</w:t>
            </w:r>
            <w:r w:rsidRPr="00B43E2B">
              <w:rPr>
                <w:rFonts w:ascii="Arial Narrow" w:hAnsi="Arial Narrow"/>
                <w:sz w:val="20"/>
                <w:lang w:val="en-US"/>
              </w:rPr>
              <w:t xml:space="preserve"> WT </w:t>
            </w:r>
            <w:proofErr w:type="spellStart"/>
            <w:r w:rsidRPr="00B43E2B">
              <w:rPr>
                <w:rFonts w:ascii="Arial Narrow" w:hAnsi="Arial Narrow"/>
                <w:sz w:val="20"/>
                <w:lang w:val="en-US"/>
              </w:rPr>
              <w:t>mCRC</w:t>
            </w:r>
            <w:proofErr w:type="spellEnd"/>
          </w:p>
        </w:tc>
        <w:tc>
          <w:tcPr>
            <w:tcW w:w="595" w:type="pct"/>
            <w:shd w:val="clear" w:color="auto" w:fill="auto"/>
            <w:vAlign w:val="center"/>
          </w:tcPr>
          <w:p w:rsidR="003113FE" w:rsidRPr="00B43E2B" w:rsidRDefault="003113FE" w:rsidP="003113FE">
            <w:pPr>
              <w:jc w:val="center"/>
              <w:rPr>
                <w:rFonts w:ascii="Arial Narrow" w:hAnsi="Arial Narrow"/>
                <w:sz w:val="20"/>
                <w:lang w:val="en-US"/>
              </w:rPr>
            </w:pPr>
            <w:r w:rsidRPr="00B43E2B">
              <w:rPr>
                <w:rFonts w:ascii="Arial Narrow" w:hAnsi="Arial Narrow"/>
                <w:sz w:val="20"/>
                <w:lang w:val="en-US"/>
              </w:rPr>
              <w:t>PFS, OS</w:t>
            </w:r>
          </w:p>
        </w:tc>
        <w:tc>
          <w:tcPr>
            <w:tcW w:w="415" w:type="pct"/>
            <w:shd w:val="clear" w:color="auto" w:fill="auto"/>
            <w:vAlign w:val="center"/>
          </w:tcPr>
          <w:p w:rsidR="003113FE" w:rsidRPr="00B43E2B" w:rsidRDefault="003113FE" w:rsidP="003113FE">
            <w:pPr>
              <w:jc w:val="center"/>
              <w:rPr>
                <w:rFonts w:ascii="Arial Narrow" w:hAnsi="Arial Narrow"/>
                <w:sz w:val="20"/>
                <w:lang w:val="en-US"/>
              </w:rPr>
            </w:pPr>
            <w:r w:rsidRPr="00B43E2B">
              <w:rPr>
                <w:rFonts w:ascii="Arial Narrow" w:hAnsi="Arial Narrow"/>
                <w:sz w:val="20"/>
                <w:lang w:val="en-US"/>
              </w:rPr>
              <w:t>Used</w:t>
            </w:r>
          </w:p>
        </w:tc>
      </w:tr>
    </w:tbl>
    <w:p w:rsidR="00AB5B5A" w:rsidRPr="00993AB6" w:rsidRDefault="00FA1DBE" w:rsidP="00B43E2B">
      <w:pPr>
        <w:pStyle w:val="TableFooter"/>
        <w:ind w:left="720"/>
      </w:pPr>
      <w:proofErr w:type="gramStart"/>
      <w:r w:rsidRPr="00993AB6">
        <w:rPr>
          <w:vertAlign w:val="superscript"/>
        </w:rPr>
        <w:t>A</w:t>
      </w:r>
      <w:r w:rsidR="007C30F3" w:rsidRPr="00993AB6">
        <w:rPr>
          <w:vertAlign w:val="superscript"/>
        </w:rPr>
        <w:t xml:space="preserve"> </w:t>
      </w:r>
      <w:r w:rsidRPr="00993AB6">
        <w:t>The</w:t>
      </w:r>
      <w:proofErr w:type="gramEnd"/>
      <w:r w:rsidRPr="00993AB6">
        <w:t xml:space="preserve"> </w:t>
      </w:r>
      <w:r w:rsidRPr="00993AB6">
        <w:rPr>
          <w:i/>
        </w:rPr>
        <w:t>RAS</w:t>
      </w:r>
      <w:r w:rsidRPr="00993AB6">
        <w:t xml:space="preserve"> (</w:t>
      </w:r>
      <w:r w:rsidRPr="00993AB6">
        <w:rPr>
          <w:i/>
        </w:rPr>
        <w:t>KRAS</w:t>
      </w:r>
      <w:r w:rsidRPr="00993AB6">
        <w:t xml:space="preserve"> and </w:t>
      </w:r>
      <w:r w:rsidRPr="00993AB6">
        <w:rPr>
          <w:i/>
        </w:rPr>
        <w:t>NRAS</w:t>
      </w:r>
      <w:r w:rsidRPr="00993AB6">
        <w:t>) wild type (WT) subgroup data sets in the trials do not represent a randomised comparison. However, although patients were not randomised or stratified by these subgroups, baseline data, for each treatment arm, were presented for these subgroups which indicate demographic and clinical characteristics were fairly equally distributed across compared treatments thus minimising the potential for confounding.</w:t>
      </w:r>
    </w:p>
    <w:p w:rsidR="007C30F3" w:rsidRPr="00B0576E" w:rsidRDefault="007C30F3" w:rsidP="00B43E2B">
      <w:pPr>
        <w:pStyle w:val="TableFooter"/>
        <w:ind w:left="720"/>
      </w:pPr>
      <w:r w:rsidRPr="00B0576E">
        <w:rPr>
          <w:sz w:val="20"/>
          <w:vertAlign w:val="superscript"/>
          <w:lang w:val="en-US"/>
        </w:rPr>
        <w:t>B</w:t>
      </w:r>
      <w:r w:rsidRPr="00B0576E">
        <w:t xml:space="preserve"> Although </w:t>
      </w:r>
      <w:r w:rsidR="001A7755">
        <w:rPr>
          <w:noProof/>
          <w:color w:val="000000"/>
          <w:highlight w:val="black"/>
        </w:rPr>
        <w:t>'''''''</w:t>
      </w:r>
      <w:r w:rsidRPr="00AD7DEC">
        <w:t>%</w:t>
      </w:r>
      <w:r w:rsidRPr="00B0576E">
        <w:t xml:space="preserve"> of patients in the FOLFOX alone arm (</w:t>
      </w:r>
      <w:r w:rsidRPr="00B0576E">
        <w:rPr>
          <w:i/>
        </w:rPr>
        <w:t>RAS</w:t>
      </w:r>
      <w:r w:rsidRPr="00B0576E">
        <w:t xml:space="preserve"> WT subgroup) received </w:t>
      </w:r>
      <w:proofErr w:type="spellStart"/>
      <w:r w:rsidRPr="00B0576E">
        <w:t>panitumumab</w:t>
      </w:r>
      <w:proofErr w:type="spellEnd"/>
      <w:r w:rsidRPr="00B0576E">
        <w:t xml:space="preserve"> or </w:t>
      </w:r>
      <w:proofErr w:type="spellStart"/>
      <w:r w:rsidRPr="00B0576E">
        <w:t>cetuximab</w:t>
      </w:r>
      <w:proofErr w:type="spellEnd"/>
      <w:r w:rsidRPr="00B0576E">
        <w:t xml:space="preserve"> as post-progression therapy, this option reflects </w:t>
      </w:r>
      <w:r w:rsidR="00C961A6" w:rsidRPr="00B0576E">
        <w:t xml:space="preserve">the </w:t>
      </w:r>
      <w:r w:rsidRPr="00B0576E">
        <w:t>current PBS listings</w:t>
      </w:r>
      <w:r w:rsidR="00C961A6" w:rsidRPr="00B0576E">
        <w:t xml:space="preserve"> of these medicines</w:t>
      </w:r>
      <w:r w:rsidRPr="00B0576E">
        <w:t xml:space="preserve">. Also, although </w:t>
      </w:r>
      <w:r w:rsidR="00C961A6" w:rsidRPr="00B0576E">
        <w:t xml:space="preserve">both arms received </w:t>
      </w:r>
      <w:proofErr w:type="spellStart"/>
      <w:r w:rsidR="00C961A6" w:rsidRPr="00B0576E">
        <w:t>bevacizumab</w:t>
      </w:r>
      <w:proofErr w:type="spellEnd"/>
      <w:r w:rsidR="00C961A6" w:rsidRPr="00B0576E">
        <w:t xml:space="preserve"> as post-progression therapy, which does not reflect current PBS listing of this medicine, the proportions were similar across the arms (</w:t>
      </w:r>
      <w:r w:rsidR="001A7755">
        <w:rPr>
          <w:noProof/>
          <w:color w:val="000000"/>
          <w:highlight w:val="black"/>
        </w:rPr>
        <w:t>''''''</w:t>
      </w:r>
      <w:r w:rsidR="00C961A6" w:rsidRPr="00AD7DEC">
        <w:t>%</w:t>
      </w:r>
      <w:r w:rsidR="00C961A6" w:rsidRPr="00B0576E">
        <w:t xml:space="preserve"> in the FOLFOX alone arm and </w:t>
      </w:r>
      <w:r w:rsidR="001A7755">
        <w:rPr>
          <w:noProof/>
          <w:color w:val="000000"/>
          <w:highlight w:val="black"/>
        </w:rPr>
        <w:t>''''''</w:t>
      </w:r>
      <w:r w:rsidR="00C961A6" w:rsidRPr="00B0576E">
        <w:t xml:space="preserve">% in the </w:t>
      </w:r>
      <w:proofErr w:type="spellStart"/>
      <w:r w:rsidR="00C961A6" w:rsidRPr="00B0576E">
        <w:t>panitumumab</w:t>
      </w:r>
      <w:proofErr w:type="spellEnd"/>
      <w:r w:rsidR="00131AC7" w:rsidRPr="00B0576E">
        <w:t xml:space="preserve"> </w:t>
      </w:r>
      <w:r w:rsidR="00C961A6" w:rsidRPr="00B0576E">
        <w:t>+</w:t>
      </w:r>
      <w:r w:rsidR="00131AC7" w:rsidRPr="00B0576E">
        <w:t xml:space="preserve"> </w:t>
      </w:r>
      <w:r w:rsidR="00C961A6" w:rsidRPr="00B0576E">
        <w:t>FOLFOX arm).</w:t>
      </w:r>
    </w:p>
    <w:p w:rsidR="00C961A6" w:rsidRPr="00B0576E" w:rsidRDefault="00C961A6" w:rsidP="00B43E2B">
      <w:pPr>
        <w:pStyle w:val="TableFooter"/>
        <w:ind w:left="720"/>
      </w:pPr>
      <w:r w:rsidRPr="00B0576E">
        <w:rPr>
          <w:sz w:val="20"/>
          <w:vertAlign w:val="superscript"/>
          <w:lang w:val="en-US"/>
        </w:rPr>
        <w:t>C</w:t>
      </w:r>
      <w:r w:rsidRPr="00B0576E">
        <w:t xml:space="preserve"> Although </w:t>
      </w:r>
      <w:r w:rsidR="001A7755">
        <w:rPr>
          <w:noProof/>
          <w:color w:val="000000"/>
          <w:highlight w:val="black"/>
        </w:rPr>
        <w:t>'''''''</w:t>
      </w:r>
      <w:r w:rsidRPr="00AD7DEC">
        <w:t>%</w:t>
      </w:r>
      <w:r w:rsidRPr="00B0576E">
        <w:t xml:space="preserve"> of patients in the </w:t>
      </w:r>
      <w:proofErr w:type="spellStart"/>
      <w:r w:rsidRPr="00B0576E">
        <w:t>bevacizumab</w:t>
      </w:r>
      <w:proofErr w:type="spellEnd"/>
      <w:r w:rsidRPr="00B0576E">
        <w:t xml:space="preserve"> </w:t>
      </w:r>
      <w:r w:rsidR="00131AC7" w:rsidRPr="00B0576E">
        <w:t xml:space="preserve">+ FOLFOX </w:t>
      </w:r>
      <w:r w:rsidRPr="00B0576E">
        <w:t>arm (</w:t>
      </w:r>
      <w:r w:rsidRPr="00B0576E">
        <w:rPr>
          <w:i/>
        </w:rPr>
        <w:t>RAS</w:t>
      </w:r>
      <w:r w:rsidRPr="00B0576E">
        <w:t xml:space="preserve"> WT subgroup) received </w:t>
      </w:r>
      <w:proofErr w:type="spellStart"/>
      <w:r w:rsidRPr="00B0576E">
        <w:t>panitumumab</w:t>
      </w:r>
      <w:proofErr w:type="spellEnd"/>
      <w:r w:rsidRPr="00B0576E">
        <w:t xml:space="preserve"> or </w:t>
      </w:r>
      <w:proofErr w:type="spellStart"/>
      <w:r w:rsidRPr="00B0576E">
        <w:t>cetuximab</w:t>
      </w:r>
      <w:proofErr w:type="spellEnd"/>
      <w:r w:rsidRPr="00B0576E">
        <w:t xml:space="preserve"> as post-progression therapy, this option reflects the current PBS listings of these medicines. However </w:t>
      </w:r>
      <w:r w:rsidR="001A7755">
        <w:rPr>
          <w:noProof/>
          <w:color w:val="000000"/>
          <w:highlight w:val="black"/>
        </w:rPr>
        <w:t>''''''</w:t>
      </w:r>
      <w:r w:rsidRPr="00AD7DEC">
        <w:t>%</w:t>
      </w:r>
      <w:r w:rsidRPr="00B0576E">
        <w:t xml:space="preserve"> of patients in the </w:t>
      </w:r>
      <w:proofErr w:type="spellStart"/>
      <w:r w:rsidRPr="00B0576E">
        <w:t>panitumumab</w:t>
      </w:r>
      <w:proofErr w:type="spellEnd"/>
      <w:r w:rsidR="00131AC7" w:rsidRPr="00B0576E">
        <w:t xml:space="preserve"> </w:t>
      </w:r>
      <w:r w:rsidRPr="00B0576E">
        <w:t>+</w:t>
      </w:r>
      <w:r w:rsidR="00131AC7" w:rsidRPr="00B0576E">
        <w:t xml:space="preserve"> </w:t>
      </w:r>
      <w:r w:rsidRPr="00B0576E">
        <w:t xml:space="preserve">FOLFOX arm received </w:t>
      </w:r>
      <w:proofErr w:type="spellStart"/>
      <w:r w:rsidRPr="00B0576E">
        <w:t>bevacizumab</w:t>
      </w:r>
      <w:proofErr w:type="spellEnd"/>
      <w:r w:rsidRPr="00B0576E">
        <w:t xml:space="preserve"> as post-progression therapy, which does not reflect current PBS listing of this medicine, and biases the OS results in favour of first-line </w:t>
      </w:r>
      <w:proofErr w:type="spellStart"/>
      <w:r w:rsidRPr="00B0576E">
        <w:t>panitumumab</w:t>
      </w:r>
      <w:proofErr w:type="spellEnd"/>
      <w:r w:rsidRPr="00B0576E">
        <w:t xml:space="preserve"> compared to the Australian setting.</w:t>
      </w:r>
    </w:p>
    <w:p w:rsidR="008C14B9" w:rsidRPr="00993AB6" w:rsidRDefault="008C14B9" w:rsidP="00B43E2B">
      <w:pPr>
        <w:pStyle w:val="TableFooter"/>
        <w:ind w:left="720"/>
      </w:pPr>
      <w:r w:rsidRPr="00993AB6">
        <w:rPr>
          <w:i/>
        </w:rPr>
        <w:t>KRAS</w:t>
      </w:r>
      <w:r w:rsidRPr="00993AB6">
        <w:t xml:space="preserve"> WT Exon 2=No mutation in </w:t>
      </w:r>
      <w:r w:rsidRPr="00993AB6">
        <w:rPr>
          <w:i/>
        </w:rPr>
        <w:t>KRAS</w:t>
      </w:r>
      <w:r w:rsidRPr="00993AB6">
        <w:t xml:space="preserve"> exon 2; </w:t>
      </w:r>
      <w:proofErr w:type="spellStart"/>
      <w:r w:rsidR="00AB5B5A" w:rsidRPr="00993AB6">
        <w:t>mCRC</w:t>
      </w:r>
      <w:proofErr w:type="spellEnd"/>
      <w:r w:rsidR="00AB5B5A" w:rsidRPr="00993AB6">
        <w:t xml:space="preserve">=Metastatic colorectal cancer; </w:t>
      </w:r>
      <w:proofErr w:type="spellStart"/>
      <w:r w:rsidR="00AE6CA5">
        <w:t>Pmab</w:t>
      </w:r>
      <w:proofErr w:type="spellEnd"/>
      <w:r w:rsidR="00AE6CA5">
        <w:t>=</w:t>
      </w:r>
      <w:proofErr w:type="spellStart"/>
      <w:r w:rsidR="00AE6CA5">
        <w:t>p</w:t>
      </w:r>
      <w:r w:rsidRPr="00993AB6">
        <w:t>anitumumab</w:t>
      </w:r>
      <w:proofErr w:type="spellEnd"/>
      <w:r w:rsidRPr="00993AB6">
        <w:t>; Bev=</w:t>
      </w:r>
      <w:proofErr w:type="spellStart"/>
      <w:r w:rsidRPr="00993AB6">
        <w:t>Bevacizumab</w:t>
      </w:r>
      <w:proofErr w:type="spellEnd"/>
      <w:r w:rsidRPr="00993AB6">
        <w:t>; OL=open label; OS=overall survival; PFS=progress</w:t>
      </w:r>
      <w:r w:rsidR="004D18CB" w:rsidRPr="00993AB6">
        <w:t>ion-free survival; R=randomised; NR=Not reported.</w:t>
      </w:r>
    </w:p>
    <w:p w:rsidR="008C14B9" w:rsidRPr="00993AB6" w:rsidRDefault="00310643" w:rsidP="00B43E2B">
      <w:pPr>
        <w:pStyle w:val="TableFooter"/>
        <w:ind w:left="720"/>
      </w:pPr>
      <w:r w:rsidRPr="00993AB6">
        <w:t xml:space="preserve">Source: </w:t>
      </w:r>
      <w:r w:rsidR="00102F37" w:rsidRPr="00993AB6">
        <w:t>c</w:t>
      </w:r>
      <w:r w:rsidR="008C14B9" w:rsidRPr="00993AB6">
        <w:t>ompiled during the evaluation</w:t>
      </w:r>
      <w:r w:rsidRPr="00993AB6">
        <w:t xml:space="preserve"> from the main body of the </w:t>
      </w:r>
      <w:r w:rsidR="00AF0640" w:rsidRPr="00993AB6">
        <w:t>re-</w:t>
      </w:r>
      <w:r w:rsidRPr="00993AB6">
        <w:t>submission and the PEAK and PRIME clinical study reports.</w:t>
      </w:r>
    </w:p>
    <w:p w:rsidR="001C6E66" w:rsidRPr="00993AB6" w:rsidRDefault="001C6E66" w:rsidP="00E55424"/>
    <w:p w:rsidR="00AE6EE8" w:rsidRPr="001A53B7" w:rsidRDefault="00AE6EE8" w:rsidP="001A53B7">
      <w:pPr>
        <w:pStyle w:val="ListParagraph"/>
        <w:widowControl/>
        <w:numPr>
          <w:ilvl w:val="1"/>
          <w:numId w:val="18"/>
        </w:numPr>
        <w:rPr>
          <w:szCs w:val="22"/>
        </w:rPr>
      </w:pPr>
      <w:r w:rsidRPr="00993AB6">
        <w:t xml:space="preserve">The two trials are not exchangeable. </w:t>
      </w:r>
      <w:r w:rsidR="00287193" w:rsidRPr="00993AB6">
        <w:t xml:space="preserve"> </w:t>
      </w:r>
      <w:r w:rsidRPr="00993AB6">
        <w:t>For example, pa</w:t>
      </w:r>
      <w:r w:rsidR="00250756" w:rsidRPr="00993AB6">
        <w:t>r</w:t>
      </w:r>
      <w:r w:rsidRPr="00993AB6">
        <w:t>ti</w:t>
      </w:r>
      <w:r w:rsidR="00250756" w:rsidRPr="00993AB6">
        <w:t>cipa</w:t>
      </w:r>
      <w:r w:rsidRPr="00993AB6">
        <w:t>nts eligible to be enrolled in PRIME, but not PEAK, had a worse prognosis</w:t>
      </w:r>
      <w:r w:rsidR="00362CE5" w:rsidRPr="00993AB6">
        <w:t xml:space="preserve"> because they</w:t>
      </w:r>
      <w:r w:rsidRPr="00993AB6">
        <w:t xml:space="preserve"> </w:t>
      </w:r>
      <w:r w:rsidR="00362CE5" w:rsidRPr="00993AB6">
        <w:t>could have</w:t>
      </w:r>
      <w:r w:rsidRPr="00993AB6">
        <w:t xml:space="preserve"> an </w:t>
      </w:r>
      <w:r w:rsidR="00250756" w:rsidRPr="00993AB6">
        <w:t>Eastern Cooperative Oncology Group (ECOG)</w:t>
      </w:r>
      <w:r w:rsidRPr="00993AB6">
        <w:t xml:space="preserve"> performance status of 2 and </w:t>
      </w:r>
      <w:r w:rsidR="00362CE5" w:rsidRPr="00993AB6">
        <w:t>be at increased</w:t>
      </w:r>
      <w:r w:rsidRPr="00993AB6">
        <w:t xml:space="preserve"> risk of bleeding with </w:t>
      </w:r>
      <w:proofErr w:type="spellStart"/>
      <w:r w:rsidRPr="00993AB6">
        <w:t>bevacizumab</w:t>
      </w:r>
      <w:proofErr w:type="spellEnd"/>
      <w:r w:rsidRPr="00993AB6">
        <w:t xml:space="preserve">. </w:t>
      </w:r>
      <w:r w:rsidR="00287193" w:rsidRPr="00993AB6">
        <w:t xml:space="preserve"> </w:t>
      </w:r>
      <w:r w:rsidRPr="00993AB6">
        <w:t xml:space="preserve">However, </w:t>
      </w:r>
      <w:proofErr w:type="spellStart"/>
      <w:r w:rsidRPr="00993AB6">
        <w:t>panitumumab</w:t>
      </w:r>
      <w:proofErr w:type="spellEnd"/>
      <w:r w:rsidRPr="00993AB6">
        <w:t xml:space="preserve"> and FOLFOX should have a more favourable comparison against FOLFOX alone (PRIME) than against </w:t>
      </w:r>
      <w:proofErr w:type="spellStart"/>
      <w:r w:rsidRPr="00993AB6">
        <w:t>bevacizumab</w:t>
      </w:r>
      <w:proofErr w:type="spellEnd"/>
      <w:r w:rsidRPr="00993AB6">
        <w:t xml:space="preserve"> and FOLFOX </w:t>
      </w:r>
      <w:r w:rsidR="00250756" w:rsidRPr="00993AB6">
        <w:t xml:space="preserve">(PEAK), </w:t>
      </w:r>
      <w:r w:rsidRPr="00993AB6">
        <w:t>because addin</w:t>
      </w:r>
      <w:r w:rsidR="00250756" w:rsidRPr="00993AB6">
        <w:t>g</w:t>
      </w:r>
      <w:r w:rsidRPr="00993AB6">
        <w:t xml:space="preserve"> </w:t>
      </w:r>
      <w:proofErr w:type="spellStart"/>
      <w:r w:rsidRPr="00993AB6">
        <w:t>bevacizumab</w:t>
      </w:r>
      <w:proofErr w:type="spellEnd"/>
      <w:r w:rsidRPr="00993AB6">
        <w:t xml:space="preserve"> should be expected to improve health outcomes</w:t>
      </w:r>
      <w:r w:rsidR="00250756" w:rsidRPr="00993AB6">
        <w:t xml:space="preserve"> over FOLFOX alone</w:t>
      </w:r>
      <w:r w:rsidRPr="00993AB6">
        <w:t>.</w:t>
      </w:r>
    </w:p>
    <w:p w:rsidR="00213EC8" w:rsidRPr="00993AB6" w:rsidRDefault="00213EC8" w:rsidP="00213EC8">
      <w:bookmarkStart w:id="24" w:name="_Toc380679755"/>
      <w:bookmarkStart w:id="25" w:name="_Toc380742612"/>
      <w:bookmarkStart w:id="26" w:name="_Toc380746179"/>
      <w:bookmarkStart w:id="27" w:name="_Toc380746305"/>
      <w:bookmarkStart w:id="28" w:name="_Toc380746586"/>
      <w:bookmarkStart w:id="29" w:name="_Toc388361906"/>
    </w:p>
    <w:p w:rsidR="00213EC8" w:rsidRPr="00993AB6" w:rsidRDefault="00213EC8" w:rsidP="00213EC8">
      <w:pPr>
        <w:ind w:left="709"/>
        <w:rPr>
          <w:i/>
          <w:szCs w:val="22"/>
        </w:rPr>
      </w:pPr>
      <w:r w:rsidRPr="00993AB6">
        <w:rPr>
          <w:i/>
          <w:szCs w:val="22"/>
        </w:rPr>
        <w:t>For more detail on PBAC’s view, see section 7 “PBAC outcome”</w:t>
      </w:r>
    </w:p>
    <w:p w:rsidR="00F12954" w:rsidRPr="006068F2" w:rsidRDefault="00F12954" w:rsidP="00E55424">
      <w:pPr>
        <w:pStyle w:val="Heading2"/>
        <w:rPr>
          <w:b w:val="0"/>
          <w:i/>
          <w:highlight w:val="lightGray"/>
        </w:rPr>
      </w:pPr>
    </w:p>
    <w:p w:rsidR="00E55424" w:rsidRPr="00993AB6" w:rsidRDefault="00E55424" w:rsidP="00E55424">
      <w:pPr>
        <w:pStyle w:val="Heading2"/>
        <w:rPr>
          <w:i/>
        </w:rPr>
      </w:pPr>
      <w:r w:rsidRPr="00993AB6">
        <w:rPr>
          <w:i/>
        </w:rPr>
        <w:t xml:space="preserve">Comparative </w:t>
      </w:r>
      <w:r w:rsidR="005B2EED" w:rsidRPr="00993AB6">
        <w:rPr>
          <w:i/>
        </w:rPr>
        <w:t>effectiveness</w:t>
      </w:r>
      <w:bookmarkEnd w:id="24"/>
      <w:bookmarkEnd w:id="25"/>
      <w:bookmarkEnd w:id="26"/>
      <w:bookmarkEnd w:id="27"/>
      <w:bookmarkEnd w:id="28"/>
      <w:bookmarkEnd w:id="29"/>
    </w:p>
    <w:p w:rsidR="00485D6C" w:rsidRPr="00993AB6" w:rsidRDefault="00485D6C" w:rsidP="008266C4"/>
    <w:p w:rsidR="0088325D" w:rsidRPr="00993AB6" w:rsidRDefault="005B2EED" w:rsidP="00B43E2B">
      <w:pPr>
        <w:ind w:firstLine="720"/>
        <w:rPr>
          <w:u w:val="single"/>
        </w:rPr>
      </w:pPr>
      <w:r w:rsidRPr="00993AB6">
        <w:rPr>
          <w:u w:val="single"/>
        </w:rPr>
        <w:t xml:space="preserve">First-line </w:t>
      </w:r>
      <w:proofErr w:type="spellStart"/>
      <w:r w:rsidRPr="00993AB6">
        <w:rPr>
          <w:u w:val="single"/>
        </w:rPr>
        <w:t>panitumumab</w:t>
      </w:r>
      <w:proofErr w:type="spellEnd"/>
      <w:r w:rsidRPr="00993AB6">
        <w:rPr>
          <w:u w:val="single"/>
        </w:rPr>
        <w:t xml:space="preserve"> treatment trials</w:t>
      </w:r>
    </w:p>
    <w:p w:rsidR="0088325D" w:rsidRPr="00993AB6" w:rsidRDefault="0088325D" w:rsidP="001F7361"/>
    <w:p w:rsidR="001F7361" w:rsidRPr="00993AB6" w:rsidRDefault="00843C0C" w:rsidP="00B43E2B">
      <w:pPr>
        <w:ind w:firstLine="720"/>
        <w:rPr>
          <w:rStyle w:val="CommentReference"/>
        </w:rPr>
      </w:pPr>
      <w:r w:rsidRPr="00993AB6">
        <w:rPr>
          <w:rStyle w:val="CommentReference"/>
        </w:rPr>
        <w:t>P</w:t>
      </w:r>
      <w:r w:rsidR="003567D9" w:rsidRPr="00993AB6">
        <w:rPr>
          <w:rStyle w:val="CommentReference"/>
        </w:rPr>
        <w:t>rogression-</w:t>
      </w:r>
      <w:r w:rsidR="00F4565C" w:rsidRPr="00993AB6">
        <w:rPr>
          <w:rStyle w:val="CommentReference"/>
        </w:rPr>
        <w:t>free survival</w:t>
      </w:r>
      <w:r w:rsidR="00F24848" w:rsidRPr="00993AB6">
        <w:rPr>
          <w:rStyle w:val="CommentReference"/>
        </w:rPr>
        <w:t xml:space="preserve"> (PFS)</w:t>
      </w:r>
      <w:r w:rsidR="002D7822" w:rsidRPr="00993AB6">
        <w:rPr>
          <w:rStyle w:val="CommentReference"/>
        </w:rPr>
        <w:t xml:space="preserve">, by </w:t>
      </w:r>
      <w:r w:rsidR="002D7822" w:rsidRPr="00993AB6">
        <w:rPr>
          <w:rStyle w:val="CommentReference"/>
          <w:i/>
        </w:rPr>
        <w:t>RAS</w:t>
      </w:r>
      <w:r w:rsidR="002D7822" w:rsidRPr="00993AB6">
        <w:rPr>
          <w:rStyle w:val="CommentReference"/>
        </w:rPr>
        <w:t xml:space="preserve"> subgroup</w:t>
      </w:r>
      <w:r w:rsidR="0048408D" w:rsidRPr="00993AB6">
        <w:rPr>
          <w:rStyle w:val="CommentReference"/>
        </w:rPr>
        <w:t>, across the direct</w:t>
      </w:r>
      <w:r w:rsidR="005B2EED" w:rsidRPr="00993AB6">
        <w:rPr>
          <w:rStyle w:val="CommentReference"/>
        </w:rPr>
        <w:t xml:space="preserve"> randomised trials</w:t>
      </w:r>
    </w:p>
    <w:tbl>
      <w:tblPr>
        <w:tblStyle w:val="TableGrid"/>
        <w:tblW w:w="4524" w:type="pct"/>
        <w:tblInd w:w="817" w:type="dxa"/>
        <w:tblLook w:val="04A0" w:firstRow="1" w:lastRow="0" w:firstColumn="1" w:lastColumn="0" w:noHBand="0" w:noVBand="1"/>
        <w:tblDescription w:val="Progression-free survival (PFS), by RAS subgroup, across the direct randomised trials"/>
      </w:tblPr>
      <w:tblGrid>
        <w:gridCol w:w="1204"/>
        <w:gridCol w:w="1204"/>
        <w:gridCol w:w="1204"/>
        <w:gridCol w:w="1203"/>
        <w:gridCol w:w="1203"/>
        <w:gridCol w:w="1203"/>
        <w:gridCol w:w="1142"/>
      </w:tblGrid>
      <w:tr w:rsidR="00485D6C" w:rsidRPr="00B43E2B" w:rsidTr="00B43E2B">
        <w:tc>
          <w:tcPr>
            <w:tcW w:w="720" w:type="pct"/>
            <w:tcBorders>
              <w:right w:val="single" w:sz="4" w:space="0" w:color="auto"/>
            </w:tcBorders>
            <w:vAlign w:val="center"/>
          </w:tcPr>
          <w:p w:rsidR="00485D6C" w:rsidRPr="00B43E2B" w:rsidRDefault="005B2EED" w:rsidP="005B2EED">
            <w:pPr>
              <w:pStyle w:val="ListParagraph"/>
              <w:keepNext/>
              <w:ind w:left="0"/>
              <w:contextualSpacing w:val="0"/>
              <w:rPr>
                <w:rFonts w:ascii="Arial Narrow" w:hAnsi="Arial Narrow"/>
                <w:b/>
                <w:sz w:val="20"/>
              </w:rPr>
            </w:pPr>
            <w:r w:rsidRPr="00B43E2B">
              <w:rPr>
                <w:rFonts w:ascii="Arial Narrow" w:hAnsi="Arial Narrow"/>
                <w:b/>
                <w:sz w:val="20"/>
              </w:rPr>
              <w:lastRenderedPageBreak/>
              <w:t>Trial</w:t>
            </w:r>
          </w:p>
        </w:tc>
        <w:tc>
          <w:tcPr>
            <w:tcW w:w="1440" w:type="pct"/>
            <w:gridSpan w:val="2"/>
            <w:tcBorders>
              <w:left w:val="single" w:sz="4" w:space="0" w:color="auto"/>
              <w:right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i/>
                <w:sz w:val="20"/>
              </w:rPr>
              <w:t>KRAS</w:t>
            </w:r>
            <w:r w:rsidRPr="00B43E2B">
              <w:rPr>
                <w:rFonts w:ascii="Arial Narrow" w:hAnsi="Arial Narrow"/>
                <w:b/>
                <w:sz w:val="20"/>
              </w:rPr>
              <w:t xml:space="preserve"> Exon 2 WT population</w:t>
            </w:r>
            <w:r w:rsidR="005B2EED" w:rsidRPr="00B43E2B">
              <w:rPr>
                <w:rFonts w:ascii="Arial Narrow" w:hAnsi="Arial Narrow"/>
                <w:b/>
                <w:sz w:val="20"/>
                <w:lang w:val="en-US"/>
              </w:rPr>
              <w:t xml:space="preserve"> </w:t>
            </w:r>
            <w:r w:rsidR="005B2EED" w:rsidRPr="00B43E2B">
              <w:rPr>
                <w:rFonts w:ascii="Arial Narrow" w:hAnsi="Arial Narrow"/>
                <w:b/>
                <w:sz w:val="20"/>
                <w:vertAlign w:val="superscript"/>
              </w:rPr>
              <w:t>A</w:t>
            </w:r>
          </w:p>
        </w:tc>
        <w:tc>
          <w:tcPr>
            <w:tcW w:w="1438" w:type="pct"/>
            <w:gridSpan w:val="2"/>
            <w:tcBorders>
              <w:left w:val="single" w:sz="4" w:space="0" w:color="auto"/>
              <w:right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i/>
                <w:sz w:val="20"/>
              </w:rPr>
              <w:t>RAS</w:t>
            </w:r>
            <w:r w:rsidRPr="00B43E2B">
              <w:rPr>
                <w:rFonts w:ascii="Arial Narrow" w:hAnsi="Arial Narrow"/>
                <w:b/>
                <w:sz w:val="20"/>
              </w:rPr>
              <w:t xml:space="preserve"> WT population (</w:t>
            </w:r>
            <w:r w:rsidRPr="00B43E2B">
              <w:rPr>
                <w:rFonts w:ascii="Arial Narrow" w:hAnsi="Arial Narrow"/>
                <w:b/>
                <w:i/>
                <w:sz w:val="20"/>
              </w:rPr>
              <w:t>KRAS</w:t>
            </w:r>
            <w:r w:rsidRPr="00B43E2B">
              <w:rPr>
                <w:rFonts w:ascii="Arial Narrow" w:hAnsi="Arial Narrow"/>
                <w:b/>
                <w:sz w:val="20"/>
              </w:rPr>
              <w:t xml:space="preserve"> and </w:t>
            </w:r>
            <w:r w:rsidRPr="00B43E2B">
              <w:rPr>
                <w:rFonts w:ascii="Arial Narrow" w:hAnsi="Arial Narrow"/>
                <w:b/>
                <w:i/>
                <w:sz w:val="20"/>
              </w:rPr>
              <w:t>NRAS</w:t>
            </w:r>
            <w:r w:rsidRPr="00B43E2B">
              <w:rPr>
                <w:rFonts w:ascii="Arial Narrow" w:hAnsi="Arial Narrow"/>
                <w:b/>
                <w:sz w:val="20"/>
              </w:rPr>
              <w:t xml:space="preserve"> Exons 2/3/4)</w:t>
            </w:r>
          </w:p>
        </w:tc>
        <w:tc>
          <w:tcPr>
            <w:tcW w:w="1402" w:type="pct"/>
            <w:gridSpan w:val="2"/>
            <w:tcBorders>
              <w:left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i/>
                <w:sz w:val="20"/>
              </w:rPr>
              <w:t>KRAS</w:t>
            </w:r>
            <w:r w:rsidRPr="00B43E2B">
              <w:rPr>
                <w:rFonts w:ascii="Arial Narrow" w:hAnsi="Arial Narrow"/>
                <w:b/>
                <w:sz w:val="20"/>
              </w:rPr>
              <w:t xml:space="preserve"> Exon 2 WT, </w:t>
            </w:r>
            <w:r w:rsidRPr="00B43E2B">
              <w:rPr>
                <w:rFonts w:ascii="Arial Narrow" w:hAnsi="Arial Narrow"/>
                <w:b/>
                <w:i/>
                <w:sz w:val="20"/>
              </w:rPr>
              <w:t>RAS</w:t>
            </w:r>
            <w:r w:rsidRPr="00B43E2B">
              <w:rPr>
                <w:rFonts w:ascii="Arial Narrow" w:hAnsi="Arial Narrow"/>
                <w:b/>
                <w:sz w:val="20"/>
              </w:rPr>
              <w:t xml:space="preserve"> M+ population</w:t>
            </w:r>
          </w:p>
        </w:tc>
      </w:tr>
      <w:tr w:rsidR="00485D6C" w:rsidRPr="00B43E2B" w:rsidTr="00B43E2B">
        <w:tc>
          <w:tcPr>
            <w:tcW w:w="720" w:type="pct"/>
            <w:tcBorders>
              <w:bottom w:val="single" w:sz="4" w:space="0" w:color="auto"/>
              <w:right w:val="single" w:sz="4" w:space="0" w:color="auto"/>
            </w:tcBorders>
            <w:vAlign w:val="center"/>
          </w:tcPr>
          <w:p w:rsidR="00485D6C" w:rsidRPr="00B43E2B" w:rsidRDefault="00485D6C" w:rsidP="00F041E3">
            <w:pPr>
              <w:pStyle w:val="ListParagraph"/>
              <w:keepNext/>
              <w:ind w:left="0"/>
              <w:contextualSpacing w:val="0"/>
              <w:rPr>
                <w:rFonts w:ascii="Arial Narrow" w:hAnsi="Arial Narrow"/>
                <w:b/>
                <w:sz w:val="20"/>
              </w:rPr>
            </w:pPr>
            <w:r w:rsidRPr="00B43E2B">
              <w:rPr>
                <w:rFonts w:ascii="Arial Narrow" w:hAnsi="Arial Narrow"/>
                <w:b/>
                <w:sz w:val="20"/>
                <w:u w:val="single"/>
              </w:rPr>
              <w:t>PRIME</w:t>
            </w:r>
          </w:p>
        </w:tc>
        <w:tc>
          <w:tcPr>
            <w:tcW w:w="720" w:type="pct"/>
            <w:tcBorders>
              <w:left w:val="single" w:sz="4" w:space="0" w:color="auto"/>
              <w:bottom w:val="single" w:sz="4" w:space="0" w:color="auto"/>
              <w:right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20" w:type="pct"/>
            <w:tcBorders>
              <w:left w:val="single" w:sz="4" w:space="0" w:color="auto"/>
              <w:bottom w:val="single" w:sz="4" w:space="0" w:color="auto"/>
              <w:right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sz w:val="20"/>
              </w:rPr>
              <w:t>FOX</w:t>
            </w:r>
          </w:p>
        </w:tc>
        <w:tc>
          <w:tcPr>
            <w:tcW w:w="719" w:type="pct"/>
            <w:tcBorders>
              <w:left w:val="single" w:sz="4" w:space="0" w:color="auto"/>
              <w:bottom w:val="single" w:sz="4" w:space="0" w:color="auto"/>
              <w:right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19" w:type="pct"/>
            <w:tcBorders>
              <w:left w:val="single" w:sz="4" w:space="0" w:color="auto"/>
              <w:bottom w:val="single" w:sz="4" w:space="0" w:color="auto"/>
              <w:right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sz w:val="20"/>
              </w:rPr>
              <w:t>FOX</w:t>
            </w:r>
          </w:p>
        </w:tc>
        <w:tc>
          <w:tcPr>
            <w:tcW w:w="719" w:type="pct"/>
            <w:tcBorders>
              <w:left w:val="single" w:sz="4" w:space="0" w:color="auto"/>
              <w:bottom w:val="single" w:sz="4" w:space="0" w:color="auto"/>
              <w:right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683" w:type="pct"/>
            <w:tcBorders>
              <w:left w:val="single" w:sz="4" w:space="0" w:color="auto"/>
              <w:bottom w:val="single" w:sz="4" w:space="0" w:color="auto"/>
            </w:tcBorders>
            <w:vAlign w:val="center"/>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sz w:val="20"/>
              </w:rPr>
              <w:t>FOX</w:t>
            </w:r>
          </w:p>
        </w:tc>
      </w:tr>
      <w:tr w:rsidR="00485D6C" w:rsidRPr="00B43E2B" w:rsidTr="00B43E2B">
        <w:tc>
          <w:tcPr>
            <w:tcW w:w="720" w:type="pct"/>
            <w:tcBorders>
              <w:bottom w:val="single" w:sz="4" w:space="0" w:color="auto"/>
              <w:right w:val="single" w:sz="4" w:space="0" w:color="auto"/>
            </w:tcBorders>
          </w:tcPr>
          <w:p w:rsidR="00485D6C" w:rsidRPr="00B43E2B" w:rsidRDefault="00485D6C"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N</w:t>
            </w:r>
            <w:r w:rsidRPr="00B43E2B">
              <w:rPr>
                <w:rFonts w:ascii="Arial Narrow" w:hAnsi="Arial Narrow"/>
                <w:sz w:val="20"/>
              </w:rPr>
              <w:br/>
              <w:t>Median PFS, months</w:t>
            </w:r>
            <w:r w:rsidR="00E577FF" w:rsidRPr="00B43E2B">
              <w:rPr>
                <w:rFonts w:ascii="Arial Narrow" w:hAnsi="Arial Narrow"/>
                <w:sz w:val="20"/>
                <w:vertAlign w:val="superscript"/>
              </w:rPr>
              <w:t>∞</w:t>
            </w:r>
          </w:p>
          <w:p w:rsidR="00E577FF" w:rsidRPr="00B43E2B" w:rsidRDefault="00E577FF"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(95% CI)</w:t>
            </w:r>
          </w:p>
        </w:tc>
        <w:tc>
          <w:tcPr>
            <w:tcW w:w="720" w:type="pct"/>
            <w:tcBorders>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325</w:t>
            </w:r>
            <w:r w:rsidRPr="00B43E2B">
              <w:rPr>
                <w:rFonts w:ascii="Arial Narrow" w:hAnsi="Arial Narrow"/>
                <w:sz w:val="20"/>
              </w:rPr>
              <w:br/>
            </w:r>
            <w:r w:rsidR="00C95226" w:rsidRPr="00B43E2B">
              <w:rPr>
                <w:rFonts w:ascii="Arial Narrow" w:hAnsi="Arial Narrow"/>
                <w:sz w:val="20"/>
              </w:rPr>
              <w:t>10.0</w:t>
            </w:r>
          </w:p>
          <w:p w:rsidR="00E577FF" w:rsidRPr="00B43E2B" w:rsidRDefault="00C95226" w:rsidP="00F041E3">
            <w:pPr>
              <w:pStyle w:val="ListParagraph"/>
              <w:keepNext/>
              <w:ind w:left="0"/>
              <w:contextualSpacing w:val="0"/>
              <w:jc w:val="center"/>
              <w:rPr>
                <w:rFonts w:ascii="Arial Narrow" w:hAnsi="Arial Narrow"/>
                <w:sz w:val="20"/>
              </w:rPr>
            </w:pPr>
            <w:r w:rsidRPr="00B43E2B">
              <w:rPr>
                <w:rFonts w:ascii="Arial Narrow" w:hAnsi="Arial Narrow"/>
                <w:sz w:val="20"/>
              </w:rPr>
              <w:t>(9.3, 11.4)</w:t>
            </w:r>
          </w:p>
        </w:tc>
        <w:tc>
          <w:tcPr>
            <w:tcW w:w="720" w:type="pct"/>
            <w:tcBorders>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331</w:t>
            </w:r>
            <w:r w:rsidRPr="00B43E2B">
              <w:rPr>
                <w:rFonts w:ascii="Arial Narrow" w:hAnsi="Arial Narrow"/>
                <w:sz w:val="20"/>
              </w:rPr>
              <w:br/>
            </w:r>
            <w:r w:rsidR="00C95226" w:rsidRPr="00B43E2B">
              <w:rPr>
                <w:rFonts w:ascii="Arial Narrow" w:hAnsi="Arial Narrow"/>
                <w:sz w:val="20"/>
              </w:rPr>
              <w:t>8.6</w:t>
            </w:r>
          </w:p>
          <w:p w:rsidR="00E577FF" w:rsidRPr="00B43E2B" w:rsidRDefault="00C95226" w:rsidP="00F041E3">
            <w:pPr>
              <w:pStyle w:val="ListParagraph"/>
              <w:keepNext/>
              <w:ind w:left="0"/>
              <w:contextualSpacing w:val="0"/>
              <w:jc w:val="center"/>
              <w:rPr>
                <w:rFonts w:ascii="Arial Narrow" w:hAnsi="Arial Narrow"/>
                <w:sz w:val="20"/>
              </w:rPr>
            </w:pPr>
            <w:r w:rsidRPr="00B43E2B">
              <w:rPr>
                <w:rFonts w:ascii="Arial Narrow" w:hAnsi="Arial Narrow"/>
                <w:sz w:val="20"/>
              </w:rPr>
              <w:t>(7.5, 9.5</w:t>
            </w:r>
            <w:r w:rsidR="00E577FF" w:rsidRPr="00B43E2B">
              <w:rPr>
                <w:rFonts w:ascii="Arial Narrow" w:hAnsi="Arial Narrow"/>
                <w:sz w:val="20"/>
              </w:rPr>
              <w:t>)</w:t>
            </w:r>
          </w:p>
        </w:tc>
        <w:tc>
          <w:tcPr>
            <w:tcW w:w="719" w:type="pct"/>
            <w:tcBorders>
              <w:left w:val="single" w:sz="4" w:space="0" w:color="auto"/>
              <w:bottom w:val="single" w:sz="4" w:space="0" w:color="auto"/>
              <w:right w:val="single" w:sz="4" w:space="0" w:color="auto"/>
            </w:tcBorders>
          </w:tcPr>
          <w:p w:rsidR="00485D6C" w:rsidRPr="00B43E2B" w:rsidRDefault="00B95D7F" w:rsidP="00F041E3">
            <w:pPr>
              <w:pStyle w:val="ListParagraph"/>
              <w:keepNext/>
              <w:ind w:left="0"/>
              <w:contextualSpacing w:val="0"/>
              <w:jc w:val="center"/>
              <w:rPr>
                <w:rFonts w:ascii="Arial Narrow" w:hAnsi="Arial Narrow"/>
                <w:sz w:val="20"/>
              </w:rPr>
            </w:pPr>
            <w:r w:rsidRPr="00B43E2B">
              <w:rPr>
                <w:rFonts w:ascii="Arial Narrow" w:hAnsi="Arial Narrow"/>
                <w:sz w:val="20"/>
              </w:rPr>
              <w:t>259</w:t>
            </w:r>
            <w:r w:rsidRPr="00B43E2B">
              <w:rPr>
                <w:rFonts w:ascii="Arial Narrow" w:hAnsi="Arial Narrow"/>
                <w:sz w:val="20"/>
              </w:rPr>
              <w:br/>
              <w:t>10.8</w:t>
            </w:r>
          </w:p>
          <w:p w:rsidR="00E577FF" w:rsidRPr="00B43E2B" w:rsidRDefault="00B95D7F" w:rsidP="00B95D7F">
            <w:pPr>
              <w:pStyle w:val="ListParagraph"/>
              <w:keepNext/>
              <w:ind w:left="0"/>
              <w:contextualSpacing w:val="0"/>
              <w:jc w:val="center"/>
              <w:rPr>
                <w:rFonts w:ascii="Arial Narrow" w:hAnsi="Arial Narrow"/>
                <w:sz w:val="20"/>
              </w:rPr>
            </w:pPr>
            <w:r w:rsidRPr="00B43E2B">
              <w:rPr>
                <w:rFonts w:ascii="Arial Narrow" w:hAnsi="Arial Narrow"/>
                <w:sz w:val="20"/>
              </w:rPr>
              <w:t>(9.4</w:t>
            </w:r>
            <w:r w:rsidR="00E577FF" w:rsidRPr="00B43E2B">
              <w:rPr>
                <w:rFonts w:ascii="Arial Narrow" w:hAnsi="Arial Narrow"/>
                <w:sz w:val="20"/>
              </w:rPr>
              <w:t>, 12.</w:t>
            </w:r>
            <w:r w:rsidRPr="00B43E2B">
              <w:rPr>
                <w:rFonts w:ascii="Arial Narrow" w:hAnsi="Arial Narrow"/>
                <w:sz w:val="20"/>
              </w:rPr>
              <w:t>9</w:t>
            </w:r>
            <w:r w:rsidR="00E577FF" w:rsidRPr="00B43E2B">
              <w:rPr>
                <w:rFonts w:ascii="Arial Narrow" w:hAnsi="Arial Narrow"/>
                <w:sz w:val="20"/>
              </w:rPr>
              <w:t>)</w:t>
            </w:r>
          </w:p>
        </w:tc>
        <w:tc>
          <w:tcPr>
            <w:tcW w:w="719" w:type="pct"/>
            <w:tcBorders>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253</w:t>
            </w:r>
            <w:r w:rsidRPr="00B43E2B">
              <w:rPr>
                <w:rFonts w:ascii="Arial Narrow" w:hAnsi="Arial Narrow"/>
                <w:sz w:val="20"/>
              </w:rPr>
              <w:br/>
            </w:r>
            <w:r w:rsidR="00B95D7F" w:rsidRPr="00B43E2B">
              <w:rPr>
                <w:rFonts w:ascii="Arial Narrow" w:hAnsi="Arial Narrow"/>
                <w:sz w:val="20"/>
              </w:rPr>
              <w:t>8.6</w:t>
            </w:r>
          </w:p>
          <w:p w:rsidR="00E577FF" w:rsidRPr="00B43E2B" w:rsidRDefault="00B95D7F" w:rsidP="00B95D7F">
            <w:pPr>
              <w:pStyle w:val="ListParagraph"/>
              <w:keepNext/>
              <w:ind w:left="0"/>
              <w:contextualSpacing w:val="0"/>
              <w:jc w:val="center"/>
              <w:rPr>
                <w:rFonts w:ascii="Arial Narrow" w:hAnsi="Arial Narrow"/>
                <w:sz w:val="20"/>
              </w:rPr>
            </w:pPr>
            <w:r w:rsidRPr="00B43E2B">
              <w:rPr>
                <w:rFonts w:ascii="Arial Narrow" w:hAnsi="Arial Narrow"/>
                <w:sz w:val="20"/>
              </w:rPr>
              <w:t>(7.3</w:t>
            </w:r>
            <w:r w:rsidR="00E577FF" w:rsidRPr="00B43E2B">
              <w:rPr>
                <w:rFonts w:ascii="Arial Narrow" w:hAnsi="Arial Narrow"/>
                <w:sz w:val="20"/>
              </w:rPr>
              <w:t>, 9.</w:t>
            </w:r>
            <w:r w:rsidRPr="00B43E2B">
              <w:rPr>
                <w:rFonts w:ascii="Arial Narrow" w:hAnsi="Arial Narrow"/>
                <w:sz w:val="20"/>
              </w:rPr>
              <w:t>6</w:t>
            </w:r>
            <w:r w:rsidR="00E577FF" w:rsidRPr="00B43E2B">
              <w:rPr>
                <w:rFonts w:ascii="Arial Narrow" w:hAnsi="Arial Narrow"/>
                <w:sz w:val="20"/>
              </w:rPr>
              <w:t>)</w:t>
            </w:r>
          </w:p>
        </w:tc>
        <w:tc>
          <w:tcPr>
            <w:tcW w:w="719" w:type="pct"/>
            <w:tcBorders>
              <w:left w:val="single" w:sz="4" w:space="0" w:color="auto"/>
              <w:bottom w:val="single" w:sz="4" w:space="0" w:color="auto"/>
              <w:right w:val="single" w:sz="4" w:space="0" w:color="auto"/>
            </w:tcBorders>
          </w:tcPr>
          <w:p w:rsidR="00485D6C" w:rsidRPr="00B43E2B" w:rsidRDefault="00485D6C" w:rsidP="00E577FF">
            <w:pPr>
              <w:pStyle w:val="ListParagraph"/>
              <w:keepNext/>
              <w:ind w:left="0"/>
              <w:contextualSpacing w:val="0"/>
              <w:jc w:val="center"/>
              <w:rPr>
                <w:rFonts w:ascii="Arial Narrow" w:hAnsi="Arial Narrow"/>
                <w:sz w:val="20"/>
              </w:rPr>
            </w:pPr>
            <w:r w:rsidRPr="00B43E2B">
              <w:rPr>
                <w:rFonts w:ascii="Arial Narrow" w:hAnsi="Arial Narrow"/>
                <w:sz w:val="20"/>
              </w:rPr>
              <w:t>51</w:t>
            </w:r>
            <w:r w:rsidRPr="00B43E2B">
              <w:rPr>
                <w:rFonts w:ascii="Arial Narrow" w:hAnsi="Arial Narrow"/>
                <w:sz w:val="20"/>
              </w:rPr>
              <w:br/>
              <w:t>7.</w:t>
            </w:r>
            <w:r w:rsidR="00E577FF" w:rsidRPr="00B43E2B">
              <w:rPr>
                <w:rFonts w:ascii="Arial Narrow" w:hAnsi="Arial Narrow"/>
                <w:sz w:val="20"/>
              </w:rPr>
              <w:t>4</w:t>
            </w:r>
          </w:p>
          <w:p w:rsidR="00E577FF" w:rsidRPr="00B43E2B" w:rsidRDefault="00E577FF" w:rsidP="00E577FF">
            <w:pPr>
              <w:pStyle w:val="ListParagraph"/>
              <w:keepNext/>
              <w:ind w:left="0"/>
              <w:contextualSpacing w:val="0"/>
              <w:jc w:val="center"/>
              <w:rPr>
                <w:rFonts w:ascii="Arial Narrow" w:hAnsi="Arial Narrow"/>
                <w:sz w:val="20"/>
              </w:rPr>
            </w:pPr>
            <w:r w:rsidRPr="00B43E2B">
              <w:rPr>
                <w:rFonts w:ascii="Arial Narrow" w:hAnsi="Arial Narrow"/>
                <w:sz w:val="20"/>
              </w:rPr>
              <w:t>(5.5, 9.4)</w:t>
            </w:r>
          </w:p>
        </w:tc>
        <w:tc>
          <w:tcPr>
            <w:tcW w:w="683" w:type="pct"/>
            <w:tcBorders>
              <w:left w:val="single" w:sz="4" w:space="0" w:color="auto"/>
              <w:bottom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57</w:t>
            </w:r>
            <w:r w:rsidRPr="00B43E2B">
              <w:rPr>
                <w:rFonts w:ascii="Arial Narrow" w:hAnsi="Arial Narrow"/>
                <w:sz w:val="20"/>
              </w:rPr>
              <w:br/>
              <w:t>8.</w:t>
            </w:r>
            <w:r w:rsidR="00E577FF" w:rsidRPr="00B43E2B">
              <w:rPr>
                <w:rFonts w:ascii="Arial Narrow" w:hAnsi="Arial Narrow"/>
                <w:sz w:val="20"/>
              </w:rPr>
              <w:t>1</w:t>
            </w:r>
          </w:p>
          <w:p w:rsidR="00E577FF" w:rsidRPr="00B43E2B" w:rsidRDefault="00E577FF" w:rsidP="00F041E3">
            <w:pPr>
              <w:pStyle w:val="ListParagraph"/>
              <w:keepNext/>
              <w:ind w:left="0"/>
              <w:contextualSpacing w:val="0"/>
              <w:jc w:val="center"/>
              <w:rPr>
                <w:rFonts w:ascii="Arial Narrow" w:hAnsi="Arial Narrow"/>
                <w:sz w:val="20"/>
              </w:rPr>
            </w:pPr>
            <w:r w:rsidRPr="00B43E2B">
              <w:rPr>
                <w:rFonts w:ascii="Arial Narrow" w:hAnsi="Arial Narrow"/>
                <w:sz w:val="20"/>
              </w:rPr>
              <w:t>(7.2, 12.6)</w:t>
            </w:r>
          </w:p>
        </w:tc>
      </w:tr>
      <w:tr w:rsidR="00485D6C" w:rsidRPr="00B43E2B" w:rsidTr="00B43E2B">
        <w:tc>
          <w:tcPr>
            <w:tcW w:w="720" w:type="pct"/>
            <w:tcBorders>
              <w:top w:val="single" w:sz="4" w:space="0" w:color="auto"/>
              <w:bottom w:val="single" w:sz="4" w:space="0" w:color="auto"/>
              <w:right w:val="single" w:sz="4" w:space="0" w:color="auto"/>
            </w:tcBorders>
          </w:tcPr>
          <w:p w:rsidR="00485D6C" w:rsidRPr="00B43E2B" w:rsidRDefault="00485D6C" w:rsidP="00F041E3">
            <w:pPr>
              <w:pStyle w:val="ListParagraph"/>
              <w:keepNext/>
              <w:tabs>
                <w:tab w:val="left" w:pos="1168"/>
              </w:tabs>
              <w:ind w:left="0" w:right="-57"/>
              <w:contextualSpacing w:val="0"/>
              <w:rPr>
                <w:rFonts w:ascii="Arial Narrow" w:hAnsi="Arial Narrow"/>
                <w:sz w:val="20"/>
              </w:rPr>
            </w:pPr>
            <w:r w:rsidRPr="00B43E2B">
              <w:rPr>
                <w:rFonts w:ascii="Arial Narrow" w:hAnsi="Arial Narrow"/>
                <w:sz w:val="20"/>
              </w:rPr>
              <w:t>Difference in PFS</w:t>
            </w:r>
          </w:p>
        </w:tc>
        <w:tc>
          <w:tcPr>
            <w:tcW w:w="1440" w:type="pct"/>
            <w:gridSpan w:val="2"/>
            <w:tcBorders>
              <w:top w:val="single" w:sz="4" w:space="0" w:color="auto"/>
              <w:left w:val="single" w:sz="4" w:space="0" w:color="auto"/>
              <w:right w:val="single" w:sz="4" w:space="0" w:color="auto"/>
            </w:tcBorders>
          </w:tcPr>
          <w:p w:rsidR="00485D6C" w:rsidRPr="00B43E2B" w:rsidRDefault="00485D6C" w:rsidP="00B95D7F">
            <w:pPr>
              <w:pStyle w:val="ListParagraph"/>
              <w:keepNext/>
              <w:ind w:left="0"/>
              <w:contextualSpacing w:val="0"/>
              <w:jc w:val="center"/>
              <w:rPr>
                <w:rFonts w:ascii="Arial Narrow" w:hAnsi="Arial Narrow"/>
                <w:sz w:val="20"/>
              </w:rPr>
            </w:pPr>
            <w:r w:rsidRPr="00B43E2B">
              <w:rPr>
                <w:rFonts w:ascii="Arial Narrow" w:hAnsi="Arial Narrow"/>
                <w:sz w:val="20"/>
              </w:rPr>
              <w:t>+1.</w:t>
            </w:r>
            <w:r w:rsidR="00B95D7F" w:rsidRPr="00B43E2B">
              <w:rPr>
                <w:rFonts w:ascii="Arial Narrow" w:hAnsi="Arial Narrow"/>
                <w:sz w:val="20"/>
              </w:rPr>
              <w:t>4</w:t>
            </w:r>
          </w:p>
        </w:tc>
        <w:tc>
          <w:tcPr>
            <w:tcW w:w="1438" w:type="pct"/>
            <w:gridSpan w:val="2"/>
            <w:tcBorders>
              <w:top w:val="single" w:sz="4" w:space="0" w:color="auto"/>
              <w:left w:val="single" w:sz="4" w:space="0" w:color="auto"/>
              <w:right w:val="single" w:sz="4" w:space="0" w:color="auto"/>
            </w:tcBorders>
          </w:tcPr>
          <w:p w:rsidR="00485D6C" w:rsidRPr="00B43E2B" w:rsidRDefault="00B95D7F" w:rsidP="0048408D">
            <w:pPr>
              <w:pStyle w:val="ListParagraph"/>
              <w:keepNext/>
              <w:ind w:left="0"/>
              <w:contextualSpacing w:val="0"/>
              <w:jc w:val="center"/>
              <w:rPr>
                <w:rFonts w:ascii="Arial Narrow" w:hAnsi="Arial Narrow"/>
                <w:sz w:val="20"/>
              </w:rPr>
            </w:pPr>
            <w:r w:rsidRPr="00B43E2B">
              <w:rPr>
                <w:rFonts w:ascii="Arial Narrow" w:hAnsi="Arial Narrow"/>
                <w:sz w:val="20"/>
              </w:rPr>
              <w:t>+2.2</w:t>
            </w:r>
          </w:p>
        </w:tc>
        <w:tc>
          <w:tcPr>
            <w:tcW w:w="1402" w:type="pct"/>
            <w:gridSpan w:val="2"/>
            <w:tcBorders>
              <w:top w:val="single" w:sz="4" w:space="0" w:color="auto"/>
              <w:left w:val="single" w:sz="4" w:space="0" w:color="auto"/>
            </w:tcBorders>
          </w:tcPr>
          <w:p w:rsidR="00485D6C" w:rsidRPr="00B43E2B" w:rsidRDefault="00485D6C" w:rsidP="0048408D">
            <w:pPr>
              <w:pStyle w:val="ListParagraph"/>
              <w:keepNext/>
              <w:ind w:left="0"/>
              <w:contextualSpacing w:val="0"/>
              <w:jc w:val="center"/>
              <w:rPr>
                <w:rFonts w:ascii="Arial Narrow" w:hAnsi="Arial Narrow"/>
                <w:sz w:val="20"/>
              </w:rPr>
            </w:pPr>
            <w:r w:rsidRPr="00B43E2B">
              <w:rPr>
                <w:rFonts w:ascii="Arial Narrow" w:hAnsi="Arial Narrow"/>
                <w:sz w:val="20"/>
              </w:rPr>
              <w:t>-0.7</w:t>
            </w:r>
          </w:p>
        </w:tc>
      </w:tr>
      <w:tr w:rsidR="00485D6C" w:rsidRPr="00B43E2B" w:rsidTr="00B43E2B">
        <w:tc>
          <w:tcPr>
            <w:tcW w:w="720" w:type="pct"/>
            <w:tcBorders>
              <w:top w:val="single" w:sz="4" w:space="0" w:color="auto"/>
              <w:bottom w:val="single" w:sz="4" w:space="0" w:color="auto"/>
              <w:right w:val="single" w:sz="4" w:space="0" w:color="auto"/>
            </w:tcBorders>
          </w:tcPr>
          <w:p w:rsidR="00485D6C" w:rsidRPr="00B43E2B" w:rsidRDefault="00485D6C" w:rsidP="00F041E3">
            <w:pPr>
              <w:pStyle w:val="ListParagraph"/>
              <w:keepNext/>
              <w:tabs>
                <w:tab w:val="left" w:pos="1168"/>
              </w:tabs>
              <w:ind w:left="0" w:right="-57"/>
              <w:contextualSpacing w:val="0"/>
              <w:rPr>
                <w:rFonts w:ascii="Arial Narrow" w:hAnsi="Arial Narrow"/>
                <w:sz w:val="20"/>
              </w:rPr>
            </w:pPr>
            <w:r w:rsidRPr="00B43E2B">
              <w:rPr>
                <w:rFonts w:ascii="Arial Narrow" w:hAnsi="Arial Narrow"/>
                <w:sz w:val="20"/>
              </w:rPr>
              <w:t>HR (95% CI)</w:t>
            </w:r>
          </w:p>
        </w:tc>
        <w:tc>
          <w:tcPr>
            <w:tcW w:w="1440" w:type="pct"/>
            <w:gridSpan w:val="2"/>
            <w:tcBorders>
              <w:left w:val="single" w:sz="4" w:space="0" w:color="auto"/>
              <w:bottom w:val="single" w:sz="4" w:space="0" w:color="auto"/>
              <w:right w:val="single" w:sz="4" w:space="0" w:color="auto"/>
            </w:tcBorders>
          </w:tcPr>
          <w:p w:rsidR="00485D6C" w:rsidRPr="00B43E2B" w:rsidRDefault="00B95D7F" w:rsidP="00B95D7F">
            <w:pPr>
              <w:pStyle w:val="ListParagraph"/>
              <w:keepNext/>
              <w:ind w:left="0"/>
              <w:contextualSpacing w:val="0"/>
              <w:jc w:val="center"/>
              <w:rPr>
                <w:rFonts w:ascii="Arial Narrow" w:hAnsi="Arial Narrow"/>
                <w:sz w:val="20"/>
              </w:rPr>
            </w:pPr>
            <w:r w:rsidRPr="00B43E2B">
              <w:rPr>
                <w:rFonts w:ascii="Arial Narrow" w:hAnsi="Arial Narrow"/>
                <w:sz w:val="20"/>
              </w:rPr>
              <w:t>0.80 (0.67</w:t>
            </w:r>
            <w:r w:rsidR="0048408D" w:rsidRPr="00B43E2B">
              <w:rPr>
                <w:rFonts w:ascii="Arial Narrow" w:hAnsi="Arial Narrow"/>
                <w:sz w:val="20"/>
              </w:rPr>
              <w:t>, 0.9</w:t>
            </w:r>
            <w:r w:rsidRPr="00B43E2B">
              <w:rPr>
                <w:rFonts w:ascii="Arial Narrow" w:hAnsi="Arial Narrow"/>
                <w:sz w:val="20"/>
              </w:rPr>
              <w:t>5</w:t>
            </w:r>
            <w:r w:rsidR="0048408D" w:rsidRPr="00B43E2B">
              <w:rPr>
                <w:rFonts w:ascii="Arial Narrow" w:hAnsi="Arial Narrow"/>
                <w:sz w:val="20"/>
              </w:rPr>
              <w:t>)</w:t>
            </w:r>
          </w:p>
        </w:tc>
        <w:tc>
          <w:tcPr>
            <w:tcW w:w="1438" w:type="pct"/>
            <w:gridSpan w:val="2"/>
            <w:tcBorders>
              <w:left w:val="single" w:sz="4" w:space="0" w:color="auto"/>
              <w:bottom w:val="single" w:sz="4" w:space="0" w:color="auto"/>
              <w:right w:val="single" w:sz="4" w:space="0" w:color="auto"/>
            </w:tcBorders>
          </w:tcPr>
          <w:p w:rsidR="00485D6C" w:rsidRPr="00B43E2B" w:rsidRDefault="0048408D" w:rsidP="00B95D7F">
            <w:pPr>
              <w:pStyle w:val="ListParagraph"/>
              <w:keepNext/>
              <w:ind w:left="0"/>
              <w:contextualSpacing w:val="0"/>
              <w:jc w:val="center"/>
              <w:rPr>
                <w:rFonts w:ascii="Arial Narrow" w:hAnsi="Arial Narrow"/>
                <w:sz w:val="20"/>
              </w:rPr>
            </w:pPr>
            <w:r w:rsidRPr="00B43E2B">
              <w:rPr>
                <w:rFonts w:ascii="Arial Narrow" w:hAnsi="Arial Narrow"/>
                <w:sz w:val="20"/>
              </w:rPr>
              <w:t>0.7</w:t>
            </w:r>
            <w:r w:rsidR="00B95D7F" w:rsidRPr="00B43E2B">
              <w:rPr>
                <w:rFonts w:ascii="Arial Narrow" w:hAnsi="Arial Narrow"/>
                <w:sz w:val="20"/>
              </w:rPr>
              <w:t>3 (0.60</w:t>
            </w:r>
            <w:r w:rsidRPr="00B43E2B">
              <w:rPr>
                <w:rFonts w:ascii="Arial Narrow" w:hAnsi="Arial Narrow"/>
                <w:sz w:val="20"/>
              </w:rPr>
              <w:t>, 0.</w:t>
            </w:r>
            <w:r w:rsidR="00B95D7F" w:rsidRPr="00B43E2B">
              <w:rPr>
                <w:rFonts w:ascii="Arial Narrow" w:hAnsi="Arial Narrow"/>
                <w:sz w:val="20"/>
              </w:rPr>
              <w:t>88</w:t>
            </w:r>
            <w:r w:rsidRPr="00B43E2B">
              <w:rPr>
                <w:rFonts w:ascii="Arial Narrow" w:hAnsi="Arial Narrow"/>
                <w:sz w:val="20"/>
              </w:rPr>
              <w:t>)</w:t>
            </w:r>
          </w:p>
        </w:tc>
        <w:tc>
          <w:tcPr>
            <w:tcW w:w="1402" w:type="pct"/>
            <w:gridSpan w:val="2"/>
            <w:tcBorders>
              <w:left w:val="single" w:sz="4" w:space="0" w:color="auto"/>
              <w:bottom w:val="single" w:sz="4" w:space="0" w:color="auto"/>
            </w:tcBorders>
          </w:tcPr>
          <w:p w:rsidR="00485D6C" w:rsidRPr="00B43E2B" w:rsidRDefault="0048408D" w:rsidP="00B95D7F">
            <w:pPr>
              <w:pStyle w:val="ListParagraph"/>
              <w:keepNext/>
              <w:ind w:left="0"/>
              <w:contextualSpacing w:val="0"/>
              <w:jc w:val="center"/>
              <w:rPr>
                <w:rFonts w:ascii="Arial Narrow" w:hAnsi="Arial Narrow"/>
                <w:sz w:val="20"/>
              </w:rPr>
            </w:pPr>
            <w:r w:rsidRPr="00B43E2B">
              <w:rPr>
                <w:rFonts w:ascii="Arial Narrow" w:hAnsi="Arial Narrow"/>
                <w:sz w:val="20"/>
              </w:rPr>
              <w:t>1.</w:t>
            </w:r>
            <w:r w:rsidR="00B95D7F" w:rsidRPr="00B43E2B">
              <w:rPr>
                <w:rFonts w:ascii="Arial Narrow" w:hAnsi="Arial Narrow"/>
                <w:sz w:val="20"/>
              </w:rPr>
              <w:t>37</w:t>
            </w:r>
            <w:r w:rsidRPr="00B43E2B">
              <w:rPr>
                <w:rFonts w:ascii="Arial Narrow" w:hAnsi="Arial Narrow"/>
                <w:sz w:val="20"/>
              </w:rPr>
              <w:t xml:space="preserve"> (0.9</w:t>
            </w:r>
            <w:r w:rsidR="00B95D7F" w:rsidRPr="00B43E2B">
              <w:rPr>
                <w:rFonts w:ascii="Arial Narrow" w:hAnsi="Arial Narrow"/>
                <w:sz w:val="20"/>
              </w:rPr>
              <w:t>0</w:t>
            </w:r>
            <w:r w:rsidRPr="00B43E2B">
              <w:rPr>
                <w:rFonts w:ascii="Arial Narrow" w:hAnsi="Arial Narrow"/>
                <w:sz w:val="20"/>
              </w:rPr>
              <w:t>, 2.</w:t>
            </w:r>
            <w:r w:rsidR="00B95D7F" w:rsidRPr="00B43E2B">
              <w:rPr>
                <w:rFonts w:ascii="Arial Narrow" w:hAnsi="Arial Narrow"/>
                <w:sz w:val="20"/>
              </w:rPr>
              <w:t>10</w:t>
            </w:r>
            <w:r w:rsidRPr="00B43E2B">
              <w:rPr>
                <w:rFonts w:ascii="Arial Narrow" w:hAnsi="Arial Narrow"/>
                <w:sz w:val="20"/>
              </w:rPr>
              <w:t>)</w:t>
            </w:r>
          </w:p>
        </w:tc>
      </w:tr>
      <w:tr w:rsidR="00485D6C" w:rsidRPr="00B43E2B" w:rsidTr="00B43E2B">
        <w:tc>
          <w:tcPr>
            <w:tcW w:w="2160" w:type="pct"/>
            <w:gridSpan w:val="3"/>
            <w:tcBorders>
              <w:top w:val="single" w:sz="4" w:space="0" w:color="auto"/>
              <w:bottom w:val="single" w:sz="4" w:space="0" w:color="auto"/>
              <w:right w:val="single" w:sz="4" w:space="0" w:color="auto"/>
            </w:tcBorders>
          </w:tcPr>
          <w:p w:rsidR="00485D6C" w:rsidRPr="00B43E2B" w:rsidRDefault="00485D6C" w:rsidP="00F041E3">
            <w:pPr>
              <w:pStyle w:val="ListParagraph"/>
              <w:ind w:left="0"/>
              <w:contextualSpacing w:val="0"/>
              <w:jc w:val="left"/>
              <w:rPr>
                <w:rFonts w:ascii="Arial Narrow" w:hAnsi="Arial Narrow"/>
                <w:sz w:val="20"/>
              </w:rPr>
            </w:pPr>
            <w:r w:rsidRPr="00B43E2B">
              <w:rPr>
                <w:rFonts w:ascii="Arial Narrow" w:hAnsi="Arial Narrow"/>
                <w:sz w:val="20"/>
              </w:rPr>
              <w:t xml:space="preserve">Interaction </w:t>
            </w:r>
            <w:r w:rsidR="004772B6" w:rsidRPr="00B43E2B">
              <w:rPr>
                <w:rFonts w:ascii="Arial Narrow" w:hAnsi="Arial Narrow"/>
                <w:sz w:val="20"/>
              </w:rPr>
              <w:t>t</w:t>
            </w:r>
            <w:r w:rsidRPr="00B43E2B">
              <w:rPr>
                <w:rFonts w:ascii="Arial Narrow" w:hAnsi="Arial Narrow"/>
                <w:sz w:val="20"/>
              </w:rPr>
              <w:t xml:space="preserve">est </w:t>
            </w:r>
            <w:r w:rsidR="0048408D" w:rsidRPr="00B43E2B">
              <w:rPr>
                <w:rFonts w:ascii="Arial Narrow" w:hAnsi="Arial Narrow"/>
                <w:i/>
                <w:sz w:val="20"/>
              </w:rPr>
              <w:t>RAS</w:t>
            </w:r>
            <w:r w:rsidR="0048408D" w:rsidRPr="00B43E2B">
              <w:rPr>
                <w:rFonts w:ascii="Arial Narrow" w:hAnsi="Arial Narrow"/>
                <w:sz w:val="20"/>
              </w:rPr>
              <w:t xml:space="preserve"> WT vs </w:t>
            </w:r>
            <w:r w:rsidR="0048408D" w:rsidRPr="00B43E2B">
              <w:rPr>
                <w:rFonts w:ascii="Arial Narrow" w:hAnsi="Arial Narrow"/>
                <w:i/>
                <w:sz w:val="20"/>
              </w:rPr>
              <w:t>KRAS</w:t>
            </w:r>
            <w:r w:rsidR="0048408D" w:rsidRPr="00B43E2B">
              <w:rPr>
                <w:rFonts w:ascii="Arial Narrow" w:hAnsi="Arial Narrow"/>
                <w:sz w:val="20"/>
              </w:rPr>
              <w:t xml:space="preserve"> Exon 2 WT, </w:t>
            </w:r>
            <w:r w:rsidR="0048408D" w:rsidRPr="00B43E2B">
              <w:rPr>
                <w:rFonts w:ascii="Arial Narrow" w:hAnsi="Arial Narrow"/>
                <w:i/>
                <w:sz w:val="20"/>
              </w:rPr>
              <w:t>RAS</w:t>
            </w:r>
            <w:r w:rsidR="0048408D" w:rsidRPr="00B43E2B">
              <w:rPr>
                <w:rFonts w:ascii="Arial Narrow" w:hAnsi="Arial Narrow"/>
                <w:sz w:val="20"/>
              </w:rPr>
              <w:t xml:space="preserve"> M+</w:t>
            </w:r>
          </w:p>
        </w:tc>
        <w:tc>
          <w:tcPr>
            <w:tcW w:w="2840" w:type="pct"/>
            <w:gridSpan w:val="4"/>
            <w:tcBorders>
              <w:top w:val="single" w:sz="4" w:space="0" w:color="auto"/>
              <w:left w:val="single" w:sz="4" w:space="0" w:color="auto"/>
              <w:bottom w:val="single" w:sz="4" w:space="0" w:color="auto"/>
            </w:tcBorders>
          </w:tcPr>
          <w:p w:rsidR="00485D6C" w:rsidRPr="00B43E2B" w:rsidRDefault="00485D6C" w:rsidP="00B95D7F">
            <w:pPr>
              <w:pStyle w:val="ListParagraph"/>
              <w:ind w:left="0"/>
              <w:contextualSpacing w:val="0"/>
              <w:jc w:val="center"/>
              <w:rPr>
                <w:rFonts w:ascii="Arial Narrow" w:hAnsi="Arial Narrow"/>
                <w:sz w:val="20"/>
              </w:rPr>
            </w:pPr>
            <w:r w:rsidRPr="00B43E2B">
              <w:rPr>
                <w:rFonts w:ascii="Arial Narrow" w:hAnsi="Arial Narrow"/>
                <w:sz w:val="20"/>
              </w:rPr>
              <w:t>p = 0.0</w:t>
            </w:r>
            <w:r w:rsidR="00B95D7F" w:rsidRPr="00B43E2B">
              <w:rPr>
                <w:rFonts w:ascii="Arial Narrow" w:hAnsi="Arial Narrow"/>
                <w:sz w:val="20"/>
              </w:rPr>
              <w:t>079</w:t>
            </w:r>
          </w:p>
        </w:tc>
      </w:tr>
      <w:tr w:rsidR="00485D6C" w:rsidRPr="00B43E2B" w:rsidTr="00B43E2B">
        <w:tc>
          <w:tcPr>
            <w:tcW w:w="720" w:type="pct"/>
            <w:tcBorders>
              <w:top w:val="single" w:sz="4" w:space="0" w:color="auto"/>
              <w:bottom w:val="single" w:sz="4" w:space="0" w:color="auto"/>
              <w:right w:val="single" w:sz="4" w:space="0" w:color="auto"/>
            </w:tcBorders>
          </w:tcPr>
          <w:p w:rsidR="00485D6C" w:rsidRPr="00B43E2B" w:rsidRDefault="00485D6C" w:rsidP="00F041E3">
            <w:pPr>
              <w:pStyle w:val="ListParagraph"/>
              <w:keepNext/>
              <w:tabs>
                <w:tab w:val="left" w:pos="1168"/>
              </w:tabs>
              <w:ind w:left="0" w:right="-113"/>
              <w:contextualSpacing w:val="0"/>
              <w:rPr>
                <w:rFonts w:ascii="Arial Narrow" w:hAnsi="Arial Narrow"/>
                <w:b/>
                <w:sz w:val="20"/>
                <w:u w:val="single"/>
              </w:rPr>
            </w:pPr>
            <w:r w:rsidRPr="00B43E2B">
              <w:rPr>
                <w:rFonts w:ascii="Arial Narrow" w:hAnsi="Arial Narrow"/>
                <w:b/>
                <w:sz w:val="20"/>
                <w:u w:val="single"/>
              </w:rPr>
              <w:t>PEAK</w:t>
            </w:r>
          </w:p>
        </w:tc>
        <w:tc>
          <w:tcPr>
            <w:tcW w:w="720"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20"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sz w:val="20"/>
              </w:rPr>
              <w:t>Bev</w:t>
            </w:r>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19"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19"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sz w:val="20"/>
              </w:rPr>
              <w:t>Bev</w:t>
            </w:r>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19"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683"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b/>
                <w:sz w:val="20"/>
              </w:rPr>
            </w:pPr>
            <w:r w:rsidRPr="00B43E2B">
              <w:rPr>
                <w:rFonts w:ascii="Arial Narrow" w:hAnsi="Arial Narrow"/>
                <w:b/>
                <w:sz w:val="20"/>
              </w:rPr>
              <w:t>Bev</w:t>
            </w:r>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r>
      <w:tr w:rsidR="00485D6C" w:rsidRPr="00B43E2B" w:rsidTr="00B43E2B">
        <w:tc>
          <w:tcPr>
            <w:tcW w:w="720" w:type="pct"/>
            <w:tcBorders>
              <w:top w:val="single" w:sz="4" w:space="0" w:color="auto"/>
              <w:bottom w:val="single" w:sz="4" w:space="0" w:color="auto"/>
              <w:right w:val="single" w:sz="4" w:space="0" w:color="auto"/>
            </w:tcBorders>
          </w:tcPr>
          <w:p w:rsidR="00485D6C" w:rsidRPr="00B43E2B" w:rsidRDefault="00485D6C" w:rsidP="00F041E3">
            <w:pPr>
              <w:pStyle w:val="ListParagraph"/>
              <w:keepNext/>
              <w:tabs>
                <w:tab w:val="left" w:pos="1168"/>
              </w:tabs>
              <w:ind w:left="0" w:right="-113"/>
              <w:contextualSpacing w:val="0"/>
              <w:rPr>
                <w:rFonts w:ascii="Arial Narrow" w:hAnsi="Arial Narrow"/>
                <w:sz w:val="20"/>
                <w:vertAlign w:val="superscript"/>
              </w:rPr>
            </w:pPr>
            <w:r w:rsidRPr="00B43E2B">
              <w:rPr>
                <w:rFonts w:ascii="Arial Narrow" w:hAnsi="Arial Narrow"/>
                <w:sz w:val="20"/>
              </w:rPr>
              <w:t>N</w:t>
            </w:r>
            <w:r w:rsidRPr="00B43E2B">
              <w:rPr>
                <w:rFonts w:ascii="Arial Narrow" w:hAnsi="Arial Narrow"/>
                <w:sz w:val="20"/>
              </w:rPr>
              <w:br/>
              <w:t>Median PFS, months</w:t>
            </w:r>
            <w:r w:rsidR="00E577FF" w:rsidRPr="00B43E2B">
              <w:rPr>
                <w:rFonts w:ascii="Arial Narrow" w:hAnsi="Arial Narrow"/>
                <w:sz w:val="20"/>
                <w:vertAlign w:val="superscript"/>
              </w:rPr>
              <w:t>§</w:t>
            </w:r>
          </w:p>
          <w:p w:rsidR="00E577FF" w:rsidRPr="00B43E2B" w:rsidRDefault="00E577FF"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(95% CI)</w:t>
            </w:r>
          </w:p>
        </w:tc>
        <w:tc>
          <w:tcPr>
            <w:tcW w:w="720"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142</w:t>
            </w:r>
            <w:r w:rsidRPr="00B43E2B">
              <w:rPr>
                <w:rFonts w:ascii="Arial Narrow" w:hAnsi="Arial Narrow"/>
                <w:sz w:val="20"/>
              </w:rPr>
              <w:br/>
              <w:t>10.9</w:t>
            </w:r>
          </w:p>
          <w:p w:rsidR="00E577FF" w:rsidRPr="00B43E2B" w:rsidRDefault="00E577FF" w:rsidP="00E577FF">
            <w:pPr>
              <w:pStyle w:val="ListParagraph"/>
              <w:keepNext/>
              <w:ind w:left="0"/>
              <w:contextualSpacing w:val="0"/>
              <w:jc w:val="center"/>
              <w:rPr>
                <w:rFonts w:ascii="Arial Narrow" w:hAnsi="Arial Narrow"/>
                <w:sz w:val="20"/>
              </w:rPr>
            </w:pPr>
            <w:r w:rsidRPr="00B43E2B">
              <w:rPr>
                <w:rFonts w:ascii="Arial Narrow" w:hAnsi="Arial Narrow"/>
                <w:sz w:val="20"/>
                <w:lang w:val="en-US" w:eastAsia="en-AU"/>
              </w:rPr>
              <w:t>(9.7, 12.8)</w:t>
            </w:r>
          </w:p>
        </w:tc>
        <w:tc>
          <w:tcPr>
            <w:tcW w:w="720"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143</w:t>
            </w:r>
            <w:r w:rsidRPr="00B43E2B">
              <w:rPr>
                <w:rFonts w:ascii="Arial Narrow" w:hAnsi="Arial Narrow"/>
                <w:sz w:val="20"/>
              </w:rPr>
              <w:br/>
              <w:t>10.1</w:t>
            </w:r>
          </w:p>
          <w:p w:rsidR="00E577FF" w:rsidRPr="00B43E2B" w:rsidRDefault="00E577FF" w:rsidP="00E577FF">
            <w:pPr>
              <w:pStyle w:val="ListParagraph"/>
              <w:keepNext/>
              <w:ind w:left="0"/>
              <w:contextualSpacing w:val="0"/>
              <w:jc w:val="center"/>
              <w:rPr>
                <w:rFonts w:ascii="Arial Narrow" w:hAnsi="Arial Narrow"/>
                <w:sz w:val="20"/>
              </w:rPr>
            </w:pPr>
            <w:r w:rsidRPr="00B43E2B">
              <w:rPr>
                <w:rFonts w:ascii="Arial Narrow" w:hAnsi="Arial Narrow"/>
                <w:sz w:val="20"/>
                <w:lang w:val="en-US" w:eastAsia="en-AU"/>
              </w:rPr>
              <w:t>(9.0, 12.0)</w:t>
            </w:r>
          </w:p>
        </w:tc>
        <w:tc>
          <w:tcPr>
            <w:tcW w:w="719"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88</w:t>
            </w:r>
            <w:r w:rsidRPr="00B43E2B">
              <w:rPr>
                <w:rFonts w:ascii="Arial Narrow" w:hAnsi="Arial Narrow"/>
                <w:sz w:val="20"/>
              </w:rPr>
              <w:br/>
              <w:t>13.0</w:t>
            </w:r>
          </w:p>
          <w:p w:rsidR="00D53C2C" w:rsidRPr="00B43E2B" w:rsidRDefault="00D53C2C" w:rsidP="00F041E3">
            <w:pPr>
              <w:pStyle w:val="ListParagraph"/>
              <w:keepNext/>
              <w:ind w:left="0"/>
              <w:contextualSpacing w:val="0"/>
              <w:jc w:val="center"/>
              <w:rPr>
                <w:rFonts w:ascii="Arial Narrow" w:hAnsi="Arial Narrow"/>
                <w:sz w:val="20"/>
              </w:rPr>
            </w:pPr>
            <w:r w:rsidRPr="00B43E2B">
              <w:rPr>
                <w:rFonts w:ascii="Arial Narrow" w:hAnsi="Arial Narrow"/>
                <w:sz w:val="20"/>
              </w:rPr>
              <w:t>(10.9, 15.1)</w:t>
            </w:r>
          </w:p>
        </w:tc>
        <w:tc>
          <w:tcPr>
            <w:tcW w:w="719"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82</w:t>
            </w:r>
            <w:r w:rsidRPr="00B43E2B">
              <w:rPr>
                <w:rFonts w:ascii="Arial Narrow" w:hAnsi="Arial Narrow"/>
                <w:sz w:val="20"/>
              </w:rPr>
              <w:br/>
            </w:r>
            <w:r w:rsidR="00D53C2C" w:rsidRPr="00B43E2B">
              <w:rPr>
                <w:rFonts w:ascii="Arial Narrow" w:hAnsi="Arial Narrow"/>
                <w:sz w:val="20"/>
              </w:rPr>
              <w:t>10.1</w:t>
            </w:r>
          </w:p>
          <w:p w:rsidR="00D53C2C" w:rsidRPr="00B43E2B" w:rsidRDefault="00D53C2C" w:rsidP="00F041E3">
            <w:pPr>
              <w:pStyle w:val="ListParagraph"/>
              <w:keepNext/>
              <w:ind w:left="0"/>
              <w:contextualSpacing w:val="0"/>
              <w:jc w:val="center"/>
              <w:rPr>
                <w:rFonts w:ascii="Arial Narrow" w:hAnsi="Arial Narrow"/>
                <w:sz w:val="20"/>
              </w:rPr>
            </w:pPr>
            <w:r w:rsidRPr="00B43E2B">
              <w:rPr>
                <w:rFonts w:ascii="Arial Narrow" w:hAnsi="Arial Narrow"/>
                <w:sz w:val="20"/>
              </w:rPr>
              <w:t>(9.0, 12.7)</w:t>
            </w:r>
          </w:p>
        </w:tc>
        <w:tc>
          <w:tcPr>
            <w:tcW w:w="719" w:type="pct"/>
            <w:tcBorders>
              <w:top w:val="single" w:sz="4" w:space="0" w:color="auto"/>
              <w:left w:val="single" w:sz="4" w:space="0" w:color="auto"/>
              <w:bottom w:val="single" w:sz="4" w:space="0" w:color="auto"/>
              <w:right w:val="single" w:sz="4" w:space="0" w:color="auto"/>
            </w:tcBorders>
          </w:tcPr>
          <w:p w:rsidR="00485D6C" w:rsidRPr="00B43E2B" w:rsidRDefault="00485D6C" w:rsidP="00F041E3">
            <w:pPr>
              <w:pStyle w:val="ListParagraph"/>
              <w:keepNext/>
              <w:ind w:left="0"/>
              <w:contextualSpacing w:val="0"/>
              <w:jc w:val="center"/>
              <w:rPr>
                <w:rFonts w:ascii="Arial Narrow" w:hAnsi="Arial Narrow"/>
                <w:sz w:val="20"/>
              </w:rPr>
            </w:pPr>
            <w:r w:rsidRPr="00B43E2B">
              <w:rPr>
                <w:rFonts w:ascii="Arial Narrow" w:hAnsi="Arial Narrow"/>
                <w:sz w:val="20"/>
              </w:rPr>
              <w:t>24</w:t>
            </w:r>
            <w:r w:rsidRPr="00B43E2B">
              <w:rPr>
                <w:rFonts w:ascii="Arial Narrow" w:hAnsi="Arial Narrow"/>
                <w:sz w:val="20"/>
              </w:rPr>
              <w:br/>
            </w:r>
            <w:r w:rsidR="001F28AA" w:rsidRPr="00B43E2B">
              <w:rPr>
                <w:rFonts w:ascii="Arial Narrow" w:hAnsi="Arial Narrow"/>
                <w:sz w:val="20"/>
              </w:rPr>
              <w:t>8.4</w:t>
            </w:r>
          </w:p>
          <w:p w:rsidR="001F28AA" w:rsidRPr="00B43E2B" w:rsidRDefault="001F28AA" w:rsidP="001F28AA">
            <w:pPr>
              <w:pStyle w:val="ListParagraph"/>
              <w:keepNext/>
              <w:ind w:left="0"/>
              <w:contextualSpacing w:val="0"/>
              <w:jc w:val="center"/>
              <w:rPr>
                <w:rFonts w:ascii="Arial Narrow" w:hAnsi="Arial Narrow"/>
                <w:sz w:val="20"/>
              </w:rPr>
            </w:pPr>
            <w:r w:rsidRPr="00B43E2B">
              <w:rPr>
                <w:rFonts w:ascii="Arial Narrow" w:hAnsi="Arial Narrow"/>
                <w:sz w:val="20"/>
              </w:rPr>
              <w:t>(6.5, 10.7)</w:t>
            </w:r>
          </w:p>
        </w:tc>
        <w:tc>
          <w:tcPr>
            <w:tcW w:w="683" w:type="pct"/>
            <w:tcBorders>
              <w:top w:val="single" w:sz="4" w:space="0" w:color="auto"/>
              <w:left w:val="single" w:sz="4" w:space="0" w:color="auto"/>
              <w:bottom w:val="single" w:sz="4" w:space="0" w:color="auto"/>
            </w:tcBorders>
          </w:tcPr>
          <w:p w:rsidR="00485D6C" w:rsidRPr="00B43E2B" w:rsidRDefault="00485D6C" w:rsidP="001F28AA">
            <w:pPr>
              <w:pStyle w:val="ListParagraph"/>
              <w:keepNext/>
              <w:ind w:left="0"/>
              <w:contextualSpacing w:val="0"/>
              <w:jc w:val="center"/>
              <w:rPr>
                <w:rFonts w:ascii="Arial Narrow" w:hAnsi="Arial Narrow"/>
                <w:sz w:val="20"/>
              </w:rPr>
            </w:pPr>
            <w:r w:rsidRPr="00B43E2B">
              <w:rPr>
                <w:rFonts w:ascii="Arial Narrow" w:hAnsi="Arial Narrow"/>
                <w:sz w:val="20"/>
              </w:rPr>
              <w:t>27</w:t>
            </w:r>
            <w:r w:rsidRPr="00B43E2B">
              <w:rPr>
                <w:rFonts w:ascii="Arial Narrow" w:hAnsi="Arial Narrow"/>
                <w:sz w:val="20"/>
              </w:rPr>
              <w:br/>
              <w:t>8.</w:t>
            </w:r>
            <w:r w:rsidR="001F28AA" w:rsidRPr="00B43E2B">
              <w:rPr>
                <w:rFonts w:ascii="Arial Narrow" w:hAnsi="Arial Narrow"/>
                <w:sz w:val="20"/>
              </w:rPr>
              <w:t>8</w:t>
            </w:r>
          </w:p>
          <w:p w:rsidR="001F28AA" w:rsidRPr="00B43E2B" w:rsidRDefault="001F28AA" w:rsidP="001F28AA">
            <w:pPr>
              <w:pStyle w:val="ListParagraph"/>
              <w:keepNext/>
              <w:ind w:left="0"/>
              <w:contextualSpacing w:val="0"/>
              <w:jc w:val="center"/>
              <w:rPr>
                <w:rFonts w:ascii="Arial Narrow" w:hAnsi="Arial Narrow"/>
                <w:sz w:val="20"/>
              </w:rPr>
            </w:pPr>
            <w:r w:rsidRPr="00B43E2B">
              <w:rPr>
                <w:rFonts w:ascii="Arial Narrow" w:hAnsi="Arial Narrow"/>
                <w:sz w:val="20"/>
              </w:rPr>
              <w:t>(7.3, 11.2)</w:t>
            </w:r>
          </w:p>
        </w:tc>
      </w:tr>
      <w:tr w:rsidR="00485D6C" w:rsidRPr="00B43E2B" w:rsidTr="00B43E2B">
        <w:tc>
          <w:tcPr>
            <w:tcW w:w="720" w:type="pct"/>
            <w:tcBorders>
              <w:top w:val="single" w:sz="4" w:space="0" w:color="auto"/>
              <w:bottom w:val="single" w:sz="4" w:space="0" w:color="auto"/>
              <w:right w:val="single" w:sz="4" w:space="0" w:color="auto"/>
            </w:tcBorders>
          </w:tcPr>
          <w:p w:rsidR="00485D6C" w:rsidRPr="00B43E2B" w:rsidRDefault="00485D6C" w:rsidP="00F041E3">
            <w:pPr>
              <w:pStyle w:val="ListParagraph"/>
              <w:keepNext/>
              <w:ind w:left="0" w:right="-57"/>
              <w:contextualSpacing w:val="0"/>
              <w:rPr>
                <w:rFonts w:ascii="Arial Narrow" w:hAnsi="Arial Narrow"/>
                <w:sz w:val="20"/>
              </w:rPr>
            </w:pPr>
            <w:r w:rsidRPr="00B43E2B">
              <w:rPr>
                <w:rFonts w:ascii="Arial Narrow" w:hAnsi="Arial Narrow"/>
                <w:sz w:val="20"/>
              </w:rPr>
              <w:t>Difference in PFS</w:t>
            </w:r>
          </w:p>
        </w:tc>
        <w:tc>
          <w:tcPr>
            <w:tcW w:w="1440" w:type="pct"/>
            <w:gridSpan w:val="2"/>
            <w:tcBorders>
              <w:top w:val="single" w:sz="4" w:space="0" w:color="auto"/>
              <w:left w:val="single" w:sz="4" w:space="0" w:color="auto"/>
              <w:right w:val="single" w:sz="4" w:space="0" w:color="auto"/>
            </w:tcBorders>
          </w:tcPr>
          <w:p w:rsidR="00485D6C" w:rsidRPr="00B43E2B" w:rsidRDefault="00485D6C" w:rsidP="0048408D">
            <w:pPr>
              <w:pStyle w:val="ListParagraph"/>
              <w:keepNext/>
              <w:ind w:left="0"/>
              <w:contextualSpacing w:val="0"/>
              <w:jc w:val="center"/>
              <w:rPr>
                <w:rFonts w:ascii="Arial Narrow" w:hAnsi="Arial Narrow"/>
                <w:sz w:val="20"/>
              </w:rPr>
            </w:pPr>
            <w:r w:rsidRPr="00B43E2B">
              <w:rPr>
                <w:rFonts w:ascii="Arial Narrow" w:hAnsi="Arial Narrow"/>
                <w:sz w:val="20"/>
              </w:rPr>
              <w:t>+0.8</w:t>
            </w:r>
          </w:p>
        </w:tc>
        <w:tc>
          <w:tcPr>
            <w:tcW w:w="1438" w:type="pct"/>
            <w:gridSpan w:val="2"/>
            <w:tcBorders>
              <w:top w:val="single" w:sz="4" w:space="0" w:color="auto"/>
              <w:left w:val="single" w:sz="4" w:space="0" w:color="auto"/>
              <w:right w:val="single" w:sz="4" w:space="0" w:color="auto"/>
            </w:tcBorders>
          </w:tcPr>
          <w:p w:rsidR="00485D6C" w:rsidRPr="00B43E2B" w:rsidRDefault="00485D6C" w:rsidP="001C42B9">
            <w:pPr>
              <w:pStyle w:val="ListParagraph"/>
              <w:keepNext/>
              <w:ind w:left="0"/>
              <w:contextualSpacing w:val="0"/>
              <w:jc w:val="center"/>
              <w:rPr>
                <w:rFonts w:ascii="Arial Narrow" w:hAnsi="Arial Narrow"/>
                <w:sz w:val="20"/>
              </w:rPr>
            </w:pPr>
            <w:r w:rsidRPr="00B43E2B">
              <w:rPr>
                <w:rFonts w:ascii="Arial Narrow" w:hAnsi="Arial Narrow"/>
                <w:sz w:val="20"/>
              </w:rPr>
              <w:t>+</w:t>
            </w:r>
            <w:r w:rsidR="001C42B9" w:rsidRPr="00B43E2B">
              <w:rPr>
                <w:rFonts w:ascii="Arial Narrow" w:hAnsi="Arial Narrow"/>
                <w:sz w:val="20"/>
              </w:rPr>
              <w:t>2.9</w:t>
            </w:r>
          </w:p>
        </w:tc>
        <w:tc>
          <w:tcPr>
            <w:tcW w:w="1402" w:type="pct"/>
            <w:gridSpan w:val="2"/>
            <w:tcBorders>
              <w:top w:val="single" w:sz="4" w:space="0" w:color="auto"/>
              <w:left w:val="single" w:sz="4" w:space="0" w:color="auto"/>
            </w:tcBorders>
          </w:tcPr>
          <w:p w:rsidR="00485D6C" w:rsidRPr="00B43E2B" w:rsidRDefault="00485D6C" w:rsidP="001F28AA">
            <w:pPr>
              <w:pStyle w:val="ListParagraph"/>
              <w:keepNext/>
              <w:ind w:left="0"/>
              <w:contextualSpacing w:val="0"/>
              <w:jc w:val="center"/>
              <w:rPr>
                <w:rFonts w:ascii="Arial Narrow" w:hAnsi="Arial Narrow"/>
                <w:sz w:val="20"/>
              </w:rPr>
            </w:pPr>
            <w:r w:rsidRPr="00B43E2B">
              <w:rPr>
                <w:rFonts w:ascii="Arial Narrow" w:hAnsi="Arial Narrow"/>
                <w:sz w:val="20"/>
              </w:rPr>
              <w:t>-</w:t>
            </w:r>
            <w:r w:rsidR="001F28AA" w:rsidRPr="00B43E2B">
              <w:rPr>
                <w:rFonts w:ascii="Arial Narrow" w:hAnsi="Arial Narrow"/>
                <w:sz w:val="20"/>
              </w:rPr>
              <w:t>0</w:t>
            </w:r>
            <w:r w:rsidRPr="00B43E2B">
              <w:rPr>
                <w:rFonts w:ascii="Arial Narrow" w:hAnsi="Arial Narrow"/>
                <w:sz w:val="20"/>
              </w:rPr>
              <w:t>.</w:t>
            </w:r>
            <w:r w:rsidR="001F28AA" w:rsidRPr="00B43E2B">
              <w:rPr>
                <w:rFonts w:ascii="Arial Narrow" w:hAnsi="Arial Narrow"/>
                <w:sz w:val="20"/>
              </w:rPr>
              <w:t>4</w:t>
            </w:r>
          </w:p>
        </w:tc>
      </w:tr>
      <w:tr w:rsidR="00485D6C" w:rsidRPr="00B43E2B" w:rsidTr="00B43E2B">
        <w:tc>
          <w:tcPr>
            <w:tcW w:w="720" w:type="pct"/>
            <w:tcBorders>
              <w:top w:val="single" w:sz="4" w:space="0" w:color="auto"/>
              <w:bottom w:val="nil"/>
              <w:right w:val="single" w:sz="4" w:space="0" w:color="auto"/>
            </w:tcBorders>
          </w:tcPr>
          <w:p w:rsidR="00485D6C" w:rsidRPr="00B43E2B" w:rsidRDefault="00485D6C" w:rsidP="00F041E3">
            <w:pPr>
              <w:pStyle w:val="ListParagraph"/>
              <w:ind w:left="0" w:right="-57"/>
              <w:contextualSpacing w:val="0"/>
              <w:rPr>
                <w:rFonts w:ascii="Arial Narrow" w:hAnsi="Arial Narrow"/>
                <w:sz w:val="20"/>
              </w:rPr>
            </w:pPr>
            <w:r w:rsidRPr="00B43E2B">
              <w:rPr>
                <w:rFonts w:ascii="Arial Narrow" w:hAnsi="Arial Narrow"/>
                <w:sz w:val="20"/>
              </w:rPr>
              <w:t>HR [95% CI]</w:t>
            </w:r>
          </w:p>
        </w:tc>
        <w:tc>
          <w:tcPr>
            <w:tcW w:w="1440" w:type="pct"/>
            <w:gridSpan w:val="2"/>
            <w:tcBorders>
              <w:left w:val="single" w:sz="4" w:space="0" w:color="auto"/>
              <w:bottom w:val="single" w:sz="4" w:space="0" w:color="auto"/>
              <w:right w:val="single" w:sz="4" w:space="0" w:color="auto"/>
            </w:tcBorders>
          </w:tcPr>
          <w:p w:rsidR="00485D6C" w:rsidRPr="00B43E2B" w:rsidRDefault="0048408D" w:rsidP="00E577FF">
            <w:pPr>
              <w:pStyle w:val="ListParagraph"/>
              <w:ind w:left="0"/>
              <w:contextualSpacing w:val="0"/>
              <w:jc w:val="center"/>
              <w:rPr>
                <w:rFonts w:ascii="Arial Narrow" w:hAnsi="Arial Narrow"/>
                <w:sz w:val="20"/>
              </w:rPr>
            </w:pPr>
            <w:r w:rsidRPr="00B43E2B">
              <w:rPr>
                <w:rFonts w:ascii="Arial Narrow" w:hAnsi="Arial Narrow"/>
                <w:sz w:val="20"/>
              </w:rPr>
              <w:t>0.8</w:t>
            </w:r>
            <w:r w:rsidR="00E577FF" w:rsidRPr="00B43E2B">
              <w:rPr>
                <w:rFonts w:ascii="Arial Narrow" w:hAnsi="Arial Narrow"/>
                <w:sz w:val="20"/>
              </w:rPr>
              <w:t>4</w:t>
            </w:r>
            <w:r w:rsidRPr="00B43E2B">
              <w:rPr>
                <w:rFonts w:ascii="Arial Narrow" w:hAnsi="Arial Narrow"/>
                <w:sz w:val="20"/>
              </w:rPr>
              <w:t xml:space="preserve"> (0.6</w:t>
            </w:r>
            <w:r w:rsidR="00E577FF" w:rsidRPr="00B43E2B">
              <w:rPr>
                <w:rFonts w:ascii="Arial Narrow" w:hAnsi="Arial Narrow"/>
                <w:sz w:val="20"/>
              </w:rPr>
              <w:t>4</w:t>
            </w:r>
            <w:r w:rsidRPr="00B43E2B">
              <w:rPr>
                <w:rFonts w:ascii="Arial Narrow" w:hAnsi="Arial Narrow"/>
                <w:sz w:val="20"/>
              </w:rPr>
              <w:t>, 1.1</w:t>
            </w:r>
            <w:r w:rsidR="00E577FF" w:rsidRPr="00B43E2B">
              <w:rPr>
                <w:rFonts w:ascii="Arial Narrow" w:hAnsi="Arial Narrow"/>
                <w:sz w:val="20"/>
              </w:rPr>
              <w:t>1</w:t>
            </w:r>
            <w:r w:rsidRPr="00B43E2B">
              <w:rPr>
                <w:rFonts w:ascii="Arial Narrow" w:hAnsi="Arial Narrow"/>
                <w:sz w:val="20"/>
              </w:rPr>
              <w:t>)</w:t>
            </w:r>
          </w:p>
        </w:tc>
        <w:tc>
          <w:tcPr>
            <w:tcW w:w="1438" w:type="pct"/>
            <w:gridSpan w:val="2"/>
            <w:tcBorders>
              <w:left w:val="single" w:sz="4" w:space="0" w:color="auto"/>
              <w:bottom w:val="single" w:sz="4" w:space="0" w:color="auto"/>
              <w:right w:val="single" w:sz="4" w:space="0" w:color="auto"/>
            </w:tcBorders>
          </w:tcPr>
          <w:p w:rsidR="00485D6C" w:rsidRPr="00B43E2B" w:rsidRDefault="0048408D" w:rsidP="00D53C2C">
            <w:pPr>
              <w:pStyle w:val="ListParagraph"/>
              <w:ind w:left="0"/>
              <w:contextualSpacing w:val="0"/>
              <w:jc w:val="center"/>
              <w:rPr>
                <w:rFonts w:ascii="Arial Narrow" w:hAnsi="Arial Narrow"/>
                <w:sz w:val="20"/>
              </w:rPr>
            </w:pPr>
            <w:r w:rsidRPr="00B43E2B">
              <w:rPr>
                <w:rFonts w:ascii="Arial Narrow" w:hAnsi="Arial Narrow"/>
                <w:sz w:val="20"/>
              </w:rPr>
              <w:t>0.6</w:t>
            </w:r>
            <w:r w:rsidR="00D53C2C" w:rsidRPr="00B43E2B">
              <w:rPr>
                <w:rFonts w:ascii="Arial Narrow" w:hAnsi="Arial Narrow"/>
                <w:sz w:val="20"/>
              </w:rPr>
              <w:t>6</w:t>
            </w:r>
            <w:r w:rsidRPr="00B43E2B">
              <w:rPr>
                <w:rFonts w:ascii="Arial Narrow" w:hAnsi="Arial Narrow"/>
                <w:sz w:val="20"/>
              </w:rPr>
              <w:t xml:space="preserve"> (0.4</w:t>
            </w:r>
            <w:r w:rsidR="00D53C2C" w:rsidRPr="00B43E2B">
              <w:rPr>
                <w:rFonts w:ascii="Arial Narrow" w:hAnsi="Arial Narrow"/>
                <w:sz w:val="20"/>
              </w:rPr>
              <w:t>6</w:t>
            </w:r>
            <w:r w:rsidRPr="00B43E2B">
              <w:rPr>
                <w:rFonts w:ascii="Arial Narrow" w:hAnsi="Arial Narrow"/>
                <w:sz w:val="20"/>
              </w:rPr>
              <w:t>, 0.9</w:t>
            </w:r>
            <w:r w:rsidR="00D53C2C" w:rsidRPr="00B43E2B">
              <w:rPr>
                <w:rFonts w:ascii="Arial Narrow" w:hAnsi="Arial Narrow"/>
                <w:sz w:val="20"/>
              </w:rPr>
              <w:t>5</w:t>
            </w:r>
            <w:r w:rsidRPr="00B43E2B">
              <w:rPr>
                <w:rFonts w:ascii="Arial Narrow" w:hAnsi="Arial Narrow"/>
                <w:sz w:val="20"/>
              </w:rPr>
              <w:t>)</w:t>
            </w:r>
          </w:p>
        </w:tc>
        <w:tc>
          <w:tcPr>
            <w:tcW w:w="1402" w:type="pct"/>
            <w:gridSpan w:val="2"/>
            <w:tcBorders>
              <w:left w:val="single" w:sz="4" w:space="0" w:color="auto"/>
              <w:bottom w:val="single" w:sz="4" w:space="0" w:color="auto"/>
            </w:tcBorders>
          </w:tcPr>
          <w:p w:rsidR="00485D6C" w:rsidRPr="00B43E2B" w:rsidRDefault="001F28AA" w:rsidP="001F28AA">
            <w:pPr>
              <w:pStyle w:val="ListParagraph"/>
              <w:ind w:left="0"/>
              <w:contextualSpacing w:val="0"/>
              <w:jc w:val="center"/>
              <w:rPr>
                <w:rFonts w:ascii="Arial Narrow" w:hAnsi="Arial Narrow"/>
                <w:sz w:val="20"/>
              </w:rPr>
            </w:pPr>
            <w:r w:rsidRPr="00B43E2B">
              <w:rPr>
                <w:rFonts w:ascii="Arial Narrow" w:hAnsi="Arial Narrow"/>
                <w:sz w:val="20"/>
              </w:rPr>
              <w:t>1.13</w:t>
            </w:r>
            <w:r w:rsidR="0048408D" w:rsidRPr="00B43E2B">
              <w:rPr>
                <w:rFonts w:ascii="Arial Narrow" w:hAnsi="Arial Narrow"/>
                <w:sz w:val="20"/>
              </w:rPr>
              <w:t xml:space="preserve"> (0.</w:t>
            </w:r>
            <w:r w:rsidRPr="00B43E2B">
              <w:rPr>
                <w:rFonts w:ascii="Arial Narrow" w:hAnsi="Arial Narrow"/>
                <w:sz w:val="20"/>
              </w:rPr>
              <w:t>63</w:t>
            </w:r>
            <w:r w:rsidR="0048408D" w:rsidRPr="00B43E2B">
              <w:rPr>
                <w:rFonts w:ascii="Arial Narrow" w:hAnsi="Arial Narrow"/>
                <w:sz w:val="20"/>
              </w:rPr>
              <w:t>, 2.</w:t>
            </w:r>
            <w:r w:rsidRPr="00B43E2B">
              <w:rPr>
                <w:rFonts w:ascii="Arial Narrow" w:hAnsi="Arial Narrow"/>
                <w:sz w:val="20"/>
              </w:rPr>
              <w:t>05</w:t>
            </w:r>
            <w:r w:rsidR="0048408D" w:rsidRPr="00B43E2B">
              <w:rPr>
                <w:rFonts w:ascii="Arial Narrow" w:hAnsi="Arial Narrow"/>
                <w:sz w:val="20"/>
              </w:rPr>
              <w:t>)</w:t>
            </w:r>
          </w:p>
        </w:tc>
      </w:tr>
      <w:tr w:rsidR="00485D6C" w:rsidRPr="00B43E2B" w:rsidTr="00B43E2B">
        <w:tc>
          <w:tcPr>
            <w:tcW w:w="2160" w:type="pct"/>
            <w:gridSpan w:val="3"/>
            <w:tcBorders>
              <w:top w:val="single" w:sz="4" w:space="0" w:color="auto"/>
              <w:bottom w:val="single" w:sz="4" w:space="0" w:color="auto"/>
              <w:right w:val="single" w:sz="4" w:space="0" w:color="auto"/>
            </w:tcBorders>
          </w:tcPr>
          <w:p w:rsidR="00485D6C" w:rsidRPr="00B43E2B" w:rsidRDefault="001A7755" w:rsidP="00F041E3">
            <w:pPr>
              <w:pStyle w:val="ListParagraph"/>
              <w:ind w:left="0"/>
              <w:contextualSpacing w:val="0"/>
              <w:jc w:val="left"/>
              <w:rPr>
                <w:rFonts w:ascii="Arial Narrow" w:hAnsi="Arial Narrow"/>
                <w:sz w:val="20"/>
              </w:rPr>
            </w:pPr>
            <w:r>
              <w:rPr>
                <w:rFonts w:ascii="Arial Narrow" w:hAnsi="Arial Narrow"/>
                <w:noProof/>
                <w:color w:val="000000"/>
                <w:sz w:val="20"/>
                <w:highlight w:val="black"/>
              </w:rPr>
              <w:t xml:space="preserve">''''''''''''''''''''''' '''''''''' </w:t>
            </w:r>
            <w:r>
              <w:rPr>
                <w:rFonts w:ascii="Arial Narrow" w:hAnsi="Arial Narrow"/>
                <w:i/>
                <w:noProof/>
                <w:color w:val="000000"/>
                <w:sz w:val="20"/>
                <w:highlight w:val="black"/>
              </w:rPr>
              <w:t>''''''''''</w:t>
            </w:r>
            <w:r>
              <w:rPr>
                <w:rFonts w:ascii="Arial Narrow" w:hAnsi="Arial Narrow"/>
                <w:noProof/>
                <w:color w:val="000000"/>
                <w:sz w:val="20"/>
                <w:highlight w:val="black"/>
              </w:rPr>
              <w:t xml:space="preserve"> '''''''' ''''' </w:t>
            </w:r>
            <w:r>
              <w:rPr>
                <w:rFonts w:ascii="Arial Narrow" w:hAnsi="Arial Narrow"/>
                <w:i/>
                <w:noProof/>
                <w:color w:val="000000"/>
                <w:sz w:val="20"/>
                <w:highlight w:val="black"/>
              </w:rPr>
              <w:t>'''''''''''''''</w:t>
            </w:r>
            <w:r>
              <w:rPr>
                <w:rFonts w:ascii="Arial Narrow" w:hAnsi="Arial Narrow"/>
                <w:noProof/>
                <w:color w:val="000000"/>
                <w:sz w:val="20"/>
                <w:highlight w:val="black"/>
              </w:rPr>
              <w:t xml:space="preserve"> ''''''''''''' '''' '''''''''' </w:t>
            </w:r>
            <w:r>
              <w:rPr>
                <w:rFonts w:ascii="Arial Narrow" w:hAnsi="Arial Narrow"/>
                <w:i/>
                <w:noProof/>
                <w:color w:val="000000"/>
                <w:sz w:val="20"/>
                <w:highlight w:val="black"/>
              </w:rPr>
              <w:t>'''''''''''</w:t>
            </w:r>
            <w:r>
              <w:rPr>
                <w:rFonts w:ascii="Arial Narrow" w:hAnsi="Arial Narrow"/>
                <w:noProof/>
                <w:color w:val="000000"/>
                <w:sz w:val="20"/>
                <w:highlight w:val="black"/>
              </w:rPr>
              <w:t xml:space="preserve"> '''''''</w:t>
            </w:r>
          </w:p>
        </w:tc>
        <w:tc>
          <w:tcPr>
            <w:tcW w:w="2840" w:type="pct"/>
            <w:gridSpan w:val="4"/>
            <w:tcBorders>
              <w:top w:val="single" w:sz="4" w:space="0" w:color="auto"/>
              <w:left w:val="single" w:sz="4" w:space="0" w:color="auto"/>
              <w:bottom w:val="single" w:sz="4" w:space="0" w:color="auto"/>
            </w:tcBorders>
          </w:tcPr>
          <w:p w:rsidR="00485D6C" w:rsidRPr="001A7755" w:rsidRDefault="001A7755" w:rsidP="00F041E3">
            <w:pPr>
              <w:pStyle w:val="ListParagraph"/>
              <w:ind w:left="0"/>
              <w:contextualSpacing w:val="0"/>
              <w:jc w:val="center"/>
              <w:rPr>
                <w:rFonts w:ascii="Arial Narrow" w:hAnsi="Arial Narrow"/>
                <w:sz w:val="20"/>
                <w:highlight w:val="black"/>
                <w:vertAlign w:val="superscript"/>
              </w:rPr>
            </w:pPr>
            <w:r>
              <w:rPr>
                <w:rFonts w:ascii="Arial Narrow" w:hAnsi="Arial Narrow"/>
                <w:noProof/>
                <w:color w:val="000000"/>
                <w:sz w:val="20"/>
                <w:highlight w:val="black"/>
              </w:rPr>
              <w:t>''' '''' ''''''''''''''''''''</w:t>
            </w:r>
          </w:p>
        </w:tc>
      </w:tr>
    </w:tbl>
    <w:p w:rsidR="005B2EED" w:rsidRPr="00993AB6" w:rsidRDefault="005B2EED" w:rsidP="00B43E2B">
      <w:pPr>
        <w:pStyle w:val="TableFooter"/>
        <w:ind w:firstLine="720"/>
      </w:pPr>
      <w:proofErr w:type="gramStart"/>
      <w:r w:rsidRPr="00993AB6">
        <w:rPr>
          <w:vertAlign w:val="superscript"/>
        </w:rPr>
        <w:t>A</w:t>
      </w:r>
      <w:r w:rsidRPr="00993AB6">
        <w:t xml:space="preserve"> This</w:t>
      </w:r>
      <w:proofErr w:type="gramEnd"/>
      <w:r w:rsidRPr="00993AB6">
        <w:t xml:space="preserve"> is a </w:t>
      </w:r>
      <w:proofErr w:type="spellStart"/>
      <w:r w:rsidRPr="00993AB6">
        <w:t>prespecified</w:t>
      </w:r>
      <w:proofErr w:type="spellEnd"/>
      <w:r w:rsidRPr="00993AB6">
        <w:t xml:space="preserve"> subgroup population for </w:t>
      </w:r>
      <w:r w:rsidR="00885036" w:rsidRPr="00993AB6">
        <w:t xml:space="preserve">the </w:t>
      </w:r>
      <w:r w:rsidRPr="00993AB6">
        <w:t xml:space="preserve">PRIME </w:t>
      </w:r>
      <w:r w:rsidR="00885036" w:rsidRPr="00993AB6">
        <w:t xml:space="preserve">trial </w:t>
      </w:r>
      <w:r w:rsidRPr="00993AB6">
        <w:t xml:space="preserve">and the ITT population for </w:t>
      </w:r>
      <w:r w:rsidR="00885036" w:rsidRPr="00993AB6">
        <w:t xml:space="preserve">the </w:t>
      </w:r>
      <w:r w:rsidRPr="00993AB6">
        <w:t>PEAK</w:t>
      </w:r>
      <w:r w:rsidR="00885036" w:rsidRPr="00993AB6">
        <w:t xml:space="preserve"> trial</w:t>
      </w:r>
      <w:r w:rsidRPr="00993AB6">
        <w:t>.</w:t>
      </w:r>
    </w:p>
    <w:p w:rsidR="00E577FF" w:rsidRPr="00993AB6" w:rsidRDefault="00E577FF" w:rsidP="00B43E2B">
      <w:pPr>
        <w:pStyle w:val="TableFooter"/>
        <w:ind w:firstLine="720"/>
      </w:pPr>
      <w:r w:rsidRPr="00993AB6">
        <w:t>∞Final analysis – Data cut-off August 2010</w:t>
      </w:r>
    </w:p>
    <w:p w:rsidR="00E577FF" w:rsidRPr="00993AB6" w:rsidRDefault="00E577FF" w:rsidP="00B43E2B">
      <w:pPr>
        <w:pStyle w:val="TableFooter"/>
        <w:ind w:firstLine="720"/>
      </w:pPr>
      <w:r w:rsidRPr="00993AB6">
        <w:t>§Updated analysis – Data cut-off 3 January 2013</w:t>
      </w:r>
      <w:r w:rsidR="00317D39" w:rsidRPr="00993AB6">
        <w:t>.</w:t>
      </w:r>
    </w:p>
    <w:p w:rsidR="00317D39" w:rsidRPr="00993AB6" w:rsidRDefault="00317D39" w:rsidP="00B43E2B">
      <w:pPr>
        <w:pStyle w:val="TableFooter"/>
        <w:ind w:left="720"/>
      </w:pPr>
      <w:r w:rsidRPr="00993AB6">
        <w:t xml:space="preserve">∆The interaction test for the 2012 data cut-off (which compared the </w:t>
      </w:r>
      <w:r w:rsidRPr="00993AB6">
        <w:rPr>
          <w:i/>
        </w:rPr>
        <w:t>RAS</w:t>
      </w:r>
      <w:r w:rsidRPr="00993AB6">
        <w:t xml:space="preserve"> WT hazard ratio </w:t>
      </w:r>
      <w:r w:rsidR="001A7755">
        <w:rPr>
          <w:noProof/>
          <w:color w:val="000000"/>
          <w:highlight w:val="black"/>
        </w:rPr>
        <w:t>'''''''''''''''''''''''''' '''''''''''' '''''' ''''''''''''' ''''''''''''</w:t>
      </w:r>
      <w:r w:rsidRPr="00993AB6">
        <w:t xml:space="preserve"> and the </w:t>
      </w:r>
      <w:r w:rsidRPr="00993AB6">
        <w:rPr>
          <w:i/>
        </w:rPr>
        <w:t>KRAS</w:t>
      </w:r>
      <w:r w:rsidRPr="00993AB6">
        <w:t xml:space="preserve"> WT, </w:t>
      </w:r>
      <w:r w:rsidRPr="00993AB6">
        <w:rPr>
          <w:i/>
        </w:rPr>
        <w:t>RAS</w:t>
      </w:r>
      <w:r w:rsidRPr="00993AB6">
        <w:t xml:space="preserve"> mutant hazard ratio </w:t>
      </w:r>
      <w:r w:rsidR="001A7755">
        <w:rPr>
          <w:noProof/>
          <w:color w:val="000000"/>
          <w:highlight w:val="black"/>
        </w:rPr>
        <w:t>'''''''''''''''''''''' '''''''''' ''''''' ''''''''''''''' '''''''''''''</w:t>
      </w:r>
      <w:r w:rsidRPr="00993AB6">
        <w:t xml:space="preserve"> was statistically significant (p=0.0476).</w:t>
      </w:r>
    </w:p>
    <w:p w:rsidR="00F24848" w:rsidRPr="00993AB6" w:rsidRDefault="00F24848" w:rsidP="00B43E2B">
      <w:pPr>
        <w:pStyle w:val="TableFooter"/>
        <w:ind w:left="720"/>
      </w:pPr>
      <w:r w:rsidRPr="00993AB6">
        <w:t xml:space="preserve">A hazard ratio &lt;1.0 favours </w:t>
      </w:r>
      <w:proofErr w:type="spellStart"/>
      <w:r w:rsidRPr="00993AB6">
        <w:t>panitumumab</w:t>
      </w:r>
      <w:proofErr w:type="spellEnd"/>
      <w:r w:rsidRPr="00993AB6">
        <w:t xml:space="preserve">. Bev = </w:t>
      </w:r>
      <w:proofErr w:type="spellStart"/>
      <w:r w:rsidRPr="00993AB6">
        <w:t>bevacizumab</w:t>
      </w:r>
      <w:proofErr w:type="spellEnd"/>
      <w:r w:rsidRPr="00993AB6">
        <w:t xml:space="preserve">; </w:t>
      </w:r>
      <w:proofErr w:type="spellStart"/>
      <w:r w:rsidRPr="00993AB6">
        <w:t>Pmab</w:t>
      </w:r>
      <w:proofErr w:type="spellEnd"/>
      <w:r w:rsidRPr="00993AB6">
        <w:t xml:space="preserve"> = </w:t>
      </w:r>
      <w:proofErr w:type="spellStart"/>
      <w:r w:rsidRPr="00993AB6">
        <w:t>panitumumab</w:t>
      </w:r>
      <w:proofErr w:type="spellEnd"/>
      <w:r w:rsidRPr="00993AB6">
        <w:t xml:space="preserve">. CI = confidence interval; </w:t>
      </w:r>
      <w:r w:rsidRPr="00993AB6">
        <w:rPr>
          <w:i/>
        </w:rPr>
        <w:t>KRAS</w:t>
      </w:r>
      <w:r w:rsidRPr="00993AB6">
        <w:t xml:space="preserve"> = Kirsten rat sarcoma-2 viral oncogene; PFS = progression-free survival (Investigator Assessment); </w:t>
      </w:r>
      <w:r w:rsidRPr="00993AB6">
        <w:rPr>
          <w:i/>
        </w:rPr>
        <w:t>RAS</w:t>
      </w:r>
      <w:r w:rsidRPr="00993AB6">
        <w:t xml:space="preserve"> WT (Pre-specified subgroup): rat sarcoma viral oncogene homolog wild type.</w:t>
      </w:r>
    </w:p>
    <w:p w:rsidR="007A658E" w:rsidRPr="006068F2" w:rsidRDefault="007A658E" w:rsidP="0048408D">
      <w:pPr>
        <w:rPr>
          <w:rStyle w:val="CommentReference"/>
          <w:b w:val="0"/>
          <w:sz w:val="22"/>
          <w:szCs w:val="22"/>
          <w:highlight w:val="lightGray"/>
        </w:rPr>
      </w:pPr>
    </w:p>
    <w:p w:rsidR="0048408D" w:rsidRPr="00993AB6" w:rsidRDefault="00A42D8E" w:rsidP="00B43E2B">
      <w:pPr>
        <w:ind w:firstLine="720"/>
        <w:rPr>
          <w:rStyle w:val="CommentReference"/>
        </w:rPr>
      </w:pPr>
      <w:r w:rsidRPr="00993AB6">
        <w:rPr>
          <w:rStyle w:val="CommentReference"/>
        </w:rPr>
        <w:t>O</w:t>
      </w:r>
      <w:r w:rsidR="0048408D" w:rsidRPr="00993AB6">
        <w:rPr>
          <w:rStyle w:val="CommentReference"/>
        </w:rPr>
        <w:t xml:space="preserve">verall survival (OS), by </w:t>
      </w:r>
      <w:r w:rsidR="0048408D" w:rsidRPr="00993AB6">
        <w:rPr>
          <w:rStyle w:val="CommentReference"/>
          <w:i/>
        </w:rPr>
        <w:t>RAS</w:t>
      </w:r>
      <w:r w:rsidR="0048408D" w:rsidRPr="00993AB6">
        <w:rPr>
          <w:rStyle w:val="CommentReference"/>
        </w:rPr>
        <w:t xml:space="preserve"> subgroup, across the dire</w:t>
      </w:r>
      <w:r w:rsidR="004772B6" w:rsidRPr="00993AB6">
        <w:rPr>
          <w:rStyle w:val="CommentReference"/>
        </w:rPr>
        <w:t>ct randomised trials</w:t>
      </w:r>
    </w:p>
    <w:tbl>
      <w:tblPr>
        <w:tblStyle w:val="TableGrid"/>
        <w:tblW w:w="4524" w:type="pct"/>
        <w:tblInd w:w="817" w:type="dxa"/>
        <w:tblLayout w:type="fixed"/>
        <w:tblLook w:val="04A0" w:firstRow="1" w:lastRow="0" w:firstColumn="1" w:lastColumn="0" w:noHBand="0" w:noVBand="1"/>
        <w:tblDescription w:val="Overall survival (OS), by RAS subgroup, across the direct randomised trials"/>
      </w:tblPr>
      <w:tblGrid>
        <w:gridCol w:w="1275"/>
        <w:gridCol w:w="1089"/>
        <w:gridCol w:w="1124"/>
        <w:gridCol w:w="1437"/>
        <w:gridCol w:w="1199"/>
        <w:gridCol w:w="1193"/>
        <w:gridCol w:w="52"/>
        <w:gridCol w:w="994"/>
      </w:tblGrid>
      <w:tr w:rsidR="0048408D" w:rsidRPr="00B43E2B" w:rsidTr="00B43E2B">
        <w:tc>
          <w:tcPr>
            <w:tcW w:w="763" w:type="pct"/>
            <w:tcBorders>
              <w:right w:val="single" w:sz="4" w:space="0" w:color="auto"/>
            </w:tcBorders>
            <w:vAlign w:val="center"/>
          </w:tcPr>
          <w:p w:rsidR="0048408D" w:rsidRPr="00B43E2B" w:rsidRDefault="004772B6" w:rsidP="00F041E3">
            <w:pPr>
              <w:pStyle w:val="ListParagraph"/>
              <w:keepNext/>
              <w:ind w:left="0"/>
              <w:contextualSpacing w:val="0"/>
              <w:rPr>
                <w:rFonts w:ascii="Arial Narrow" w:hAnsi="Arial Narrow"/>
                <w:b/>
                <w:sz w:val="20"/>
              </w:rPr>
            </w:pPr>
            <w:r w:rsidRPr="00B43E2B">
              <w:rPr>
                <w:rFonts w:ascii="Arial Narrow" w:hAnsi="Arial Narrow"/>
                <w:b/>
                <w:sz w:val="20"/>
              </w:rPr>
              <w:t>Trial</w:t>
            </w:r>
          </w:p>
        </w:tc>
        <w:tc>
          <w:tcPr>
            <w:tcW w:w="1323" w:type="pct"/>
            <w:gridSpan w:val="2"/>
            <w:tcBorders>
              <w:left w:val="single" w:sz="4" w:space="0" w:color="auto"/>
              <w:righ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i/>
                <w:sz w:val="20"/>
              </w:rPr>
              <w:t>KRAS</w:t>
            </w:r>
            <w:r w:rsidRPr="00B43E2B">
              <w:rPr>
                <w:rFonts w:ascii="Arial Narrow" w:hAnsi="Arial Narrow"/>
                <w:b/>
                <w:sz w:val="20"/>
              </w:rPr>
              <w:t xml:space="preserve"> Exon 2 WT population</w:t>
            </w:r>
            <w:r w:rsidR="004772B6" w:rsidRPr="00B43E2B">
              <w:rPr>
                <w:rFonts w:ascii="Arial Narrow" w:hAnsi="Arial Narrow"/>
                <w:b/>
                <w:sz w:val="20"/>
                <w:lang w:val="en-US"/>
              </w:rPr>
              <w:t xml:space="preserve"> </w:t>
            </w:r>
            <w:r w:rsidR="004772B6" w:rsidRPr="00B43E2B">
              <w:rPr>
                <w:rFonts w:ascii="Arial Narrow" w:hAnsi="Arial Narrow"/>
                <w:b/>
                <w:sz w:val="20"/>
                <w:vertAlign w:val="superscript"/>
              </w:rPr>
              <w:t>A</w:t>
            </w:r>
          </w:p>
        </w:tc>
        <w:tc>
          <w:tcPr>
            <w:tcW w:w="1576" w:type="pct"/>
            <w:gridSpan w:val="2"/>
            <w:tcBorders>
              <w:left w:val="single" w:sz="4" w:space="0" w:color="auto"/>
              <w:righ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i/>
                <w:sz w:val="20"/>
              </w:rPr>
              <w:t>RAS</w:t>
            </w:r>
            <w:r w:rsidRPr="00B43E2B">
              <w:rPr>
                <w:rFonts w:ascii="Arial Narrow" w:hAnsi="Arial Narrow"/>
                <w:b/>
                <w:sz w:val="20"/>
              </w:rPr>
              <w:t xml:space="preserve"> WT population (</w:t>
            </w:r>
            <w:r w:rsidRPr="00B43E2B">
              <w:rPr>
                <w:rFonts w:ascii="Arial Narrow" w:hAnsi="Arial Narrow"/>
                <w:b/>
                <w:i/>
                <w:sz w:val="20"/>
              </w:rPr>
              <w:t>KRAS</w:t>
            </w:r>
            <w:r w:rsidRPr="00B43E2B">
              <w:rPr>
                <w:rFonts w:ascii="Arial Narrow" w:hAnsi="Arial Narrow"/>
                <w:b/>
                <w:sz w:val="20"/>
              </w:rPr>
              <w:t>/</w:t>
            </w:r>
            <w:r w:rsidRPr="00B43E2B">
              <w:rPr>
                <w:rFonts w:ascii="Arial Narrow" w:hAnsi="Arial Narrow"/>
                <w:b/>
                <w:i/>
                <w:sz w:val="20"/>
              </w:rPr>
              <w:t>NRAS</w:t>
            </w:r>
            <w:r w:rsidRPr="00B43E2B">
              <w:rPr>
                <w:rFonts w:ascii="Arial Narrow" w:hAnsi="Arial Narrow"/>
                <w:b/>
                <w:sz w:val="20"/>
              </w:rPr>
              <w:t xml:space="preserve"> Exons 2/3/4)</w:t>
            </w:r>
          </w:p>
        </w:tc>
        <w:tc>
          <w:tcPr>
            <w:tcW w:w="1338" w:type="pct"/>
            <w:gridSpan w:val="3"/>
            <w:tcBorders>
              <w:lef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i/>
                <w:sz w:val="20"/>
              </w:rPr>
              <w:t>KRAS</w:t>
            </w:r>
            <w:r w:rsidRPr="00B43E2B">
              <w:rPr>
                <w:rFonts w:ascii="Arial Narrow" w:hAnsi="Arial Narrow"/>
                <w:b/>
                <w:sz w:val="20"/>
              </w:rPr>
              <w:t xml:space="preserve"> Exon 2 WT, </w:t>
            </w:r>
            <w:r w:rsidRPr="00B43E2B">
              <w:rPr>
                <w:rFonts w:ascii="Arial Narrow" w:hAnsi="Arial Narrow"/>
                <w:b/>
                <w:i/>
                <w:sz w:val="20"/>
              </w:rPr>
              <w:t>RAS</w:t>
            </w:r>
            <w:r w:rsidRPr="00B43E2B">
              <w:rPr>
                <w:rFonts w:ascii="Arial Narrow" w:hAnsi="Arial Narrow"/>
                <w:b/>
                <w:sz w:val="20"/>
              </w:rPr>
              <w:t xml:space="preserve"> M+ population</w:t>
            </w:r>
          </w:p>
        </w:tc>
      </w:tr>
      <w:tr w:rsidR="0048408D" w:rsidRPr="00B43E2B" w:rsidTr="00B43E2B">
        <w:tc>
          <w:tcPr>
            <w:tcW w:w="763" w:type="pct"/>
            <w:tcBorders>
              <w:bottom w:val="nil"/>
              <w:right w:val="single" w:sz="4" w:space="0" w:color="auto"/>
            </w:tcBorders>
            <w:vAlign w:val="center"/>
          </w:tcPr>
          <w:p w:rsidR="0048408D" w:rsidRPr="00B43E2B" w:rsidRDefault="0048408D" w:rsidP="00F041E3">
            <w:pPr>
              <w:pStyle w:val="ListParagraph"/>
              <w:keepNext/>
              <w:ind w:left="0"/>
              <w:contextualSpacing w:val="0"/>
              <w:rPr>
                <w:rFonts w:ascii="Arial Narrow" w:hAnsi="Arial Narrow"/>
                <w:b/>
                <w:sz w:val="20"/>
              </w:rPr>
            </w:pPr>
            <w:r w:rsidRPr="00B43E2B">
              <w:rPr>
                <w:rFonts w:ascii="Arial Narrow" w:hAnsi="Arial Narrow"/>
                <w:b/>
                <w:sz w:val="20"/>
                <w:u w:val="single"/>
              </w:rPr>
              <w:t>PRIME</w:t>
            </w:r>
            <w:r w:rsidR="00D12B50" w:rsidRPr="00B43E2B">
              <w:rPr>
                <w:rFonts w:ascii="Arial Narrow" w:hAnsi="Arial Narrow"/>
                <w:b/>
                <w:sz w:val="20"/>
                <w:u w:val="single"/>
              </w:rPr>
              <w:t>^</w:t>
            </w:r>
          </w:p>
        </w:tc>
        <w:tc>
          <w:tcPr>
            <w:tcW w:w="651" w:type="pct"/>
            <w:tcBorders>
              <w:left w:val="single" w:sz="4" w:space="0" w:color="auto"/>
              <w:bottom w:val="single" w:sz="4" w:space="0" w:color="auto"/>
              <w:righ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672" w:type="pct"/>
            <w:tcBorders>
              <w:left w:val="single" w:sz="4" w:space="0" w:color="auto"/>
              <w:bottom w:val="single" w:sz="4" w:space="0" w:color="auto"/>
              <w:righ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sz w:val="20"/>
              </w:rPr>
              <w:t>FOX</w:t>
            </w:r>
          </w:p>
        </w:tc>
        <w:tc>
          <w:tcPr>
            <w:tcW w:w="859" w:type="pct"/>
            <w:tcBorders>
              <w:left w:val="single" w:sz="4" w:space="0" w:color="auto"/>
              <w:bottom w:val="single" w:sz="4" w:space="0" w:color="auto"/>
              <w:righ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17" w:type="pct"/>
            <w:tcBorders>
              <w:left w:val="single" w:sz="4" w:space="0" w:color="auto"/>
              <w:bottom w:val="single" w:sz="4" w:space="0" w:color="auto"/>
              <w:righ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sz w:val="20"/>
              </w:rPr>
              <w:t>FOX</w:t>
            </w:r>
          </w:p>
        </w:tc>
        <w:tc>
          <w:tcPr>
            <w:tcW w:w="744" w:type="pct"/>
            <w:gridSpan w:val="2"/>
            <w:tcBorders>
              <w:left w:val="single" w:sz="4" w:space="0" w:color="auto"/>
              <w:bottom w:val="single" w:sz="4" w:space="0" w:color="auto"/>
              <w:righ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594" w:type="pct"/>
            <w:tcBorders>
              <w:left w:val="single" w:sz="4" w:space="0" w:color="auto"/>
              <w:bottom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sz w:val="20"/>
              </w:rPr>
              <w:t>FOX</w:t>
            </w:r>
          </w:p>
        </w:tc>
      </w:tr>
      <w:tr w:rsidR="0048408D" w:rsidRPr="00B43E2B" w:rsidTr="00B43E2B">
        <w:trPr>
          <w:trHeight w:val="648"/>
        </w:trPr>
        <w:tc>
          <w:tcPr>
            <w:tcW w:w="763" w:type="pct"/>
            <w:tcBorders>
              <w:top w:val="nil"/>
              <w:right w:val="single" w:sz="4" w:space="0" w:color="auto"/>
            </w:tcBorders>
          </w:tcPr>
          <w:p w:rsidR="0048408D" w:rsidRPr="00B43E2B" w:rsidRDefault="0048408D"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N</w:t>
            </w:r>
          </w:p>
          <w:p w:rsidR="0048408D" w:rsidRPr="00B43E2B" w:rsidRDefault="0048408D"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Median OS, months</w:t>
            </w:r>
          </w:p>
          <w:p w:rsidR="0048408D" w:rsidRPr="00B43E2B" w:rsidRDefault="0048408D"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(95% CI)</w:t>
            </w:r>
          </w:p>
        </w:tc>
        <w:tc>
          <w:tcPr>
            <w:tcW w:w="651" w:type="pct"/>
            <w:tcBorders>
              <w:left w:val="single" w:sz="4" w:space="0" w:color="auto"/>
              <w:right w:val="single" w:sz="4" w:space="0" w:color="auto"/>
            </w:tcBorders>
          </w:tcPr>
          <w:p w:rsidR="0048408D" w:rsidRPr="00B43E2B" w:rsidRDefault="0048408D" w:rsidP="00F041E3">
            <w:pPr>
              <w:pStyle w:val="TableText0"/>
              <w:keepNext w:val="0"/>
              <w:spacing w:before="0" w:after="0"/>
              <w:jc w:val="center"/>
              <w:rPr>
                <w:rFonts w:cs="Arial"/>
                <w:lang w:eastAsia="en-AU"/>
              </w:rPr>
            </w:pPr>
            <w:r w:rsidRPr="00B43E2B">
              <w:t>325</w:t>
            </w:r>
            <w:r w:rsidRPr="00B43E2B">
              <w:br/>
            </w:r>
            <w:r w:rsidRPr="00B43E2B">
              <w:rPr>
                <w:rFonts w:cs="Arial"/>
                <w:lang w:eastAsia="en-AU"/>
              </w:rPr>
              <w:t>23.9</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lang w:eastAsia="en-AU"/>
              </w:rPr>
              <w:t>(20.3, 27.7)</w:t>
            </w:r>
          </w:p>
        </w:tc>
        <w:tc>
          <w:tcPr>
            <w:tcW w:w="672" w:type="pct"/>
            <w:tcBorders>
              <w:left w:val="single" w:sz="4" w:space="0" w:color="auto"/>
              <w:right w:val="single" w:sz="4" w:space="0" w:color="auto"/>
            </w:tcBorders>
          </w:tcPr>
          <w:p w:rsidR="0048408D" w:rsidRPr="00B43E2B" w:rsidRDefault="0048408D" w:rsidP="00F041E3">
            <w:pPr>
              <w:pStyle w:val="TableText0"/>
              <w:keepNext w:val="0"/>
              <w:spacing w:before="0" w:after="0"/>
              <w:jc w:val="center"/>
              <w:rPr>
                <w:rFonts w:cs="Arial"/>
                <w:lang w:eastAsia="en-AU"/>
              </w:rPr>
            </w:pPr>
            <w:r w:rsidRPr="00B43E2B">
              <w:t>331</w:t>
            </w:r>
            <w:r w:rsidRPr="00B43E2B">
              <w:br/>
            </w:r>
            <w:r w:rsidRPr="00B43E2B">
              <w:rPr>
                <w:rFonts w:cs="Arial"/>
                <w:lang w:eastAsia="en-AU"/>
              </w:rPr>
              <w:t>19.7</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napToGrid/>
                <w:sz w:val="20"/>
                <w:lang w:eastAsia="en-AU"/>
              </w:rPr>
              <w:t>(17.6, 22.7)</w:t>
            </w:r>
          </w:p>
        </w:tc>
        <w:tc>
          <w:tcPr>
            <w:tcW w:w="859" w:type="pct"/>
            <w:tcBorders>
              <w:left w:val="single" w:sz="4" w:space="0" w:color="auto"/>
              <w:right w:val="single" w:sz="4" w:space="0" w:color="auto"/>
            </w:tcBorders>
          </w:tcPr>
          <w:p w:rsidR="0048408D" w:rsidRPr="00B43E2B" w:rsidRDefault="0048408D" w:rsidP="00F041E3">
            <w:pPr>
              <w:pStyle w:val="TableText0"/>
              <w:keepNext w:val="0"/>
              <w:spacing w:before="0" w:after="0"/>
              <w:jc w:val="center"/>
              <w:rPr>
                <w:rFonts w:cs="Arial"/>
                <w:lang w:val="en-US" w:eastAsia="en-AU"/>
              </w:rPr>
            </w:pPr>
            <w:r w:rsidRPr="00B43E2B">
              <w:t>259</w:t>
            </w:r>
            <w:r w:rsidRPr="00B43E2B">
              <w:br/>
            </w:r>
            <w:r w:rsidRPr="00B43E2B">
              <w:rPr>
                <w:rFonts w:cs="Arial"/>
                <w:lang w:val="en-US" w:eastAsia="en-AU"/>
              </w:rPr>
              <w:t>25.8</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lang w:val="en-US" w:eastAsia="en-AU"/>
              </w:rPr>
              <w:t>(21.7, 29.7)</w:t>
            </w:r>
          </w:p>
        </w:tc>
        <w:tc>
          <w:tcPr>
            <w:tcW w:w="717" w:type="pct"/>
            <w:tcBorders>
              <w:left w:val="single" w:sz="4" w:space="0" w:color="auto"/>
              <w:right w:val="single" w:sz="4" w:space="0" w:color="auto"/>
            </w:tcBorders>
          </w:tcPr>
          <w:p w:rsidR="0048408D" w:rsidRPr="00B43E2B" w:rsidRDefault="0048408D" w:rsidP="00F041E3">
            <w:pPr>
              <w:pStyle w:val="TableText0"/>
              <w:keepNext w:val="0"/>
              <w:spacing w:before="0" w:after="0"/>
              <w:jc w:val="center"/>
              <w:rPr>
                <w:rFonts w:cs="Arial"/>
                <w:lang w:val="en-US" w:eastAsia="en-AU"/>
              </w:rPr>
            </w:pPr>
            <w:r w:rsidRPr="00B43E2B">
              <w:t>253</w:t>
            </w:r>
            <w:r w:rsidRPr="00B43E2B">
              <w:br/>
            </w:r>
            <w:r w:rsidRPr="00B43E2B">
              <w:rPr>
                <w:rFonts w:cs="Arial"/>
                <w:lang w:val="en-US" w:eastAsia="en-AU"/>
              </w:rPr>
              <w:t>20.2</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lang w:val="en-US" w:eastAsia="en-AU"/>
              </w:rPr>
              <w:t>(17.6, 23.6)</w:t>
            </w:r>
          </w:p>
        </w:tc>
        <w:tc>
          <w:tcPr>
            <w:tcW w:w="744" w:type="pct"/>
            <w:gridSpan w:val="2"/>
            <w:tcBorders>
              <w:left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napToGrid/>
                <w:sz w:val="20"/>
                <w:lang w:eastAsia="en-AU"/>
              </w:rPr>
            </w:pPr>
            <w:r w:rsidRPr="00B43E2B">
              <w:rPr>
                <w:rFonts w:ascii="Arial Narrow" w:hAnsi="Arial Narrow"/>
                <w:sz w:val="20"/>
              </w:rPr>
              <w:t>51</w:t>
            </w:r>
            <w:r w:rsidRPr="00B43E2B">
              <w:rPr>
                <w:rFonts w:ascii="Arial Narrow" w:hAnsi="Arial Narrow"/>
                <w:sz w:val="20"/>
              </w:rPr>
              <w:br/>
            </w:r>
            <w:r w:rsidRPr="00B43E2B">
              <w:rPr>
                <w:rFonts w:ascii="Arial Narrow" w:hAnsi="Arial Narrow"/>
                <w:snapToGrid/>
                <w:sz w:val="20"/>
                <w:lang w:eastAsia="en-AU"/>
              </w:rPr>
              <w:t>17.1</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napToGrid/>
                <w:sz w:val="20"/>
                <w:lang w:eastAsia="en-AU"/>
              </w:rPr>
              <w:t>(10.8, 19.4)</w:t>
            </w:r>
          </w:p>
        </w:tc>
        <w:tc>
          <w:tcPr>
            <w:tcW w:w="594" w:type="pct"/>
            <w:tcBorders>
              <w:lef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57</w:t>
            </w:r>
            <w:r w:rsidRPr="00B43E2B">
              <w:rPr>
                <w:rFonts w:ascii="Arial Narrow" w:hAnsi="Arial Narrow"/>
                <w:sz w:val="20"/>
              </w:rPr>
              <w:br/>
              <w:t>17.8</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napToGrid/>
                <w:sz w:val="20"/>
                <w:lang w:eastAsia="en-AU"/>
              </w:rPr>
              <w:t>(13.0, 23.2)</w:t>
            </w:r>
          </w:p>
        </w:tc>
      </w:tr>
      <w:tr w:rsidR="0048408D" w:rsidRPr="00B43E2B" w:rsidTr="00B43E2B">
        <w:tc>
          <w:tcPr>
            <w:tcW w:w="763" w:type="pct"/>
            <w:tcBorders>
              <w:top w:val="single" w:sz="4" w:space="0" w:color="auto"/>
              <w:bottom w:val="nil"/>
              <w:right w:val="single" w:sz="4" w:space="0" w:color="auto"/>
            </w:tcBorders>
          </w:tcPr>
          <w:p w:rsidR="0048408D" w:rsidRPr="00B43E2B" w:rsidRDefault="0048408D" w:rsidP="00F041E3">
            <w:pPr>
              <w:pStyle w:val="ListParagraph"/>
              <w:keepNext/>
              <w:tabs>
                <w:tab w:val="left" w:pos="1168"/>
              </w:tabs>
              <w:ind w:left="0" w:right="-57"/>
              <w:contextualSpacing w:val="0"/>
              <w:rPr>
                <w:rFonts w:ascii="Arial Narrow" w:hAnsi="Arial Narrow"/>
                <w:sz w:val="20"/>
              </w:rPr>
            </w:pPr>
            <w:r w:rsidRPr="00B43E2B">
              <w:rPr>
                <w:rFonts w:ascii="Arial Narrow" w:hAnsi="Arial Narrow"/>
                <w:sz w:val="20"/>
              </w:rPr>
              <w:t>Difference in OS</w:t>
            </w:r>
          </w:p>
        </w:tc>
        <w:tc>
          <w:tcPr>
            <w:tcW w:w="1323" w:type="pct"/>
            <w:gridSpan w:val="2"/>
            <w:vMerge w:val="restart"/>
            <w:tcBorders>
              <w:top w:val="single" w:sz="4" w:space="0" w:color="auto"/>
              <w:left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+4.2</w:t>
            </w:r>
          </w:p>
          <w:p w:rsidR="00B43E2B" w:rsidRDefault="00B43E2B" w:rsidP="00F041E3">
            <w:pPr>
              <w:pStyle w:val="ListParagraph"/>
              <w:keepNext/>
              <w:ind w:left="0"/>
              <w:jc w:val="center"/>
              <w:rPr>
                <w:rFonts w:ascii="Arial Narrow" w:hAnsi="Arial Narrow"/>
                <w:sz w:val="20"/>
              </w:rPr>
            </w:pPr>
          </w:p>
          <w:p w:rsidR="0048408D" w:rsidRPr="00B43E2B" w:rsidRDefault="0048408D" w:rsidP="00F041E3">
            <w:pPr>
              <w:pStyle w:val="ListParagraph"/>
              <w:keepNext/>
              <w:ind w:left="0"/>
              <w:jc w:val="center"/>
              <w:rPr>
                <w:rFonts w:ascii="Arial Narrow" w:hAnsi="Arial Narrow"/>
                <w:sz w:val="20"/>
              </w:rPr>
            </w:pPr>
            <w:r w:rsidRPr="00B43E2B">
              <w:rPr>
                <w:rFonts w:ascii="Arial Narrow" w:hAnsi="Arial Narrow"/>
                <w:sz w:val="20"/>
              </w:rPr>
              <w:t>0.88 (0.73,1.06)</w:t>
            </w:r>
          </w:p>
        </w:tc>
        <w:tc>
          <w:tcPr>
            <w:tcW w:w="1576" w:type="pct"/>
            <w:gridSpan w:val="2"/>
            <w:vMerge w:val="restart"/>
            <w:tcBorders>
              <w:top w:val="single" w:sz="4" w:space="0" w:color="auto"/>
              <w:left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+5.6</w:t>
            </w:r>
          </w:p>
          <w:p w:rsidR="00B43E2B" w:rsidRDefault="00B43E2B" w:rsidP="00F041E3">
            <w:pPr>
              <w:pStyle w:val="ListParagraph"/>
              <w:keepNext/>
              <w:ind w:left="0"/>
              <w:jc w:val="center"/>
              <w:rPr>
                <w:rFonts w:ascii="Arial Narrow" w:hAnsi="Arial Narrow"/>
                <w:sz w:val="20"/>
              </w:rPr>
            </w:pPr>
          </w:p>
          <w:p w:rsidR="0048408D" w:rsidRPr="00B43E2B" w:rsidRDefault="0048408D" w:rsidP="00F041E3">
            <w:pPr>
              <w:pStyle w:val="ListParagraph"/>
              <w:keepNext/>
              <w:ind w:left="0"/>
              <w:jc w:val="center"/>
              <w:rPr>
                <w:rFonts w:ascii="Arial Narrow" w:hAnsi="Arial Narrow"/>
                <w:sz w:val="20"/>
              </w:rPr>
            </w:pPr>
            <w:r w:rsidRPr="00B43E2B">
              <w:rPr>
                <w:rFonts w:ascii="Arial Narrow" w:hAnsi="Arial Narrow"/>
                <w:sz w:val="20"/>
              </w:rPr>
              <w:t>0.77 (0.64, 0.94)</w:t>
            </w:r>
          </w:p>
        </w:tc>
        <w:tc>
          <w:tcPr>
            <w:tcW w:w="1338" w:type="pct"/>
            <w:gridSpan w:val="3"/>
            <w:vMerge w:val="restart"/>
            <w:tcBorders>
              <w:top w:val="single" w:sz="4" w:space="0" w:color="auto"/>
              <w:lef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-0.7</w:t>
            </w:r>
          </w:p>
          <w:p w:rsidR="00B43E2B" w:rsidRDefault="00B43E2B" w:rsidP="00F041E3">
            <w:pPr>
              <w:pStyle w:val="ListParagraph"/>
              <w:keepNext/>
              <w:ind w:left="0"/>
              <w:jc w:val="center"/>
              <w:rPr>
                <w:rFonts w:ascii="Arial Narrow" w:hAnsi="Arial Narrow"/>
                <w:sz w:val="20"/>
              </w:rPr>
            </w:pPr>
          </w:p>
          <w:p w:rsidR="0048408D" w:rsidRPr="00B43E2B" w:rsidRDefault="0048408D" w:rsidP="00F041E3">
            <w:pPr>
              <w:pStyle w:val="ListParagraph"/>
              <w:keepNext/>
              <w:ind w:left="0"/>
              <w:jc w:val="center"/>
              <w:rPr>
                <w:rFonts w:ascii="Arial Narrow" w:hAnsi="Arial Narrow"/>
                <w:sz w:val="20"/>
              </w:rPr>
            </w:pPr>
            <w:r w:rsidRPr="00B43E2B">
              <w:rPr>
                <w:rFonts w:ascii="Arial Narrow" w:hAnsi="Arial Narrow"/>
                <w:sz w:val="20"/>
              </w:rPr>
              <w:t>1.39 (0.91, 2.13)</w:t>
            </w:r>
          </w:p>
        </w:tc>
      </w:tr>
      <w:tr w:rsidR="0048408D" w:rsidRPr="00B43E2B" w:rsidTr="00B43E2B">
        <w:tc>
          <w:tcPr>
            <w:tcW w:w="763" w:type="pct"/>
            <w:tcBorders>
              <w:top w:val="nil"/>
              <w:bottom w:val="single" w:sz="4" w:space="0" w:color="auto"/>
              <w:right w:val="single" w:sz="4" w:space="0" w:color="auto"/>
            </w:tcBorders>
          </w:tcPr>
          <w:p w:rsidR="0048408D" w:rsidRPr="00B43E2B" w:rsidRDefault="0048408D" w:rsidP="00F041E3">
            <w:pPr>
              <w:pStyle w:val="ListParagraph"/>
              <w:keepNext/>
              <w:tabs>
                <w:tab w:val="left" w:pos="1168"/>
              </w:tabs>
              <w:ind w:left="0" w:right="-57"/>
              <w:contextualSpacing w:val="0"/>
              <w:rPr>
                <w:rFonts w:ascii="Arial Narrow" w:hAnsi="Arial Narrow"/>
                <w:sz w:val="20"/>
              </w:rPr>
            </w:pPr>
            <w:r w:rsidRPr="00B43E2B">
              <w:rPr>
                <w:rFonts w:ascii="Arial Narrow" w:hAnsi="Arial Narrow"/>
                <w:sz w:val="20"/>
              </w:rPr>
              <w:t>HR (95% CI)</w:t>
            </w:r>
          </w:p>
        </w:tc>
        <w:tc>
          <w:tcPr>
            <w:tcW w:w="1323" w:type="pct"/>
            <w:gridSpan w:val="2"/>
            <w:vMerge/>
            <w:tcBorders>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p>
        </w:tc>
        <w:tc>
          <w:tcPr>
            <w:tcW w:w="1576" w:type="pct"/>
            <w:gridSpan w:val="2"/>
            <w:vMerge/>
            <w:tcBorders>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p>
        </w:tc>
        <w:tc>
          <w:tcPr>
            <w:tcW w:w="1338" w:type="pct"/>
            <w:gridSpan w:val="3"/>
            <w:vMerge/>
            <w:tcBorders>
              <w:left w:val="single" w:sz="4" w:space="0" w:color="auto"/>
              <w:bottom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p>
        </w:tc>
      </w:tr>
      <w:tr w:rsidR="0048408D" w:rsidRPr="00B43E2B" w:rsidTr="00B43E2B">
        <w:tc>
          <w:tcPr>
            <w:tcW w:w="2086" w:type="pct"/>
            <w:gridSpan w:val="3"/>
            <w:tcBorders>
              <w:top w:val="single" w:sz="4" w:space="0" w:color="auto"/>
              <w:bottom w:val="single" w:sz="4" w:space="0" w:color="auto"/>
              <w:right w:val="single" w:sz="4" w:space="0" w:color="auto"/>
            </w:tcBorders>
          </w:tcPr>
          <w:p w:rsidR="0048408D" w:rsidRPr="00B43E2B" w:rsidRDefault="00E9334F" w:rsidP="00F041E3">
            <w:pPr>
              <w:pStyle w:val="ListParagraph"/>
              <w:ind w:left="0"/>
              <w:contextualSpacing w:val="0"/>
              <w:jc w:val="left"/>
              <w:rPr>
                <w:rFonts w:ascii="Arial Narrow" w:hAnsi="Arial Narrow"/>
                <w:sz w:val="20"/>
              </w:rPr>
            </w:pPr>
            <w:r w:rsidRPr="00B43E2B">
              <w:rPr>
                <w:rFonts w:ascii="Arial Narrow" w:hAnsi="Arial Narrow"/>
                <w:sz w:val="20"/>
              </w:rPr>
              <w:t xml:space="preserve">Interaction </w:t>
            </w:r>
            <w:r w:rsidR="004772B6" w:rsidRPr="00B43E2B">
              <w:rPr>
                <w:rFonts w:ascii="Arial Narrow" w:hAnsi="Arial Narrow"/>
                <w:sz w:val="20"/>
              </w:rPr>
              <w:t>t</w:t>
            </w:r>
            <w:r w:rsidRPr="00B43E2B">
              <w:rPr>
                <w:rFonts w:ascii="Arial Narrow" w:hAnsi="Arial Narrow"/>
                <w:sz w:val="20"/>
              </w:rPr>
              <w:t xml:space="preserve">est </w:t>
            </w:r>
            <w:r w:rsidRPr="00B43E2B">
              <w:rPr>
                <w:rFonts w:ascii="Arial Narrow" w:hAnsi="Arial Narrow"/>
                <w:i/>
                <w:sz w:val="20"/>
              </w:rPr>
              <w:t>RAS</w:t>
            </w:r>
            <w:r w:rsidRPr="00B43E2B">
              <w:rPr>
                <w:rFonts w:ascii="Arial Narrow" w:hAnsi="Arial Narrow"/>
                <w:sz w:val="20"/>
              </w:rPr>
              <w:t xml:space="preserve"> WT vs </w:t>
            </w:r>
            <w:r w:rsidRPr="00B43E2B">
              <w:rPr>
                <w:rFonts w:ascii="Arial Narrow" w:hAnsi="Arial Narrow"/>
                <w:i/>
                <w:sz w:val="20"/>
              </w:rPr>
              <w:t>KRAS</w:t>
            </w:r>
            <w:r w:rsidRPr="00B43E2B">
              <w:rPr>
                <w:rFonts w:ascii="Arial Narrow" w:hAnsi="Arial Narrow"/>
                <w:sz w:val="20"/>
              </w:rPr>
              <w:t xml:space="preserve"> Exon 2 WT, </w:t>
            </w:r>
            <w:r w:rsidRPr="00B43E2B">
              <w:rPr>
                <w:rFonts w:ascii="Arial Narrow" w:hAnsi="Arial Narrow"/>
                <w:i/>
                <w:sz w:val="20"/>
              </w:rPr>
              <w:t>RAS</w:t>
            </w:r>
            <w:r w:rsidRPr="00B43E2B">
              <w:rPr>
                <w:rFonts w:ascii="Arial Narrow" w:hAnsi="Arial Narrow"/>
                <w:sz w:val="20"/>
              </w:rPr>
              <w:t xml:space="preserve"> M+</w:t>
            </w:r>
          </w:p>
        </w:tc>
        <w:tc>
          <w:tcPr>
            <w:tcW w:w="2914" w:type="pct"/>
            <w:gridSpan w:val="5"/>
            <w:tcBorders>
              <w:top w:val="single" w:sz="4" w:space="0" w:color="auto"/>
              <w:left w:val="single" w:sz="4" w:space="0" w:color="auto"/>
              <w:bottom w:val="single" w:sz="4" w:space="0" w:color="auto"/>
            </w:tcBorders>
          </w:tcPr>
          <w:p w:rsidR="0048408D" w:rsidRPr="00B43E2B" w:rsidRDefault="00A56AEB" w:rsidP="00F041E3">
            <w:pPr>
              <w:pStyle w:val="ListParagraph"/>
              <w:ind w:left="0"/>
              <w:contextualSpacing w:val="0"/>
              <w:jc w:val="center"/>
              <w:rPr>
                <w:rFonts w:ascii="Arial Narrow" w:hAnsi="Arial Narrow"/>
                <w:sz w:val="20"/>
              </w:rPr>
            </w:pPr>
            <w:r w:rsidRPr="00B43E2B">
              <w:rPr>
                <w:rFonts w:ascii="Arial Narrow" w:hAnsi="Arial Narrow"/>
                <w:sz w:val="20"/>
              </w:rPr>
              <w:t>p = 0.0</w:t>
            </w:r>
            <w:r w:rsidR="0048408D" w:rsidRPr="00B43E2B">
              <w:rPr>
                <w:rFonts w:ascii="Arial Narrow" w:hAnsi="Arial Narrow"/>
                <w:sz w:val="20"/>
              </w:rPr>
              <w:t>128</w:t>
            </w:r>
          </w:p>
        </w:tc>
      </w:tr>
      <w:tr w:rsidR="0048408D" w:rsidRPr="00B43E2B" w:rsidTr="00B43E2B">
        <w:tc>
          <w:tcPr>
            <w:tcW w:w="763" w:type="pct"/>
            <w:tcBorders>
              <w:top w:val="single" w:sz="4" w:space="0" w:color="auto"/>
              <w:bottom w:val="nil"/>
              <w:right w:val="single" w:sz="4" w:space="0" w:color="auto"/>
            </w:tcBorders>
          </w:tcPr>
          <w:p w:rsidR="0048408D" w:rsidRPr="00B43E2B" w:rsidRDefault="0048408D" w:rsidP="00F041E3">
            <w:pPr>
              <w:pStyle w:val="ListParagraph"/>
              <w:keepNext/>
              <w:tabs>
                <w:tab w:val="left" w:pos="1168"/>
              </w:tabs>
              <w:ind w:left="0" w:right="-113"/>
              <w:contextualSpacing w:val="0"/>
              <w:rPr>
                <w:rFonts w:ascii="Arial Narrow" w:hAnsi="Arial Narrow"/>
                <w:b/>
                <w:sz w:val="20"/>
                <w:u w:val="single"/>
              </w:rPr>
            </w:pPr>
            <w:r w:rsidRPr="00B43E2B">
              <w:rPr>
                <w:rFonts w:ascii="Arial Narrow" w:hAnsi="Arial Narrow"/>
                <w:b/>
                <w:sz w:val="20"/>
                <w:u w:val="single"/>
              </w:rPr>
              <w:t>PEAK</w:t>
            </w:r>
            <w:r w:rsidR="00D12B50" w:rsidRPr="00B43E2B">
              <w:rPr>
                <w:rFonts w:ascii="Arial Narrow" w:hAnsi="Arial Narrow"/>
                <w:b/>
                <w:sz w:val="20"/>
                <w:u w:val="single"/>
              </w:rPr>
              <w:t>*</w:t>
            </w:r>
          </w:p>
        </w:tc>
        <w:tc>
          <w:tcPr>
            <w:tcW w:w="651"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672"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sz w:val="20"/>
              </w:rPr>
              <w:t>Bev</w:t>
            </w:r>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859"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17"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sz w:val="20"/>
              </w:rPr>
              <w:t>Bev</w:t>
            </w:r>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713"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proofErr w:type="spellStart"/>
            <w:r w:rsidRPr="00B43E2B">
              <w:rPr>
                <w:rFonts w:ascii="Arial Narrow" w:hAnsi="Arial Narrow"/>
                <w:b/>
                <w:sz w:val="20"/>
              </w:rPr>
              <w:t>Pmab</w:t>
            </w:r>
            <w:proofErr w:type="spellEnd"/>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c>
          <w:tcPr>
            <w:tcW w:w="625" w:type="pct"/>
            <w:gridSpan w:val="2"/>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b/>
                <w:sz w:val="20"/>
              </w:rPr>
            </w:pPr>
            <w:r w:rsidRPr="00B43E2B">
              <w:rPr>
                <w:rFonts w:ascii="Arial Narrow" w:hAnsi="Arial Narrow"/>
                <w:b/>
                <w:sz w:val="20"/>
              </w:rPr>
              <w:t>Bev</w:t>
            </w:r>
            <w:r w:rsidR="00131AC7" w:rsidRPr="00B43E2B">
              <w:rPr>
                <w:rFonts w:ascii="Arial Narrow" w:hAnsi="Arial Narrow"/>
                <w:b/>
                <w:sz w:val="20"/>
              </w:rPr>
              <w:t xml:space="preserve"> </w:t>
            </w:r>
            <w:r w:rsidRPr="00B43E2B">
              <w:rPr>
                <w:rFonts w:ascii="Arial Narrow" w:hAnsi="Arial Narrow"/>
                <w:b/>
                <w:sz w:val="20"/>
              </w:rPr>
              <w:t>+</w:t>
            </w:r>
            <w:r w:rsidR="00131AC7" w:rsidRPr="00B43E2B">
              <w:rPr>
                <w:rFonts w:ascii="Arial Narrow" w:hAnsi="Arial Narrow"/>
                <w:b/>
                <w:sz w:val="20"/>
              </w:rPr>
              <w:t xml:space="preserve"> </w:t>
            </w:r>
            <w:r w:rsidRPr="00B43E2B">
              <w:rPr>
                <w:rFonts w:ascii="Arial Narrow" w:hAnsi="Arial Narrow"/>
                <w:b/>
                <w:sz w:val="20"/>
              </w:rPr>
              <w:t>FOX</w:t>
            </w:r>
          </w:p>
        </w:tc>
      </w:tr>
      <w:tr w:rsidR="0048408D" w:rsidRPr="00B43E2B" w:rsidTr="00B43E2B">
        <w:tc>
          <w:tcPr>
            <w:tcW w:w="763" w:type="pct"/>
            <w:tcBorders>
              <w:top w:val="nil"/>
              <w:bottom w:val="nil"/>
              <w:right w:val="single" w:sz="4" w:space="0" w:color="auto"/>
            </w:tcBorders>
          </w:tcPr>
          <w:p w:rsidR="0048408D" w:rsidRPr="00B43E2B" w:rsidRDefault="0048408D"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N</w:t>
            </w:r>
          </w:p>
          <w:p w:rsidR="0048408D" w:rsidRPr="00B43E2B" w:rsidRDefault="0048408D"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Median OS, months</w:t>
            </w:r>
          </w:p>
          <w:p w:rsidR="0048408D" w:rsidRPr="00B43E2B" w:rsidRDefault="0048408D" w:rsidP="00F041E3">
            <w:pPr>
              <w:pStyle w:val="ListParagraph"/>
              <w:keepNext/>
              <w:tabs>
                <w:tab w:val="left" w:pos="1168"/>
              </w:tabs>
              <w:ind w:left="0" w:right="-113"/>
              <w:contextualSpacing w:val="0"/>
              <w:rPr>
                <w:rFonts w:ascii="Arial Narrow" w:hAnsi="Arial Narrow"/>
                <w:sz w:val="20"/>
              </w:rPr>
            </w:pPr>
            <w:r w:rsidRPr="00B43E2B">
              <w:rPr>
                <w:rFonts w:ascii="Arial Narrow" w:hAnsi="Arial Narrow"/>
                <w:sz w:val="20"/>
              </w:rPr>
              <w:t>(95% CI)</w:t>
            </w:r>
          </w:p>
        </w:tc>
        <w:tc>
          <w:tcPr>
            <w:tcW w:w="651"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lang w:val="en-US" w:eastAsia="en-AU"/>
              </w:rPr>
            </w:pPr>
            <w:r w:rsidRPr="00B43E2B">
              <w:rPr>
                <w:rFonts w:ascii="Arial Narrow" w:hAnsi="Arial Narrow"/>
                <w:sz w:val="20"/>
              </w:rPr>
              <w:t>142</w:t>
            </w:r>
            <w:r w:rsidRPr="00B43E2B">
              <w:rPr>
                <w:rFonts w:ascii="Arial Narrow" w:hAnsi="Arial Narrow"/>
                <w:sz w:val="20"/>
              </w:rPr>
              <w:br/>
            </w:r>
            <w:r w:rsidRPr="00B43E2B">
              <w:rPr>
                <w:rFonts w:ascii="Arial Narrow" w:hAnsi="Arial Narrow"/>
                <w:sz w:val="20"/>
                <w:lang w:val="en-US" w:eastAsia="en-AU"/>
              </w:rPr>
              <w:t>34.2</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lang w:val="en-US" w:eastAsia="en-AU"/>
              </w:rPr>
              <w:t>(26.6, NE)</w:t>
            </w:r>
          </w:p>
        </w:tc>
        <w:tc>
          <w:tcPr>
            <w:tcW w:w="672"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143</w:t>
            </w:r>
            <w:r w:rsidRPr="00B43E2B">
              <w:rPr>
                <w:rFonts w:ascii="Arial Narrow" w:hAnsi="Arial Narrow"/>
                <w:sz w:val="20"/>
              </w:rPr>
              <w:br/>
              <w:t>24.3</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(21.0, 29.2)</w:t>
            </w:r>
          </w:p>
        </w:tc>
        <w:tc>
          <w:tcPr>
            <w:tcW w:w="859" w:type="pct"/>
            <w:tcBorders>
              <w:top w:val="single" w:sz="4" w:space="0" w:color="auto"/>
              <w:left w:val="single" w:sz="4" w:space="0" w:color="auto"/>
              <w:bottom w:val="single" w:sz="4" w:space="0" w:color="auto"/>
              <w:right w:val="single" w:sz="4" w:space="0" w:color="auto"/>
            </w:tcBorders>
            <w:vAlign w:val="center"/>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88</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41.3</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(28.8, 41.3)</w:t>
            </w:r>
          </w:p>
        </w:tc>
        <w:tc>
          <w:tcPr>
            <w:tcW w:w="717"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82</w:t>
            </w:r>
            <w:r w:rsidRPr="00B43E2B">
              <w:rPr>
                <w:rFonts w:ascii="Arial Narrow" w:hAnsi="Arial Narrow"/>
                <w:sz w:val="20"/>
              </w:rPr>
              <w:br/>
              <w:t>28.9</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(23.9, 31.3)</w:t>
            </w:r>
          </w:p>
        </w:tc>
        <w:tc>
          <w:tcPr>
            <w:tcW w:w="713" w:type="pct"/>
            <w:tcBorders>
              <w:top w:val="single" w:sz="4" w:space="0" w:color="auto"/>
              <w:left w:val="single" w:sz="4" w:space="0" w:color="auto"/>
              <w:bottom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24</w:t>
            </w:r>
            <w:r w:rsidRPr="00B43E2B">
              <w:rPr>
                <w:rFonts w:ascii="Arial Narrow" w:hAnsi="Arial Narrow"/>
                <w:sz w:val="20"/>
              </w:rPr>
              <w:br/>
              <w:t>27.0</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(15.1, NE)</w:t>
            </w:r>
          </w:p>
        </w:tc>
        <w:tc>
          <w:tcPr>
            <w:tcW w:w="625" w:type="pct"/>
            <w:gridSpan w:val="2"/>
            <w:tcBorders>
              <w:top w:val="single" w:sz="4" w:space="0" w:color="auto"/>
              <w:left w:val="single" w:sz="4" w:space="0" w:color="auto"/>
              <w:bottom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27</w:t>
            </w:r>
            <w:r w:rsidRPr="00B43E2B">
              <w:rPr>
                <w:rFonts w:ascii="Arial Narrow" w:hAnsi="Arial Narrow"/>
                <w:sz w:val="20"/>
              </w:rPr>
              <w:br/>
              <w:t>16.6</w:t>
            </w:r>
          </w:p>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(13.3, 21.6)</w:t>
            </w:r>
          </w:p>
        </w:tc>
      </w:tr>
      <w:tr w:rsidR="0048408D" w:rsidRPr="00B43E2B" w:rsidTr="00B43E2B">
        <w:tc>
          <w:tcPr>
            <w:tcW w:w="763" w:type="pct"/>
            <w:tcBorders>
              <w:top w:val="nil"/>
              <w:bottom w:val="nil"/>
              <w:right w:val="single" w:sz="4" w:space="0" w:color="auto"/>
            </w:tcBorders>
          </w:tcPr>
          <w:p w:rsidR="0048408D" w:rsidRPr="00B43E2B" w:rsidRDefault="0048408D" w:rsidP="00F041E3">
            <w:pPr>
              <w:pStyle w:val="ListParagraph"/>
              <w:keepNext/>
              <w:tabs>
                <w:tab w:val="left" w:pos="1168"/>
              </w:tabs>
              <w:ind w:left="0" w:right="-57"/>
              <w:contextualSpacing w:val="0"/>
              <w:rPr>
                <w:rFonts w:ascii="Arial Narrow" w:hAnsi="Arial Narrow"/>
                <w:sz w:val="20"/>
              </w:rPr>
            </w:pPr>
            <w:r w:rsidRPr="00B43E2B">
              <w:rPr>
                <w:rFonts w:ascii="Arial Narrow" w:hAnsi="Arial Narrow"/>
                <w:sz w:val="20"/>
              </w:rPr>
              <w:t>Difference in OS</w:t>
            </w:r>
          </w:p>
        </w:tc>
        <w:tc>
          <w:tcPr>
            <w:tcW w:w="1323" w:type="pct"/>
            <w:gridSpan w:val="2"/>
            <w:vMerge w:val="restart"/>
            <w:tcBorders>
              <w:top w:val="single" w:sz="4" w:space="0" w:color="auto"/>
              <w:left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+9.9</w:t>
            </w:r>
          </w:p>
          <w:p w:rsidR="0048408D" w:rsidRPr="00B43E2B" w:rsidRDefault="0048408D" w:rsidP="00F041E3">
            <w:pPr>
              <w:pStyle w:val="ListParagraph"/>
              <w:ind w:left="0"/>
              <w:jc w:val="center"/>
              <w:rPr>
                <w:rFonts w:ascii="Arial Narrow" w:hAnsi="Arial Narrow"/>
                <w:sz w:val="20"/>
              </w:rPr>
            </w:pPr>
            <w:r w:rsidRPr="00B43E2B">
              <w:rPr>
                <w:rFonts w:ascii="Arial Narrow" w:hAnsi="Arial Narrow"/>
                <w:sz w:val="20"/>
              </w:rPr>
              <w:t>0.6</w:t>
            </w:r>
            <w:r w:rsidR="00F041E3" w:rsidRPr="00B43E2B">
              <w:rPr>
                <w:rFonts w:ascii="Arial Narrow" w:hAnsi="Arial Narrow"/>
                <w:sz w:val="20"/>
              </w:rPr>
              <w:t>2</w:t>
            </w:r>
            <w:r w:rsidRPr="00B43E2B">
              <w:rPr>
                <w:rFonts w:ascii="Arial Narrow" w:hAnsi="Arial Narrow"/>
                <w:sz w:val="20"/>
              </w:rPr>
              <w:t xml:space="preserve"> (0.44, 0.89)</w:t>
            </w:r>
          </w:p>
        </w:tc>
        <w:tc>
          <w:tcPr>
            <w:tcW w:w="1576" w:type="pct"/>
            <w:gridSpan w:val="2"/>
            <w:vMerge w:val="restart"/>
            <w:tcBorders>
              <w:top w:val="single" w:sz="4" w:space="0" w:color="auto"/>
              <w:left w:val="single" w:sz="4" w:space="0" w:color="auto"/>
              <w:righ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+12.4</w:t>
            </w:r>
          </w:p>
          <w:p w:rsidR="0048408D" w:rsidRPr="00B43E2B" w:rsidRDefault="0048408D" w:rsidP="00F041E3">
            <w:pPr>
              <w:pStyle w:val="ListParagraph"/>
              <w:ind w:left="0"/>
              <w:jc w:val="center"/>
              <w:rPr>
                <w:rFonts w:ascii="Arial Narrow" w:hAnsi="Arial Narrow"/>
                <w:sz w:val="20"/>
              </w:rPr>
            </w:pPr>
            <w:r w:rsidRPr="00B43E2B">
              <w:rPr>
                <w:rFonts w:ascii="Arial Narrow" w:hAnsi="Arial Narrow"/>
                <w:sz w:val="20"/>
              </w:rPr>
              <w:t>0.6</w:t>
            </w:r>
            <w:r w:rsidR="00F041E3" w:rsidRPr="00B43E2B">
              <w:rPr>
                <w:rFonts w:ascii="Arial Narrow" w:hAnsi="Arial Narrow"/>
                <w:sz w:val="20"/>
              </w:rPr>
              <w:t>3</w:t>
            </w:r>
            <w:r w:rsidRPr="00B43E2B">
              <w:rPr>
                <w:rFonts w:ascii="Arial Narrow" w:hAnsi="Arial Narrow"/>
                <w:sz w:val="20"/>
              </w:rPr>
              <w:t xml:space="preserve"> (0.39, 1.02)</w:t>
            </w:r>
          </w:p>
        </w:tc>
        <w:tc>
          <w:tcPr>
            <w:tcW w:w="1338" w:type="pct"/>
            <w:gridSpan w:val="3"/>
            <w:vMerge w:val="restart"/>
            <w:tcBorders>
              <w:top w:val="single" w:sz="4" w:space="0" w:color="auto"/>
              <w:left w:val="single" w:sz="4" w:space="0" w:color="auto"/>
            </w:tcBorders>
          </w:tcPr>
          <w:p w:rsidR="0048408D" w:rsidRPr="00B43E2B" w:rsidRDefault="0048408D" w:rsidP="00F041E3">
            <w:pPr>
              <w:pStyle w:val="ListParagraph"/>
              <w:keepNext/>
              <w:ind w:left="0"/>
              <w:contextualSpacing w:val="0"/>
              <w:jc w:val="center"/>
              <w:rPr>
                <w:rFonts w:ascii="Arial Narrow" w:hAnsi="Arial Narrow"/>
                <w:sz w:val="20"/>
              </w:rPr>
            </w:pPr>
            <w:r w:rsidRPr="00B43E2B">
              <w:rPr>
                <w:rFonts w:ascii="Arial Narrow" w:hAnsi="Arial Narrow"/>
                <w:sz w:val="20"/>
              </w:rPr>
              <w:t>+10.4</w:t>
            </w:r>
          </w:p>
          <w:p w:rsidR="0048408D" w:rsidRPr="00B43E2B" w:rsidRDefault="0048408D" w:rsidP="00F041E3">
            <w:pPr>
              <w:pStyle w:val="ListParagraph"/>
              <w:ind w:left="0"/>
              <w:jc w:val="center"/>
              <w:rPr>
                <w:rFonts w:ascii="Arial Narrow" w:hAnsi="Arial Narrow"/>
                <w:sz w:val="20"/>
              </w:rPr>
            </w:pPr>
            <w:r w:rsidRPr="00B43E2B">
              <w:rPr>
                <w:rFonts w:ascii="Arial Narrow" w:hAnsi="Arial Narrow"/>
                <w:sz w:val="20"/>
              </w:rPr>
              <w:t>0.41 (0.19, 0.87)</w:t>
            </w:r>
          </w:p>
        </w:tc>
      </w:tr>
      <w:tr w:rsidR="0048408D" w:rsidRPr="00B43E2B" w:rsidTr="00B43E2B">
        <w:tc>
          <w:tcPr>
            <w:tcW w:w="763" w:type="pct"/>
            <w:tcBorders>
              <w:top w:val="nil"/>
              <w:bottom w:val="single" w:sz="4" w:space="0" w:color="auto"/>
              <w:right w:val="single" w:sz="4" w:space="0" w:color="auto"/>
            </w:tcBorders>
          </w:tcPr>
          <w:p w:rsidR="0048408D" w:rsidRPr="00B43E2B" w:rsidRDefault="0048408D" w:rsidP="00F041E3">
            <w:pPr>
              <w:pStyle w:val="ListParagraph"/>
              <w:keepNext/>
              <w:tabs>
                <w:tab w:val="left" w:pos="1168"/>
              </w:tabs>
              <w:ind w:left="0" w:right="-57"/>
              <w:contextualSpacing w:val="0"/>
              <w:rPr>
                <w:rFonts w:ascii="Arial Narrow" w:hAnsi="Arial Narrow"/>
                <w:sz w:val="20"/>
              </w:rPr>
            </w:pPr>
            <w:r w:rsidRPr="00B43E2B">
              <w:rPr>
                <w:rFonts w:ascii="Arial Narrow" w:hAnsi="Arial Narrow"/>
                <w:sz w:val="20"/>
              </w:rPr>
              <w:t>HR (95% CI)</w:t>
            </w:r>
          </w:p>
        </w:tc>
        <w:tc>
          <w:tcPr>
            <w:tcW w:w="1323" w:type="pct"/>
            <w:gridSpan w:val="2"/>
            <w:vMerge/>
            <w:tcBorders>
              <w:left w:val="single" w:sz="4" w:space="0" w:color="auto"/>
              <w:bottom w:val="single" w:sz="4" w:space="0" w:color="auto"/>
              <w:right w:val="single" w:sz="4" w:space="0" w:color="auto"/>
            </w:tcBorders>
          </w:tcPr>
          <w:p w:rsidR="0048408D" w:rsidRPr="00B43E2B" w:rsidRDefault="0048408D" w:rsidP="00F041E3">
            <w:pPr>
              <w:pStyle w:val="ListParagraph"/>
              <w:ind w:left="0"/>
              <w:contextualSpacing w:val="0"/>
              <w:jc w:val="center"/>
              <w:rPr>
                <w:rFonts w:ascii="Arial Narrow" w:hAnsi="Arial Narrow"/>
                <w:sz w:val="20"/>
              </w:rPr>
            </w:pPr>
          </w:p>
        </w:tc>
        <w:tc>
          <w:tcPr>
            <w:tcW w:w="1576" w:type="pct"/>
            <w:gridSpan w:val="2"/>
            <w:vMerge/>
            <w:tcBorders>
              <w:left w:val="single" w:sz="4" w:space="0" w:color="auto"/>
              <w:bottom w:val="single" w:sz="4" w:space="0" w:color="auto"/>
              <w:right w:val="single" w:sz="4" w:space="0" w:color="auto"/>
            </w:tcBorders>
          </w:tcPr>
          <w:p w:rsidR="0048408D" w:rsidRPr="00B43E2B" w:rsidRDefault="0048408D" w:rsidP="00F041E3">
            <w:pPr>
              <w:pStyle w:val="ListParagraph"/>
              <w:ind w:left="0"/>
              <w:contextualSpacing w:val="0"/>
              <w:jc w:val="center"/>
              <w:rPr>
                <w:rFonts w:ascii="Arial Narrow" w:hAnsi="Arial Narrow"/>
                <w:sz w:val="20"/>
              </w:rPr>
            </w:pPr>
          </w:p>
        </w:tc>
        <w:tc>
          <w:tcPr>
            <w:tcW w:w="1338" w:type="pct"/>
            <w:gridSpan w:val="3"/>
            <w:vMerge/>
            <w:tcBorders>
              <w:left w:val="single" w:sz="4" w:space="0" w:color="auto"/>
              <w:bottom w:val="single" w:sz="4" w:space="0" w:color="auto"/>
            </w:tcBorders>
          </w:tcPr>
          <w:p w:rsidR="0048408D" w:rsidRPr="00B43E2B" w:rsidRDefault="0048408D" w:rsidP="00F041E3">
            <w:pPr>
              <w:pStyle w:val="ListParagraph"/>
              <w:ind w:left="0"/>
              <w:contextualSpacing w:val="0"/>
              <w:jc w:val="center"/>
              <w:rPr>
                <w:rFonts w:ascii="Arial Narrow" w:hAnsi="Arial Narrow"/>
                <w:sz w:val="20"/>
              </w:rPr>
            </w:pPr>
          </w:p>
        </w:tc>
      </w:tr>
      <w:tr w:rsidR="0048408D" w:rsidRPr="00B43E2B" w:rsidTr="00B43E2B">
        <w:tc>
          <w:tcPr>
            <w:tcW w:w="2086" w:type="pct"/>
            <w:gridSpan w:val="3"/>
            <w:tcBorders>
              <w:top w:val="single" w:sz="4" w:space="0" w:color="auto"/>
              <w:bottom w:val="single" w:sz="4" w:space="0" w:color="auto"/>
              <w:right w:val="single" w:sz="4" w:space="0" w:color="auto"/>
            </w:tcBorders>
          </w:tcPr>
          <w:p w:rsidR="0048408D" w:rsidRPr="00B43E2B" w:rsidRDefault="001A7755" w:rsidP="00F041E3">
            <w:pPr>
              <w:pStyle w:val="ListParagraph"/>
              <w:ind w:left="0"/>
              <w:contextualSpacing w:val="0"/>
              <w:jc w:val="left"/>
              <w:rPr>
                <w:rFonts w:ascii="Arial Narrow" w:hAnsi="Arial Narrow"/>
                <w:sz w:val="20"/>
              </w:rPr>
            </w:pPr>
            <w:r>
              <w:rPr>
                <w:rFonts w:ascii="Arial Narrow" w:hAnsi="Arial Narrow"/>
                <w:noProof/>
                <w:color w:val="000000"/>
                <w:sz w:val="20"/>
                <w:highlight w:val="black"/>
              </w:rPr>
              <w:t xml:space="preserve">''''''''''''''''''''''' '''''''''' </w:t>
            </w:r>
            <w:r>
              <w:rPr>
                <w:rFonts w:ascii="Arial Narrow" w:hAnsi="Arial Narrow"/>
                <w:i/>
                <w:noProof/>
                <w:color w:val="000000"/>
                <w:sz w:val="20"/>
                <w:highlight w:val="black"/>
              </w:rPr>
              <w:t>'''''''''''</w:t>
            </w:r>
            <w:r>
              <w:rPr>
                <w:rFonts w:ascii="Arial Narrow" w:hAnsi="Arial Narrow"/>
                <w:noProof/>
                <w:color w:val="000000"/>
                <w:sz w:val="20"/>
                <w:highlight w:val="black"/>
              </w:rPr>
              <w:t xml:space="preserve"> ''''''''' ''''' </w:t>
            </w:r>
            <w:r>
              <w:rPr>
                <w:rFonts w:ascii="Arial Narrow" w:hAnsi="Arial Narrow"/>
                <w:i/>
                <w:noProof/>
                <w:color w:val="000000"/>
                <w:sz w:val="20"/>
                <w:highlight w:val="black"/>
              </w:rPr>
              <w:t>''''''''''''''''</w:t>
            </w:r>
            <w:r>
              <w:rPr>
                <w:rFonts w:ascii="Arial Narrow" w:hAnsi="Arial Narrow"/>
                <w:noProof/>
                <w:color w:val="000000"/>
                <w:sz w:val="20"/>
                <w:highlight w:val="black"/>
              </w:rPr>
              <w:t xml:space="preserve"> '''''''''''' ''' '''''''''' </w:t>
            </w:r>
            <w:r>
              <w:rPr>
                <w:rFonts w:ascii="Arial Narrow" w:hAnsi="Arial Narrow"/>
                <w:i/>
                <w:noProof/>
                <w:color w:val="000000"/>
                <w:sz w:val="20"/>
                <w:highlight w:val="black"/>
              </w:rPr>
              <w:t>'''''''''''</w:t>
            </w:r>
            <w:r>
              <w:rPr>
                <w:rFonts w:ascii="Arial Narrow" w:hAnsi="Arial Narrow"/>
                <w:noProof/>
                <w:color w:val="000000"/>
                <w:sz w:val="20"/>
                <w:highlight w:val="black"/>
              </w:rPr>
              <w:t xml:space="preserve"> ''''''''</w:t>
            </w:r>
          </w:p>
        </w:tc>
        <w:tc>
          <w:tcPr>
            <w:tcW w:w="2914" w:type="pct"/>
            <w:gridSpan w:val="5"/>
            <w:tcBorders>
              <w:top w:val="single" w:sz="4" w:space="0" w:color="auto"/>
              <w:left w:val="single" w:sz="4" w:space="0" w:color="auto"/>
              <w:bottom w:val="single" w:sz="4" w:space="0" w:color="auto"/>
            </w:tcBorders>
          </w:tcPr>
          <w:p w:rsidR="0048408D" w:rsidRPr="001A7755" w:rsidRDefault="001A7755" w:rsidP="00F041E3">
            <w:pPr>
              <w:pStyle w:val="ListParagraph"/>
              <w:ind w:left="0"/>
              <w:contextualSpacing w:val="0"/>
              <w:jc w:val="center"/>
              <w:rPr>
                <w:rFonts w:ascii="Arial Narrow" w:hAnsi="Arial Narrow"/>
                <w:sz w:val="20"/>
                <w:highlight w:val="black"/>
              </w:rPr>
            </w:pPr>
            <w:r>
              <w:rPr>
                <w:rFonts w:ascii="Arial Narrow" w:hAnsi="Arial Narrow"/>
                <w:noProof/>
                <w:color w:val="000000"/>
                <w:sz w:val="20"/>
                <w:highlight w:val="black"/>
              </w:rPr>
              <w:t>'''' '''' ''''''''''''''''</w:t>
            </w:r>
          </w:p>
        </w:tc>
      </w:tr>
    </w:tbl>
    <w:p w:rsidR="004772B6" w:rsidRPr="00993AB6" w:rsidRDefault="004772B6" w:rsidP="00B43E2B">
      <w:pPr>
        <w:pStyle w:val="TableFooter"/>
        <w:ind w:firstLine="720"/>
      </w:pPr>
      <w:proofErr w:type="gramStart"/>
      <w:r w:rsidRPr="00993AB6">
        <w:rPr>
          <w:vertAlign w:val="superscript"/>
        </w:rPr>
        <w:t>A</w:t>
      </w:r>
      <w:r w:rsidRPr="00993AB6">
        <w:t xml:space="preserve"> This</w:t>
      </w:r>
      <w:proofErr w:type="gramEnd"/>
      <w:r w:rsidRPr="00993AB6">
        <w:t xml:space="preserve"> is a </w:t>
      </w:r>
      <w:proofErr w:type="spellStart"/>
      <w:r w:rsidRPr="00993AB6">
        <w:t>prespecified</w:t>
      </w:r>
      <w:proofErr w:type="spellEnd"/>
      <w:r w:rsidRPr="00993AB6">
        <w:t xml:space="preserve"> subgroup population for </w:t>
      </w:r>
      <w:r w:rsidR="00DE7862" w:rsidRPr="00993AB6">
        <w:t xml:space="preserve">the </w:t>
      </w:r>
      <w:r w:rsidRPr="00993AB6">
        <w:t xml:space="preserve">PRIME </w:t>
      </w:r>
      <w:r w:rsidR="00DE7862" w:rsidRPr="00993AB6">
        <w:t xml:space="preserve">trial </w:t>
      </w:r>
      <w:r w:rsidRPr="00993AB6">
        <w:t xml:space="preserve">and the ITT population for </w:t>
      </w:r>
      <w:r w:rsidR="00DE7862" w:rsidRPr="00993AB6">
        <w:t xml:space="preserve">the </w:t>
      </w:r>
      <w:r w:rsidRPr="00993AB6">
        <w:t>PEAK</w:t>
      </w:r>
      <w:r w:rsidR="00DE7862" w:rsidRPr="00993AB6">
        <w:t xml:space="preserve"> trial</w:t>
      </w:r>
      <w:r w:rsidRPr="00993AB6">
        <w:t>.</w:t>
      </w:r>
    </w:p>
    <w:p w:rsidR="00D12B50" w:rsidRPr="00993AB6" w:rsidRDefault="00D12B50" w:rsidP="00B43E2B">
      <w:pPr>
        <w:pStyle w:val="TableFooter"/>
        <w:ind w:firstLine="720"/>
      </w:pPr>
      <w:r w:rsidRPr="00993AB6">
        <w:rPr>
          <w:vertAlign w:val="superscript"/>
        </w:rPr>
        <w:t xml:space="preserve">^ </w:t>
      </w:r>
      <w:r w:rsidRPr="00993AB6">
        <w:t xml:space="preserve">Data </w:t>
      </w:r>
      <w:proofErr w:type="spellStart"/>
      <w:r w:rsidRPr="00993AB6">
        <w:t>cutoff</w:t>
      </w:r>
      <w:proofErr w:type="spellEnd"/>
      <w:r w:rsidRPr="00993AB6">
        <w:t xml:space="preserve"> for </w:t>
      </w:r>
      <w:r w:rsidRPr="00993AB6">
        <w:rPr>
          <w:i/>
        </w:rPr>
        <w:t>KRAS</w:t>
      </w:r>
      <w:r w:rsidRPr="00993AB6">
        <w:t xml:space="preserve"> Exon 2 WT: 02 Aug 2010; and for </w:t>
      </w:r>
      <w:r w:rsidRPr="00993AB6">
        <w:rPr>
          <w:i/>
        </w:rPr>
        <w:t>RAS</w:t>
      </w:r>
      <w:r w:rsidRPr="00993AB6">
        <w:t xml:space="preserve"> WT and </w:t>
      </w:r>
      <w:r w:rsidRPr="00993AB6">
        <w:rPr>
          <w:i/>
        </w:rPr>
        <w:t>KRAS</w:t>
      </w:r>
      <w:r w:rsidRPr="00993AB6">
        <w:t xml:space="preserve"> Exon 2 WT, </w:t>
      </w:r>
      <w:r w:rsidRPr="00993AB6">
        <w:rPr>
          <w:i/>
        </w:rPr>
        <w:t>RAS</w:t>
      </w:r>
      <w:r w:rsidRPr="00993AB6">
        <w:t xml:space="preserve"> </w:t>
      </w:r>
      <w:r w:rsidR="00681BDF" w:rsidRPr="00993AB6">
        <w:t>M+</w:t>
      </w:r>
      <w:r w:rsidRPr="00993AB6">
        <w:t>: 24 JAN 2013</w:t>
      </w:r>
    </w:p>
    <w:p w:rsidR="00D12B50" w:rsidRPr="00993AB6" w:rsidRDefault="00D12B50" w:rsidP="00B43E2B">
      <w:pPr>
        <w:pStyle w:val="TableFooter"/>
        <w:ind w:firstLine="720"/>
      </w:pPr>
      <w:r w:rsidRPr="00993AB6">
        <w:rPr>
          <w:vertAlign w:val="superscript"/>
        </w:rPr>
        <w:t>*</w:t>
      </w:r>
      <w:r w:rsidRPr="00993AB6">
        <w:t xml:space="preserve"> Data </w:t>
      </w:r>
      <w:proofErr w:type="spellStart"/>
      <w:r w:rsidRPr="00993AB6">
        <w:t>cutoff</w:t>
      </w:r>
      <w:proofErr w:type="spellEnd"/>
      <w:r w:rsidRPr="00993AB6">
        <w:t xml:space="preserve"> 03 Jan 2013</w:t>
      </w:r>
    </w:p>
    <w:p w:rsidR="00F03038" w:rsidRPr="00993AB6" w:rsidRDefault="00F03038" w:rsidP="00B43E2B">
      <w:pPr>
        <w:pStyle w:val="TableFooter"/>
        <w:ind w:left="720"/>
        <w:rPr>
          <w:lang w:eastAsia="ko-KR"/>
        </w:rPr>
      </w:pPr>
      <w:r w:rsidRPr="00993AB6">
        <w:t xml:space="preserve">NE=Not estimable; </w:t>
      </w:r>
      <w:r w:rsidRPr="00993AB6">
        <w:rPr>
          <w:lang w:val="en-US" w:eastAsia="en-AU"/>
        </w:rPr>
        <w:t xml:space="preserve">A hazard ratio &lt;1.0 </w:t>
      </w:r>
      <w:proofErr w:type="spellStart"/>
      <w:r w:rsidRPr="00993AB6">
        <w:rPr>
          <w:lang w:val="en-US" w:eastAsia="en-AU"/>
        </w:rPr>
        <w:t>favours</w:t>
      </w:r>
      <w:proofErr w:type="spellEnd"/>
      <w:r w:rsidRPr="00993AB6">
        <w:rPr>
          <w:lang w:val="en-US" w:eastAsia="en-AU"/>
        </w:rPr>
        <w:t xml:space="preserve"> </w:t>
      </w:r>
      <w:proofErr w:type="spellStart"/>
      <w:r w:rsidRPr="00993AB6">
        <w:rPr>
          <w:lang w:val="en-US" w:eastAsia="en-AU"/>
        </w:rPr>
        <w:t>panitumumab</w:t>
      </w:r>
      <w:proofErr w:type="spellEnd"/>
      <w:r w:rsidRPr="00993AB6">
        <w:rPr>
          <w:lang w:val="en-US" w:eastAsia="en-AU"/>
        </w:rPr>
        <w:t xml:space="preserve">. </w:t>
      </w:r>
      <w:r w:rsidRPr="00993AB6">
        <w:rPr>
          <w:lang w:eastAsia="ko-KR"/>
        </w:rPr>
        <w:t xml:space="preserve">Bev = </w:t>
      </w:r>
      <w:proofErr w:type="spellStart"/>
      <w:r w:rsidRPr="00993AB6">
        <w:rPr>
          <w:lang w:eastAsia="ko-KR"/>
        </w:rPr>
        <w:t>bevacizumab</w:t>
      </w:r>
      <w:proofErr w:type="spellEnd"/>
      <w:r w:rsidRPr="00993AB6">
        <w:rPr>
          <w:lang w:eastAsia="ko-KR"/>
        </w:rPr>
        <w:t xml:space="preserve">; </w:t>
      </w:r>
      <w:proofErr w:type="spellStart"/>
      <w:r w:rsidRPr="00993AB6">
        <w:rPr>
          <w:lang w:eastAsia="ko-KR"/>
        </w:rPr>
        <w:t>Pmab</w:t>
      </w:r>
      <w:proofErr w:type="spellEnd"/>
      <w:r w:rsidRPr="00993AB6">
        <w:rPr>
          <w:lang w:eastAsia="ko-KR"/>
        </w:rPr>
        <w:t xml:space="preserve"> = </w:t>
      </w:r>
      <w:proofErr w:type="spellStart"/>
      <w:r w:rsidRPr="00993AB6">
        <w:rPr>
          <w:lang w:eastAsia="ko-KR"/>
        </w:rPr>
        <w:t>panitumumab</w:t>
      </w:r>
      <w:proofErr w:type="spellEnd"/>
      <w:r w:rsidRPr="00993AB6">
        <w:rPr>
          <w:lang w:eastAsia="ko-KR"/>
        </w:rPr>
        <w:t>.</w:t>
      </w:r>
      <w:r w:rsidRPr="00993AB6">
        <w:t xml:space="preserve"> </w:t>
      </w:r>
      <w:r w:rsidRPr="00993AB6">
        <w:rPr>
          <w:lang w:eastAsia="ko-KR"/>
        </w:rPr>
        <w:t xml:space="preserve">CI = confidence </w:t>
      </w:r>
      <w:r w:rsidRPr="00993AB6">
        <w:rPr>
          <w:lang w:eastAsia="ko-KR"/>
        </w:rPr>
        <w:lastRenderedPageBreak/>
        <w:t xml:space="preserve">interval; </w:t>
      </w:r>
      <w:r w:rsidRPr="00993AB6">
        <w:rPr>
          <w:i/>
          <w:lang w:eastAsia="ko-KR"/>
        </w:rPr>
        <w:t>KRAS</w:t>
      </w:r>
      <w:r w:rsidRPr="00993AB6">
        <w:rPr>
          <w:lang w:eastAsia="ko-KR"/>
        </w:rPr>
        <w:t xml:space="preserve"> = Kirsten rat sarcoma-2 viral oncogene; OS=Overall survival; </w:t>
      </w:r>
      <w:r w:rsidRPr="00993AB6">
        <w:rPr>
          <w:i/>
          <w:lang w:eastAsia="ko-KR"/>
        </w:rPr>
        <w:t>RAS</w:t>
      </w:r>
      <w:r w:rsidRPr="00993AB6">
        <w:rPr>
          <w:lang w:eastAsia="ko-KR"/>
        </w:rPr>
        <w:t xml:space="preserve"> WT (</w:t>
      </w:r>
      <w:r w:rsidRPr="00993AB6">
        <w:t>Pre-specified subgroup</w:t>
      </w:r>
      <w:r w:rsidRPr="00993AB6">
        <w:rPr>
          <w:b/>
        </w:rPr>
        <w:t xml:space="preserve">): </w:t>
      </w:r>
      <w:r w:rsidRPr="00993AB6">
        <w:rPr>
          <w:lang w:eastAsia="ko-KR"/>
        </w:rPr>
        <w:t>rat sarcoma viral oncogene homolog wild type.</w:t>
      </w:r>
    </w:p>
    <w:p w:rsidR="00250756" w:rsidRPr="00993AB6" w:rsidRDefault="00250756" w:rsidP="005B2EED">
      <w:pPr>
        <w:rPr>
          <w:rStyle w:val="CommentReference"/>
          <w:rFonts w:ascii="Arial" w:hAnsi="Arial"/>
          <w:b w:val="0"/>
          <w:sz w:val="22"/>
          <w:szCs w:val="22"/>
        </w:rPr>
      </w:pPr>
    </w:p>
    <w:p w:rsidR="00D63115" w:rsidRPr="001A53B7" w:rsidRDefault="005573AA" w:rsidP="001A53B7">
      <w:pPr>
        <w:pStyle w:val="ListParagraph"/>
        <w:widowControl/>
        <w:numPr>
          <w:ilvl w:val="1"/>
          <w:numId w:val="18"/>
        </w:numPr>
        <w:rPr>
          <w:rStyle w:val="CommentReference"/>
          <w:rFonts w:ascii="Arial" w:hAnsi="Arial"/>
          <w:b w:val="0"/>
          <w:sz w:val="22"/>
          <w:szCs w:val="22"/>
        </w:rPr>
      </w:pPr>
      <w:r w:rsidRPr="001A53B7">
        <w:rPr>
          <w:rStyle w:val="CommentReference"/>
          <w:rFonts w:ascii="Arial" w:hAnsi="Arial"/>
          <w:b w:val="0"/>
          <w:sz w:val="22"/>
          <w:szCs w:val="22"/>
        </w:rPr>
        <w:t>The results of both trials are mostly similar:</w:t>
      </w:r>
      <w:r w:rsidR="00E3078F" w:rsidRPr="001A53B7">
        <w:rPr>
          <w:rStyle w:val="CommentReference"/>
          <w:rFonts w:ascii="Arial" w:hAnsi="Arial"/>
          <w:b w:val="0"/>
          <w:sz w:val="22"/>
          <w:szCs w:val="22"/>
        </w:rPr>
        <w:t xml:space="preserve"> superiority of first-line </w:t>
      </w:r>
      <w:proofErr w:type="spellStart"/>
      <w:r w:rsidR="00E3078F" w:rsidRPr="001A53B7">
        <w:rPr>
          <w:rStyle w:val="CommentReference"/>
          <w:rFonts w:ascii="Arial" w:hAnsi="Arial"/>
          <w:b w:val="0"/>
          <w:sz w:val="22"/>
          <w:szCs w:val="22"/>
        </w:rPr>
        <w:t>panitumumab</w:t>
      </w:r>
      <w:proofErr w:type="spellEnd"/>
      <w:r w:rsidR="00E3078F" w:rsidRPr="001A53B7">
        <w:rPr>
          <w:rStyle w:val="CommentReference"/>
          <w:rFonts w:ascii="Arial" w:hAnsi="Arial"/>
          <w:b w:val="0"/>
          <w:sz w:val="22"/>
          <w:szCs w:val="22"/>
        </w:rPr>
        <w:t xml:space="preserve"> with FOLFOX over both FOLFOX alone and </w:t>
      </w:r>
      <w:proofErr w:type="spellStart"/>
      <w:r w:rsidR="00E3078F" w:rsidRPr="001A53B7">
        <w:rPr>
          <w:rStyle w:val="CommentReference"/>
          <w:rFonts w:ascii="Arial" w:hAnsi="Arial"/>
          <w:b w:val="0"/>
          <w:sz w:val="22"/>
          <w:szCs w:val="22"/>
        </w:rPr>
        <w:t>bevacizumab</w:t>
      </w:r>
      <w:proofErr w:type="spellEnd"/>
      <w:r w:rsidR="00E3078F" w:rsidRPr="001A53B7">
        <w:rPr>
          <w:rStyle w:val="CommentReference"/>
          <w:rFonts w:ascii="Arial" w:hAnsi="Arial"/>
          <w:b w:val="0"/>
          <w:sz w:val="22"/>
          <w:szCs w:val="22"/>
        </w:rPr>
        <w:t xml:space="preserve"> </w:t>
      </w:r>
      <w:r w:rsidR="00AD35A8" w:rsidRPr="001A53B7">
        <w:rPr>
          <w:rStyle w:val="CommentReference"/>
          <w:rFonts w:ascii="Arial" w:hAnsi="Arial"/>
          <w:b w:val="0"/>
          <w:sz w:val="22"/>
          <w:szCs w:val="22"/>
        </w:rPr>
        <w:t>+</w:t>
      </w:r>
      <w:r w:rsidR="00E3078F" w:rsidRPr="001A53B7">
        <w:rPr>
          <w:rStyle w:val="CommentReference"/>
          <w:rFonts w:ascii="Arial" w:hAnsi="Arial"/>
          <w:b w:val="0"/>
          <w:sz w:val="22"/>
          <w:szCs w:val="22"/>
        </w:rPr>
        <w:t xml:space="preserve"> FOLFOX in the </w:t>
      </w:r>
      <w:r w:rsidR="00E3078F" w:rsidRPr="001A53B7">
        <w:rPr>
          <w:rStyle w:val="CommentReference"/>
          <w:rFonts w:ascii="Arial" w:hAnsi="Arial"/>
          <w:b w:val="0"/>
          <w:i/>
          <w:sz w:val="22"/>
          <w:szCs w:val="22"/>
        </w:rPr>
        <w:t>KRAS</w:t>
      </w:r>
      <w:r w:rsidR="00E3078F" w:rsidRPr="001A53B7">
        <w:rPr>
          <w:rStyle w:val="CommentReference"/>
          <w:rFonts w:ascii="Arial" w:hAnsi="Arial"/>
          <w:b w:val="0"/>
          <w:sz w:val="22"/>
          <w:szCs w:val="22"/>
        </w:rPr>
        <w:t xml:space="preserve"> WT (exon 2) populations, </w:t>
      </w:r>
      <w:r w:rsidR="00F40AF4" w:rsidRPr="001A53B7">
        <w:rPr>
          <w:rStyle w:val="CommentReference"/>
          <w:rFonts w:ascii="Arial" w:hAnsi="Arial"/>
          <w:b w:val="0"/>
          <w:sz w:val="22"/>
          <w:szCs w:val="22"/>
        </w:rPr>
        <w:t xml:space="preserve">separating to </w:t>
      </w:r>
      <w:r w:rsidR="00E3078F" w:rsidRPr="001A53B7">
        <w:rPr>
          <w:rStyle w:val="CommentReference"/>
          <w:rFonts w:ascii="Arial" w:hAnsi="Arial"/>
          <w:b w:val="0"/>
          <w:sz w:val="22"/>
          <w:szCs w:val="22"/>
        </w:rPr>
        <w:t xml:space="preserve">a </w:t>
      </w:r>
      <w:r w:rsidR="001D5655" w:rsidRPr="001A53B7">
        <w:rPr>
          <w:rStyle w:val="CommentReference"/>
          <w:rFonts w:ascii="Arial" w:hAnsi="Arial"/>
          <w:b w:val="0"/>
          <w:sz w:val="22"/>
          <w:szCs w:val="22"/>
        </w:rPr>
        <w:t xml:space="preserve">trend to a greater superiority </w:t>
      </w:r>
      <w:r w:rsidR="00E3078F" w:rsidRPr="001A53B7">
        <w:rPr>
          <w:rStyle w:val="CommentReference"/>
          <w:rFonts w:ascii="Arial" w:hAnsi="Arial"/>
          <w:b w:val="0"/>
          <w:sz w:val="22"/>
          <w:szCs w:val="22"/>
        </w:rPr>
        <w:t xml:space="preserve">in the </w:t>
      </w:r>
      <w:r w:rsidR="00E3078F" w:rsidRPr="001A53B7">
        <w:rPr>
          <w:rStyle w:val="CommentReference"/>
          <w:rFonts w:ascii="Arial" w:hAnsi="Arial"/>
          <w:b w:val="0"/>
          <w:i/>
          <w:sz w:val="22"/>
          <w:szCs w:val="22"/>
        </w:rPr>
        <w:t>RAS</w:t>
      </w:r>
      <w:r w:rsidR="00E3078F" w:rsidRPr="001A53B7">
        <w:rPr>
          <w:rStyle w:val="CommentReference"/>
          <w:rFonts w:ascii="Arial" w:hAnsi="Arial"/>
          <w:b w:val="0"/>
          <w:sz w:val="22"/>
          <w:szCs w:val="22"/>
        </w:rPr>
        <w:t xml:space="preserve"> WT subgroups of these populations, and </w:t>
      </w:r>
      <w:r w:rsidR="00F40AF4" w:rsidRPr="001A53B7">
        <w:rPr>
          <w:rStyle w:val="CommentReference"/>
          <w:rFonts w:ascii="Arial" w:hAnsi="Arial"/>
          <w:b w:val="0"/>
          <w:sz w:val="22"/>
          <w:szCs w:val="22"/>
        </w:rPr>
        <w:t xml:space="preserve">to </w:t>
      </w:r>
      <w:r w:rsidR="00E3078F" w:rsidRPr="001A53B7">
        <w:rPr>
          <w:rStyle w:val="CommentReference"/>
          <w:rFonts w:ascii="Arial" w:hAnsi="Arial"/>
          <w:b w:val="0"/>
          <w:sz w:val="22"/>
          <w:szCs w:val="22"/>
        </w:rPr>
        <w:t>inferiority in the</w:t>
      </w:r>
      <w:r w:rsidR="0073665C" w:rsidRPr="001A53B7">
        <w:rPr>
          <w:rStyle w:val="CommentReference"/>
          <w:rFonts w:ascii="Arial" w:hAnsi="Arial"/>
          <w:b w:val="0"/>
          <w:sz w:val="22"/>
          <w:szCs w:val="22"/>
        </w:rPr>
        <w:t xml:space="preserve"> subgroup of patients with </w:t>
      </w:r>
      <w:r w:rsidR="0073665C" w:rsidRPr="001A53B7">
        <w:rPr>
          <w:rStyle w:val="CommentReference"/>
          <w:rFonts w:ascii="Arial" w:hAnsi="Arial"/>
          <w:b w:val="0"/>
          <w:i/>
          <w:sz w:val="22"/>
          <w:szCs w:val="22"/>
        </w:rPr>
        <w:t>RAS</w:t>
      </w:r>
      <w:r w:rsidR="0073665C" w:rsidRPr="001A53B7">
        <w:rPr>
          <w:rStyle w:val="CommentReference"/>
          <w:rFonts w:ascii="Arial" w:hAnsi="Arial"/>
          <w:b w:val="0"/>
          <w:sz w:val="22"/>
          <w:szCs w:val="22"/>
        </w:rPr>
        <w:t xml:space="preserve"> mutations other than in exon 2 </w:t>
      </w:r>
      <w:r w:rsidR="0073665C" w:rsidRPr="001A53B7">
        <w:rPr>
          <w:rStyle w:val="CommentReference"/>
          <w:rFonts w:ascii="Arial" w:hAnsi="Arial"/>
          <w:b w:val="0"/>
          <w:i/>
          <w:sz w:val="22"/>
          <w:szCs w:val="22"/>
        </w:rPr>
        <w:t>KRAS</w:t>
      </w:r>
      <w:r w:rsidR="0073665C" w:rsidRPr="001A53B7">
        <w:rPr>
          <w:rStyle w:val="CommentReference"/>
          <w:rFonts w:ascii="Arial" w:hAnsi="Arial"/>
          <w:b w:val="0"/>
          <w:sz w:val="22"/>
          <w:szCs w:val="22"/>
        </w:rPr>
        <w:t xml:space="preserve"> (labelled </w:t>
      </w:r>
      <w:r w:rsidR="00E3078F" w:rsidRPr="001A53B7">
        <w:rPr>
          <w:rStyle w:val="CommentReference"/>
          <w:rFonts w:ascii="Arial" w:hAnsi="Arial"/>
          <w:b w:val="0"/>
          <w:i/>
          <w:sz w:val="22"/>
          <w:szCs w:val="22"/>
        </w:rPr>
        <w:t>KRAS</w:t>
      </w:r>
      <w:r w:rsidR="00E3078F" w:rsidRPr="001A53B7">
        <w:rPr>
          <w:rStyle w:val="CommentReference"/>
          <w:rFonts w:ascii="Arial" w:hAnsi="Arial"/>
          <w:b w:val="0"/>
          <w:sz w:val="22"/>
          <w:szCs w:val="22"/>
        </w:rPr>
        <w:t xml:space="preserve"> WT</w:t>
      </w:r>
      <w:r w:rsidR="00B93FF8" w:rsidRPr="001A53B7">
        <w:rPr>
          <w:rStyle w:val="CommentReference"/>
          <w:rFonts w:ascii="Arial" w:hAnsi="Arial"/>
          <w:b w:val="0"/>
          <w:sz w:val="22"/>
          <w:szCs w:val="22"/>
        </w:rPr>
        <w:t>,</w:t>
      </w:r>
      <w:r w:rsidR="00E3078F" w:rsidRPr="001A53B7">
        <w:rPr>
          <w:rStyle w:val="CommentReference"/>
          <w:rFonts w:ascii="Arial" w:hAnsi="Arial"/>
          <w:b w:val="0"/>
          <w:sz w:val="22"/>
          <w:szCs w:val="22"/>
        </w:rPr>
        <w:t xml:space="preserve"> exon 2</w:t>
      </w:r>
      <w:r w:rsidR="0073665C" w:rsidRPr="001A53B7">
        <w:rPr>
          <w:rStyle w:val="CommentReference"/>
          <w:rFonts w:ascii="Arial" w:hAnsi="Arial"/>
          <w:b w:val="0"/>
          <w:sz w:val="22"/>
          <w:szCs w:val="22"/>
        </w:rPr>
        <w:t xml:space="preserve"> </w:t>
      </w:r>
      <w:r w:rsidR="0073665C" w:rsidRPr="001A53B7">
        <w:rPr>
          <w:rStyle w:val="CommentReference"/>
          <w:rFonts w:ascii="Arial" w:hAnsi="Arial"/>
          <w:b w:val="0"/>
          <w:i/>
          <w:sz w:val="22"/>
          <w:szCs w:val="22"/>
        </w:rPr>
        <w:t>RAS</w:t>
      </w:r>
      <w:r w:rsidR="0073665C" w:rsidRPr="001A53B7">
        <w:rPr>
          <w:rStyle w:val="CommentReference"/>
          <w:rFonts w:ascii="Arial" w:hAnsi="Arial"/>
          <w:b w:val="0"/>
          <w:sz w:val="22"/>
          <w:szCs w:val="22"/>
        </w:rPr>
        <w:t xml:space="preserve"> M+). </w:t>
      </w:r>
      <w:r w:rsidR="00B93FF8" w:rsidRPr="001A53B7">
        <w:rPr>
          <w:rStyle w:val="CommentReference"/>
          <w:rFonts w:ascii="Arial" w:hAnsi="Arial"/>
          <w:b w:val="0"/>
          <w:sz w:val="22"/>
          <w:szCs w:val="22"/>
        </w:rPr>
        <w:t xml:space="preserve"> </w:t>
      </w:r>
      <w:r w:rsidR="00287193" w:rsidRPr="001A53B7">
        <w:rPr>
          <w:rStyle w:val="CommentReference"/>
          <w:rFonts w:ascii="Arial" w:hAnsi="Arial"/>
          <w:b w:val="0"/>
          <w:sz w:val="22"/>
          <w:szCs w:val="22"/>
        </w:rPr>
        <w:t>T</w:t>
      </w:r>
      <w:r w:rsidR="00E3078F" w:rsidRPr="001A53B7">
        <w:rPr>
          <w:rStyle w:val="CommentReference"/>
          <w:rFonts w:ascii="Arial" w:hAnsi="Arial"/>
          <w:b w:val="0"/>
          <w:sz w:val="22"/>
          <w:szCs w:val="22"/>
        </w:rPr>
        <w:t xml:space="preserve">ests of </w:t>
      </w:r>
      <w:r w:rsidR="00287193" w:rsidRPr="001A53B7">
        <w:rPr>
          <w:rStyle w:val="CommentReference"/>
          <w:rFonts w:ascii="Arial" w:hAnsi="Arial"/>
          <w:b w:val="0"/>
          <w:sz w:val="22"/>
          <w:szCs w:val="22"/>
        </w:rPr>
        <w:t xml:space="preserve">interaction </w:t>
      </w:r>
      <w:r w:rsidR="00E3078F" w:rsidRPr="001A53B7">
        <w:rPr>
          <w:rStyle w:val="CommentReference"/>
          <w:rFonts w:ascii="Arial" w:hAnsi="Arial"/>
          <w:b w:val="0"/>
          <w:sz w:val="22"/>
          <w:szCs w:val="22"/>
        </w:rPr>
        <w:t xml:space="preserve">across these subgroups </w:t>
      </w:r>
      <w:r w:rsidR="00287193" w:rsidRPr="001A53B7">
        <w:rPr>
          <w:rStyle w:val="CommentReference"/>
          <w:rFonts w:ascii="Arial" w:hAnsi="Arial"/>
          <w:b w:val="0"/>
          <w:sz w:val="22"/>
          <w:szCs w:val="22"/>
        </w:rPr>
        <w:t xml:space="preserve">and the treatment effect </w:t>
      </w:r>
      <w:r w:rsidR="00E3078F" w:rsidRPr="001A53B7">
        <w:rPr>
          <w:rStyle w:val="CommentReference"/>
          <w:rFonts w:ascii="Arial" w:hAnsi="Arial"/>
          <w:b w:val="0"/>
          <w:sz w:val="22"/>
          <w:szCs w:val="22"/>
        </w:rPr>
        <w:t xml:space="preserve">were significant for the PRIME trial, but not </w:t>
      </w:r>
      <w:r w:rsidR="0073665C" w:rsidRPr="001A53B7">
        <w:rPr>
          <w:rStyle w:val="CommentReference"/>
          <w:rFonts w:ascii="Arial" w:hAnsi="Arial"/>
          <w:b w:val="0"/>
          <w:sz w:val="22"/>
          <w:szCs w:val="22"/>
        </w:rPr>
        <w:t xml:space="preserve">in </w:t>
      </w:r>
      <w:r w:rsidR="00E3078F" w:rsidRPr="001A53B7">
        <w:rPr>
          <w:rStyle w:val="CommentReference"/>
          <w:rFonts w:ascii="Arial" w:hAnsi="Arial"/>
          <w:b w:val="0"/>
          <w:sz w:val="22"/>
          <w:szCs w:val="22"/>
        </w:rPr>
        <w:t>the smaller PEAK trial.</w:t>
      </w:r>
      <w:r w:rsidR="001846BC" w:rsidRPr="001A53B7">
        <w:rPr>
          <w:rStyle w:val="CommentReference"/>
          <w:rFonts w:ascii="Arial" w:hAnsi="Arial"/>
          <w:b w:val="0"/>
          <w:sz w:val="22"/>
          <w:szCs w:val="22"/>
        </w:rPr>
        <w:t xml:space="preserve"> </w:t>
      </w:r>
      <w:r w:rsidR="00287193" w:rsidRPr="001A53B7">
        <w:rPr>
          <w:rStyle w:val="CommentReference"/>
          <w:rFonts w:ascii="Arial" w:hAnsi="Arial"/>
          <w:b w:val="0"/>
          <w:sz w:val="22"/>
          <w:szCs w:val="22"/>
        </w:rPr>
        <w:t xml:space="preserve"> </w:t>
      </w:r>
      <w:r w:rsidR="001846BC" w:rsidRPr="001A53B7">
        <w:rPr>
          <w:rStyle w:val="CommentReference"/>
          <w:rFonts w:ascii="Arial" w:hAnsi="Arial"/>
          <w:b w:val="0"/>
          <w:sz w:val="22"/>
          <w:szCs w:val="22"/>
        </w:rPr>
        <w:t xml:space="preserve">These </w:t>
      </w:r>
      <w:r w:rsidR="00362CE5" w:rsidRPr="001A53B7">
        <w:rPr>
          <w:rStyle w:val="CommentReference"/>
          <w:rFonts w:ascii="Arial" w:hAnsi="Arial"/>
          <w:b w:val="0"/>
          <w:sz w:val="22"/>
          <w:szCs w:val="22"/>
        </w:rPr>
        <w:t xml:space="preserve">different </w:t>
      </w:r>
      <w:r w:rsidR="001846BC" w:rsidRPr="001A53B7">
        <w:rPr>
          <w:rStyle w:val="CommentReference"/>
          <w:rFonts w:ascii="Arial" w:hAnsi="Arial"/>
          <w:b w:val="0"/>
          <w:sz w:val="22"/>
          <w:szCs w:val="22"/>
        </w:rPr>
        <w:t>results across subgroups are biologically plausible.</w:t>
      </w:r>
    </w:p>
    <w:p w:rsidR="00D63115" w:rsidRPr="00993AB6" w:rsidRDefault="00D63115" w:rsidP="00D63115">
      <w:pPr>
        <w:rPr>
          <w:rStyle w:val="CommentReference"/>
          <w:rFonts w:ascii="Arial" w:hAnsi="Arial"/>
          <w:b w:val="0"/>
          <w:sz w:val="22"/>
          <w:szCs w:val="22"/>
        </w:rPr>
      </w:pPr>
    </w:p>
    <w:p w:rsidR="003130DD" w:rsidRPr="001A53B7" w:rsidRDefault="00AD35A8" w:rsidP="001A53B7">
      <w:pPr>
        <w:pStyle w:val="ListParagraph"/>
        <w:widowControl/>
        <w:numPr>
          <w:ilvl w:val="1"/>
          <w:numId w:val="18"/>
        </w:numPr>
        <w:rPr>
          <w:szCs w:val="22"/>
        </w:rPr>
      </w:pPr>
      <w:r w:rsidRPr="001A53B7">
        <w:rPr>
          <w:rStyle w:val="CommentReference"/>
          <w:rFonts w:ascii="Arial" w:hAnsi="Arial"/>
          <w:b w:val="0"/>
          <w:sz w:val="22"/>
          <w:szCs w:val="22"/>
        </w:rPr>
        <w:t xml:space="preserve">One </w:t>
      </w:r>
      <w:r w:rsidR="00362CE5" w:rsidRPr="001A53B7">
        <w:rPr>
          <w:rStyle w:val="CommentReference"/>
          <w:rFonts w:ascii="Arial" w:hAnsi="Arial"/>
          <w:b w:val="0"/>
          <w:sz w:val="22"/>
          <w:szCs w:val="22"/>
        </w:rPr>
        <w:t>result that is not biologically plausible</w:t>
      </w:r>
      <w:r w:rsidR="001846BC" w:rsidRPr="001A53B7">
        <w:rPr>
          <w:rStyle w:val="CommentReference"/>
          <w:rFonts w:ascii="Arial" w:hAnsi="Arial"/>
          <w:b w:val="0"/>
          <w:sz w:val="22"/>
          <w:szCs w:val="22"/>
        </w:rPr>
        <w:t xml:space="preserve"> is the numerically improved effect for OS in the </w:t>
      </w:r>
      <w:r w:rsidR="001846BC" w:rsidRPr="001A53B7">
        <w:rPr>
          <w:rStyle w:val="CommentReference"/>
          <w:rFonts w:ascii="Arial" w:hAnsi="Arial"/>
          <w:b w:val="0"/>
          <w:i/>
          <w:sz w:val="22"/>
          <w:szCs w:val="22"/>
        </w:rPr>
        <w:t>KRAS</w:t>
      </w:r>
      <w:r w:rsidR="001846BC" w:rsidRPr="001A53B7">
        <w:rPr>
          <w:rStyle w:val="CommentReference"/>
          <w:rFonts w:ascii="Arial" w:hAnsi="Arial"/>
          <w:b w:val="0"/>
          <w:sz w:val="22"/>
          <w:szCs w:val="22"/>
        </w:rPr>
        <w:t xml:space="preserve"> WT (exon 2), </w:t>
      </w:r>
      <w:r w:rsidR="001846BC" w:rsidRPr="001A53B7">
        <w:rPr>
          <w:rStyle w:val="CommentReference"/>
          <w:rFonts w:ascii="Arial" w:hAnsi="Arial"/>
          <w:b w:val="0"/>
          <w:i/>
          <w:sz w:val="22"/>
          <w:szCs w:val="22"/>
        </w:rPr>
        <w:t>RAS</w:t>
      </w:r>
      <w:r w:rsidR="001846BC" w:rsidRPr="001A53B7">
        <w:rPr>
          <w:rStyle w:val="CommentReference"/>
          <w:rFonts w:ascii="Arial" w:hAnsi="Arial"/>
          <w:b w:val="0"/>
          <w:sz w:val="22"/>
          <w:szCs w:val="22"/>
        </w:rPr>
        <w:t xml:space="preserve"> mutant subgroup from the PEAK trial. </w:t>
      </w:r>
      <w:r w:rsidR="00287193" w:rsidRPr="001A53B7">
        <w:rPr>
          <w:rStyle w:val="CommentReference"/>
          <w:rFonts w:ascii="Arial" w:hAnsi="Arial"/>
          <w:b w:val="0"/>
          <w:sz w:val="22"/>
          <w:szCs w:val="22"/>
        </w:rPr>
        <w:t xml:space="preserve"> </w:t>
      </w:r>
      <w:r w:rsidR="001846BC" w:rsidRPr="001A53B7">
        <w:rPr>
          <w:rFonts w:eastAsiaTheme="minorHAnsi"/>
          <w:snapToGrid/>
          <w:color w:val="000000"/>
          <w:szCs w:val="22"/>
        </w:rPr>
        <w:t>Results from this small subgroup should be interpreted with caution for two reasons</w:t>
      </w:r>
      <w:r w:rsidR="00A975F6" w:rsidRPr="001A53B7">
        <w:rPr>
          <w:rFonts w:eastAsiaTheme="minorHAnsi"/>
          <w:snapToGrid/>
          <w:color w:val="000000"/>
          <w:szCs w:val="22"/>
        </w:rPr>
        <w:t>:</w:t>
      </w:r>
    </w:p>
    <w:p w:rsidR="003130DD" w:rsidRPr="00993AB6" w:rsidRDefault="001D093C" w:rsidP="00B614F8">
      <w:pPr>
        <w:pStyle w:val="ListParagraph"/>
        <w:widowControl/>
        <w:numPr>
          <w:ilvl w:val="0"/>
          <w:numId w:val="16"/>
        </w:numPr>
        <w:ind w:left="1134" w:hanging="357"/>
        <w:rPr>
          <w:szCs w:val="22"/>
        </w:rPr>
      </w:pPr>
      <w:r w:rsidRPr="00993AB6">
        <w:t>First</w:t>
      </w:r>
      <w:r w:rsidRPr="00993AB6">
        <w:rPr>
          <w:rFonts w:eastAsiaTheme="minorHAnsi"/>
          <w:snapToGrid/>
          <w:color w:val="000000"/>
          <w:szCs w:val="22"/>
        </w:rPr>
        <w:t>, t</w:t>
      </w:r>
      <w:r w:rsidR="001846BC" w:rsidRPr="00993AB6">
        <w:rPr>
          <w:rFonts w:eastAsiaTheme="minorHAnsi"/>
          <w:snapToGrid/>
          <w:color w:val="000000"/>
          <w:szCs w:val="22"/>
        </w:rPr>
        <w:t xml:space="preserve">here are </w:t>
      </w:r>
      <w:r w:rsidR="001846BC" w:rsidRPr="00993AB6">
        <w:t xml:space="preserve">imbalances between the </w:t>
      </w:r>
      <w:proofErr w:type="spellStart"/>
      <w:r w:rsidR="001846BC" w:rsidRPr="00993AB6">
        <w:t>panitumumab</w:t>
      </w:r>
      <w:proofErr w:type="spellEnd"/>
      <w:r w:rsidR="001846BC" w:rsidRPr="00993AB6">
        <w:t xml:space="preserve"> </w:t>
      </w:r>
      <w:r w:rsidR="00AD35A8" w:rsidRPr="00993AB6">
        <w:t>+</w:t>
      </w:r>
      <w:r w:rsidRPr="00993AB6">
        <w:t xml:space="preserve"> FOLFOX </w:t>
      </w:r>
      <w:r w:rsidR="001846BC" w:rsidRPr="00993AB6">
        <w:t xml:space="preserve">versus </w:t>
      </w:r>
      <w:proofErr w:type="spellStart"/>
      <w:r w:rsidR="001846BC" w:rsidRPr="00993AB6">
        <w:t>bevacizumab</w:t>
      </w:r>
      <w:proofErr w:type="spellEnd"/>
      <w:r w:rsidR="001846BC" w:rsidRPr="00993AB6">
        <w:t xml:space="preserve"> </w:t>
      </w:r>
      <w:r w:rsidR="00AD35A8" w:rsidRPr="00993AB6">
        <w:t>+</w:t>
      </w:r>
      <w:r w:rsidRPr="00993AB6">
        <w:t xml:space="preserve"> FOLFOX </w:t>
      </w:r>
      <w:r w:rsidR="001846BC" w:rsidRPr="00993AB6">
        <w:t>treatment arms in a number of baseline disease characteristics</w:t>
      </w:r>
      <w:r w:rsidRPr="00993AB6">
        <w:t xml:space="preserve">, </w:t>
      </w:r>
      <w:r w:rsidRPr="00AD7DEC">
        <w:t xml:space="preserve">such as </w:t>
      </w:r>
      <w:r w:rsidR="001846BC" w:rsidRPr="00AD7DEC">
        <w:t xml:space="preserve">the mean duration since diagnosis of primary tumour </w:t>
      </w:r>
      <w:r w:rsidR="001A7755">
        <w:rPr>
          <w:noProof/>
          <w:color w:val="000000"/>
          <w:highlight w:val="black"/>
        </w:rPr>
        <w:t>''''''''''</w:t>
      </w:r>
      <w:r w:rsidR="001846BC" w:rsidRPr="00AD7DEC">
        <w:t xml:space="preserve"> months vs </w:t>
      </w:r>
      <w:r w:rsidR="001A7755">
        <w:rPr>
          <w:noProof/>
          <w:color w:val="000000"/>
          <w:highlight w:val="black"/>
        </w:rPr>
        <w:t>'''''''''''</w:t>
      </w:r>
      <w:r w:rsidR="001846BC" w:rsidRPr="00AD7DEC">
        <w:t xml:space="preserve"> months for </w:t>
      </w:r>
      <w:proofErr w:type="spellStart"/>
      <w:r w:rsidR="001846BC" w:rsidRPr="00AD7DEC">
        <w:t>panitumumab</w:t>
      </w:r>
      <w:proofErr w:type="spellEnd"/>
      <w:r w:rsidRPr="00AD7DEC">
        <w:t xml:space="preserve"> </w:t>
      </w:r>
      <w:r w:rsidR="00AD35A8" w:rsidRPr="00AD7DEC">
        <w:t>+</w:t>
      </w:r>
      <w:r w:rsidRPr="00AD7DEC">
        <w:t xml:space="preserve"> </w:t>
      </w:r>
      <w:r w:rsidR="001846BC" w:rsidRPr="00AD7DEC">
        <w:t xml:space="preserve">FOLFOX vs </w:t>
      </w:r>
      <w:proofErr w:type="spellStart"/>
      <w:r w:rsidR="001846BC" w:rsidRPr="00AD7DEC">
        <w:t>bevacizumab</w:t>
      </w:r>
      <w:proofErr w:type="spellEnd"/>
      <w:r w:rsidRPr="00AD7DEC">
        <w:t xml:space="preserve"> </w:t>
      </w:r>
      <w:r w:rsidR="00AD35A8" w:rsidRPr="00AD7DEC">
        <w:t>+</w:t>
      </w:r>
      <w:r w:rsidRPr="00AD7DEC">
        <w:t xml:space="preserve"> </w:t>
      </w:r>
      <w:r w:rsidR="001846BC" w:rsidRPr="00AD7DEC">
        <w:t>FOLFOX) and metastatic disease (</w:t>
      </w:r>
      <w:r w:rsidR="001A7755">
        <w:rPr>
          <w:noProof/>
          <w:color w:val="000000"/>
          <w:highlight w:val="black"/>
        </w:rPr>
        <w:t>''''''''</w:t>
      </w:r>
      <w:r w:rsidR="001846BC" w:rsidRPr="00AD7DEC">
        <w:t xml:space="preserve"> months vs </w:t>
      </w:r>
      <w:r w:rsidR="001A7755">
        <w:rPr>
          <w:noProof/>
          <w:color w:val="000000"/>
          <w:highlight w:val="black"/>
        </w:rPr>
        <w:t>'''</w:t>
      </w:r>
      <w:r w:rsidR="001846BC" w:rsidRPr="00AD7DEC">
        <w:t xml:space="preserve"> months, respectively), number of sites of metastatic disease </w:t>
      </w:r>
      <w:r w:rsidR="001A7755">
        <w:rPr>
          <w:noProof/>
          <w:color w:val="000000"/>
          <w:highlight w:val="black"/>
        </w:rPr>
        <w:t>'''''' ''''''''</w:t>
      </w:r>
      <w:r w:rsidR="001846BC" w:rsidRPr="00AD7DEC">
        <w:t xml:space="preserve">% vs </w:t>
      </w:r>
      <w:r w:rsidR="001A7755">
        <w:rPr>
          <w:noProof/>
          <w:color w:val="000000"/>
          <w:highlight w:val="black"/>
        </w:rPr>
        <w:t>'''''''</w:t>
      </w:r>
      <w:r w:rsidR="001846BC" w:rsidRPr="00AD7DEC">
        <w:t>%) and the total number of target lesions (</w:t>
      </w:r>
      <w:r w:rsidR="001A7755">
        <w:rPr>
          <w:noProof/>
          <w:color w:val="000000"/>
          <w:highlight w:val="black"/>
        </w:rPr>
        <w:t>'''''''</w:t>
      </w:r>
      <w:r w:rsidR="001846BC" w:rsidRPr="00AD7DEC">
        <w:t xml:space="preserve"> vs </w:t>
      </w:r>
      <w:r w:rsidR="001A7755">
        <w:rPr>
          <w:noProof/>
          <w:color w:val="000000"/>
          <w:highlight w:val="black"/>
        </w:rPr>
        <w:t>'''''''</w:t>
      </w:r>
      <w:r w:rsidR="001846BC" w:rsidRPr="00AD7DEC">
        <w:t>).</w:t>
      </w:r>
      <w:r w:rsidR="001846BC" w:rsidRPr="00993AB6">
        <w:t xml:space="preserve"> </w:t>
      </w:r>
      <w:r w:rsidR="00287193" w:rsidRPr="00993AB6">
        <w:t xml:space="preserve"> </w:t>
      </w:r>
      <w:r w:rsidR="001846BC" w:rsidRPr="00993AB6">
        <w:t xml:space="preserve">Thus, patients in the </w:t>
      </w:r>
      <w:proofErr w:type="spellStart"/>
      <w:r w:rsidR="001846BC" w:rsidRPr="00993AB6">
        <w:t>bevacizumab</w:t>
      </w:r>
      <w:proofErr w:type="spellEnd"/>
      <w:r w:rsidRPr="00993AB6">
        <w:t xml:space="preserve"> </w:t>
      </w:r>
      <w:r w:rsidR="004B1C24" w:rsidRPr="00993AB6">
        <w:t>+</w:t>
      </w:r>
      <w:r w:rsidRPr="00993AB6">
        <w:t xml:space="preserve"> </w:t>
      </w:r>
      <w:r w:rsidR="001846BC" w:rsidRPr="00993AB6">
        <w:t>FOLFOX treatment arm at baseline would appear to have a worse prognosis, irrespective of treatment allocation</w:t>
      </w:r>
      <w:r w:rsidR="00A975F6" w:rsidRPr="00993AB6">
        <w:t>;</w:t>
      </w:r>
    </w:p>
    <w:p w:rsidR="00807A32" w:rsidRPr="00993AB6" w:rsidRDefault="001D093C" w:rsidP="00B614F8">
      <w:pPr>
        <w:pStyle w:val="ListParagraph"/>
        <w:widowControl/>
        <w:numPr>
          <w:ilvl w:val="0"/>
          <w:numId w:val="16"/>
        </w:numPr>
        <w:ind w:left="1134" w:hanging="357"/>
        <w:rPr>
          <w:szCs w:val="22"/>
        </w:rPr>
      </w:pPr>
      <w:r w:rsidRPr="00993AB6">
        <w:t>Second, t</w:t>
      </w:r>
      <w:r w:rsidR="001846BC" w:rsidRPr="00993AB6">
        <w:t xml:space="preserve">he proportion of cross over in this subgroup is unknown </w:t>
      </w:r>
      <w:r w:rsidR="00362CE5" w:rsidRPr="00993AB6">
        <w:t>– it w</w:t>
      </w:r>
      <w:r w:rsidR="001846BC" w:rsidRPr="00993AB6">
        <w:t xml:space="preserve">as not provided in the </w:t>
      </w:r>
      <w:r w:rsidR="00AF0640" w:rsidRPr="00993AB6">
        <w:t>re-</w:t>
      </w:r>
      <w:r w:rsidR="001846BC" w:rsidRPr="00993AB6">
        <w:t xml:space="preserve">submission or </w:t>
      </w:r>
      <w:r w:rsidR="00362CE5" w:rsidRPr="00993AB6">
        <w:t>de</w:t>
      </w:r>
      <w:r w:rsidR="00B93FF8" w:rsidRPr="00993AB6">
        <w:t>s</w:t>
      </w:r>
      <w:r w:rsidR="00362CE5" w:rsidRPr="00993AB6">
        <w:t xml:space="preserve">cribed </w:t>
      </w:r>
      <w:r w:rsidR="001846BC" w:rsidRPr="00993AB6">
        <w:t xml:space="preserve">in the clinical study report.  Patients with </w:t>
      </w:r>
      <w:r w:rsidR="001846BC" w:rsidRPr="00993AB6">
        <w:rPr>
          <w:i/>
        </w:rPr>
        <w:t>RAS</w:t>
      </w:r>
      <w:r w:rsidR="001846BC" w:rsidRPr="00993AB6">
        <w:t xml:space="preserve"> mutant tumours not responding to </w:t>
      </w:r>
      <w:proofErr w:type="spellStart"/>
      <w:r w:rsidR="001846BC" w:rsidRPr="00993AB6">
        <w:t>panitumumab</w:t>
      </w:r>
      <w:proofErr w:type="spellEnd"/>
      <w:r w:rsidR="001846BC" w:rsidRPr="00993AB6">
        <w:t xml:space="preserve"> could have benefited from cross over upon progression to an active </w:t>
      </w:r>
      <w:proofErr w:type="spellStart"/>
      <w:r w:rsidR="001846BC" w:rsidRPr="00993AB6">
        <w:t>bevacizumab</w:t>
      </w:r>
      <w:proofErr w:type="spellEnd"/>
      <w:r w:rsidR="001846BC" w:rsidRPr="00993AB6">
        <w:t xml:space="preserve"> treatment arm, hence </w:t>
      </w:r>
      <w:r w:rsidRPr="00993AB6">
        <w:t xml:space="preserve">potentially </w:t>
      </w:r>
      <w:r w:rsidR="001846BC" w:rsidRPr="00993AB6">
        <w:t xml:space="preserve">experiencing </w:t>
      </w:r>
      <w:r w:rsidRPr="00993AB6">
        <w:t xml:space="preserve">additional </w:t>
      </w:r>
      <w:r w:rsidR="001846BC" w:rsidRPr="00993AB6">
        <w:t xml:space="preserve">OS benefit. </w:t>
      </w:r>
      <w:r w:rsidR="00287193" w:rsidRPr="00993AB6">
        <w:t xml:space="preserve"> </w:t>
      </w:r>
      <w:r w:rsidR="001846BC" w:rsidRPr="00993AB6">
        <w:rPr>
          <w:i/>
        </w:rPr>
        <w:t>RAS</w:t>
      </w:r>
      <w:r w:rsidR="001846BC" w:rsidRPr="00993AB6">
        <w:t xml:space="preserve"> mutant patients in the </w:t>
      </w:r>
      <w:proofErr w:type="spellStart"/>
      <w:r w:rsidR="001846BC" w:rsidRPr="00993AB6">
        <w:t>bevacizumab</w:t>
      </w:r>
      <w:proofErr w:type="spellEnd"/>
      <w:r w:rsidR="001846BC" w:rsidRPr="00993AB6">
        <w:t xml:space="preserve"> treatment arm, crossing over to treatment with </w:t>
      </w:r>
      <w:proofErr w:type="spellStart"/>
      <w:r w:rsidR="001846BC" w:rsidRPr="00993AB6">
        <w:t>panitumumab</w:t>
      </w:r>
      <w:proofErr w:type="spellEnd"/>
      <w:r w:rsidR="001846BC" w:rsidRPr="00993AB6">
        <w:t xml:space="preserve">, are not likely to respond to </w:t>
      </w:r>
      <w:proofErr w:type="spellStart"/>
      <w:r w:rsidR="001846BC" w:rsidRPr="00993AB6">
        <w:t>panitumumab</w:t>
      </w:r>
      <w:proofErr w:type="spellEnd"/>
      <w:r w:rsidR="001846BC" w:rsidRPr="00993AB6">
        <w:t xml:space="preserve"> and hence would not experience any </w:t>
      </w:r>
      <w:r w:rsidRPr="00993AB6">
        <w:t>additional OS benefit</w:t>
      </w:r>
      <w:r w:rsidR="001846BC" w:rsidRPr="00993AB6">
        <w:t>.</w:t>
      </w:r>
    </w:p>
    <w:p w:rsidR="00807A32" w:rsidRPr="00993AB6" w:rsidRDefault="00807A32" w:rsidP="00807A32">
      <w:pPr>
        <w:rPr>
          <w:szCs w:val="22"/>
        </w:rPr>
      </w:pPr>
    </w:p>
    <w:p w:rsidR="00807A32" w:rsidRPr="001A53B7" w:rsidRDefault="00E3078F" w:rsidP="001A53B7">
      <w:pPr>
        <w:pStyle w:val="ListParagraph"/>
        <w:widowControl/>
        <w:numPr>
          <w:ilvl w:val="1"/>
          <w:numId w:val="18"/>
        </w:numPr>
        <w:rPr>
          <w:szCs w:val="22"/>
        </w:rPr>
      </w:pPr>
      <w:r w:rsidRPr="001A53B7">
        <w:rPr>
          <w:rStyle w:val="CommentReference"/>
          <w:rFonts w:ascii="Arial" w:hAnsi="Arial"/>
          <w:b w:val="0"/>
          <w:sz w:val="22"/>
          <w:szCs w:val="22"/>
        </w:rPr>
        <w:t xml:space="preserve">Patients with an </w:t>
      </w:r>
      <w:r w:rsidRPr="001A53B7">
        <w:rPr>
          <w:szCs w:val="22"/>
        </w:rPr>
        <w:t>ECOG performance status of 2 (</w:t>
      </w:r>
      <w:r w:rsidR="00D75146" w:rsidRPr="001A53B7">
        <w:rPr>
          <w:szCs w:val="22"/>
        </w:rPr>
        <w:t xml:space="preserve">PFS </w:t>
      </w:r>
      <w:r w:rsidRPr="001A53B7">
        <w:rPr>
          <w:szCs w:val="22"/>
        </w:rPr>
        <w:t>HR=1.69</w:t>
      </w:r>
      <w:r w:rsidR="00D75146" w:rsidRPr="001A53B7">
        <w:rPr>
          <w:szCs w:val="22"/>
        </w:rPr>
        <w:t>;</w:t>
      </w:r>
      <w:r w:rsidRPr="001A53B7">
        <w:rPr>
          <w:szCs w:val="22"/>
        </w:rPr>
        <w:t xml:space="preserve"> 95% CI: 0.75, 3.82</w:t>
      </w:r>
      <w:r w:rsidR="00D75146" w:rsidRPr="001A53B7">
        <w:rPr>
          <w:szCs w:val="22"/>
        </w:rPr>
        <w:t xml:space="preserve"> and </w:t>
      </w:r>
      <w:r w:rsidR="00D75146" w:rsidRPr="001A53B7">
        <w:rPr>
          <w:rFonts w:eastAsia="SimSun"/>
          <w:snapToGrid/>
          <w:szCs w:val="22"/>
          <w:lang w:eastAsia="zh-CN"/>
        </w:rPr>
        <w:t>OS HR=1.34; 95% CI: 0.63, 2.89</w:t>
      </w:r>
      <w:r w:rsidRPr="001A53B7">
        <w:rPr>
          <w:szCs w:val="22"/>
        </w:rPr>
        <w:t xml:space="preserve">) or who </w:t>
      </w:r>
      <w:r w:rsidR="00D75146" w:rsidRPr="001A53B7">
        <w:rPr>
          <w:szCs w:val="22"/>
        </w:rPr>
        <w:t>were ≥75 years of age (</w:t>
      </w:r>
      <w:r w:rsidR="00213EC8" w:rsidRPr="001A53B7">
        <w:rPr>
          <w:szCs w:val="22"/>
        </w:rPr>
        <w:t xml:space="preserve">PFS </w:t>
      </w:r>
      <w:r w:rsidR="00D75146" w:rsidRPr="001A53B7">
        <w:rPr>
          <w:szCs w:val="22"/>
        </w:rPr>
        <w:t xml:space="preserve">HR=1.21; </w:t>
      </w:r>
      <w:r w:rsidRPr="001A53B7">
        <w:rPr>
          <w:szCs w:val="22"/>
        </w:rPr>
        <w:t xml:space="preserve">95% CI: 0.62, 2.38) </w:t>
      </w:r>
      <w:r w:rsidRPr="00993AB6">
        <w:t xml:space="preserve">favoured the FOLFOX alone arm over </w:t>
      </w:r>
      <w:proofErr w:type="spellStart"/>
      <w:r w:rsidRPr="00993AB6">
        <w:t>panitumumab</w:t>
      </w:r>
      <w:proofErr w:type="spellEnd"/>
      <w:r w:rsidRPr="00993AB6">
        <w:t xml:space="preserve"> </w:t>
      </w:r>
      <w:r w:rsidR="004B1C24" w:rsidRPr="00993AB6">
        <w:t>+</w:t>
      </w:r>
      <w:r w:rsidRPr="00993AB6">
        <w:t xml:space="preserve"> FOLFOX arm in the </w:t>
      </w:r>
      <w:r w:rsidRPr="001A53B7">
        <w:rPr>
          <w:i/>
        </w:rPr>
        <w:t>RAS</w:t>
      </w:r>
      <w:r w:rsidRPr="00993AB6">
        <w:t xml:space="preserve"> WT subgroup of the PRIME trial, at least for the 2008 data cut-off </w:t>
      </w:r>
      <w:r w:rsidR="00D75146" w:rsidRPr="00993AB6">
        <w:t xml:space="preserve">PFS </w:t>
      </w:r>
      <w:r w:rsidRPr="00993AB6">
        <w:t xml:space="preserve">analysis </w:t>
      </w:r>
      <w:r w:rsidR="00D75146" w:rsidRPr="00993AB6">
        <w:t xml:space="preserve">and the </w:t>
      </w:r>
      <w:r w:rsidR="00D75146" w:rsidRPr="001A53B7">
        <w:rPr>
          <w:rFonts w:eastAsia="SimSun"/>
          <w:snapToGrid/>
          <w:szCs w:val="22"/>
          <w:lang w:eastAsia="zh-CN"/>
        </w:rPr>
        <w:t>2009 data cut-off OS analysis</w:t>
      </w:r>
      <w:r w:rsidRPr="001A53B7">
        <w:rPr>
          <w:szCs w:val="22"/>
        </w:rPr>
        <w:t xml:space="preserve">. </w:t>
      </w:r>
      <w:r w:rsidR="003130DD" w:rsidRPr="001A53B7">
        <w:rPr>
          <w:szCs w:val="22"/>
        </w:rPr>
        <w:t xml:space="preserve"> </w:t>
      </w:r>
      <w:r w:rsidRPr="001A53B7">
        <w:rPr>
          <w:szCs w:val="22"/>
        </w:rPr>
        <w:t>The wide confidence intervals suggest uncertainty in the point estimate as the analysis in this small subgroup (N=</w:t>
      </w:r>
      <w:r w:rsidR="00D75146" w:rsidRPr="001A53B7">
        <w:rPr>
          <w:szCs w:val="22"/>
        </w:rPr>
        <w:t xml:space="preserve">16 in each arm </w:t>
      </w:r>
      <w:r w:rsidRPr="001A53B7">
        <w:rPr>
          <w:szCs w:val="22"/>
        </w:rPr>
        <w:t>for ECOG 2) appears under-powered.</w:t>
      </w:r>
      <w:r w:rsidR="00817E25" w:rsidRPr="001A53B7">
        <w:rPr>
          <w:szCs w:val="22"/>
        </w:rPr>
        <w:t xml:space="preserve">  The </w:t>
      </w:r>
      <w:r w:rsidR="00A975F6" w:rsidRPr="001A53B7">
        <w:rPr>
          <w:szCs w:val="22"/>
        </w:rPr>
        <w:t>Pre-Sub-Committee Response (</w:t>
      </w:r>
      <w:r w:rsidR="00817E25" w:rsidRPr="001A53B7">
        <w:rPr>
          <w:szCs w:val="22"/>
        </w:rPr>
        <w:t>PSCR</w:t>
      </w:r>
      <w:r w:rsidR="00A975F6" w:rsidRPr="001A53B7">
        <w:rPr>
          <w:szCs w:val="22"/>
        </w:rPr>
        <w:t>,</w:t>
      </w:r>
      <w:r w:rsidR="00817E25" w:rsidRPr="001A53B7">
        <w:rPr>
          <w:szCs w:val="22"/>
        </w:rPr>
        <w:t xml:space="preserve"> p1) accepts that the PBS restriction might be limited to ECOG 0 or 1, noting that this would be consistent with the existing PBS listing of </w:t>
      </w:r>
      <w:proofErr w:type="spellStart"/>
      <w:r w:rsidR="00817E25" w:rsidRPr="001A53B7">
        <w:rPr>
          <w:szCs w:val="22"/>
        </w:rPr>
        <w:t>bevacizumab</w:t>
      </w:r>
      <w:proofErr w:type="spellEnd"/>
      <w:r w:rsidR="00817E25" w:rsidRPr="001A53B7">
        <w:rPr>
          <w:szCs w:val="22"/>
        </w:rPr>
        <w:t xml:space="preserve"> in </w:t>
      </w:r>
      <w:proofErr w:type="spellStart"/>
      <w:r w:rsidR="00817E25" w:rsidRPr="001A53B7">
        <w:rPr>
          <w:szCs w:val="22"/>
        </w:rPr>
        <w:t>mCRC</w:t>
      </w:r>
      <w:proofErr w:type="spellEnd"/>
      <w:r w:rsidR="00817E25" w:rsidRPr="001A53B7">
        <w:rPr>
          <w:szCs w:val="22"/>
        </w:rPr>
        <w:t>.</w:t>
      </w:r>
    </w:p>
    <w:p w:rsidR="00807A32" w:rsidRPr="00993AB6" w:rsidRDefault="00807A32" w:rsidP="00807A32">
      <w:pPr>
        <w:rPr>
          <w:rStyle w:val="CommentReference"/>
          <w:rFonts w:ascii="Arial" w:hAnsi="Arial"/>
          <w:b w:val="0"/>
          <w:sz w:val="22"/>
          <w:szCs w:val="22"/>
        </w:rPr>
      </w:pPr>
    </w:p>
    <w:p w:rsidR="00F40AF4" w:rsidRPr="001A53B7" w:rsidRDefault="00A975F6" w:rsidP="001A53B7">
      <w:pPr>
        <w:pStyle w:val="ListParagraph"/>
        <w:widowControl/>
        <w:numPr>
          <w:ilvl w:val="1"/>
          <w:numId w:val="18"/>
        </w:numPr>
        <w:rPr>
          <w:rStyle w:val="CommentReference"/>
          <w:rFonts w:ascii="Arial" w:hAnsi="Arial"/>
          <w:b w:val="0"/>
          <w:sz w:val="22"/>
          <w:szCs w:val="22"/>
        </w:rPr>
      </w:pPr>
      <w:r w:rsidRPr="001A53B7">
        <w:rPr>
          <w:rStyle w:val="CommentReference"/>
          <w:rFonts w:ascii="Arial" w:hAnsi="Arial"/>
          <w:b w:val="0"/>
          <w:sz w:val="22"/>
          <w:szCs w:val="22"/>
        </w:rPr>
        <w:t>T</w:t>
      </w:r>
      <w:r w:rsidR="00F40AF4" w:rsidRPr="001A53B7">
        <w:rPr>
          <w:rStyle w:val="CommentReference"/>
          <w:rFonts w:ascii="Arial" w:hAnsi="Arial"/>
          <w:b w:val="0"/>
          <w:sz w:val="22"/>
          <w:szCs w:val="22"/>
        </w:rPr>
        <w:t xml:space="preserve">he OS results of </w:t>
      </w:r>
      <w:r w:rsidR="00DE7862" w:rsidRPr="001A53B7">
        <w:rPr>
          <w:rStyle w:val="CommentReference"/>
          <w:rFonts w:ascii="Arial" w:hAnsi="Arial"/>
          <w:b w:val="0"/>
          <w:sz w:val="22"/>
          <w:szCs w:val="22"/>
        </w:rPr>
        <w:t xml:space="preserve">the </w:t>
      </w:r>
      <w:r w:rsidR="00F40AF4" w:rsidRPr="001A53B7">
        <w:rPr>
          <w:rStyle w:val="CommentReference"/>
          <w:rFonts w:ascii="Arial" w:hAnsi="Arial"/>
          <w:b w:val="0"/>
          <w:sz w:val="22"/>
          <w:szCs w:val="22"/>
        </w:rPr>
        <w:t xml:space="preserve">PRIME </w:t>
      </w:r>
      <w:r w:rsidR="00DE7862" w:rsidRPr="001A53B7">
        <w:rPr>
          <w:rStyle w:val="CommentReference"/>
          <w:rFonts w:ascii="Arial" w:hAnsi="Arial"/>
          <w:b w:val="0"/>
          <w:sz w:val="22"/>
          <w:szCs w:val="22"/>
        </w:rPr>
        <w:t xml:space="preserve">trial </w:t>
      </w:r>
      <w:r w:rsidR="00F40AF4" w:rsidRPr="001A53B7">
        <w:rPr>
          <w:rStyle w:val="CommentReference"/>
          <w:rFonts w:ascii="Arial" w:hAnsi="Arial"/>
          <w:b w:val="0"/>
          <w:sz w:val="22"/>
          <w:szCs w:val="22"/>
        </w:rPr>
        <w:t xml:space="preserve">have a low risk of confounding by cross-over when applied to the Australian PBS setting. </w:t>
      </w:r>
      <w:r w:rsidR="003130DD" w:rsidRPr="001A53B7">
        <w:rPr>
          <w:rStyle w:val="CommentReference"/>
          <w:rFonts w:ascii="Arial" w:hAnsi="Arial"/>
          <w:b w:val="0"/>
          <w:sz w:val="22"/>
          <w:szCs w:val="22"/>
        </w:rPr>
        <w:t xml:space="preserve"> </w:t>
      </w:r>
      <w:r w:rsidR="00D75146" w:rsidRPr="001A53B7">
        <w:rPr>
          <w:rStyle w:val="CommentReference"/>
          <w:rFonts w:ascii="Arial" w:hAnsi="Arial"/>
          <w:b w:val="0"/>
          <w:sz w:val="22"/>
          <w:szCs w:val="22"/>
        </w:rPr>
        <w:t xml:space="preserve">The greater risk of confounding due to cross-over to post-progression </w:t>
      </w:r>
      <w:proofErr w:type="spellStart"/>
      <w:r w:rsidR="00D75146" w:rsidRPr="001A53B7">
        <w:rPr>
          <w:rStyle w:val="CommentReference"/>
          <w:rFonts w:ascii="Arial" w:hAnsi="Arial"/>
          <w:b w:val="0"/>
          <w:sz w:val="22"/>
          <w:szCs w:val="22"/>
        </w:rPr>
        <w:t>bevacizumab</w:t>
      </w:r>
      <w:proofErr w:type="spellEnd"/>
      <w:r w:rsidR="00D75146" w:rsidRPr="001A53B7">
        <w:rPr>
          <w:rStyle w:val="CommentReference"/>
          <w:rFonts w:ascii="Arial" w:hAnsi="Arial"/>
          <w:b w:val="0"/>
          <w:sz w:val="22"/>
          <w:szCs w:val="22"/>
        </w:rPr>
        <w:t xml:space="preserve"> in the first-line </w:t>
      </w:r>
      <w:proofErr w:type="spellStart"/>
      <w:r w:rsidR="00D75146" w:rsidRPr="001A53B7">
        <w:rPr>
          <w:rStyle w:val="CommentReference"/>
          <w:rFonts w:ascii="Arial" w:hAnsi="Arial"/>
          <w:b w:val="0"/>
          <w:sz w:val="22"/>
          <w:szCs w:val="22"/>
        </w:rPr>
        <w:t>panitumumab</w:t>
      </w:r>
      <w:proofErr w:type="spellEnd"/>
      <w:r w:rsidR="00D75146" w:rsidRPr="001A53B7">
        <w:rPr>
          <w:rStyle w:val="CommentReference"/>
          <w:rFonts w:ascii="Arial" w:hAnsi="Arial"/>
          <w:b w:val="0"/>
          <w:sz w:val="22"/>
          <w:szCs w:val="22"/>
        </w:rPr>
        <w:t xml:space="preserve"> treatment arm might explain the apparent greater </w:t>
      </w:r>
      <w:r w:rsidR="00287193" w:rsidRPr="001A53B7">
        <w:rPr>
          <w:rStyle w:val="CommentReference"/>
          <w:rFonts w:ascii="Arial" w:hAnsi="Arial"/>
          <w:b w:val="0"/>
          <w:sz w:val="22"/>
          <w:szCs w:val="22"/>
        </w:rPr>
        <w:t xml:space="preserve">effect on </w:t>
      </w:r>
      <w:r w:rsidR="00D75146" w:rsidRPr="001A53B7">
        <w:rPr>
          <w:rStyle w:val="CommentReference"/>
          <w:rFonts w:ascii="Arial" w:hAnsi="Arial"/>
          <w:b w:val="0"/>
          <w:sz w:val="22"/>
          <w:szCs w:val="22"/>
        </w:rPr>
        <w:t xml:space="preserve">OS in </w:t>
      </w:r>
      <w:r w:rsidR="00DE7862" w:rsidRPr="001A53B7">
        <w:rPr>
          <w:rStyle w:val="CommentReference"/>
          <w:rFonts w:ascii="Arial" w:hAnsi="Arial"/>
          <w:b w:val="0"/>
          <w:sz w:val="22"/>
          <w:szCs w:val="22"/>
        </w:rPr>
        <w:t xml:space="preserve">the </w:t>
      </w:r>
      <w:r w:rsidR="00D75146" w:rsidRPr="001A53B7">
        <w:rPr>
          <w:rStyle w:val="CommentReference"/>
          <w:rFonts w:ascii="Arial" w:hAnsi="Arial"/>
          <w:b w:val="0"/>
          <w:sz w:val="22"/>
          <w:szCs w:val="22"/>
        </w:rPr>
        <w:t xml:space="preserve">PEAK </w:t>
      </w:r>
      <w:r w:rsidR="00DE7862" w:rsidRPr="001A53B7">
        <w:rPr>
          <w:rStyle w:val="CommentReference"/>
          <w:rFonts w:ascii="Arial" w:hAnsi="Arial"/>
          <w:b w:val="0"/>
          <w:sz w:val="22"/>
          <w:szCs w:val="22"/>
        </w:rPr>
        <w:t xml:space="preserve">trial </w:t>
      </w:r>
      <w:r w:rsidR="00D75146" w:rsidRPr="001A53B7">
        <w:rPr>
          <w:rStyle w:val="CommentReference"/>
          <w:rFonts w:ascii="Arial" w:hAnsi="Arial"/>
          <w:b w:val="0"/>
          <w:sz w:val="22"/>
          <w:szCs w:val="22"/>
        </w:rPr>
        <w:t xml:space="preserve">than in </w:t>
      </w:r>
      <w:r w:rsidR="00DE7862" w:rsidRPr="001A53B7">
        <w:rPr>
          <w:rStyle w:val="CommentReference"/>
          <w:rFonts w:ascii="Arial" w:hAnsi="Arial"/>
          <w:b w:val="0"/>
          <w:sz w:val="22"/>
          <w:szCs w:val="22"/>
        </w:rPr>
        <w:t xml:space="preserve">the </w:t>
      </w:r>
      <w:r w:rsidR="00D75146" w:rsidRPr="001A53B7">
        <w:rPr>
          <w:rStyle w:val="CommentReference"/>
          <w:rFonts w:ascii="Arial" w:hAnsi="Arial"/>
          <w:b w:val="0"/>
          <w:sz w:val="22"/>
          <w:szCs w:val="22"/>
        </w:rPr>
        <w:t>PRIME</w:t>
      </w:r>
      <w:r w:rsidR="00DE7862" w:rsidRPr="001A53B7">
        <w:rPr>
          <w:rStyle w:val="CommentReference"/>
          <w:rFonts w:ascii="Arial" w:hAnsi="Arial"/>
          <w:b w:val="0"/>
          <w:sz w:val="22"/>
          <w:szCs w:val="22"/>
        </w:rPr>
        <w:t xml:space="preserve"> trial</w:t>
      </w:r>
      <w:r w:rsidR="00D75146" w:rsidRPr="001A53B7">
        <w:rPr>
          <w:rStyle w:val="CommentReference"/>
          <w:rFonts w:ascii="Arial" w:hAnsi="Arial"/>
          <w:b w:val="0"/>
          <w:sz w:val="22"/>
          <w:szCs w:val="22"/>
        </w:rPr>
        <w:t>.</w:t>
      </w:r>
      <w:r w:rsidR="004B1C24" w:rsidRPr="001A53B7">
        <w:rPr>
          <w:rStyle w:val="CommentReference"/>
          <w:rFonts w:ascii="Arial" w:hAnsi="Arial"/>
          <w:b w:val="0"/>
          <w:sz w:val="22"/>
          <w:szCs w:val="22"/>
        </w:rPr>
        <w:t xml:space="preserve"> </w:t>
      </w:r>
      <w:r w:rsidR="003130DD" w:rsidRPr="001A53B7">
        <w:rPr>
          <w:rStyle w:val="CommentReference"/>
          <w:rFonts w:ascii="Arial" w:hAnsi="Arial"/>
          <w:b w:val="0"/>
          <w:sz w:val="22"/>
          <w:szCs w:val="22"/>
        </w:rPr>
        <w:t xml:space="preserve"> </w:t>
      </w:r>
      <w:r w:rsidR="004B1C24" w:rsidRPr="001A53B7">
        <w:rPr>
          <w:rStyle w:val="CommentReference"/>
          <w:rFonts w:ascii="Arial" w:hAnsi="Arial"/>
          <w:b w:val="0"/>
          <w:sz w:val="22"/>
          <w:szCs w:val="22"/>
        </w:rPr>
        <w:t xml:space="preserve">The lack of exchangeability across the two trials </w:t>
      </w:r>
      <w:r w:rsidR="00287193" w:rsidRPr="001A53B7">
        <w:rPr>
          <w:rStyle w:val="CommentReference"/>
          <w:rFonts w:ascii="Arial" w:hAnsi="Arial"/>
          <w:b w:val="0"/>
          <w:sz w:val="22"/>
          <w:szCs w:val="22"/>
        </w:rPr>
        <w:t xml:space="preserve">might explain the apparent similarity of effect on PFS in </w:t>
      </w:r>
      <w:r w:rsidR="00885036" w:rsidRPr="001A53B7">
        <w:rPr>
          <w:rStyle w:val="CommentReference"/>
          <w:rFonts w:ascii="Arial" w:hAnsi="Arial"/>
          <w:b w:val="0"/>
          <w:sz w:val="22"/>
          <w:szCs w:val="22"/>
        </w:rPr>
        <w:t xml:space="preserve">the </w:t>
      </w:r>
      <w:r w:rsidR="00287193" w:rsidRPr="001A53B7">
        <w:rPr>
          <w:rStyle w:val="CommentReference"/>
          <w:rFonts w:ascii="Arial" w:hAnsi="Arial"/>
          <w:b w:val="0"/>
          <w:sz w:val="22"/>
          <w:szCs w:val="22"/>
        </w:rPr>
        <w:t xml:space="preserve">PEAK </w:t>
      </w:r>
      <w:r w:rsidR="00885036" w:rsidRPr="001A53B7">
        <w:rPr>
          <w:rStyle w:val="CommentReference"/>
          <w:rFonts w:ascii="Arial" w:hAnsi="Arial"/>
          <w:b w:val="0"/>
          <w:sz w:val="22"/>
          <w:szCs w:val="22"/>
        </w:rPr>
        <w:t xml:space="preserve">trial </w:t>
      </w:r>
      <w:r w:rsidR="00287193" w:rsidRPr="001A53B7">
        <w:rPr>
          <w:rStyle w:val="CommentReference"/>
          <w:rFonts w:ascii="Arial" w:hAnsi="Arial"/>
          <w:b w:val="0"/>
          <w:sz w:val="22"/>
          <w:szCs w:val="22"/>
        </w:rPr>
        <w:t xml:space="preserve">than in </w:t>
      </w:r>
      <w:r w:rsidR="00885036" w:rsidRPr="001A53B7">
        <w:rPr>
          <w:rStyle w:val="CommentReference"/>
          <w:rFonts w:ascii="Arial" w:hAnsi="Arial"/>
          <w:b w:val="0"/>
          <w:sz w:val="22"/>
          <w:szCs w:val="22"/>
        </w:rPr>
        <w:t xml:space="preserve">the </w:t>
      </w:r>
      <w:r w:rsidR="00287193" w:rsidRPr="001A53B7">
        <w:rPr>
          <w:rStyle w:val="CommentReference"/>
          <w:rFonts w:ascii="Arial" w:hAnsi="Arial"/>
          <w:b w:val="0"/>
          <w:sz w:val="22"/>
          <w:szCs w:val="22"/>
        </w:rPr>
        <w:t>PRIME</w:t>
      </w:r>
      <w:r w:rsidR="00885036" w:rsidRPr="001A53B7">
        <w:rPr>
          <w:rStyle w:val="CommentReference"/>
          <w:rFonts w:ascii="Arial" w:hAnsi="Arial"/>
          <w:b w:val="0"/>
          <w:sz w:val="22"/>
          <w:szCs w:val="22"/>
        </w:rPr>
        <w:t xml:space="preserve"> trial</w:t>
      </w:r>
      <w:r w:rsidR="00287193" w:rsidRPr="001A53B7">
        <w:rPr>
          <w:rStyle w:val="CommentReference"/>
          <w:rFonts w:ascii="Arial" w:hAnsi="Arial"/>
          <w:b w:val="0"/>
          <w:sz w:val="22"/>
          <w:szCs w:val="22"/>
        </w:rPr>
        <w:t xml:space="preserve">, even though the addition of </w:t>
      </w:r>
      <w:proofErr w:type="spellStart"/>
      <w:r w:rsidR="00287193" w:rsidRPr="001A53B7">
        <w:rPr>
          <w:rStyle w:val="CommentReference"/>
          <w:rFonts w:ascii="Arial" w:hAnsi="Arial"/>
          <w:b w:val="0"/>
          <w:sz w:val="22"/>
          <w:szCs w:val="22"/>
        </w:rPr>
        <w:t>bevacizumab</w:t>
      </w:r>
      <w:proofErr w:type="spellEnd"/>
      <w:r w:rsidR="00287193" w:rsidRPr="001A53B7">
        <w:rPr>
          <w:rStyle w:val="CommentReference"/>
          <w:rFonts w:ascii="Arial" w:hAnsi="Arial"/>
          <w:b w:val="0"/>
          <w:sz w:val="22"/>
          <w:szCs w:val="22"/>
        </w:rPr>
        <w:t xml:space="preserve"> to FOLFOX in </w:t>
      </w:r>
      <w:r w:rsidR="00885036" w:rsidRPr="001A53B7">
        <w:rPr>
          <w:rStyle w:val="CommentReference"/>
          <w:rFonts w:ascii="Arial" w:hAnsi="Arial"/>
          <w:b w:val="0"/>
          <w:sz w:val="22"/>
          <w:szCs w:val="22"/>
        </w:rPr>
        <w:t xml:space="preserve">the </w:t>
      </w:r>
      <w:r w:rsidR="00287193" w:rsidRPr="001A53B7">
        <w:rPr>
          <w:rStyle w:val="CommentReference"/>
          <w:rFonts w:ascii="Arial" w:hAnsi="Arial"/>
          <w:b w:val="0"/>
          <w:sz w:val="22"/>
          <w:szCs w:val="22"/>
        </w:rPr>
        <w:t xml:space="preserve">PEAK </w:t>
      </w:r>
      <w:r w:rsidR="00885036" w:rsidRPr="001A53B7">
        <w:rPr>
          <w:rStyle w:val="CommentReference"/>
          <w:rFonts w:ascii="Arial" w:hAnsi="Arial"/>
          <w:b w:val="0"/>
          <w:sz w:val="22"/>
          <w:szCs w:val="22"/>
        </w:rPr>
        <w:t xml:space="preserve">trial </w:t>
      </w:r>
      <w:r w:rsidR="00287193" w:rsidRPr="001A53B7">
        <w:rPr>
          <w:rStyle w:val="CommentReference"/>
          <w:rFonts w:ascii="Arial" w:hAnsi="Arial"/>
          <w:b w:val="0"/>
          <w:sz w:val="22"/>
          <w:szCs w:val="22"/>
        </w:rPr>
        <w:t xml:space="preserve">would be expected to be more effective than FOLFOX alone in </w:t>
      </w:r>
      <w:r w:rsidR="00885036" w:rsidRPr="001A53B7">
        <w:rPr>
          <w:rStyle w:val="CommentReference"/>
          <w:rFonts w:ascii="Arial" w:hAnsi="Arial"/>
          <w:b w:val="0"/>
          <w:sz w:val="22"/>
          <w:szCs w:val="22"/>
        </w:rPr>
        <w:t xml:space="preserve">the </w:t>
      </w:r>
      <w:r w:rsidR="00287193" w:rsidRPr="001A53B7">
        <w:rPr>
          <w:rStyle w:val="CommentReference"/>
          <w:rFonts w:ascii="Arial" w:hAnsi="Arial"/>
          <w:b w:val="0"/>
          <w:sz w:val="22"/>
          <w:szCs w:val="22"/>
        </w:rPr>
        <w:t>PRIME</w:t>
      </w:r>
      <w:r w:rsidR="00885036" w:rsidRPr="001A53B7">
        <w:rPr>
          <w:rStyle w:val="CommentReference"/>
          <w:rFonts w:ascii="Arial" w:hAnsi="Arial"/>
          <w:b w:val="0"/>
          <w:sz w:val="22"/>
          <w:szCs w:val="22"/>
        </w:rPr>
        <w:t xml:space="preserve"> trial</w:t>
      </w:r>
      <w:r w:rsidR="00287193" w:rsidRPr="001A53B7">
        <w:rPr>
          <w:rStyle w:val="CommentReference"/>
          <w:rFonts w:ascii="Arial" w:hAnsi="Arial"/>
          <w:b w:val="0"/>
          <w:sz w:val="22"/>
          <w:szCs w:val="22"/>
        </w:rPr>
        <w:t>.</w:t>
      </w:r>
    </w:p>
    <w:p w:rsidR="00D6647F" w:rsidRPr="00542733" w:rsidRDefault="00D6647F" w:rsidP="00D6647F">
      <w:pPr>
        <w:rPr>
          <w:rStyle w:val="CommentReference"/>
          <w:rFonts w:ascii="Arial" w:hAnsi="Arial"/>
          <w:b w:val="0"/>
          <w:sz w:val="22"/>
          <w:szCs w:val="22"/>
        </w:rPr>
      </w:pPr>
    </w:p>
    <w:p w:rsidR="00D6647F" w:rsidRPr="001A53B7" w:rsidRDefault="00A975F6" w:rsidP="001A53B7">
      <w:pPr>
        <w:pStyle w:val="ListParagraph"/>
        <w:widowControl/>
        <w:numPr>
          <w:ilvl w:val="1"/>
          <w:numId w:val="18"/>
        </w:numPr>
        <w:rPr>
          <w:rStyle w:val="CommentReference"/>
          <w:rFonts w:ascii="Arial" w:hAnsi="Arial"/>
          <w:b w:val="0"/>
          <w:sz w:val="22"/>
          <w:szCs w:val="22"/>
        </w:rPr>
      </w:pPr>
      <w:r w:rsidRPr="001A53B7">
        <w:rPr>
          <w:rStyle w:val="CommentReference"/>
          <w:rFonts w:ascii="Arial" w:hAnsi="Arial"/>
          <w:b w:val="0"/>
          <w:sz w:val="22"/>
          <w:szCs w:val="22"/>
        </w:rPr>
        <w:t xml:space="preserve">The </w:t>
      </w:r>
      <w:r w:rsidR="00D6647F" w:rsidRPr="001A53B7">
        <w:rPr>
          <w:rStyle w:val="CommentReference"/>
          <w:rFonts w:ascii="Arial" w:hAnsi="Arial"/>
          <w:b w:val="0"/>
          <w:sz w:val="22"/>
          <w:szCs w:val="22"/>
        </w:rPr>
        <w:t xml:space="preserve">ESC discussed the possibility that the extent of superiority reported in the PEAK trial for </w:t>
      </w:r>
      <w:proofErr w:type="spellStart"/>
      <w:r w:rsidR="00D6647F" w:rsidRPr="001A53B7">
        <w:rPr>
          <w:rStyle w:val="CommentReference"/>
          <w:rFonts w:ascii="Arial" w:hAnsi="Arial"/>
          <w:b w:val="0"/>
          <w:sz w:val="22"/>
          <w:szCs w:val="22"/>
        </w:rPr>
        <w:t>panitumumab</w:t>
      </w:r>
      <w:proofErr w:type="spellEnd"/>
      <w:r w:rsidR="00D6647F" w:rsidRPr="001A53B7">
        <w:rPr>
          <w:rStyle w:val="CommentReference"/>
          <w:rFonts w:ascii="Arial" w:hAnsi="Arial"/>
          <w:b w:val="0"/>
          <w:sz w:val="22"/>
          <w:szCs w:val="22"/>
        </w:rPr>
        <w:t xml:space="preserve"> + FOLFOX over </w:t>
      </w:r>
      <w:proofErr w:type="spellStart"/>
      <w:r w:rsidR="00D6647F" w:rsidRPr="001A53B7">
        <w:rPr>
          <w:rStyle w:val="CommentReference"/>
          <w:rFonts w:ascii="Arial" w:hAnsi="Arial"/>
          <w:b w:val="0"/>
          <w:sz w:val="22"/>
          <w:szCs w:val="22"/>
        </w:rPr>
        <w:t>bevacizumab</w:t>
      </w:r>
      <w:proofErr w:type="spellEnd"/>
      <w:r w:rsidR="00D6647F" w:rsidRPr="001A53B7">
        <w:rPr>
          <w:rStyle w:val="CommentReference"/>
          <w:rFonts w:ascii="Arial" w:hAnsi="Arial"/>
          <w:b w:val="0"/>
          <w:sz w:val="22"/>
          <w:szCs w:val="22"/>
        </w:rPr>
        <w:t xml:space="preserve"> + FOLFOX may be </w:t>
      </w:r>
      <w:r w:rsidR="00D6647F" w:rsidRPr="001A53B7">
        <w:rPr>
          <w:rStyle w:val="CommentReference"/>
          <w:rFonts w:ascii="Arial" w:hAnsi="Arial"/>
          <w:b w:val="0"/>
          <w:sz w:val="22"/>
          <w:szCs w:val="22"/>
        </w:rPr>
        <w:lastRenderedPageBreak/>
        <w:t xml:space="preserve">overestimated.  </w:t>
      </w:r>
      <w:r w:rsidR="00D71EE6" w:rsidRPr="001A53B7">
        <w:rPr>
          <w:rStyle w:val="CommentReference"/>
          <w:rFonts w:ascii="Arial" w:hAnsi="Arial"/>
          <w:b w:val="0"/>
          <w:sz w:val="22"/>
          <w:szCs w:val="22"/>
        </w:rPr>
        <w:t>As discussed at the hearing, o</w:t>
      </w:r>
      <w:r w:rsidR="00D6647F" w:rsidRPr="001A53B7">
        <w:rPr>
          <w:rStyle w:val="CommentReference"/>
          <w:rFonts w:ascii="Arial" w:hAnsi="Arial"/>
          <w:b w:val="0"/>
          <w:sz w:val="22"/>
          <w:szCs w:val="22"/>
        </w:rPr>
        <w:t xml:space="preserve">ther larger comparisons of </w:t>
      </w:r>
      <w:r w:rsidR="00BF5766" w:rsidRPr="001A53B7">
        <w:rPr>
          <w:rStyle w:val="CommentReference"/>
          <w:rFonts w:ascii="Arial" w:hAnsi="Arial"/>
          <w:b w:val="0"/>
          <w:sz w:val="22"/>
          <w:szCs w:val="22"/>
        </w:rPr>
        <w:t>anti-</w:t>
      </w:r>
      <w:r w:rsidR="00D6647F" w:rsidRPr="001A53B7">
        <w:rPr>
          <w:rStyle w:val="CommentReference"/>
          <w:rFonts w:ascii="Arial" w:hAnsi="Arial"/>
          <w:b w:val="0"/>
          <w:sz w:val="22"/>
          <w:szCs w:val="22"/>
        </w:rPr>
        <w:t xml:space="preserve">EGFR </w:t>
      </w:r>
      <w:r w:rsidR="00BF5766" w:rsidRPr="001A53B7">
        <w:rPr>
          <w:rStyle w:val="CommentReference"/>
          <w:rFonts w:ascii="Arial" w:hAnsi="Arial"/>
          <w:b w:val="0"/>
          <w:sz w:val="22"/>
          <w:szCs w:val="22"/>
        </w:rPr>
        <w:t>antibodies</w:t>
      </w:r>
      <w:r w:rsidR="00D6647F" w:rsidRPr="001A53B7">
        <w:rPr>
          <w:rStyle w:val="CommentReference"/>
          <w:rFonts w:ascii="Arial" w:hAnsi="Arial"/>
          <w:b w:val="0"/>
          <w:sz w:val="22"/>
          <w:szCs w:val="22"/>
        </w:rPr>
        <w:t xml:space="preserve"> and </w:t>
      </w:r>
      <w:proofErr w:type="spellStart"/>
      <w:r w:rsidR="00D6647F" w:rsidRPr="001A53B7">
        <w:rPr>
          <w:rStyle w:val="CommentReference"/>
          <w:rFonts w:ascii="Arial" w:hAnsi="Arial"/>
          <w:b w:val="0"/>
          <w:sz w:val="22"/>
          <w:szCs w:val="22"/>
        </w:rPr>
        <w:t>bevacizumab</w:t>
      </w:r>
      <w:proofErr w:type="spellEnd"/>
      <w:r w:rsidR="00D6647F" w:rsidRPr="001A53B7">
        <w:rPr>
          <w:rStyle w:val="CommentReference"/>
          <w:rFonts w:ascii="Arial" w:hAnsi="Arial"/>
          <w:b w:val="0"/>
          <w:sz w:val="22"/>
          <w:szCs w:val="22"/>
        </w:rPr>
        <w:t xml:space="preserve"> in the first-line setting of </w:t>
      </w:r>
      <w:proofErr w:type="spellStart"/>
      <w:r w:rsidR="00D6647F" w:rsidRPr="001A53B7">
        <w:rPr>
          <w:rStyle w:val="CommentReference"/>
          <w:rFonts w:ascii="Arial" w:hAnsi="Arial"/>
          <w:b w:val="0"/>
          <w:sz w:val="22"/>
          <w:szCs w:val="22"/>
        </w:rPr>
        <w:t>mCRC</w:t>
      </w:r>
      <w:proofErr w:type="spellEnd"/>
      <w:r w:rsidR="00D6647F" w:rsidRPr="001A53B7">
        <w:rPr>
          <w:rStyle w:val="CommentReference"/>
          <w:rFonts w:ascii="Arial" w:hAnsi="Arial"/>
          <w:b w:val="0"/>
          <w:sz w:val="22"/>
          <w:szCs w:val="22"/>
        </w:rPr>
        <w:t xml:space="preserve">, such as CALGB/SWOG 80405, </w:t>
      </w:r>
      <w:r w:rsidR="00DA4438" w:rsidRPr="001A53B7">
        <w:rPr>
          <w:rStyle w:val="CommentReference"/>
          <w:rFonts w:ascii="Arial" w:hAnsi="Arial"/>
          <w:b w:val="0"/>
          <w:sz w:val="22"/>
          <w:szCs w:val="22"/>
        </w:rPr>
        <w:t xml:space="preserve">have not yet fully reported, </w:t>
      </w:r>
      <w:r w:rsidR="001A7755">
        <w:rPr>
          <w:rStyle w:val="CommentReference"/>
          <w:rFonts w:ascii="Arial" w:hAnsi="Arial"/>
          <w:b w:val="0"/>
          <w:noProof/>
          <w:color w:val="000000"/>
          <w:sz w:val="22"/>
          <w:szCs w:val="22"/>
          <w:highlight w:val="black"/>
        </w:rPr>
        <w:t>''''''' ''''''''''''''''''' '''''''''''''''''' ''''' ''''' '''''''''''' ''''' '''''''''''''''''''</w:t>
      </w:r>
    </w:p>
    <w:p w:rsidR="00E473DB" w:rsidRPr="00542733" w:rsidRDefault="00E473DB" w:rsidP="008266C4"/>
    <w:p w:rsidR="001D093C" w:rsidRPr="00542733" w:rsidRDefault="001D093C" w:rsidP="00B43E2B">
      <w:pPr>
        <w:ind w:firstLine="720"/>
        <w:rPr>
          <w:u w:val="single"/>
        </w:rPr>
      </w:pPr>
      <w:r w:rsidRPr="00542733">
        <w:rPr>
          <w:u w:val="single"/>
        </w:rPr>
        <w:t xml:space="preserve">Eligibility to be determined on the basis of </w:t>
      </w:r>
      <w:r w:rsidRPr="00542733">
        <w:rPr>
          <w:i/>
          <w:u w:val="single"/>
        </w:rPr>
        <w:t>RAS</w:t>
      </w:r>
      <w:r w:rsidRPr="00542733">
        <w:rPr>
          <w:u w:val="single"/>
        </w:rPr>
        <w:t xml:space="preserve"> WT rather than </w:t>
      </w:r>
      <w:r w:rsidRPr="00542733">
        <w:rPr>
          <w:i/>
          <w:u w:val="single"/>
        </w:rPr>
        <w:t>KRAS</w:t>
      </w:r>
      <w:r w:rsidRPr="00542733">
        <w:rPr>
          <w:u w:val="single"/>
        </w:rPr>
        <w:t xml:space="preserve"> WT</w:t>
      </w:r>
    </w:p>
    <w:p w:rsidR="001D093C" w:rsidRPr="00542733" w:rsidRDefault="001D093C" w:rsidP="008266C4"/>
    <w:p w:rsidR="00C62102" w:rsidRPr="00542733" w:rsidRDefault="00C62102" w:rsidP="00B43E2B">
      <w:pPr>
        <w:pStyle w:val="BodyText"/>
        <w:ind w:left="720"/>
        <w:rPr>
          <w:b/>
          <w:sz w:val="18"/>
        </w:rPr>
      </w:pPr>
      <w:r w:rsidRPr="00542733">
        <w:rPr>
          <w:b/>
          <w:sz w:val="18"/>
        </w:rPr>
        <w:t xml:space="preserve">Progression-free survival by </w:t>
      </w:r>
      <w:r w:rsidRPr="00542733">
        <w:rPr>
          <w:b/>
          <w:i/>
          <w:sz w:val="18"/>
        </w:rPr>
        <w:t>RAS</w:t>
      </w:r>
      <w:r w:rsidRPr="00542733">
        <w:rPr>
          <w:b/>
          <w:sz w:val="18"/>
        </w:rPr>
        <w:t xml:space="preserve"> subgroups from additional randomised trials for first-line </w:t>
      </w:r>
      <w:proofErr w:type="spellStart"/>
      <w:r w:rsidRPr="00542733">
        <w:rPr>
          <w:b/>
          <w:sz w:val="18"/>
        </w:rPr>
        <w:t>cetuximab</w:t>
      </w:r>
      <w:proofErr w:type="spellEnd"/>
      <w:r w:rsidRPr="00542733">
        <w:rPr>
          <w:b/>
          <w:sz w:val="18"/>
        </w:rPr>
        <w:t xml:space="preserve"> and later-line </w:t>
      </w:r>
      <w:proofErr w:type="spellStart"/>
      <w:r w:rsidRPr="00542733">
        <w:rPr>
          <w:b/>
          <w:sz w:val="18"/>
        </w:rPr>
        <w:t>panitumumab</w:t>
      </w:r>
      <w:proofErr w:type="spellEnd"/>
    </w:p>
    <w:tbl>
      <w:tblPr>
        <w:tblStyle w:val="TableGrid"/>
        <w:tblW w:w="4524" w:type="pct"/>
        <w:tblInd w:w="817" w:type="dxa"/>
        <w:tblLook w:val="04A0" w:firstRow="1" w:lastRow="0" w:firstColumn="1" w:lastColumn="0" w:noHBand="0" w:noVBand="1"/>
        <w:tblDescription w:val="Progression-free survival by RAS subgroups from additional randomised trials for first-line cetuximab and later-line panitumumab"/>
      </w:tblPr>
      <w:tblGrid>
        <w:gridCol w:w="1106"/>
        <w:gridCol w:w="63"/>
        <w:gridCol w:w="1091"/>
        <w:gridCol w:w="621"/>
        <w:gridCol w:w="529"/>
        <w:gridCol w:w="463"/>
        <w:gridCol w:w="681"/>
        <w:gridCol w:w="32"/>
        <w:gridCol w:w="1042"/>
        <w:gridCol w:w="69"/>
        <w:gridCol w:w="590"/>
        <w:gridCol w:w="554"/>
        <w:gridCol w:w="462"/>
        <w:gridCol w:w="1060"/>
      </w:tblGrid>
      <w:tr w:rsidR="00C62102" w:rsidRPr="00B43E2B" w:rsidTr="00B43E2B">
        <w:trPr>
          <w:trHeight w:val="264"/>
        </w:trPr>
        <w:tc>
          <w:tcPr>
            <w:tcW w:w="662" w:type="pct"/>
            <w:tcBorders>
              <w:right w:val="single" w:sz="4" w:space="0" w:color="auto"/>
            </w:tcBorders>
            <w:vAlign w:val="center"/>
          </w:tcPr>
          <w:p w:rsidR="00C62102" w:rsidRPr="00B43E2B" w:rsidRDefault="00C62102" w:rsidP="00C62102">
            <w:pPr>
              <w:pStyle w:val="ListParagraph"/>
              <w:keepNext/>
              <w:ind w:left="0"/>
              <w:contextualSpacing w:val="0"/>
              <w:rPr>
                <w:rFonts w:ascii="Arial Narrow" w:hAnsi="Arial Narrow"/>
                <w:b/>
                <w:sz w:val="18"/>
                <w:szCs w:val="18"/>
              </w:rPr>
            </w:pPr>
            <w:r w:rsidRPr="00B43E2B">
              <w:rPr>
                <w:rFonts w:ascii="Arial Narrow" w:hAnsi="Arial Narrow"/>
                <w:b/>
                <w:sz w:val="18"/>
                <w:szCs w:val="18"/>
              </w:rPr>
              <w:t>Trial</w:t>
            </w:r>
          </w:p>
        </w:tc>
        <w:tc>
          <w:tcPr>
            <w:tcW w:w="1377" w:type="pct"/>
            <w:gridSpan w:val="4"/>
            <w:tcBorders>
              <w:left w:val="single" w:sz="4" w:space="0" w:color="auto"/>
              <w:right w:val="single" w:sz="4" w:space="0" w:color="auto"/>
            </w:tcBorders>
            <w:vAlign w:val="center"/>
          </w:tcPr>
          <w:p w:rsidR="00C62102" w:rsidRPr="00B43E2B" w:rsidRDefault="00C62102" w:rsidP="00C62102">
            <w:pPr>
              <w:pStyle w:val="ListParagraph"/>
              <w:keepNext/>
              <w:ind w:left="0"/>
              <w:contextualSpacing w:val="0"/>
              <w:jc w:val="center"/>
              <w:rPr>
                <w:rFonts w:ascii="Arial Narrow" w:hAnsi="Arial Narrow"/>
                <w:b/>
                <w:sz w:val="18"/>
                <w:szCs w:val="18"/>
              </w:rPr>
            </w:pPr>
            <w:r w:rsidRPr="00B43E2B">
              <w:rPr>
                <w:rFonts w:ascii="Arial Narrow" w:hAnsi="Arial Narrow"/>
                <w:b/>
                <w:i/>
                <w:sz w:val="18"/>
                <w:szCs w:val="18"/>
              </w:rPr>
              <w:t>KRAS</w:t>
            </w:r>
            <w:r w:rsidRPr="00B43E2B">
              <w:rPr>
                <w:rFonts w:ascii="Arial Narrow" w:hAnsi="Arial Narrow"/>
                <w:b/>
                <w:sz w:val="18"/>
                <w:szCs w:val="18"/>
              </w:rPr>
              <w:t xml:space="preserve"> Exon 2 WT population</w:t>
            </w:r>
          </w:p>
        </w:tc>
        <w:tc>
          <w:tcPr>
            <w:tcW w:w="1367" w:type="pct"/>
            <w:gridSpan w:val="5"/>
            <w:tcBorders>
              <w:left w:val="single" w:sz="4" w:space="0" w:color="auto"/>
              <w:right w:val="single" w:sz="4" w:space="0" w:color="auto"/>
            </w:tcBorders>
            <w:vAlign w:val="center"/>
          </w:tcPr>
          <w:p w:rsidR="00C62102" w:rsidRPr="00B43E2B" w:rsidRDefault="00C62102" w:rsidP="00C62102">
            <w:pPr>
              <w:pStyle w:val="ListParagraph"/>
              <w:keepNext/>
              <w:ind w:left="0"/>
              <w:contextualSpacing w:val="0"/>
              <w:jc w:val="center"/>
              <w:rPr>
                <w:rFonts w:ascii="Arial Narrow" w:hAnsi="Arial Narrow"/>
                <w:b/>
                <w:sz w:val="18"/>
                <w:szCs w:val="18"/>
              </w:rPr>
            </w:pPr>
            <w:r w:rsidRPr="00B43E2B">
              <w:rPr>
                <w:rFonts w:ascii="Arial Narrow" w:hAnsi="Arial Narrow"/>
                <w:b/>
                <w:i/>
                <w:sz w:val="18"/>
                <w:szCs w:val="18"/>
              </w:rPr>
              <w:t>RAS</w:t>
            </w:r>
            <w:r w:rsidRPr="00B43E2B">
              <w:rPr>
                <w:rFonts w:ascii="Arial Narrow" w:hAnsi="Arial Narrow"/>
                <w:b/>
                <w:sz w:val="18"/>
                <w:szCs w:val="18"/>
              </w:rPr>
              <w:t xml:space="preserve"> WT population (</w:t>
            </w:r>
            <w:r w:rsidRPr="00B43E2B">
              <w:rPr>
                <w:rFonts w:ascii="Arial Narrow" w:hAnsi="Arial Narrow"/>
                <w:b/>
                <w:i/>
                <w:sz w:val="18"/>
                <w:szCs w:val="18"/>
              </w:rPr>
              <w:t>KRAS</w:t>
            </w:r>
            <w:r w:rsidRPr="00B43E2B">
              <w:rPr>
                <w:rFonts w:ascii="Arial Narrow" w:hAnsi="Arial Narrow"/>
                <w:b/>
                <w:sz w:val="18"/>
                <w:szCs w:val="18"/>
              </w:rPr>
              <w:t xml:space="preserve"> and </w:t>
            </w:r>
            <w:r w:rsidRPr="00B43E2B">
              <w:rPr>
                <w:rFonts w:ascii="Arial Narrow" w:hAnsi="Arial Narrow"/>
                <w:b/>
                <w:i/>
                <w:sz w:val="18"/>
                <w:szCs w:val="18"/>
              </w:rPr>
              <w:t>NRAS</w:t>
            </w:r>
            <w:r w:rsidRPr="00B43E2B">
              <w:rPr>
                <w:rFonts w:ascii="Arial Narrow" w:hAnsi="Arial Narrow"/>
                <w:b/>
                <w:sz w:val="18"/>
                <w:szCs w:val="18"/>
              </w:rPr>
              <w:t xml:space="preserve"> Exons 2/3/4)</w:t>
            </w:r>
          </w:p>
        </w:tc>
        <w:tc>
          <w:tcPr>
            <w:tcW w:w="1594" w:type="pct"/>
            <w:gridSpan w:val="4"/>
            <w:tcBorders>
              <w:left w:val="single" w:sz="4" w:space="0" w:color="auto"/>
            </w:tcBorders>
            <w:vAlign w:val="center"/>
          </w:tcPr>
          <w:p w:rsidR="00C62102" w:rsidRPr="00B43E2B" w:rsidRDefault="00C62102" w:rsidP="00C62102">
            <w:pPr>
              <w:pStyle w:val="ListParagraph"/>
              <w:keepNext/>
              <w:ind w:left="0"/>
              <w:contextualSpacing w:val="0"/>
              <w:jc w:val="center"/>
              <w:rPr>
                <w:rFonts w:ascii="Arial Narrow" w:hAnsi="Arial Narrow"/>
                <w:b/>
                <w:sz w:val="18"/>
                <w:szCs w:val="18"/>
              </w:rPr>
            </w:pPr>
            <w:r w:rsidRPr="00B43E2B">
              <w:rPr>
                <w:rFonts w:ascii="Arial Narrow" w:hAnsi="Arial Narrow"/>
                <w:b/>
                <w:i/>
                <w:sz w:val="18"/>
                <w:szCs w:val="18"/>
              </w:rPr>
              <w:t>KRAS</w:t>
            </w:r>
            <w:r w:rsidRPr="00B43E2B">
              <w:rPr>
                <w:rFonts w:ascii="Arial Narrow" w:hAnsi="Arial Narrow"/>
                <w:b/>
                <w:sz w:val="18"/>
                <w:szCs w:val="18"/>
              </w:rPr>
              <w:t xml:space="preserve"> Exon 2 WT, </w:t>
            </w:r>
            <w:r w:rsidRPr="00B43E2B">
              <w:rPr>
                <w:rFonts w:ascii="Arial Narrow" w:hAnsi="Arial Narrow"/>
                <w:b/>
                <w:i/>
                <w:sz w:val="18"/>
                <w:szCs w:val="18"/>
              </w:rPr>
              <w:t>RAS</w:t>
            </w:r>
            <w:r w:rsidRPr="00B43E2B">
              <w:rPr>
                <w:rFonts w:ascii="Arial Narrow" w:hAnsi="Arial Narrow"/>
                <w:b/>
                <w:sz w:val="18"/>
                <w:szCs w:val="18"/>
              </w:rPr>
              <w:t xml:space="preserve"> M+ population</w:t>
            </w:r>
          </w:p>
        </w:tc>
      </w:tr>
      <w:tr w:rsidR="00C62102" w:rsidRPr="00B43E2B" w:rsidTr="00B43E2B">
        <w:trPr>
          <w:trHeight w:val="132"/>
        </w:trPr>
        <w:tc>
          <w:tcPr>
            <w:tcW w:w="5000" w:type="pct"/>
            <w:gridSpan w:val="14"/>
            <w:tcBorders>
              <w:top w:val="single" w:sz="4" w:space="0" w:color="auto"/>
              <w:bottom w:val="single" w:sz="4" w:space="0" w:color="auto"/>
            </w:tcBorders>
            <w:shd w:val="clear" w:color="auto" w:fill="D9D9D9" w:themeFill="background1" w:themeFillShade="D9"/>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b/>
                <w:sz w:val="18"/>
                <w:szCs w:val="18"/>
              </w:rPr>
              <w:t xml:space="preserve">First-line treatment - </w:t>
            </w:r>
            <w:proofErr w:type="spellStart"/>
            <w:r w:rsidRPr="00B43E2B">
              <w:rPr>
                <w:rFonts w:ascii="Arial Narrow" w:hAnsi="Arial Narrow"/>
                <w:b/>
                <w:sz w:val="18"/>
                <w:szCs w:val="18"/>
              </w:rPr>
              <w:t>cetuximab</w:t>
            </w:r>
            <w:proofErr w:type="spellEnd"/>
          </w:p>
        </w:tc>
      </w:tr>
      <w:tr w:rsidR="00C62102" w:rsidRPr="00B43E2B" w:rsidTr="00B43E2B">
        <w:trPr>
          <w:trHeight w:val="132"/>
        </w:trPr>
        <w:tc>
          <w:tcPr>
            <w:tcW w:w="662" w:type="pct"/>
            <w:tcBorders>
              <w:right w:val="single" w:sz="4" w:space="0" w:color="auto"/>
            </w:tcBorders>
            <w:vAlign w:val="center"/>
          </w:tcPr>
          <w:p w:rsidR="00C62102" w:rsidRPr="00B43E2B" w:rsidRDefault="00C62102" w:rsidP="00C62102">
            <w:pPr>
              <w:pStyle w:val="ListParagraph"/>
              <w:ind w:left="0" w:right="-57"/>
              <w:contextualSpacing w:val="0"/>
              <w:rPr>
                <w:rFonts w:ascii="Arial Narrow" w:hAnsi="Arial Narrow"/>
                <w:b/>
                <w:sz w:val="18"/>
                <w:szCs w:val="18"/>
              </w:rPr>
            </w:pPr>
            <w:r w:rsidRPr="00B43E2B">
              <w:rPr>
                <w:rFonts w:ascii="Arial Narrow" w:hAnsi="Arial Narrow"/>
                <w:b/>
                <w:sz w:val="18"/>
                <w:szCs w:val="18"/>
                <w:u w:val="single"/>
              </w:rPr>
              <w:t>FIRE-3</w:t>
            </w:r>
          </w:p>
        </w:tc>
        <w:tc>
          <w:tcPr>
            <w:tcW w:w="690" w:type="pct"/>
            <w:gridSpan w:val="2"/>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687" w:type="pct"/>
            <w:gridSpan w:val="2"/>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sz w:val="18"/>
                <w:szCs w:val="18"/>
              </w:rPr>
              <w:t>B</w:t>
            </w:r>
            <w:r w:rsidR="00131AC7" w:rsidRPr="00B43E2B">
              <w:rPr>
                <w:rFonts w:ascii="Arial Narrow" w:hAnsi="Arial Narrow"/>
                <w:b/>
                <w:sz w:val="18"/>
                <w:szCs w:val="18"/>
              </w:rPr>
              <w:t xml:space="preserve">ev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684" w:type="pct"/>
            <w:gridSpan w:val="2"/>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683" w:type="pct"/>
            <w:gridSpan w:val="3"/>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sz w:val="18"/>
                <w:szCs w:val="18"/>
              </w:rPr>
              <w:t>B</w:t>
            </w:r>
            <w:r w:rsidR="00131AC7" w:rsidRPr="00B43E2B">
              <w:rPr>
                <w:rFonts w:ascii="Arial Narrow" w:hAnsi="Arial Narrow"/>
                <w:b/>
                <w:sz w:val="18"/>
                <w:szCs w:val="18"/>
              </w:rPr>
              <w:t xml:space="preserve">ev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684" w:type="pct"/>
            <w:gridSpan w:val="2"/>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910" w:type="pct"/>
            <w:gridSpan w:val="2"/>
            <w:tcBorders>
              <w:left w:val="single" w:sz="4" w:space="0" w:color="auto"/>
              <w:bottom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sz w:val="18"/>
                <w:szCs w:val="18"/>
              </w:rPr>
              <w:t>B</w:t>
            </w:r>
            <w:r w:rsidR="00131AC7" w:rsidRPr="00B43E2B">
              <w:rPr>
                <w:rFonts w:ascii="Arial Narrow" w:hAnsi="Arial Narrow"/>
                <w:b/>
                <w:sz w:val="18"/>
                <w:szCs w:val="18"/>
              </w:rPr>
              <w:t xml:space="preserve">ev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r>
      <w:tr w:rsidR="00C62102" w:rsidRPr="00B43E2B" w:rsidTr="00B43E2B">
        <w:trPr>
          <w:trHeight w:val="420"/>
        </w:trPr>
        <w:tc>
          <w:tcPr>
            <w:tcW w:w="662" w:type="pct"/>
            <w:tcBorders>
              <w:right w:val="single" w:sz="4" w:space="0" w:color="auto"/>
            </w:tcBorders>
          </w:tcPr>
          <w:p w:rsidR="00C62102" w:rsidRPr="00B43E2B" w:rsidRDefault="00C62102" w:rsidP="00C62102">
            <w:pPr>
              <w:pStyle w:val="ListParagraph"/>
              <w:tabs>
                <w:tab w:val="left" w:pos="1168"/>
              </w:tabs>
              <w:ind w:left="0" w:right="-113"/>
              <w:contextualSpacing w:val="0"/>
              <w:rPr>
                <w:rFonts w:ascii="Arial Narrow" w:hAnsi="Arial Narrow"/>
                <w:sz w:val="18"/>
                <w:szCs w:val="18"/>
              </w:rPr>
            </w:pPr>
            <w:r w:rsidRPr="00B43E2B">
              <w:rPr>
                <w:rFonts w:ascii="Arial Narrow" w:hAnsi="Arial Narrow"/>
                <w:sz w:val="18"/>
                <w:szCs w:val="18"/>
              </w:rPr>
              <w:t>N</w:t>
            </w:r>
            <w:r w:rsidRPr="00B43E2B">
              <w:rPr>
                <w:rFonts w:ascii="Arial Narrow" w:hAnsi="Arial Narrow"/>
                <w:sz w:val="18"/>
                <w:szCs w:val="18"/>
              </w:rPr>
              <w:br/>
              <w:t>Median PFS, months</w:t>
            </w:r>
          </w:p>
        </w:tc>
        <w:tc>
          <w:tcPr>
            <w:tcW w:w="690" w:type="pct"/>
            <w:gridSpan w:val="2"/>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297</w:t>
            </w:r>
            <w:r w:rsidRPr="00B43E2B">
              <w:rPr>
                <w:rFonts w:ascii="Arial Narrow" w:hAnsi="Arial Narrow"/>
                <w:sz w:val="18"/>
                <w:szCs w:val="18"/>
              </w:rPr>
              <w:br/>
              <w:t>10.0</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(8.8, 10.8)</w:t>
            </w:r>
          </w:p>
        </w:tc>
        <w:tc>
          <w:tcPr>
            <w:tcW w:w="687" w:type="pct"/>
            <w:gridSpan w:val="2"/>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295</w:t>
            </w:r>
            <w:r w:rsidRPr="00B43E2B">
              <w:rPr>
                <w:rFonts w:ascii="Arial Narrow" w:hAnsi="Arial Narrow"/>
                <w:sz w:val="18"/>
                <w:szCs w:val="18"/>
              </w:rPr>
              <w:br/>
              <w:t>10.3</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(9.8, 1.3)</w:t>
            </w:r>
          </w:p>
        </w:tc>
        <w:tc>
          <w:tcPr>
            <w:tcW w:w="684" w:type="pct"/>
            <w:gridSpan w:val="2"/>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171</w:t>
            </w:r>
            <w:r w:rsidRPr="00B43E2B">
              <w:rPr>
                <w:rFonts w:ascii="Arial Narrow" w:hAnsi="Arial Narrow"/>
                <w:sz w:val="18"/>
                <w:szCs w:val="18"/>
              </w:rPr>
              <w:br/>
              <w:t>10.4</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(9.5, 12.2)</w:t>
            </w:r>
          </w:p>
        </w:tc>
        <w:tc>
          <w:tcPr>
            <w:tcW w:w="683" w:type="pct"/>
            <w:gridSpan w:val="3"/>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171</w:t>
            </w:r>
            <w:r w:rsidRPr="00B43E2B">
              <w:rPr>
                <w:rFonts w:ascii="Arial Narrow" w:hAnsi="Arial Narrow"/>
                <w:sz w:val="18"/>
                <w:szCs w:val="18"/>
              </w:rPr>
              <w:br/>
              <w:t>10.2</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(9.3, 11.5)</w:t>
            </w:r>
          </w:p>
        </w:tc>
        <w:tc>
          <w:tcPr>
            <w:tcW w:w="684" w:type="pct"/>
            <w:gridSpan w:val="2"/>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34</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6.1</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(5.3, 8.5)</w:t>
            </w:r>
          </w:p>
        </w:tc>
        <w:tc>
          <w:tcPr>
            <w:tcW w:w="910" w:type="pct"/>
            <w:gridSpan w:val="2"/>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31</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12.2</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(9.7, 13.9)</w:t>
            </w:r>
          </w:p>
        </w:tc>
      </w:tr>
      <w:tr w:rsidR="00C62102" w:rsidRPr="00B43E2B" w:rsidTr="00B43E2B">
        <w:trPr>
          <w:trHeight w:val="132"/>
        </w:trPr>
        <w:tc>
          <w:tcPr>
            <w:tcW w:w="662" w:type="pct"/>
            <w:tcBorders>
              <w:top w:val="nil"/>
              <w:bottom w:val="nil"/>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Difference in PFS</w:t>
            </w:r>
          </w:p>
        </w:tc>
        <w:tc>
          <w:tcPr>
            <w:tcW w:w="1377" w:type="pct"/>
            <w:gridSpan w:val="4"/>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-0.3</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1.06 (0.88, 1.26)</w:t>
            </w:r>
          </w:p>
        </w:tc>
        <w:tc>
          <w:tcPr>
            <w:tcW w:w="1367" w:type="pct"/>
            <w:gridSpan w:val="5"/>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+0.2</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0.93 (0.74, 1.17)</w:t>
            </w:r>
          </w:p>
        </w:tc>
        <w:tc>
          <w:tcPr>
            <w:tcW w:w="1594" w:type="pct"/>
            <w:gridSpan w:val="4"/>
            <w:vMerge w:val="restart"/>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-6.1</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2.22 (1.28, 3.86)</w:t>
            </w:r>
          </w:p>
        </w:tc>
      </w:tr>
      <w:tr w:rsidR="00C62102" w:rsidRPr="00B43E2B" w:rsidTr="00B43E2B">
        <w:trPr>
          <w:trHeight w:val="132"/>
        </w:trPr>
        <w:tc>
          <w:tcPr>
            <w:tcW w:w="662" w:type="pct"/>
            <w:tcBorders>
              <w:top w:val="nil"/>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HR (95% CI)</w:t>
            </w:r>
          </w:p>
        </w:tc>
        <w:tc>
          <w:tcPr>
            <w:tcW w:w="1377" w:type="pct"/>
            <w:gridSpan w:val="4"/>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367" w:type="pct"/>
            <w:gridSpan w:val="5"/>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594" w:type="pct"/>
            <w:gridSpan w:val="4"/>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r w:rsidR="00C62102" w:rsidRPr="00B43E2B" w:rsidTr="00B43E2B">
        <w:trPr>
          <w:trHeight w:val="132"/>
        </w:trPr>
        <w:tc>
          <w:tcPr>
            <w:tcW w:w="662" w:type="pct"/>
            <w:tcBorders>
              <w:top w:val="nil"/>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b/>
                <w:sz w:val="18"/>
                <w:szCs w:val="18"/>
              </w:rPr>
            </w:pPr>
            <w:r w:rsidRPr="00B43E2B">
              <w:rPr>
                <w:rFonts w:ascii="Arial Narrow" w:hAnsi="Arial Narrow"/>
                <w:b/>
                <w:sz w:val="18"/>
                <w:szCs w:val="18"/>
                <w:u w:val="single"/>
              </w:rPr>
              <w:t>OPUS</w:t>
            </w:r>
          </w:p>
        </w:tc>
        <w:tc>
          <w:tcPr>
            <w:tcW w:w="69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FOX</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sz w:val="18"/>
                <w:szCs w:val="18"/>
              </w:rPr>
              <w:t>FOX</w:t>
            </w:r>
          </w:p>
        </w:tc>
        <w:tc>
          <w:tcPr>
            <w:tcW w:w="6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FOX</w:t>
            </w:r>
          </w:p>
        </w:tc>
        <w:tc>
          <w:tcPr>
            <w:tcW w:w="683"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b/>
                <w:sz w:val="18"/>
                <w:szCs w:val="18"/>
              </w:rPr>
              <w:t>FOX</w:t>
            </w:r>
          </w:p>
        </w:tc>
        <w:tc>
          <w:tcPr>
            <w:tcW w:w="6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FOX</w:t>
            </w:r>
          </w:p>
        </w:tc>
        <w:tc>
          <w:tcPr>
            <w:tcW w:w="9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b/>
                <w:sz w:val="18"/>
                <w:szCs w:val="18"/>
              </w:rPr>
              <w:t>FOX</w:t>
            </w:r>
          </w:p>
        </w:tc>
      </w:tr>
      <w:tr w:rsidR="00C62102" w:rsidRPr="00B43E2B" w:rsidTr="00B43E2B">
        <w:trPr>
          <w:trHeight w:val="209"/>
        </w:trPr>
        <w:tc>
          <w:tcPr>
            <w:tcW w:w="662" w:type="pct"/>
            <w:tcBorders>
              <w:bottom w:val="nil"/>
              <w:right w:val="single" w:sz="4" w:space="0" w:color="auto"/>
            </w:tcBorders>
          </w:tcPr>
          <w:p w:rsidR="00C62102" w:rsidRPr="00B43E2B" w:rsidRDefault="00C62102" w:rsidP="00C62102">
            <w:pPr>
              <w:pStyle w:val="ListParagraph"/>
              <w:tabs>
                <w:tab w:val="left" w:pos="1168"/>
              </w:tabs>
              <w:ind w:left="0" w:right="-113"/>
              <w:contextualSpacing w:val="0"/>
              <w:rPr>
                <w:rFonts w:ascii="Arial Narrow" w:hAnsi="Arial Narrow"/>
                <w:sz w:val="18"/>
                <w:szCs w:val="18"/>
              </w:rPr>
            </w:pPr>
            <w:r w:rsidRPr="00B43E2B">
              <w:rPr>
                <w:rFonts w:ascii="Arial Narrow" w:hAnsi="Arial Narrow"/>
                <w:sz w:val="18"/>
                <w:szCs w:val="18"/>
              </w:rPr>
              <w:t>N</w:t>
            </w:r>
            <w:r w:rsidRPr="00B43E2B">
              <w:rPr>
                <w:rFonts w:ascii="Arial Narrow" w:hAnsi="Arial Narrow"/>
                <w:sz w:val="18"/>
                <w:szCs w:val="18"/>
              </w:rPr>
              <w:br/>
              <w:t>Median PFS, months</w:t>
            </w:r>
          </w:p>
        </w:tc>
        <w:tc>
          <w:tcPr>
            <w:tcW w:w="690"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82</w:t>
            </w:r>
            <w:r w:rsidRPr="00B43E2B">
              <w:rPr>
                <w:rFonts w:ascii="Arial Narrow" w:hAnsi="Arial Narrow"/>
                <w:sz w:val="18"/>
                <w:szCs w:val="18"/>
              </w:rPr>
              <w:br/>
              <w:t>8.3</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(7.2, 12.0)</w:t>
            </w:r>
          </w:p>
        </w:tc>
        <w:tc>
          <w:tcPr>
            <w:tcW w:w="687"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97</w:t>
            </w:r>
            <w:r w:rsidRPr="00B43E2B">
              <w:rPr>
                <w:rFonts w:ascii="Arial Narrow" w:hAnsi="Arial Narrow"/>
                <w:sz w:val="18"/>
                <w:szCs w:val="18"/>
              </w:rPr>
              <w:br/>
              <w:t>7.2</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(5.6, 7.4)</w:t>
            </w:r>
          </w:p>
        </w:tc>
        <w:tc>
          <w:tcPr>
            <w:tcW w:w="684"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36</w:t>
            </w:r>
            <w:r w:rsidRPr="00B43E2B">
              <w:rPr>
                <w:rFonts w:ascii="Arial Narrow" w:hAnsi="Arial Narrow"/>
                <w:sz w:val="18"/>
                <w:szCs w:val="18"/>
              </w:rPr>
              <w:br/>
              <w:t>12.0</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(7.7, NE)</w:t>
            </w:r>
          </w:p>
        </w:tc>
        <w:tc>
          <w:tcPr>
            <w:tcW w:w="683" w:type="pct"/>
            <w:gridSpan w:val="3"/>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46</w:t>
            </w:r>
            <w:r w:rsidRPr="00B43E2B">
              <w:rPr>
                <w:rFonts w:ascii="Arial Narrow" w:hAnsi="Arial Narrow"/>
                <w:sz w:val="18"/>
                <w:szCs w:val="18"/>
              </w:rPr>
              <w:br/>
              <w:t>5.8</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(4.5, 7.5)</w:t>
            </w:r>
          </w:p>
        </w:tc>
        <w:tc>
          <w:tcPr>
            <w:tcW w:w="684"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w:t>
            </w:r>
            <w:r w:rsidRPr="00B43E2B">
              <w:rPr>
                <w:rFonts w:ascii="Arial Narrow" w:hAnsi="Arial Narrow"/>
                <w:sz w:val="18"/>
                <w:szCs w:val="18"/>
              </w:rPr>
              <w:br/>
              <w:t>7.3</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(3.4, 8.3)</w:t>
            </w:r>
          </w:p>
        </w:tc>
        <w:tc>
          <w:tcPr>
            <w:tcW w:w="910" w:type="pct"/>
            <w:gridSpan w:val="2"/>
            <w:tcBorders>
              <w:top w:val="single" w:sz="4" w:space="0" w:color="auto"/>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19</w:t>
            </w:r>
            <w:r w:rsidRPr="00B43E2B">
              <w:rPr>
                <w:rFonts w:ascii="Arial Narrow" w:hAnsi="Arial Narrow"/>
                <w:sz w:val="18"/>
                <w:szCs w:val="18"/>
              </w:rPr>
              <w:br/>
              <w:t>7.4</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(6.2, 10.3)</w:t>
            </w:r>
          </w:p>
        </w:tc>
      </w:tr>
      <w:tr w:rsidR="00C62102" w:rsidRPr="00B43E2B" w:rsidTr="00B43E2B">
        <w:trPr>
          <w:trHeight w:val="132"/>
        </w:trPr>
        <w:tc>
          <w:tcPr>
            <w:tcW w:w="662" w:type="pct"/>
            <w:tcBorders>
              <w:top w:val="nil"/>
              <w:bottom w:val="nil"/>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Difference in PFS</w:t>
            </w:r>
          </w:p>
        </w:tc>
        <w:tc>
          <w:tcPr>
            <w:tcW w:w="1377" w:type="pct"/>
            <w:gridSpan w:val="4"/>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+1.1</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0.57 (0.38, 0.86)</w:t>
            </w:r>
          </w:p>
        </w:tc>
        <w:tc>
          <w:tcPr>
            <w:tcW w:w="1367" w:type="pct"/>
            <w:gridSpan w:val="5"/>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+6.2</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0.43 (0.21, 0.88)</w:t>
            </w:r>
          </w:p>
        </w:tc>
        <w:tc>
          <w:tcPr>
            <w:tcW w:w="1594" w:type="pct"/>
            <w:gridSpan w:val="4"/>
            <w:vMerge w:val="restart"/>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-0.1</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1.02 (0.41, 2.55)</w:t>
            </w:r>
          </w:p>
        </w:tc>
      </w:tr>
      <w:tr w:rsidR="00C62102" w:rsidRPr="00B43E2B" w:rsidTr="00B43E2B">
        <w:trPr>
          <w:trHeight w:val="132"/>
        </w:trPr>
        <w:tc>
          <w:tcPr>
            <w:tcW w:w="662" w:type="pct"/>
            <w:tcBorders>
              <w:top w:val="nil"/>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HR (95% CI)</w:t>
            </w:r>
          </w:p>
        </w:tc>
        <w:tc>
          <w:tcPr>
            <w:tcW w:w="1377" w:type="pct"/>
            <w:gridSpan w:val="4"/>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367" w:type="pct"/>
            <w:gridSpan w:val="5"/>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594" w:type="pct"/>
            <w:gridSpan w:val="4"/>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r w:rsidR="00C62102" w:rsidRPr="00B43E2B" w:rsidTr="00B43E2B">
        <w:trPr>
          <w:trHeight w:val="264"/>
        </w:trPr>
        <w:tc>
          <w:tcPr>
            <w:tcW w:w="662" w:type="pct"/>
            <w:tcBorders>
              <w:top w:val="single" w:sz="4" w:space="0" w:color="auto"/>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b/>
                <w:sz w:val="18"/>
                <w:szCs w:val="18"/>
                <w:u w:val="single"/>
              </w:rPr>
            </w:pPr>
            <w:r w:rsidRPr="00B43E2B">
              <w:rPr>
                <w:rFonts w:ascii="Arial Narrow" w:hAnsi="Arial Narrow"/>
                <w:b/>
                <w:sz w:val="18"/>
                <w:szCs w:val="18"/>
                <w:u w:val="single"/>
              </w:rPr>
              <w:t xml:space="preserve">COIN </w:t>
            </w:r>
          </w:p>
          <w:p w:rsidR="00C62102" w:rsidRPr="00B43E2B" w:rsidRDefault="00C62102" w:rsidP="00C62102">
            <w:pPr>
              <w:pStyle w:val="ListParagraph"/>
              <w:tabs>
                <w:tab w:val="left" w:pos="1168"/>
              </w:tabs>
              <w:ind w:left="0" w:right="-57"/>
              <w:contextualSpacing w:val="0"/>
              <w:rPr>
                <w:rFonts w:ascii="Arial Narrow" w:hAnsi="Arial Narrow"/>
                <w:sz w:val="18"/>
                <w:szCs w:val="18"/>
                <w:u w:val="single"/>
              </w:rPr>
            </w:pPr>
            <w:r w:rsidRPr="00B43E2B">
              <w:rPr>
                <w:rFonts w:ascii="Arial Narrow" w:hAnsi="Arial Narrow"/>
                <w:sz w:val="18"/>
                <w:szCs w:val="18"/>
                <w:u w:val="single"/>
              </w:rPr>
              <w:t>(</w:t>
            </w:r>
            <w:r w:rsidRPr="00B43E2B">
              <w:rPr>
                <w:rFonts w:ascii="Arial Narrow" w:hAnsi="Arial Narrow"/>
                <w:i/>
                <w:sz w:val="18"/>
                <w:szCs w:val="18"/>
                <w:u w:val="single"/>
              </w:rPr>
              <w:t>KRAS</w:t>
            </w:r>
            <w:r w:rsidRPr="00B43E2B">
              <w:rPr>
                <w:rFonts w:ascii="Arial Narrow" w:hAnsi="Arial Narrow"/>
                <w:sz w:val="18"/>
                <w:szCs w:val="18"/>
                <w:u w:val="single"/>
              </w:rPr>
              <w:t xml:space="preserve"> WT Exons 2,3)</w:t>
            </w:r>
          </w:p>
        </w:tc>
        <w:tc>
          <w:tcPr>
            <w:tcW w:w="690"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proofErr w:type="spellStart"/>
            <w:r w:rsidRPr="00B43E2B">
              <w:rPr>
                <w:rFonts w:ascii="Arial Narrow" w:hAnsi="Arial Narrow"/>
                <w:b/>
                <w:sz w:val="18"/>
                <w:szCs w:val="18"/>
              </w:rPr>
              <w:t>OxF</w:t>
            </w:r>
            <w:proofErr w:type="spellEnd"/>
          </w:p>
        </w:tc>
        <w:tc>
          <w:tcPr>
            <w:tcW w:w="687"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OxF</w:t>
            </w:r>
            <w:proofErr w:type="spellEnd"/>
          </w:p>
        </w:tc>
        <w:tc>
          <w:tcPr>
            <w:tcW w:w="2961" w:type="pct"/>
            <w:gridSpan w:val="9"/>
            <w:vMerge w:val="restart"/>
            <w:tcBorders>
              <w:top w:val="single" w:sz="4" w:space="0" w:color="auto"/>
              <w:left w:val="single" w:sz="4" w:space="0" w:color="auto"/>
            </w:tcBorders>
          </w:tcPr>
          <w:p w:rsidR="00C62102" w:rsidRPr="00B43E2B" w:rsidRDefault="00C62102" w:rsidP="00C62102">
            <w:pPr>
              <w:pStyle w:val="ListParagraph"/>
              <w:ind w:left="0"/>
              <w:contextualSpacing w:val="0"/>
              <w:jc w:val="left"/>
              <w:rPr>
                <w:rFonts w:ascii="Arial Narrow" w:hAnsi="Arial Narrow"/>
                <w:i/>
                <w:sz w:val="18"/>
                <w:szCs w:val="18"/>
              </w:rPr>
            </w:pPr>
            <w:r w:rsidRPr="00B43E2B">
              <w:rPr>
                <w:rFonts w:ascii="Arial Narrow" w:hAnsi="Arial Narrow"/>
                <w:i/>
                <w:sz w:val="18"/>
                <w:szCs w:val="18"/>
              </w:rPr>
              <w:t xml:space="preserve">Not provided in </w:t>
            </w:r>
            <w:proofErr w:type="spellStart"/>
            <w:r w:rsidRPr="00B43E2B">
              <w:rPr>
                <w:rFonts w:ascii="Arial Narrow" w:hAnsi="Arial Narrow"/>
                <w:i/>
                <w:sz w:val="18"/>
                <w:szCs w:val="18"/>
              </w:rPr>
              <w:t>Maughan</w:t>
            </w:r>
            <w:proofErr w:type="spellEnd"/>
            <w:r w:rsidRPr="00B43E2B">
              <w:rPr>
                <w:rFonts w:ascii="Arial Narrow" w:hAnsi="Arial Narrow"/>
                <w:i/>
                <w:sz w:val="18"/>
                <w:szCs w:val="18"/>
              </w:rPr>
              <w:t xml:space="preserve"> et al (2011){</w:t>
            </w:r>
            <w:proofErr w:type="spellStart"/>
            <w:r w:rsidRPr="00B43E2B">
              <w:rPr>
                <w:rFonts w:ascii="Arial Narrow" w:hAnsi="Arial Narrow"/>
                <w:i/>
                <w:sz w:val="18"/>
                <w:szCs w:val="18"/>
              </w:rPr>
              <w:t>Maughan</w:t>
            </w:r>
            <w:proofErr w:type="spellEnd"/>
            <w:r w:rsidRPr="00B43E2B">
              <w:rPr>
                <w:rFonts w:ascii="Arial Narrow" w:hAnsi="Arial Narrow"/>
                <w:i/>
                <w:sz w:val="18"/>
                <w:szCs w:val="18"/>
              </w:rPr>
              <w:t xml:space="preserve">, 2011 #138 but authors note that there was no evidence of PFS benefit seen in any of the genetically defined (RAS and RAF) subgroups. </w:t>
            </w:r>
          </w:p>
        </w:tc>
      </w:tr>
      <w:tr w:rsidR="00C62102" w:rsidRPr="00B43E2B" w:rsidTr="00B43E2B">
        <w:trPr>
          <w:trHeight w:val="264"/>
        </w:trPr>
        <w:tc>
          <w:tcPr>
            <w:tcW w:w="662" w:type="pct"/>
            <w:tcBorders>
              <w:top w:val="single" w:sz="4" w:space="0" w:color="auto"/>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jc w:val="left"/>
              <w:rPr>
                <w:rFonts w:ascii="Arial Narrow" w:hAnsi="Arial Narrow"/>
                <w:sz w:val="18"/>
                <w:szCs w:val="18"/>
              </w:rPr>
            </w:pPr>
            <w:r w:rsidRPr="00B43E2B">
              <w:rPr>
                <w:rFonts w:ascii="Arial Narrow" w:hAnsi="Arial Narrow"/>
                <w:sz w:val="18"/>
                <w:szCs w:val="18"/>
              </w:rPr>
              <w:t>N</w:t>
            </w:r>
          </w:p>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Median PFS, months</w:t>
            </w:r>
          </w:p>
        </w:tc>
        <w:tc>
          <w:tcPr>
            <w:tcW w:w="690"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 xml:space="preserve">362 </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8.6</w:t>
            </w:r>
          </w:p>
        </w:tc>
        <w:tc>
          <w:tcPr>
            <w:tcW w:w="687"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367</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8.6</w:t>
            </w:r>
          </w:p>
        </w:tc>
        <w:tc>
          <w:tcPr>
            <w:tcW w:w="2961" w:type="pct"/>
            <w:gridSpan w:val="9"/>
            <w:vMerge/>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r w:rsidR="00C62102" w:rsidRPr="00B43E2B" w:rsidTr="00B43E2B">
        <w:trPr>
          <w:trHeight w:val="132"/>
        </w:trPr>
        <w:tc>
          <w:tcPr>
            <w:tcW w:w="662" w:type="pct"/>
            <w:tcBorders>
              <w:top w:val="single" w:sz="4" w:space="0" w:color="auto"/>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Difference in PFS</w:t>
            </w:r>
          </w:p>
        </w:tc>
        <w:tc>
          <w:tcPr>
            <w:tcW w:w="1377" w:type="pct"/>
            <w:gridSpan w:val="4"/>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0.07</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0.96 (0.82, 1.12)</w:t>
            </w:r>
          </w:p>
        </w:tc>
        <w:tc>
          <w:tcPr>
            <w:tcW w:w="2961" w:type="pct"/>
            <w:gridSpan w:val="9"/>
            <w:vMerge/>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r w:rsidR="00C62102" w:rsidRPr="00B43E2B" w:rsidTr="00B43E2B">
        <w:trPr>
          <w:trHeight w:val="132"/>
        </w:trPr>
        <w:tc>
          <w:tcPr>
            <w:tcW w:w="662" w:type="pct"/>
            <w:tcBorders>
              <w:top w:val="single" w:sz="4" w:space="0" w:color="auto"/>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HR (95% CI)</w:t>
            </w:r>
          </w:p>
        </w:tc>
        <w:tc>
          <w:tcPr>
            <w:tcW w:w="1377" w:type="pct"/>
            <w:gridSpan w:val="4"/>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2961" w:type="pct"/>
            <w:gridSpan w:val="9"/>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r w:rsidR="00C62102" w:rsidRPr="00B43E2B" w:rsidTr="00B43E2B">
        <w:trPr>
          <w:trHeight w:val="132"/>
        </w:trPr>
        <w:tc>
          <w:tcPr>
            <w:tcW w:w="5000" w:type="pct"/>
            <w:gridSpan w:val="14"/>
            <w:tcBorders>
              <w:bottom w:val="single" w:sz="4" w:space="0" w:color="auto"/>
            </w:tcBorders>
            <w:shd w:val="clear" w:color="auto" w:fill="D9D9D9" w:themeFill="background1" w:themeFillShade="D9"/>
            <w:vAlign w:val="center"/>
          </w:tcPr>
          <w:p w:rsidR="00C62102" w:rsidRPr="00B43E2B" w:rsidRDefault="00C62102" w:rsidP="00C62102">
            <w:pPr>
              <w:pStyle w:val="ListParagraph"/>
              <w:keepNext/>
              <w:ind w:left="0"/>
              <w:contextualSpacing w:val="0"/>
              <w:jc w:val="center"/>
              <w:rPr>
                <w:rFonts w:ascii="Arial Narrow" w:hAnsi="Arial Narrow"/>
                <w:b/>
                <w:sz w:val="18"/>
                <w:szCs w:val="18"/>
              </w:rPr>
            </w:pPr>
            <w:r w:rsidRPr="00B43E2B">
              <w:rPr>
                <w:rFonts w:ascii="Arial Narrow" w:hAnsi="Arial Narrow"/>
                <w:b/>
                <w:sz w:val="18"/>
                <w:szCs w:val="18"/>
              </w:rPr>
              <w:t xml:space="preserve">Later-line treatment - </w:t>
            </w:r>
            <w:proofErr w:type="spellStart"/>
            <w:r w:rsidRPr="00B43E2B">
              <w:rPr>
                <w:rFonts w:ascii="Arial Narrow" w:hAnsi="Arial Narrow"/>
                <w:b/>
                <w:sz w:val="18"/>
                <w:szCs w:val="18"/>
              </w:rPr>
              <w:t>panitumumab</w:t>
            </w:r>
            <w:proofErr w:type="spellEnd"/>
          </w:p>
        </w:tc>
      </w:tr>
      <w:tr w:rsidR="00C62102" w:rsidRPr="00B43E2B" w:rsidTr="00B43E2B">
        <w:trPr>
          <w:trHeight w:val="132"/>
        </w:trPr>
        <w:tc>
          <w:tcPr>
            <w:tcW w:w="662" w:type="pct"/>
            <w:tcBorders>
              <w:bottom w:val="single" w:sz="4" w:space="0" w:color="auto"/>
              <w:right w:val="single" w:sz="4" w:space="0" w:color="auto"/>
            </w:tcBorders>
            <w:vAlign w:val="center"/>
          </w:tcPr>
          <w:p w:rsidR="00C62102" w:rsidRPr="00B43E2B" w:rsidRDefault="00C62102" w:rsidP="00C62102">
            <w:pPr>
              <w:pStyle w:val="ListParagraph"/>
              <w:keepNext/>
              <w:ind w:left="0" w:right="-57"/>
              <w:contextualSpacing w:val="0"/>
              <w:rPr>
                <w:rFonts w:ascii="Arial Narrow" w:hAnsi="Arial Narrow"/>
                <w:b/>
                <w:sz w:val="18"/>
                <w:szCs w:val="18"/>
              </w:rPr>
            </w:pPr>
            <w:r w:rsidRPr="00B43E2B">
              <w:rPr>
                <w:rFonts w:ascii="Arial Narrow" w:hAnsi="Arial Narrow"/>
                <w:b/>
                <w:sz w:val="18"/>
                <w:szCs w:val="18"/>
                <w:u w:val="single"/>
              </w:rPr>
              <w:t>Study 181</w:t>
            </w:r>
          </w:p>
        </w:tc>
        <w:tc>
          <w:tcPr>
            <w:tcW w:w="690" w:type="pct"/>
            <w:gridSpan w:val="2"/>
            <w:tcBorders>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proofErr w:type="spellStart"/>
            <w:r w:rsidRPr="00B43E2B">
              <w:rPr>
                <w:rFonts w:ascii="Arial Narrow" w:hAnsi="Arial Narrow"/>
                <w:b/>
                <w:sz w:val="18"/>
                <w:szCs w:val="18"/>
              </w:rPr>
              <w:t>Pmab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687" w:type="pct"/>
            <w:gridSpan w:val="2"/>
            <w:tcBorders>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r w:rsidRPr="00B43E2B">
              <w:rPr>
                <w:rFonts w:ascii="Arial Narrow" w:hAnsi="Arial Narrow"/>
                <w:b/>
                <w:sz w:val="18"/>
                <w:szCs w:val="18"/>
              </w:rPr>
              <w:t>FIRI</w:t>
            </w:r>
          </w:p>
        </w:tc>
        <w:tc>
          <w:tcPr>
            <w:tcW w:w="684" w:type="pct"/>
            <w:gridSpan w:val="2"/>
            <w:tcBorders>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proofErr w:type="spellStart"/>
            <w:r w:rsidRPr="00B43E2B">
              <w:rPr>
                <w:rFonts w:ascii="Arial Narrow" w:hAnsi="Arial Narrow"/>
                <w:b/>
                <w:sz w:val="18"/>
                <w:szCs w:val="18"/>
              </w:rPr>
              <w:t>Pmab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683" w:type="pct"/>
            <w:gridSpan w:val="3"/>
            <w:tcBorders>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r w:rsidRPr="00B43E2B">
              <w:rPr>
                <w:rFonts w:ascii="Arial Narrow" w:hAnsi="Arial Narrow"/>
                <w:b/>
                <w:sz w:val="18"/>
                <w:szCs w:val="18"/>
              </w:rPr>
              <w:t>FIRI</w:t>
            </w:r>
          </w:p>
        </w:tc>
        <w:tc>
          <w:tcPr>
            <w:tcW w:w="684" w:type="pct"/>
            <w:gridSpan w:val="2"/>
            <w:tcBorders>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proofErr w:type="spellStart"/>
            <w:r w:rsidRPr="00B43E2B">
              <w:rPr>
                <w:rFonts w:ascii="Arial Narrow" w:hAnsi="Arial Narrow"/>
                <w:b/>
                <w:sz w:val="18"/>
                <w:szCs w:val="18"/>
              </w:rPr>
              <w:t>Pmab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910" w:type="pct"/>
            <w:gridSpan w:val="2"/>
            <w:tcBorders>
              <w:left w:val="single" w:sz="4" w:space="0" w:color="auto"/>
              <w:bottom w:val="single" w:sz="4" w:space="0" w:color="auto"/>
            </w:tcBorders>
          </w:tcPr>
          <w:p w:rsidR="00C62102" w:rsidRPr="00B43E2B" w:rsidRDefault="00C62102" w:rsidP="00C62102">
            <w:pPr>
              <w:jc w:val="center"/>
              <w:rPr>
                <w:rFonts w:ascii="Arial Narrow" w:hAnsi="Arial Narrow"/>
                <w:sz w:val="18"/>
                <w:szCs w:val="18"/>
              </w:rPr>
            </w:pPr>
            <w:r w:rsidRPr="00B43E2B">
              <w:rPr>
                <w:rFonts w:ascii="Arial Narrow" w:hAnsi="Arial Narrow"/>
                <w:b/>
                <w:sz w:val="18"/>
                <w:szCs w:val="18"/>
              </w:rPr>
              <w:t>FIRI</w:t>
            </w:r>
          </w:p>
        </w:tc>
      </w:tr>
      <w:tr w:rsidR="00C62102" w:rsidRPr="00B43E2B" w:rsidTr="00B43E2B">
        <w:trPr>
          <w:trHeight w:val="275"/>
        </w:trPr>
        <w:tc>
          <w:tcPr>
            <w:tcW w:w="662" w:type="pct"/>
            <w:tcBorders>
              <w:right w:val="single" w:sz="4" w:space="0" w:color="auto"/>
            </w:tcBorders>
          </w:tcPr>
          <w:p w:rsidR="00C62102" w:rsidRPr="00B43E2B" w:rsidRDefault="00C62102" w:rsidP="00C62102">
            <w:pPr>
              <w:pStyle w:val="ListParagraph"/>
              <w:keepNext/>
              <w:tabs>
                <w:tab w:val="left" w:pos="1168"/>
              </w:tabs>
              <w:ind w:left="0" w:right="-113"/>
              <w:contextualSpacing w:val="0"/>
              <w:rPr>
                <w:rFonts w:ascii="Arial Narrow" w:hAnsi="Arial Narrow"/>
                <w:sz w:val="18"/>
                <w:szCs w:val="18"/>
              </w:rPr>
            </w:pPr>
            <w:r w:rsidRPr="00B43E2B">
              <w:rPr>
                <w:rFonts w:ascii="Arial Narrow" w:hAnsi="Arial Narrow"/>
                <w:sz w:val="18"/>
                <w:szCs w:val="18"/>
              </w:rPr>
              <w:t>N</w:t>
            </w:r>
            <w:r w:rsidRPr="00B43E2B">
              <w:rPr>
                <w:rFonts w:ascii="Arial Narrow" w:hAnsi="Arial Narrow"/>
                <w:sz w:val="18"/>
                <w:szCs w:val="18"/>
              </w:rPr>
              <w:br/>
              <w:t>Median PFS, months</w:t>
            </w:r>
          </w:p>
        </w:tc>
        <w:tc>
          <w:tcPr>
            <w:tcW w:w="690" w:type="pct"/>
            <w:gridSpan w:val="2"/>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303</w:t>
            </w:r>
            <w:r w:rsidRPr="00B43E2B">
              <w:rPr>
                <w:rFonts w:ascii="Arial Narrow" w:hAnsi="Arial Narrow"/>
                <w:sz w:val="18"/>
                <w:szCs w:val="18"/>
              </w:rPr>
              <w:br/>
              <w:t>5.9</w:t>
            </w:r>
          </w:p>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(5.5, 6.7)</w:t>
            </w:r>
          </w:p>
        </w:tc>
        <w:tc>
          <w:tcPr>
            <w:tcW w:w="687" w:type="pct"/>
            <w:gridSpan w:val="2"/>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294</w:t>
            </w:r>
            <w:r w:rsidRPr="00B43E2B">
              <w:rPr>
                <w:rFonts w:ascii="Arial Narrow" w:hAnsi="Arial Narrow"/>
                <w:sz w:val="18"/>
                <w:szCs w:val="18"/>
              </w:rPr>
              <w:br/>
              <w:t>3.9</w:t>
            </w:r>
          </w:p>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(3.7, 5.3)</w:t>
            </w:r>
          </w:p>
        </w:tc>
        <w:tc>
          <w:tcPr>
            <w:tcW w:w="684" w:type="pct"/>
            <w:gridSpan w:val="2"/>
            <w:tcBorders>
              <w:left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204</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6.4</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(5.5, 7.4)</w:t>
            </w:r>
          </w:p>
        </w:tc>
        <w:tc>
          <w:tcPr>
            <w:tcW w:w="683" w:type="pct"/>
            <w:gridSpan w:val="3"/>
            <w:tcBorders>
              <w:left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211</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4.4</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(3.7, 5.5)</w:t>
            </w:r>
          </w:p>
        </w:tc>
        <w:tc>
          <w:tcPr>
            <w:tcW w:w="684" w:type="pct"/>
            <w:gridSpan w:val="2"/>
            <w:tcBorders>
              <w:lef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61</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3.7</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(2.3, 5.8)</w:t>
            </w:r>
          </w:p>
        </w:tc>
        <w:tc>
          <w:tcPr>
            <w:tcW w:w="910" w:type="pct"/>
            <w:gridSpan w:val="2"/>
            <w:tcBorders>
              <w:lef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46</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3.7</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(2.8, 5.1)</w:t>
            </w:r>
          </w:p>
        </w:tc>
      </w:tr>
      <w:tr w:rsidR="00C62102" w:rsidRPr="00B43E2B" w:rsidTr="00B43E2B">
        <w:trPr>
          <w:trHeight w:val="132"/>
        </w:trPr>
        <w:tc>
          <w:tcPr>
            <w:tcW w:w="662" w:type="pct"/>
            <w:tcBorders>
              <w:top w:val="nil"/>
              <w:bottom w:val="nil"/>
              <w:right w:val="single" w:sz="4" w:space="0" w:color="auto"/>
            </w:tcBorders>
          </w:tcPr>
          <w:p w:rsidR="00C62102" w:rsidRPr="00B43E2B" w:rsidRDefault="00C62102" w:rsidP="00C62102">
            <w:pPr>
              <w:pStyle w:val="ListParagraph"/>
              <w:ind w:left="0" w:right="-57"/>
              <w:contextualSpacing w:val="0"/>
              <w:rPr>
                <w:rFonts w:ascii="Arial Narrow" w:hAnsi="Arial Narrow"/>
                <w:sz w:val="18"/>
                <w:szCs w:val="18"/>
              </w:rPr>
            </w:pPr>
            <w:r w:rsidRPr="00B43E2B">
              <w:rPr>
                <w:rFonts w:ascii="Arial Narrow" w:hAnsi="Arial Narrow"/>
                <w:sz w:val="18"/>
                <w:szCs w:val="18"/>
              </w:rPr>
              <w:t>Difference in PFS</w:t>
            </w:r>
          </w:p>
        </w:tc>
        <w:tc>
          <w:tcPr>
            <w:tcW w:w="1377" w:type="pct"/>
            <w:gridSpan w:val="4"/>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+2.0</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0.73 (0.59, 0.90)</w:t>
            </w:r>
          </w:p>
        </w:tc>
        <w:tc>
          <w:tcPr>
            <w:tcW w:w="1367" w:type="pct"/>
            <w:gridSpan w:val="5"/>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+2.0</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0.70 (0.54, 0.90)</w:t>
            </w:r>
          </w:p>
        </w:tc>
        <w:tc>
          <w:tcPr>
            <w:tcW w:w="1594" w:type="pct"/>
            <w:gridSpan w:val="4"/>
            <w:vMerge w:val="restart"/>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0.0</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0.90 (0.56, 1.42)</w:t>
            </w:r>
          </w:p>
        </w:tc>
      </w:tr>
      <w:tr w:rsidR="00C62102" w:rsidRPr="00B43E2B" w:rsidTr="00B43E2B">
        <w:trPr>
          <w:trHeight w:val="132"/>
        </w:trPr>
        <w:tc>
          <w:tcPr>
            <w:tcW w:w="662" w:type="pct"/>
            <w:tcBorders>
              <w:top w:val="nil"/>
              <w:bottom w:val="single" w:sz="4" w:space="0" w:color="auto"/>
              <w:right w:val="single" w:sz="4" w:space="0" w:color="auto"/>
            </w:tcBorders>
          </w:tcPr>
          <w:p w:rsidR="00C62102" w:rsidRPr="00B43E2B" w:rsidRDefault="00C62102" w:rsidP="00C62102">
            <w:pPr>
              <w:pStyle w:val="ListParagraph"/>
              <w:ind w:left="0" w:right="-57"/>
              <w:contextualSpacing w:val="0"/>
              <w:rPr>
                <w:rFonts w:ascii="Arial Narrow" w:hAnsi="Arial Narrow"/>
                <w:sz w:val="18"/>
                <w:szCs w:val="18"/>
              </w:rPr>
            </w:pPr>
            <w:r w:rsidRPr="00B43E2B">
              <w:rPr>
                <w:rFonts w:ascii="Arial Narrow" w:hAnsi="Arial Narrow"/>
                <w:sz w:val="18"/>
                <w:szCs w:val="18"/>
              </w:rPr>
              <w:t>HR (95% CI)</w:t>
            </w:r>
          </w:p>
        </w:tc>
        <w:tc>
          <w:tcPr>
            <w:tcW w:w="1377" w:type="pct"/>
            <w:gridSpan w:val="4"/>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367" w:type="pct"/>
            <w:gridSpan w:val="5"/>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594" w:type="pct"/>
            <w:gridSpan w:val="4"/>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r w:rsidR="00C62102" w:rsidRPr="00B43E2B" w:rsidTr="00B43E2B">
        <w:trPr>
          <w:trHeight w:val="132"/>
        </w:trPr>
        <w:tc>
          <w:tcPr>
            <w:tcW w:w="662" w:type="pct"/>
            <w:tcBorders>
              <w:top w:val="nil"/>
              <w:bottom w:val="single" w:sz="4" w:space="0" w:color="auto"/>
              <w:right w:val="single" w:sz="4" w:space="0" w:color="auto"/>
            </w:tcBorders>
          </w:tcPr>
          <w:p w:rsidR="00C62102" w:rsidRPr="00B43E2B" w:rsidRDefault="00C62102" w:rsidP="00C62102">
            <w:pPr>
              <w:pStyle w:val="ListParagraph"/>
              <w:ind w:left="0" w:right="-57"/>
              <w:contextualSpacing w:val="0"/>
              <w:rPr>
                <w:rFonts w:ascii="Arial Narrow" w:hAnsi="Arial Narrow"/>
                <w:b/>
                <w:sz w:val="18"/>
                <w:szCs w:val="18"/>
              </w:rPr>
            </w:pPr>
            <w:r w:rsidRPr="00B43E2B">
              <w:rPr>
                <w:rFonts w:ascii="Arial Narrow" w:hAnsi="Arial Narrow"/>
                <w:b/>
                <w:sz w:val="18"/>
                <w:szCs w:val="18"/>
                <w:u w:val="single"/>
              </w:rPr>
              <w:t>Study 408</w:t>
            </w:r>
          </w:p>
        </w:tc>
        <w:tc>
          <w:tcPr>
            <w:tcW w:w="690"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proofErr w:type="spellStart"/>
            <w:r w:rsidRPr="00B43E2B">
              <w:rPr>
                <w:rFonts w:ascii="Arial Narrow" w:hAnsi="Arial Narrow"/>
                <w:b/>
                <w:sz w:val="18"/>
                <w:szCs w:val="18"/>
              </w:rPr>
              <w:t>Pmab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BSC</w:t>
            </w:r>
          </w:p>
        </w:tc>
        <w:tc>
          <w:tcPr>
            <w:tcW w:w="687"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r w:rsidRPr="00B43E2B">
              <w:rPr>
                <w:rFonts w:ascii="Arial Narrow" w:hAnsi="Arial Narrow"/>
                <w:b/>
                <w:sz w:val="18"/>
                <w:szCs w:val="18"/>
              </w:rPr>
              <w:t>BSC</w:t>
            </w:r>
          </w:p>
        </w:tc>
        <w:tc>
          <w:tcPr>
            <w:tcW w:w="684"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proofErr w:type="spellStart"/>
            <w:r w:rsidRPr="00B43E2B">
              <w:rPr>
                <w:rFonts w:ascii="Arial Narrow" w:hAnsi="Arial Narrow"/>
                <w:b/>
                <w:sz w:val="18"/>
                <w:szCs w:val="18"/>
              </w:rPr>
              <w:t>Pmab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BSC</w:t>
            </w:r>
          </w:p>
        </w:tc>
        <w:tc>
          <w:tcPr>
            <w:tcW w:w="683" w:type="pct"/>
            <w:gridSpan w:val="3"/>
            <w:tcBorders>
              <w:top w:val="single" w:sz="4" w:space="0" w:color="auto"/>
              <w:left w:val="single" w:sz="4" w:space="0" w:color="auto"/>
              <w:bottom w:val="single" w:sz="4" w:space="0" w:color="auto"/>
              <w:right w:val="single" w:sz="4" w:space="0" w:color="auto"/>
            </w:tcBorders>
          </w:tcPr>
          <w:p w:rsidR="00C62102" w:rsidRPr="00B43E2B" w:rsidRDefault="00C62102" w:rsidP="00C62102">
            <w:pPr>
              <w:jc w:val="center"/>
              <w:rPr>
                <w:rFonts w:ascii="Arial Narrow" w:hAnsi="Arial Narrow"/>
                <w:sz w:val="18"/>
                <w:szCs w:val="18"/>
              </w:rPr>
            </w:pPr>
            <w:r w:rsidRPr="00B43E2B">
              <w:rPr>
                <w:rFonts w:ascii="Arial Narrow" w:hAnsi="Arial Narrow"/>
                <w:b/>
                <w:sz w:val="18"/>
                <w:szCs w:val="18"/>
              </w:rPr>
              <w:t>BSC</w:t>
            </w:r>
          </w:p>
        </w:tc>
        <w:tc>
          <w:tcPr>
            <w:tcW w:w="684" w:type="pct"/>
            <w:gridSpan w:val="2"/>
            <w:tcBorders>
              <w:top w:val="nil"/>
              <w:left w:val="single" w:sz="4" w:space="0" w:color="auto"/>
              <w:bottom w:val="single" w:sz="4" w:space="0" w:color="auto"/>
            </w:tcBorders>
          </w:tcPr>
          <w:p w:rsidR="00C62102" w:rsidRPr="00B43E2B" w:rsidRDefault="00C62102" w:rsidP="00C62102">
            <w:pPr>
              <w:jc w:val="center"/>
              <w:rPr>
                <w:rFonts w:ascii="Arial Narrow" w:hAnsi="Arial Narrow"/>
                <w:sz w:val="18"/>
                <w:szCs w:val="18"/>
              </w:rPr>
            </w:pPr>
            <w:proofErr w:type="spellStart"/>
            <w:r w:rsidRPr="00B43E2B">
              <w:rPr>
                <w:rFonts w:ascii="Arial Narrow" w:hAnsi="Arial Narrow"/>
                <w:b/>
                <w:sz w:val="18"/>
                <w:szCs w:val="18"/>
              </w:rPr>
              <w:t>Pmab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BSC</w:t>
            </w:r>
          </w:p>
        </w:tc>
        <w:tc>
          <w:tcPr>
            <w:tcW w:w="910" w:type="pct"/>
            <w:gridSpan w:val="2"/>
            <w:tcBorders>
              <w:top w:val="nil"/>
              <w:left w:val="single" w:sz="4" w:space="0" w:color="auto"/>
              <w:bottom w:val="single" w:sz="4" w:space="0" w:color="auto"/>
            </w:tcBorders>
          </w:tcPr>
          <w:p w:rsidR="00C62102" w:rsidRPr="00B43E2B" w:rsidRDefault="00C62102" w:rsidP="00C62102">
            <w:pPr>
              <w:jc w:val="center"/>
              <w:rPr>
                <w:rFonts w:ascii="Arial Narrow" w:hAnsi="Arial Narrow"/>
                <w:sz w:val="18"/>
                <w:szCs w:val="18"/>
              </w:rPr>
            </w:pPr>
            <w:r w:rsidRPr="00B43E2B">
              <w:rPr>
                <w:rFonts w:ascii="Arial Narrow" w:hAnsi="Arial Narrow"/>
                <w:b/>
                <w:sz w:val="18"/>
                <w:szCs w:val="18"/>
              </w:rPr>
              <w:t>BSC</w:t>
            </w:r>
          </w:p>
        </w:tc>
      </w:tr>
      <w:tr w:rsidR="00C62102" w:rsidRPr="00B43E2B" w:rsidTr="00B43E2B">
        <w:trPr>
          <w:trHeight w:val="290"/>
        </w:trPr>
        <w:tc>
          <w:tcPr>
            <w:tcW w:w="662" w:type="pct"/>
            <w:tcBorders>
              <w:top w:val="nil"/>
              <w:bottom w:val="nil"/>
              <w:right w:val="single" w:sz="4" w:space="0" w:color="auto"/>
            </w:tcBorders>
          </w:tcPr>
          <w:p w:rsidR="00C62102" w:rsidRPr="00B43E2B" w:rsidRDefault="00C62102" w:rsidP="00C62102">
            <w:pPr>
              <w:pStyle w:val="ListParagraph"/>
              <w:keepNext/>
              <w:tabs>
                <w:tab w:val="left" w:pos="1168"/>
              </w:tabs>
              <w:ind w:left="0" w:right="-113"/>
              <w:contextualSpacing w:val="0"/>
              <w:rPr>
                <w:rFonts w:ascii="Arial Narrow" w:hAnsi="Arial Narrow"/>
                <w:sz w:val="18"/>
                <w:szCs w:val="18"/>
              </w:rPr>
            </w:pPr>
            <w:r w:rsidRPr="00B43E2B">
              <w:rPr>
                <w:rFonts w:ascii="Arial Narrow" w:hAnsi="Arial Narrow"/>
                <w:sz w:val="18"/>
                <w:szCs w:val="18"/>
              </w:rPr>
              <w:t>N</w:t>
            </w:r>
            <w:r w:rsidRPr="00B43E2B">
              <w:rPr>
                <w:rFonts w:ascii="Arial Narrow" w:hAnsi="Arial Narrow"/>
                <w:sz w:val="18"/>
                <w:szCs w:val="18"/>
              </w:rPr>
              <w:br/>
              <w:t>Median PFS (weeks)</w:t>
            </w:r>
          </w:p>
        </w:tc>
        <w:tc>
          <w:tcPr>
            <w:tcW w:w="690"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124</w:t>
            </w:r>
            <w:r w:rsidRPr="00B43E2B">
              <w:rPr>
                <w:rFonts w:ascii="Arial Narrow" w:hAnsi="Arial Narrow"/>
                <w:sz w:val="18"/>
                <w:szCs w:val="18"/>
              </w:rPr>
              <w:br/>
              <w:t>12.3</w:t>
            </w:r>
          </w:p>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(8.3, 16.1)</w:t>
            </w:r>
          </w:p>
        </w:tc>
        <w:tc>
          <w:tcPr>
            <w:tcW w:w="687"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119</w:t>
            </w:r>
            <w:r w:rsidRPr="00B43E2B">
              <w:rPr>
                <w:rFonts w:ascii="Arial Narrow" w:hAnsi="Arial Narrow"/>
                <w:sz w:val="18"/>
                <w:szCs w:val="18"/>
              </w:rPr>
              <w:br/>
              <w:t>7.3</w:t>
            </w:r>
          </w:p>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(7.0, 7.7)</w:t>
            </w:r>
          </w:p>
        </w:tc>
        <w:tc>
          <w:tcPr>
            <w:tcW w:w="684"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72</w:t>
            </w:r>
            <w:r w:rsidRPr="00B43E2B">
              <w:rPr>
                <w:rFonts w:ascii="Arial Narrow" w:hAnsi="Arial Narrow"/>
                <w:sz w:val="18"/>
                <w:szCs w:val="18"/>
              </w:rPr>
              <w:br/>
              <w:t>12.3</w:t>
            </w:r>
          </w:p>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(8.9, 22.9)</w:t>
            </w:r>
          </w:p>
        </w:tc>
        <w:tc>
          <w:tcPr>
            <w:tcW w:w="683" w:type="pct"/>
            <w:gridSpan w:val="3"/>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61</w:t>
            </w:r>
            <w:r w:rsidRPr="00B43E2B">
              <w:rPr>
                <w:rFonts w:ascii="Arial Narrow" w:hAnsi="Arial Narrow"/>
                <w:sz w:val="18"/>
                <w:szCs w:val="18"/>
              </w:rPr>
              <w:br/>
              <w:t>6.9</w:t>
            </w:r>
          </w:p>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(6.0, 7.4)</w:t>
            </w:r>
          </w:p>
        </w:tc>
        <w:tc>
          <w:tcPr>
            <w:tcW w:w="684"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11</w:t>
            </w:r>
            <w:r w:rsidRPr="00B43E2B">
              <w:rPr>
                <w:rFonts w:ascii="Arial Narrow" w:hAnsi="Arial Narrow"/>
                <w:sz w:val="18"/>
                <w:szCs w:val="18"/>
              </w:rPr>
              <w:br/>
              <w:t>7.1</w:t>
            </w:r>
          </w:p>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(6.1, 8.0)</w:t>
            </w:r>
          </w:p>
        </w:tc>
        <w:tc>
          <w:tcPr>
            <w:tcW w:w="910" w:type="pct"/>
            <w:gridSpan w:val="2"/>
            <w:tcBorders>
              <w:top w:val="single" w:sz="4" w:space="0" w:color="auto"/>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11</w:t>
            </w:r>
            <w:r w:rsidRPr="00B43E2B">
              <w:rPr>
                <w:rFonts w:ascii="Arial Narrow" w:hAnsi="Arial Narrow"/>
                <w:sz w:val="18"/>
                <w:szCs w:val="18"/>
              </w:rPr>
              <w:br/>
              <w:t>7.6</w:t>
            </w:r>
          </w:p>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(3.9, 8.1)</w:t>
            </w:r>
          </w:p>
        </w:tc>
      </w:tr>
      <w:tr w:rsidR="00C62102" w:rsidRPr="00B43E2B" w:rsidTr="00B43E2B">
        <w:trPr>
          <w:trHeight w:val="132"/>
        </w:trPr>
        <w:tc>
          <w:tcPr>
            <w:tcW w:w="662" w:type="pct"/>
            <w:tcBorders>
              <w:top w:val="nil"/>
              <w:bottom w:val="nil"/>
              <w:right w:val="single" w:sz="4" w:space="0" w:color="auto"/>
            </w:tcBorders>
          </w:tcPr>
          <w:p w:rsidR="00C62102" w:rsidRPr="00B43E2B" w:rsidRDefault="00C62102" w:rsidP="00C62102">
            <w:pPr>
              <w:pStyle w:val="ListParagraph"/>
              <w:keepNext/>
              <w:ind w:left="0" w:right="-57"/>
              <w:contextualSpacing w:val="0"/>
              <w:rPr>
                <w:rFonts w:ascii="Arial Narrow" w:hAnsi="Arial Narrow"/>
                <w:sz w:val="18"/>
                <w:szCs w:val="18"/>
              </w:rPr>
            </w:pPr>
            <w:r w:rsidRPr="00B43E2B">
              <w:rPr>
                <w:rFonts w:ascii="Arial Narrow" w:hAnsi="Arial Narrow"/>
                <w:sz w:val="18"/>
                <w:szCs w:val="18"/>
              </w:rPr>
              <w:t>Difference in PFS</w:t>
            </w:r>
          </w:p>
        </w:tc>
        <w:tc>
          <w:tcPr>
            <w:tcW w:w="1377" w:type="pct"/>
            <w:gridSpan w:val="4"/>
            <w:vMerge w:val="restart"/>
            <w:tcBorders>
              <w:top w:val="single" w:sz="4" w:space="0" w:color="auto"/>
              <w:left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+5.0</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0.45 (0.34, 0.59)</w:t>
            </w:r>
          </w:p>
        </w:tc>
        <w:tc>
          <w:tcPr>
            <w:tcW w:w="1367" w:type="pct"/>
            <w:gridSpan w:val="5"/>
            <w:vMerge w:val="restart"/>
            <w:tcBorders>
              <w:top w:val="single" w:sz="4" w:space="0" w:color="auto"/>
              <w:left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+5.4</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0.39 (0.27, 0.56)</w:t>
            </w:r>
          </w:p>
        </w:tc>
        <w:tc>
          <w:tcPr>
            <w:tcW w:w="1594" w:type="pct"/>
            <w:gridSpan w:val="4"/>
            <w:vMerge w:val="restart"/>
            <w:tcBorders>
              <w:top w:val="single" w:sz="4" w:space="0" w:color="auto"/>
              <w:lef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-0.5</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0.81 (0.29, 2.26)</w:t>
            </w:r>
            <w:r w:rsidRPr="00B43E2B">
              <w:rPr>
                <w:rFonts w:ascii="Arial Narrow" w:hAnsi="Arial Narrow"/>
                <w:sz w:val="18"/>
                <w:szCs w:val="18"/>
                <w:vertAlign w:val="superscript"/>
              </w:rPr>
              <w:t>§</w:t>
            </w:r>
          </w:p>
        </w:tc>
      </w:tr>
      <w:tr w:rsidR="00C62102" w:rsidRPr="00B43E2B" w:rsidTr="00B43E2B">
        <w:trPr>
          <w:trHeight w:val="141"/>
        </w:trPr>
        <w:tc>
          <w:tcPr>
            <w:tcW w:w="662" w:type="pct"/>
            <w:tcBorders>
              <w:top w:val="nil"/>
              <w:bottom w:val="single" w:sz="4" w:space="0" w:color="auto"/>
              <w:right w:val="single" w:sz="4" w:space="0" w:color="auto"/>
            </w:tcBorders>
          </w:tcPr>
          <w:p w:rsidR="00C62102" w:rsidRPr="00B43E2B" w:rsidRDefault="00C62102" w:rsidP="00C62102">
            <w:pPr>
              <w:pStyle w:val="ListParagraph"/>
              <w:ind w:left="0" w:right="-57"/>
              <w:contextualSpacing w:val="0"/>
              <w:rPr>
                <w:rFonts w:ascii="Arial Narrow" w:hAnsi="Arial Narrow"/>
                <w:sz w:val="18"/>
                <w:szCs w:val="18"/>
              </w:rPr>
            </w:pPr>
            <w:r w:rsidRPr="00B43E2B">
              <w:rPr>
                <w:rFonts w:ascii="Arial Narrow" w:hAnsi="Arial Narrow"/>
                <w:sz w:val="18"/>
                <w:szCs w:val="18"/>
              </w:rPr>
              <w:t>HR (95% CI)</w:t>
            </w:r>
          </w:p>
        </w:tc>
        <w:tc>
          <w:tcPr>
            <w:tcW w:w="1377" w:type="pct"/>
            <w:gridSpan w:val="4"/>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367" w:type="pct"/>
            <w:gridSpan w:val="5"/>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594" w:type="pct"/>
            <w:gridSpan w:val="4"/>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vertAlign w:val="superscript"/>
              </w:rPr>
            </w:pPr>
          </w:p>
        </w:tc>
      </w:tr>
      <w:tr w:rsidR="00C62102" w:rsidRPr="00B43E2B" w:rsidTr="00B43E2B">
        <w:trPr>
          <w:trHeight w:val="264"/>
        </w:trPr>
        <w:tc>
          <w:tcPr>
            <w:tcW w:w="5000" w:type="pct"/>
            <w:gridSpan w:val="14"/>
            <w:tcBorders>
              <w:top w:val="single" w:sz="4" w:space="0" w:color="auto"/>
              <w:bottom w:val="single" w:sz="4" w:space="0" w:color="auto"/>
            </w:tcBorders>
          </w:tcPr>
          <w:p w:rsidR="00C62102" w:rsidRPr="00B43E2B" w:rsidRDefault="001A7755" w:rsidP="00C62102">
            <w:pPr>
              <w:pStyle w:val="ListParagraph"/>
              <w:ind w:left="0"/>
              <w:contextualSpacing w:val="0"/>
              <w:rPr>
                <w:rFonts w:ascii="Arial Narrow" w:hAnsi="Arial Narrow"/>
                <w:i/>
                <w:sz w:val="18"/>
                <w:szCs w:val="18"/>
              </w:rPr>
            </w:pPr>
            <w:r>
              <w:rPr>
                <w:rFonts w:ascii="Arial Narrow" w:hAnsi="Arial Narrow"/>
                <w:noProof/>
                <w:color w:val="000000"/>
                <w:sz w:val="18"/>
                <w:szCs w:val="18"/>
                <w:highlight w:val="black"/>
              </w:rPr>
              <w:t xml:space="preserve">'''''''''''''''''''''''''' ''''''''''''''''''''''''''' ''''''''' ''''''''''''''''''''''' </w:t>
            </w:r>
            <w:r>
              <w:rPr>
                <w:rFonts w:ascii="Arial Narrow" w:hAnsi="Arial Narrow"/>
                <w:i/>
                <w:noProof/>
                <w:color w:val="000000"/>
                <w:sz w:val="18"/>
                <w:szCs w:val="18"/>
                <w:highlight w:val="black"/>
              </w:rPr>
              <w:t>'''''''''''''''</w:t>
            </w:r>
            <w:r>
              <w:rPr>
                <w:rFonts w:ascii="Arial Narrow" w:hAnsi="Arial Narrow"/>
                <w:noProof/>
                <w:color w:val="000000"/>
                <w:sz w:val="18"/>
                <w:szCs w:val="18"/>
                <w:highlight w:val="black"/>
              </w:rPr>
              <w:t xml:space="preserve"> '''''''' ''''''''''''''''''''''''''' ''''''''''' '''''''' '''''''''''' ''''''''''''' '''''''''''''''' </w:t>
            </w:r>
            <w:r>
              <w:rPr>
                <w:rFonts w:ascii="Arial Narrow" w:hAnsi="Arial Narrow"/>
                <w:i/>
                <w:noProof/>
                <w:color w:val="000000"/>
                <w:sz w:val="18"/>
                <w:szCs w:val="18"/>
                <w:highlight w:val="black"/>
              </w:rPr>
              <w:t>''''''''''''''''</w:t>
            </w:r>
            <w:r>
              <w:rPr>
                <w:rFonts w:ascii="Arial Narrow" w:hAnsi="Arial Narrow"/>
                <w:noProof/>
                <w:color w:val="000000"/>
                <w:sz w:val="18"/>
                <w:szCs w:val="18"/>
                <w:highlight w:val="black"/>
              </w:rPr>
              <w:t xml:space="preserve"> '''''''''''''''''' '''''''''''''''''''''''' ''''''''''' '''''''' ''''''''''' '''''''''''' '''' ''''''' </w:t>
            </w:r>
            <w:r>
              <w:rPr>
                <w:rFonts w:ascii="Arial Narrow" w:hAnsi="Arial Narrow"/>
                <w:i/>
                <w:noProof/>
                <w:color w:val="000000"/>
                <w:sz w:val="18"/>
                <w:szCs w:val="18"/>
                <w:highlight w:val="black"/>
              </w:rPr>
              <w:t>''''''''''''''</w:t>
            </w:r>
            <w:r>
              <w:rPr>
                <w:rFonts w:ascii="Arial Narrow" w:hAnsi="Arial Narrow"/>
                <w:noProof/>
                <w:color w:val="000000"/>
                <w:sz w:val="18"/>
                <w:szCs w:val="18"/>
                <w:highlight w:val="black"/>
              </w:rPr>
              <w:t xml:space="preserve"> '''''''' ''''''''''''''''''''''' ''' '''' '''''''''''''''''''''</w:t>
            </w:r>
          </w:p>
        </w:tc>
      </w:tr>
      <w:tr w:rsidR="00C62102" w:rsidRPr="00B43E2B" w:rsidTr="00B43E2B">
        <w:trPr>
          <w:trHeight w:val="589"/>
        </w:trPr>
        <w:tc>
          <w:tcPr>
            <w:tcW w:w="700" w:type="pct"/>
            <w:gridSpan w:val="2"/>
            <w:vMerge w:val="restart"/>
            <w:tcBorders>
              <w:top w:val="single" w:sz="4" w:space="0" w:color="auto"/>
            </w:tcBorders>
          </w:tcPr>
          <w:p w:rsidR="00C62102" w:rsidRPr="00B43E2B" w:rsidRDefault="00C62102" w:rsidP="00C62102">
            <w:pPr>
              <w:pStyle w:val="ListParagraph"/>
              <w:ind w:left="0"/>
              <w:contextualSpacing w:val="0"/>
              <w:rPr>
                <w:rFonts w:ascii="Arial Narrow" w:hAnsi="Arial Narrow"/>
                <w:b/>
                <w:sz w:val="18"/>
                <w:szCs w:val="18"/>
                <w:u w:val="single"/>
              </w:rPr>
            </w:pPr>
            <w:r w:rsidRPr="00B43E2B">
              <w:rPr>
                <w:rFonts w:ascii="Arial Narrow" w:hAnsi="Arial Narrow"/>
                <w:b/>
                <w:sz w:val="18"/>
                <w:szCs w:val="18"/>
                <w:u w:val="single"/>
              </w:rPr>
              <w:t>PICCOLO</w:t>
            </w:r>
          </w:p>
        </w:tc>
        <w:tc>
          <w:tcPr>
            <w:tcW w:w="1023" w:type="pct"/>
            <w:gridSpan w:val="2"/>
            <w:tcBorders>
              <w:top w:val="single" w:sz="4" w:space="0" w:color="auto"/>
              <w:bottom w:val="single" w:sz="4" w:space="0" w:color="auto"/>
            </w:tcBorders>
            <w:vAlign w:val="center"/>
          </w:tcPr>
          <w:p w:rsidR="00C62102" w:rsidRPr="00B43E2B" w:rsidRDefault="00C62102" w:rsidP="00C62102">
            <w:pPr>
              <w:pStyle w:val="TableText0"/>
              <w:jc w:val="center"/>
              <w:rPr>
                <w:b/>
                <w:sz w:val="18"/>
                <w:szCs w:val="18"/>
              </w:rPr>
            </w:pPr>
            <w:r w:rsidRPr="00B43E2B">
              <w:rPr>
                <w:b/>
                <w:i/>
                <w:sz w:val="18"/>
                <w:szCs w:val="18"/>
              </w:rPr>
              <w:t>KRAS</w:t>
            </w:r>
            <w:r w:rsidRPr="00B43E2B">
              <w:rPr>
                <w:b/>
                <w:sz w:val="18"/>
                <w:szCs w:val="18"/>
              </w:rPr>
              <w:t xml:space="preserve"> WT</w:t>
            </w:r>
          </w:p>
          <w:p w:rsidR="00C62102" w:rsidRPr="00B43E2B" w:rsidRDefault="00C62102" w:rsidP="00C62102">
            <w:pPr>
              <w:pStyle w:val="TableText0"/>
              <w:jc w:val="center"/>
              <w:rPr>
                <w:b/>
                <w:sz w:val="18"/>
                <w:szCs w:val="18"/>
              </w:rPr>
            </w:pPr>
            <w:r w:rsidRPr="00B43E2B">
              <w:rPr>
                <w:b/>
                <w:sz w:val="18"/>
                <w:szCs w:val="18"/>
              </w:rPr>
              <w:t>(Exon 2,3)</w:t>
            </w:r>
          </w:p>
        </w:tc>
        <w:tc>
          <w:tcPr>
            <w:tcW w:w="1019" w:type="pct"/>
            <w:gridSpan w:val="4"/>
            <w:tcBorders>
              <w:top w:val="single" w:sz="4" w:space="0" w:color="auto"/>
              <w:bottom w:val="single" w:sz="4" w:space="0" w:color="auto"/>
            </w:tcBorders>
            <w:vAlign w:val="center"/>
          </w:tcPr>
          <w:p w:rsidR="00C62102" w:rsidRPr="00B43E2B" w:rsidRDefault="00C62102" w:rsidP="00C62102">
            <w:pPr>
              <w:pStyle w:val="TableText0"/>
              <w:jc w:val="center"/>
              <w:rPr>
                <w:b/>
                <w:sz w:val="18"/>
                <w:szCs w:val="18"/>
              </w:rPr>
            </w:pPr>
            <w:r w:rsidRPr="00B43E2B">
              <w:rPr>
                <w:b/>
                <w:sz w:val="18"/>
                <w:szCs w:val="18"/>
              </w:rPr>
              <w:t xml:space="preserve">WT: </w:t>
            </w:r>
            <w:r w:rsidRPr="00B43E2B">
              <w:rPr>
                <w:b/>
                <w:i/>
                <w:sz w:val="18"/>
                <w:szCs w:val="18"/>
              </w:rPr>
              <w:t>KRAS</w:t>
            </w:r>
            <w:r w:rsidRPr="00B43E2B">
              <w:rPr>
                <w:b/>
                <w:sz w:val="18"/>
                <w:szCs w:val="18"/>
              </w:rPr>
              <w:t xml:space="preserve"> (Exon 2,3,4), </w:t>
            </w:r>
            <w:r w:rsidRPr="00B43E2B">
              <w:rPr>
                <w:b/>
                <w:i/>
                <w:sz w:val="18"/>
                <w:szCs w:val="18"/>
              </w:rPr>
              <w:t>NRAS</w:t>
            </w:r>
            <w:r w:rsidRPr="00B43E2B">
              <w:rPr>
                <w:b/>
                <w:sz w:val="18"/>
                <w:szCs w:val="18"/>
              </w:rPr>
              <w:t xml:space="preserve"> (Exon 2,3), BRAF, and PIKC3A </w:t>
            </w:r>
          </w:p>
        </w:tc>
        <w:tc>
          <w:tcPr>
            <w:tcW w:w="1017" w:type="pct"/>
            <w:gridSpan w:val="3"/>
            <w:tcBorders>
              <w:top w:val="single" w:sz="4" w:space="0" w:color="auto"/>
              <w:bottom w:val="single" w:sz="4" w:space="0" w:color="auto"/>
            </w:tcBorders>
            <w:vAlign w:val="center"/>
          </w:tcPr>
          <w:p w:rsidR="00C62102" w:rsidRPr="00B43E2B" w:rsidRDefault="00C62102" w:rsidP="00C62102">
            <w:pPr>
              <w:pStyle w:val="TableText0"/>
              <w:jc w:val="center"/>
              <w:rPr>
                <w:b/>
                <w:sz w:val="18"/>
                <w:szCs w:val="18"/>
              </w:rPr>
            </w:pPr>
            <w:r w:rsidRPr="00B43E2B">
              <w:rPr>
                <w:b/>
                <w:i/>
                <w:sz w:val="18"/>
                <w:szCs w:val="18"/>
              </w:rPr>
              <w:t>KRAS</w:t>
            </w:r>
            <w:r w:rsidRPr="00B43E2B">
              <w:rPr>
                <w:b/>
                <w:sz w:val="18"/>
                <w:szCs w:val="18"/>
              </w:rPr>
              <w:t xml:space="preserve"> WT (Exon 2,3), </w:t>
            </w:r>
            <w:r w:rsidRPr="00B43E2B">
              <w:rPr>
                <w:b/>
                <w:i/>
                <w:sz w:val="18"/>
                <w:szCs w:val="18"/>
              </w:rPr>
              <w:t>KRAS</w:t>
            </w:r>
            <w:r w:rsidRPr="00B43E2B">
              <w:rPr>
                <w:b/>
                <w:sz w:val="18"/>
                <w:szCs w:val="18"/>
              </w:rPr>
              <w:t xml:space="preserve"> MT (Exon 4) </w:t>
            </w:r>
          </w:p>
        </w:tc>
        <w:tc>
          <w:tcPr>
            <w:tcW w:w="1242" w:type="pct"/>
            <w:gridSpan w:val="3"/>
            <w:tcBorders>
              <w:top w:val="single" w:sz="4" w:space="0" w:color="auto"/>
              <w:bottom w:val="single" w:sz="4" w:space="0" w:color="auto"/>
            </w:tcBorders>
            <w:vAlign w:val="center"/>
          </w:tcPr>
          <w:p w:rsidR="00C62102" w:rsidRPr="00B43E2B" w:rsidRDefault="00C62102" w:rsidP="00C62102">
            <w:pPr>
              <w:pStyle w:val="TableText0"/>
              <w:jc w:val="center"/>
              <w:rPr>
                <w:b/>
                <w:sz w:val="18"/>
                <w:szCs w:val="18"/>
              </w:rPr>
            </w:pPr>
            <w:r w:rsidRPr="00B43E2B">
              <w:rPr>
                <w:b/>
                <w:i/>
                <w:sz w:val="18"/>
                <w:szCs w:val="18"/>
              </w:rPr>
              <w:t>KRAS</w:t>
            </w:r>
            <w:r w:rsidRPr="00B43E2B">
              <w:rPr>
                <w:b/>
                <w:sz w:val="18"/>
                <w:szCs w:val="18"/>
              </w:rPr>
              <w:t xml:space="preserve"> WT (Exon 2,3), </w:t>
            </w:r>
            <w:r w:rsidRPr="00B43E2B">
              <w:rPr>
                <w:b/>
                <w:i/>
                <w:sz w:val="18"/>
                <w:szCs w:val="18"/>
              </w:rPr>
              <w:t>NRAS</w:t>
            </w:r>
            <w:r w:rsidRPr="00B43E2B">
              <w:rPr>
                <w:b/>
                <w:sz w:val="18"/>
                <w:szCs w:val="18"/>
              </w:rPr>
              <w:t xml:space="preserve"> MT (Exon 2,3)</w:t>
            </w:r>
          </w:p>
        </w:tc>
      </w:tr>
      <w:tr w:rsidR="00C62102" w:rsidRPr="00B43E2B" w:rsidTr="00B43E2B">
        <w:trPr>
          <w:trHeight w:val="97"/>
        </w:trPr>
        <w:tc>
          <w:tcPr>
            <w:tcW w:w="700" w:type="pct"/>
            <w:gridSpan w:val="2"/>
            <w:vMerge/>
            <w:tcBorders>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u w:val="single"/>
              </w:rPr>
            </w:pPr>
          </w:p>
        </w:tc>
        <w:tc>
          <w:tcPr>
            <w:tcW w:w="652" w:type="pct"/>
            <w:tcBorders>
              <w:top w:val="single" w:sz="4" w:space="0" w:color="auto"/>
              <w:bottom w:val="single" w:sz="4" w:space="0" w:color="auto"/>
            </w:tcBorders>
            <w:vAlign w:val="center"/>
          </w:tcPr>
          <w:p w:rsidR="00C62102" w:rsidRPr="00B43E2B" w:rsidRDefault="00C62102" w:rsidP="00C62102">
            <w:pPr>
              <w:pStyle w:val="TableText0"/>
              <w:jc w:val="center"/>
              <w:rPr>
                <w:rFonts w:eastAsia="Batang" w:cs="Arial"/>
                <w:b/>
                <w:sz w:val="18"/>
                <w:szCs w:val="18"/>
                <w:u w:val="single"/>
              </w:rPr>
            </w:pPr>
            <w:proofErr w:type="spellStart"/>
            <w:r w:rsidRPr="00B43E2B">
              <w:rPr>
                <w:rFonts w:cs="Arial"/>
                <w:b/>
                <w:sz w:val="18"/>
                <w:szCs w:val="18"/>
              </w:rPr>
              <w:t>Pmab</w:t>
            </w:r>
            <w:proofErr w:type="spellEnd"/>
            <w:r w:rsidR="00131AC7" w:rsidRPr="00B43E2B">
              <w:rPr>
                <w:rFonts w:cs="Arial"/>
                <w:b/>
                <w:sz w:val="18"/>
                <w:szCs w:val="18"/>
              </w:rPr>
              <w:t xml:space="preserve"> </w:t>
            </w:r>
            <w:r w:rsidRPr="00B43E2B">
              <w:rPr>
                <w:rFonts w:cs="Arial"/>
                <w:b/>
                <w:sz w:val="18"/>
                <w:szCs w:val="18"/>
              </w:rPr>
              <w:t>+</w:t>
            </w:r>
            <w:r w:rsidR="00131AC7" w:rsidRPr="00B43E2B">
              <w:rPr>
                <w:rFonts w:cs="Arial"/>
                <w:b/>
                <w:sz w:val="18"/>
                <w:szCs w:val="18"/>
              </w:rPr>
              <w:t xml:space="preserve"> </w:t>
            </w:r>
            <w:proofErr w:type="spellStart"/>
            <w:r w:rsidRPr="00B43E2B">
              <w:rPr>
                <w:rFonts w:cs="Arial"/>
                <w:b/>
                <w:sz w:val="18"/>
                <w:szCs w:val="18"/>
              </w:rPr>
              <w:t>Iri</w:t>
            </w:r>
            <w:proofErr w:type="spellEnd"/>
          </w:p>
        </w:tc>
        <w:tc>
          <w:tcPr>
            <w:tcW w:w="371" w:type="pct"/>
            <w:tcBorders>
              <w:top w:val="single" w:sz="4" w:space="0" w:color="auto"/>
              <w:bottom w:val="single" w:sz="4" w:space="0" w:color="auto"/>
            </w:tcBorders>
            <w:vAlign w:val="center"/>
          </w:tcPr>
          <w:p w:rsidR="00C62102" w:rsidRPr="00B43E2B" w:rsidRDefault="00C62102" w:rsidP="00C62102">
            <w:pPr>
              <w:pStyle w:val="TableText0"/>
              <w:jc w:val="center"/>
              <w:rPr>
                <w:rFonts w:eastAsia="Batang" w:cs="Arial"/>
                <w:b/>
                <w:sz w:val="18"/>
                <w:szCs w:val="18"/>
                <w:u w:val="single"/>
              </w:rPr>
            </w:pPr>
            <w:proofErr w:type="spellStart"/>
            <w:r w:rsidRPr="00B43E2B">
              <w:rPr>
                <w:rFonts w:cs="Arial"/>
                <w:b/>
                <w:sz w:val="18"/>
                <w:szCs w:val="18"/>
              </w:rPr>
              <w:t>Iri</w:t>
            </w:r>
            <w:proofErr w:type="spellEnd"/>
          </w:p>
        </w:tc>
        <w:tc>
          <w:tcPr>
            <w:tcW w:w="593" w:type="pct"/>
            <w:gridSpan w:val="2"/>
            <w:tcBorders>
              <w:top w:val="single" w:sz="4" w:space="0" w:color="auto"/>
              <w:bottom w:val="single" w:sz="4" w:space="0" w:color="auto"/>
            </w:tcBorders>
            <w:vAlign w:val="center"/>
          </w:tcPr>
          <w:p w:rsidR="00C62102" w:rsidRPr="00B43E2B" w:rsidRDefault="00C62102" w:rsidP="00AE6CA5">
            <w:pPr>
              <w:pStyle w:val="TableText0"/>
              <w:jc w:val="center"/>
              <w:rPr>
                <w:rFonts w:eastAsia="Batang" w:cs="Arial"/>
                <w:b/>
                <w:sz w:val="18"/>
                <w:szCs w:val="18"/>
                <w:u w:val="single"/>
              </w:rPr>
            </w:pPr>
            <w:proofErr w:type="spellStart"/>
            <w:r w:rsidRPr="00B43E2B">
              <w:rPr>
                <w:rFonts w:cs="Arial"/>
                <w:b/>
                <w:sz w:val="18"/>
                <w:szCs w:val="18"/>
              </w:rPr>
              <w:t>Pmab</w:t>
            </w:r>
            <w:proofErr w:type="spellEnd"/>
            <w:r w:rsidR="00131AC7" w:rsidRPr="00B43E2B">
              <w:rPr>
                <w:rFonts w:cs="Arial"/>
                <w:b/>
                <w:sz w:val="18"/>
                <w:szCs w:val="18"/>
              </w:rPr>
              <w:t xml:space="preserve"> </w:t>
            </w:r>
            <w:r w:rsidRPr="00B43E2B">
              <w:rPr>
                <w:rFonts w:cs="Arial"/>
                <w:b/>
                <w:sz w:val="18"/>
                <w:szCs w:val="18"/>
              </w:rPr>
              <w:t>+</w:t>
            </w:r>
            <w:r w:rsidR="00131AC7" w:rsidRPr="00B43E2B">
              <w:rPr>
                <w:rFonts w:cs="Arial"/>
                <w:b/>
                <w:sz w:val="18"/>
                <w:szCs w:val="18"/>
              </w:rPr>
              <w:t xml:space="preserve"> </w:t>
            </w:r>
            <w:proofErr w:type="spellStart"/>
            <w:r w:rsidR="00AE6CA5" w:rsidRPr="00B43E2B">
              <w:rPr>
                <w:rFonts w:cs="Arial"/>
                <w:b/>
                <w:sz w:val="18"/>
                <w:szCs w:val="18"/>
              </w:rPr>
              <w:t>I</w:t>
            </w:r>
            <w:r w:rsidRPr="00B43E2B">
              <w:rPr>
                <w:rFonts w:cs="Arial"/>
                <w:b/>
                <w:sz w:val="18"/>
                <w:szCs w:val="18"/>
              </w:rPr>
              <w:t>ri</w:t>
            </w:r>
            <w:proofErr w:type="spellEnd"/>
          </w:p>
        </w:tc>
        <w:tc>
          <w:tcPr>
            <w:tcW w:w="426" w:type="pct"/>
            <w:gridSpan w:val="2"/>
            <w:tcBorders>
              <w:top w:val="single" w:sz="4" w:space="0" w:color="auto"/>
              <w:bottom w:val="single" w:sz="4" w:space="0" w:color="auto"/>
            </w:tcBorders>
            <w:vAlign w:val="center"/>
          </w:tcPr>
          <w:p w:rsidR="00C62102" w:rsidRPr="00B43E2B" w:rsidRDefault="00C62102" w:rsidP="00C62102">
            <w:pPr>
              <w:pStyle w:val="TableText0"/>
              <w:jc w:val="center"/>
              <w:rPr>
                <w:rFonts w:eastAsia="Batang" w:cs="Arial"/>
                <w:b/>
                <w:sz w:val="18"/>
                <w:szCs w:val="18"/>
                <w:u w:val="single"/>
              </w:rPr>
            </w:pPr>
            <w:proofErr w:type="spellStart"/>
            <w:r w:rsidRPr="00B43E2B">
              <w:rPr>
                <w:rFonts w:cs="Arial"/>
                <w:b/>
                <w:sz w:val="18"/>
                <w:szCs w:val="18"/>
              </w:rPr>
              <w:t>Iri</w:t>
            </w:r>
            <w:proofErr w:type="spellEnd"/>
          </w:p>
        </w:tc>
        <w:tc>
          <w:tcPr>
            <w:tcW w:w="623" w:type="pct"/>
            <w:tcBorders>
              <w:top w:val="single" w:sz="4" w:space="0" w:color="auto"/>
              <w:bottom w:val="single" w:sz="4" w:space="0" w:color="auto"/>
            </w:tcBorders>
            <w:vAlign w:val="center"/>
          </w:tcPr>
          <w:p w:rsidR="00C62102" w:rsidRPr="00B43E2B" w:rsidRDefault="00C62102" w:rsidP="00C62102">
            <w:pPr>
              <w:pStyle w:val="TableText0"/>
              <w:jc w:val="center"/>
              <w:rPr>
                <w:rFonts w:eastAsia="Batang" w:cs="Arial"/>
                <w:b/>
                <w:sz w:val="18"/>
                <w:szCs w:val="18"/>
                <w:u w:val="single"/>
              </w:rPr>
            </w:pPr>
            <w:proofErr w:type="spellStart"/>
            <w:r w:rsidRPr="00B43E2B">
              <w:rPr>
                <w:rFonts w:cs="Arial"/>
                <w:b/>
                <w:sz w:val="18"/>
                <w:szCs w:val="18"/>
              </w:rPr>
              <w:t>Pmab</w:t>
            </w:r>
            <w:proofErr w:type="spellEnd"/>
            <w:r w:rsidR="00131AC7" w:rsidRPr="00B43E2B">
              <w:rPr>
                <w:rFonts w:cs="Arial"/>
                <w:b/>
                <w:sz w:val="18"/>
                <w:szCs w:val="18"/>
              </w:rPr>
              <w:t xml:space="preserve"> </w:t>
            </w:r>
            <w:r w:rsidRPr="00B43E2B">
              <w:rPr>
                <w:rFonts w:cs="Arial"/>
                <w:b/>
                <w:sz w:val="18"/>
                <w:szCs w:val="18"/>
              </w:rPr>
              <w:t>+</w:t>
            </w:r>
            <w:r w:rsidR="00131AC7" w:rsidRPr="00B43E2B">
              <w:rPr>
                <w:rFonts w:cs="Arial"/>
                <w:b/>
                <w:sz w:val="18"/>
                <w:szCs w:val="18"/>
              </w:rPr>
              <w:t xml:space="preserve"> </w:t>
            </w:r>
            <w:proofErr w:type="spellStart"/>
            <w:r w:rsidRPr="00B43E2B">
              <w:rPr>
                <w:rFonts w:cs="Arial"/>
                <w:b/>
                <w:sz w:val="18"/>
                <w:szCs w:val="18"/>
              </w:rPr>
              <w:t>Iri</w:t>
            </w:r>
            <w:proofErr w:type="spellEnd"/>
          </w:p>
        </w:tc>
        <w:tc>
          <w:tcPr>
            <w:tcW w:w="394" w:type="pct"/>
            <w:gridSpan w:val="2"/>
            <w:tcBorders>
              <w:top w:val="single" w:sz="4" w:space="0" w:color="auto"/>
              <w:bottom w:val="single" w:sz="4" w:space="0" w:color="auto"/>
            </w:tcBorders>
            <w:vAlign w:val="center"/>
          </w:tcPr>
          <w:p w:rsidR="00C62102" w:rsidRPr="00B43E2B" w:rsidRDefault="00C62102" w:rsidP="00C62102">
            <w:pPr>
              <w:pStyle w:val="TableText0"/>
              <w:jc w:val="center"/>
              <w:rPr>
                <w:rFonts w:eastAsia="Batang" w:cs="Arial"/>
                <w:b/>
                <w:sz w:val="18"/>
                <w:szCs w:val="18"/>
                <w:u w:val="single"/>
              </w:rPr>
            </w:pPr>
            <w:proofErr w:type="spellStart"/>
            <w:r w:rsidRPr="00B43E2B">
              <w:rPr>
                <w:rFonts w:cs="Arial"/>
                <w:b/>
                <w:sz w:val="18"/>
                <w:szCs w:val="18"/>
              </w:rPr>
              <w:t>Iri</w:t>
            </w:r>
            <w:proofErr w:type="spellEnd"/>
          </w:p>
        </w:tc>
        <w:tc>
          <w:tcPr>
            <w:tcW w:w="607" w:type="pct"/>
            <w:gridSpan w:val="2"/>
            <w:tcBorders>
              <w:top w:val="single" w:sz="4" w:space="0" w:color="auto"/>
              <w:bottom w:val="single" w:sz="4" w:space="0" w:color="auto"/>
            </w:tcBorders>
            <w:vAlign w:val="center"/>
          </w:tcPr>
          <w:p w:rsidR="00C62102" w:rsidRPr="00B43E2B" w:rsidRDefault="00C62102" w:rsidP="00C62102">
            <w:pPr>
              <w:pStyle w:val="TableText0"/>
              <w:jc w:val="center"/>
              <w:rPr>
                <w:rFonts w:eastAsia="Batang" w:cs="Arial"/>
                <w:b/>
                <w:sz w:val="18"/>
                <w:szCs w:val="18"/>
                <w:u w:val="single"/>
              </w:rPr>
            </w:pPr>
            <w:proofErr w:type="spellStart"/>
            <w:r w:rsidRPr="00B43E2B">
              <w:rPr>
                <w:rFonts w:cs="Arial"/>
                <w:b/>
                <w:sz w:val="18"/>
                <w:szCs w:val="18"/>
              </w:rPr>
              <w:t>Pmab</w:t>
            </w:r>
            <w:proofErr w:type="spellEnd"/>
            <w:r w:rsidR="00131AC7" w:rsidRPr="00B43E2B">
              <w:rPr>
                <w:rFonts w:cs="Arial"/>
                <w:b/>
                <w:sz w:val="18"/>
                <w:szCs w:val="18"/>
              </w:rPr>
              <w:t xml:space="preserve"> </w:t>
            </w:r>
            <w:r w:rsidRPr="00B43E2B">
              <w:rPr>
                <w:rFonts w:cs="Arial"/>
                <w:b/>
                <w:sz w:val="18"/>
                <w:szCs w:val="18"/>
              </w:rPr>
              <w:t>+</w:t>
            </w:r>
            <w:r w:rsidR="00131AC7" w:rsidRPr="00B43E2B">
              <w:rPr>
                <w:rFonts w:cs="Arial"/>
                <w:b/>
                <w:sz w:val="18"/>
                <w:szCs w:val="18"/>
              </w:rPr>
              <w:t xml:space="preserve"> </w:t>
            </w:r>
            <w:proofErr w:type="spellStart"/>
            <w:r w:rsidRPr="00B43E2B">
              <w:rPr>
                <w:rFonts w:cs="Arial"/>
                <w:b/>
                <w:sz w:val="18"/>
                <w:szCs w:val="18"/>
              </w:rPr>
              <w:t>Iri</w:t>
            </w:r>
            <w:proofErr w:type="spellEnd"/>
          </w:p>
        </w:tc>
        <w:tc>
          <w:tcPr>
            <w:tcW w:w="634" w:type="pct"/>
            <w:tcBorders>
              <w:top w:val="single" w:sz="4" w:space="0" w:color="auto"/>
              <w:bottom w:val="single" w:sz="4" w:space="0" w:color="auto"/>
            </w:tcBorders>
            <w:vAlign w:val="center"/>
          </w:tcPr>
          <w:p w:rsidR="00C62102" w:rsidRPr="00B43E2B" w:rsidRDefault="00C62102" w:rsidP="00C62102">
            <w:pPr>
              <w:pStyle w:val="TableText0"/>
              <w:jc w:val="center"/>
              <w:rPr>
                <w:rFonts w:eastAsia="Batang" w:cs="Arial"/>
                <w:b/>
                <w:sz w:val="18"/>
                <w:szCs w:val="18"/>
                <w:u w:val="single"/>
              </w:rPr>
            </w:pPr>
            <w:proofErr w:type="spellStart"/>
            <w:r w:rsidRPr="00B43E2B">
              <w:rPr>
                <w:rFonts w:cs="Arial"/>
                <w:b/>
                <w:sz w:val="18"/>
                <w:szCs w:val="18"/>
              </w:rPr>
              <w:t>Iri</w:t>
            </w:r>
            <w:proofErr w:type="spellEnd"/>
          </w:p>
        </w:tc>
      </w:tr>
      <w:tr w:rsidR="00C62102" w:rsidRPr="00B43E2B" w:rsidTr="00B43E2B">
        <w:trPr>
          <w:trHeight w:val="83"/>
        </w:trPr>
        <w:tc>
          <w:tcPr>
            <w:tcW w:w="700"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tabs>
                <w:tab w:val="left" w:pos="1168"/>
              </w:tabs>
              <w:ind w:left="0" w:right="-113"/>
              <w:contextualSpacing w:val="0"/>
              <w:rPr>
                <w:rFonts w:ascii="Arial Narrow" w:hAnsi="Arial Narrow"/>
                <w:sz w:val="18"/>
                <w:szCs w:val="18"/>
              </w:rPr>
            </w:pPr>
            <w:r w:rsidRPr="00B43E2B">
              <w:rPr>
                <w:rFonts w:ascii="Arial Narrow" w:hAnsi="Arial Narrow"/>
                <w:sz w:val="18"/>
                <w:szCs w:val="18"/>
              </w:rPr>
              <w:lastRenderedPageBreak/>
              <w:t>N</w:t>
            </w:r>
          </w:p>
        </w:tc>
        <w:tc>
          <w:tcPr>
            <w:tcW w:w="652"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230</w:t>
            </w:r>
          </w:p>
        </w:tc>
        <w:tc>
          <w:tcPr>
            <w:tcW w:w="371"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230</w:t>
            </w:r>
          </w:p>
        </w:tc>
        <w:tc>
          <w:tcPr>
            <w:tcW w:w="593"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160</w:t>
            </w:r>
          </w:p>
        </w:tc>
        <w:tc>
          <w:tcPr>
            <w:tcW w:w="426"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163</w:t>
            </w:r>
          </w:p>
        </w:tc>
        <w:tc>
          <w:tcPr>
            <w:tcW w:w="623"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9</w:t>
            </w:r>
          </w:p>
        </w:tc>
        <w:tc>
          <w:tcPr>
            <w:tcW w:w="394"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8</w:t>
            </w:r>
          </w:p>
        </w:tc>
        <w:tc>
          <w:tcPr>
            <w:tcW w:w="607"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19</w:t>
            </w:r>
          </w:p>
        </w:tc>
        <w:tc>
          <w:tcPr>
            <w:tcW w:w="634"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keepNext/>
              <w:ind w:left="0"/>
              <w:contextualSpacing w:val="0"/>
              <w:jc w:val="center"/>
              <w:rPr>
                <w:rFonts w:ascii="Arial Narrow" w:hAnsi="Arial Narrow"/>
                <w:sz w:val="18"/>
                <w:szCs w:val="18"/>
              </w:rPr>
            </w:pPr>
            <w:r w:rsidRPr="00B43E2B">
              <w:rPr>
                <w:rFonts w:ascii="Arial Narrow" w:hAnsi="Arial Narrow"/>
                <w:sz w:val="18"/>
                <w:szCs w:val="18"/>
              </w:rPr>
              <w:t>10</w:t>
            </w:r>
          </w:p>
        </w:tc>
      </w:tr>
      <w:tr w:rsidR="00C62102" w:rsidRPr="00B43E2B" w:rsidTr="00B43E2B">
        <w:trPr>
          <w:trHeight w:val="53"/>
        </w:trPr>
        <w:tc>
          <w:tcPr>
            <w:tcW w:w="700"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TableText0"/>
              <w:rPr>
                <w:sz w:val="18"/>
                <w:szCs w:val="18"/>
              </w:rPr>
            </w:pPr>
            <w:r w:rsidRPr="00B43E2B">
              <w:rPr>
                <w:sz w:val="18"/>
                <w:szCs w:val="18"/>
              </w:rPr>
              <w:t>PFS HR (95% CI)</w:t>
            </w:r>
          </w:p>
          <w:p w:rsidR="00C62102" w:rsidRPr="00B43E2B" w:rsidRDefault="00C62102" w:rsidP="00C62102">
            <w:pPr>
              <w:pStyle w:val="TableText0"/>
              <w:rPr>
                <w:sz w:val="18"/>
                <w:szCs w:val="18"/>
              </w:rPr>
            </w:pPr>
            <w:r w:rsidRPr="00B43E2B">
              <w:rPr>
                <w:sz w:val="18"/>
                <w:szCs w:val="18"/>
              </w:rPr>
              <w:t>p-value</w:t>
            </w:r>
          </w:p>
        </w:tc>
        <w:tc>
          <w:tcPr>
            <w:tcW w:w="1023" w:type="pct"/>
            <w:gridSpan w:val="2"/>
            <w:tcBorders>
              <w:top w:val="single" w:sz="4" w:space="0" w:color="auto"/>
              <w:left w:val="single" w:sz="4" w:space="0" w:color="auto"/>
              <w:bottom w:val="single" w:sz="4" w:space="0" w:color="auto"/>
              <w:right w:val="single" w:sz="4" w:space="0" w:color="auto"/>
            </w:tcBorders>
            <w:vAlign w:val="center"/>
          </w:tcPr>
          <w:p w:rsidR="00C62102" w:rsidRPr="00B43E2B" w:rsidRDefault="00C62102" w:rsidP="00C62102">
            <w:pPr>
              <w:pStyle w:val="TableText0"/>
              <w:tabs>
                <w:tab w:val="left" w:pos="1886"/>
                <w:tab w:val="left" w:pos="3162"/>
              </w:tabs>
              <w:jc w:val="center"/>
              <w:rPr>
                <w:rFonts w:cs="Arial"/>
                <w:sz w:val="18"/>
                <w:szCs w:val="18"/>
              </w:rPr>
            </w:pPr>
            <w:r w:rsidRPr="00B43E2B">
              <w:rPr>
                <w:rFonts w:cs="Arial"/>
                <w:sz w:val="18"/>
                <w:szCs w:val="18"/>
              </w:rPr>
              <w:t>0.78 (0.64, 0.95)</w:t>
            </w:r>
          </w:p>
          <w:p w:rsidR="00C62102" w:rsidRPr="00B43E2B" w:rsidRDefault="00C62102" w:rsidP="00C62102">
            <w:pPr>
              <w:pStyle w:val="TableText0"/>
              <w:tabs>
                <w:tab w:val="left" w:pos="1886"/>
                <w:tab w:val="left" w:pos="3162"/>
              </w:tabs>
              <w:jc w:val="center"/>
              <w:rPr>
                <w:rFonts w:cs="Arial"/>
                <w:sz w:val="18"/>
                <w:szCs w:val="18"/>
              </w:rPr>
            </w:pPr>
            <w:r w:rsidRPr="00B43E2B">
              <w:rPr>
                <w:rFonts w:cs="Arial"/>
                <w:sz w:val="18"/>
                <w:szCs w:val="18"/>
              </w:rPr>
              <w:t>p=0.015</w:t>
            </w:r>
          </w:p>
        </w:tc>
        <w:tc>
          <w:tcPr>
            <w:tcW w:w="1019" w:type="pct"/>
            <w:gridSpan w:val="4"/>
            <w:tcBorders>
              <w:top w:val="single" w:sz="4" w:space="0" w:color="auto"/>
              <w:left w:val="single" w:sz="4" w:space="0" w:color="auto"/>
              <w:bottom w:val="single" w:sz="4" w:space="0" w:color="auto"/>
              <w:right w:val="single" w:sz="4" w:space="0" w:color="auto"/>
            </w:tcBorders>
            <w:vAlign w:val="center"/>
          </w:tcPr>
          <w:p w:rsidR="00C62102" w:rsidRPr="00B43E2B" w:rsidRDefault="00C62102" w:rsidP="00C62102">
            <w:pPr>
              <w:pStyle w:val="TableText0"/>
              <w:tabs>
                <w:tab w:val="left" w:pos="1886"/>
                <w:tab w:val="left" w:pos="3162"/>
              </w:tabs>
              <w:jc w:val="center"/>
              <w:rPr>
                <w:rFonts w:cs="Arial"/>
                <w:sz w:val="18"/>
                <w:szCs w:val="18"/>
              </w:rPr>
            </w:pPr>
            <w:r w:rsidRPr="00B43E2B">
              <w:rPr>
                <w:rFonts w:cs="Arial"/>
                <w:sz w:val="18"/>
                <w:szCs w:val="18"/>
              </w:rPr>
              <w:t>0.68 (0.53, 0.86)</w:t>
            </w:r>
          </w:p>
          <w:p w:rsidR="00C62102" w:rsidRPr="00B43E2B" w:rsidRDefault="00C62102" w:rsidP="00C62102">
            <w:pPr>
              <w:pStyle w:val="TableText0"/>
              <w:tabs>
                <w:tab w:val="left" w:pos="1886"/>
                <w:tab w:val="left" w:pos="3162"/>
              </w:tabs>
              <w:jc w:val="center"/>
              <w:rPr>
                <w:rFonts w:cs="Arial"/>
                <w:sz w:val="18"/>
                <w:szCs w:val="18"/>
              </w:rPr>
            </w:pPr>
            <w:r w:rsidRPr="00B43E2B">
              <w:rPr>
                <w:rFonts w:cs="Arial"/>
                <w:sz w:val="18"/>
                <w:szCs w:val="18"/>
              </w:rPr>
              <w:t>p-value NR</w:t>
            </w:r>
          </w:p>
        </w:tc>
        <w:tc>
          <w:tcPr>
            <w:tcW w:w="1017" w:type="pct"/>
            <w:gridSpan w:val="3"/>
            <w:tcBorders>
              <w:top w:val="single" w:sz="4" w:space="0" w:color="auto"/>
              <w:left w:val="single" w:sz="4" w:space="0" w:color="auto"/>
              <w:bottom w:val="single" w:sz="4" w:space="0" w:color="auto"/>
              <w:right w:val="single" w:sz="4" w:space="0" w:color="auto"/>
            </w:tcBorders>
            <w:vAlign w:val="center"/>
          </w:tcPr>
          <w:p w:rsidR="00C62102" w:rsidRPr="00B43E2B" w:rsidRDefault="00C62102" w:rsidP="00C62102">
            <w:pPr>
              <w:pStyle w:val="TableText0"/>
              <w:tabs>
                <w:tab w:val="left" w:pos="1886"/>
                <w:tab w:val="left" w:pos="3162"/>
              </w:tabs>
              <w:jc w:val="center"/>
              <w:rPr>
                <w:rFonts w:cs="Arial"/>
                <w:sz w:val="18"/>
                <w:szCs w:val="18"/>
              </w:rPr>
            </w:pPr>
            <w:r w:rsidRPr="00B43E2B">
              <w:rPr>
                <w:rFonts w:cs="Arial"/>
                <w:sz w:val="18"/>
                <w:szCs w:val="18"/>
              </w:rPr>
              <w:t>0.56 (0.13, 2.48)</w:t>
            </w:r>
          </w:p>
          <w:p w:rsidR="00C62102" w:rsidRPr="00B43E2B" w:rsidRDefault="00C62102" w:rsidP="00C62102">
            <w:pPr>
              <w:jc w:val="center"/>
              <w:rPr>
                <w:rFonts w:ascii="Arial Narrow" w:hAnsi="Arial Narrow"/>
                <w:color w:val="000000"/>
                <w:sz w:val="18"/>
                <w:szCs w:val="18"/>
              </w:rPr>
            </w:pPr>
            <w:r w:rsidRPr="00B43E2B">
              <w:rPr>
                <w:rFonts w:ascii="Arial Narrow" w:hAnsi="Arial Narrow"/>
                <w:sz w:val="18"/>
                <w:szCs w:val="18"/>
              </w:rPr>
              <w:t>p-value NR</w:t>
            </w:r>
          </w:p>
        </w:tc>
        <w:tc>
          <w:tcPr>
            <w:tcW w:w="1242" w:type="pct"/>
            <w:gridSpan w:val="3"/>
            <w:tcBorders>
              <w:top w:val="single" w:sz="4" w:space="0" w:color="auto"/>
              <w:left w:val="single" w:sz="4" w:space="0" w:color="auto"/>
              <w:bottom w:val="single" w:sz="4" w:space="0" w:color="auto"/>
              <w:right w:val="single" w:sz="4" w:space="0" w:color="auto"/>
            </w:tcBorders>
            <w:vAlign w:val="center"/>
          </w:tcPr>
          <w:p w:rsidR="00C62102" w:rsidRPr="00B43E2B" w:rsidRDefault="00C62102" w:rsidP="00C62102">
            <w:pPr>
              <w:pStyle w:val="TableText0"/>
              <w:tabs>
                <w:tab w:val="left" w:pos="1886"/>
                <w:tab w:val="left" w:pos="3162"/>
              </w:tabs>
              <w:jc w:val="center"/>
              <w:rPr>
                <w:rFonts w:cs="Arial"/>
                <w:sz w:val="18"/>
                <w:szCs w:val="18"/>
              </w:rPr>
            </w:pPr>
            <w:r w:rsidRPr="00B43E2B">
              <w:rPr>
                <w:rFonts w:cs="Arial"/>
                <w:sz w:val="18"/>
                <w:szCs w:val="18"/>
              </w:rPr>
              <w:t>1.08 (0.45, 2.56)</w:t>
            </w:r>
          </w:p>
          <w:p w:rsidR="00C62102" w:rsidRPr="00B43E2B" w:rsidRDefault="00C62102" w:rsidP="00C62102">
            <w:pPr>
              <w:pStyle w:val="TableText0"/>
              <w:tabs>
                <w:tab w:val="left" w:pos="1886"/>
                <w:tab w:val="left" w:pos="3162"/>
              </w:tabs>
              <w:jc w:val="center"/>
              <w:rPr>
                <w:rFonts w:cs="Arial"/>
                <w:sz w:val="18"/>
                <w:szCs w:val="18"/>
              </w:rPr>
            </w:pPr>
            <w:r w:rsidRPr="00B43E2B">
              <w:rPr>
                <w:rFonts w:cs="Arial"/>
                <w:sz w:val="18"/>
                <w:szCs w:val="18"/>
              </w:rPr>
              <w:t>p-value NR</w:t>
            </w:r>
          </w:p>
        </w:tc>
      </w:tr>
      <w:tr w:rsidR="00C62102" w:rsidRPr="00B43E2B" w:rsidTr="00B43E2B">
        <w:trPr>
          <w:trHeight w:val="84"/>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102" w:rsidRPr="00B43E2B" w:rsidRDefault="00C62102" w:rsidP="00C62102">
            <w:pPr>
              <w:pStyle w:val="TableText0"/>
              <w:tabs>
                <w:tab w:val="left" w:pos="1886"/>
                <w:tab w:val="left" w:pos="3162"/>
              </w:tabs>
              <w:jc w:val="center"/>
              <w:rPr>
                <w:rFonts w:cs="Arial"/>
                <w:sz w:val="18"/>
                <w:szCs w:val="18"/>
              </w:rPr>
            </w:pPr>
            <w:r w:rsidRPr="00B43E2B">
              <w:rPr>
                <w:rFonts w:cs="Arial"/>
                <w:b/>
                <w:sz w:val="18"/>
                <w:szCs w:val="18"/>
              </w:rPr>
              <w:t xml:space="preserve">Later-line treatment - </w:t>
            </w:r>
            <w:proofErr w:type="spellStart"/>
            <w:r w:rsidRPr="00B43E2B">
              <w:rPr>
                <w:rFonts w:cs="Arial"/>
                <w:b/>
                <w:sz w:val="18"/>
                <w:szCs w:val="18"/>
              </w:rPr>
              <w:t>cetuximab</w:t>
            </w:r>
            <w:proofErr w:type="spellEnd"/>
          </w:p>
        </w:tc>
      </w:tr>
      <w:tr w:rsidR="00C62102" w:rsidRPr="00B43E2B" w:rsidTr="00B43E2B">
        <w:trPr>
          <w:trHeight w:val="53"/>
        </w:trPr>
        <w:tc>
          <w:tcPr>
            <w:tcW w:w="5000" w:type="pct"/>
            <w:gridSpan w:val="14"/>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TableText0"/>
              <w:tabs>
                <w:tab w:val="left" w:pos="1886"/>
                <w:tab w:val="left" w:pos="3162"/>
              </w:tabs>
              <w:rPr>
                <w:rFonts w:cs="Arial"/>
                <w:i/>
                <w:sz w:val="18"/>
                <w:szCs w:val="18"/>
              </w:rPr>
            </w:pPr>
            <w:r w:rsidRPr="00B43E2B">
              <w:rPr>
                <w:rFonts w:cs="Arial"/>
                <w:i/>
                <w:sz w:val="18"/>
                <w:szCs w:val="18"/>
              </w:rPr>
              <w:t xml:space="preserve">The CAPRI study and a retrospective cohort analysis by De </w:t>
            </w:r>
            <w:proofErr w:type="spellStart"/>
            <w:r w:rsidRPr="00B43E2B">
              <w:rPr>
                <w:rFonts w:cs="Arial"/>
                <w:i/>
                <w:sz w:val="18"/>
                <w:szCs w:val="18"/>
              </w:rPr>
              <w:t>Rooke</w:t>
            </w:r>
            <w:proofErr w:type="spellEnd"/>
            <w:r w:rsidRPr="00B43E2B">
              <w:rPr>
                <w:rFonts w:cs="Arial"/>
                <w:i/>
                <w:sz w:val="18"/>
                <w:szCs w:val="18"/>
              </w:rPr>
              <w:t xml:space="preserve"> et al{De </w:t>
            </w:r>
            <w:proofErr w:type="spellStart"/>
            <w:r w:rsidRPr="00B43E2B">
              <w:rPr>
                <w:rFonts w:cs="Arial"/>
                <w:i/>
                <w:sz w:val="18"/>
                <w:szCs w:val="18"/>
              </w:rPr>
              <w:t>Roock</w:t>
            </w:r>
            <w:proofErr w:type="spellEnd"/>
            <w:r w:rsidRPr="00B43E2B">
              <w:rPr>
                <w:rFonts w:cs="Arial"/>
                <w:i/>
                <w:sz w:val="18"/>
                <w:szCs w:val="18"/>
              </w:rPr>
              <w:t xml:space="preserve">, 2010 #139  do not provide published outcome data by </w:t>
            </w:r>
            <w:r w:rsidRPr="00B43E2B">
              <w:rPr>
                <w:rFonts w:cs="Arial"/>
                <w:sz w:val="18"/>
                <w:szCs w:val="18"/>
              </w:rPr>
              <w:t>RAS</w:t>
            </w:r>
            <w:r w:rsidRPr="00B43E2B">
              <w:rPr>
                <w:rFonts w:cs="Arial"/>
                <w:i/>
                <w:sz w:val="18"/>
                <w:szCs w:val="18"/>
              </w:rPr>
              <w:t xml:space="preserve"> status comparing </w:t>
            </w:r>
            <w:proofErr w:type="spellStart"/>
            <w:r w:rsidRPr="00B43E2B">
              <w:rPr>
                <w:rFonts w:cs="Arial"/>
                <w:i/>
                <w:sz w:val="18"/>
                <w:szCs w:val="18"/>
              </w:rPr>
              <w:t>cetuximab</w:t>
            </w:r>
            <w:proofErr w:type="spellEnd"/>
            <w:r w:rsidRPr="00B43E2B">
              <w:rPr>
                <w:rFonts w:cs="Arial"/>
                <w:i/>
                <w:sz w:val="18"/>
                <w:szCs w:val="18"/>
              </w:rPr>
              <w:t xml:space="preserve"> with a comparator arm.  Single </w:t>
            </w:r>
            <w:proofErr w:type="spellStart"/>
            <w:r w:rsidRPr="00B43E2B">
              <w:rPr>
                <w:rFonts w:cs="Arial"/>
                <w:i/>
                <w:sz w:val="18"/>
                <w:szCs w:val="18"/>
              </w:rPr>
              <w:t>cetuximab</w:t>
            </w:r>
            <w:proofErr w:type="spellEnd"/>
            <w:r w:rsidRPr="00B43E2B">
              <w:rPr>
                <w:rFonts w:cs="Arial"/>
                <w:i/>
                <w:sz w:val="18"/>
                <w:szCs w:val="18"/>
              </w:rPr>
              <w:t xml:space="preserve"> treated cohort data do not allow an assessment of the extent of treatment effect variation independent of a prognostic effect.</w:t>
            </w:r>
          </w:p>
        </w:tc>
      </w:tr>
    </w:tbl>
    <w:p w:rsidR="00C62102" w:rsidRPr="00542733" w:rsidRDefault="00C62102" w:rsidP="00B43E2B">
      <w:pPr>
        <w:pStyle w:val="TableFooter"/>
        <w:ind w:left="720"/>
      </w:pPr>
      <w:proofErr w:type="gramStart"/>
      <w:r w:rsidRPr="00542733">
        <w:rPr>
          <w:vertAlign w:val="superscript"/>
        </w:rPr>
        <w:t>∞</w:t>
      </w:r>
      <w:r w:rsidRPr="00542733">
        <w:rPr>
          <w:i/>
        </w:rPr>
        <w:t xml:space="preserve">Reproduced from </w:t>
      </w:r>
      <w:proofErr w:type="spellStart"/>
      <w:r w:rsidRPr="00542733">
        <w:rPr>
          <w:i/>
        </w:rPr>
        <w:t>Peeters</w:t>
      </w:r>
      <w:proofErr w:type="spellEnd"/>
      <w:r w:rsidRPr="00542733">
        <w:rPr>
          <w:i/>
        </w:rPr>
        <w:t xml:space="preserve"> et al (2013)</w:t>
      </w:r>
      <w:r w:rsidRPr="00542733">
        <w:t xml:space="preserve"> an</w:t>
      </w:r>
      <w:r w:rsidR="00AF0640" w:rsidRPr="00542733">
        <w:t>d Table C.3.10, p15 of the re-</w:t>
      </w:r>
      <w:r w:rsidRPr="00542733">
        <w:t>submission.</w:t>
      </w:r>
      <w:proofErr w:type="gramEnd"/>
      <w:r w:rsidRPr="00542733">
        <w:t xml:space="preserve">  </w:t>
      </w:r>
      <w:r w:rsidRPr="00542733">
        <w:rPr>
          <w:i/>
        </w:rPr>
        <w:t xml:space="preserve">Differences in median PFS not provided. </w:t>
      </w:r>
      <w:r w:rsidRPr="001D5655">
        <w:rPr>
          <w:i/>
        </w:rPr>
        <w:t xml:space="preserve">This interaction test lacked adequate statistical power and PFS benefit favoured the </w:t>
      </w:r>
      <w:proofErr w:type="spellStart"/>
      <w:r w:rsidRPr="001D5655">
        <w:rPr>
          <w:i/>
        </w:rPr>
        <w:t>panitumumab</w:t>
      </w:r>
      <w:proofErr w:type="spellEnd"/>
      <w:r w:rsidRPr="001D5655">
        <w:rPr>
          <w:i/>
        </w:rPr>
        <w:t xml:space="preserve"> arm for patients with </w:t>
      </w:r>
      <w:r w:rsidRPr="001D5655">
        <w:t>KRAS</w:t>
      </w:r>
      <w:r w:rsidRPr="001D5655">
        <w:rPr>
          <w:i/>
        </w:rPr>
        <w:t xml:space="preserve"> and </w:t>
      </w:r>
      <w:r w:rsidRPr="001D5655">
        <w:t>NRAS</w:t>
      </w:r>
      <w:r w:rsidRPr="001D5655">
        <w:rPr>
          <w:i/>
        </w:rPr>
        <w:t xml:space="preserve"> WT tumours compared to patients with </w:t>
      </w:r>
      <w:r w:rsidRPr="001D5655">
        <w:t>KRAS</w:t>
      </w:r>
      <w:r w:rsidRPr="001D5655">
        <w:rPr>
          <w:i/>
        </w:rPr>
        <w:t xml:space="preserve"> WT, </w:t>
      </w:r>
      <w:r w:rsidRPr="001D5655">
        <w:t>NRAS</w:t>
      </w:r>
      <w:r w:rsidRPr="001D5655">
        <w:rPr>
          <w:i/>
        </w:rPr>
        <w:t xml:space="preserve"> mutant tumours</w:t>
      </w:r>
      <w:r w:rsidR="00271047" w:rsidRPr="001D5655">
        <w:t>.</w:t>
      </w:r>
    </w:p>
    <w:p w:rsidR="00C62102" w:rsidRPr="00542733" w:rsidRDefault="00AE6CA5" w:rsidP="00B43E2B">
      <w:pPr>
        <w:pStyle w:val="TableFooter"/>
        <w:ind w:left="720"/>
        <w:rPr>
          <w:i/>
        </w:rPr>
      </w:pPr>
      <w:r>
        <w:rPr>
          <w:i/>
        </w:rPr>
        <w:t xml:space="preserve">FIRI=FOLFIRI; FOX=FOLFOX; </w:t>
      </w:r>
      <w:proofErr w:type="spellStart"/>
      <w:r>
        <w:rPr>
          <w:i/>
        </w:rPr>
        <w:t>Cmab</w:t>
      </w:r>
      <w:proofErr w:type="spellEnd"/>
      <w:r>
        <w:rPr>
          <w:i/>
        </w:rPr>
        <w:t>=</w:t>
      </w:r>
      <w:proofErr w:type="spellStart"/>
      <w:r>
        <w:rPr>
          <w:i/>
        </w:rPr>
        <w:t>c</w:t>
      </w:r>
      <w:r w:rsidR="00C62102" w:rsidRPr="00542733">
        <w:rPr>
          <w:i/>
        </w:rPr>
        <w:t>etuximab</w:t>
      </w:r>
      <w:proofErr w:type="spellEnd"/>
      <w:r w:rsidR="00C62102" w:rsidRPr="00542733">
        <w:rPr>
          <w:i/>
        </w:rPr>
        <w:t xml:space="preserve">; </w:t>
      </w:r>
      <w:proofErr w:type="spellStart"/>
      <w:r w:rsidR="00C62102" w:rsidRPr="00542733">
        <w:rPr>
          <w:i/>
        </w:rPr>
        <w:t>Pmab</w:t>
      </w:r>
      <w:proofErr w:type="spellEnd"/>
      <w:r w:rsidR="00C62102" w:rsidRPr="00542733">
        <w:rPr>
          <w:i/>
        </w:rPr>
        <w:t>=</w:t>
      </w:r>
      <w:proofErr w:type="spellStart"/>
      <w:r w:rsidR="00C62102" w:rsidRPr="00542733">
        <w:rPr>
          <w:i/>
        </w:rPr>
        <w:t>Panitumumab</w:t>
      </w:r>
      <w:proofErr w:type="spellEnd"/>
      <w:r w:rsidR="00C62102" w:rsidRPr="00542733">
        <w:rPr>
          <w:i/>
        </w:rPr>
        <w:t>; B</w:t>
      </w:r>
      <w:r w:rsidR="00131AC7" w:rsidRPr="00542733">
        <w:rPr>
          <w:i/>
        </w:rPr>
        <w:t>ev</w:t>
      </w:r>
      <w:r w:rsidR="00C62102" w:rsidRPr="00542733">
        <w:rPr>
          <w:i/>
        </w:rPr>
        <w:t>=</w:t>
      </w:r>
      <w:proofErr w:type="spellStart"/>
      <w:r w:rsidR="00C62102" w:rsidRPr="00542733">
        <w:rPr>
          <w:i/>
        </w:rPr>
        <w:t>Bevacizumab</w:t>
      </w:r>
      <w:proofErr w:type="spellEnd"/>
      <w:r w:rsidR="00C62102" w:rsidRPr="00542733">
        <w:rPr>
          <w:i/>
        </w:rPr>
        <w:t xml:space="preserve">; </w:t>
      </w:r>
      <w:proofErr w:type="spellStart"/>
      <w:r w:rsidR="00C62102" w:rsidRPr="00542733">
        <w:rPr>
          <w:i/>
        </w:rPr>
        <w:t>Iri</w:t>
      </w:r>
      <w:proofErr w:type="spellEnd"/>
      <w:r w:rsidR="00C62102" w:rsidRPr="00542733">
        <w:rPr>
          <w:i/>
        </w:rPr>
        <w:t xml:space="preserve"> = </w:t>
      </w:r>
      <w:proofErr w:type="spellStart"/>
      <w:r w:rsidR="00C62102" w:rsidRPr="00542733">
        <w:rPr>
          <w:i/>
        </w:rPr>
        <w:t>Irinotecan</w:t>
      </w:r>
      <w:proofErr w:type="spellEnd"/>
      <w:r w:rsidR="00C62102" w:rsidRPr="00542733">
        <w:rPr>
          <w:i/>
        </w:rPr>
        <w:t xml:space="preserve">; </w:t>
      </w:r>
      <w:proofErr w:type="spellStart"/>
      <w:r w:rsidR="00C62102" w:rsidRPr="00542733">
        <w:rPr>
          <w:i/>
        </w:rPr>
        <w:t>OxF</w:t>
      </w:r>
      <w:proofErr w:type="spellEnd"/>
      <w:r w:rsidR="00C62102" w:rsidRPr="00542733">
        <w:rPr>
          <w:i/>
        </w:rPr>
        <w:t xml:space="preserve"> = </w:t>
      </w:r>
      <w:proofErr w:type="spellStart"/>
      <w:r w:rsidR="00C62102" w:rsidRPr="00542733">
        <w:rPr>
          <w:i/>
        </w:rPr>
        <w:t>Oxaliplatin</w:t>
      </w:r>
      <w:proofErr w:type="spellEnd"/>
      <w:r w:rsidR="00C62102" w:rsidRPr="00542733">
        <w:rPr>
          <w:i/>
        </w:rPr>
        <w:t xml:space="preserve"> and </w:t>
      </w:r>
      <w:proofErr w:type="spellStart"/>
      <w:r w:rsidR="00C62102" w:rsidRPr="00542733">
        <w:rPr>
          <w:i/>
        </w:rPr>
        <w:t>fluoropyrimidine</w:t>
      </w:r>
      <w:proofErr w:type="spellEnd"/>
      <w:r w:rsidR="00C62102" w:rsidRPr="00542733">
        <w:rPr>
          <w:i/>
        </w:rPr>
        <w:t>; BSC = Best supportive care; NR=Not reported.</w:t>
      </w:r>
    </w:p>
    <w:p w:rsidR="00C62102" w:rsidRPr="00542733" w:rsidRDefault="00C62102" w:rsidP="00B43E2B">
      <w:pPr>
        <w:pStyle w:val="TableFooter"/>
        <w:ind w:left="720"/>
        <w:rPr>
          <w:i/>
        </w:rPr>
      </w:pPr>
      <w:r w:rsidRPr="00542733">
        <w:t xml:space="preserve">Sources: Section C of the </w:t>
      </w:r>
      <w:r w:rsidR="00AF0640" w:rsidRPr="00542733">
        <w:t>re-</w:t>
      </w:r>
      <w:r w:rsidRPr="00542733">
        <w:t xml:space="preserve">submission, </w:t>
      </w:r>
      <w:r w:rsidRPr="00542733">
        <w:rPr>
          <w:i/>
        </w:rPr>
        <w:t xml:space="preserve">the European assessment reports for </w:t>
      </w:r>
      <w:proofErr w:type="spellStart"/>
      <w:r w:rsidRPr="00542733">
        <w:rPr>
          <w:i/>
        </w:rPr>
        <w:t>panitumumab</w:t>
      </w:r>
      <w:proofErr w:type="spellEnd"/>
      <w:r w:rsidRPr="00542733">
        <w:rPr>
          <w:i/>
        </w:rPr>
        <w:t xml:space="preserve"> and </w:t>
      </w:r>
      <w:proofErr w:type="spellStart"/>
      <w:r w:rsidRPr="00542733">
        <w:rPr>
          <w:i/>
        </w:rPr>
        <w:t>cetuximab</w:t>
      </w:r>
      <w:proofErr w:type="spellEnd"/>
      <w:r w:rsidRPr="00542733">
        <w:rPr>
          <w:i/>
        </w:rPr>
        <w:t xml:space="preserve"> and study publications for </w:t>
      </w:r>
      <w:proofErr w:type="spellStart"/>
      <w:r w:rsidRPr="00542733">
        <w:rPr>
          <w:i/>
        </w:rPr>
        <w:t>panitumumab</w:t>
      </w:r>
      <w:proofErr w:type="spellEnd"/>
      <w:r w:rsidRPr="00542733">
        <w:rPr>
          <w:i/>
        </w:rPr>
        <w:t xml:space="preserve"> and </w:t>
      </w:r>
      <w:proofErr w:type="spellStart"/>
      <w:r w:rsidRPr="00542733">
        <w:rPr>
          <w:i/>
        </w:rPr>
        <w:t>cetuximab</w:t>
      </w:r>
      <w:proofErr w:type="spellEnd"/>
      <w:r w:rsidRPr="00542733">
        <w:rPr>
          <w:i/>
        </w:rPr>
        <w:t>.</w:t>
      </w:r>
    </w:p>
    <w:p w:rsidR="00C62102" w:rsidRPr="006068F2" w:rsidRDefault="00C62102" w:rsidP="00C62102">
      <w:pPr>
        <w:rPr>
          <w:highlight w:val="lightGray"/>
        </w:rPr>
      </w:pPr>
    </w:p>
    <w:p w:rsidR="00C62102" w:rsidRPr="00542733" w:rsidRDefault="00C62102" w:rsidP="00B43E2B">
      <w:pPr>
        <w:pStyle w:val="BodyText"/>
        <w:ind w:left="720"/>
        <w:rPr>
          <w:rFonts w:ascii="Arial Narrow" w:hAnsi="Arial Narrow"/>
          <w:sz w:val="20"/>
        </w:rPr>
      </w:pPr>
      <w:r w:rsidRPr="00542733">
        <w:rPr>
          <w:rFonts w:ascii="Arial Narrow" w:hAnsi="Arial Narrow"/>
          <w:b/>
          <w:sz w:val="20"/>
        </w:rPr>
        <w:t>Overall survival</w:t>
      </w:r>
      <w:r w:rsidR="00D63115" w:rsidRPr="00542733">
        <w:rPr>
          <w:rFonts w:ascii="Arial Narrow" w:hAnsi="Arial Narrow"/>
          <w:b/>
          <w:sz w:val="20"/>
        </w:rPr>
        <w:t xml:space="preserve"> </w:t>
      </w:r>
      <w:r w:rsidR="00D63115" w:rsidRPr="00542733">
        <w:rPr>
          <w:b/>
          <w:sz w:val="18"/>
        </w:rPr>
        <w:t xml:space="preserve">by </w:t>
      </w:r>
      <w:r w:rsidR="00D63115" w:rsidRPr="00542733">
        <w:rPr>
          <w:b/>
          <w:i/>
          <w:sz w:val="18"/>
        </w:rPr>
        <w:t>RAS</w:t>
      </w:r>
      <w:r w:rsidR="00D63115" w:rsidRPr="00542733">
        <w:rPr>
          <w:b/>
          <w:sz w:val="18"/>
        </w:rPr>
        <w:t xml:space="preserve"> subgroups from additional randomised trials for first-line </w:t>
      </w:r>
      <w:proofErr w:type="spellStart"/>
      <w:r w:rsidR="00D63115" w:rsidRPr="00542733">
        <w:rPr>
          <w:b/>
          <w:sz w:val="18"/>
        </w:rPr>
        <w:t>cetuximab</w:t>
      </w:r>
      <w:proofErr w:type="spellEnd"/>
      <w:r w:rsidR="00D63115" w:rsidRPr="00542733">
        <w:rPr>
          <w:b/>
          <w:sz w:val="18"/>
        </w:rPr>
        <w:t xml:space="preserve"> and later-line </w:t>
      </w:r>
      <w:proofErr w:type="spellStart"/>
      <w:r w:rsidR="00D63115" w:rsidRPr="00542733">
        <w:rPr>
          <w:b/>
          <w:sz w:val="18"/>
        </w:rPr>
        <w:t>panitumumab</w:t>
      </w:r>
      <w:proofErr w:type="spellEnd"/>
      <w:r w:rsidRPr="00542733">
        <w:rPr>
          <w:rFonts w:ascii="Arial Narrow" w:hAnsi="Arial Narrow"/>
          <w:sz w:val="20"/>
        </w:rPr>
        <w:t xml:space="preserve"> (where possible, the most updated OS data corresponding to the most recent cut-off date have been sourced from the available study reports and publications)</w:t>
      </w:r>
    </w:p>
    <w:tbl>
      <w:tblPr>
        <w:tblStyle w:val="TableGrid"/>
        <w:tblW w:w="4524" w:type="pct"/>
        <w:tblInd w:w="817" w:type="dxa"/>
        <w:tblLayout w:type="fixed"/>
        <w:tblLook w:val="04A0" w:firstRow="1" w:lastRow="0" w:firstColumn="1" w:lastColumn="0" w:noHBand="0" w:noVBand="1"/>
        <w:tblDescription w:val="Overall survival by RAS subgroups from additional randomised trials for first-line cetuximab and later-line panitumumab"/>
      </w:tblPr>
      <w:tblGrid>
        <w:gridCol w:w="1194"/>
        <w:gridCol w:w="1199"/>
        <w:gridCol w:w="1136"/>
        <w:gridCol w:w="1448"/>
        <w:gridCol w:w="1208"/>
        <w:gridCol w:w="1206"/>
        <w:gridCol w:w="52"/>
        <w:gridCol w:w="920"/>
      </w:tblGrid>
      <w:tr w:rsidR="00C62102" w:rsidRPr="00B43E2B" w:rsidTr="00B43E2B">
        <w:trPr>
          <w:trHeight w:val="20"/>
        </w:trPr>
        <w:tc>
          <w:tcPr>
            <w:tcW w:w="714" w:type="pct"/>
            <w:tcBorders>
              <w:right w:val="single" w:sz="4" w:space="0" w:color="auto"/>
            </w:tcBorders>
            <w:vAlign w:val="center"/>
          </w:tcPr>
          <w:p w:rsidR="00C62102" w:rsidRPr="00B43E2B" w:rsidRDefault="00D63115" w:rsidP="00C62102">
            <w:pPr>
              <w:pStyle w:val="ListParagraph"/>
              <w:keepNext/>
              <w:ind w:left="0"/>
              <w:contextualSpacing w:val="0"/>
              <w:rPr>
                <w:rFonts w:ascii="Arial Narrow" w:hAnsi="Arial Narrow"/>
                <w:b/>
                <w:sz w:val="18"/>
                <w:szCs w:val="18"/>
              </w:rPr>
            </w:pPr>
            <w:r w:rsidRPr="00B43E2B">
              <w:rPr>
                <w:rFonts w:ascii="Arial Narrow" w:hAnsi="Arial Narrow"/>
                <w:b/>
                <w:sz w:val="18"/>
                <w:szCs w:val="18"/>
              </w:rPr>
              <w:t>Trial</w:t>
            </w:r>
          </w:p>
        </w:tc>
        <w:tc>
          <w:tcPr>
            <w:tcW w:w="1396" w:type="pct"/>
            <w:gridSpan w:val="2"/>
            <w:tcBorders>
              <w:left w:val="single" w:sz="4" w:space="0" w:color="auto"/>
              <w:right w:val="single" w:sz="4" w:space="0" w:color="auto"/>
            </w:tcBorders>
            <w:vAlign w:val="center"/>
          </w:tcPr>
          <w:p w:rsidR="00C62102" w:rsidRPr="00B43E2B" w:rsidRDefault="00C62102" w:rsidP="00C62102">
            <w:pPr>
              <w:pStyle w:val="ListParagraph"/>
              <w:keepNext/>
              <w:ind w:left="0"/>
              <w:contextualSpacing w:val="0"/>
              <w:jc w:val="center"/>
              <w:rPr>
                <w:rFonts w:ascii="Arial Narrow" w:hAnsi="Arial Narrow"/>
                <w:b/>
                <w:sz w:val="18"/>
                <w:szCs w:val="18"/>
              </w:rPr>
            </w:pPr>
            <w:r w:rsidRPr="00B43E2B">
              <w:rPr>
                <w:rFonts w:ascii="Arial Narrow" w:hAnsi="Arial Narrow"/>
                <w:b/>
                <w:i/>
                <w:sz w:val="18"/>
                <w:szCs w:val="18"/>
              </w:rPr>
              <w:t>KRAS</w:t>
            </w:r>
            <w:r w:rsidRPr="00B43E2B">
              <w:rPr>
                <w:rFonts w:ascii="Arial Narrow" w:hAnsi="Arial Narrow"/>
                <w:b/>
                <w:sz w:val="18"/>
                <w:szCs w:val="18"/>
              </w:rPr>
              <w:t xml:space="preserve"> Exon 2 WT population</w:t>
            </w:r>
          </w:p>
        </w:tc>
        <w:tc>
          <w:tcPr>
            <w:tcW w:w="1588" w:type="pct"/>
            <w:gridSpan w:val="2"/>
            <w:tcBorders>
              <w:left w:val="single" w:sz="4" w:space="0" w:color="auto"/>
              <w:right w:val="single" w:sz="4" w:space="0" w:color="auto"/>
            </w:tcBorders>
            <w:vAlign w:val="center"/>
          </w:tcPr>
          <w:p w:rsidR="00C62102" w:rsidRPr="00B43E2B" w:rsidRDefault="00C62102" w:rsidP="00C62102">
            <w:pPr>
              <w:pStyle w:val="ListParagraph"/>
              <w:keepNext/>
              <w:ind w:left="0"/>
              <w:contextualSpacing w:val="0"/>
              <w:jc w:val="center"/>
              <w:rPr>
                <w:rFonts w:ascii="Arial Narrow" w:hAnsi="Arial Narrow"/>
                <w:b/>
                <w:sz w:val="18"/>
                <w:szCs w:val="18"/>
              </w:rPr>
            </w:pPr>
            <w:r w:rsidRPr="00B43E2B">
              <w:rPr>
                <w:rFonts w:ascii="Arial Narrow" w:hAnsi="Arial Narrow"/>
                <w:b/>
                <w:i/>
                <w:sz w:val="18"/>
                <w:szCs w:val="18"/>
              </w:rPr>
              <w:t>RAS</w:t>
            </w:r>
            <w:r w:rsidRPr="00B43E2B">
              <w:rPr>
                <w:rFonts w:ascii="Arial Narrow" w:hAnsi="Arial Narrow"/>
                <w:b/>
                <w:sz w:val="18"/>
                <w:szCs w:val="18"/>
              </w:rPr>
              <w:t xml:space="preserve"> WT population (</w:t>
            </w:r>
            <w:r w:rsidRPr="00B43E2B">
              <w:rPr>
                <w:rFonts w:ascii="Arial Narrow" w:hAnsi="Arial Narrow"/>
                <w:b/>
                <w:i/>
                <w:sz w:val="18"/>
                <w:szCs w:val="18"/>
              </w:rPr>
              <w:t>KRAS</w:t>
            </w:r>
            <w:r w:rsidRPr="00B43E2B">
              <w:rPr>
                <w:rFonts w:ascii="Arial Narrow" w:hAnsi="Arial Narrow"/>
                <w:b/>
                <w:sz w:val="18"/>
                <w:szCs w:val="18"/>
              </w:rPr>
              <w:t>/</w:t>
            </w:r>
            <w:r w:rsidRPr="00B43E2B">
              <w:rPr>
                <w:rFonts w:ascii="Arial Narrow" w:hAnsi="Arial Narrow"/>
                <w:b/>
                <w:i/>
                <w:sz w:val="18"/>
                <w:szCs w:val="18"/>
              </w:rPr>
              <w:t>NRAS</w:t>
            </w:r>
            <w:r w:rsidRPr="00B43E2B">
              <w:rPr>
                <w:rFonts w:ascii="Arial Narrow" w:hAnsi="Arial Narrow"/>
                <w:b/>
                <w:sz w:val="18"/>
                <w:szCs w:val="18"/>
              </w:rPr>
              <w:t xml:space="preserve"> Exons 2/3/4)</w:t>
            </w:r>
          </w:p>
        </w:tc>
        <w:tc>
          <w:tcPr>
            <w:tcW w:w="1302" w:type="pct"/>
            <w:gridSpan w:val="3"/>
            <w:tcBorders>
              <w:left w:val="single" w:sz="4" w:space="0" w:color="auto"/>
            </w:tcBorders>
            <w:vAlign w:val="center"/>
          </w:tcPr>
          <w:p w:rsidR="00C62102" w:rsidRPr="00B43E2B" w:rsidRDefault="00C62102" w:rsidP="00C62102">
            <w:pPr>
              <w:pStyle w:val="ListParagraph"/>
              <w:keepNext/>
              <w:ind w:left="0"/>
              <w:contextualSpacing w:val="0"/>
              <w:jc w:val="center"/>
              <w:rPr>
                <w:rFonts w:ascii="Arial Narrow" w:hAnsi="Arial Narrow"/>
                <w:b/>
                <w:sz w:val="18"/>
                <w:szCs w:val="18"/>
              </w:rPr>
            </w:pPr>
            <w:r w:rsidRPr="00B43E2B">
              <w:rPr>
                <w:rFonts w:ascii="Arial Narrow" w:hAnsi="Arial Narrow"/>
                <w:b/>
                <w:i/>
                <w:sz w:val="18"/>
                <w:szCs w:val="18"/>
              </w:rPr>
              <w:t>KRAS</w:t>
            </w:r>
            <w:r w:rsidRPr="00B43E2B">
              <w:rPr>
                <w:rFonts w:ascii="Arial Narrow" w:hAnsi="Arial Narrow"/>
                <w:b/>
                <w:sz w:val="18"/>
                <w:szCs w:val="18"/>
              </w:rPr>
              <w:t xml:space="preserve"> Exon 2 WT, </w:t>
            </w:r>
            <w:r w:rsidRPr="00B43E2B">
              <w:rPr>
                <w:rFonts w:ascii="Arial Narrow" w:hAnsi="Arial Narrow"/>
                <w:b/>
                <w:i/>
                <w:sz w:val="18"/>
                <w:szCs w:val="18"/>
              </w:rPr>
              <w:t>RAS</w:t>
            </w:r>
            <w:r w:rsidRPr="00B43E2B">
              <w:rPr>
                <w:rFonts w:ascii="Arial Narrow" w:hAnsi="Arial Narrow"/>
                <w:b/>
                <w:sz w:val="18"/>
                <w:szCs w:val="18"/>
              </w:rPr>
              <w:t xml:space="preserve"> M+ population</w:t>
            </w:r>
          </w:p>
        </w:tc>
      </w:tr>
      <w:tr w:rsidR="00C62102" w:rsidRPr="00B43E2B" w:rsidTr="00B43E2B">
        <w:trPr>
          <w:trHeight w:val="20"/>
        </w:trPr>
        <w:tc>
          <w:tcPr>
            <w:tcW w:w="5000" w:type="pct"/>
            <w:gridSpan w:val="8"/>
            <w:tcBorders>
              <w:top w:val="single" w:sz="4" w:space="0" w:color="auto"/>
              <w:bottom w:val="single" w:sz="4" w:space="0" w:color="auto"/>
            </w:tcBorders>
            <w:shd w:val="clear" w:color="auto" w:fill="D9D9D9" w:themeFill="background1" w:themeFillShade="D9"/>
          </w:tcPr>
          <w:p w:rsidR="00C62102" w:rsidRPr="00B43E2B" w:rsidRDefault="00C62102" w:rsidP="00D63115">
            <w:pPr>
              <w:pStyle w:val="ListParagraph"/>
              <w:ind w:left="0"/>
              <w:contextualSpacing w:val="0"/>
              <w:jc w:val="center"/>
              <w:rPr>
                <w:rFonts w:ascii="Arial Narrow" w:hAnsi="Arial Narrow"/>
                <w:sz w:val="18"/>
                <w:szCs w:val="18"/>
              </w:rPr>
            </w:pPr>
            <w:r w:rsidRPr="00B43E2B">
              <w:rPr>
                <w:rFonts w:ascii="Arial Narrow" w:hAnsi="Arial Narrow"/>
                <w:b/>
                <w:sz w:val="18"/>
                <w:szCs w:val="18"/>
              </w:rPr>
              <w:t xml:space="preserve">First-line treatment - </w:t>
            </w:r>
            <w:proofErr w:type="spellStart"/>
            <w:r w:rsidR="00D63115" w:rsidRPr="00B43E2B">
              <w:rPr>
                <w:rFonts w:ascii="Arial Narrow" w:hAnsi="Arial Narrow"/>
                <w:b/>
                <w:sz w:val="18"/>
                <w:szCs w:val="18"/>
              </w:rPr>
              <w:t>c</w:t>
            </w:r>
            <w:r w:rsidRPr="00B43E2B">
              <w:rPr>
                <w:rFonts w:ascii="Arial Narrow" w:hAnsi="Arial Narrow"/>
                <w:b/>
                <w:sz w:val="18"/>
                <w:szCs w:val="18"/>
              </w:rPr>
              <w:t>etuximab</w:t>
            </w:r>
            <w:proofErr w:type="spellEnd"/>
          </w:p>
        </w:tc>
      </w:tr>
      <w:tr w:rsidR="00C62102" w:rsidRPr="00B43E2B" w:rsidTr="00B43E2B">
        <w:trPr>
          <w:trHeight w:val="20"/>
        </w:trPr>
        <w:tc>
          <w:tcPr>
            <w:tcW w:w="714" w:type="pct"/>
            <w:tcBorders>
              <w:bottom w:val="nil"/>
              <w:right w:val="single" w:sz="4" w:space="0" w:color="auto"/>
            </w:tcBorders>
            <w:vAlign w:val="center"/>
          </w:tcPr>
          <w:p w:rsidR="00C62102" w:rsidRPr="00B43E2B" w:rsidRDefault="00C62102" w:rsidP="00C62102">
            <w:pPr>
              <w:pStyle w:val="ListParagraph"/>
              <w:ind w:left="0" w:right="-57"/>
              <w:contextualSpacing w:val="0"/>
              <w:rPr>
                <w:rFonts w:ascii="Arial Narrow" w:hAnsi="Arial Narrow"/>
                <w:b/>
                <w:sz w:val="18"/>
                <w:szCs w:val="18"/>
              </w:rPr>
            </w:pPr>
            <w:r w:rsidRPr="00B43E2B">
              <w:rPr>
                <w:rFonts w:ascii="Arial Narrow" w:hAnsi="Arial Narrow"/>
                <w:b/>
                <w:sz w:val="18"/>
                <w:szCs w:val="18"/>
                <w:u w:val="single"/>
              </w:rPr>
              <w:t>FIRE-3</w:t>
            </w:r>
          </w:p>
        </w:tc>
        <w:tc>
          <w:tcPr>
            <w:tcW w:w="717" w:type="pct"/>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679" w:type="pct"/>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sz w:val="18"/>
                <w:szCs w:val="18"/>
              </w:rPr>
              <w:t>B</w:t>
            </w:r>
            <w:r w:rsidR="00131AC7" w:rsidRPr="00B43E2B">
              <w:rPr>
                <w:rFonts w:ascii="Arial Narrow" w:hAnsi="Arial Narrow"/>
                <w:b/>
                <w:sz w:val="18"/>
                <w:szCs w:val="18"/>
              </w:rPr>
              <w:t xml:space="preserve">ev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866" w:type="pct"/>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722" w:type="pct"/>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sz w:val="18"/>
                <w:szCs w:val="18"/>
              </w:rPr>
              <w:t>B</w:t>
            </w:r>
            <w:r w:rsidR="00131AC7" w:rsidRPr="00B43E2B">
              <w:rPr>
                <w:rFonts w:ascii="Arial Narrow" w:hAnsi="Arial Narrow"/>
                <w:b/>
                <w:sz w:val="18"/>
                <w:szCs w:val="18"/>
              </w:rPr>
              <w:t xml:space="preserve">ev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721" w:type="pct"/>
            <w:tcBorders>
              <w:left w:val="single" w:sz="4" w:space="0" w:color="auto"/>
              <w:bottom w:val="single" w:sz="4" w:space="0" w:color="auto"/>
              <w:right w:val="single" w:sz="4" w:space="0" w:color="auto"/>
            </w:tcBorders>
            <w:vAlign w:val="center"/>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c>
          <w:tcPr>
            <w:tcW w:w="581" w:type="pct"/>
            <w:gridSpan w:val="2"/>
            <w:tcBorders>
              <w:left w:val="single" w:sz="4" w:space="0" w:color="auto"/>
              <w:bottom w:val="single" w:sz="4" w:space="0" w:color="auto"/>
            </w:tcBorders>
            <w:vAlign w:val="center"/>
          </w:tcPr>
          <w:p w:rsidR="00C62102" w:rsidRPr="00B43E2B" w:rsidRDefault="00C62102" w:rsidP="00131AC7">
            <w:pPr>
              <w:pStyle w:val="ListParagraph"/>
              <w:ind w:left="0"/>
              <w:contextualSpacing w:val="0"/>
              <w:jc w:val="center"/>
              <w:rPr>
                <w:rFonts w:ascii="Arial Narrow" w:hAnsi="Arial Narrow"/>
                <w:b/>
                <w:sz w:val="18"/>
                <w:szCs w:val="18"/>
              </w:rPr>
            </w:pPr>
            <w:r w:rsidRPr="00B43E2B">
              <w:rPr>
                <w:rFonts w:ascii="Arial Narrow" w:hAnsi="Arial Narrow"/>
                <w:b/>
                <w:sz w:val="18"/>
                <w:szCs w:val="18"/>
              </w:rPr>
              <w:t>B</w:t>
            </w:r>
            <w:r w:rsidR="00131AC7" w:rsidRPr="00B43E2B">
              <w:rPr>
                <w:rFonts w:ascii="Arial Narrow" w:hAnsi="Arial Narrow"/>
                <w:b/>
                <w:sz w:val="18"/>
                <w:szCs w:val="18"/>
              </w:rPr>
              <w:t xml:space="preserve">ev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FIRI</w:t>
            </w:r>
          </w:p>
        </w:tc>
      </w:tr>
      <w:tr w:rsidR="00C62102" w:rsidRPr="00B43E2B" w:rsidTr="00B43E2B">
        <w:trPr>
          <w:trHeight w:val="698"/>
        </w:trPr>
        <w:tc>
          <w:tcPr>
            <w:tcW w:w="714" w:type="pct"/>
            <w:tcBorders>
              <w:top w:val="nil"/>
              <w:right w:val="single" w:sz="4" w:space="0" w:color="auto"/>
            </w:tcBorders>
          </w:tcPr>
          <w:p w:rsidR="00C62102" w:rsidRPr="00B43E2B" w:rsidRDefault="00C62102" w:rsidP="00C62102">
            <w:pPr>
              <w:pStyle w:val="ListParagraph"/>
              <w:tabs>
                <w:tab w:val="left" w:pos="1168"/>
              </w:tabs>
              <w:ind w:left="0" w:right="-113"/>
              <w:contextualSpacing w:val="0"/>
              <w:rPr>
                <w:rFonts w:ascii="Arial Narrow" w:hAnsi="Arial Narrow"/>
                <w:sz w:val="18"/>
                <w:szCs w:val="18"/>
              </w:rPr>
            </w:pPr>
            <w:r w:rsidRPr="00B43E2B">
              <w:rPr>
                <w:rFonts w:ascii="Arial Narrow" w:hAnsi="Arial Narrow"/>
                <w:sz w:val="18"/>
                <w:szCs w:val="18"/>
              </w:rPr>
              <w:t>N</w:t>
            </w:r>
          </w:p>
          <w:p w:rsidR="00C62102" w:rsidRPr="00B43E2B" w:rsidRDefault="00C62102" w:rsidP="00C62102">
            <w:pPr>
              <w:pStyle w:val="ListParagraph"/>
              <w:tabs>
                <w:tab w:val="left" w:pos="1168"/>
              </w:tabs>
              <w:ind w:left="0" w:right="-113"/>
              <w:contextualSpacing w:val="0"/>
              <w:rPr>
                <w:rFonts w:ascii="Arial Narrow" w:hAnsi="Arial Narrow"/>
                <w:sz w:val="18"/>
                <w:szCs w:val="18"/>
              </w:rPr>
            </w:pPr>
            <w:r w:rsidRPr="00B43E2B">
              <w:rPr>
                <w:rFonts w:ascii="Arial Narrow" w:hAnsi="Arial Narrow"/>
                <w:sz w:val="18"/>
                <w:szCs w:val="18"/>
              </w:rPr>
              <w:t>Median OS, months</w:t>
            </w:r>
          </w:p>
          <w:p w:rsidR="00C62102" w:rsidRPr="00B43E2B" w:rsidRDefault="00C62102" w:rsidP="00C62102">
            <w:pPr>
              <w:pStyle w:val="ListParagraph"/>
              <w:tabs>
                <w:tab w:val="left" w:pos="1168"/>
              </w:tabs>
              <w:ind w:left="0" w:right="-113"/>
              <w:contextualSpacing w:val="0"/>
              <w:rPr>
                <w:rFonts w:ascii="Arial Narrow" w:hAnsi="Arial Narrow"/>
                <w:sz w:val="18"/>
                <w:szCs w:val="18"/>
              </w:rPr>
            </w:pPr>
            <w:r w:rsidRPr="00B43E2B">
              <w:rPr>
                <w:rFonts w:ascii="Arial Narrow" w:hAnsi="Arial Narrow"/>
                <w:sz w:val="18"/>
                <w:szCs w:val="18"/>
              </w:rPr>
              <w:t>(95% CI)</w:t>
            </w:r>
          </w:p>
        </w:tc>
        <w:tc>
          <w:tcPr>
            <w:tcW w:w="717" w:type="pct"/>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297</w:t>
            </w:r>
            <w:r w:rsidRPr="00B43E2B">
              <w:rPr>
                <w:rFonts w:ascii="Arial Narrow" w:hAnsi="Arial Narrow"/>
                <w:sz w:val="18"/>
                <w:szCs w:val="18"/>
              </w:rPr>
              <w:br/>
              <w:t>28.7</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(24.0, 36.6)</w:t>
            </w:r>
          </w:p>
        </w:tc>
        <w:tc>
          <w:tcPr>
            <w:tcW w:w="679" w:type="pct"/>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295</w:t>
            </w:r>
            <w:r w:rsidRPr="00B43E2B">
              <w:rPr>
                <w:rFonts w:ascii="Arial Narrow" w:hAnsi="Arial Narrow"/>
                <w:sz w:val="18"/>
                <w:szCs w:val="18"/>
              </w:rPr>
              <w:br/>
              <w:t>25.0</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(22.7, 27.6)</w:t>
            </w:r>
          </w:p>
        </w:tc>
        <w:tc>
          <w:tcPr>
            <w:tcW w:w="866" w:type="pct"/>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171</w:t>
            </w:r>
            <w:r w:rsidRPr="00B43E2B">
              <w:rPr>
                <w:rFonts w:ascii="Arial Narrow" w:hAnsi="Arial Narrow"/>
                <w:sz w:val="18"/>
                <w:szCs w:val="18"/>
              </w:rPr>
              <w:br/>
              <w:t>33.1</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(24.5, 39.4)</w:t>
            </w:r>
          </w:p>
        </w:tc>
        <w:tc>
          <w:tcPr>
            <w:tcW w:w="722" w:type="pct"/>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171</w:t>
            </w:r>
            <w:r w:rsidRPr="00B43E2B">
              <w:rPr>
                <w:rFonts w:ascii="Arial Narrow" w:hAnsi="Arial Narrow"/>
                <w:sz w:val="18"/>
                <w:szCs w:val="18"/>
              </w:rPr>
              <w:br/>
              <w:t>25.6</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(22.7, 28.6)</w:t>
            </w:r>
          </w:p>
        </w:tc>
        <w:tc>
          <w:tcPr>
            <w:tcW w:w="721" w:type="pct"/>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34</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16.4</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(15.9, 27.6)</w:t>
            </w:r>
          </w:p>
        </w:tc>
        <w:tc>
          <w:tcPr>
            <w:tcW w:w="581" w:type="pct"/>
            <w:gridSpan w:val="2"/>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31</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20.6</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(17.0, 28.4)</w:t>
            </w:r>
          </w:p>
        </w:tc>
      </w:tr>
      <w:tr w:rsidR="00C62102" w:rsidRPr="00B43E2B" w:rsidTr="00B43E2B">
        <w:trPr>
          <w:trHeight w:val="20"/>
        </w:trPr>
        <w:tc>
          <w:tcPr>
            <w:tcW w:w="714" w:type="pct"/>
            <w:tcBorders>
              <w:top w:val="nil"/>
              <w:bottom w:val="nil"/>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Difference in OS</w:t>
            </w:r>
          </w:p>
        </w:tc>
        <w:tc>
          <w:tcPr>
            <w:tcW w:w="1396" w:type="pct"/>
            <w:gridSpan w:val="2"/>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+3.7</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0.77 (0.62, 0.96)</w:t>
            </w:r>
          </w:p>
        </w:tc>
        <w:tc>
          <w:tcPr>
            <w:tcW w:w="1588" w:type="pct"/>
            <w:gridSpan w:val="2"/>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+7.5</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0.70 (0.53, 0.92)</w:t>
            </w:r>
          </w:p>
        </w:tc>
        <w:tc>
          <w:tcPr>
            <w:tcW w:w="1302" w:type="pct"/>
            <w:gridSpan w:val="3"/>
            <w:vMerge w:val="restart"/>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-4.2</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1.20 (0.64, 2.28)</w:t>
            </w:r>
          </w:p>
        </w:tc>
      </w:tr>
      <w:tr w:rsidR="00C62102" w:rsidRPr="00B43E2B" w:rsidTr="00B43E2B">
        <w:trPr>
          <w:trHeight w:val="20"/>
        </w:trPr>
        <w:tc>
          <w:tcPr>
            <w:tcW w:w="714" w:type="pct"/>
            <w:tcBorders>
              <w:top w:val="nil"/>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HR (95% CI)</w:t>
            </w:r>
          </w:p>
        </w:tc>
        <w:tc>
          <w:tcPr>
            <w:tcW w:w="1396" w:type="pct"/>
            <w:gridSpan w:val="2"/>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588" w:type="pct"/>
            <w:gridSpan w:val="2"/>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302" w:type="pct"/>
            <w:gridSpan w:val="3"/>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r w:rsidR="00C62102" w:rsidRPr="00B43E2B" w:rsidTr="00B43E2B">
        <w:trPr>
          <w:trHeight w:val="20"/>
        </w:trPr>
        <w:tc>
          <w:tcPr>
            <w:tcW w:w="714" w:type="pct"/>
            <w:tcBorders>
              <w:top w:val="single" w:sz="4" w:space="0" w:color="auto"/>
              <w:bottom w:val="nil"/>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b/>
                <w:sz w:val="18"/>
                <w:szCs w:val="18"/>
              </w:rPr>
            </w:pPr>
            <w:r w:rsidRPr="00B43E2B">
              <w:rPr>
                <w:rFonts w:ascii="Arial Narrow" w:hAnsi="Arial Narrow"/>
                <w:b/>
                <w:sz w:val="18"/>
                <w:szCs w:val="18"/>
                <w:u w:val="single"/>
              </w:rPr>
              <w:t>OPUS</w:t>
            </w: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FOX</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sz w:val="18"/>
                <w:szCs w:val="18"/>
              </w:rPr>
              <w:t>FOX</w:t>
            </w:r>
          </w:p>
        </w:tc>
        <w:tc>
          <w:tcPr>
            <w:tcW w:w="866" w:type="pct"/>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FOX</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b/>
                <w:sz w:val="18"/>
                <w:szCs w:val="18"/>
              </w:rPr>
              <w:t>FOX</w:t>
            </w:r>
          </w:p>
        </w:tc>
        <w:tc>
          <w:tcPr>
            <w:tcW w:w="75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r w:rsidRPr="00B43E2B">
              <w:rPr>
                <w:rFonts w:ascii="Arial Narrow" w:hAnsi="Arial Narrow"/>
                <w:b/>
                <w:sz w:val="18"/>
                <w:szCs w:val="18"/>
              </w:rPr>
              <w:t>FOX</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b/>
                <w:sz w:val="18"/>
                <w:szCs w:val="18"/>
              </w:rPr>
              <w:t>FOX</w:t>
            </w:r>
          </w:p>
        </w:tc>
      </w:tr>
      <w:tr w:rsidR="00C62102" w:rsidRPr="00B43E2B" w:rsidTr="00B43E2B">
        <w:trPr>
          <w:trHeight w:val="20"/>
        </w:trPr>
        <w:tc>
          <w:tcPr>
            <w:tcW w:w="714" w:type="pct"/>
            <w:tcBorders>
              <w:top w:val="nil"/>
              <w:left w:val="single" w:sz="4" w:space="0" w:color="auto"/>
              <w:bottom w:val="nil"/>
              <w:right w:val="single" w:sz="4" w:space="0" w:color="auto"/>
            </w:tcBorders>
          </w:tcPr>
          <w:p w:rsidR="00C62102" w:rsidRPr="00B43E2B" w:rsidRDefault="00C62102" w:rsidP="00C62102">
            <w:pPr>
              <w:pStyle w:val="ListParagraph"/>
              <w:tabs>
                <w:tab w:val="left" w:pos="1168"/>
              </w:tabs>
              <w:ind w:left="0" w:right="-113"/>
              <w:contextualSpacing w:val="0"/>
              <w:rPr>
                <w:rFonts w:ascii="Arial Narrow" w:hAnsi="Arial Narrow"/>
                <w:sz w:val="18"/>
                <w:szCs w:val="18"/>
              </w:rPr>
            </w:pPr>
            <w:r w:rsidRPr="00B43E2B">
              <w:rPr>
                <w:rFonts w:ascii="Arial Narrow" w:hAnsi="Arial Narrow"/>
                <w:sz w:val="18"/>
                <w:szCs w:val="18"/>
              </w:rPr>
              <w:t>N</w:t>
            </w:r>
          </w:p>
          <w:p w:rsidR="00C62102" w:rsidRPr="00B43E2B" w:rsidRDefault="00C62102" w:rsidP="00C62102">
            <w:pPr>
              <w:pStyle w:val="ListParagraph"/>
              <w:tabs>
                <w:tab w:val="left" w:pos="1168"/>
              </w:tabs>
              <w:ind w:left="0" w:right="-113"/>
              <w:contextualSpacing w:val="0"/>
              <w:rPr>
                <w:rFonts w:ascii="Arial Narrow" w:hAnsi="Arial Narrow"/>
                <w:sz w:val="18"/>
                <w:szCs w:val="18"/>
              </w:rPr>
            </w:pPr>
            <w:r w:rsidRPr="00B43E2B">
              <w:rPr>
                <w:rFonts w:ascii="Arial Narrow" w:hAnsi="Arial Narrow"/>
                <w:sz w:val="18"/>
                <w:szCs w:val="18"/>
              </w:rPr>
              <w:t>Median OS, months</w:t>
            </w:r>
          </w:p>
          <w:p w:rsidR="00C62102" w:rsidRPr="00B43E2B" w:rsidRDefault="00C62102" w:rsidP="00C62102">
            <w:pPr>
              <w:pStyle w:val="ListParagraph"/>
              <w:tabs>
                <w:tab w:val="left" w:pos="1168"/>
              </w:tabs>
              <w:ind w:left="0" w:right="-113"/>
              <w:contextualSpacing w:val="0"/>
              <w:rPr>
                <w:rFonts w:ascii="Arial Narrow" w:hAnsi="Arial Narrow"/>
                <w:sz w:val="18"/>
                <w:szCs w:val="18"/>
              </w:rPr>
            </w:pPr>
            <w:r w:rsidRPr="00B43E2B">
              <w:rPr>
                <w:rFonts w:ascii="Arial Narrow" w:hAnsi="Arial Narrow"/>
                <w:sz w:val="18"/>
                <w:szCs w:val="18"/>
              </w:rPr>
              <w:t>(95% CI)</w:t>
            </w:r>
          </w:p>
        </w:tc>
        <w:tc>
          <w:tcPr>
            <w:tcW w:w="717"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82</w:t>
            </w:r>
            <w:r w:rsidRPr="00B43E2B">
              <w:rPr>
                <w:rFonts w:ascii="Arial Narrow" w:hAnsi="Arial Narrow"/>
                <w:sz w:val="18"/>
                <w:szCs w:val="18"/>
              </w:rPr>
              <w:br/>
              <w:t>22.8</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(19.3, 25.9)</w:t>
            </w:r>
          </w:p>
        </w:tc>
        <w:tc>
          <w:tcPr>
            <w:tcW w:w="679"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97</w:t>
            </w:r>
            <w:r w:rsidRPr="00B43E2B">
              <w:rPr>
                <w:rFonts w:ascii="Arial Narrow" w:hAnsi="Arial Narrow"/>
                <w:sz w:val="18"/>
                <w:szCs w:val="18"/>
              </w:rPr>
              <w:br/>
              <w:t>18.5</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(16.4, 22.6)</w:t>
            </w:r>
          </w:p>
        </w:tc>
        <w:tc>
          <w:tcPr>
            <w:tcW w:w="866"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36</w:t>
            </w:r>
            <w:r w:rsidRPr="00B43E2B">
              <w:rPr>
                <w:rFonts w:ascii="Arial Narrow" w:hAnsi="Arial Narrow"/>
                <w:sz w:val="18"/>
                <w:szCs w:val="18"/>
              </w:rPr>
              <w:br/>
              <w:t>20.7</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(18.3, 26.8)</w:t>
            </w:r>
          </w:p>
        </w:tc>
        <w:tc>
          <w:tcPr>
            <w:tcW w:w="722"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46</w:t>
            </w:r>
            <w:r w:rsidRPr="00B43E2B">
              <w:rPr>
                <w:rFonts w:ascii="Arial Narrow" w:hAnsi="Arial Narrow"/>
                <w:sz w:val="18"/>
                <w:szCs w:val="18"/>
              </w:rPr>
              <w:br/>
              <w:t>17.8</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(12.4, 23.9)</w:t>
            </w:r>
          </w:p>
        </w:tc>
        <w:tc>
          <w:tcPr>
            <w:tcW w:w="752"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w:t>
            </w:r>
            <w:r w:rsidRPr="00B43E2B">
              <w:rPr>
                <w:rFonts w:ascii="Arial Narrow" w:hAnsi="Arial Narrow"/>
                <w:sz w:val="18"/>
                <w:szCs w:val="18"/>
              </w:rPr>
              <w:br/>
              <w:t>14.8</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(8.5, 26.3)</w:t>
            </w:r>
          </w:p>
        </w:tc>
        <w:tc>
          <w:tcPr>
            <w:tcW w:w="549" w:type="pct"/>
            <w:tcBorders>
              <w:top w:val="single" w:sz="4" w:space="0" w:color="auto"/>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19</w:t>
            </w:r>
            <w:r w:rsidRPr="00B43E2B">
              <w:rPr>
                <w:rFonts w:ascii="Arial Narrow" w:hAnsi="Arial Narrow"/>
                <w:sz w:val="18"/>
                <w:szCs w:val="18"/>
              </w:rPr>
              <w:br/>
              <w:t>17.8</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(15.3, NE)</w:t>
            </w:r>
          </w:p>
        </w:tc>
      </w:tr>
      <w:tr w:rsidR="00C62102" w:rsidRPr="00B43E2B" w:rsidTr="00B43E2B">
        <w:trPr>
          <w:trHeight w:val="20"/>
        </w:trPr>
        <w:tc>
          <w:tcPr>
            <w:tcW w:w="714" w:type="pct"/>
            <w:tcBorders>
              <w:top w:val="nil"/>
              <w:left w:val="single" w:sz="4" w:space="0" w:color="auto"/>
              <w:bottom w:val="nil"/>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Difference in OS</w:t>
            </w:r>
          </w:p>
        </w:tc>
        <w:tc>
          <w:tcPr>
            <w:tcW w:w="1396" w:type="pct"/>
            <w:gridSpan w:val="2"/>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+4.3</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0.86 (0.60, 1.22)</w:t>
            </w:r>
          </w:p>
        </w:tc>
        <w:tc>
          <w:tcPr>
            <w:tcW w:w="1588" w:type="pct"/>
            <w:gridSpan w:val="2"/>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+2.9</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0.83 (0.49, 1.41)</w:t>
            </w:r>
          </w:p>
        </w:tc>
        <w:tc>
          <w:tcPr>
            <w:tcW w:w="1302" w:type="pct"/>
            <w:gridSpan w:val="3"/>
            <w:vMerge w:val="restart"/>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-3.0</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1.41 (0.62, 3.2)</w:t>
            </w:r>
          </w:p>
        </w:tc>
      </w:tr>
      <w:tr w:rsidR="00C62102" w:rsidRPr="00B43E2B" w:rsidTr="00B43E2B">
        <w:trPr>
          <w:trHeight w:val="20"/>
        </w:trPr>
        <w:tc>
          <w:tcPr>
            <w:tcW w:w="714" w:type="pct"/>
            <w:tcBorders>
              <w:top w:val="nil"/>
              <w:left w:val="single" w:sz="4" w:space="0" w:color="auto"/>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HR (95% CI)</w:t>
            </w:r>
          </w:p>
        </w:tc>
        <w:tc>
          <w:tcPr>
            <w:tcW w:w="1396" w:type="pct"/>
            <w:gridSpan w:val="2"/>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588" w:type="pct"/>
            <w:gridSpan w:val="2"/>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302" w:type="pct"/>
            <w:gridSpan w:val="3"/>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r w:rsidR="00C62102" w:rsidRPr="00B43E2B" w:rsidTr="00B43E2B">
        <w:trPr>
          <w:trHeight w:val="20"/>
        </w:trPr>
        <w:tc>
          <w:tcPr>
            <w:tcW w:w="714" w:type="pct"/>
            <w:vMerge w:val="restart"/>
            <w:tcBorders>
              <w:top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b/>
                <w:sz w:val="18"/>
                <w:szCs w:val="18"/>
                <w:u w:val="single"/>
              </w:rPr>
            </w:pPr>
            <w:r w:rsidRPr="00B43E2B">
              <w:rPr>
                <w:rFonts w:ascii="Arial Narrow" w:hAnsi="Arial Narrow"/>
                <w:b/>
                <w:sz w:val="18"/>
                <w:szCs w:val="18"/>
                <w:u w:val="single"/>
              </w:rPr>
              <w:t>COIN</w:t>
            </w:r>
          </w:p>
        </w:tc>
        <w:tc>
          <w:tcPr>
            <w:tcW w:w="1396" w:type="pct"/>
            <w:gridSpan w:val="2"/>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i/>
                <w:sz w:val="18"/>
                <w:szCs w:val="18"/>
              </w:rPr>
              <w:t>KRAS</w:t>
            </w:r>
            <w:r w:rsidRPr="00B43E2B">
              <w:rPr>
                <w:rFonts w:ascii="Arial Narrow" w:hAnsi="Arial Narrow"/>
                <w:b/>
                <w:sz w:val="18"/>
                <w:szCs w:val="18"/>
              </w:rPr>
              <w:t xml:space="preserve"> WT (Exon 2,3)</w:t>
            </w:r>
          </w:p>
        </w:tc>
        <w:tc>
          <w:tcPr>
            <w:tcW w:w="1588" w:type="pct"/>
            <w:gridSpan w:val="2"/>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i/>
                <w:sz w:val="18"/>
                <w:szCs w:val="18"/>
              </w:rPr>
              <w:t>KRAS</w:t>
            </w:r>
            <w:r w:rsidRPr="00B43E2B">
              <w:rPr>
                <w:rFonts w:ascii="Arial Narrow" w:hAnsi="Arial Narrow"/>
                <w:b/>
                <w:sz w:val="18"/>
                <w:szCs w:val="18"/>
              </w:rPr>
              <w:t xml:space="preserve"> WT (Exon 2,3), </w:t>
            </w:r>
            <w:r w:rsidRPr="00B43E2B">
              <w:rPr>
                <w:rFonts w:ascii="Arial Narrow" w:hAnsi="Arial Narrow"/>
                <w:b/>
                <w:i/>
                <w:sz w:val="18"/>
                <w:szCs w:val="18"/>
              </w:rPr>
              <w:t>NRAS</w:t>
            </w:r>
            <w:r w:rsidRPr="00B43E2B">
              <w:rPr>
                <w:rFonts w:ascii="Arial Narrow" w:hAnsi="Arial Narrow"/>
                <w:b/>
                <w:sz w:val="18"/>
                <w:szCs w:val="18"/>
              </w:rPr>
              <w:t xml:space="preserve"> WT (Exon 2,3) and BRAF WT</w:t>
            </w:r>
          </w:p>
        </w:tc>
        <w:tc>
          <w:tcPr>
            <w:tcW w:w="1302" w:type="pct"/>
            <w:gridSpan w:val="3"/>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r w:rsidRPr="00B43E2B">
              <w:rPr>
                <w:rFonts w:ascii="Arial Narrow" w:hAnsi="Arial Narrow"/>
                <w:b/>
                <w:i/>
                <w:sz w:val="18"/>
                <w:szCs w:val="18"/>
              </w:rPr>
              <w:t>KRAS</w:t>
            </w:r>
            <w:r w:rsidRPr="00B43E2B">
              <w:rPr>
                <w:rFonts w:ascii="Arial Narrow" w:hAnsi="Arial Narrow"/>
                <w:b/>
                <w:sz w:val="18"/>
                <w:szCs w:val="18"/>
              </w:rPr>
              <w:t xml:space="preserve"> WT (Exon 2,3), </w:t>
            </w:r>
            <w:r w:rsidRPr="00B43E2B">
              <w:rPr>
                <w:rFonts w:ascii="Arial Narrow" w:hAnsi="Arial Narrow"/>
                <w:b/>
                <w:i/>
                <w:sz w:val="18"/>
                <w:szCs w:val="18"/>
              </w:rPr>
              <w:t>NRAS</w:t>
            </w:r>
            <w:r w:rsidRPr="00B43E2B">
              <w:rPr>
                <w:rFonts w:ascii="Arial Narrow" w:hAnsi="Arial Narrow"/>
                <w:b/>
                <w:sz w:val="18"/>
                <w:szCs w:val="18"/>
              </w:rPr>
              <w:t xml:space="preserve"> WT (Exon 2,3), BRAF MT</w:t>
            </w:r>
          </w:p>
        </w:tc>
      </w:tr>
      <w:tr w:rsidR="00C62102" w:rsidRPr="00B43E2B" w:rsidTr="00B43E2B">
        <w:trPr>
          <w:trHeight w:val="20"/>
        </w:trPr>
        <w:tc>
          <w:tcPr>
            <w:tcW w:w="714" w:type="pct"/>
            <w:vMerge/>
            <w:tcBorders>
              <w:bottom w:val="nil"/>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u w:val="single"/>
              </w:rPr>
            </w:pPr>
          </w:p>
        </w:tc>
        <w:tc>
          <w:tcPr>
            <w:tcW w:w="717"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proofErr w:type="spellStart"/>
            <w:r w:rsidRPr="00B43E2B">
              <w:rPr>
                <w:rFonts w:ascii="Arial Narrow" w:hAnsi="Arial Narrow"/>
                <w:b/>
                <w:sz w:val="18"/>
                <w:szCs w:val="18"/>
              </w:rPr>
              <w:t>OxF</w:t>
            </w:r>
            <w:proofErr w:type="spellEnd"/>
          </w:p>
        </w:tc>
        <w:tc>
          <w:tcPr>
            <w:tcW w:w="679" w:type="pct"/>
            <w:tcBorders>
              <w:top w:val="single" w:sz="4" w:space="0" w:color="auto"/>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OxF</w:t>
            </w:r>
            <w:proofErr w:type="spellEnd"/>
          </w:p>
        </w:tc>
        <w:tc>
          <w:tcPr>
            <w:tcW w:w="866" w:type="pct"/>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proofErr w:type="spellStart"/>
            <w:r w:rsidRPr="00B43E2B">
              <w:rPr>
                <w:rFonts w:ascii="Arial Narrow" w:hAnsi="Arial Narrow"/>
                <w:b/>
                <w:sz w:val="18"/>
                <w:szCs w:val="18"/>
              </w:rPr>
              <w:t>OxF</w:t>
            </w:r>
            <w:proofErr w:type="spellEnd"/>
          </w:p>
        </w:tc>
        <w:tc>
          <w:tcPr>
            <w:tcW w:w="722" w:type="pct"/>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OxF</w:t>
            </w:r>
            <w:proofErr w:type="spellEnd"/>
          </w:p>
        </w:tc>
        <w:tc>
          <w:tcPr>
            <w:tcW w:w="752" w:type="pct"/>
            <w:gridSpan w:val="2"/>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Cmab</w:t>
            </w:r>
            <w:proofErr w:type="spellEnd"/>
            <w:r w:rsidR="00131AC7" w:rsidRPr="00B43E2B">
              <w:rPr>
                <w:rFonts w:ascii="Arial Narrow" w:hAnsi="Arial Narrow"/>
                <w:b/>
                <w:sz w:val="18"/>
                <w:szCs w:val="18"/>
              </w:rPr>
              <w:t xml:space="preserve"> </w:t>
            </w:r>
            <w:r w:rsidRPr="00B43E2B">
              <w:rPr>
                <w:rFonts w:ascii="Arial Narrow" w:hAnsi="Arial Narrow"/>
                <w:b/>
                <w:sz w:val="18"/>
                <w:szCs w:val="18"/>
              </w:rPr>
              <w:t>+</w:t>
            </w:r>
            <w:r w:rsidR="00131AC7" w:rsidRPr="00B43E2B">
              <w:rPr>
                <w:rFonts w:ascii="Arial Narrow" w:hAnsi="Arial Narrow"/>
                <w:b/>
                <w:sz w:val="18"/>
                <w:szCs w:val="18"/>
              </w:rPr>
              <w:t xml:space="preserve"> </w:t>
            </w:r>
            <w:proofErr w:type="spellStart"/>
            <w:r w:rsidRPr="00B43E2B">
              <w:rPr>
                <w:rFonts w:ascii="Arial Narrow" w:hAnsi="Arial Narrow"/>
                <w:b/>
                <w:sz w:val="18"/>
                <w:szCs w:val="18"/>
              </w:rPr>
              <w:t>OxF</w:t>
            </w:r>
            <w:proofErr w:type="spellEnd"/>
          </w:p>
        </w:tc>
        <w:tc>
          <w:tcPr>
            <w:tcW w:w="549" w:type="pct"/>
            <w:tcBorders>
              <w:top w:val="single" w:sz="4" w:space="0" w:color="auto"/>
              <w:left w:val="single" w:sz="4" w:space="0" w:color="auto"/>
            </w:tcBorders>
          </w:tcPr>
          <w:p w:rsidR="00C62102" w:rsidRPr="00B43E2B" w:rsidRDefault="00C62102" w:rsidP="00C62102">
            <w:pPr>
              <w:pStyle w:val="ListParagraph"/>
              <w:ind w:left="0"/>
              <w:contextualSpacing w:val="0"/>
              <w:jc w:val="center"/>
              <w:rPr>
                <w:rFonts w:ascii="Arial Narrow" w:hAnsi="Arial Narrow"/>
                <w:b/>
                <w:sz w:val="18"/>
                <w:szCs w:val="18"/>
              </w:rPr>
            </w:pPr>
            <w:proofErr w:type="spellStart"/>
            <w:r w:rsidRPr="00B43E2B">
              <w:rPr>
                <w:rFonts w:ascii="Arial Narrow" w:hAnsi="Arial Narrow"/>
                <w:b/>
                <w:sz w:val="18"/>
                <w:szCs w:val="18"/>
              </w:rPr>
              <w:t>OxF</w:t>
            </w:r>
            <w:proofErr w:type="spellEnd"/>
          </w:p>
        </w:tc>
      </w:tr>
      <w:tr w:rsidR="00C62102" w:rsidRPr="00B43E2B" w:rsidTr="00B43E2B">
        <w:trPr>
          <w:trHeight w:val="20"/>
        </w:trPr>
        <w:tc>
          <w:tcPr>
            <w:tcW w:w="714" w:type="pct"/>
            <w:tcBorders>
              <w:top w:val="nil"/>
              <w:bottom w:val="nil"/>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N</w:t>
            </w:r>
          </w:p>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Median OS, months</w:t>
            </w:r>
          </w:p>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(IQR)</w:t>
            </w:r>
          </w:p>
        </w:tc>
        <w:tc>
          <w:tcPr>
            <w:tcW w:w="717" w:type="pc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 xml:space="preserve">362 </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17.0</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(9.4, 30.1)</w:t>
            </w:r>
          </w:p>
        </w:tc>
        <w:tc>
          <w:tcPr>
            <w:tcW w:w="679" w:type="pc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367</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17.9</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(10.3, 29.2)</w:t>
            </w:r>
          </w:p>
        </w:tc>
        <w:tc>
          <w:tcPr>
            <w:tcW w:w="866" w:type="pct"/>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292</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19.9</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(NR)</w:t>
            </w:r>
          </w:p>
        </w:tc>
        <w:tc>
          <w:tcPr>
            <w:tcW w:w="722" w:type="pct"/>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289</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20.1</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(NR)</w:t>
            </w:r>
          </w:p>
        </w:tc>
        <w:tc>
          <w:tcPr>
            <w:tcW w:w="752" w:type="pct"/>
            <w:gridSpan w:val="2"/>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366</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12.7</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(NR)</w:t>
            </w:r>
          </w:p>
        </w:tc>
        <w:tc>
          <w:tcPr>
            <w:tcW w:w="549" w:type="pct"/>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340</w:t>
            </w:r>
          </w:p>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14.4</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(NR)</w:t>
            </w:r>
          </w:p>
        </w:tc>
      </w:tr>
      <w:tr w:rsidR="00C62102" w:rsidRPr="00B43E2B" w:rsidTr="00B43E2B">
        <w:trPr>
          <w:trHeight w:val="20"/>
        </w:trPr>
        <w:tc>
          <w:tcPr>
            <w:tcW w:w="714" w:type="pct"/>
            <w:tcBorders>
              <w:top w:val="nil"/>
              <w:bottom w:val="nil"/>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Difference in OS</w:t>
            </w:r>
          </w:p>
        </w:tc>
        <w:tc>
          <w:tcPr>
            <w:tcW w:w="1396" w:type="pct"/>
            <w:gridSpan w:val="2"/>
            <w:vMerge w:val="restart"/>
            <w:tcBorders>
              <w:top w:val="single" w:sz="4" w:space="0" w:color="auto"/>
              <w:left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-0.9</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1.04 (0.87, 1.23)</w:t>
            </w:r>
          </w:p>
        </w:tc>
        <w:tc>
          <w:tcPr>
            <w:tcW w:w="1588" w:type="pct"/>
            <w:gridSpan w:val="2"/>
            <w:vMerge w:val="restart"/>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0</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1.02 (0.83, 1.24)</w:t>
            </w:r>
          </w:p>
        </w:tc>
        <w:tc>
          <w:tcPr>
            <w:tcW w:w="1302" w:type="pct"/>
            <w:gridSpan w:val="3"/>
            <w:vMerge w:val="restart"/>
            <w:tcBorders>
              <w:lef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r w:rsidRPr="00B43E2B">
              <w:rPr>
                <w:rFonts w:ascii="Arial Narrow" w:hAnsi="Arial Narrow"/>
                <w:sz w:val="18"/>
                <w:szCs w:val="18"/>
              </w:rPr>
              <w:t>-1.7</w:t>
            </w:r>
          </w:p>
          <w:p w:rsidR="00C62102" w:rsidRPr="00B43E2B" w:rsidRDefault="00C62102" w:rsidP="00C62102">
            <w:pPr>
              <w:pStyle w:val="ListParagraph"/>
              <w:ind w:left="0"/>
              <w:jc w:val="center"/>
              <w:rPr>
                <w:rFonts w:ascii="Arial Narrow" w:hAnsi="Arial Narrow"/>
                <w:sz w:val="18"/>
                <w:szCs w:val="18"/>
              </w:rPr>
            </w:pPr>
            <w:r w:rsidRPr="00B43E2B">
              <w:rPr>
                <w:rFonts w:ascii="Arial Narrow" w:hAnsi="Arial Narrow"/>
                <w:sz w:val="18"/>
                <w:szCs w:val="18"/>
              </w:rPr>
              <w:t>1.00 (0.85, 1.18)</w:t>
            </w:r>
          </w:p>
        </w:tc>
      </w:tr>
      <w:tr w:rsidR="00C62102" w:rsidRPr="00B43E2B" w:rsidTr="00B43E2B">
        <w:trPr>
          <w:trHeight w:val="20"/>
        </w:trPr>
        <w:tc>
          <w:tcPr>
            <w:tcW w:w="714" w:type="pct"/>
            <w:tcBorders>
              <w:top w:val="nil"/>
              <w:bottom w:val="single" w:sz="4" w:space="0" w:color="auto"/>
              <w:right w:val="single" w:sz="4" w:space="0" w:color="auto"/>
            </w:tcBorders>
          </w:tcPr>
          <w:p w:rsidR="00C62102" w:rsidRPr="00B43E2B" w:rsidRDefault="00C62102" w:rsidP="00C62102">
            <w:pPr>
              <w:pStyle w:val="ListParagraph"/>
              <w:tabs>
                <w:tab w:val="left" w:pos="1168"/>
              </w:tabs>
              <w:ind w:left="0" w:right="-57"/>
              <w:contextualSpacing w:val="0"/>
              <w:rPr>
                <w:rFonts w:ascii="Arial Narrow" w:hAnsi="Arial Narrow"/>
                <w:sz w:val="18"/>
                <w:szCs w:val="18"/>
              </w:rPr>
            </w:pPr>
            <w:r w:rsidRPr="00B43E2B">
              <w:rPr>
                <w:rFonts w:ascii="Arial Narrow" w:hAnsi="Arial Narrow"/>
                <w:sz w:val="18"/>
                <w:szCs w:val="18"/>
              </w:rPr>
              <w:t>HR (95% CI)</w:t>
            </w:r>
          </w:p>
        </w:tc>
        <w:tc>
          <w:tcPr>
            <w:tcW w:w="1396" w:type="pct"/>
            <w:gridSpan w:val="2"/>
            <w:vMerge/>
            <w:tcBorders>
              <w:left w:val="single" w:sz="4" w:space="0" w:color="auto"/>
              <w:bottom w:val="single" w:sz="4" w:space="0" w:color="auto"/>
              <w:right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588" w:type="pct"/>
            <w:gridSpan w:val="2"/>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c>
          <w:tcPr>
            <w:tcW w:w="1302" w:type="pct"/>
            <w:gridSpan w:val="3"/>
            <w:vMerge/>
            <w:tcBorders>
              <w:left w:val="single" w:sz="4" w:space="0" w:color="auto"/>
              <w:bottom w:val="single" w:sz="4" w:space="0" w:color="auto"/>
            </w:tcBorders>
          </w:tcPr>
          <w:p w:rsidR="00C62102" w:rsidRPr="00B43E2B" w:rsidRDefault="00C62102" w:rsidP="00C62102">
            <w:pPr>
              <w:pStyle w:val="ListParagraph"/>
              <w:ind w:left="0"/>
              <w:contextualSpacing w:val="0"/>
              <w:jc w:val="center"/>
              <w:rPr>
                <w:rFonts w:ascii="Arial Narrow" w:hAnsi="Arial Narrow"/>
                <w:sz w:val="18"/>
                <w:szCs w:val="18"/>
              </w:rPr>
            </w:pPr>
          </w:p>
        </w:tc>
      </w:tr>
    </w:tbl>
    <w:p w:rsidR="00B11BF0" w:rsidRDefault="00B11BF0"/>
    <w:tbl>
      <w:tblPr>
        <w:tblStyle w:val="TableGrid"/>
        <w:tblW w:w="4524" w:type="pct"/>
        <w:tblInd w:w="817" w:type="dxa"/>
        <w:tblLayout w:type="fixed"/>
        <w:tblLook w:val="04A0" w:firstRow="1" w:lastRow="0" w:firstColumn="1" w:lastColumn="0" w:noHBand="0" w:noVBand="1"/>
      </w:tblPr>
      <w:tblGrid>
        <w:gridCol w:w="1205"/>
        <w:gridCol w:w="1030"/>
        <w:gridCol w:w="162"/>
        <w:gridCol w:w="676"/>
        <w:gridCol w:w="458"/>
        <w:gridCol w:w="582"/>
        <w:gridCol w:w="798"/>
        <w:gridCol w:w="69"/>
        <w:gridCol w:w="1122"/>
        <w:gridCol w:w="87"/>
        <w:gridCol w:w="590"/>
        <w:gridCol w:w="592"/>
        <w:gridCol w:w="7"/>
        <w:gridCol w:w="17"/>
        <w:gridCol w:w="458"/>
        <w:gridCol w:w="510"/>
      </w:tblGrid>
      <w:tr w:rsidR="00C62102" w:rsidRPr="001A53B7" w:rsidTr="001A53B7">
        <w:trPr>
          <w:trHeight w:val="20"/>
        </w:trPr>
        <w:tc>
          <w:tcPr>
            <w:tcW w:w="4421" w:type="pct"/>
            <w:gridSpan w:val="14"/>
            <w:tcBorders>
              <w:bottom w:val="single" w:sz="4" w:space="0" w:color="auto"/>
              <w:right w:val="nil"/>
            </w:tcBorders>
            <w:shd w:val="clear" w:color="auto" w:fill="D9D9D9" w:themeFill="background1" w:themeFillShade="D9"/>
            <w:vAlign w:val="center"/>
          </w:tcPr>
          <w:p w:rsidR="00C62102" w:rsidRPr="001A53B7" w:rsidRDefault="00D63115" w:rsidP="00C62102">
            <w:pPr>
              <w:pStyle w:val="ListParagraph"/>
              <w:keepNext/>
              <w:ind w:left="0"/>
              <w:contextualSpacing w:val="0"/>
              <w:jc w:val="center"/>
              <w:rPr>
                <w:rFonts w:ascii="Arial Narrow" w:hAnsi="Arial Narrow"/>
                <w:b/>
                <w:sz w:val="18"/>
                <w:szCs w:val="18"/>
              </w:rPr>
            </w:pPr>
            <w:r w:rsidRPr="001A53B7">
              <w:rPr>
                <w:rFonts w:ascii="Arial Narrow" w:hAnsi="Arial Narrow"/>
                <w:b/>
                <w:sz w:val="18"/>
                <w:szCs w:val="18"/>
              </w:rPr>
              <w:t xml:space="preserve">Later-line treatment </w:t>
            </w:r>
            <w:r w:rsidR="00131AC7" w:rsidRPr="001A53B7">
              <w:rPr>
                <w:rFonts w:ascii="Arial Narrow" w:hAnsi="Arial Narrow"/>
                <w:b/>
                <w:sz w:val="18"/>
                <w:szCs w:val="18"/>
              </w:rPr>
              <w:t>–</w:t>
            </w:r>
            <w:r w:rsidRPr="001A53B7">
              <w:rPr>
                <w:rFonts w:ascii="Arial Narrow" w:hAnsi="Arial Narrow"/>
                <w:b/>
                <w:sz w:val="18"/>
                <w:szCs w:val="18"/>
              </w:rPr>
              <w:t xml:space="preserve"> </w:t>
            </w:r>
            <w:proofErr w:type="spellStart"/>
            <w:r w:rsidRPr="001A53B7">
              <w:rPr>
                <w:rFonts w:ascii="Arial Narrow" w:hAnsi="Arial Narrow"/>
                <w:b/>
                <w:sz w:val="18"/>
                <w:szCs w:val="18"/>
              </w:rPr>
              <w:t>p</w:t>
            </w:r>
            <w:r w:rsidR="00C62102" w:rsidRPr="001A53B7">
              <w:rPr>
                <w:rFonts w:ascii="Arial Narrow" w:hAnsi="Arial Narrow"/>
                <w:b/>
                <w:sz w:val="18"/>
                <w:szCs w:val="18"/>
              </w:rPr>
              <w:t>anitumumab</w:t>
            </w:r>
            <w:proofErr w:type="spellEnd"/>
          </w:p>
        </w:tc>
        <w:tc>
          <w:tcPr>
            <w:tcW w:w="579" w:type="pct"/>
            <w:gridSpan w:val="2"/>
            <w:tcBorders>
              <w:left w:val="nil"/>
              <w:bottom w:val="single" w:sz="4" w:space="0" w:color="auto"/>
            </w:tcBorders>
            <w:shd w:val="clear" w:color="auto" w:fill="D9D9D9" w:themeFill="background1" w:themeFillShade="D9"/>
            <w:vAlign w:val="center"/>
          </w:tcPr>
          <w:p w:rsidR="00C62102" w:rsidRPr="001A53B7" w:rsidRDefault="00C62102" w:rsidP="00C62102">
            <w:pPr>
              <w:pStyle w:val="ListParagraph"/>
              <w:keepNext/>
              <w:ind w:left="0"/>
              <w:contextualSpacing w:val="0"/>
              <w:jc w:val="center"/>
              <w:rPr>
                <w:rFonts w:ascii="Arial Narrow" w:hAnsi="Arial Narrow"/>
                <w:b/>
                <w:sz w:val="18"/>
                <w:szCs w:val="18"/>
              </w:rPr>
            </w:pPr>
          </w:p>
        </w:tc>
      </w:tr>
      <w:tr w:rsidR="00C62102" w:rsidRPr="001A53B7" w:rsidTr="001A53B7">
        <w:trPr>
          <w:trHeight w:val="20"/>
        </w:trPr>
        <w:tc>
          <w:tcPr>
            <w:tcW w:w="720" w:type="pct"/>
            <w:tcBorders>
              <w:bottom w:val="single" w:sz="4" w:space="0" w:color="auto"/>
              <w:right w:val="single" w:sz="4" w:space="0" w:color="auto"/>
            </w:tcBorders>
            <w:vAlign w:val="center"/>
          </w:tcPr>
          <w:p w:rsidR="00C62102" w:rsidRPr="001A53B7" w:rsidRDefault="00C62102" w:rsidP="00C62102">
            <w:pPr>
              <w:pStyle w:val="ListParagraph"/>
              <w:keepNext/>
              <w:ind w:left="0" w:right="-57"/>
              <w:contextualSpacing w:val="0"/>
              <w:rPr>
                <w:rFonts w:ascii="Arial Narrow" w:hAnsi="Arial Narrow"/>
                <w:sz w:val="18"/>
                <w:szCs w:val="18"/>
                <w:u w:val="single"/>
              </w:rPr>
            </w:pPr>
          </w:p>
        </w:tc>
        <w:tc>
          <w:tcPr>
            <w:tcW w:w="1391" w:type="pct"/>
            <w:gridSpan w:val="4"/>
            <w:tcBorders>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b/>
                <w:sz w:val="18"/>
                <w:szCs w:val="18"/>
              </w:rPr>
            </w:pPr>
            <w:r w:rsidRPr="001A53B7">
              <w:rPr>
                <w:rFonts w:ascii="Arial Narrow" w:hAnsi="Arial Narrow"/>
                <w:b/>
                <w:i/>
                <w:sz w:val="18"/>
                <w:szCs w:val="18"/>
              </w:rPr>
              <w:t>KRAS</w:t>
            </w:r>
            <w:r w:rsidRPr="001A53B7">
              <w:rPr>
                <w:rFonts w:ascii="Arial Narrow" w:hAnsi="Arial Narrow"/>
                <w:b/>
                <w:sz w:val="18"/>
                <w:szCs w:val="18"/>
              </w:rPr>
              <w:t xml:space="preserve"> WT (Exon 2)</w:t>
            </w:r>
          </w:p>
        </w:tc>
        <w:tc>
          <w:tcPr>
            <w:tcW w:w="1589" w:type="pct"/>
            <w:gridSpan w:val="5"/>
            <w:tcBorders>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b/>
                <w:sz w:val="18"/>
                <w:szCs w:val="18"/>
              </w:rPr>
            </w:pPr>
            <w:r w:rsidRPr="001A53B7">
              <w:rPr>
                <w:rFonts w:ascii="Arial Narrow" w:hAnsi="Arial Narrow"/>
                <w:b/>
                <w:i/>
                <w:sz w:val="18"/>
                <w:szCs w:val="18"/>
              </w:rPr>
              <w:t>RAS</w:t>
            </w:r>
            <w:r w:rsidRPr="001A53B7">
              <w:rPr>
                <w:rFonts w:ascii="Arial Narrow" w:hAnsi="Arial Narrow"/>
                <w:b/>
                <w:sz w:val="18"/>
                <w:szCs w:val="18"/>
              </w:rPr>
              <w:t xml:space="preserve"> WT</w:t>
            </w:r>
          </w:p>
        </w:tc>
        <w:tc>
          <w:tcPr>
            <w:tcW w:w="1300" w:type="pct"/>
            <w:gridSpan w:val="6"/>
            <w:tcBorders>
              <w:left w:val="single" w:sz="4" w:space="0" w:color="auto"/>
              <w:bottom w:val="single" w:sz="4" w:space="0" w:color="auto"/>
            </w:tcBorders>
          </w:tcPr>
          <w:p w:rsidR="00C62102" w:rsidRPr="001A53B7" w:rsidRDefault="00C62102" w:rsidP="00C62102">
            <w:pPr>
              <w:jc w:val="center"/>
              <w:rPr>
                <w:rFonts w:ascii="Arial Narrow" w:hAnsi="Arial Narrow"/>
                <w:b/>
                <w:sz w:val="18"/>
                <w:szCs w:val="18"/>
              </w:rPr>
            </w:pPr>
            <w:r w:rsidRPr="001A53B7">
              <w:rPr>
                <w:rFonts w:ascii="Arial Narrow" w:hAnsi="Arial Narrow"/>
                <w:b/>
                <w:i/>
                <w:sz w:val="18"/>
                <w:szCs w:val="18"/>
              </w:rPr>
              <w:t>KRAS</w:t>
            </w:r>
            <w:r w:rsidRPr="001A53B7">
              <w:rPr>
                <w:rFonts w:ascii="Arial Narrow" w:hAnsi="Arial Narrow"/>
                <w:b/>
                <w:sz w:val="18"/>
                <w:szCs w:val="18"/>
              </w:rPr>
              <w:t xml:space="preserve"> Exon 2 WT, </w:t>
            </w:r>
            <w:r w:rsidRPr="001A53B7">
              <w:rPr>
                <w:rFonts w:ascii="Arial Narrow" w:hAnsi="Arial Narrow"/>
                <w:b/>
                <w:i/>
                <w:sz w:val="18"/>
                <w:szCs w:val="18"/>
              </w:rPr>
              <w:t>RAS</w:t>
            </w:r>
            <w:r w:rsidRPr="001A53B7">
              <w:rPr>
                <w:rFonts w:ascii="Arial Narrow" w:hAnsi="Arial Narrow"/>
                <w:b/>
                <w:sz w:val="18"/>
                <w:szCs w:val="18"/>
              </w:rPr>
              <w:t xml:space="preserve"> MT</w:t>
            </w:r>
          </w:p>
        </w:tc>
      </w:tr>
      <w:tr w:rsidR="00C62102" w:rsidRPr="001A53B7" w:rsidTr="001A53B7">
        <w:trPr>
          <w:trHeight w:val="20"/>
        </w:trPr>
        <w:tc>
          <w:tcPr>
            <w:tcW w:w="720" w:type="pct"/>
            <w:tcBorders>
              <w:bottom w:val="nil"/>
              <w:right w:val="single" w:sz="4" w:space="0" w:color="auto"/>
            </w:tcBorders>
            <w:vAlign w:val="center"/>
          </w:tcPr>
          <w:p w:rsidR="00C62102" w:rsidRPr="001A53B7" w:rsidRDefault="00C62102" w:rsidP="00C62102">
            <w:pPr>
              <w:pStyle w:val="ListParagraph"/>
              <w:keepNext/>
              <w:ind w:left="0" w:right="-57"/>
              <w:contextualSpacing w:val="0"/>
              <w:rPr>
                <w:rFonts w:ascii="Arial Narrow" w:hAnsi="Arial Narrow"/>
                <w:b/>
                <w:sz w:val="18"/>
                <w:szCs w:val="18"/>
              </w:rPr>
            </w:pPr>
            <w:r w:rsidRPr="001A53B7">
              <w:rPr>
                <w:rFonts w:ascii="Arial Narrow" w:hAnsi="Arial Narrow"/>
                <w:b/>
                <w:sz w:val="18"/>
                <w:szCs w:val="18"/>
                <w:u w:val="single"/>
              </w:rPr>
              <w:t>Study 181</w:t>
            </w:r>
          </w:p>
        </w:tc>
        <w:tc>
          <w:tcPr>
            <w:tcW w:w="713" w:type="pct"/>
            <w:gridSpan w:val="2"/>
            <w:tcBorders>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sz w:val="18"/>
                <w:szCs w:val="18"/>
              </w:rPr>
            </w:pPr>
            <w:proofErr w:type="spellStart"/>
            <w:r w:rsidRPr="001A53B7">
              <w:rPr>
                <w:rFonts w:ascii="Arial Narrow" w:hAnsi="Arial Narrow"/>
                <w:b/>
                <w:sz w:val="18"/>
                <w:szCs w:val="18"/>
              </w:rPr>
              <w:t>Pmab</w:t>
            </w:r>
            <w:proofErr w:type="spellEnd"/>
            <w:r w:rsidR="00131AC7" w:rsidRPr="001A53B7">
              <w:rPr>
                <w:rFonts w:ascii="Arial Narrow" w:hAnsi="Arial Narrow"/>
                <w:b/>
                <w:sz w:val="18"/>
                <w:szCs w:val="18"/>
              </w:rPr>
              <w:t xml:space="preserve"> </w:t>
            </w:r>
            <w:r w:rsidRPr="001A53B7">
              <w:rPr>
                <w:rFonts w:ascii="Arial Narrow" w:hAnsi="Arial Narrow"/>
                <w:b/>
                <w:sz w:val="18"/>
                <w:szCs w:val="18"/>
              </w:rPr>
              <w:t>+</w:t>
            </w:r>
            <w:r w:rsidR="00131AC7" w:rsidRPr="001A53B7">
              <w:rPr>
                <w:rFonts w:ascii="Arial Narrow" w:hAnsi="Arial Narrow"/>
                <w:b/>
                <w:sz w:val="18"/>
                <w:szCs w:val="18"/>
              </w:rPr>
              <w:t xml:space="preserve"> </w:t>
            </w:r>
            <w:r w:rsidRPr="001A53B7">
              <w:rPr>
                <w:rFonts w:ascii="Arial Narrow" w:hAnsi="Arial Narrow"/>
                <w:b/>
                <w:sz w:val="18"/>
                <w:szCs w:val="18"/>
              </w:rPr>
              <w:t>FIRI</w:t>
            </w:r>
          </w:p>
        </w:tc>
        <w:tc>
          <w:tcPr>
            <w:tcW w:w="678" w:type="pct"/>
            <w:gridSpan w:val="2"/>
            <w:tcBorders>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sz w:val="18"/>
                <w:szCs w:val="18"/>
              </w:rPr>
            </w:pPr>
            <w:r w:rsidRPr="001A53B7">
              <w:rPr>
                <w:rFonts w:ascii="Arial Narrow" w:hAnsi="Arial Narrow"/>
                <w:b/>
                <w:sz w:val="18"/>
                <w:szCs w:val="18"/>
              </w:rPr>
              <w:t>FIRI</w:t>
            </w:r>
          </w:p>
        </w:tc>
        <w:tc>
          <w:tcPr>
            <w:tcW w:w="825" w:type="pct"/>
            <w:gridSpan w:val="2"/>
            <w:tcBorders>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sz w:val="18"/>
                <w:szCs w:val="18"/>
              </w:rPr>
            </w:pPr>
            <w:proofErr w:type="spellStart"/>
            <w:r w:rsidRPr="001A53B7">
              <w:rPr>
                <w:rFonts w:ascii="Arial Narrow" w:hAnsi="Arial Narrow"/>
                <w:b/>
                <w:sz w:val="18"/>
                <w:szCs w:val="18"/>
              </w:rPr>
              <w:t>Pmab</w:t>
            </w:r>
            <w:proofErr w:type="spellEnd"/>
            <w:r w:rsidR="00131AC7" w:rsidRPr="001A53B7">
              <w:rPr>
                <w:rFonts w:ascii="Arial Narrow" w:hAnsi="Arial Narrow"/>
                <w:b/>
                <w:sz w:val="18"/>
                <w:szCs w:val="18"/>
              </w:rPr>
              <w:t xml:space="preserve"> </w:t>
            </w:r>
            <w:r w:rsidRPr="001A53B7">
              <w:rPr>
                <w:rFonts w:ascii="Arial Narrow" w:hAnsi="Arial Narrow"/>
                <w:b/>
                <w:sz w:val="18"/>
                <w:szCs w:val="18"/>
              </w:rPr>
              <w:t>+</w:t>
            </w:r>
            <w:r w:rsidR="00131AC7" w:rsidRPr="001A53B7">
              <w:rPr>
                <w:rFonts w:ascii="Arial Narrow" w:hAnsi="Arial Narrow"/>
                <w:b/>
                <w:sz w:val="18"/>
                <w:szCs w:val="18"/>
              </w:rPr>
              <w:t xml:space="preserve"> </w:t>
            </w:r>
            <w:r w:rsidRPr="001A53B7">
              <w:rPr>
                <w:rFonts w:ascii="Arial Narrow" w:hAnsi="Arial Narrow"/>
                <w:b/>
                <w:sz w:val="18"/>
                <w:szCs w:val="18"/>
              </w:rPr>
              <w:t>FIRI</w:t>
            </w:r>
          </w:p>
        </w:tc>
        <w:tc>
          <w:tcPr>
            <w:tcW w:w="764" w:type="pct"/>
            <w:gridSpan w:val="3"/>
            <w:tcBorders>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sz w:val="18"/>
                <w:szCs w:val="18"/>
              </w:rPr>
            </w:pPr>
            <w:r w:rsidRPr="001A53B7">
              <w:rPr>
                <w:rFonts w:ascii="Arial Narrow" w:hAnsi="Arial Narrow"/>
                <w:b/>
                <w:sz w:val="18"/>
                <w:szCs w:val="18"/>
              </w:rPr>
              <w:t>FIRI</w:t>
            </w:r>
          </w:p>
        </w:tc>
        <w:tc>
          <w:tcPr>
            <w:tcW w:w="711" w:type="pct"/>
            <w:gridSpan w:val="3"/>
            <w:tcBorders>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sz w:val="18"/>
                <w:szCs w:val="18"/>
              </w:rPr>
            </w:pPr>
            <w:proofErr w:type="spellStart"/>
            <w:r w:rsidRPr="001A53B7">
              <w:rPr>
                <w:rFonts w:ascii="Arial Narrow" w:hAnsi="Arial Narrow"/>
                <w:b/>
                <w:sz w:val="18"/>
                <w:szCs w:val="18"/>
              </w:rPr>
              <w:t>Pmab</w:t>
            </w:r>
            <w:proofErr w:type="spellEnd"/>
            <w:r w:rsidR="00131AC7" w:rsidRPr="001A53B7">
              <w:rPr>
                <w:rFonts w:ascii="Arial Narrow" w:hAnsi="Arial Narrow"/>
                <w:b/>
                <w:sz w:val="18"/>
                <w:szCs w:val="18"/>
              </w:rPr>
              <w:t xml:space="preserve"> </w:t>
            </w:r>
            <w:r w:rsidRPr="001A53B7">
              <w:rPr>
                <w:rFonts w:ascii="Arial Narrow" w:hAnsi="Arial Narrow"/>
                <w:b/>
                <w:sz w:val="18"/>
                <w:szCs w:val="18"/>
              </w:rPr>
              <w:t>+</w:t>
            </w:r>
            <w:r w:rsidR="00131AC7" w:rsidRPr="001A53B7">
              <w:rPr>
                <w:rFonts w:ascii="Arial Narrow" w:hAnsi="Arial Narrow"/>
                <w:b/>
                <w:sz w:val="18"/>
                <w:szCs w:val="18"/>
              </w:rPr>
              <w:t xml:space="preserve"> </w:t>
            </w:r>
            <w:r w:rsidRPr="001A53B7">
              <w:rPr>
                <w:rFonts w:ascii="Arial Narrow" w:hAnsi="Arial Narrow"/>
                <w:b/>
                <w:sz w:val="18"/>
                <w:szCs w:val="18"/>
              </w:rPr>
              <w:t>FIRI</w:t>
            </w:r>
          </w:p>
        </w:tc>
        <w:tc>
          <w:tcPr>
            <w:tcW w:w="590" w:type="pct"/>
            <w:gridSpan w:val="3"/>
            <w:tcBorders>
              <w:left w:val="single" w:sz="4" w:space="0" w:color="auto"/>
              <w:bottom w:val="single" w:sz="4" w:space="0" w:color="auto"/>
            </w:tcBorders>
          </w:tcPr>
          <w:p w:rsidR="00C62102" w:rsidRPr="001A53B7" w:rsidRDefault="00C62102" w:rsidP="00C62102">
            <w:pPr>
              <w:jc w:val="center"/>
              <w:rPr>
                <w:rFonts w:ascii="Arial Narrow" w:hAnsi="Arial Narrow"/>
                <w:sz w:val="18"/>
                <w:szCs w:val="18"/>
              </w:rPr>
            </w:pPr>
            <w:r w:rsidRPr="001A53B7">
              <w:rPr>
                <w:rFonts w:ascii="Arial Narrow" w:hAnsi="Arial Narrow"/>
                <w:b/>
                <w:sz w:val="18"/>
                <w:szCs w:val="18"/>
              </w:rPr>
              <w:t>FIRI</w:t>
            </w:r>
          </w:p>
        </w:tc>
      </w:tr>
      <w:tr w:rsidR="00C62102" w:rsidRPr="001A53B7" w:rsidTr="001A53B7">
        <w:trPr>
          <w:trHeight w:val="20"/>
        </w:trPr>
        <w:tc>
          <w:tcPr>
            <w:tcW w:w="720" w:type="pct"/>
            <w:tcBorders>
              <w:top w:val="nil"/>
              <w:bottom w:val="nil"/>
              <w:right w:val="single" w:sz="4" w:space="0" w:color="auto"/>
            </w:tcBorders>
          </w:tcPr>
          <w:p w:rsidR="00C62102" w:rsidRPr="001A53B7" w:rsidRDefault="00C62102" w:rsidP="00C62102">
            <w:pPr>
              <w:pStyle w:val="ListParagraph"/>
              <w:tabs>
                <w:tab w:val="left" w:pos="1168"/>
              </w:tabs>
              <w:ind w:left="0" w:right="-113"/>
              <w:contextualSpacing w:val="0"/>
              <w:rPr>
                <w:rFonts w:ascii="Arial Narrow" w:hAnsi="Arial Narrow"/>
                <w:sz w:val="18"/>
                <w:szCs w:val="18"/>
              </w:rPr>
            </w:pPr>
            <w:r w:rsidRPr="001A53B7">
              <w:rPr>
                <w:rFonts w:ascii="Arial Narrow" w:hAnsi="Arial Narrow"/>
                <w:sz w:val="18"/>
                <w:szCs w:val="18"/>
              </w:rPr>
              <w:t>N</w:t>
            </w:r>
          </w:p>
          <w:p w:rsidR="00C62102" w:rsidRPr="001A53B7" w:rsidRDefault="00C62102" w:rsidP="00C62102">
            <w:pPr>
              <w:pStyle w:val="ListParagraph"/>
              <w:tabs>
                <w:tab w:val="left" w:pos="1168"/>
              </w:tabs>
              <w:ind w:left="0" w:right="-113"/>
              <w:contextualSpacing w:val="0"/>
              <w:rPr>
                <w:rFonts w:ascii="Arial Narrow" w:hAnsi="Arial Narrow"/>
                <w:sz w:val="18"/>
                <w:szCs w:val="18"/>
              </w:rPr>
            </w:pPr>
            <w:r w:rsidRPr="001A53B7">
              <w:rPr>
                <w:rFonts w:ascii="Arial Narrow" w:hAnsi="Arial Narrow"/>
                <w:sz w:val="18"/>
                <w:szCs w:val="18"/>
              </w:rPr>
              <w:t>Median OS, months</w:t>
            </w:r>
          </w:p>
          <w:p w:rsidR="00C62102" w:rsidRPr="001A53B7" w:rsidRDefault="00C62102" w:rsidP="00C62102">
            <w:pPr>
              <w:pStyle w:val="ListParagraph"/>
              <w:tabs>
                <w:tab w:val="left" w:pos="1168"/>
              </w:tabs>
              <w:ind w:left="0" w:right="-113"/>
              <w:contextualSpacing w:val="0"/>
              <w:rPr>
                <w:rFonts w:ascii="Arial Narrow" w:hAnsi="Arial Narrow"/>
                <w:sz w:val="18"/>
                <w:szCs w:val="18"/>
              </w:rPr>
            </w:pPr>
            <w:r w:rsidRPr="001A53B7">
              <w:rPr>
                <w:rFonts w:ascii="Arial Narrow" w:hAnsi="Arial Narrow"/>
                <w:sz w:val="18"/>
                <w:szCs w:val="18"/>
              </w:rPr>
              <w:t>(95% CI)</w:t>
            </w:r>
          </w:p>
        </w:tc>
        <w:tc>
          <w:tcPr>
            <w:tcW w:w="713" w:type="pct"/>
            <w:gridSpan w:val="2"/>
            <w:tcBorders>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303</w:t>
            </w:r>
            <w:r w:rsidRPr="001A53B7">
              <w:rPr>
                <w:rFonts w:ascii="Arial Narrow" w:hAnsi="Arial Narrow"/>
                <w:sz w:val="18"/>
                <w:szCs w:val="18"/>
              </w:rPr>
              <w:br/>
              <w:t>14.5</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(13.0, 16.0)</w:t>
            </w:r>
          </w:p>
        </w:tc>
        <w:tc>
          <w:tcPr>
            <w:tcW w:w="678" w:type="pct"/>
            <w:gridSpan w:val="2"/>
            <w:tcBorders>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294</w:t>
            </w:r>
            <w:r w:rsidRPr="001A53B7">
              <w:rPr>
                <w:rFonts w:ascii="Arial Narrow" w:hAnsi="Arial Narrow"/>
                <w:sz w:val="18"/>
                <w:szCs w:val="18"/>
              </w:rPr>
              <w:br/>
              <w:t>12.5</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(11.2, 14.2)</w:t>
            </w:r>
          </w:p>
        </w:tc>
        <w:tc>
          <w:tcPr>
            <w:tcW w:w="825" w:type="pct"/>
            <w:gridSpan w:val="2"/>
            <w:tcBorders>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204</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16.2</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(14.5, 19.7)</w:t>
            </w:r>
          </w:p>
        </w:tc>
        <w:tc>
          <w:tcPr>
            <w:tcW w:w="764" w:type="pct"/>
            <w:gridSpan w:val="3"/>
            <w:tcBorders>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211</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13.9</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(11.9, 16.1)</w:t>
            </w:r>
          </w:p>
        </w:tc>
        <w:tc>
          <w:tcPr>
            <w:tcW w:w="707" w:type="pct"/>
            <w:gridSpan w:val="2"/>
            <w:tcBorders>
              <w:left w:val="single" w:sz="4" w:space="0" w:color="auto"/>
              <w:bottom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61</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11.3</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(8.3, 13.1)</w:t>
            </w:r>
          </w:p>
        </w:tc>
        <w:tc>
          <w:tcPr>
            <w:tcW w:w="593" w:type="pct"/>
            <w:gridSpan w:val="4"/>
            <w:tcBorders>
              <w:left w:val="single" w:sz="4" w:space="0" w:color="auto"/>
              <w:bottom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46</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9.2</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(7.0, 12.9)</w:t>
            </w:r>
          </w:p>
        </w:tc>
      </w:tr>
      <w:tr w:rsidR="00C62102" w:rsidRPr="001A53B7" w:rsidTr="001A53B7">
        <w:trPr>
          <w:trHeight w:val="20"/>
        </w:trPr>
        <w:tc>
          <w:tcPr>
            <w:tcW w:w="720" w:type="pct"/>
            <w:tcBorders>
              <w:top w:val="nil"/>
              <w:bottom w:val="nil"/>
              <w:right w:val="single" w:sz="4" w:space="0" w:color="auto"/>
            </w:tcBorders>
          </w:tcPr>
          <w:p w:rsidR="00C62102" w:rsidRPr="001A53B7" w:rsidRDefault="00C62102" w:rsidP="00C62102">
            <w:pPr>
              <w:pStyle w:val="ListParagraph"/>
              <w:tabs>
                <w:tab w:val="left" w:pos="1168"/>
              </w:tabs>
              <w:ind w:left="0" w:right="-57"/>
              <w:contextualSpacing w:val="0"/>
              <w:rPr>
                <w:rFonts w:ascii="Arial Narrow" w:hAnsi="Arial Narrow"/>
                <w:sz w:val="18"/>
                <w:szCs w:val="18"/>
                <w:u w:val="single"/>
              </w:rPr>
            </w:pPr>
            <w:r w:rsidRPr="001A53B7">
              <w:rPr>
                <w:rFonts w:ascii="Arial Narrow" w:hAnsi="Arial Narrow"/>
                <w:sz w:val="18"/>
                <w:szCs w:val="18"/>
              </w:rPr>
              <w:t>Difference in OS</w:t>
            </w:r>
          </w:p>
        </w:tc>
        <w:tc>
          <w:tcPr>
            <w:tcW w:w="1391" w:type="pct"/>
            <w:gridSpan w:val="4"/>
            <w:vMerge w:val="restart"/>
            <w:tcBorders>
              <w:top w:val="single" w:sz="4" w:space="0" w:color="auto"/>
              <w:left w:val="single" w:sz="4" w:space="0" w:color="auto"/>
              <w:right w:val="single" w:sz="4" w:space="0" w:color="auto"/>
            </w:tcBorders>
          </w:tcPr>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+2.0</w:t>
            </w:r>
          </w:p>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0.73 (0.59, 0.90)</w:t>
            </w:r>
          </w:p>
        </w:tc>
        <w:tc>
          <w:tcPr>
            <w:tcW w:w="1589" w:type="pct"/>
            <w:gridSpan w:val="5"/>
            <w:vMerge w:val="restart"/>
            <w:tcBorders>
              <w:top w:val="single" w:sz="4" w:space="0" w:color="auto"/>
              <w:left w:val="single" w:sz="4" w:space="0" w:color="auto"/>
              <w:right w:val="single" w:sz="4" w:space="0" w:color="auto"/>
            </w:tcBorders>
          </w:tcPr>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+2.3</w:t>
            </w:r>
          </w:p>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0.69 (0.54, 0.90)</w:t>
            </w:r>
          </w:p>
        </w:tc>
        <w:tc>
          <w:tcPr>
            <w:tcW w:w="1300" w:type="pct"/>
            <w:gridSpan w:val="6"/>
            <w:vMerge w:val="restart"/>
            <w:tcBorders>
              <w:top w:val="single" w:sz="4" w:space="0" w:color="auto"/>
              <w:left w:val="single" w:sz="4" w:space="0" w:color="auto"/>
            </w:tcBorders>
          </w:tcPr>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+2.1</w:t>
            </w:r>
          </w:p>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0.89 (0.56, 1.42)</w:t>
            </w:r>
          </w:p>
        </w:tc>
      </w:tr>
      <w:tr w:rsidR="00C62102" w:rsidRPr="001A53B7" w:rsidTr="001A53B7">
        <w:trPr>
          <w:trHeight w:val="20"/>
        </w:trPr>
        <w:tc>
          <w:tcPr>
            <w:tcW w:w="720" w:type="pct"/>
            <w:tcBorders>
              <w:top w:val="nil"/>
              <w:bottom w:val="single" w:sz="4" w:space="0" w:color="auto"/>
              <w:right w:val="single" w:sz="4" w:space="0" w:color="auto"/>
            </w:tcBorders>
          </w:tcPr>
          <w:p w:rsidR="00C62102" w:rsidRPr="001A53B7" w:rsidRDefault="00C62102" w:rsidP="00C62102">
            <w:pPr>
              <w:pStyle w:val="ListParagraph"/>
              <w:tabs>
                <w:tab w:val="left" w:pos="1168"/>
              </w:tabs>
              <w:ind w:left="0" w:right="-57"/>
              <w:rPr>
                <w:rFonts w:ascii="Arial Narrow" w:hAnsi="Arial Narrow"/>
                <w:sz w:val="18"/>
                <w:szCs w:val="18"/>
              </w:rPr>
            </w:pPr>
            <w:r w:rsidRPr="001A53B7">
              <w:rPr>
                <w:rFonts w:ascii="Arial Narrow" w:hAnsi="Arial Narrow"/>
                <w:sz w:val="18"/>
                <w:szCs w:val="18"/>
              </w:rPr>
              <w:t>HR (95% CI)</w:t>
            </w:r>
          </w:p>
        </w:tc>
        <w:tc>
          <w:tcPr>
            <w:tcW w:w="1391" w:type="pct"/>
            <w:gridSpan w:val="4"/>
            <w:vMerge/>
            <w:tcBorders>
              <w:left w:val="single" w:sz="4" w:space="0" w:color="auto"/>
              <w:bottom w:val="single" w:sz="4" w:space="0" w:color="auto"/>
              <w:right w:val="single" w:sz="4" w:space="0" w:color="auto"/>
            </w:tcBorders>
          </w:tcPr>
          <w:p w:rsidR="00C62102" w:rsidRPr="001A53B7" w:rsidRDefault="00C62102" w:rsidP="00C62102">
            <w:pPr>
              <w:pStyle w:val="ListParagraph"/>
              <w:ind w:left="0"/>
              <w:jc w:val="center"/>
              <w:rPr>
                <w:rFonts w:ascii="Arial Narrow" w:hAnsi="Arial Narrow"/>
                <w:sz w:val="18"/>
                <w:szCs w:val="18"/>
              </w:rPr>
            </w:pPr>
          </w:p>
        </w:tc>
        <w:tc>
          <w:tcPr>
            <w:tcW w:w="1589" w:type="pct"/>
            <w:gridSpan w:val="5"/>
            <w:vMerge/>
            <w:tcBorders>
              <w:left w:val="single" w:sz="4" w:space="0" w:color="auto"/>
              <w:bottom w:val="single" w:sz="4" w:space="0" w:color="auto"/>
              <w:right w:val="single" w:sz="4" w:space="0" w:color="auto"/>
            </w:tcBorders>
          </w:tcPr>
          <w:p w:rsidR="00C62102" w:rsidRPr="001A53B7" w:rsidRDefault="00C62102" w:rsidP="00C62102">
            <w:pPr>
              <w:pStyle w:val="ListParagraph"/>
              <w:ind w:left="0"/>
              <w:jc w:val="center"/>
              <w:rPr>
                <w:rFonts w:ascii="Arial Narrow" w:hAnsi="Arial Narrow"/>
                <w:sz w:val="18"/>
                <w:szCs w:val="18"/>
              </w:rPr>
            </w:pPr>
          </w:p>
        </w:tc>
        <w:tc>
          <w:tcPr>
            <w:tcW w:w="1300" w:type="pct"/>
            <w:gridSpan w:val="6"/>
            <w:vMerge/>
            <w:tcBorders>
              <w:left w:val="single" w:sz="4" w:space="0" w:color="auto"/>
              <w:bottom w:val="single" w:sz="4" w:space="0" w:color="auto"/>
            </w:tcBorders>
          </w:tcPr>
          <w:p w:rsidR="00C62102" w:rsidRPr="001A53B7" w:rsidRDefault="00C62102" w:rsidP="00C62102">
            <w:pPr>
              <w:pStyle w:val="ListParagraph"/>
              <w:ind w:left="0"/>
              <w:jc w:val="center"/>
              <w:rPr>
                <w:rFonts w:ascii="Arial Narrow" w:hAnsi="Arial Narrow"/>
                <w:sz w:val="18"/>
                <w:szCs w:val="18"/>
              </w:rPr>
            </w:pPr>
          </w:p>
        </w:tc>
      </w:tr>
      <w:tr w:rsidR="00C62102" w:rsidRPr="001A53B7" w:rsidTr="001A53B7">
        <w:trPr>
          <w:trHeight w:val="20"/>
        </w:trPr>
        <w:tc>
          <w:tcPr>
            <w:tcW w:w="720" w:type="pct"/>
            <w:tcBorders>
              <w:top w:val="nil"/>
              <w:bottom w:val="nil"/>
              <w:right w:val="single" w:sz="4" w:space="0" w:color="auto"/>
            </w:tcBorders>
          </w:tcPr>
          <w:p w:rsidR="00C62102" w:rsidRPr="001A53B7" w:rsidRDefault="00C62102" w:rsidP="00C62102">
            <w:pPr>
              <w:pStyle w:val="ListParagraph"/>
              <w:ind w:left="0" w:right="-57"/>
              <w:contextualSpacing w:val="0"/>
              <w:rPr>
                <w:rFonts w:ascii="Arial Narrow" w:hAnsi="Arial Narrow"/>
                <w:b/>
                <w:sz w:val="18"/>
                <w:szCs w:val="18"/>
              </w:rPr>
            </w:pPr>
            <w:r w:rsidRPr="001A53B7">
              <w:rPr>
                <w:rFonts w:ascii="Arial Narrow" w:hAnsi="Arial Narrow"/>
                <w:b/>
                <w:sz w:val="18"/>
                <w:szCs w:val="18"/>
                <w:u w:val="single"/>
              </w:rPr>
              <w:t>Study 408</w:t>
            </w:r>
          </w:p>
        </w:tc>
        <w:tc>
          <w:tcPr>
            <w:tcW w:w="713"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131AC7">
            <w:pPr>
              <w:ind w:left="-34"/>
              <w:jc w:val="center"/>
              <w:rPr>
                <w:rFonts w:ascii="Arial Narrow" w:hAnsi="Arial Narrow"/>
                <w:sz w:val="18"/>
                <w:szCs w:val="18"/>
              </w:rPr>
            </w:pPr>
            <w:proofErr w:type="spellStart"/>
            <w:r w:rsidRPr="001A53B7">
              <w:rPr>
                <w:rFonts w:ascii="Arial Narrow" w:hAnsi="Arial Narrow"/>
                <w:b/>
                <w:sz w:val="18"/>
                <w:szCs w:val="18"/>
              </w:rPr>
              <w:t>Pmab</w:t>
            </w:r>
            <w:proofErr w:type="spellEnd"/>
            <w:r w:rsidR="00131AC7" w:rsidRPr="001A53B7">
              <w:rPr>
                <w:rFonts w:ascii="Arial Narrow" w:hAnsi="Arial Narrow"/>
                <w:b/>
                <w:sz w:val="18"/>
                <w:szCs w:val="18"/>
              </w:rPr>
              <w:t xml:space="preserve"> </w:t>
            </w:r>
            <w:r w:rsidRPr="001A53B7">
              <w:rPr>
                <w:rFonts w:ascii="Arial Narrow" w:hAnsi="Arial Narrow"/>
                <w:b/>
                <w:sz w:val="18"/>
                <w:szCs w:val="18"/>
              </w:rPr>
              <w:t>+</w:t>
            </w:r>
            <w:r w:rsidR="00131AC7" w:rsidRPr="001A53B7">
              <w:rPr>
                <w:rFonts w:ascii="Arial Narrow" w:hAnsi="Arial Narrow"/>
                <w:b/>
                <w:sz w:val="18"/>
                <w:szCs w:val="18"/>
              </w:rPr>
              <w:t xml:space="preserve"> </w:t>
            </w:r>
            <w:r w:rsidRPr="001A53B7">
              <w:rPr>
                <w:rFonts w:ascii="Arial Narrow" w:hAnsi="Arial Narrow"/>
                <w:b/>
                <w:sz w:val="18"/>
                <w:szCs w:val="18"/>
              </w:rPr>
              <w:t>BSC</w:t>
            </w:r>
          </w:p>
        </w:tc>
        <w:tc>
          <w:tcPr>
            <w:tcW w:w="678"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sz w:val="18"/>
                <w:szCs w:val="18"/>
              </w:rPr>
            </w:pPr>
            <w:r w:rsidRPr="001A53B7">
              <w:rPr>
                <w:rFonts w:ascii="Arial Narrow" w:hAnsi="Arial Narrow"/>
                <w:b/>
                <w:sz w:val="18"/>
                <w:szCs w:val="18"/>
              </w:rPr>
              <w:t>BSC</w:t>
            </w:r>
          </w:p>
        </w:tc>
        <w:tc>
          <w:tcPr>
            <w:tcW w:w="866" w:type="pct"/>
            <w:gridSpan w:val="3"/>
            <w:tcBorders>
              <w:top w:val="single" w:sz="4" w:space="0" w:color="auto"/>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sz w:val="18"/>
                <w:szCs w:val="18"/>
              </w:rPr>
            </w:pPr>
            <w:proofErr w:type="spellStart"/>
            <w:r w:rsidRPr="001A53B7">
              <w:rPr>
                <w:rFonts w:ascii="Arial Narrow" w:hAnsi="Arial Narrow"/>
                <w:b/>
                <w:sz w:val="18"/>
                <w:szCs w:val="18"/>
              </w:rPr>
              <w:t>Pmab</w:t>
            </w:r>
            <w:proofErr w:type="spellEnd"/>
            <w:r w:rsidR="00131AC7" w:rsidRPr="001A53B7">
              <w:rPr>
                <w:rFonts w:ascii="Arial Narrow" w:hAnsi="Arial Narrow"/>
                <w:b/>
                <w:sz w:val="18"/>
                <w:szCs w:val="18"/>
              </w:rPr>
              <w:t xml:space="preserve"> </w:t>
            </w:r>
            <w:r w:rsidRPr="001A53B7">
              <w:rPr>
                <w:rFonts w:ascii="Arial Narrow" w:hAnsi="Arial Narrow"/>
                <w:b/>
                <w:sz w:val="18"/>
                <w:szCs w:val="18"/>
              </w:rPr>
              <w:t>+</w:t>
            </w:r>
            <w:r w:rsidR="00131AC7" w:rsidRPr="001A53B7">
              <w:rPr>
                <w:rFonts w:ascii="Arial Narrow" w:hAnsi="Arial Narrow"/>
                <w:b/>
                <w:sz w:val="18"/>
                <w:szCs w:val="18"/>
              </w:rPr>
              <w:t xml:space="preserve"> </w:t>
            </w:r>
            <w:r w:rsidRPr="001A53B7">
              <w:rPr>
                <w:rFonts w:ascii="Arial Narrow" w:hAnsi="Arial Narrow"/>
                <w:b/>
                <w:sz w:val="18"/>
                <w:szCs w:val="18"/>
              </w:rPr>
              <w:t>BSC</w:t>
            </w:r>
          </w:p>
        </w:tc>
        <w:tc>
          <w:tcPr>
            <w:tcW w:w="723"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jc w:val="center"/>
              <w:rPr>
                <w:rFonts w:ascii="Arial Narrow" w:hAnsi="Arial Narrow"/>
                <w:sz w:val="18"/>
                <w:szCs w:val="18"/>
              </w:rPr>
            </w:pPr>
            <w:r w:rsidRPr="001A53B7">
              <w:rPr>
                <w:rFonts w:ascii="Arial Narrow" w:hAnsi="Arial Narrow"/>
                <w:b/>
                <w:sz w:val="18"/>
                <w:szCs w:val="18"/>
              </w:rPr>
              <w:t>BSC</w:t>
            </w:r>
          </w:p>
        </w:tc>
        <w:tc>
          <w:tcPr>
            <w:tcW w:w="721" w:type="pct"/>
            <w:gridSpan w:val="4"/>
            <w:tcBorders>
              <w:top w:val="nil"/>
              <w:left w:val="single" w:sz="4" w:space="0" w:color="auto"/>
              <w:bottom w:val="single" w:sz="4" w:space="0" w:color="auto"/>
            </w:tcBorders>
          </w:tcPr>
          <w:p w:rsidR="00C62102" w:rsidRPr="001A53B7" w:rsidRDefault="00C62102" w:rsidP="00C62102">
            <w:pPr>
              <w:jc w:val="center"/>
              <w:rPr>
                <w:rFonts w:ascii="Arial Narrow" w:hAnsi="Arial Narrow"/>
                <w:sz w:val="18"/>
                <w:szCs w:val="18"/>
              </w:rPr>
            </w:pPr>
            <w:proofErr w:type="spellStart"/>
            <w:r w:rsidRPr="001A53B7">
              <w:rPr>
                <w:rFonts w:ascii="Arial Narrow" w:hAnsi="Arial Narrow"/>
                <w:b/>
                <w:sz w:val="18"/>
                <w:szCs w:val="18"/>
              </w:rPr>
              <w:t>Pmab</w:t>
            </w:r>
            <w:proofErr w:type="spellEnd"/>
            <w:r w:rsidR="00131AC7" w:rsidRPr="001A53B7">
              <w:rPr>
                <w:rFonts w:ascii="Arial Narrow" w:hAnsi="Arial Narrow"/>
                <w:b/>
                <w:sz w:val="18"/>
                <w:szCs w:val="18"/>
              </w:rPr>
              <w:t xml:space="preserve"> </w:t>
            </w:r>
            <w:r w:rsidRPr="001A53B7">
              <w:rPr>
                <w:rFonts w:ascii="Arial Narrow" w:hAnsi="Arial Narrow"/>
                <w:b/>
                <w:sz w:val="18"/>
                <w:szCs w:val="18"/>
              </w:rPr>
              <w:t>+</w:t>
            </w:r>
            <w:r w:rsidR="00131AC7" w:rsidRPr="001A53B7">
              <w:rPr>
                <w:rFonts w:ascii="Arial Narrow" w:hAnsi="Arial Narrow"/>
                <w:b/>
                <w:sz w:val="18"/>
                <w:szCs w:val="18"/>
              </w:rPr>
              <w:t xml:space="preserve"> </w:t>
            </w:r>
            <w:r w:rsidRPr="001A53B7">
              <w:rPr>
                <w:rFonts w:ascii="Arial Narrow" w:hAnsi="Arial Narrow"/>
                <w:b/>
                <w:sz w:val="18"/>
                <w:szCs w:val="18"/>
              </w:rPr>
              <w:t>BSC</w:t>
            </w:r>
          </w:p>
        </w:tc>
        <w:tc>
          <w:tcPr>
            <w:tcW w:w="579" w:type="pct"/>
            <w:gridSpan w:val="2"/>
            <w:tcBorders>
              <w:top w:val="nil"/>
              <w:left w:val="single" w:sz="4" w:space="0" w:color="auto"/>
              <w:bottom w:val="single" w:sz="4" w:space="0" w:color="auto"/>
            </w:tcBorders>
          </w:tcPr>
          <w:p w:rsidR="00C62102" w:rsidRPr="001A53B7" w:rsidRDefault="00C62102" w:rsidP="00C62102">
            <w:pPr>
              <w:jc w:val="center"/>
              <w:rPr>
                <w:rFonts w:ascii="Arial Narrow" w:hAnsi="Arial Narrow"/>
                <w:sz w:val="18"/>
                <w:szCs w:val="18"/>
              </w:rPr>
            </w:pPr>
            <w:r w:rsidRPr="001A53B7">
              <w:rPr>
                <w:rFonts w:ascii="Arial Narrow" w:hAnsi="Arial Narrow"/>
                <w:b/>
                <w:sz w:val="18"/>
                <w:szCs w:val="18"/>
              </w:rPr>
              <w:t>BSC</w:t>
            </w:r>
          </w:p>
        </w:tc>
      </w:tr>
      <w:tr w:rsidR="00C62102" w:rsidRPr="001A53B7" w:rsidTr="001A53B7">
        <w:trPr>
          <w:trHeight w:val="20"/>
        </w:trPr>
        <w:tc>
          <w:tcPr>
            <w:tcW w:w="720" w:type="pct"/>
            <w:tcBorders>
              <w:top w:val="nil"/>
              <w:bottom w:val="nil"/>
              <w:right w:val="single" w:sz="4" w:space="0" w:color="auto"/>
            </w:tcBorders>
          </w:tcPr>
          <w:p w:rsidR="00C62102" w:rsidRPr="001A53B7" w:rsidRDefault="00C62102" w:rsidP="00C62102">
            <w:pPr>
              <w:pStyle w:val="ListParagraph"/>
              <w:keepNext/>
              <w:tabs>
                <w:tab w:val="left" w:pos="1168"/>
              </w:tabs>
              <w:ind w:left="0" w:right="-113"/>
              <w:contextualSpacing w:val="0"/>
              <w:rPr>
                <w:rFonts w:ascii="Arial Narrow" w:hAnsi="Arial Narrow"/>
                <w:sz w:val="18"/>
                <w:szCs w:val="18"/>
              </w:rPr>
            </w:pPr>
            <w:r w:rsidRPr="001A53B7">
              <w:rPr>
                <w:rFonts w:ascii="Arial Narrow" w:hAnsi="Arial Narrow"/>
                <w:sz w:val="18"/>
                <w:szCs w:val="18"/>
              </w:rPr>
              <w:lastRenderedPageBreak/>
              <w:t>N</w:t>
            </w:r>
          </w:p>
          <w:p w:rsidR="00C62102" w:rsidRPr="001A53B7" w:rsidRDefault="00C62102" w:rsidP="00C62102">
            <w:pPr>
              <w:pStyle w:val="ListParagraph"/>
              <w:keepNext/>
              <w:tabs>
                <w:tab w:val="left" w:pos="1168"/>
              </w:tabs>
              <w:ind w:left="0" w:right="-113"/>
              <w:contextualSpacing w:val="0"/>
              <w:rPr>
                <w:rFonts w:ascii="Arial Narrow" w:hAnsi="Arial Narrow"/>
                <w:sz w:val="18"/>
                <w:szCs w:val="18"/>
              </w:rPr>
            </w:pPr>
            <w:r w:rsidRPr="001A53B7">
              <w:rPr>
                <w:rFonts w:ascii="Arial Narrow" w:hAnsi="Arial Narrow"/>
                <w:sz w:val="18"/>
                <w:szCs w:val="18"/>
              </w:rPr>
              <w:t>Median OS (months)</w:t>
            </w:r>
          </w:p>
          <w:p w:rsidR="00C62102" w:rsidRPr="001A53B7" w:rsidRDefault="00C62102" w:rsidP="00C62102">
            <w:pPr>
              <w:pStyle w:val="ListParagraph"/>
              <w:keepNext/>
              <w:tabs>
                <w:tab w:val="left" w:pos="1168"/>
              </w:tabs>
              <w:ind w:left="0" w:right="-113"/>
              <w:contextualSpacing w:val="0"/>
              <w:rPr>
                <w:rFonts w:ascii="Arial Narrow" w:hAnsi="Arial Narrow"/>
                <w:sz w:val="18"/>
                <w:szCs w:val="18"/>
              </w:rPr>
            </w:pPr>
            <w:r w:rsidRPr="001A53B7">
              <w:rPr>
                <w:rFonts w:ascii="Arial Narrow" w:hAnsi="Arial Narrow"/>
                <w:sz w:val="18"/>
                <w:szCs w:val="18"/>
              </w:rPr>
              <w:t>(95% CI)</w:t>
            </w:r>
          </w:p>
        </w:tc>
        <w:tc>
          <w:tcPr>
            <w:tcW w:w="713"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124</w:t>
            </w:r>
            <w:r w:rsidRPr="001A53B7">
              <w:rPr>
                <w:rFonts w:ascii="Arial Narrow" w:hAnsi="Arial Narrow"/>
                <w:sz w:val="18"/>
                <w:szCs w:val="18"/>
              </w:rPr>
              <w:br/>
              <w:t>8.1</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(6.3, 9.4)</w:t>
            </w:r>
          </w:p>
        </w:tc>
        <w:tc>
          <w:tcPr>
            <w:tcW w:w="678"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119</w:t>
            </w:r>
            <w:r w:rsidRPr="001A53B7">
              <w:rPr>
                <w:rFonts w:ascii="Arial Narrow" w:hAnsi="Arial Narrow"/>
                <w:sz w:val="18"/>
                <w:szCs w:val="18"/>
              </w:rPr>
              <w:br/>
              <w:t>7.6</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(6.2,8.8)</w:t>
            </w:r>
          </w:p>
        </w:tc>
        <w:tc>
          <w:tcPr>
            <w:tcW w:w="866" w:type="pct"/>
            <w:gridSpan w:val="3"/>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72</w:t>
            </w:r>
            <w:r w:rsidRPr="001A53B7">
              <w:rPr>
                <w:rFonts w:ascii="Arial Narrow" w:hAnsi="Arial Narrow"/>
                <w:sz w:val="18"/>
                <w:szCs w:val="18"/>
              </w:rPr>
              <w:br/>
              <w:t>8.1</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(6.3, 9.4)</w:t>
            </w:r>
          </w:p>
        </w:tc>
        <w:tc>
          <w:tcPr>
            <w:tcW w:w="723"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61</w:t>
            </w:r>
            <w:r w:rsidRPr="001A53B7">
              <w:rPr>
                <w:rFonts w:ascii="Arial Narrow" w:hAnsi="Arial Narrow"/>
                <w:sz w:val="18"/>
                <w:szCs w:val="18"/>
              </w:rPr>
              <w:br/>
              <w:t>7.5</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(5.6, 9.2)</w:t>
            </w:r>
          </w:p>
        </w:tc>
        <w:tc>
          <w:tcPr>
            <w:tcW w:w="721" w:type="pct"/>
            <w:gridSpan w:val="4"/>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11</w:t>
            </w:r>
            <w:r w:rsidRPr="001A53B7">
              <w:rPr>
                <w:rFonts w:ascii="Arial Narrow" w:hAnsi="Arial Narrow"/>
                <w:sz w:val="18"/>
                <w:szCs w:val="18"/>
              </w:rPr>
              <w:br/>
              <w:t>6.2</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(2.3, 6.8)</w:t>
            </w:r>
          </w:p>
        </w:tc>
        <w:tc>
          <w:tcPr>
            <w:tcW w:w="579" w:type="pct"/>
            <w:gridSpan w:val="2"/>
            <w:tcBorders>
              <w:top w:val="single" w:sz="4" w:space="0" w:color="auto"/>
              <w:left w:val="single" w:sz="4" w:space="0" w:color="auto"/>
              <w:bottom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11</w:t>
            </w:r>
            <w:r w:rsidRPr="001A53B7">
              <w:rPr>
                <w:rFonts w:ascii="Arial Narrow" w:hAnsi="Arial Narrow"/>
                <w:sz w:val="18"/>
                <w:szCs w:val="18"/>
              </w:rPr>
              <w:br/>
              <w:t>5.2</w:t>
            </w:r>
          </w:p>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(3.9, 13.7)</w:t>
            </w:r>
          </w:p>
        </w:tc>
      </w:tr>
      <w:tr w:rsidR="00C62102" w:rsidRPr="001A53B7" w:rsidTr="001A53B7">
        <w:trPr>
          <w:trHeight w:val="20"/>
        </w:trPr>
        <w:tc>
          <w:tcPr>
            <w:tcW w:w="720" w:type="pct"/>
            <w:tcBorders>
              <w:top w:val="nil"/>
              <w:bottom w:val="nil"/>
              <w:right w:val="single" w:sz="4" w:space="0" w:color="auto"/>
            </w:tcBorders>
          </w:tcPr>
          <w:p w:rsidR="00C62102" w:rsidRPr="001A53B7" w:rsidRDefault="00C62102" w:rsidP="00C62102">
            <w:pPr>
              <w:pStyle w:val="ListParagraph"/>
              <w:keepNext/>
              <w:ind w:left="0" w:right="-57"/>
              <w:contextualSpacing w:val="0"/>
              <w:rPr>
                <w:rFonts w:ascii="Arial Narrow" w:hAnsi="Arial Narrow"/>
                <w:sz w:val="18"/>
                <w:szCs w:val="18"/>
              </w:rPr>
            </w:pPr>
            <w:r w:rsidRPr="001A53B7">
              <w:rPr>
                <w:rFonts w:ascii="Arial Narrow" w:hAnsi="Arial Narrow"/>
                <w:sz w:val="18"/>
                <w:szCs w:val="18"/>
              </w:rPr>
              <w:t>Difference in OS</w:t>
            </w:r>
          </w:p>
        </w:tc>
        <w:tc>
          <w:tcPr>
            <w:tcW w:w="1391" w:type="pct"/>
            <w:gridSpan w:val="4"/>
            <w:vMerge w:val="restart"/>
            <w:tcBorders>
              <w:top w:val="single" w:sz="4" w:space="0" w:color="auto"/>
              <w:left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+0.5</w:t>
            </w:r>
          </w:p>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0.99 (0.75, 1.30)</w:t>
            </w:r>
            <w:r w:rsidRPr="001A53B7">
              <w:rPr>
                <w:rFonts w:ascii="Arial Narrow" w:hAnsi="Arial Narrow"/>
                <w:sz w:val="18"/>
                <w:szCs w:val="18"/>
                <w:vertAlign w:val="superscript"/>
              </w:rPr>
              <w:t>A</w:t>
            </w:r>
          </w:p>
        </w:tc>
        <w:tc>
          <w:tcPr>
            <w:tcW w:w="1589" w:type="pct"/>
            <w:gridSpan w:val="5"/>
            <w:vMerge w:val="restart"/>
            <w:tcBorders>
              <w:top w:val="single" w:sz="4" w:space="0" w:color="auto"/>
              <w:left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+0.6</w:t>
            </w:r>
          </w:p>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1.03 (0.71, 1.48)</w:t>
            </w:r>
          </w:p>
        </w:tc>
        <w:tc>
          <w:tcPr>
            <w:tcW w:w="1300" w:type="pct"/>
            <w:gridSpan w:val="6"/>
            <w:vMerge w:val="restart"/>
            <w:tcBorders>
              <w:top w:val="single" w:sz="4" w:space="0" w:color="auto"/>
              <w:lef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+1.0</w:t>
            </w:r>
          </w:p>
          <w:p w:rsidR="00C62102" w:rsidRPr="001A53B7" w:rsidRDefault="00C62102" w:rsidP="00C62102">
            <w:pPr>
              <w:pStyle w:val="ListParagraph"/>
              <w:ind w:left="0"/>
              <w:jc w:val="center"/>
              <w:rPr>
                <w:rFonts w:ascii="Arial Narrow" w:hAnsi="Arial Narrow"/>
                <w:sz w:val="18"/>
                <w:szCs w:val="18"/>
              </w:rPr>
            </w:pPr>
            <w:r w:rsidRPr="001A53B7">
              <w:rPr>
                <w:rFonts w:ascii="Arial Narrow" w:hAnsi="Arial Narrow"/>
                <w:sz w:val="18"/>
                <w:szCs w:val="18"/>
              </w:rPr>
              <w:t>0.96 (0.37, 2.51)</w:t>
            </w:r>
          </w:p>
        </w:tc>
      </w:tr>
      <w:tr w:rsidR="00C62102" w:rsidRPr="001A53B7" w:rsidTr="001A53B7">
        <w:trPr>
          <w:trHeight w:val="20"/>
        </w:trPr>
        <w:tc>
          <w:tcPr>
            <w:tcW w:w="720" w:type="pct"/>
            <w:tcBorders>
              <w:top w:val="nil"/>
              <w:bottom w:val="single" w:sz="4" w:space="0" w:color="auto"/>
              <w:right w:val="single" w:sz="4" w:space="0" w:color="auto"/>
            </w:tcBorders>
          </w:tcPr>
          <w:p w:rsidR="00C62102" w:rsidRPr="001A53B7" w:rsidRDefault="00C62102" w:rsidP="00C62102">
            <w:pPr>
              <w:pStyle w:val="ListParagraph"/>
              <w:ind w:left="0" w:right="-57"/>
              <w:contextualSpacing w:val="0"/>
              <w:rPr>
                <w:rFonts w:ascii="Arial Narrow" w:hAnsi="Arial Narrow"/>
                <w:sz w:val="18"/>
                <w:szCs w:val="18"/>
              </w:rPr>
            </w:pPr>
            <w:r w:rsidRPr="001A53B7">
              <w:rPr>
                <w:rFonts w:ascii="Arial Narrow" w:hAnsi="Arial Narrow"/>
                <w:sz w:val="18"/>
                <w:szCs w:val="18"/>
              </w:rPr>
              <w:t>HR (95% CI)</w:t>
            </w:r>
          </w:p>
        </w:tc>
        <w:tc>
          <w:tcPr>
            <w:tcW w:w="1391" w:type="pct"/>
            <w:gridSpan w:val="4"/>
            <w:vMerge/>
            <w:tcBorders>
              <w:left w:val="single" w:sz="4" w:space="0" w:color="auto"/>
              <w:bottom w:val="single" w:sz="4" w:space="0" w:color="auto"/>
              <w:right w:val="single" w:sz="4" w:space="0" w:color="auto"/>
            </w:tcBorders>
          </w:tcPr>
          <w:p w:rsidR="00C62102" w:rsidRPr="001A53B7" w:rsidRDefault="00C62102" w:rsidP="00C62102">
            <w:pPr>
              <w:pStyle w:val="ListParagraph"/>
              <w:ind w:left="0"/>
              <w:contextualSpacing w:val="0"/>
              <w:jc w:val="center"/>
              <w:rPr>
                <w:rFonts w:ascii="Arial Narrow" w:hAnsi="Arial Narrow"/>
                <w:sz w:val="18"/>
                <w:szCs w:val="18"/>
                <w:vertAlign w:val="superscript"/>
              </w:rPr>
            </w:pPr>
          </w:p>
        </w:tc>
        <w:tc>
          <w:tcPr>
            <w:tcW w:w="1589" w:type="pct"/>
            <w:gridSpan w:val="5"/>
            <w:vMerge/>
            <w:tcBorders>
              <w:left w:val="single" w:sz="4" w:space="0" w:color="auto"/>
              <w:bottom w:val="single" w:sz="4" w:space="0" w:color="auto"/>
              <w:right w:val="single" w:sz="4" w:space="0" w:color="auto"/>
            </w:tcBorders>
          </w:tcPr>
          <w:p w:rsidR="00C62102" w:rsidRPr="001A53B7" w:rsidRDefault="00C62102" w:rsidP="00C62102">
            <w:pPr>
              <w:pStyle w:val="ListParagraph"/>
              <w:ind w:left="0"/>
              <w:contextualSpacing w:val="0"/>
              <w:jc w:val="center"/>
              <w:rPr>
                <w:rFonts w:ascii="Arial Narrow" w:hAnsi="Arial Narrow"/>
                <w:sz w:val="18"/>
                <w:szCs w:val="18"/>
              </w:rPr>
            </w:pPr>
          </w:p>
        </w:tc>
        <w:tc>
          <w:tcPr>
            <w:tcW w:w="1300" w:type="pct"/>
            <w:gridSpan w:val="6"/>
            <w:vMerge/>
            <w:tcBorders>
              <w:left w:val="single" w:sz="4" w:space="0" w:color="auto"/>
              <w:bottom w:val="single" w:sz="4" w:space="0" w:color="auto"/>
            </w:tcBorders>
          </w:tcPr>
          <w:p w:rsidR="00C62102" w:rsidRPr="001A53B7" w:rsidRDefault="00C62102" w:rsidP="00C62102">
            <w:pPr>
              <w:pStyle w:val="ListParagraph"/>
              <w:ind w:left="0"/>
              <w:contextualSpacing w:val="0"/>
              <w:jc w:val="center"/>
              <w:rPr>
                <w:rFonts w:ascii="Arial Narrow" w:hAnsi="Arial Narrow"/>
                <w:sz w:val="18"/>
                <w:szCs w:val="18"/>
                <w:vertAlign w:val="superscript"/>
              </w:rPr>
            </w:pPr>
          </w:p>
        </w:tc>
      </w:tr>
      <w:tr w:rsidR="00C62102" w:rsidRPr="001A53B7" w:rsidTr="001A53B7">
        <w:trPr>
          <w:trHeight w:val="20"/>
        </w:trPr>
        <w:tc>
          <w:tcPr>
            <w:tcW w:w="720" w:type="pct"/>
            <w:vMerge w:val="restart"/>
            <w:tcBorders>
              <w:top w:val="single" w:sz="4" w:space="0" w:color="auto"/>
            </w:tcBorders>
          </w:tcPr>
          <w:p w:rsidR="00C62102" w:rsidRPr="001A53B7" w:rsidRDefault="00C62102" w:rsidP="00C62102">
            <w:pPr>
              <w:pStyle w:val="ListParagraph"/>
              <w:ind w:left="0"/>
              <w:contextualSpacing w:val="0"/>
              <w:rPr>
                <w:rFonts w:ascii="Arial Narrow" w:hAnsi="Arial Narrow"/>
                <w:b/>
                <w:sz w:val="18"/>
                <w:szCs w:val="18"/>
                <w:u w:val="single"/>
              </w:rPr>
            </w:pPr>
            <w:r w:rsidRPr="001A53B7">
              <w:rPr>
                <w:rFonts w:ascii="Arial Narrow" w:hAnsi="Arial Narrow"/>
                <w:b/>
                <w:sz w:val="18"/>
                <w:szCs w:val="18"/>
                <w:u w:val="single"/>
              </w:rPr>
              <w:t>PICCOLO</w:t>
            </w:r>
          </w:p>
        </w:tc>
        <w:tc>
          <w:tcPr>
            <w:tcW w:w="1117" w:type="pct"/>
            <w:gridSpan w:val="3"/>
            <w:tcBorders>
              <w:top w:val="single" w:sz="4" w:space="0" w:color="auto"/>
              <w:bottom w:val="single" w:sz="4" w:space="0" w:color="auto"/>
            </w:tcBorders>
            <w:vAlign w:val="center"/>
          </w:tcPr>
          <w:p w:rsidR="00C62102" w:rsidRPr="001A53B7" w:rsidRDefault="00C62102" w:rsidP="00C62102">
            <w:pPr>
              <w:pStyle w:val="TableText0"/>
              <w:jc w:val="center"/>
              <w:rPr>
                <w:b/>
                <w:sz w:val="18"/>
                <w:szCs w:val="18"/>
              </w:rPr>
            </w:pPr>
            <w:r w:rsidRPr="001A53B7">
              <w:rPr>
                <w:b/>
                <w:i/>
                <w:sz w:val="18"/>
                <w:szCs w:val="18"/>
              </w:rPr>
              <w:t>KRAS</w:t>
            </w:r>
            <w:r w:rsidRPr="001A53B7">
              <w:rPr>
                <w:b/>
                <w:sz w:val="18"/>
                <w:szCs w:val="18"/>
              </w:rPr>
              <w:t xml:space="preserve"> WT (Exon 2,3)</w:t>
            </w:r>
          </w:p>
        </w:tc>
        <w:tc>
          <w:tcPr>
            <w:tcW w:w="1140" w:type="pct"/>
            <w:gridSpan w:val="4"/>
            <w:tcBorders>
              <w:top w:val="single" w:sz="4" w:space="0" w:color="auto"/>
              <w:bottom w:val="single" w:sz="4" w:space="0" w:color="auto"/>
            </w:tcBorders>
            <w:vAlign w:val="center"/>
          </w:tcPr>
          <w:p w:rsidR="00C62102" w:rsidRPr="001A53B7" w:rsidRDefault="00C62102" w:rsidP="00271047">
            <w:pPr>
              <w:pStyle w:val="TableText0"/>
              <w:jc w:val="center"/>
              <w:rPr>
                <w:b/>
                <w:sz w:val="18"/>
                <w:szCs w:val="18"/>
              </w:rPr>
            </w:pPr>
            <w:r w:rsidRPr="001A53B7">
              <w:rPr>
                <w:b/>
                <w:sz w:val="18"/>
                <w:szCs w:val="18"/>
              </w:rPr>
              <w:t xml:space="preserve">WT: </w:t>
            </w:r>
            <w:r w:rsidRPr="001A53B7">
              <w:rPr>
                <w:b/>
                <w:i/>
                <w:sz w:val="18"/>
                <w:szCs w:val="18"/>
              </w:rPr>
              <w:t>KRAS</w:t>
            </w:r>
            <w:r w:rsidRPr="001A53B7">
              <w:rPr>
                <w:b/>
                <w:sz w:val="18"/>
                <w:szCs w:val="18"/>
              </w:rPr>
              <w:t xml:space="preserve"> (Exon 2,3,4), </w:t>
            </w:r>
            <w:r w:rsidRPr="001A53B7">
              <w:rPr>
                <w:b/>
                <w:i/>
                <w:sz w:val="18"/>
                <w:szCs w:val="18"/>
              </w:rPr>
              <w:t>NRAS</w:t>
            </w:r>
            <w:r w:rsidRPr="001A53B7">
              <w:rPr>
                <w:b/>
                <w:sz w:val="18"/>
                <w:szCs w:val="18"/>
              </w:rPr>
              <w:t xml:space="preserve"> (Exon 2,3), </w:t>
            </w:r>
            <w:r w:rsidRPr="001A53B7">
              <w:rPr>
                <w:b/>
                <w:i/>
                <w:sz w:val="18"/>
                <w:szCs w:val="18"/>
              </w:rPr>
              <w:t>BRAF</w:t>
            </w:r>
            <w:r w:rsidRPr="001A53B7">
              <w:rPr>
                <w:b/>
                <w:sz w:val="18"/>
                <w:szCs w:val="18"/>
              </w:rPr>
              <w:t xml:space="preserve">, and </w:t>
            </w:r>
            <w:r w:rsidRPr="001A53B7">
              <w:rPr>
                <w:b/>
                <w:i/>
                <w:sz w:val="18"/>
                <w:szCs w:val="18"/>
              </w:rPr>
              <w:t>PIKC3A</w:t>
            </w:r>
          </w:p>
        </w:tc>
        <w:tc>
          <w:tcPr>
            <w:tcW w:w="1076" w:type="pct"/>
            <w:gridSpan w:val="3"/>
            <w:tcBorders>
              <w:top w:val="single" w:sz="4" w:space="0" w:color="auto"/>
              <w:bottom w:val="single" w:sz="4" w:space="0" w:color="auto"/>
            </w:tcBorders>
            <w:vAlign w:val="center"/>
          </w:tcPr>
          <w:p w:rsidR="00C62102" w:rsidRPr="001A53B7" w:rsidRDefault="00C62102" w:rsidP="001E6049">
            <w:pPr>
              <w:pStyle w:val="TableText0"/>
              <w:jc w:val="center"/>
              <w:rPr>
                <w:b/>
                <w:sz w:val="18"/>
                <w:szCs w:val="18"/>
              </w:rPr>
            </w:pPr>
            <w:r w:rsidRPr="001A53B7">
              <w:rPr>
                <w:b/>
                <w:i/>
                <w:sz w:val="18"/>
                <w:szCs w:val="18"/>
              </w:rPr>
              <w:t>KRAS</w:t>
            </w:r>
            <w:r w:rsidRPr="001A53B7">
              <w:rPr>
                <w:b/>
                <w:sz w:val="18"/>
                <w:szCs w:val="18"/>
              </w:rPr>
              <w:t xml:space="preserve"> WT (Exon 2,3), </w:t>
            </w:r>
            <w:r w:rsidRPr="001A53B7">
              <w:rPr>
                <w:b/>
                <w:i/>
                <w:sz w:val="18"/>
                <w:szCs w:val="18"/>
              </w:rPr>
              <w:t>KRAS</w:t>
            </w:r>
            <w:r w:rsidRPr="001A53B7">
              <w:rPr>
                <w:b/>
                <w:sz w:val="18"/>
                <w:szCs w:val="18"/>
              </w:rPr>
              <w:t xml:space="preserve"> MT (Exon 4)</w:t>
            </w:r>
          </w:p>
        </w:tc>
        <w:tc>
          <w:tcPr>
            <w:tcW w:w="948" w:type="pct"/>
            <w:gridSpan w:val="5"/>
            <w:tcBorders>
              <w:top w:val="single" w:sz="4" w:space="0" w:color="auto"/>
              <w:bottom w:val="single" w:sz="4" w:space="0" w:color="auto"/>
            </w:tcBorders>
            <w:vAlign w:val="center"/>
          </w:tcPr>
          <w:p w:rsidR="00C62102" w:rsidRPr="001A53B7" w:rsidRDefault="00C62102" w:rsidP="00C62102">
            <w:pPr>
              <w:pStyle w:val="TableText0"/>
              <w:jc w:val="center"/>
              <w:rPr>
                <w:b/>
                <w:sz w:val="18"/>
                <w:szCs w:val="18"/>
              </w:rPr>
            </w:pPr>
            <w:r w:rsidRPr="001A53B7">
              <w:rPr>
                <w:b/>
                <w:i/>
                <w:sz w:val="18"/>
                <w:szCs w:val="18"/>
              </w:rPr>
              <w:t>KRAS</w:t>
            </w:r>
            <w:r w:rsidRPr="001A53B7">
              <w:rPr>
                <w:b/>
                <w:sz w:val="18"/>
                <w:szCs w:val="18"/>
              </w:rPr>
              <w:t xml:space="preserve"> WT (Exon 2,3), </w:t>
            </w:r>
            <w:r w:rsidRPr="001A53B7">
              <w:rPr>
                <w:b/>
                <w:i/>
                <w:sz w:val="18"/>
                <w:szCs w:val="18"/>
              </w:rPr>
              <w:t>NRAS</w:t>
            </w:r>
            <w:r w:rsidRPr="001A53B7">
              <w:rPr>
                <w:b/>
                <w:sz w:val="18"/>
                <w:szCs w:val="18"/>
              </w:rPr>
              <w:t xml:space="preserve"> MT (Exon 2,3)</w:t>
            </w:r>
          </w:p>
        </w:tc>
      </w:tr>
      <w:tr w:rsidR="00C62102" w:rsidRPr="001A53B7" w:rsidTr="001A53B7">
        <w:trPr>
          <w:trHeight w:val="20"/>
        </w:trPr>
        <w:tc>
          <w:tcPr>
            <w:tcW w:w="720" w:type="pct"/>
            <w:vMerge/>
            <w:tcBorders>
              <w:bottom w:val="single" w:sz="4" w:space="0" w:color="auto"/>
            </w:tcBorders>
          </w:tcPr>
          <w:p w:rsidR="00C62102" w:rsidRPr="001A53B7" w:rsidRDefault="00C62102" w:rsidP="00C62102">
            <w:pPr>
              <w:pStyle w:val="ListParagraph"/>
              <w:ind w:left="0"/>
              <w:contextualSpacing w:val="0"/>
              <w:jc w:val="center"/>
              <w:rPr>
                <w:rFonts w:ascii="Arial Narrow" w:hAnsi="Arial Narrow"/>
                <w:sz w:val="18"/>
                <w:szCs w:val="18"/>
                <w:u w:val="single"/>
              </w:rPr>
            </w:pPr>
          </w:p>
        </w:tc>
        <w:tc>
          <w:tcPr>
            <w:tcW w:w="616" w:type="pct"/>
            <w:tcBorders>
              <w:top w:val="single" w:sz="4" w:space="0" w:color="auto"/>
              <w:bottom w:val="single" w:sz="4" w:space="0" w:color="auto"/>
            </w:tcBorders>
            <w:vAlign w:val="center"/>
          </w:tcPr>
          <w:p w:rsidR="00C62102" w:rsidRPr="001A53B7" w:rsidRDefault="00C62102" w:rsidP="00C62102">
            <w:pPr>
              <w:pStyle w:val="TableText0"/>
              <w:jc w:val="center"/>
              <w:rPr>
                <w:rFonts w:eastAsia="Batang" w:cs="Arial"/>
                <w:b/>
                <w:sz w:val="18"/>
                <w:szCs w:val="18"/>
                <w:u w:val="single"/>
              </w:rPr>
            </w:pPr>
            <w:proofErr w:type="spellStart"/>
            <w:r w:rsidRPr="001A53B7">
              <w:rPr>
                <w:rFonts w:cs="Arial"/>
                <w:b/>
                <w:sz w:val="18"/>
                <w:szCs w:val="18"/>
              </w:rPr>
              <w:t>Pmab</w:t>
            </w:r>
            <w:proofErr w:type="spellEnd"/>
            <w:r w:rsidR="00131AC7" w:rsidRPr="001A53B7">
              <w:rPr>
                <w:rFonts w:cs="Arial"/>
                <w:b/>
                <w:sz w:val="18"/>
                <w:szCs w:val="18"/>
              </w:rPr>
              <w:t xml:space="preserve"> </w:t>
            </w:r>
            <w:r w:rsidRPr="001A53B7">
              <w:rPr>
                <w:rFonts w:cs="Arial"/>
                <w:b/>
                <w:sz w:val="18"/>
                <w:szCs w:val="18"/>
              </w:rPr>
              <w:t>+</w:t>
            </w:r>
            <w:r w:rsidR="00131AC7" w:rsidRPr="001A53B7">
              <w:rPr>
                <w:rFonts w:cs="Arial"/>
                <w:b/>
                <w:sz w:val="18"/>
                <w:szCs w:val="18"/>
              </w:rPr>
              <w:t xml:space="preserve"> </w:t>
            </w:r>
            <w:proofErr w:type="spellStart"/>
            <w:r w:rsidRPr="001A53B7">
              <w:rPr>
                <w:rFonts w:cs="Arial"/>
                <w:b/>
                <w:sz w:val="18"/>
                <w:szCs w:val="18"/>
              </w:rPr>
              <w:t>Iri</w:t>
            </w:r>
            <w:proofErr w:type="spellEnd"/>
          </w:p>
        </w:tc>
        <w:tc>
          <w:tcPr>
            <w:tcW w:w="501" w:type="pct"/>
            <w:gridSpan w:val="2"/>
            <w:tcBorders>
              <w:top w:val="single" w:sz="4" w:space="0" w:color="auto"/>
              <w:bottom w:val="single" w:sz="4" w:space="0" w:color="auto"/>
            </w:tcBorders>
            <w:vAlign w:val="center"/>
          </w:tcPr>
          <w:p w:rsidR="00C62102" w:rsidRPr="001A53B7" w:rsidRDefault="00C62102" w:rsidP="00C62102">
            <w:pPr>
              <w:pStyle w:val="TableText0"/>
              <w:jc w:val="center"/>
              <w:rPr>
                <w:rFonts w:eastAsia="Batang" w:cs="Arial"/>
                <w:b/>
                <w:sz w:val="18"/>
                <w:szCs w:val="18"/>
                <w:u w:val="single"/>
              </w:rPr>
            </w:pPr>
            <w:proofErr w:type="spellStart"/>
            <w:r w:rsidRPr="001A53B7">
              <w:rPr>
                <w:rFonts w:cs="Arial"/>
                <w:b/>
                <w:sz w:val="18"/>
                <w:szCs w:val="18"/>
              </w:rPr>
              <w:t>Iri</w:t>
            </w:r>
            <w:proofErr w:type="spellEnd"/>
          </w:p>
        </w:tc>
        <w:tc>
          <w:tcPr>
            <w:tcW w:w="622" w:type="pct"/>
            <w:gridSpan w:val="2"/>
            <w:tcBorders>
              <w:top w:val="single" w:sz="4" w:space="0" w:color="auto"/>
              <w:bottom w:val="single" w:sz="4" w:space="0" w:color="auto"/>
            </w:tcBorders>
            <w:vAlign w:val="center"/>
          </w:tcPr>
          <w:p w:rsidR="00C62102" w:rsidRPr="001A53B7" w:rsidRDefault="00C62102" w:rsidP="00C62102">
            <w:pPr>
              <w:pStyle w:val="TableText0"/>
              <w:jc w:val="center"/>
              <w:rPr>
                <w:rFonts w:eastAsia="Batang" w:cs="Arial"/>
                <w:b/>
                <w:sz w:val="18"/>
                <w:szCs w:val="18"/>
                <w:u w:val="single"/>
              </w:rPr>
            </w:pPr>
            <w:proofErr w:type="spellStart"/>
            <w:r w:rsidRPr="001A53B7">
              <w:rPr>
                <w:rFonts w:cs="Arial"/>
                <w:b/>
                <w:sz w:val="18"/>
                <w:szCs w:val="18"/>
              </w:rPr>
              <w:t>Pmab</w:t>
            </w:r>
            <w:proofErr w:type="spellEnd"/>
            <w:r w:rsidR="00131AC7" w:rsidRPr="001A53B7">
              <w:rPr>
                <w:rFonts w:cs="Arial"/>
                <w:b/>
                <w:sz w:val="18"/>
                <w:szCs w:val="18"/>
              </w:rPr>
              <w:t xml:space="preserve"> </w:t>
            </w:r>
            <w:r w:rsidRPr="001A53B7">
              <w:rPr>
                <w:rFonts w:cs="Arial"/>
                <w:b/>
                <w:sz w:val="18"/>
                <w:szCs w:val="18"/>
              </w:rPr>
              <w:t>+</w:t>
            </w:r>
            <w:r w:rsidR="00131AC7" w:rsidRPr="001A53B7">
              <w:rPr>
                <w:rFonts w:cs="Arial"/>
                <w:b/>
                <w:sz w:val="18"/>
                <w:szCs w:val="18"/>
              </w:rPr>
              <w:t xml:space="preserve"> </w:t>
            </w:r>
            <w:proofErr w:type="spellStart"/>
            <w:r w:rsidRPr="001A53B7">
              <w:rPr>
                <w:rFonts w:cs="Arial"/>
                <w:b/>
                <w:sz w:val="18"/>
                <w:szCs w:val="18"/>
              </w:rPr>
              <w:t>Iri</w:t>
            </w:r>
            <w:proofErr w:type="spellEnd"/>
          </w:p>
        </w:tc>
        <w:tc>
          <w:tcPr>
            <w:tcW w:w="518" w:type="pct"/>
            <w:gridSpan w:val="2"/>
            <w:tcBorders>
              <w:top w:val="single" w:sz="4" w:space="0" w:color="auto"/>
              <w:bottom w:val="single" w:sz="4" w:space="0" w:color="auto"/>
            </w:tcBorders>
            <w:vAlign w:val="center"/>
          </w:tcPr>
          <w:p w:rsidR="00C62102" w:rsidRPr="001A53B7" w:rsidRDefault="00C62102" w:rsidP="00C62102">
            <w:pPr>
              <w:pStyle w:val="TableText0"/>
              <w:jc w:val="center"/>
              <w:rPr>
                <w:rFonts w:eastAsia="Batang" w:cs="Arial"/>
                <w:b/>
                <w:sz w:val="18"/>
                <w:szCs w:val="18"/>
                <w:u w:val="single"/>
              </w:rPr>
            </w:pPr>
            <w:proofErr w:type="spellStart"/>
            <w:r w:rsidRPr="001A53B7">
              <w:rPr>
                <w:rFonts w:cs="Arial"/>
                <w:b/>
                <w:sz w:val="18"/>
                <w:szCs w:val="18"/>
              </w:rPr>
              <w:t>Iri</w:t>
            </w:r>
            <w:proofErr w:type="spellEnd"/>
          </w:p>
        </w:tc>
        <w:tc>
          <w:tcPr>
            <w:tcW w:w="671" w:type="pct"/>
            <w:tcBorders>
              <w:top w:val="single" w:sz="4" w:space="0" w:color="auto"/>
              <w:bottom w:val="single" w:sz="4" w:space="0" w:color="auto"/>
            </w:tcBorders>
            <w:vAlign w:val="center"/>
          </w:tcPr>
          <w:p w:rsidR="00C62102" w:rsidRPr="001A53B7" w:rsidRDefault="00C62102" w:rsidP="00C62102">
            <w:pPr>
              <w:pStyle w:val="TableText0"/>
              <w:jc w:val="center"/>
              <w:rPr>
                <w:rFonts w:eastAsia="Batang" w:cs="Arial"/>
                <w:b/>
                <w:sz w:val="18"/>
                <w:szCs w:val="18"/>
                <w:u w:val="single"/>
              </w:rPr>
            </w:pPr>
            <w:proofErr w:type="spellStart"/>
            <w:r w:rsidRPr="001A53B7">
              <w:rPr>
                <w:rFonts w:cs="Arial"/>
                <w:b/>
                <w:sz w:val="18"/>
                <w:szCs w:val="18"/>
              </w:rPr>
              <w:t>Pmab</w:t>
            </w:r>
            <w:proofErr w:type="spellEnd"/>
            <w:r w:rsidR="00131AC7" w:rsidRPr="001A53B7">
              <w:rPr>
                <w:rFonts w:cs="Arial"/>
                <w:b/>
                <w:sz w:val="18"/>
                <w:szCs w:val="18"/>
              </w:rPr>
              <w:t xml:space="preserve"> </w:t>
            </w:r>
            <w:r w:rsidRPr="001A53B7">
              <w:rPr>
                <w:rFonts w:cs="Arial"/>
                <w:b/>
                <w:sz w:val="18"/>
                <w:szCs w:val="18"/>
              </w:rPr>
              <w:t>+</w:t>
            </w:r>
            <w:r w:rsidR="00131AC7" w:rsidRPr="001A53B7">
              <w:rPr>
                <w:rFonts w:cs="Arial"/>
                <w:b/>
                <w:sz w:val="18"/>
                <w:szCs w:val="18"/>
              </w:rPr>
              <w:t xml:space="preserve"> </w:t>
            </w:r>
            <w:proofErr w:type="spellStart"/>
            <w:r w:rsidR="00AE6CA5" w:rsidRPr="001A53B7">
              <w:rPr>
                <w:rFonts w:cs="Arial"/>
                <w:b/>
                <w:sz w:val="18"/>
                <w:szCs w:val="18"/>
              </w:rPr>
              <w:t>I</w:t>
            </w:r>
            <w:r w:rsidRPr="001A53B7">
              <w:rPr>
                <w:rFonts w:cs="Arial"/>
                <w:b/>
                <w:sz w:val="18"/>
                <w:szCs w:val="18"/>
              </w:rPr>
              <w:t>ri</w:t>
            </w:r>
            <w:proofErr w:type="spellEnd"/>
          </w:p>
        </w:tc>
        <w:tc>
          <w:tcPr>
            <w:tcW w:w="405" w:type="pct"/>
            <w:gridSpan w:val="2"/>
            <w:tcBorders>
              <w:top w:val="single" w:sz="4" w:space="0" w:color="auto"/>
              <w:bottom w:val="single" w:sz="4" w:space="0" w:color="auto"/>
            </w:tcBorders>
            <w:vAlign w:val="center"/>
          </w:tcPr>
          <w:p w:rsidR="00C62102" w:rsidRPr="001A53B7" w:rsidRDefault="00C62102" w:rsidP="00C62102">
            <w:pPr>
              <w:pStyle w:val="TableText0"/>
              <w:jc w:val="center"/>
              <w:rPr>
                <w:rFonts w:eastAsia="Batang" w:cs="Arial"/>
                <w:b/>
                <w:sz w:val="18"/>
                <w:szCs w:val="18"/>
                <w:u w:val="single"/>
              </w:rPr>
            </w:pPr>
            <w:proofErr w:type="spellStart"/>
            <w:r w:rsidRPr="001A53B7">
              <w:rPr>
                <w:rFonts w:cs="Arial"/>
                <w:b/>
                <w:sz w:val="18"/>
                <w:szCs w:val="18"/>
              </w:rPr>
              <w:t>Iri</w:t>
            </w:r>
            <w:proofErr w:type="spellEnd"/>
          </w:p>
        </w:tc>
        <w:tc>
          <w:tcPr>
            <w:tcW w:w="642" w:type="pct"/>
            <w:gridSpan w:val="4"/>
            <w:tcBorders>
              <w:top w:val="single" w:sz="4" w:space="0" w:color="auto"/>
              <w:bottom w:val="single" w:sz="4" w:space="0" w:color="auto"/>
            </w:tcBorders>
            <w:vAlign w:val="center"/>
          </w:tcPr>
          <w:p w:rsidR="00C62102" w:rsidRPr="001A53B7" w:rsidRDefault="00C62102" w:rsidP="00C62102">
            <w:pPr>
              <w:pStyle w:val="TableText0"/>
              <w:jc w:val="center"/>
              <w:rPr>
                <w:rFonts w:eastAsia="Batang" w:cs="Arial"/>
                <w:b/>
                <w:sz w:val="18"/>
                <w:szCs w:val="18"/>
                <w:u w:val="single"/>
              </w:rPr>
            </w:pPr>
            <w:proofErr w:type="spellStart"/>
            <w:r w:rsidRPr="001A53B7">
              <w:rPr>
                <w:rFonts w:cs="Arial"/>
                <w:b/>
                <w:sz w:val="18"/>
                <w:szCs w:val="18"/>
              </w:rPr>
              <w:t>Pmab</w:t>
            </w:r>
            <w:proofErr w:type="spellEnd"/>
            <w:r w:rsidR="00131AC7" w:rsidRPr="001A53B7">
              <w:rPr>
                <w:rFonts w:cs="Arial"/>
                <w:b/>
                <w:sz w:val="18"/>
                <w:szCs w:val="18"/>
              </w:rPr>
              <w:t xml:space="preserve"> </w:t>
            </w:r>
            <w:r w:rsidRPr="001A53B7">
              <w:rPr>
                <w:rFonts w:cs="Arial"/>
                <w:b/>
                <w:sz w:val="18"/>
                <w:szCs w:val="18"/>
              </w:rPr>
              <w:t>+</w:t>
            </w:r>
            <w:r w:rsidR="00131AC7" w:rsidRPr="001A53B7">
              <w:rPr>
                <w:rFonts w:cs="Arial"/>
                <w:b/>
                <w:sz w:val="18"/>
                <w:szCs w:val="18"/>
              </w:rPr>
              <w:t xml:space="preserve"> </w:t>
            </w:r>
            <w:proofErr w:type="spellStart"/>
            <w:r w:rsidRPr="001A53B7">
              <w:rPr>
                <w:rFonts w:cs="Arial"/>
                <w:b/>
                <w:sz w:val="18"/>
                <w:szCs w:val="18"/>
              </w:rPr>
              <w:t>Iri</w:t>
            </w:r>
            <w:proofErr w:type="spellEnd"/>
          </w:p>
        </w:tc>
        <w:tc>
          <w:tcPr>
            <w:tcW w:w="306" w:type="pct"/>
            <w:tcBorders>
              <w:top w:val="single" w:sz="4" w:space="0" w:color="auto"/>
              <w:bottom w:val="single" w:sz="4" w:space="0" w:color="auto"/>
            </w:tcBorders>
            <w:vAlign w:val="center"/>
          </w:tcPr>
          <w:p w:rsidR="00C62102" w:rsidRPr="001A53B7" w:rsidRDefault="00C62102" w:rsidP="00C62102">
            <w:pPr>
              <w:pStyle w:val="TableText0"/>
              <w:jc w:val="center"/>
              <w:rPr>
                <w:rFonts w:eastAsia="Batang" w:cs="Arial"/>
                <w:b/>
                <w:sz w:val="18"/>
                <w:szCs w:val="18"/>
                <w:u w:val="single"/>
              </w:rPr>
            </w:pPr>
            <w:proofErr w:type="spellStart"/>
            <w:r w:rsidRPr="001A53B7">
              <w:rPr>
                <w:rFonts w:cs="Arial"/>
                <w:b/>
                <w:sz w:val="18"/>
                <w:szCs w:val="18"/>
              </w:rPr>
              <w:t>Iri</w:t>
            </w:r>
            <w:proofErr w:type="spellEnd"/>
          </w:p>
        </w:tc>
      </w:tr>
      <w:tr w:rsidR="00C62102" w:rsidRPr="001A53B7" w:rsidTr="001A53B7">
        <w:trPr>
          <w:trHeight w:val="20"/>
        </w:trPr>
        <w:tc>
          <w:tcPr>
            <w:tcW w:w="720" w:type="pct"/>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tabs>
                <w:tab w:val="left" w:pos="1168"/>
              </w:tabs>
              <w:ind w:left="0" w:right="-113"/>
              <w:contextualSpacing w:val="0"/>
              <w:rPr>
                <w:rFonts w:ascii="Arial Narrow" w:hAnsi="Arial Narrow"/>
                <w:sz w:val="18"/>
                <w:szCs w:val="18"/>
              </w:rPr>
            </w:pPr>
            <w:r w:rsidRPr="001A53B7">
              <w:rPr>
                <w:rFonts w:ascii="Arial Narrow" w:hAnsi="Arial Narrow"/>
                <w:sz w:val="18"/>
                <w:szCs w:val="18"/>
              </w:rPr>
              <w:t>N</w:t>
            </w:r>
          </w:p>
        </w:tc>
        <w:tc>
          <w:tcPr>
            <w:tcW w:w="616" w:type="pct"/>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230</w:t>
            </w:r>
          </w:p>
        </w:tc>
        <w:tc>
          <w:tcPr>
            <w:tcW w:w="501"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230</w:t>
            </w:r>
          </w:p>
        </w:tc>
        <w:tc>
          <w:tcPr>
            <w:tcW w:w="622"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160</w:t>
            </w:r>
          </w:p>
        </w:tc>
        <w:tc>
          <w:tcPr>
            <w:tcW w:w="518"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163</w:t>
            </w:r>
          </w:p>
        </w:tc>
        <w:tc>
          <w:tcPr>
            <w:tcW w:w="671" w:type="pct"/>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9</w:t>
            </w:r>
          </w:p>
        </w:tc>
        <w:tc>
          <w:tcPr>
            <w:tcW w:w="405" w:type="pct"/>
            <w:gridSpan w:val="2"/>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8</w:t>
            </w:r>
          </w:p>
        </w:tc>
        <w:tc>
          <w:tcPr>
            <w:tcW w:w="642" w:type="pct"/>
            <w:gridSpan w:val="4"/>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19</w:t>
            </w:r>
          </w:p>
        </w:tc>
        <w:tc>
          <w:tcPr>
            <w:tcW w:w="306" w:type="pct"/>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ListParagraph"/>
              <w:keepNext/>
              <w:ind w:left="0"/>
              <w:contextualSpacing w:val="0"/>
              <w:jc w:val="center"/>
              <w:rPr>
                <w:rFonts w:ascii="Arial Narrow" w:hAnsi="Arial Narrow"/>
                <w:sz w:val="18"/>
                <w:szCs w:val="18"/>
              </w:rPr>
            </w:pPr>
            <w:r w:rsidRPr="001A53B7">
              <w:rPr>
                <w:rFonts w:ascii="Arial Narrow" w:hAnsi="Arial Narrow"/>
                <w:sz w:val="18"/>
                <w:szCs w:val="18"/>
              </w:rPr>
              <w:t>10</w:t>
            </w:r>
          </w:p>
        </w:tc>
      </w:tr>
      <w:tr w:rsidR="00C62102" w:rsidRPr="001A53B7" w:rsidTr="001A53B7">
        <w:trPr>
          <w:trHeight w:val="20"/>
        </w:trPr>
        <w:tc>
          <w:tcPr>
            <w:tcW w:w="720" w:type="pct"/>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TableText0"/>
              <w:rPr>
                <w:sz w:val="18"/>
                <w:szCs w:val="18"/>
              </w:rPr>
            </w:pPr>
            <w:r w:rsidRPr="001A53B7">
              <w:rPr>
                <w:sz w:val="18"/>
                <w:szCs w:val="18"/>
              </w:rPr>
              <w:t>OS HR (95% CI)</w:t>
            </w:r>
          </w:p>
          <w:p w:rsidR="00C62102" w:rsidRPr="001A53B7" w:rsidRDefault="00C62102" w:rsidP="00C62102">
            <w:pPr>
              <w:pStyle w:val="TableText0"/>
              <w:rPr>
                <w:sz w:val="18"/>
                <w:szCs w:val="18"/>
              </w:rPr>
            </w:pPr>
            <w:r w:rsidRPr="001A53B7">
              <w:rPr>
                <w:sz w:val="18"/>
                <w:szCs w:val="18"/>
              </w:rPr>
              <w:t>p-value</w:t>
            </w:r>
          </w:p>
        </w:tc>
        <w:tc>
          <w:tcPr>
            <w:tcW w:w="1117" w:type="pct"/>
            <w:gridSpan w:val="3"/>
            <w:tcBorders>
              <w:top w:val="single" w:sz="4" w:space="0" w:color="auto"/>
              <w:left w:val="single" w:sz="4" w:space="0" w:color="auto"/>
              <w:bottom w:val="single" w:sz="4" w:space="0" w:color="auto"/>
              <w:right w:val="single" w:sz="4" w:space="0" w:color="auto"/>
            </w:tcBorders>
            <w:vAlign w:val="center"/>
          </w:tcPr>
          <w:p w:rsidR="00C62102" w:rsidRPr="001A53B7" w:rsidRDefault="00C62102" w:rsidP="00C62102">
            <w:pPr>
              <w:pStyle w:val="TableText0"/>
              <w:tabs>
                <w:tab w:val="left" w:pos="1886"/>
                <w:tab w:val="left" w:pos="3162"/>
              </w:tabs>
              <w:jc w:val="center"/>
              <w:rPr>
                <w:rFonts w:cs="Arial"/>
                <w:sz w:val="18"/>
                <w:szCs w:val="18"/>
              </w:rPr>
            </w:pPr>
            <w:r w:rsidRPr="001A53B7">
              <w:rPr>
                <w:rFonts w:cs="Arial"/>
                <w:sz w:val="18"/>
                <w:szCs w:val="18"/>
              </w:rPr>
              <w:t>1.01 (0.83, 1.23)</w:t>
            </w:r>
          </w:p>
          <w:p w:rsidR="00C62102" w:rsidRPr="001A53B7" w:rsidRDefault="00C62102" w:rsidP="00C62102">
            <w:pPr>
              <w:pStyle w:val="TableText0"/>
              <w:tabs>
                <w:tab w:val="left" w:pos="1886"/>
                <w:tab w:val="left" w:pos="3162"/>
              </w:tabs>
              <w:jc w:val="center"/>
              <w:rPr>
                <w:rFonts w:cs="Arial"/>
                <w:sz w:val="18"/>
                <w:szCs w:val="18"/>
              </w:rPr>
            </w:pPr>
            <w:r w:rsidRPr="001A53B7">
              <w:rPr>
                <w:rFonts w:cs="Arial"/>
                <w:sz w:val="18"/>
                <w:szCs w:val="18"/>
              </w:rPr>
              <w:t>p=0.91</w:t>
            </w:r>
          </w:p>
        </w:tc>
        <w:tc>
          <w:tcPr>
            <w:tcW w:w="1140" w:type="pct"/>
            <w:gridSpan w:val="4"/>
            <w:tcBorders>
              <w:top w:val="single" w:sz="4" w:space="0" w:color="auto"/>
              <w:left w:val="single" w:sz="4" w:space="0" w:color="auto"/>
              <w:bottom w:val="single" w:sz="4" w:space="0" w:color="auto"/>
              <w:right w:val="single" w:sz="4" w:space="0" w:color="auto"/>
            </w:tcBorders>
            <w:vAlign w:val="center"/>
          </w:tcPr>
          <w:p w:rsidR="00C62102" w:rsidRPr="001A53B7" w:rsidRDefault="00C62102" w:rsidP="00C62102">
            <w:pPr>
              <w:pStyle w:val="TableText0"/>
              <w:tabs>
                <w:tab w:val="left" w:pos="1886"/>
                <w:tab w:val="left" w:pos="3162"/>
              </w:tabs>
              <w:jc w:val="center"/>
              <w:rPr>
                <w:rFonts w:cs="Arial"/>
                <w:sz w:val="18"/>
                <w:szCs w:val="18"/>
              </w:rPr>
            </w:pPr>
            <w:r w:rsidRPr="001A53B7">
              <w:rPr>
                <w:rFonts w:cs="Arial"/>
                <w:sz w:val="18"/>
                <w:szCs w:val="18"/>
              </w:rPr>
              <w:t>0.92 (0.73, 1.16)</w:t>
            </w:r>
          </w:p>
          <w:p w:rsidR="00C62102" w:rsidRPr="001A53B7" w:rsidRDefault="00C62102" w:rsidP="00C62102">
            <w:pPr>
              <w:pStyle w:val="TableText0"/>
              <w:tabs>
                <w:tab w:val="left" w:pos="1886"/>
                <w:tab w:val="left" w:pos="3162"/>
              </w:tabs>
              <w:jc w:val="center"/>
              <w:rPr>
                <w:rFonts w:cs="Arial"/>
                <w:sz w:val="18"/>
                <w:szCs w:val="18"/>
              </w:rPr>
            </w:pPr>
            <w:r w:rsidRPr="001A53B7">
              <w:rPr>
                <w:rFonts w:cs="Arial"/>
                <w:sz w:val="18"/>
                <w:szCs w:val="18"/>
              </w:rPr>
              <w:t>p-value NR</w:t>
            </w:r>
          </w:p>
        </w:tc>
        <w:tc>
          <w:tcPr>
            <w:tcW w:w="1076" w:type="pct"/>
            <w:gridSpan w:val="3"/>
            <w:tcBorders>
              <w:top w:val="single" w:sz="4" w:space="0" w:color="auto"/>
              <w:left w:val="single" w:sz="4" w:space="0" w:color="auto"/>
              <w:bottom w:val="single" w:sz="4" w:space="0" w:color="auto"/>
              <w:right w:val="single" w:sz="4" w:space="0" w:color="auto"/>
            </w:tcBorders>
            <w:vAlign w:val="center"/>
          </w:tcPr>
          <w:p w:rsidR="00C62102" w:rsidRPr="001A53B7" w:rsidRDefault="00C62102" w:rsidP="00C62102">
            <w:pPr>
              <w:pStyle w:val="TableText0"/>
              <w:tabs>
                <w:tab w:val="left" w:pos="1886"/>
                <w:tab w:val="left" w:pos="3162"/>
              </w:tabs>
              <w:jc w:val="center"/>
              <w:rPr>
                <w:rFonts w:cs="Arial"/>
                <w:sz w:val="18"/>
                <w:szCs w:val="18"/>
              </w:rPr>
            </w:pPr>
            <w:r w:rsidRPr="001A53B7">
              <w:rPr>
                <w:rFonts w:cs="Arial"/>
                <w:sz w:val="18"/>
                <w:szCs w:val="18"/>
              </w:rPr>
              <w:t>1.73 (0.45, 6.58)</w:t>
            </w:r>
          </w:p>
          <w:p w:rsidR="00C62102" w:rsidRPr="001A53B7" w:rsidRDefault="00C62102" w:rsidP="00C62102">
            <w:pPr>
              <w:jc w:val="center"/>
              <w:rPr>
                <w:rFonts w:ascii="Arial Narrow" w:hAnsi="Arial Narrow"/>
                <w:color w:val="000000"/>
                <w:sz w:val="18"/>
                <w:szCs w:val="18"/>
              </w:rPr>
            </w:pPr>
            <w:r w:rsidRPr="001A53B7">
              <w:rPr>
                <w:rFonts w:ascii="Arial Narrow" w:hAnsi="Arial Narrow"/>
                <w:sz w:val="18"/>
                <w:szCs w:val="18"/>
              </w:rPr>
              <w:t>p-value NR</w:t>
            </w:r>
          </w:p>
        </w:tc>
        <w:tc>
          <w:tcPr>
            <w:tcW w:w="948" w:type="pct"/>
            <w:gridSpan w:val="5"/>
            <w:tcBorders>
              <w:top w:val="single" w:sz="4" w:space="0" w:color="auto"/>
              <w:left w:val="single" w:sz="4" w:space="0" w:color="auto"/>
              <w:bottom w:val="single" w:sz="4" w:space="0" w:color="auto"/>
              <w:right w:val="single" w:sz="4" w:space="0" w:color="auto"/>
            </w:tcBorders>
            <w:vAlign w:val="center"/>
          </w:tcPr>
          <w:p w:rsidR="00C62102" w:rsidRPr="001A53B7" w:rsidRDefault="00C62102" w:rsidP="00C62102">
            <w:pPr>
              <w:pStyle w:val="TableText0"/>
              <w:tabs>
                <w:tab w:val="left" w:pos="1886"/>
                <w:tab w:val="left" w:pos="3162"/>
              </w:tabs>
              <w:jc w:val="center"/>
              <w:rPr>
                <w:rFonts w:cs="Arial"/>
                <w:sz w:val="18"/>
                <w:szCs w:val="18"/>
              </w:rPr>
            </w:pPr>
            <w:r w:rsidRPr="001A53B7">
              <w:rPr>
                <w:rFonts w:cs="Arial"/>
                <w:sz w:val="18"/>
                <w:szCs w:val="18"/>
              </w:rPr>
              <w:t>1.97 (0.83, 4.67)</w:t>
            </w:r>
          </w:p>
          <w:p w:rsidR="00C62102" w:rsidRPr="001A53B7" w:rsidRDefault="00C62102" w:rsidP="00C62102">
            <w:pPr>
              <w:pStyle w:val="TableText0"/>
              <w:tabs>
                <w:tab w:val="left" w:pos="1886"/>
                <w:tab w:val="left" w:pos="3162"/>
              </w:tabs>
              <w:jc w:val="center"/>
              <w:rPr>
                <w:rFonts w:cs="Arial"/>
                <w:sz w:val="18"/>
                <w:szCs w:val="18"/>
              </w:rPr>
            </w:pPr>
            <w:r w:rsidRPr="001A53B7">
              <w:rPr>
                <w:rFonts w:cs="Arial"/>
                <w:sz w:val="18"/>
                <w:szCs w:val="18"/>
              </w:rPr>
              <w:t>p-value NR</w:t>
            </w:r>
          </w:p>
        </w:tc>
      </w:tr>
      <w:tr w:rsidR="00C62102" w:rsidRPr="001A53B7" w:rsidTr="001A53B7">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62102" w:rsidRPr="001A53B7" w:rsidRDefault="00C62102" w:rsidP="00D63115">
            <w:pPr>
              <w:pStyle w:val="TableText0"/>
              <w:tabs>
                <w:tab w:val="left" w:pos="1886"/>
                <w:tab w:val="left" w:pos="3162"/>
              </w:tabs>
              <w:jc w:val="center"/>
              <w:rPr>
                <w:rFonts w:cs="Arial"/>
                <w:sz w:val="18"/>
                <w:szCs w:val="18"/>
              </w:rPr>
            </w:pPr>
            <w:r w:rsidRPr="001A53B7">
              <w:rPr>
                <w:rFonts w:cs="Arial"/>
                <w:b/>
                <w:sz w:val="18"/>
                <w:szCs w:val="18"/>
              </w:rPr>
              <w:t xml:space="preserve">Later-line treatment </w:t>
            </w:r>
            <w:r w:rsidR="00131AC7" w:rsidRPr="001A53B7">
              <w:rPr>
                <w:rFonts w:cs="Arial"/>
                <w:b/>
                <w:sz w:val="18"/>
                <w:szCs w:val="18"/>
              </w:rPr>
              <w:t>–</w:t>
            </w:r>
            <w:r w:rsidRPr="001A53B7">
              <w:rPr>
                <w:rFonts w:cs="Arial"/>
                <w:b/>
                <w:sz w:val="18"/>
                <w:szCs w:val="18"/>
              </w:rPr>
              <w:t xml:space="preserve"> </w:t>
            </w:r>
            <w:proofErr w:type="spellStart"/>
            <w:r w:rsidR="00D63115" w:rsidRPr="001A53B7">
              <w:rPr>
                <w:rFonts w:cs="Arial"/>
                <w:b/>
                <w:sz w:val="18"/>
                <w:szCs w:val="18"/>
              </w:rPr>
              <w:t>c</w:t>
            </w:r>
            <w:r w:rsidRPr="001A53B7">
              <w:rPr>
                <w:rFonts w:cs="Arial"/>
                <w:b/>
                <w:sz w:val="18"/>
                <w:szCs w:val="18"/>
              </w:rPr>
              <w:t>etuximab</w:t>
            </w:r>
            <w:proofErr w:type="spellEnd"/>
          </w:p>
        </w:tc>
      </w:tr>
      <w:tr w:rsidR="00C62102" w:rsidRPr="001A53B7" w:rsidTr="001A53B7">
        <w:trPr>
          <w:trHeight w:val="20"/>
        </w:trPr>
        <w:tc>
          <w:tcPr>
            <w:tcW w:w="5000" w:type="pct"/>
            <w:gridSpan w:val="16"/>
            <w:tcBorders>
              <w:top w:val="single" w:sz="4" w:space="0" w:color="auto"/>
              <w:left w:val="single" w:sz="4" w:space="0" w:color="auto"/>
              <w:bottom w:val="single" w:sz="4" w:space="0" w:color="auto"/>
              <w:right w:val="single" w:sz="4" w:space="0" w:color="auto"/>
            </w:tcBorders>
          </w:tcPr>
          <w:p w:rsidR="00C62102" w:rsidRPr="001A53B7" w:rsidRDefault="00C62102" w:rsidP="00C62102">
            <w:pPr>
              <w:pStyle w:val="TableText0"/>
              <w:tabs>
                <w:tab w:val="left" w:pos="1886"/>
                <w:tab w:val="left" w:pos="3162"/>
              </w:tabs>
              <w:rPr>
                <w:rFonts w:cs="Arial"/>
                <w:sz w:val="18"/>
                <w:szCs w:val="18"/>
              </w:rPr>
            </w:pPr>
            <w:r w:rsidRPr="001A53B7">
              <w:rPr>
                <w:rFonts w:cs="Arial"/>
                <w:i/>
                <w:sz w:val="18"/>
                <w:szCs w:val="18"/>
              </w:rPr>
              <w:t xml:space="preserve">Only single </w:t>
            </w:r>
            <w:proofErr w:type="spellStart"/>
            <w:r w:rsidRPr="001A53B7">
              <w:rPr>
                <w:rFonts w:cs="Arial"/>
                <w:i/>
                <w:sz w:val="18"/>
                <w:szCs w:val="18"/>
              </w:rPr>
              <w:t>cetuximab</w:t>
            </w:r>
            <w:proofErr w:type="spellEnd"/>
            <w:r w:rsidRPr="001A53B7">
              <w:rPr>
                <w:rFonts w:cs="Arial"/>
                <w:i/>
                <w:sz w:val="18"/>
                <w:szCs w:val="18"/>
              </w:rPr>
              <w:t xml:space="preserve"> treated cohort data are currently available.</w:t>
            </w:r>
          </w:p>
        </w:tc>
      </w:tr>
    </w:tbl>
    <w:p w:rsidR="00D63115" w:rsidRPr="00542733" w:rsidRDefault="00C62102" w:rsidP="001A53B7">
      <w:pPr>
        <w:pStyle w:val="TableFooter"/>
        <w:ind w:firstLine="720"/>
      </w:pPr>
      <w:r w:rsidRPr="00542733">
        <w:rPr>
          <w:vertAlign w:val="superscript"/>
        </w:rPr>
        <w:t>A</w:t>
      </w:r>
      <w:r w:rsidR="00D63115" w:rsidRPr="00542733">
        <w:rPr>
          <w:vertAlign w:val="superscript"/>
        </w:rPr>
        <w:t xml:space="preserve"> </w:t>
      </w:r>
      <w:r w:rsidRPr="00542733">
        <w:t xml:space="preserve">76% of </w:t>
      </w:r>
      <w:r w:rsidRPr="00542733">
        <w:rPr>
          <w:i/>
        </w:rPr>
        <w:t>KRAS</w:t>
      </w:r>
      <w:r w:rsidRPr="00542733">
        <w:t xml:space="preserve"> WT (Exon 2) patients randomised to BSC were treated with </w:t>
      </w:r>
      <w:proofErr w:type="spellStart"/>
      <w:r w:rsidRPr="00542733">
        <w:t>panitumumab</w:t>
      </w:r>
      <w:proofErr w:type="spellEnd"/>
      <w:r w:rsidRPr="00542733">
        <w:t xml:space="preserve"> post progression.</w:t>
      </w:r>
    </w:p>
    <w:p w:rsidR="00C62102" w:rsidRPr="00542733" w:rsidRDefault="00C62102" w:rsidP="001A53B7">
      <w:pPr>
        <w:pStyle w:val="TableFooter"/>
        <w:ind w:left="720"/>
      </w:pPr>
      <w:r w:rsidRPr="00542733">
        <w:t xml:space="preserve">NE = Not estimable; IQR = Interquartile range; </w:t>
      </w:r>
      <w:r w:rsidR="00AE6CA5">
        <w:t xml:space="preserve">FIRI=FOLFIRI; FOX=FOLFOX; </w:t>
      </w:r>
      <w:proofErr w:type="spellStart"/>
      <w:r w:rsidR="00AE6CA5">
        <w:t>Cmab</w:t>
      </w:r>
      <w:proofErr w:type="spellEnd"/>
      <w:r w:rsidR="00AE6CA5">
        <w:t>=</w:t>
      </w:r>
      <w:proofErr w:type="spellStart"/>
      <w:r w:rsidR="00AE6CA5">
        <w:t>c</w:t>
      </w:r>
      <w:r w:rsidRPr="00542733">
        <w:t>etuximab</w:t>
      </w:r>
      <w:proofErr w:type="spellEnd"/>
      <w:r w:rsidRPr="00542733">
        <w:t xml:space="preserve">; </w:t>
      </w:r>
      <w:proofErr w:type="spellStart"/>
      <w:r w:rsidRPr="00542733">
        <w:t>Pmab</w:t>
      </w:r>
      <w:proofErr w:type="spellEnd"/>
      <w:r w:rsidRPr="00542733">
        <w:t>=</w:t>
      </w:r>
      <w:proofErr w:type="spellStart"/>
      <w:r w:rsidR="00AE6CA5">
        <w:t>p</w:t>
      </w:r>
      <w:r w:rsidRPr="00542733">
        <w:t>anitumumab</w:t>
      </w:r>
      <w:proofErr w:type="spellEnd"/>
      <w:r w:rsidRPr="00542733">
        <w:t>; B</w:t>
      </w:r>
      <w:r w:rsidR="00131AC7" w:rsidRPr="00542733">
        <w:t>ev</w:t>
      </w:r>
      <w:r w:rsidRPr="00542733">
        <w:t>=</w:t>
      </w:r>
      <w:proofErr w:type="spellStart"/>
      <w:r w:rsidRPr="00542733">
        <w:t>Bevacizumab</w:t>
      </w:r>
      <w:proofErr w:type="spellEnd"/>
      <w:r w:rsidRPr="00542733">
        <w:t xml:space="preserve">; </w:t>
      </w:r>
      <w:proofErr w:type="spellStart"/>
      <w:r w:rsidRPr="00542733">
        <w:t>Iri</w:t>
      </w:r>
      <w:proofErr w:type="spellEnd"/>
      <w:r w:rsidRPr="00542733">
        <w:t>=</w:t>
      </w:r>
      <w:proofErr w:type="spellStart"/>
      <w:r w:rsidRPr="00542733">
        <w:t>Irinotecan</w:t>
      </w:r>
      <w:proofErr w:type="spellEnd"/>
      <w:r w:rsidRPr="00542733">
        <w:t xml:space="preserve">; </w:t>
      </w:r>
      <w:proofErr w:type="spellStart"/>
      <w:r w:rsidRPr="00542733">
        <w:t>OxF</w:t>
      </w:r>
      <w:proofErr w:type="spellEnd"/>
      <w:r w:rsidRPr="00542733">
        <w:t>=</w:t>
      </w:r>
      <w:proofErr w:type="spellStart"/>
      <w:r w:rsidRPr="00542733">
        <w:t>Oxaliplatin</w:t>
      </w:r>
      <w:proofErr w:type="spellEnd"/>
      <w:r w:rsidRPr="00542733">
        <w:t xml:space="preserve"> and </w:t>
      </w:r>
      <w:proofErr w:type="spellStart"/>
      <w:r w:rsidRPr="00542733">
        <w:t>fluoropyrimidine</w:t>
      </w:r>
      <w:proofErr w:type="spellEnd"/>
      <w:r w:rsidRPr="00542733">
        <w:t>; BSC = Best supportive care; NR=Not reported.</w:t>
      </w:r>
    </w:p>
    <w:p w:rsidR="00C62102" w:rsidRPr="00542733" w:rsidRDefault="00C62102" w:rsidP="001A53B7">
      <w:pPr>
        <w:pStyle w:val="TableFooter"/>
        <w:ind w:left="720"/>
      </w:pPr>
      <w:r w:rsidRPr="00542733">
        <w:t xml:space="preserve">Sources: Section C of the </w:t>
      </w:r>
      <w:r w:rsidR="00AF0640" w:rsidRPr="00542733">
        <w:t>re-</w:t>
      </w:r>
      <w:r w:rsidRPr="00542733">
        <w:t xml:space="preserve">submission, </w:t>
      </w:r>
      <w:r w:rsidRPr="00542733">
        <w:rPr>
          <w:i/>
        </w:rPr>
        <w:t xml:space="preserve">the European assessment reports for </w:t>
      </w:r>
      <w:proofErr w:type="spellStart"/>
      <w:r w:rsidRPr="00542733">
        <w:rPr>
          <w:i/>
        </w:rPr>
        <w:t>panitumumab</w:t>
      </w:r>
      <w:proofErr w:type="spellEnd"/>
      <w:r w:rsidRPr="00542733">
        <w:rPr>
          <w:i/>
        </w:rPr>
        <w:t xml:space="preserve"> and </w:t>
      </w:r>
      <w:proofErr w:type="spellStart"/>
      <w:r w:rsidRPr="00542733">
        <w:rPr>
          <w:i/>
        </w:rPr>
        <w:t>cetuximab</w:t>
      </w:r>
      <w:proofErr w:type="spellEnd"/>
      <w:r w:rsidRPr="00542733">
        <w:rPr>
          <w:i/>
        </w:rPr>
        <w:t xml:space="preserve"> and study publications for </w:t>
      </w:r>
      <w:proofErr w:type="spellStart"/>
      <w:r w:rsidRPr="00542733">
        <w:rPr>
          <w:i/>
        </w:rPr>
        <w:t>panitumumab</w:t>
      </w:r>
      <w:proofErr w:type="spellEnd"/>
      <w:r w:rsidRPr="00542733">
        <w:rPr>
          <w:i/>
        </w:rPr>
        <w:t xml:space="preserve"> and </w:t>
      </w:r>
      <w:proofErr w:type="spellStart"/>
      <w:r w:rsidRPr="00542733">
        <w:rPr>
          <w:i/>
        </w:rPr>
        <w:t>cetuximab</w:t>
      </w:r>
      <w:proofErr w:type="spellEnd"/>
      <w:r w:rsidRPr="00542733">
        <w:t>.</w:t>
      </w:r>
    </w:p>
    <w:p w:rsidR="00C62102" w:rsidRPr="00542733" w:rsidRDefault="00C62102" w:rsidP="00C62102"/>
    <w:p w:rsidR="00D63115" w:rsidRPr="001A53B7" w:rsidRDefault="00D63115" w:rsidP="001A53B7">
      <w:pPr>
        <w:pStyle w:val="ListParagraph"/>
        <w:widowControl/>
        <w:numPr>
          <w:ilvl w:val="1"/>
          <w:numId w:val="18"/>
        </w:numPr>
        <w:rPr>
          <w:szCs w:val="22"/>
        </w:rPr>
      </w:pPr>
      <w:r w:rsidRPr="001A53B7">
        <w:rPr>
          <w:szCs w:val="24"/>
        </w:rPr>
        <w:t xml:space="preserve">In November 2013, </w:t>
      </w:r>
      <w:r w:rsidR="00807A32" w:rsidRPr="001A53B7">
        <w:rPr>
          <w:szCs w:val="24"/>
        </w:rPr>
        <w:t xml:space="preserve">PBAC and </w:t>
      </w:r>
      <w:r w:rsidRPr="00542733">
        <w:t xml:space="preserve">MSAC identified </w:t>
      </w:r>
      <w:r w:rsidR="00807A32" w:rsidRPr="00542733">
        <w:t xml:space="preserve">three </w:t>
      </w:r>
      <w:r w:rsidRPr="00542733">
        <w:t>questions which needed to be addressed</w:t>
      </w:r>
      <w:r w:rsidR="00807A32" w:rsidRPr="00542733">
        <w:t xml:space="preserve"> in relation to </w:t>
      </w:r>
      <w:r w:rsidR="00D71EE6" w:rsidRPr="00542733">
        <w:t xml:space="preserve">the request for </w:t>
      </w:r>
      <w:r w:rsidR="00D71EE6" w:rsidRPr="001A53B7">
        <w:rPr>
          <w:i/>
        </w:rPr>
        <w:t>RAS</w:t>
      </w:r>
      <w:r w:rsidR="00D71EE6" w:rsidRPr="00542733">
        <w:t xml:space="preserve"> testing:</w:t>
      </w:r>
    </w:p>
    <w:p w:rsidR="00D63115" w:rsidRPr="00542733" w:rsidRDefault="00D63115" w:rsidP="00B614F8">
      <w:pPr>
        <w:pStyle w:val="ListParagraph"/>
        <w:widowControl/>
        <w:numPr>
          <w:ilvl w:val="0"/>
          <w:numId w:val="16"/>
        </w:numPr>
        <w:ind w:left="1134" w:hanging="357"/>
      </w:pPr>
      <w:r w:rsidRPr="00542733">
        <w:t xml:space="preserve">Is the identified effect of </w:t>
      </w:r>
      <w:r w:rsidRPr="00542733">
        <w:rPr>
          <w:i/>
        </w:rPr>
        <w:t>RAS</w:t>
      </w:r>
      <w:r w:rsidRPr="00542733">
        <w:t xml:space="preserve"> mutation status (in predicting a reduced treatment effect) operating as a class effect across anti-EGFR antibodies, i.e., does it similarly affect both </w:t>
      </w:r>
      <w:proofErr w:type="spellStart"/>
      <w:r w:rsidRPr="00542733">
        <w:t>panitumumab</w:t>
      </w:r>
      <w:proofErr w:type="spellEnd"/>
      <w:r w:rsidRPr="00542733">
        <w:t xml:space="preserve"> and </w:t>
      </w:r>
      <w:proofErr w:type="spellStart"/>
      <w:r w:rsidRPr="00542733">
        <w:t>cetuximab</w:t>
      </w:r>
      <w:proofErr w:type="spellEnd"/>
      <w:r w:rsidRPr="00542733">
        <w:t>?</w:t>
      </w:r>
    </w:p>
    <w:p w:rsidR="00D63115" w:rsidRPr="00542733" w:rsidRDefault="00A975F6" w:rsidP="00AD35A8">
      <w:pPr>
        <w:ind w:left="1134"/>
      </w:pPr>
      <w:r w:rsidRPr="00542733">
        <w:t>The ESC considered that</w:t>
      </w:r>
      <w:r w:rsidR="00D63115" w:rsidRPr="00542733">
        <w:t xml:space="preserve"> particularly for first-line treatment, the effect is most likely operating as a class effect across anti-EGFR antibodies.</w:t>
      </w:r>
      <w:r w:rsidR="00D71EE6" w:rsidRPr="00542733">
        <w:t xml:space="preserve"> </w:t>
      </w:r>
      <w:r w:rsidR="00B93FF8" w:rsidRPr="00542733">
        <w:t xml:space="preserve"> </w:t>
      </w:r>
      <w:r w:rsidR="00D71EE6" w:rsidRPr="00542733">
        <w:t>The clinician expert at the hearing also considered the two drugs</w:t>
      </w:r>
      <w:r w:rsidR="00B93FF8" w:rsidRPr="00542733">
        <w:t xml:space="preserve"> should be regarded as a class.</w:t>
      </w:r>
    </w:p>
    <w:p w:rsidR="00D63115" w:rsidRPr="00542733" w:rsidRDefault="00D63115" w:rsidP="00B614F8">
      <w:pPr>
        <w:pStyle w:val="ListParagraph"/>
        <w:widowControl/>
        <w:numPr>
          <w:ilvl w:val="0"/>
          <w:numId w:val="16"/>
        </w:numPr>
        <w:ind w:left="1134"/>
      </w:pPr>
      <w:r w:rsidRPr="00542733">
        <w:t>Is this effect consistent irrespective of the chemotherapy partner with the anti-EGFR antibody, including anti-EGFR antibody used as monotherapy?</w:t>
      </w:r>
    </w:p>
    <w:p w:rsidR="00D63115" w:rsidRPr="00542733" w:rsidRDefault="00A975F6" w:rsidP="00AD35A8">
      <w:pPr>
        <w:ind w:left="1134"/>
      </w:pPr>
      <w:r w:rsidRPr="00542733">
        <w:t>The ESC advised that</w:t>
      </w:r>
      <w:r w:rsidR="00D63115" w:rsidRPr="00542733">
        <w:t xml:space="preserve"> particularly with reference to the range of comparators (to which the anti-EGFR antibody was added in the treatment arm in </w:t>
      </w:r>
      <w:r w:rsidR="00A93D30" w:rsidRPr="00542733">
        <w:t>six</w:t>
      </w:r>
      <w:r w:rsidR="00D63115" w:rsidRPr="00542733">
        <w:t xml:space="preserve"> of the </w:t>
      </w:r>
      <w:r w:rsidR="00A93D30" w:rsidRPr="00542733">
        <w:t>eight</w:t>
      </w:r>
      <w:r w:rsidR="00D63115" w:rsidRPr="00542733">
        <w:t xml:space="preserve"> trials presented; it replaced </w:t>
      </w:r>
      <w:proofErr w:type="spellStart"/>
      <w:r w:rsidR="00D63115" w:rsidRPr="00542733">
        <w:t>bevacizumab</w:t>
      </w:r>
      <w:proofErr w:type="spellEnd"/>
      <w:r w:rsidR="00D63115" w:rsidRPr="00542733">
        <w:t xml:space="preserve"> in the other two trials), the effect appears consistent irrespective of the chemotherapy partner (</w:t>
      </w:r>
      <w:r w:rsidR="00600009" w:rsidRPr="00542733">
        <w:t>e.g.</w:t>
      </w:r>
      <w:r w:rsidR="00D63115" w:rsidRPr="00542733">
        <w:t xml:space="preserve"> </w:t>
      </w:r>
      <w:proofErr w:type="spellStart"/>
      <w:r w:rsidR="00D63115" w:rsidRPr="00542733">
        <w:t>oxaliplatin</w:t>
      </w:r>
      <w:proofErr w:type="spellEnd"/>
      <w:r w:rsidR="00D63115" w:rsidRPr="00542733">
        <w:t xml:space="preserve"> or </w:t>
      </w:r>
      <w:proofErr w:type="spellStart"/>
      <w:r w:rsidR="00D63115" w:rsidRPr="00542733">
        <w:t>irinotecan</w:t>
      </w:r>
      <w:proofErr w:type="spellEnd"/>
      <w:r w:rsidR="00D63115" w:rsidRPr="00542733">
        <w:t>) or use as monotherapy.</w:t>
      </w:r>
    </w:p>
    <w:p w:rsidR="00D63115" w:rsidRPr="00542733" w:rsidRDefault="00D63115" w:rsidP="00B614F8">
      <w:pPr>
        <w:pStyle w:val="ListParagraph"/>
        <w:widowControl/>
        <w:numPr>
          <w:ilvl w:val="0"/>
          <w:numId w:val="16"/>
        </w:numPr>
        <w:ind w:left="1134"/>
      </w:pPr>
      <w:r w:rsidRPr="00542733">
        <w:t>Is this effect consistent across all lines of therapy</w:t>
      </w:r>
      <w:r w:rsidR="00362CE5" w:rsidRPr="00542733">
        <w:t>?</w:t>
      </w:r>
      <w:r w:rsidRPr="00542733">
        <w:t xml:space="preserve"> </w:t>
      </w:r>
      <w:r w:rsidR="00B93FF8" w:rsidRPr="00542733">
        <w:t xml:space="preserve"> A</w:t>
      </w:r>
      <w:r w:rsidRPr="00542733">
        <w:t xml:space="preserve">nti-EGFR antibodies </w:t>
      </w:r>
      <w:r w:rsidR="00B93FF8" w:rsidRPr="00542733">
        <w:t xml:space="preserve">compete with more effective alternatives </w:t>
      </w:r>
      <w:r w:rsidRPr="00542733">
        <w:t xml:space="preserve">in earlier lines of therapy </w:t>
      </w:r>
      <w:r w:rsidR="00B93FF8" w:rsidRPr="00542733">
        <w:t>than in later lines of therapy</w:t>
      </w:r>
      <w:r w:rsidR="00B47B45" w:rsidRPr="00542733">
        <w:t xml:space="preserve">, </w:t>
      </w:r>
      <w:r w:rsidRPr="00542733">
        <w:t xml:space="preserve">which may affect the consequences of this effect </w:t>
      </w:r>
      <w:r w:rsidR="00B47B45" w:rsidRPr="00542733">
        <w:t>for comparisons across lines of therapy.</w:t>
      </w:r>
    </w:p>
    <w:p w:rsidR="00D63115" w:rsidRPr="00542733" w:rsidRDefault="00A975F6" w:rsidP="00AD35A8">
      <w:pPr>
        <w:ind w:left="1134"/>
      </w:pPr>
      <w:r w:rsidRPr="00542733">
        <w:t xml:space="preserve">The ESC advised that the effect appears consistent across all lines of therapy, although some extrapolation is required in the absence of data for later-line </w:t>
      </w:r>
      <w:proofErr w:type="spellStart"/>
      <w:r w:rsidRPr="00542733">
        <w:t>cetuximab</w:t>
      </w:r>
      <w:proofErr w:type="spellEnd"/>
      <w:r w:rsidRPr="00542733">
        <w:t xml:space="preserve"> use. </w:t>
      </w:r>
    </w:p>
    <w:p w:rsidR="00807A32" w:rsidRPr="00542733" w:rsidRDefault="00807A32" w:rsidP="00D63115">
      <w:pPr>
        <w:tabs>
          <w:tab w:val="left" w:pos="720"/>
        </w:tabs>
        <w:rPr>
          <w:szCs w:val="24"/>
        </w:rPr>
      </w:pPr>
    </w:p>
    <w:p w:rsidR="00D63115" w:rsidRPr="001A53B7" w:rsidRDefault="00D63115" w:rsidP="001A53B7">
      <w:pPr>
        <w:pStyle w:val="ListParagraph"/>
        <w:widowControl/>
        <w:numPr>
          <w:ilvl w:val="1"/>
          <w:numId w:val="18"/>
        </w:numPr>
        <w:rPr>
          <w:szCs w:val="22"/>
        </w:rPr>
      </w:pPr>
      <w:r w:rsidRPr="001A53B7">
        <w:rPr>
          <w:szCs w:val="24"/>
        </w:rPr>
        <w:t xml:space="preserve">The ESC noted </w:t>
      </w:r>
      <w:r w:rsidR="00362CE5" w:rsidRPr="001A53B7">
        <w:rPr>
          <w:szCs w:val="24"/>
        </w:rPr>
        <w:t>some limitations with respect</w:t>
      </w:r>
      <w:r w:rsidRPr="001A53B7">
        <w:rPr>
          <w:szCs w:val="24"/>
        </w:rPr>
        <w:t xml:space="preserve"> to the data presented in </w:t>
      </w:r>
      <w:r w:rsidR="00F12954" w:rsidRPr="001A53B7">
        <w:rPr>
          <w:szCs w:val="24"/>
        </w:rPr>
        <w:t>the above tables</w:t>
      </w:r>
      <w:r w:rsidRPr="001A53B7">
        <w:rPr>
          <w:szCs w:val="24"/>
        </w:rPr>
        <w:t>, including:</w:t>
      </w:r>
    </w:p>
    <w:p w:rsidR="00807A32" w:rsidRPr="00542733" w:rsidRDefault="00D63115" w:rsidP="00B614F8">
      <w:pPr>
        <w:pStyle w:val="ListParagraph"/>
        <w:widowControl/>
        <w:numPr>
          <w:ilvl w:val="0"/>
          <w:numId w:val="16"/>
        </w:numPr>
        <w:tabs>
          <w:tab w:val="left" w:pos="720"/>
        </w:tabs>
        <w:rPr>
          <w:szCs w:val="24"/>
        </w:rPr>
      </w:pPr>
      <w:r w:rsidRPr="00542733">
        <w:rPr>
          <w:szCs w:val="24"/>
        </w:rPr>
        <w:t xml:space="preserve">other than in </w:t>
      </w:r>
      <w:r w:rsidR="00885036" w:rsidRPr="00542733">
        <w:rPr>
          <w:szCs w:val="24"/>
        </w:rPr>
        <w:t xml:space="preserve">the </w:t>
      </w:r>
      <w:r w:rsidRPr="00542733">
        <w:rPr>
          <w:szCs w:val="24"/>
        </w:rPr>
        <w:t>PRIME and PEAK</w:t>
      </w:r>
      <w:r w:rsidR="00885036" w:rsidRPr="00542733">
        <w:rPr>
          <w:szCs w:val="24"/>
        </w:rPr>
        <w:t xml:space="preserve"> trials</w:t>
      </w:r>
      <w:r w:rsidRPr="00542733">
        <w:rPr>
          <w:szCs w:val="24"/>
        </w:rPr>
        <w:t xml:space="preserve">, the </w:t>
      </w:r>
      <w:r w:rsidRPr="00542733">
        <w:rPr>
          <w:i/>
          <w:szCs w:val="24"/>
        </w:rPr>
        <w:t>RAS</w:t>
      </w:r>
      <w:r w:rsidRPr="00542733">
        <w:rPr>
          <w:szCs w:val="24"/>
        </w:rPr>
        <w:t xml:space="preserve"> mutation subgroups were not necessarily pre</w:t>
      </w:r>
      <w:r w:rsidR="00CB5B32" w:rsidRPr="00542733">
        <w:rPr>
          <w:szCs w:val="24"/>
        </w:rPr>
        <w:t>-</w:t>
      </w:r>
      <w:r w:rsidRPr="00542733">
        <w:rPr>
          <w:szCs w:val="24"/>
        </w:rPr>
        <w:t>specified, and tests for interaction were not provided</w:t>
      </w:r>
      <w:r w:rsidR="00AD35A8" w:rsidRPr="00542733">
        <w:rPr>
          <w:szCs w:val="24"/>
        </w:rPr>
        <w:t>;</w:t>
      </w:r>
    </w:p>
    <w:p w:rsidR="00D63115" w:rsidRPr="00542733" w:rsidRDefault="00D63115" w:rsidP="00B614F8">
      <w:pPr>
        <w:pStyle w:val="ListParagraph"/>
        <w:widowControl/>
        <w:numPr>
          <w:ilvl w:val="0"/>
          <w:numId w:val="16"/>
        </w:numPr>
        <w:tabs>
          <w:tab w:val="left" w:pos="720"/>
        </w:tabs>
        <w:rPr>
          <w:szCs w:val="24"/>
        </w:rPr>
      </w:pPr>
      <w:r w:rsidRPr="00542733">
        <w:rPr>
          <w:szCs w:val="24"/>
        </w:rPr>
        <w:t xml:space="preserve">the absence of baseline data by treatment arm for some of the </w:t>
      </w:r>
      <w:r w:rsidRPr="00542733">
        <w:rPr>
          <w:i/>
          <w:szCs w:val="24"/>
        </w:rPr>
        <w:t>RAS</w:t>
      </w:r>
      <w:r w:rsidRPr="00542733">
        <w:rPr>
          <w:szCs w:val="24"/>
        </w:rPr>
        <w:t xml:space="preserve"> </w:t>
      </w:r>
      <w:r w:rsidR="00271047" w:rsidRPr="00542733">
        <w:rPr>
          <w:szCs w:val="24"/>
        </w:rPr>
        <w:t xml:space="preserve">mutation </w:t>
      </w:r>
      <w:r w:rsidRPr="00542733">
        <w:rPr>
          <w:szCs w:val="24"/>
        </w:rPr>
        <w:t>subgroups hinders assessment of other potential confounders</w:t>
      </w:r>
      <w:r w:rsidR="00AD35A8" w:rsidRPr="00542733">
        <w:rPr>
          <w:szCs w:val="24"/>
        </w:rPr>
        <w:t>;</w:t>
      </w:r>
      <w:r w:rsidR="00A975F6" w:rsidRPr="00542733">
        <w:rPr>
          <w:szCs w:val="24"/>
        </w:rPr>
        <w:t xml:space="preserve"> and</w:t>
      </w:r>
    </w:p>
    <w:p w:rsidR="00D63115" w:rsidRPr="00542733" w:rsidRDefault="00D63115" w:rsidP="00B614F8">
      <w:pPr>
        <w:pStyle w:val="ListParagraph"/>
        <w:widowControl/>
        <w:numPr>
          <w:ilvl w:val="0"/>
          <w:numId w:val="16"/>
        </w:numPr>
        <w:tabs>
          <w:tab w:val="left" w:pos="720"/>
        </w:tabs>
        <w:rPr>
          <w:szCs w:val="24"/>
        </w:rPr>
      </w:pPr>
      <w:proofErr w:type="gramStart"/>
      <w:r w:rsidRPr="00542733">
        <w:rPr>
          <w:szCs w:val="24"/>
        </w:rPr>
        <w:t>some</w:t>
      </w:r>
      <w:proofErr w:type="gramEnd"/>
      <w:r w:rsidRPr="00542733">
        <w:rPr>
          <w:szCs w:val="24"/>
        </w:rPr>
        <w:t xml:space="preserve"> of the subgroups were small, especially for the </w:t>
      </w:r>
      <w:r w:rsidRPr="00542733">
        <w:rPr>
          <w:i/>
          <w:szCs w:val="24"/>
        </w:rPr>
        <w:t>KRAS</w:t>
      </w:r>
      <w:r w:rsidRPr="00542733">
        <w:rPr>
          <w:szCs w:val="24"/>
        </w:rPr>
        <w:t xml:space="preserve"> exon 2 WT, </w:t>
      </w:r>
      <w:r w:rsidRPr="00542733">
        <w:rPr>
          <w:i/>
          <w:szCs w:val="24"/>
        </w:rPr>
        <w:t>RAS</w:t>
      </w:r>
      <w:r w:rsidRPr="00542733">
        <w:rPr>
          <w:szCs w:val="24"/>
        </w:rPr>
        <w:t xml:space="preserve"> M+ subgroup.</w:t>
      </w:r>
    </w:p>
    <w:p w:rsidR="00807A32" w:rsidRPr="00542733" w:rsidRDefault="00807A32" w:rsidP="00D63115">
      <w:pPr>
        <w:tabs>
          <w:tab w:val="left" w:pos="720"/>
        </w:tabs>
      </w:pPr>
    </w:p>
    <w:p w:rsidR="0077179D" w:rsidRPr="001A53B7" w:rsidRDefault="0077179D" w:rsidP="001A53B7">
      <w:pPr>
        <w:pStyle w:val="ListParagraph"/>
        <w:widowControl/>
        <w:numPr>
          <w:ilvl w:val="1"/>
          <w:numId w:val="18"/>
        </w:numPr>
        <w:rPr>
          <w:szCs w:val="22"/>
        </w:rPr>
      </w:pPr>
      <w:r w:rsidRPr="001A53B7">
        <w:rPr>
          <w:szCs w:val="24"/>
        </w:rPr>
        <w:lastRenderedPageBreak/>
        <w:t>The ESC noted that these results were further supported by the recently released subgroup results of CRYSTAL</w:t>
      </w:r>
      <w:r w:rsidR="00D6647F" w:rsidRPr="001A53B7">
        <w:rPr>
          <w:szCs w:val="24"/>
        </w:rPr>
        <w:t>,</w:t>
      </w:r>
      <w:r w:rsidRPr="001A53B7">
        <w:rPr>
          <w:szCs w:val="24"/>
        </w:rPr>
        <w:t xml:space="preserve"> </w:t>
      </w:r>
      <w:r w:rsidR="00367A7F" w:rsidRPr="001A53B7">
        <w:rPr>
          <w:szCs w:val="24"/>
        </w:rPr>
        <w:t xml:space="preserve">which compared </w:t>
      </w:r>
      <w:r w:rsidRPr="001A53B7">
        <w:rPr>
          <w:szCs w:val="24"/>
        </w:rPr>
        <w:t xml:space="preserve">first-line </w:t>
      </w:r>
      <w:proofErr w:type="spellStart"/>
      <w:r w:rsidR="00367A7F" w:rsidRPr="001A53B7">
        <w:rPr>
          <w:szCs w:val="24"/>
        </w:rPr>
        <w:t>cetuximab</w:t>
      </w:r>
      <w:proofErr w:type="spellEnd"/>
      <w:r w:rsidR="00367A7F" w:rsidRPr="001A53B7">
        <w:rPr>
          <w:szCs w:val="24"/>
        </w:rPr>
        <w:t xml:space="preserve"> </w:t>
      </w:r>
      <w:r w:rsidRPr="001A53B7">
        <w:rPr>
          <w:szCs w:val="24"/>
        </w:rPr>
        <w:t>add</w:t>
      </w:r>
      <w:r w:rsidR="00367A7F" w:rsidRPr="001A53B7">
        <w:rPr>
          <w:szCs w:val="24"/>
        </w:rPr>
        <w:t>ed to FOLFIR</w:t>
      </w:r>
      <w:r w:rsidR="00D6647F" w:rsidRPr="001A53B7">
        <w:rPr>
          <w:szCs w:val="24"/>
        </w:rPr>
        <w:t>I</w:t>
      </w:r>
      <w:r w:rsidR="00367A7F" w:rsidRPr="001A53B7">
        <w:rPr>
          <w:szCs w:val="24"/>
        </w:rPr>
        <w:t xml:space="preserve"> with FOLFIRI alone.  </w:t>
      </w:r>
      <w:r w:rsidR="00367A7F" w:rsidRPr="001A53B7">
        <w:rPr>
          <w:bCs/>
          <w:iCs/>
          <w:lang w:eastAsia="en-AU"/>
        </w:rPr>
        <w:t xml:space="preserve">As foreshadowed by PBAC and MSAC in November 2013, these findings support urgent amendments to the relevant PBS restrictions for existing and proposed PBS restrictions for </w:t>
      </w:r>
      <w:proofErr w:type="spellStart"/>
      <w:r w:rsidR="00367A7F" w:rsidRPr="001A53B7">
        <w:rPr>
          <w:bCs/>
          <w:iCs/>
          <w:lang w:eastAsia="en-AU"/>
        </w:rPr>
        <w:t>panitumumab</w:t>
      </w:r>
      <w:proofErr w:type="spellEnd"/>
      <w:r w:rsidR="00367A7F" w:rsidRPr="001A53B7">
        <w:rPr>
          <w:bCs/>
          <w:iCs/>
          <w:lang w:eastAsia="en-AU"/>
        </w:rPr>
        <w:t xml:space="preserve"> and </w:t>
      </w:r>
      <w:proofErr w:type="spellStart"/>
      <w:r w:rsidR="00367A7F" w:rsidRPr="001A53B7">
        <w:rPr>
          <w:bCs/>
          <w:iCs/>
          <w:lang w:eastAsia="en-AU"/>
        </w:rPr>
        <w:t>cetuximab</w:t>
      </w:r>
      <w:proofErr w:type="spellEnd"/>
      <w:r w:rsidR="00367A7F" w:rsidRPr="001A53B7">
        <w:rPr>
          <w:bCs/>
          <w:iCs/>
          <w:lang w:eastAsia="en-AU"/>
        </w:rPr>
        <w:t>, coordinated with corresponding amendments to the MBS item descriptors for mutation testing.</w:t>
      </w:r>
    </w:p>
    <w:p w:rsidR="001D093C" w:rsidRPr="00542733" w:rsidRDefault="001D093C" w:rsidP="00D63115"/>
    <w:p w:rsidR="00B614F8" w:rsidRPr="00542733" w:rsidRDefault="00B614F8" w:rsidP="00B614F8">
      <w:pPr>
        <w:pStyle w:val="ListParagraph"/>
        <w:ind w:left="709"/>
        <w:rPr>
          <w:i/>
          <w:szCs w:val="22"/>
        </w:rPr>
      </w:pPr>
      <w:r w:rsidRPr="00542733">
        <w:rPr>
          <w:i/>
          <w:szCs w:val="22"/>
        </w:rPr>
        <w:t>For more detail on PBAC’s view, see section 7 “PBAC outcome”</w:t>
      </w:r>
    </w:p>
    <w:p w:rsidR="00B614F8" w:rsidRPr="00542733" w:rsidRDefault="00B614F8" w:rsidP="00D63115"/>
    <w:p w:rsidR="001F7361" w:rsidRPr="00542733" w:rsidRDefault="001F7361" w:rsidP="0066179D">
      <w:pPr>
        <w:pStyle w:val="Heading3"/>
        <w:rPr>
          <w:b/>
          <w:i/>
          <w:u w:val="none"/>
        </w:rPr>
      </w:pPr>
      <w:r w:rsidRPr="00542733">
        <w:rPr>
          <w:b/>
          <w:i/>
          <w:u w:val="none"/>
        </w:rPr>
        <w:t>Comparative harms</w:t>
      </w:r>
    </w:p>
    <w:p w:rsidR="00F041E3" w:rsidRPr="00542733" w:rsidRDefault="00F041E3" w:rsidP="00F041E3"/>
    <w:p w:rsidR="008F1068" w:rsidRPr="001A53B7" w:rsidRDefault="00603776" w:rsidP="001A53B7">
      <w:pPr>
        <w:pStyle w:val="ListParagraph"/>
        <w:widowControl/>
        <w:numPr>
          <w:ilvl w:val="1"/>
          <w:numId w:val="18"/>
        </w:numPr>
        <w:rPr>
          <w:szCs w:val="22"/>
        </w:rPr>
      </w:pPr>
      <w:r w:rsidRPr="00542733">
        <w:t>In relation to s</w:t>
      </w:r>
      <w:r w:rsidR="008F1068" w:rsidRPr="00542733">
        <w:t xml:space="preserve">erious </w:t>
      </w:r>
      <w:r w:rsidRPr="00542733">
        <w:t>adverse events (</w:t>
      </w:r>
      <w:r w:rsidR="008F1068" w:rsidRPr="00542733">
        <w:t>AEs</w:t>
      </w:r>
      <w:r w:rsidRPr="00542733">
        <w:t>) reported in the</w:t>
      </w:r>
      <w:r w:rsidR="008F1068" w:rsidRPr="00542733">
        <w:t xml:space="preserve"> PRIME and PEAK</w:t>
      </w:r>
      <w:r w:rsidR="00885036" w:rsidRPr="00542733">
        <w:t xml:space="preserve"> trials</w:t>
      </w:r>
      <w:r w:rsidR="008F1068" w:rsidRPr="00542733">
        <w:t>:</w:t>
      </w:r>
    </w:p>
    <w:p w:rsidR="008F1068" w:rsidRPr="00542733" w:rsidRDefault="007A658E" w:rsidP="00B614F8">
      <w:pPr>
        <w:pStyle w:val="ListParagraph"/>
        <w:numPr>
          <w:ilvl w:val="0"/>
          <w:numId w:val="4"/>
        </w:numPr>
        <w:ind w:left="1134"/>
      </w:pPr>
      <w:proofErr w:type="gramStart"/>
      <w:r w:rsidRPr="00542733">
        <w:t>t</w:t>
      </w:r>
      <w:r w:rsidR="008F1068" w:rsidRPr="00542733">
        <w:t>here</w:t>
      </w:r>
      <w:proofErr w:type="gramEnd"/>
      <w:r w:rsidR="008F1068" w:rsidRPr="00542733">
        <w:t xml:space="preserve"> were more Grade ≥3 adverse events (any or drug related) in the </w:t>
      </w:r>
      <w:proofErr w:type="spellStart"/>
      <w:r w:rsidR="008F1068" w:rsidRPr="00542733">
        <w:t>panitumumab</w:t>
      </w:r>
      <w:proofErr w:type="spellEnd"/>
      <w:r w:rsidR="008F1068" w:rsidRPr="00542733">
        <w:t xml:space="preserve"> + FOLFOX arm compared to either FOLFOX alone or compared to </w:t>
      </w:r>
      <w:proofErr w:type="spellStart"/>
      <w:r w:rsidR="008F1068" w:rsidRPr="00542733">
        <w:t>bevacizumab</w:t>
      </w:r>
      <w:proofErr w:type="spellEnd"/>
      <w:r w:rsidR="008F1068" w:rsidRPr="00542733">
        <w:t xml:space="preserve"> + FOLFOX (a di</w:t>
      </w:r>
      <w:r w:rsidR="00603776" w:rsidRPr="00542733">
        <w:t>fference of approximately 15%);</w:t>
      </w:r>
    </w:p>
    <w:p w:rsidR="007A658E" w:rsidRPr="00542733" w:rsidRDefault="007A658E" w:rsidP="00B614F8">
      <w:pPr>
        <w:pStyle w:val="ListParagraph"/>
        <w:numPr>
          <w:ilvl w:val="0"/>
          <w:numId w:val="4"/>
        </w:numPr>
        <w:ind w:left="1134"/>
      </w:pPr>
      <w:r w:rsidRPr="00542733">
        <w:t>i</w:t>
      </w:r>
      <w:r w:rsidR="008F1068" w:rsidRPr="00542733">
        <w:t xml:space="preserve">n </w:t>
      </w:r>
      <w:r w:rsidR="00885036" w:rsidRPr="00542733">
        <w:t xml:space="preserve">the </w:t>
      </w:r>
      <w:r w:rsidR="008F1068" w:rsidRPr="00542733">
        <w:t>PRIME</w:t>
      </w:r>
      <w:r w:rsidR="00885036" w:rsidRPr="00542733">
        <w:t xml:space="preserve"> trial</w:t>
      </w:r>
      <w:r w:rsidR="008F1068" w:rsidRPr="00542733">
        <w:t xml:space="preserve">, the </w:t>
      </w:r>
      <w:proofErr w:type="spellStart"/>
      <w:r w:rsidR="008F1068" w:rsidRPr="00542733">
        <w:t>panitumumab</w:t>
      </w:r>
      <w:proofErr w:type="spellEnd"/>
      <w:r w:rsidR="008F1068" w:rsidRPr="00542733">
        <w:t xml:space="preserve"> + FOLFOX arm had a higher rate of serious AEs (12% difference) and discontinuations (11% difference) </w:t>
      </w:r>
      <w:r w:rsidR="00DB20A3" w:rsidRPr="00542733">
        <w:t>than</w:t>
      </w:r>
      <w:r w:rsidR="008F1068" w:rsidRPr="00542733">
        <w:t xml:space="preserve"> the FOLFOX alone treatment arm</w:t>
      </w:r>
      <w:r w:rsidR="00A975F6" w:rsidRPr="00542733">
        <w:t>;</w:t>
      </w:r>
    </w:p>
    <w:p w:rsidR="007A658E" w:rsidRPr="00542733" w:rsidRDefault="007A658E" w:rsidP="00B614F8">
      <w:pPr>
        <w:pStyle w:val="ListParagraph"/>
        <w:numPr>
          <w:ilvl w:val="0"/>
          <w:numId w:val="4"/>
        </w:numPr>
        <w:ind w:left="1134"/>
      </w:pPr>
      <w:r w:rsidRPr="00542733">
        <w:t xml:space="preserve">in </w:t>
      </w:r>
      <w:r w:rsidR="00885036" w:rsidRPr="00542733">
        <w:t xml:space="preserve">the </w:t>
      </w:r>
      <w:r w:rsidRPr="00542733">
        <w:t>PEAK</w:t>
      </w:r>
      <w:r w:rsidR="00885036" w:rsidRPr="00542733">
        <w:t xml:space="preserve"> trial</w:t>
      </w:r>
      <w:r w:rsidRPr="00542733">
        <w:t>, drug-</w:t>
      </w:r>
      <w:r w:rsidR="008F1068" w:rsidRPr="00542733">
        <w:t xml:space="preserve">related discontinuations were slightly higher in the </w:t>
      </w:r>
      <w:proofErr w:type="spellStart"/>
      <w:r w:rsidR="008F1068" w:rsidRPr="00542733">
        <w:t>bevacizumab</w:t>
      </w:r>
      <w:proofErr w:type="spellEnd"/>
      <w:r w:rsidR="008F1068" w:rsidRPr="00542733">
        <w:t xml:space="preserve"> arm </w:t>
      </w:r>
      <w:r w:rsidRPr="00542733">
        <w:t xml:space="preserve">than </w:t>
      </w:r>
      <w:r w:rsidR="008F1068" w:rsidRPr="00542733">
        <w:t xml:space="preserve">the </w:t>
      </w:r>
      <w:proofErr w:type="spellStart"/>
      <w:r w:rsidR="008F1068" w:rsidRPr="00542733">
        <w:t>panitumumab</w:t>
      </w:r>
      <w:proofErr w:type="spellEnd"/>
      <w:r w:rsidR="008F1068" w:rsidRPr="00542733">
        <w:t xml:space="preserve"> arm</w:t>
      </w:r>
      <w:r w:rsidR="00603776" w:rsidRPr="00542733">
        <w:t>; and</w:t>
      </w:r>
    </w:p>
    <w:p w:rsidR="008F1068" w:rsidRPr="00542733" w:rsidRDefault="007A658E" w:rsidP="00B614F8">
      <w:pPr>
        <w:pStyle w:val="ListParagraph"/>
        <w:numPr>
          <w:ilvl w:val="0"/>
          <w:numId w:val="4"/>
        </w:numPr>
        <w:ind w:left="1134"/>
      </w:pPr>
      <w:proofErr w:type="gramStart"/>
      <w:r w:rsidRPr="00542733">
        <w:t>safety</w:t>
      </w:r>
      <w:proofErr w:type="gramEnd"/>
      <w:r w:rsidRPr="00542733">
        <w:t xml:space="preserve"> data were similar across the </w:t>
      </w:r>
      <w:r w:rsidRPr="00542733">
        <w:rPr>
          <w:i/>
        </w:rPr>
        <w:t>RAS</w:t>
      </w:r>
      <w:r w:rsidRPr="00542733">
        <w:t xml:space="preserve"> WT and </w:t>
      </w:r>
      <w:r w:rsidRPr="00542733">
        <w:rPr>
          <w:i/>
        </w:rPr>
        <w:t>KRAS</w:t>
      </w:r>
      <w:r w:rsidRPr="00542733">
        <w:t xml:space="preserve"> WT (exon 2) subgroups</w:t>
      </w:r>
      <w:r w:rsidR="008F1068" w:rsidRPr="00542733">
        <w:t>.</w:t>
      </w:r>
    </w:p>
    <w:p w:rsidR="008F1068" w:rsidRPr="00542733" w:rsidRDefault="008F1068" w:rsidP="008F1068"/>
    <w:p w:rsidR="008F1068" w:rsidRPr="001A53B7" w:rsidRDefault="007A658E" w:rsidP="001A53B7">
      <w:pPr>
        <w:pStyle w:val="ListParagraph"/>
        <w:widowControl/>
        <w:numPr>
          <w:ilvl w:val="1"/>
          <w:numId w:val="18"/>
        </w:numPr>
        <w:rPr>
          <w:szCs w:val="22"/>
        </w:rPr>
      </w:pPr>
      <w:r w:rsidRPr="00542733">
        <w:t>T</w:t>
      </w:r>
      <w:r w:rsidR="008F1068" w:rsidRPr="00542733">
        <w:t xml:space="preserve">he PEAK trial excluded patients with CNS metastases or with a significant bleeding risk given the known increased risk of haemorrhage associated with </w:t>
      </w:r>
      <w:proofErr w:type="spellStart"/>
      <w:r w:rsidR="008F1068" w:rsidRPr="00542733">
        <w:t>bevacizumab</w:t>
      </w:r>
      <w:proofErr w:type="spellEnd"/>
      <w:r w:rsidR="008F1068" w:rsidRPr="00542733">
        <w:t>.</w:t>
      </w:r>
    </w:p>
    <w:p w:rsidR="007A658E" w:rsidRPr="00542733" w:rsidRDefault="007A658E" w:rsidP="008F1068"/>
    <w:p w:rsidR="00B614F8" w:rsidRPr="00542733" w:rsidRDefault="00B614F8" w:rsidP="00B614F8">
      <w:pPr>
        <w:pStyle w:val="ListParagraph"/>
        <w:ind w:left="709"/>
        <w:rPr>
          <w:i/>
          <w:szCs w:val="22"/>
        </w:rPr>
      </w:pPr>
      <w:r w:rsidRPr="00542733">
        <w:rPr>
          <w:i/>
          <w:szCs w:val="22"/>
        </w:rPr>
        <w:t>For more detail on PBAC’s view, see section 7 “PBAC outcome”</w:t>
      </w:r>
    </w:p>
    <w:p w:rsidR="00FB63E4" w:rsidRPr="006068F2" w:rsidRDefault="00FB63E4">
      <w:pPr>
        <w:widowControl/>
        <w:jc w:val="left"/>
        <w:rPr>
          <w:highlight w:val="lightGray"/>
        </w:rPr>
      </w:pPr>
    </w:p>
    <w:p w:rsidR="001F7361" w:rsidRPr="00542733" w:rsidRDefault="001F7361" w:rsidP="0066179D">
      <w:pPr>
        <w:pStyle w:val="Heading3"/>
        <w:rPr>
          <w:b/>
          <w:i/>
          <w:u w:val="none"/>
        </w:rPr>
      </w:pPr>
      <w:r w:rsidRPr="00542733">
        <w:rPr>
          <w:b/>
          <w:i/>
          <w:u w:val="none"/>
        </w:rPr>
        <w:t>Benefits/harms</w:t>
      </w:r>
    </w:p>
    <w:p w:rsidR="00CA3DDF" w:rsidRPr="00542733" w:rsidRDefault="00CA3DDF" w:rsidP="00D243A4"/>
    <w:p w:rsidR="00DB20A3" w:rsidRPr="001A53B7" w:rsidRDefault="003567D9" w:rsidP="001A53B7">
      <w:pPr>
        <w:pStyle w:val="ListParagraph"/>
        <w:widowControl/>
        <w:numPr>
          <w:ilvl w:val="1"/>
          <w:numId w:val="18"/>
        </w:numPr>
        <w:rPr>
          <w:szCs w:val="22"/>
        </w:rPr>
      </w:pPr>
      <w:r w:rsidRPr="00542733">
        <w:t xml:space="preserve">The benefits and harms from </w:t>
      </w:r>
      <w:proofErr w:type="spellStart"/>
      <w:r w:rsidRPr="00542733">
        <w:t>panitumumab</w:t>
      </w:r>
      <w:proofErr w:type="spellEnd"/>
      <w:r w:rsidR="00131AC7" w:rsidRPr="00542733">
        <w:t xml:space="preserve"> </w:t>
      </w:r>
      <w:r w:rsidRPr="00542733">
        <w:t>+</w:t>
      </w:r>
      <w:r w:rsidR="00131AC7" w:rsidRPr="00542733">
        <w:t xml:space="preserve"> </w:t>
      </w:r>
      <w:r w:rsidRPr="00542733">
        <w:t>FOLFOX treatment are summarised below f</w:t>
      </w:r>
      <w:r w:rsidR="00DB20A3" w:rsidRPr="00542733">
        <w:t xml:space="preserve">or the requested </w:t>
      </w:r>
      <w:r w:rsidRPr="00542733">
        <w:t>first-line treatment</w:t>
      </w:r>
      <w:r w:rsidR="00DB20A3" w:rsidRPr="00542733">
        <w:t xml:space="preserve"> </w:t>
      </w:r>
      <w:r w:rsidRPr="00542733">
        <w:t xml:space="preserve">of </w:t>
      </w:r>
      <w:proofErr w:type="spellStart"/>
      <w:r w:rsidRPr="00542733">
        <w:t>mCRC</w:t>
      </w:r>
      <w:proofErr w:type="spellEnd"/>
      <w:r w:rsidRPr="00542733">
        <w:t xml:space="preserve"> in the requested eligible population </w:t>
      </w:r>
      <w:r w:rsidR="00DB20A3" w:rsidRPr="00542733">
        <w:t>(</w:t>
      </w:r>
      <w:r w:rsidR="00DB20A3" w:rsidRPr="001A53B7">
        <w:rPr>
          <w:i/>
        </w:rPr>
        <w:t>RAS</w:t>
      </w:r>
      <w:r w:rsidR="00DB20A3" w:rsidRPr="00542733">
        <w:t xml:space="preserve"> WT subgroup)</w:t>
      </w:r>
      <w:r w:rsidR="005D193A" w:rsidRPr="00542733">
        <w:t>.</w:t>
      </w:r>
    </w:p>
    <w:p w:rsidR="001A53B7" w:rsidRDefault="001A53B7" w:rsidP="00CA3DDF">
      <w:pPr>
        <w:rPr>
          <w:rStyle w:val="CommentReference"/>
          <w:i/>
        </w:rPr>
      </w:pPr>
    </w:p>
    <w:p w:rsidR="00CA3DDF" w:rsidRPr="00542733" w:rsidRDefault="0099335F" w:rsidP="001A53B7">
      <w:pPr>
        <w:ind w:left="720"/>
        <w:rPr>
          <w:rStyle w:val="CommentReference"/>
        </w:rPr>
      </w:pPr>
      <w:r w:rsidRPr="00542733">
        <w:rPr>
          <w:rStyle w:val="CommentReference"/>
          <w:i/>
        </w:rPr>
        <w:t>RAS</w:t>
      </w:r>
      <w:r w:rsidRPr="00542733">
        <w:rPr>
          <w:rStyle w:val="CommentReference"/>
        </w:rPr>
        <w:t xml:space="preserve"> WT</w:t>
      </w:r>
      <w:r w:rsidR="00DB20A3" w:rsidRPr="00542733">
        <w:rPr>
          <w:rStyle w:val="CommentReference"/>
        </w:rPr>
        <w:t xml:space="preserve"> subgroup</w:t>
      </w:r>
      <w:r w:rsidRPr="00542733">
        <w:rPr>
          <w:rStyle w:val="CommentReference"/>
        </w:rPr>
        <w:t xml:space="preserve"> </w:t>
      </w:r>
      <w:r w:rsidRPr="00542733">
        <w:rPr>
          <w:rFonts w:ascii="Arial Narrow" w:hAnsi="Arial Narrow"/>
          <w:b/>
          <w:sz w:val="20"/>
        </w:rPr>
        <w:t>(</w:t>
      </w:r>
      <w:r w:rsidR="00DB20A3" w:rsidRPr="00542733">
        <w:rPr>
          <w:rFonts w:ascii="Arial Narrow" w:hAnsi="Arial Narrow"/>
          <w:b/>
          <w:sz w:val="20"/>
        </w:rPr>
        <w:t xml:space="preserve">no mutations on </w:t>
      </w:r>
      <w:r w:rsidRPr="00542733">
        <w:rPr>
          <w:rFonts w:ascii="Arial Narrow" w:hAnsi="Arial Narrow"/>
          <w:b/>
          <w:i/>
          <w:sz w:val="20"/>
        </w:rPr>
        <w:t>KRAS</w:t>
      </w:r>
      <w:r w:rsidRPr="00542733">
        <w:rPr>
          <w:rFonts w:ascii="Arial Narrow" w:hAnsi="Arial Narrow"/>
          <w:b/>
          <w:sz w:val="20"/>
        </w:rPr>
        <w:t xml:space="preserve"> and </w:t>
      </w:r>
      <w:r w:rsidRPr="00542733">
        <w:rPr>
          <w:rFonts w:ascii="Arial Narrow" w:hAnsi="Arial Narrow"/>
          <w:b/>
          <w:i/>
          <w:sz w:val="20"/>
        </w:rPr>
        <w:t>NRAS</w:t>
      </w:r>
      <w:r w:rsidRPr="00542733">
        <w:rPr>
          <w:rFonts w:ascii="Arial Narrow" w:hAnsi="Arial Narrow"/>
          <w:b/>
          <w:sz w:val="20"/>
        </w:rPr>
        <w:t xml:space="preserve"> Exons 2/3/4)</w:t>
      </w:r>
      <w:r w:rsidRPr="00542733">
        <w:rPr>
          <w:rStyle w:val="CommentReference"/>
        </w:rPr>
        <w:t xml:space="preserve">: </w:t>
      </w:r>
      <w:r w:rsidR="00CA3DDF" w:rsidRPr="00542733">
        <w:rPr>
          <w:rStyle w:val="CommentReference"/>
        </w:rPr>
        <w:t xml:space="preserve">Summary of comparative benefits and harms for </w:t>
      </w:r>
      <w:proofErr w:type="spellStart"/>
      <w:r w:rsidRPr="00542733">
        <w:rPr>
          <w:rStyle w:val="CommentReference"/>
        </w:rPr>
        <w:t>panitumumab</w:t>
      </w:r>
      <w:proofErr w:type="spellEnd"/>
      <w:r w:rsidRPr="00542733">
        <w:rPr>
          <w:rStyle w:val="CommentReference"/>
        </w:rPr>
        <w:t xml:space="preserve"> + FOLFOX</w:t>
      </w:r>
      <w:r w:rsidR="00CA3DDF" w:rsidRPr="00542733">
        <w:rPr>
          <w:rStyle w:val="CommentReference"/>
        </w:rPr>
        <w:t xml:space="preserve"> and </w:t>
      </w:r>
      <w:r w:rsidRPr="00542733">
        <w:rPr>
          <w:rStyle w:val="CommentReference"/>
        </w:rPr>
        <w:t xml:space="preserve">the comparators 1) </w:t>
      </w:r>
      <w:proofErr w:type="spellStart"/>
      <w:r w:rsidRPr="00542733">
        <w:rPr>
          <w:rStyle w:val="CommentReference"/>
        </w:rPr>
        <w:t>bevacizum</w:t>
      </w:r>
      <w:r w:rsidR="00233A98" w:rsidRPr="00542733">
        <w:rPr>
          <w:rStyle w:val="CommentReference"/>
        </w:rPr>
        <w:t>ab</w:t>
      </w:r>
      <w:proofErr w:type="spellEnd"/>
      <w:r w:rsidR="00233A98" w:rsidRPr="00542733">
        <w:rPr>
          <w:rStyle w:val="CommentReference"/>
        </w:rPr>
        <w:t xml:space="preserve"> + FOLFOX and 2) FOLFOX alone</w:t>
      </w:r>
    </w:p>
    <w:tbl>
      <w:tblPr>
        <w:tblStyle w:val="TableGrid"/>
        <w:tblW w:w="4594" w:type="pct"/>
        <w:tblInd w:w="737" w:type="dxa"/>
        <w:tblCellMar>
          <w:left w:w="28" w:type="dxa"/>
          <w:right w:w="28" w:type="dxa"/>
        </w:tblCellMar>
        <w:tblLook w:val="04A0" w:firstRow="1" w:lastRow="0" w:firstColumn="1" w:lastColumn="0" w:noHBand="0" w:noVBand="1"/>
        <w:tblDescription w:val="RAS WT subgroup (no mutations on KRAS and NRAS Exons 2/3/4): Summary of comparative benefits and harms for panitumumab + FOLFOX and the comparators 1) bevacizumab + FOLFOX and 2) FOLFOX alone"/>
      </w:tblPr>
      <w:tblGrid>
        <w:gridCol w:w="1551"/>
        <w:gridCol w:w="1405"/>
        <w:gridCol w:w="1757"/>
        <w:gridCol w:w="2145"/>
        <w:gridCol w:w="1487"/>
      </w:tblGrid>
      <w:tr w:rsidR="00CA3DDF" w:rsidRPr="00542733" w:rsidTr="001A53B7">
        <w:tc>
          <w:tcPr>
            <w:tcW w:w="5000" w:type="pct"/>
            <w:gridSpan w:val="5"/>
            <w:shd w:val="clear" w:color="auto" w:fill="D9D9D9" w:themeFill="background1" w:themeFillShade="D9"/>
            <w:vAlign w:val="center"/>
          </w:tcPr>
          <w:p w:rsidR="00CA3DDF" w:rsidRPr="00542733" w:rsidRDefault="00CA3DDF" w:rsidP="00CA3DDF">
            <w:pPr>
              <w:rPr>
                <w:rFonts w:ascii="Arial Narrow" w:hAnsi="Arial Narrow"/>
                <w:b/>
                <w:color w:val="000000"/>
                <w:sz w:val="20"/>
                <w:szCs w:val="18"/>
              </w:rPr>
            </w:pPr>
            <w:r w:rsidRPr="00542733">
              <w:rPr>
                <w:rFonts w:ascii="Arial Narrow" w:hAnsi="Arial Narrow"/>
                <w:b/>
                <w:color w:val="000000"/>
                <w:sz w:val="20"/>
                <w:szCs w:val="18"/>
              </w:rPr>
              <w:t>Benefits</w:t>
            </w:r>
          </w:p>
        </w:tc>
      </w:tr>
      <w:tr w:rsidR="0061212F" w:rsidRPr="00542733" w:rsidTr="001A53B7">
        <w:tc>
          <w:tcPr>
            <w:tcW w:w="5000" w:type="pct"/>
            <w:gridSpan w:val="5"/>
            <w:shd w:val="clear" w:color="auto" w:fill="auto"/>
            <w:vAlign w:val="center"/>
          </w:tcPr>
          <w:p w:rsidR="0061212F" w:rsidRPr="00542733" w:rsidRDefault="0061212F" w:rsidP="0061212F">
            <w:pPr>
              <w:jc w:val="left"/>
              <w:rPr>
                <w:rFonts w:ascii="Arial Narrow" w:hAnsi="Arial Narrow"/>
                <w:b/>
                <w:color w:val="000000"/>
                <w:sz w:val="20"/>
                <w:szCs w:val="18"/>
                <w:vertAlign w:val="superscript"/>
              </w:rPr>
            </w:pPr>
            <w:r w:rsidRPr="00542733">
              <w:rPr>
                <w:rFonts w:ascii="Arial Narrow" w:hAnsi="Arial Narrow"/>
                <w:b/>
                <w:color w:val="000000"/>
                <w:sz w:val="20"/>
                <w:szCs w:val="18"/>
              </w:rPr>
              <w:t>PRIME</w:t>
            </w:r>
            <w:r w:rsidRPr="00542733">
              <w:rPr>
                <w:rFonts w:ascii="Arial Narrow" w:hAnsi="Arial Narrow"/>
                <w:b/>
                <w:color w:val="000000"/>
                <w:sz w:val="20"/>
                <w:szCs w:val="18"/>
                <w:vertAlign w:val="superscript"/>
              </w:rPr>
              <w:t>∆</w:t>
            </w:r>
          </w:p>
        </w:tc>
      </w:tr>
      <w:tr w:rsidR="0061212F" w:rsidRPr="00542733" w:rsidTr="001A53B7">
        <w:tc>
          <w:tcPr>
            <w:tcW w:w="929" w:type="pct"/>
            <w:shd w:val="clear" w:color="auto" w:fill="auto"/>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b/>
                <w:color w:val="000000"/>
                <w:sz w:val="20"/>
                <w:szCs w:val="18"/>
              </w:rPr>
              <w:t>Outcome</w:t>
            </w:r>
          </w:p>
        </w:tc>
        <w:tc>
          <w:tcPr>
            <w:tcW w:w="842" w:type="pct"/>
          </w:tcPr>
          <w:p w:rsidR="0061212F" w:rsidRPr="00542733" w:rsidRDefault="0061212F" w:rsidP="0061212F">
            <w:pPr>
              <w:jc w:val="center"/>
              <w:rPr>
                <w:rFonts w:ascii="Arial Narrow" w:hAnsi="Arial Narrow"/>
                <w:sz w:val="20"/>
              </w:rPr>
            </w:pPr>
            <w:proofErr w:type="spellStart"/>
            <w:r w:rsidRPr="00542733">
              <w:rPr>
                <w:rFonts w:ascii="Arial Narrow" w:hAnsi="Arial Narrow"/>
                <w:b/>
                <w:color w:val="000000"/>
                <w:sz w:val="20"/>
                <w:szCs w:val="18"/>
              </w:rPr>
              <w:t>Panitumumab</w:t>
            </w:r>
            <w:proofErr w:type="spellEnd"/>
            <w:r w:rsidRPr="00542733">
              <w:rPr>
                <w:rFonts w:ascii="Arial Narrow" w:hAnsi="Arial Narrow"/>
                <w:b/>
                <w:color w:val="000000"/>
                <w:sz w:val="20"/>
                <w:szCs w:val="18"/>
              </w:rPr>
              <w:t xml:space="preserve"> + FOLFOX</w:t>
            </w:r>
          </w:p>
        </w:tc>
        <w:tc>
          <w:tcPr>
            <w:tcW w:w="1053" w:type="pct"/>
          </w:tcPr>
          <w:p w:rsidR="0061212F" w:rsidRPr="00542733" w:rsidRDefault="0061212F" w:rsidP="0061212F">
            <w:pPr>
              <w:jc w:val="center"/>
              <w:rPr>
                <w:rFonts w:ascii="Arial Narrow" w:hAnsi="Arial Narrow"/>
                <w:b/>
                <w:sz w:val="20"/>
              </w:rPr>
            </w:pPr>
            <w:r w:rsidRPr="00542733">
              <w:rPr>
                <w:rFonts w:ascii="Arial Narrow" w:hAnsi="Arial Narrow"/>
                <w:b/>
                <w:sz w:val="20"/>
              </w:rPr>
              <w:t>FOLFOX alone</w:t>
            </w:r>
          </w:p>
        </w:tc>
        <w:tc>
          <w:tcPr>
            <w:tcW w:w="1285" w:type="pct"/>
            <w:vAlign w:val="center"/>
          </w:tcPr>
          <w:p w:rsidR="0061212F" w:rsidRPr="00542733" w:rsidRDefault="0061212F" w:rsidP="0061212F">
            <w:pPr>
              <w:jc w:val="center"/>
              <w:rPr>
                <w:rFonts w:ascii="Arial Narrow" w:hAnsi="Arial Narrow"/>
                <w:b/>
                <w:color w:val="000000"/>
                <w:sz w:val="20"/>
                <w:szCs w:val="18"/>
              </w:rPr>
            </w:pPr>
            <w:r w:rsidRPr="00542733">
              <w:rPr>
                <w:rFonts w:ascii="Arial Narrow" w:hAnsi="Arial Narrow"/>
                <w:b/>
                <w:color w:val="000000"/>
                <w:sz w:val="20"/>
                <w:szCs w:val="18"/>
              </w:rPr>
              <w:t>Absolute difference</w:t>
            </w:r>
          </w:p>
          <w:p w:rsidR="0061212F" w:rsidRPr="00542733" w:rsidRDefault="0061212F" w:rsidP="0061212F">
            <w:pPr>
              <w:jc w:val="center"/>
              <w:rPr>
                <w:rFonts w:ascii="Arial Narrow" w:hAnsi="Arial Narrow"/>
                <w:b/>
                <w:color w:val="000000"/>
                <w:sz w:val="20"/>
                <w:szCs w:val="18"/>
              </w:rPr>
            </w:pPr>
            <w:r w:rsidRPr="00542733">
              <w:rPr>
                <w:rFonts w:ascii="Arial Narrow" w:hAnsi="Arial Narrow"/>
                <w:b/>
                <w:color w:val="000000"/>
                <w:sz w:val="20"/>
                <w:szCs w:val="18"/>
              </w:rPr>
              <w:t>(months)</w:t>
            </w:r>
          </w:p>
          <w:p w:rsidR="0061212F" w:rsidRPr="00542733" w:rsidRDefault="0061212F" w:rsidP="0061212F">
            <w:pPr>
              <w:jc w:val="center"/>
              <w:rPr>
                <w:rFonts w:ascii="Arial Narrow" w:hAnsi="Arial Narrow"/>
                <w:color w:val="000000"/>
                <w:sz w:val="20"/>
                <w:szCs w:val="18"/>
              </w:rPr>
            </w:pPr>
            <w:r w:rsidRPr="00542733">
              <w:rPr>
                <w:rFonts w:ascii="Arial Narrow" w:hAnsi="Arial Narrow"/>
                <w:b/>
                <w:color w:val="000000"/>
                <w:sz w:val="20"/>
                <w:szCs w:val="18"/>
              </w:rPr>
              <w:t>(</w:t>
            </w:r>
            <w:proofErr w:type="spellStart"/>
            <w:r w:rsidRPr="00542733">
              <w:rPr>
                <w:rFonts w:ascii="Arial Narrow" w:hAnsi="Arial Narrow"/>
                <w:b/>
                <w:color w:val="000000"/>
                <w:sz w:val="20"/>
                <w:szCs w:val="18"/>
              </w:rPr>
              <w:t>panitumumab</w:t>
            </w:r>
            <w:proofErr w:type="spellEnd"/>
            <w:r w:rsidRPr="00542733">
              <w:rPr>
                <w:rFonts w:ascii="Arial Narrow" w:hAnsi="Arial Narrow"/>
                <w:b/>
                <w:color w:val="000000"/>
                <w:sz w:val="20"/>
                <w:szCs w:val="18"/>
              </w:rPr>
              <w:t xml:space="preserve"> arm minus comparator arm)</w:t>
            </w:r>
          </w:p>
        </w:tc>
        <w:tc>
          <w:tcPr>
            <w:tcW w:w="890" w:type="pct"/>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b/>
                <w:color w:val="000000"/>
                <w:sz w:val="20"/>
                <w:szCs w:val="18"/>
              </w:rPr>
              <w:t>HR (95% CI)</w:t>
            </w:r>
          </w:p>
        </w:tc>
      </w:tr>
      <w:tr w:rsidR="0061212F" w:rsidRPr="00542733" w:rsidTr="001A53B7">
        <w:tc>
          <w:tcPr>
            <w:tcW w:w="929" w:type="pct"/>
            <w:shd w:val="clear" w:color="auto" w:fill="auto"/>
            <w:vAlign w:val="center"/>
          </w:tcPr>
          <w:p w:rsidR="0061212F" w:rsidRPr="00542733" w:rsidRDefault="0061212F" w:rsidP="0061212F">
            <w:pPr>
              <w:rPr>
                <w:rFonts w:ascii="Arial Narrow" w:hAnsi="Arial Narrow"/>
                <w:color w:val="000000"/>
                <w:sz w:val="20"/>
                <w:szCs w:val="18"/>
              </w:rPr>
            </w:pPr>
            <w:r w:rsidRPr="00542733">
              <w:rPr>
                <w:rFonts w:ascii="Arial Narrow" w:hAnsi="Arial Narrow"/>
                <w:color w:val="000000"/>
                <w:sz w:val="20"/>
                <w:szCs w:val="18"/>
              </w:rPr>
              <w:t xml:space="preserve">Median PFS, </w:t>
            </w:r>
            <w:proofErr w:type="spellStart"/>
            <w:r w:rsidRPr="00542733">
              <w:rPr>
                <w:rFonts w:ascii="Arial Narrow" w:hAnsi="Arial Narrow"/>
                <w:color w:val="000000"/>
                <w:sz w:val="20"/>
                <w:szCs w:val="18"/>
              </w:rPr>
              <w:t>mths</w:t>
            </w:r>
            <w:proofErr w:type="spellEnd"/>
            <w:r w:rsidRPr="00542733">
              <w:rPr>
                <w:rFonts w:ascii="Arial Narrow" w:hAnsi="Arial Narrow"/>
                <w:color w:val="000000"/>
                <w:sz w:val="20"/>
                <w:szCs w:val="18"/>
              </w:rPr>
              <w:t>, (95% CI)</w:t>
            </w:r>
          </w:p>
        </w:tc>
        <w:tc>
          <w:tcPr>
            <w:tcW w:w="842" w:type="pct"/>
          </w:tcPr>
          <w:p w:rsidR="0061212F" w:rsidRPr="00542733" w:rsidRDefault="0061212F" w:rsidP="0061212F">
            <w:pPr>
              <w:pStyle w:val="ListParagraph"/>
              <w:keepNext/>
              <w:ind w:left="0"/>
              <w:contextualSpacing w:val="0"/>
              <w:jc w:val="center"/>
              <w:rPr>
                <w:rFonts w:ascii="Arial Narrow" w:hAnsi="Arial Narrow"/>
                <w:sz w:val="20"/>
              </w:rPr>
            </w:pPr>
            <w:r w:rsidRPr="00542733">
              <w:rPr>
                <w:rFonts w:ascii="Arial Narrow" w:hAnsi="Arial Narrow"/>
                <w:sz w:val="20"/>
              </w:rPr>
              <w:t>10.8 (9.4, 12.9)</w:t>
            </w:r>
          </w:p>
        </w:tc>
        <w:tc>
          <w:tcPr>
            <w:tcW w:w="1053" w:type="pct"/>
          </w:tcPr>
          <w:p w:rsidR="0061212F" w:rsidRPr="00542733" w:rsidRDefault="0061212F" w:rsidP="0061212F">
            <w:pPr>
              <w:pStyle w:val="ListParagraph"/>
              <w:keepNext/>
              <w:ind w:left="0"/>
              <w:contextualSpacing w:val="0"/>
              <w:jc w:val="center"/>
              <w:rPr>
                <w:rFonts w:ascii="Arial Narrow" w:hAnsi="Arial Narrow"/>
                <w:sz w:val="20"/>
              </w:rPr>
            </w:pPr>
            <w:r w:rsidRPr="00542733">
              <w:rPr>
                <w:rFonts w:ascii="Arial Narrow" w:hAnsi="Arial Narrow"/>
                <w:sz w:val="20"/>
              </w:rPr>
              <w:t>8.6 (7.3, 9.6)</w:t>
            </w:r>
          </w:p>
        </w:tc>
        <w:tc>
          <w:tcPr>
            <w:tcW w:w="1285" w:type="pct"/>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+2.2</w:t>
            </w:r>
          </w:p>
        </w:tc>
        <w:tc>
          <w:tcPr>
            <w:tcW w:w="890" w:type="pct"/>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sz w:val="20"/>
              </w:rPr>
              <w:t>0.73 (0.60, 0.88)</w:t>
            </w:r>
          </w:p>
        </w:tc>
      </w:tr>
      <w:tr w:rsidR="0061212F" w:rsidRPr="00542733" w:rsidTr="001A53B7">
        <w:tc>
          <w:tcPr>
            <w:tcW w:w="929" w:type="pct"/>
            <w:shd w:val="clear" w:color="auto" w:fill="auto"/>
            <w:vAlign w:val="center"/>
          </w:tcPr>
          <w:p w:rsidR="0061212F" w:rsidRPr="00542733" w:rsidRDefault="0061212F" w:rsidP="0061212F">
            <w:pPr>
              <w:rPr>
                <w:rFonts w:ascii="Arial Narrow" w:hAnsi="Arial Narrow"/>
                <w:color w:val="000000"/>
                <w:sz w:val="20"/>
                <w:szCs w:val="18"/>
              </w:rPr>
            </w:pPr>
            <w:r w:rsidRPr="00542733">
              <w:rPr>
                <w:rFonts w:ascii="Arial Narrow" w:hAnsi="Arial Narrow"/>
                <w:color w:val="000000"/>
                <w:sz w:val="20"/>
                <w:szCs w:val="18"/>
              </w:rPr>
              <w:t xml:space="preserve">Median OS, </w:t>
            </w:r>
            <w:proofErr w:type="spellStart"/>
            <w:r w:rsidRPr="00542733">
              <w:rPr>
                <w:rFonts w:ascii="Arial Narrow" w:hAnsi="Arial Narrow"/>
                <w:color w:val="000000"/>
                <w:sz w:val="20"/>
                <w:szCs w:val="18"/>
              </w:rPr>
              <w:t>mths</w:t>
            </w:r>
            <w:proofErr w:type="spellEnd"/>
            <w:r w:rsidRPr="00542733">
              <w:rPr>
                <w:rFonts w:ascii="Arial Narrow" w:hAnsi="Arial Narrow"/>
                <w:color w:val="000000"/>
                <w:sz w:val="20"/>
                <w:szCs w:val="18"/>
              </w:rPr>
              <w:t>, (95% CI)</w:t>
            </w:r>
          </w:p>
        </w:tc>
        <w:tc>
          <w:tcPr>
            <w:tcW w:w="842" w:type="pct"/>
          </w:tcPr>
          <w:p w:rsidR="0061212F" w:rsidRPr="00542733" w:rsidRDefault="0061212F" w:rsidP="0061212F">
            <w:pPr>
              <w:pStyle w:val="TableText0"/>
              <w:keepNext w:val="0"/>
              <w:spacing w:before="0" w:after="0"/>
              <w:jc w:val="center"/>
            </w:pPr>
            <w:r w:rsidRPr="00542733">
              <w:rPr>
                <w:rFonts w:cs="Arial"/>
                <w:lang w:val="en-US" w:eastAsia="en-AU"/>
              </w:rPr>
              <w:t xml:space="preserve">25.8 </w:t>
            </w:r>
            <w:r w:rsidRPr="00542733">
              <w:rPr>
                <w:lang w:val="en-US" w:eastAsia="en-AU"/>
              </w:rPr>
              <w:t>(21.7, 29.7)</w:t>
            </w:r>
          </w:p>
        </w:tc>
        <w:tc>
          <w:tcPr>
            <w:tcW w:w="1053" w:type="pct"/>
          </w:tcPr>
          <w:p w:rsidR="0061212F" w:rsidRPr="00542733" w:rsidRDefault="0061212F" w:rsidP="0061212F">
            <w:pPr>
              <w:pStyle w:val="TableText0"/>
              <w:keepNext w:val="0"/>
              <w:spacing w:before="0" w:after="0"/>
              <w:jc w:val="center"/>
            </w:pPr>
            <w:r w:rsidRPr="00542733">
              <w:rPr>
                <w:rFonts w:cs="Arial"/>
                <w:lang w:val="en-US" w:eastAsia="en-AU"/>
              </w:rPr>
              <w:t xml:space="preserve">20.2 </w:t>
            </w:r>
            <w:r w:rsidRPr="00542733">
              <w:rPr>
                <w:lang w:val="en-US" w:eastAsia="en-AU"/>
              </w:rPr>
              <w:t>(17.6, 23.6)</w:t>
            </w:r>
          </w:p>
        </w:tc>
        <w:tc>
          <w:tcPr>
            <w:tcW w:w="1285" w:type="pct"/>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+5.6</w:t>
            </w:r>
          </w:p>
        </w:tc>
        <w:tc>
          <w:tcPr>
            <w:tcW w:w="890" w:type="pct"/>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sz w:val="20"/>
              </w:rPr>
              <w:t>0.77 (0.64, 0.94)</w:t>
            </w:r>
          </w:p>
        </w:tc>
      </w:tr>
    </w:tbl>
    <w:p w:rsidR="001A53B7" w:rsidRDefault="001A53B7"/>
    <w:tbl>
      <w:tblPr>
        <w:tblStyle w:val="TableGrid"/>
        <w:tblW w:w="4594" w:type="pct"/>
        <w:tblInd w:w="737" w:type="dxa"/>
        <w:tblCellMar>
          <w:left w:w="28" w:type="dxa"/>
          <w:right w:w="28" w:type="dxa"/>
        </w:tblCellMar>
        <w:tblLook w:val="04A0" w:firstRow="1" w:lastRow="0" w:firstColumn="1" w:lastColumn="0" w:noHBand="0" w:noVBand="1"/>
        <w:tblDescription w:val="RAS WT subgroup (no mutations on KRAS and NRAS Exons 2/3/4): Summary of comparative benefits and harms for panitumumab + FOLFOX and the comparators 1) bevacizumab + FOLFOX and 2) FOLFOX alone"/>
      </w:tblPr>
      <w:tblGrid>
        <w:gridCol w:w="1141"/>
        <w:gridCol w:w="408"/>
        <w:gridCol w:w="1257"/>
        <w:gridCol w:w="149"/>
        <w:gridCol w:w="1177"/>
        <w:gridCol w:w="581"/>
        <w:gridCol w:w="823"/>
        <w:gridCol w:w="1322"/>
        <w:gridCol w:w="132"/>
        <w:gridCol w:w="1355"/>
      </w:tblGrid>
      <w:tr w:rsidR="0061212F" w:rsidRPr="00542733" w:rsidTr="001A53B7">
        <w:tc>
          <w:tcPr>
            <w:tcW w:w="5000" w:type="pct"/>
            <w:gridSpan w:val="10"/>
            <w:shd w:val="clear" w:color="auto" w:fill="auto"/>
            <w:vAlign w:val="center"/>
          </w:tcPr>
          <w:p w:rsidR="0061212F" w:rsidRPr="00542733" w:rsidRDefault="0061212F" w:rsidP="0061212F">
            <w:pPr>
              <w:rPr>
                <w:rFonts w:ascii="Arial Narrow" w:hAnsi="Arial Narrow"/>
                <w:b/>
                <w:color w:val="000000"/>
                <w:sz w:val="20"/>
                <w:szCs w:val="18"/>
                <w:vertAlign w:val="superscript"/>
              </w:rPr>
            </w:pPr>
            <w:r w:rsidRPr="00542733">
              <w:rPr>
                <w:rFonts w:ascii="Arial Narrow" w:hAnsi="Arial Narrow"/>
                <w:b/>
                <w:color w:val="000000"/>
                <w:sz w:val="20"/>
                <w:szCs w:val="18"/>
              </w:rPr>
              <w:t>PEAK</w:t>
            </w:r>
            <w:r w:rsidRPr="00542733">
              <w:rPr>
                <w:rFonts w:ascii="Arial Narrow" w:hAnsi="Arial Narrow"/>
                <w:b/>
                <w:color w:val="000000"/>
                <w:sz w:val="20"/>
                <w:szCs w:val="18"/>
                <w:vertAlign w:val="superscript"/>
              </w:rPr>
              <w:t>*</w:t>
            </w:r>
          </w:p>
        </w:tc>
      </w:tr>
      <w:tr w:rsidR="0061212F" w:rsidRPr="00542733" w:rsidTr="001A53B7">
        <w:tc>
          <w:tcPr>
            <w:tcW w:w="929" w:type="pct"/>
            <w:gridSpan w:val="2"/>
            <w:shd w:val="clear" w:color="auto" w:fill="auto"/>
            <w:vAlign w:val="center"/>
          </w:tcPr>
          <w:p w:rsidR="0061212F" w:rsidRPr="00542733" w:rsidRDefault="0061212F" w:rsidP="0061212F">
            <w:pPr>
              <w:jc w:val="center"/>
              <w:rPr>
                <w:rFonts w:ascii="Arial Narrow" w:hAnsi="Arial Narrow"/>
                <w:b/>
                <w:color w:val="000000"/>
                <w:sz w:val="20"/>
                <w:szCs w:val="18"/>
              </w:rPr>
            </w:pPr>
            <w:r w:rsidRPr="00542733">
              <w:rPr>
                <w:rFonts w:ascii="Arial Narrow" w:hAnsi="Arial Narrow"/>
                <w:b/>
                <w:color w:val="000000"/>
                <w:sz w:val="20"/>
                <w:szCs w:val="18"/>
              </w:rPr>
              <w:t>Outcome</w:t>
            </w:r>
          </w:p>
        </w:tc>
        <w:tc>
          <w:tcPr>
            <w:tcW w:w="842" w:type="pct"/>
            <w:gridSpan w:val="2"/>
            <w:vAlign w:val="center"/>
          </w:tcPr>
          <w:p w:rsidR="0061212F" w:rsidRPr="00542733" w:rsidRDefault="0061212F" w:rsidP="0061212F">
            <w:pPr>
              <w:jc w:val="center"/>
              <w:rPr>
                <w:rFonts w:ascii="Arial Narrow" w:hAnsi="Arial Narrow"/>
                <w:b/>
                <w:color w:val="000000"/>
                <w:sz w:val="20"/>
                <w:szCs w:val="18"/>
              </w:rPr>
            </w:pPr>
            <w:proofErr w:type="spellStart"/>
            <w:r w:rsidRPr="00542733">
              <w:rPr>
                <w:rFonts w:ascii="Arial Narrow" w:hAnsi="Arial Narrow"/>
                <w:b/>
                <w:color w:val="000000"/>
                <w:sz w:val="20"/>
                <w:szCs w:val="18"/>
              </w:rPr>
              <w:t>Panitumumab</w:t>
            </w:r>
            <w:proofErr w:type="spellEnd"/>
            <w:r w:rsidRPr="00542733">
              <w:rPr>
                <w:rFonts w:ascii="Arial Narrow" w:hAnsi="Arial Narrow"/>
                <w:b/>
                <w:color w:val="000000"/>
                <w:sz w:val="20"/>
                <w:szCs w:val="18"/>
              </w:rPr>
              <w:t xml:space="preserve"> + FOLFOX</w:t>
            </w:r>
          </w:p>
        </w:tc>
        <w:tc>
          <w:tcPr>
            <w:tcW w:w="1053" w:type="pct"/>
            <w:gridSpan w:val="2"/>
            <w:vAlign w:val="center"/>
          </w:tcPr>
          <w:p w:rsidR="0061212F" w:rsidRPr="00542733" w:rsidRDefault="0061212F" w:rsidP="0061212F">
            <w:pPr>
              <w:jc w:val="center"/>
              <w:rPr>
                <w:rFonts w:ascii="Arial Narrow" w:hAnsi="Arial Narrow"/>
                <w:b/>
                <w:color w:val="000000"/>
                <w:sz w:val="20"/>
                <w:szCs w:val="18"/>
              </w:rPr>
            </w:pPr>
            <w:proofErr w:type="spellStart"/>
            <w:r w:rsidRPr="00542733">
              <w:rPr>
                <w:rFonts w:ascii="Arial Narrow" w:hAnsi="Arial Narrow"/>
                <w:b/>
                <w:color w:val="000000"/>
                <w:sz w:val="20"/>
                <w:szCs w:val="18"/>
              </w:rPr>
              <w:t>Bevacizumab</w:t>
            </w:r>
            <w:proofErr w:type="spellEnd"/>
            <w:r w:rsidRPr="00542733">
              <w:rPr>
                <w:rFonts w:ascii="Arial Narrow" w:hAnsi="Arial Narrow"/>
                <w:b/>
                <w:color w:val="000000"/>
                <w:sz w:val="20"/>
                <w:szCs w:val="18"/>
              </w:rPr>
              <w:t xml:space="preserve"> + FOLFOX</w:t>
            </w:r>
          </w:p>
        </w:tc>
        <w:tc>
          <w:tcPr>
            <w:tcW w:w="1285" w:type="pct"/>
            <w:gridSpan w:val="2"/>
            <w:vAlign w:val="center"/>
          </w:tcPr>
          <w:p w:rsidR="0061212F" w:rsidRPr="00542733" w:rsidRDefault="0061212F" w:rsidP="0061212F">
            <w:pPr>
              <w:jc w:val="center"/>
              <w:rPr>
                <w:rFonts w:ascii="Arial Narrow" w:hAnsi="Arial Narrow"/>
                <w:b/>
                <w:color w:val="000000"/>
                <w:sz w:val="20"/>
                <w:szCs w:val="18"/>
              </w:rPr>
            </w:pPr>
            <w:r w:rsidRPr="00542733">
              <w:rPr>
                <w:rFonts w:ascii="Arial Narrow" w:hAnsi="Arial Narrow"/>
                <w:b/>
                <w:color w:val="000000"/>
                <w:sz w:val="20"/>
                <w:szCs w:val="18"/>
              </w:rPr>
              <w:t xml:space="preserve">Absolute difference </w:t>
            </w:r>
          </w:p>
          <w:p w:rsidR="0061212F" w:rsidRPr="00542733" w:rsidRDefault="0061212F" w:rsidP="0061212F">
            <w:pPr>
              <w:jc w:val="center"/>
              <w:rPr>
                <w:rFonts w:ascii="Arial Narrow" w:hAnsi="Arial Narrow"/>
                <w:b/>
                <w:color w:val="000000"/>
                <w:sz w:val="20"/>
                <w:szCs w:val="18"/>
              </w:rPr>
            </w:pPr>
            <w:r w:rsidRPr="00542733">
              <w:rPr>
                <w:rFonts w:ascii="Arial Narrow" w:hAnsi="Arial Narrow"/>
                <w:b/>
                <w:color w:val="000000"/>
                <w:sz w:val="20"/>
                <w:szCs w:val="18"/>
              </w:rPr>
              <w:t>(months)</w:t>
            </w:r>
          </w:p>
          <w:p w:rsidR="0061212F" w:rsidRPr="00542733" w:rsidRDefault="0061212F" w:rsidP="0061212F">
            <w:pPr>
              <w:jc w:val="center"/>
              <w:rPr>
                <w:rFonts w:ascii="Arial Narrow" w:hAnsi="Arial Narrow"/>
                <w:b/>
                <w:color w:val="000000"/>
                <w:sz w:val="20"/>
                <w:szCs w:val="18"/>
              </w:rPr>
            </w:pPr>
            <w:r w:rsidRPr="00542733">
              <w:rPr>
                <w:rFonts w:ascii="Arial Narrow" w:hAnsi="Arial Narrow"/>
                <w:b/>
                <w:color w:val="000000"/>
                <w:sz w:val="20"/>
                <w:szCs w:val="18"/>
              </w:rPr>
              <w:t>(</w:t>
            </w:r>
            <w:proofErr w:type="spellStart"/>
            <w:r w:rsidRPr="00542733">
              <w:rPr>
                <w:rFonts w:ascii="Arial Narrow" w:hAnsi="Arial Narrow"/>
                <w:b/>
                <w:color w:val="000000"/>
                <w:sz w:val="20"/>
                <w:szCs w:val="18"/>
              </w:rPr>
              <w:t>panitumumab</w:t>
            </w:r>
            <w:proofErr w:type="spellEnd"/>
            <w:r w:rsidRPr="00542733">
              <w:rPr>
                <w:rFonts w:ascii="Arial Narrow" w:hAnsi="Arial Narrow"/>
                <w:b/>
                <w:color w:val="000000"/>
                <w:sz w:val="20"/>
                <w:szCs w:val="18"/>
              </w:rPr>
              <w:t xml:space="preserve"> arm minus comparator arm)</w:t>
            </w:r>
          </w:p>
        </w:tc>
        <w:tc>
          <w:tcPr>
            <w:tcW w:w="890" w:type="pct"/>
            <w:gridSpan w:val="2"/>
            <w:vAlign w:val="center"/>
          </w:tcPr>
          <w:p w:rsidR="0061212F" w:rsidRPr="00542733" w:rsidRDefault="0061212F" w:rsidP="0061212F">
            <w:pPr>
              <w:jc w:val="center"/>
              <w:rPr>
                <w:rFonts w:ascii="Arial Narrow" w:hAnsi="Arial Narrow"/>
                <w:b/>
                <w:color w:val="000000"/>
                <w:sz w:val="20"/>
                <w:szCs w:val="18"/>
              </w:rPr>
            </w:pPr>
            <w:r w:rsidRPr="00542733">
              <w:rPr>
                <w:rFonts w:ascii="Arial Narrow" w:hAnsi="Arial Narrow"/>
                <w:b/>
                <w:color w:val="000000"/>
                <w:sz w:val="20"/>
                <w:szCs w:val="18"/>
              </w:rPr>
              <w:t>HR (95% CI)</w:t>
            </w:r>
          </w:p>
        </w:tc>
      </w:tr>
      <w:tr w:rsidR="0061212F" w:rsidRPr="00542733" w:rsidTr="001A53B7">
        <w:tc>
          <w:tcPr>
            <w:tcW w:w="929" w:type="pct"/>
            <w:gridSpan w:val="2"/>
            <w:shd w:val="clear" w:color="auto" w:fill="auto"/>
            <w:vAlign w:val="center"/>
          </w:tcPr>
          <w:p w:rsidR="0061212F" w:rsidRPr="00542733" w:rsidRDefault="0061212F" w:rsidP="0061212F">
            <w:pPr>
              <w:rPr>
                <w:rFonts w:ascii="Arial Narrow" w:hAnsi="Arial Narrow"/>
                <w:color w:val="000000"/>
                <w:sz w:val="20"/>
                <w:szCs w:val="18"/>
              </w:rPr>
            </w:pPr>
            <w:r w:rsidRPr="00542733">
              <w:rPr>
                <w:rFonts w:ascii="Arial Narrow" w:hAnsi="Arial Narrow"/>
                <w:color w:val="000000"/>
                <w:sz w:val="20"/>
                <w:szCs w:val="18"/>
              </w:rPr>
              <w:t xml:space="preserve">Median PFS, </w:t>
            </w:r>
            <w:proofErr w:type="spellStart"/>
            <w:r w:rsidRPr="00542733">
              <w:rPr>
                <w:rFonts w:ascii="Arial Narrow" w:hAnsi="Arial Narrow"/>
                <w:color w:val="000000"/>
                <w:sz w:val="20"/>
                <w:szCs w:val="18"/>
              </w:rPr>
              <w:t>mths</w:t>
            </w:r>
            <w:proofErr w:type="spellEnd"/>
            <w:r w:rsidRPr="00542733">
              <w:rPr>
                <w:rFonts w:ascii="Arial Narrow" w:hAnsi="Arial Narrow"/>
                <w:color w:val="000000"/>
                <w:sz w:val="20"/>
                <w:szCs w:val="18"/>
              </w:rPr>
              <w:t>, (95% CI)</w:t>
            </w:r>
          </w:p>
        </w:tc>
        <w:tc>
          <w:tcPr>
            <w:tcW w:w="842" w:type="pct"/>
            <w:gridSpan w:val="2"/>
          </w:tcPr>
          <w:p w:rsidR="0061212F" w:rsidRPr="00542733" w:rsidRDefault="0061212F" w:rsidP="0061212F">
            <w:pPr>
              <w:pStyle w:val="ListParagraph"/>
              <w:keepNext/>
              <w:ind w:left="0"/>
              <w:contextualSpacing w:val="0"/>
              <w:jc w:val="center"/>
              <w:rPr>
                <w:rFonts w:ascii="Arial Narrow" w:hAnsi="Arial Narrow"/>
                <w:sz w:val="20"/>
              </w:rPr>
            </w:pPr>
            <w:r w:rsidRPr="00542733">
              <w:rPr>
                <w:rFonts w:ascii="Arial Narrow" w:hAnsi="Arial Narrow"/>
                <w:sz w:val="20"/>
              </w:rPr>
              <w:t>13.0 (10.9, 15.1)</w:t>
            </w:r>
          </w:p>
        </w:tc>
        <w:tc>
          <w:tcPr>
            <w:tcW w:w="1053" w:type="pct"/>
            <w:gridSpan w:val="2"/>
          </w:tcPr>
          <w:p w:rsidR="0061212F" w:rsidRPr="00542733" w:rsidRDefault="0061212F" w:rsidP="0061212F">
            <w:pPr>
              <w:pStyle w:val="ListParagraph"/>
              <w:keepNext/>
              <w:ind w:left="0"/>
              <w:contextualSpacing w:val="0"/>
              <w:jc w:val="center"/>
              <w:rPr>
                <w:rFonts w:ascii="Arial Narrow" w:hAnsi="Arial Narrow"/>
                <w:sz w:val="20"/>
              </w:rPr>
            </w:pPr>
            <w:r w:rsidRPr="00542733">
              <w:rPr>
                <w:rFonts w:ascii="Arial Narrow" w:hAnsi="Arial Narrow"/>
                <w:sz w:val="20"/>
              </w:rPr>
              <w:t>10.1 (9.0, 12.7)</w:t>
            </w:r>
          </w:p>
        </w:tc>
        <w:tc>
          <w:tcPr>
            <w:tcW w:w="1285"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+2.9</w:t>
            </w:r>
          </w:p>
        </w:tc>
        <w:tc>
          <w:tcPr>
            <w:tcW w:w="890"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0.66 (0.46, 0.95)</w:t>
            </w:r>
          </w:p>
        </w:tc>
      </w:tr>
      <w:tr w:rsidR="0061212F" w:rsidRPr="00542733" w:rsidTr="001A53B7">
        <w:tc>
          <w:tcPr>
            <w:tcW w:w="929" w:type="pct"/>
            <w:gridSpan w:val="2"/>
            <w:shd w:val="clear" w:color="auto" w:fill="auto"/>
            <w:vAlign w:val="center"/>
          </w:tcPr>
          <w:p w:rsidR="0061212F" w:rsidRPr="00542733" w:rsidRDefault="0061212F" w:rsidP="0061212F">
            <w:pPr>
              <w:rPr>
                <w:rFonts w:ascii="Arial Narrow" w:hAnsi="Arial Narrow"/>
                <w:color w:val="000000"/>
                <w:sz w:val="20"/>
                <w:szCs w:val="18"/>
              </w:rPr>
            </w:pPr>
            <w:r w:rsidRPr="00542733">
              <w:rPr>
                <w:rFonts w:ascii="Arial Narrow" w:hAnsi="Arial Narrow"/>
                <w:color w:val="000000"/>
                <w:sz w:val="20"/>
                <w:szCs w:val="18"/>
              </w:rPr>
              <w:t xml:space="preserve">Median OS, </w:t>
            </w:r>
            <w:proofErr w:type="spellStart"/>
            <w:r w:rsidRPr="00542733">
              <w:rPr>
                <w:rFonts w:ascii="Arial Narrow" w:hAnsi="Arial Narrow"/>
                <w:color w:val="000000"/>
                <w:sz w:val="20"/>
                <w:szCs w:val="18"/>
              </w:rPr>
              <w:t>mths</w:t>
            </w:r>
            <w:proofErr w:type="spellEnd"/>
            <w:r w:rsidRPr="00542733">
              <w:rPr>
                <w:rFonts w:ascii="Arial Narrow" w:hAnsi="Arial Narrow"/>
                <w:color w:val="000000"/>
                <w:sz w:val="20"/>
                <w:szCs w:val="18"/>
              </w:rPr>
              <w:t>, (95% CI)</w:t>
            </w:r>
          </w:p>
        </w:tc>
        <w:tc>
          <w:tcPr>
            <w:tcW w:w="842" w:type="pct"/>
            <w:gridSpan w:val="2"/>
          </w:tcPr>
          <w:p w:rsidR="0061212F" w:rsidRPr="00542733" w:rsidRDefault="0061212F" w:rsidP="0061212F">
            <w:pPr>
              <w:pStyle w:val="ListParagraph"/>
              <w:keepNext/>
              <w:ind w:left="0"/>
              <w:contextualSpacing w:val="0"/>
              <w:jc w:val="center"/>
              <w:rPr>
                <w:rFonts w:ascii="Arial Narrow" w:hAnsi="Arial Narrow"/>
                <w:sz w:val="20"/>
              </w:rPr>
            </w:pPr>
            <w:r w:rsidRPr="00542733">
              <w:rPr>
                <w:rFonts w:ascii="Arial Narrow" w:hAnsi="Arial Narrow"/>
                <w:sz w:val="20"/>
              </w:rPr>
              <w:t>41.3 (28.8, 41.3)</w:t>
            </w:r>
          </w:p>
        </w:tc>
        <w:tc>
          <w:tcPr>
            <w:tcW w:w="1053" w:type="pct"/>
            <w:gridSpan w:val="2"/>
          </w:tcPr>
          <w:p w:rsidR="0061212F" w:rsidRPr="00542733" w:rsidRDefault="0061212F" w:rsidP="0061212F">
            <w:pPr>
              <w:pStyle w:val="ListParagraph"/>
              <w:keepNext/>
              <w:ind w:left="0"/>
              <w:contextualSpacing w:val="0"/>
              <w:jc w:val="center"/>
              <w:rPr>
                <w:rFonts w:ascii="Arial Narrow" w:hAnsi="Arial Narrow"/>
                <w:sz w:val="20"/>
              </w:rPr>
            </w:pPr>
            <w:r w:rsidRPr="00542733">
              <w:rPr>
                <w:rFonts w:ascii="Arial Narrow" w:hAnsi="Arial Narrow"/>
                <w:sz w:val="20"/>
              </w:rPr>
              <w:t>28.9 (23.9, 31.3)</w:t>
            </w:r>
          </w:p>
        </w:tc>
        <w:tc>
          <w:tcPr>
            <w:tcW w:w="1285"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+12.4</w:t>
            </w:r>
          </w:p>
        </w:tc>
        <w:tc>
          <w:tcPr>
            <w:tcW w:w="890"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sz w:val="20"/>
              </w:rPr>
              <w:t>0.63 (0.39, 1.02</w:t>
            </w:r>
          </w:p>
        </w:tc>
      </w:tr>
      <w:tr w:rsidR="0061212F" w:rsidRPr="00542733" w:rsidTr="001A53B7">
        <w:tc>
          <w:tcPr>
            <w:tcW w:w="5000" w:type="pct"/>
            <w:gridSpan w:val="10"/>
            <w:tcBorders>
              <w:top w:val="double" w:sz="4" w:space="0" w:color="auto"/>
            </w:tcBorders>
            <w:shd w:val="clear" w:color="auto" w:fill="D9D9D9" w:themeFill="background1" w:themeFillShade="D9"/>
            <w:vAlign w:val="center"/>
          </w:tcPr>
          <w:p w:rsidR="0061212F" w:rsidRPr="00542733" w:rsidRDefault="0061212F" w:rsidP="00CA3DDF">
            <w:pPr>
              <w:rPr>
                <w:rFonts w:ascii="Arial Narrow" w:hAnsi="Arial Narrow"/>
                <w:b/>
                <w:color w:val="000000"/>
                <w:sz w:val="20"/>
                <w:szCs w:val="18"/>
              </w:rPr>
            </w:pPr>
            <w:r w:rsidRPr="00542733">
              <w:rPr>
                <w:rFonts w:ascii="Arial Narrow" w:hAnsi="Arial Narrow"/>
                <w:b/>
                <w:color w:val="000000"/>
                <w:sz w:val="20"/>
                <w:szCs w:val="18"/>
              </w:rPr>
              <w:t>Harms</w:t>
            </w:r>
          </w:p>
        </w:tc>
      </w:tr>
      <w:tr w:rsidR="0061212F" w:rsidRPr="00542733" w:rsidTr="001A53B7">
        <w:tc>
          <w:tcPr>
            <w:tcW w:w="5000" w:type="pct"/>
            <w:gridSpan w:val="10"/>
            <w:tcBorders>
              <w:top w:val="double" w:sz="4" w:space="0" w:color="auto"/>
            </w:tcBorders>
            <w:shd w:val="clear" w:color="auto" w:fill="FFFFFF" w:themeFill="background1"/>
            <w:vAlign w:val="center"/>
          </w:tcPr>
          <w:p w:rsidR="0061212F" w:rsidRPr="00542733" w:rsidRDefault="0061212F" w:rsidP="00CA3DDF">
            <w:pPr>
              <w:rPr>
                <w:rFonts w:ascii="Arial Narrow" w:hAnsi="Arial Narrow"/>
                <w:b/>
                <w:color w:val="000000"/>
                <w:sz w:val="20"/>
                <w:szCs w:val="18"/>
              </w:rPr>
            </w:pPr>
            <w:r w:rsidRPr="00542733">
              <w:rPr>
                <w:rFonts w:ascii="Arial Narrow" w:hAnsi="Arial Narrow"/>
                <w:b/>
                <w:color w:val="000000"/>
                <w:sz w:val="20"/>
                <w:szCs w:val="18"/>
              </w:rPr>
              <w:lastRenderedPageBreak/>
              <w:t>PRIME</w:t>
            </w:r>
          </w:p>
        </w:tc>
      </w:tr>
      <w:tr w:rsidR="0061212F" w:rsidRPr="00542733" w:rsidTr="001A53B7">
        <w:trPr>
          <w:trHeight w:val="70"/>
        </w:trPr>
        <w:tc>
          <w:tcPr>
            <w:tcW w:w="684" w:type="pct"/>
            <w:vMerge w:val="restart"/>
            <w:shd w:val="clear" w:color="auto" w:fill="auto"/>
            <w:vAlign w:val="center"/>
          </w:tcPr>
          <w:p w:rsidR="0061212F" w:rsidRPr="00542733" w:rsidRDefault="0061212F" w:rsidP="00CA3DDF">
            <w:pPr>
              <w:jc w:val="center"/>
              <w:rPr>
                <w:rFonts w:ascii="Arial Narrow" w:hAnsi="Arial Narrow"/>
                <w:b/>
                <w:color w:val="000000"/>
                <w:sz w:val="20"/>
                <w:szCs w:val="18"/>
              </w:rPr>
            </w:pPr>
            <w:proofErr w:type="spellStart"/>
            <w:r w:rsidRPr="00542733">
              <w:rPr>
                <w:rFonts w:ascii="Arial Narrow" w:hAnsi="Arial Narrow"/>
                <w:b/>
                <w:color w:val="000000"/>
                <w:sz w:val="20"/>
                <w:szCs w:val="18"/>
              </w:rPr>
              <w:t>Panitumumab</w:t>
            </w:r>
            <w:proofErr w:type="spellEnd"/>
            <w:r w:rsidRPr="00542733">
              <w:rPr>
                <w:rFonts w:ascii="Arial Narrow" w:hAnsi="Arial Narrow"/>
                <w:b/>
                <w:color w:val="000000"/>
                <w:sz w:val="20"/>
                <w:szCs w:val="18"/>
              </w:rPr>
              <w:t xml:space="preserve"> + FOLFOX</w:t>
            </w:r>
          </w:p>
        </w:tc>
        <w:tc>
          <w:tcPr>
            <w:tcW w:w="998" w:type="pct"/>
            <w:gridSpan w:val="2"/>
            <w:vMerge w:val="restart"/>
            <w:vAlign w:val="center"/>
          </w:tcPr>
          <w:p w:rsidR="0061212F" w:rsidRPr="00542733" w:rsidRDefault="0061212F" w:rsidP="00CA3DDF">
            <w:pPr>
              <w:jc w:val="center"/>
              <w:rPr>
                <w:rFonts w:ascii="Arial Narrow" w:hAnsi="Arial Narrow"/>
                <w:b/>
                <w:color w:val="000000"/>
                <w:sz w:val="20"/>
                <w:szCs w:val="18"/>
              </w:rPr>
            </w:pPr>
            <w:proofErr w:type="spellStart"/>
            <w:r w:rsidRPr="00542733">
              <w:rPr>
                <w:rFonts w:ascii="Arial Narrow" w:hAnsi="Arial Narrow"/>
                <w:b/>
                <w:color w:val="000000"/>
                <w:sz w:val="20"/>
                <w:szCs w:val="18"/>
              </w:rPr>
              <w:t>Bevacizumab</w:t>
            </w:r>
            <w:proofErr w:type="spellEnd"/>
            <w:r w:rsidRPr="00542733">
              <w:rPr>
                <w:rFonts w:ascii="Arial Narrow" w:hAnsi="Arial Narrow"/>
                <w:b/>
                <w:color w:val="000000"/>
                <w:sz w:val="20"/>
                <w:szCs w:val="18"/>
              </w:rPr>
              <w:t xml:space="preserve"> + FOLFOX</w:t>
            </w:r>
          </w:p>
        </w:tc>
        <w:tc>
          <w:tcPr>
            <w:tcW w:w="794" w:type="pct"/>
            <w:gridSpan w:val="2"/>
            <w:vMerge w:val="restart"/>
            <w:vAlign w:val="center"/>
          </w:tcPr>
          <w:p w:rsidR="0061212F" w:rsidRPr="00542733" w:rsidRDefault="0061212F" w:rsidP="00CA3DDF">
            <w:pPr>
              <w:jc w:val="center"/>
              <w:rPr>
                <w:rFonts w:ascii="Arial Narrow" w:hAnsi="Arial Narrow"/>
                <w:b/>
                <w:color w:val="000000"/>
                <w:sz w:val="20"/>
                <w:szCs w:val="18"/>
              </w:rPr>
            </w:pPr>
            <w:r w:rsidRPr="00542733">
              <w:rPr>
                <w:rFonts w:ascii="Arial Narrow" w:hAnsi="Arial Narrow"/>
                <w:b/>
                <w:color w:val="000000"/>
                <w:sz w:val="20"/>
                <w:szCs w:val="18"/>
              </w:rPr>
              <w:t>RR</w:t>
            </w:r>
          </w:p>
          <w:p w:rsidR="0061212F" w:rsidRPr="00542733" w:rsidRDefault="0061212F" w:rsidP="00CA3DDF">
            <w:pPr>
              <w:jc w:val="center"/>
              <w:rPr>
                <w:rFonts w:ascii="Arial Narrow" w:hAnsi="Arial Narrow"/>
                <w:b/>
                <w:color w:val="000000"/>
                <w:sz w:val="20"/>
                <w:szCs w:val="18"/>
              </w:rPr>
            </w:pPr>
            <w:r w:rsidRPr="00542733">
              <w:rPr>
                <w:rFonts w:ascii="Arial Narrow" w:hAnsi="Arial Narrow"/>
                <w:b/>
                <w:color w:val="000000"/>
                <w:sz w:val="20"/>
                <w:szCs w:val="18"/>
              </w:rPr>
              <w:t>(95% CI)</w:t>
            </w:r>
          </w:p>
        </w:tc>
        <w:tc>
          <w:tcPr>
            <w:tcW w:w="1712" w:type="pct"/>
            <w:gridSpan w:val="4"/>
            <w:vAlign w:val="center"/>
          </w:tcPr>
          <w:p w:rsidR="0061212F" w:rsidRPr="00542733" w:rsidRDefault="0061212F" w:rsidP="00DB20A3">
            <w:pPr>
              <w:jc w:val="center"/>
              <w:rPr>
                <w:rFonts w:ascii="Arial Narrow" w:hAnsi="Arial Narrow"/>
                <w:b/>
                <w:color w:val="000000"/>
                <w:sz w:val="20"/>
                <w:szCs w:val="18"/>
              </w:rPr>
            </w:pPr>
            <w:r w:rsidRPr="00542733">
              <w:rPr>
                <w:rFonts w:ascii="Arial Narrow" w:hAnsi="Arial Narrow"/>
                <w:b/>
                <w:color w:val="000000"/>
                <w:sz w:val="20"/>
                <w:szCs w:val="18"/>
              </w:rPr>
              <w:t xml:space="preserve">Patients with AEs/100 </w:t>
            </w:r>
          </w:p>
        </w:tc>
        <w:tc>
          <w:tcPr>
            <w:tcW w:w="811" w:type="pct"/>
            <w:vMerge w:val="restart"/>
            <w:vAlign w:val="center"/>
          </w:tcPr>
          <w:p w:rsidR="0061212F" w:rsidRPr="00542733" w:rsidRDefault="0061212F" w:rsidP="00CA3DDF">
            <w:pPr>
              <w:jc w:val="center"/>
              <w:rPr>
                <w:rFonts w:ascii="Arial Narrow" w:hAnsi="Arial Narrow"/>
                <w:b/>
                <w:color w:val="000000"/>
                <w:sz w:val="20"/>
                <w:szCs w:val="18"/>
              </w:rPr>
            </w:pPr>
            <w:r w:rsidRPr="00542733">
              <w:rPr>
                <w:rFonts w:ascii="Arial Narrow" w:hAnsi="Arial Narrow"/>
                <w:b/>
                <w:color w:val="000000"/>
                <w:sz w:val="20"/>
                <w:szCs w:val="18"/>
              </w:rPr>
              <w:t>RD/100 patients</w:t>
            </w:r>
          </w:p>
          <w:p w:rsidR="0061212F" w:rsidRPr="00542733" w:rsidRDefault="0061212F" w:rsidP="00CA3DDF">
            <w:pPr>
              <w:jc w:val="center"/>
              <w:rPr>
                <w:rFonts w:ascii="Arial Narrow" w:hAnsi="Arial Narrow"/>
                <w:b/>
                <w:color w:val="000000"/>
                <w:sz w:val="20"/>
                <w:szCs w:val="18"/>
              </w:rPr>
            </w:pPr>
            <w:r w:rsidRPr="00542733">
              <w:rPr>
                <w:rFonts w:ascii="Arial Narrow" w:hAnsi="Arial Narrow"/>
                <w:b/>
                <w:color w:val="000000"/>
                <w:sz w:val="20"/>
                <w:szCs w:val="18"/>
              </w:rPr>
              <w:t>(95% CI)</w:t>
            </w:r>
          </w:p>
        </w:tc>
      </w:tr>
      <w:tr w:rsidR="0061212F" w:rsidRPr="00542733" w:rsidTr="001A53B7">
        <w:trPr>
          <w:trHeight w:val="390"/>
        </w:trPr>
        <w:tc>
          <w:tcPr>
            <w:tcW w:w="684" w:type="pct"/>
            <w:vMerge/>
            <w:shd w:val="clear" w:color="auto" w:fill="auto"/>
            <w:vAlign w:val="center"/>
          </w:tcPr>
          <w:p w:rsidR="0061212F" w:rsidRPr="00542733" w:rsidRDefault="0061212F" w:rsidP="00CA3DDF">
            <w:pPr>
              <w:jc w:val="center"/>
              <w:rPr>
                <w:rFonts w:ascii="Arial Narrow" w:hAnsi="Arial Narrow"/>
                <w:b/>
                <w:color w:val="000000"/>
                <w:sz w:val="20"/>
                <w:szCs w:val="18"/>
              </w:rPr>
            </w:pPr>
          </w:p>
        </w:tc>
        <w:tc>
          <w:tcPr>
            <w:tcW w:w="998" w:type="pct"/>
            <w:gridSpan w:val="2"/>
            <w:vMerge/>
            <w:vAlign w:val="center"/>
          </w:tcPr>
          <w:p w:rsidR="0061212F" w:rsidRPr="00542733" w:rsidRDefault="0061212F" w:rsidP="00CA3DDF">
            <w:pPr>
              <w:jc w:val="center"/>
              <w:rPr>
                <w:rFonts w:ascii="Arial Narrow" w:hAnsi="Arial Narrow"/>
                <w:b/>
                <w:color w:val="000000"/>
                <w:sz w:val="20"/>
                <w:szCs w:val="18"/>
              </w:rPr>
            </w:pPr>
          </w:p>
        </w:tc>
        <w:tc>
          <w:tcPr>
            <w:tcW w:w="794" w:type="pct"/>
            <w:gridSpan w:val="2"/>
            <w:vMerge/>
            <w:vAlign w:val="center"/>
          </w:tcPr>
          <w:p w:rsidR="0061212F" w:rsidRPr="00542733" w:rsidRDefault="0061212F" w:rsidP="00CA3DDF">
            <w:pPr>
              <w:jc w:val="center"/>
              <w:rPr>
                <w:rFonts w:ascii="Arial Narrow" w:hAnsi="Arial Narrow"/>
                <w:b/>
                <w:color w:val="000000"/>
                <w:sz w:val="20"/>
                <w:szCs w:val="18"/>
              </w:rPr>
            </w:pPr>
          </w:p>
        </w:tc>
        <w:tc>
          <w:tcPr>
            <w:tcW w:w="841" w:type="pct"/>
            <w:gridSpan w:val="2"/>
            <w:vAlign w:val="center"/>
          </w:tcPr>
          <w:p w:rsidR="0061212F" w:rsidRPr="00542733" w:rsidRDefault="0061212F" w:rsidP="00CA3DDF">
            <w:pPr>
              <w:jc w:val="center"/>
              <w:rPr>
                <w:rFonts w:ascii="Arial Narrow" w:hAnsi="Arial Narrow"/>
                <w:b/>
                <w:color w:val="000000"/>
                <w:sz w:val="20"/>
                <w:szCs w:val="18"/>
              </w:rPr>
            </w:pPr>
            <w:proofErr w:type="spellStart"/>
            <w:r w:rsidRPr="00542733">
              <w:rPr>
                <w:rFonts w:ascii="Arial Narrow" w:hAnsi="Arial Narrow"/>
                <w:b/>
                <w:color w:val="000000"/>
                <w:sz w:val="20"/>
                <w:szCs w:val="18"/>
              </w:rPr>
              <w:t>Panitumumab</w:t>
            </w:r>
            <w:proofErr w:type="spellEnd"/>
            <w:r w:rsidRPr="00542733">
              <w:rPr>
                <w:rFonts w:ascii="Arial Narrow" w:hAnsi="Arial Narrow"/>
                <w:b/>
                <w:color w:val="000000"/>
                <w:sz w:val="20"/>
                <w:szCs w:val="18"/>
              </w:rPr>
              <w:t xml:space="preserve"> + FOLFOX</w:t>
            </w:r>
          </w:p>
        </w:tc>
        <w:tc>
          <w:tcPr>
            <w:tcW w:w="871" w:type="pct"/>
            <w:gridSpan w:val="2"/>
            <w:vAlign w:val="center"/>
          </w:tcPr>
          <w:p w:rsidR="0061212F" w:rsidRPr="00542733" w:rsidRDefault="0061212F" w:rsidP="00CA3DDF">
            <w:pPr>
              <w:jc w:val="center"/>
              <w:rPr>
                <w:rFonts w:ascii="Arial Narrow" w:hAnsi="Arial Narrow"/>
                <w:b/>
                <w:color w:val="000000"/>
                <w:sz w:val="20"/>
                <w:szCs w:val="18"/>
              </w:rPr>
            </w:pPr>
            <w:r w:rsidRPr="00542733">
              <w:rPr>
                <w:rFonts w:ascii="Arial Narrow" w:hAnsi="Arial Narrow"/>
                <w:b/>
                <w:color w:val="000000"/>
                <w:sz w:val="20"/>
                <w:szCs w:val="18"/>
              </w:rPr>
              <w:t>FOLFOX alone</w:t>
            </w:r>
          </w:p>
        </w:tc>
        <w:tc>
          <w:tcPr>
            <w:tcW w:w="811" w:type="pct"/>
            <w:vMerge/>
            <w:vAlign w:val="center"/>
          </w:tcPr>
          <w:p w:rsidR="0061212F" w:rsidRPr="00542733" w:rsidRDefault="0061212F" w:rsidP="00CA3DDF">
            <w:pPr>
              <w:jc w:val="center"/>
              <w:rPr>
                <w:rFonts w:ascii="Arial Narrow" w:hAnsi="Arial Narrow"/>
                <w:b/>
                <w:color w:val="000000"/>
                <w:sz w:val="20"/>
                <w:szCs w:val="18"/>
              </w:rPr>
            </w:pPr>
          </w:p>
        </w:tc>
      </w:tr>
      <w:tr w:rsidR="0061212F" w:rsidRPr="00542733" w:rsidTr="001A53B7">
        <w:tc>
          <w:tcPr>
            <w:tcW w:w="5000" w:type="pct"/>
            <w:gridSpan w:val="10"/>
            <w:shd w:val="clear" w:color="auto" w:fill="auto"/>
            <w:vAlign w:val="center"/>
          </w:tcPr>
          <w:p w:rsidR="0061212F" w:rsidRPr="00542733" w:rsidRDefault="0061212F" w:rsidP="00A53D17">
            <w:pPr>
              <w:rPr>
                <w:rFonts w:ascii="Arial Narrow" w:hAnsi="Arial Narrow"/>
                <w:b/>
                <w:color w:val="000000"/>
                <w:sz w:val="20"/>
                <w:szCs w:val="18"/>
              </w:rPr>
            </w:pPr>
            <w:r w:rsidRPr="00542733">
              <w:rPr>
                <w:rFonts w:ascii="Arial Narrow" w:hAnsi="Arial Narrow"/>
                <w:b/>
                <w:color w:val="000000"/>
                <w:sz w:val="20"/>
                <w:szCs w:val="18"/>
              </w:rPr>
              <w:t>Any Grade 3 or higher adverse event</w:t>
            </w:r>
          </w:p>
        </w:tc>
      </w:tr>
      <w:tr w:rsidR="0061212F" w:rsidRPr="00542733" w:rsidTr="001A53B7">
        <w:tc>
          <w:tcPr>
            <w:tcW w:w="684" w:type="pct"/>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231/256</w:t>
            </w:r>
          </w:p>
        </w:tc>
        <w:tc>
          <w:tcPr>
            <w:tcW w:w="998"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191/250</w:t>
            </w:r>
          </w:p>
        </w:tc>
        <w:tc>
          <w:tcPr>
            <w:tcW w:w="794"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1.18 (1.09, 1.28)</w:t>
            </w:r>
          </w:p>
        </w:tc>
        <w:tc>
          <w:tcPr>
            <w:tcW w:w="841"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90.2</w:t>
            </w:r>
          </w:p>
        </w:tc>
        <w:tc>
          <w:tcPr>
            <w:tcW w:w="871"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76.4</w:t>
            </w:r>
          </w:p>
        </w:tc>
        <w:tc>
          <w:tcPr>
            <w:tcW w:w="811" w:type="pct"/>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14.0 (7.0, 20.0)</w:t>
            </w:r>
          </w:p>
        </w:tc>
      </w:tr>
      <w:tr w:rsidR="0061212F" w:rsidRPr="00542733" w:rsidTr="001A53B7">
        <w:tc>
          <w:tcPr>
            <w:tcW w:w="5000" w:type="pct"/>
            <w:gridSpan w:val="10"/>
            <w:shd w:val="clear" w:color="auto" w:fill="auto"/>
            <w:vAlign w:val="center"/>
          </w:tcPr>
          <w:p w:rsidR="0061212F" w:rsidRPr="00542733" w:rsidRDefault="0061212F" w:rsidP="003C511F">
            <w:pPr>
              <w:jc w:val="left"/>
              <w:rPr>
                <w:rFonts w:ascii="Arial Narrow" w:hAnsi="Arial Narrow"/>
                <w:b/>
                <w:color w:val="000000"/>
                <w:sz w:val="20"/>
                <w:szCs w:val="18"/>
              </w:rPr>
            </w:pPr>
            <w:r w:rsidRPr="00542733">
              <w:rPr>
                <w:rFonts w:ascii="Arial Narrow" w:hAnsi="Arial Narrow"/>
                <w:b/>
                <w:color w:val="000000"/>
                <w:sz w:val="20"/>
                <w:szCs w:val="18"/>
              </w:rPr>
              <w:t>Any serious adverse event</w:t>
            </w:r>
          </w:p>
        </w:tc>
      </w:tr>
      <w:tr w:rsidR="0061212F" w:rsidRPr="00542733" w:rsidTr="001A53B7">
        <w:tc>
          <w:tcPr>
            <w:tcW w:w="684" w:type="pct"/>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111/256</w:t>
            </w:r>
          </w:p>
        </w:tc>
        <w:tc>
          <w:tcPr>
            <w:tcW w:w="998"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92/250</w:t>
            </w:r>
          </w:p>
        </w:tc>
        <w:tc>
          <w:tcPr>
            <w:tcW w:w="794"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1.18 (0.95, 1.46)</w:t>
            </w:r>
          </w:p>
        </w:tc>
        <w:tc>
          <w:tcPr>
            <w:tcW w:w="841"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43.4</w:t>
            </w:r>
          </w:p>
        </w:tc>
        <w:tc>
          <w:tcPr>
            <w:tcW w:w="871"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36.8</w:t>
            </w:r>
          </w:p>
        </w:tc>
        <w:tc>
          <w:tcPr>
            <w:tcW w:w="811" w:type="pct"/>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6.6 (-2.0, 15.0)</w:t>
            </w:r>
          </w:p>
        </w:tc>
      </w:tr>
      <w:tr w:rsidR="0061212F" w:rsidRPr="00542733" w:rsidTr="001A53B7">
        <w:tc>
          <w:tcPr>
            <w:tcW w:w="5000" w:type="pct"/>
            <w:gridSpan w:val="10"/>
            <w:shd w:val="clear" w:color="auto" w:fill="auto"/>
            <w:vAlign w:val="center"/>
          </w:tcPr>
          <w:p w:rsidR="0061212F" w:rsidRPr="00542733" w:rsidRDefault="0061212F" w:rsidP="00CA3DDF">
            <w:pPr>
              <w:rPr>
                <w:rFonts w:ascii="Arial Narrow" w:hAnsi="Arial Narrow"/>
                <w:b/>
                <w:color w:val="000000"/>
                <w:sz w:val="20"/>
                <w:szCs w:val="18"/>
              </w:rPr>
            </w:pPr>
            <w:r w:rsidRPr="00542733">
              <w:rPr>
                <w:rFonts w:ascii="Arial Narrow" w:hAnsi="Arial Narrow"/>
                <w:b/>
                <w:color w:val="000000"/>
                <w:sz w:val="20"/>
                <w:szCs w:val="18"/>
              </w:rPr>
              <w:t>Grade 3 or higher drug-related</w:t>
            </w:r>
            <w:r w:rsidRPr="00542733">
              <w:rPr>
                <w:rFonts w:ascii="Arial Narrow" w:hAnsi="Arial Narrow"/>
                <w:b/>
                <w:color w:val="000000"/>
                <w:sz w:val="20"/>
                <w:szCs w:val="18"/>
                <w:vertAlign w:val="superscript"/>
              </w:rPr>
              <w:t>β</w:t>
            </w:r>
            <w:r w:rsidRPr="00542733">
              <w:rPr>
                <w:rFonts w:ascii="Arial Narrow" w:hAnsi="Arial Narrow"/>
                <w:b/>
                <w:color w:val="000000"/>
                <w:sz w:val="20"/>
                <w:szCs w:val="18"/>
              </w:rPr>
              <w:t xml:space="preserve"> adverse event</w:t>
            </w:r>
          </w:p>
        </w:tc>
      </w:tr>
      <w:tr w:rsidR="0061212F" w:rsidRPr="00542733" w:rsidTr="001A53B7">
        <w:tc>
          <w:tcPr>
            <w:tcW w:w="684" w:type="pct"/>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216/256</w:t>
            </w:r>
          </w:p>
        </w:tc>
        <w:tc>
          <w:tcPr>
            <w:tcW w:w="998"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162/250</w:t>
            </w:r>
          </w:p>
        </w:tc>
        <w:tc>
          <w:tcPr>
            <w:tcW w:w="794"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1.30 (1.18, 1.44)</w:t>
            </w:r>
          </w:p>
        </w:tc>
        <w:tc>
          <w:tcPr>
            <w:tcW w:w="841"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84.4</w:t>
            </w:r>
          </w:p>
        </w:tc>
        <w:tc>
          <w:tcPr>
            <w:tcW w:w="871" w:type="pct"/>
            <w:gridSpan w:val="2"/>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64.8</w:t>
            </w:r>
          </w:p>
        </w:tc>
        <w:tc>
          <w:tcPr>
            <w:tcW w:w="811" w:type="pct"/>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 xml:space="preserve">20.0 (12.0, 27.0) </w:t>
            </w:r>
          </w:p>
        </w:tc>
      </w:tr>
      <w:tr w:rsidR="0061212F" w:rsidRPr="00542733" w:rsidTr="001A53B7">
        <w:tc>
          <w:tcPr>
            <w:tcW w:w="5000" w:type="pct"/>
            <w:gridSpan w:val="10"/>
            <w:shd w:val="clear" w:color="auto" w:fill="auto"/>
            <w:vAlign w:val="center"/>
          </w:tcPr>
          <w:p w:rsidR="0061212F" w:rsidRPr="00542733" w:rsidRDefault="0061212F" w:rsidP="001905EB">
            <w:pPr>
              <w:jc w:val="left"/>
              <w:rPr>
                <w:rFonts w:ascii="Arial Narrow" w:hAnsi="Arial Narrow"/>
                <w:color w:val="000000"/>
                <w:sz w:val="20"/>
                <w:szCs w:val="18"/>
              </w:rPr>
            </w:pPr>
            <w:r w:rsidRPr="00542733">
              <w:rPr>
                <w:rFonts w:ascii="Arial Narrow" w:hAnsi="Arial Narrow"/>
                <w:b/>
                <w:color w:val="000000"/>
                <w:sz w:val="20"/>
                <w:szCs w:val="18"/>
              </w:rPr>
              <w:t>Any serious drug-related</w:t>
            </w:r>
            <w:r w:rsidRPr="00542733">
              <w:rPr>
                <w:rFonts w:ascii="Arial Narrow" w:hAnsi="Arial Narrow"/>
                <w:b/>
                <w:color w:val="000000"/>
                <w:sz w:val="20"/>
                <w:szCs w:val="18"/>
                <w:vertAlign w:val="superscript"/>
              </w:rPr>
              <w:t>β</w:t>
            </w:r>
            <w:r w:rsidRPr="00542733">
              <w:rPr>
                <w:rFonts w:ascii="Arial Narrow" w:hAnsi="Arial Narrow"/>
                <w:b/>
                <w:color w:val="000000"/>
                <w:sz w:val="20"/>
                <w:szCs w:val="18"/>
              </w:rPr>
              <w:t xml:space="preserve"> adverse event</w:t>
            </w:r>
          </w:p>
        </w:tc>
      </w:tr>
      <w:tr w:rsidR="0061212F" w:rsidRPr="00542733" w:rsidTr="001A53B7">
        <w:tc>
          <w:tcPr>
            <w:tcW w:w="684" w:type="pct"/>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71/256</w:t>
            </w:r>
          </w:p>
        </w:tc>
        <w:tc>
          <w:tcPr>
            <w:tcW w:w="998" w:type="pct"/>
            <w:gridSpan w:val="2"/>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41/250</w:t>
            </w:r>
          </w:p>
        </w:tc>
        <w:tc>
          <w:tcPr>
            <w:tcW w:w="794" w:type="pct"/>
            <w:gridSpan w:val="2"/>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1.69 (1.21, 2.37)</w:t>
            </w:r>
          </w:p>
        </w:tc>
        <w:tc>
          <w:tcPr>
            <w:tcW w:w="841" w:type="pct"/>
            <w:gridSpan w:val="2"/>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27.7</w:t>
            </w:r>
          </w:p>
        </w:tc>
        <w:tc>
          <w:tcPr>
            <w:tcW w:w="871" w:type="pct"/>
            <w:gridSpan w:val="2"/>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16.4</w:t>
            </w:r>
          </w:p>
        </w:tc>
        <w:tc>
          <w:tcPr>
            <w:tcW w:w="811" w:type="pct"/>
            <w:shd w:val="clear" w:color="auto" w:fill="auto"/>
            <w:vAlign w:val="center"/>
          </w:tcPr>
          <w:p w:rsidR="0061212F" w:rsidRPr="00542733" w:rsidRDefault="0061212F" w:rsidP="0061212F">
            <w:pPr>
              <w:jc w:val="center"/>
              <w:rPr>
                <w:rFonts w:ascii="Arial Narrow" w:hAnsi="Arial Narrow"/>
                <w:color w:val="000000"/>
                <w:sz w:val="20"/>
              </w:rPr>
            </w:pPr>
            <w:r w:rsidRPr="00542733">
              <w:rPr>
                <w:rFonts w:ascii="Arial Narrow" w:hAnsi="Arial Narrow"/>
                <w:color w:val="000000"/>
                <w:sz w:val="20"/>
              </w:rPr>
              <w:t>11.3 (4.0, 19.0)</w:t>
            </w:r>
          </w:p>
        </w:tc>
      </w:tr>
      <w:tr w:rsidR="0061212F" w:rsidRPr="00542733" w:rsidTr="001A53B7">
        <w:tc>
          <w:tcPr>
            <w:tcW w:w="5000" w:type="pct"/>
            <w:gridSpan w:val="10"/>
            <w:shd w:val="clear" w:color="auto" w:fill="auto"/>
            <w:vAlign w:val="center"/>
          </w:tcPr>
          <w:p w:rsidR="0061212F" w:rsidRPr="00542733" w:rsidRDefault="0061212F" w:rsidP="00CA3DDF">
            <w:pPr>
              <w:rPr>
                <w:rFonts w:ascii="Arial Narrow" w:hAnsi="Arial Narrow"/>
                <w:color w:val="000000"/>
                <w:sz w:val="20"/>
                <w:szCs w:val="18"/>
              </w:rPr>
            </w:pPr>
            <w:r w:rsidRPr="00542733">
              <w:rPr>
                <w:rFonts w:ascii="Arial Narrow" w:hAnsi="Arial Narrow"/>
                <w:b/>
                <w:color w:val="000000"/>
                <w:sz w:val="20"/>
                <w:szCs w:val="18"/>
              </w:rPr>
              <w:t>PEAK</w:t>
            </w:r>
          </w:p>
        </w:tc>
      </w:tr>
      <w:tr w:rsidR="0061212F" w:rsidRPr="00542733" w:rsidTr="001A53B7">
        <w:trPr>
          <w:trHeight w:val="200"/>
        </w:trPr>
        <w:tc>
          <w:tcPr>
            <w:tcW w:w="684" w:type="pct"/>
            <w:vMerge w:val="restart"/>
            <w:shd w:val="clear" w:color="auto" w:fill="auto"/>
            <w:vAlign w:val="center"/>
          </w:tcPr>
          <w:p w:rsidR="0061212F" w:rsidRPr="00542733" w:rsidRDefault="0061212F" w:rsidP="00CA3DDF">
            <w:pPr>
              <w:jc w:val="center"/>
              <w:rPr>
                <w:rFonts w:ascii="Arial Narrow" w:hAnsi="Arial Narrow"/>
                <w:color w:val="000000"/>
                <w:sz w:val="20"/>
                <w:szCs w:val="18"/>
              </w:rPr>
            </w:pPr>
            <w:proofErr w:type="spellStart"/>
            <w:r w:rsidRPr="00542733">
              <w:rPr>
                <w:rFonts w:ascii="Arial Narrow" w:hAnsi="Arial Narrow"/>
                <w:b/>
                <w:color w:val="000000"/>
                <w:sz w:val="20"/>
                <w:szCs w:val="18"/>
              </w:rPr>
              <w:t>Panitumumab</w:t>
            </w:r>
            <w:proofErr w:type="spellEnd"/>
            <w:r w:rsidRPr="00542733">
              <w:rPr>
                <w:rFonts w:ascii="Arial Narrow" w:hAnsi="Arial Narrow"/>
                <w:b/>
                <w:color w:val="000000"/>
                <w:sz w:val="20"/>
                <w:szCs w:val="18"/>
              </w:rPr>
              <w:t xml:space="preserve"> + FOLFOX</w:t>
            </w:r>
          </w:p>
        </w:tc>
        <w:tc>
          <w:tcPr>
            <w:tcW w:w="998" w:type="pct"/>
            <w:gridSpan w:val="2"/>
            <w:vMerge w:val="restart"/>
            <w:vAlign w:val="center"/>
          </w:tcPr>
          <w:p w:rsidR="0061212F" w:rsidRPr="00542733" w:rsidRDefault="0061212F" w:rsidP="00CA3DDF">
            <w:pPr>
              <w:jc w:val="center"/>
              <w:rPr>
                <w:rFonts w:ascii="Arial Narrow" w:hAnsi="Arial Narrow"/>
                <w:color w:val="000000"/>
                <w:sz w:val="20"/>
                <w:szCs w:val="18"/>
              </w:rPr>
            </w:pPr>
            <w:r w:rsidRPr="00542733">
              <w:rPr>
                <w:rFonts w:ascii="Arial Narrow" w:hAnsi="Arial Narrow"/>
                <w:b/>
                <w:sz w:val="20"/>
              </w:rPr>
              <w:t>FOLFOX alone</w:t>
            </w:r>
          </w:p>
        </w:tc>
        <w:tc>
          <w:tcPr>
            <w:tcW w:w="794" w:type="pct"/>
            <w:gridSpan w:val="2"/>
            <w:vMerge w:val="restart"/>
            <w:vAlign w:val="center"/>
          </w:tcPr>
          <w:p w:rsidR="0061212F" w:rsidRPr="00542733" w:rsidRDefault="0061212F" w:rsidP="007E01F6">
            <w:pPr>
              <w:jc w:val="center"/>
              <w:rPr>
                <w:rFonts w:ascii="Arial Narrow" w:hAnsi="Arial Narrow"/>
                <w:b/>
                <w:color w:val="000000"/>
                <w:sz w:val="20"/>
                <w:szCs w:val="18"/>
              </w:rPr>
            </w:pPr>
            <w:r w:rsidRPr="00542733">
              <w:rPr>
                <w:rFonts w:ascii="Arial Narrow" w:hAnsi="Arial Narrow"/>
                <w:b/>
                <w:color w:val="000000"/>
                <w:sz w:val="20"/>
                <w:szCs w:val="18"/>
              </w:rPr>
              <w:t>RR</w:t>
            </w:r>
          </w:p>
          <w:p w:rsidR="0061212F" w:rsidRPr="00542733" w:rsidRDefault="0061212F" w:rsidP="007E01F6">
            <w:pPr>
              <w:jc w:val="center"/>
              <w:rPr>
                <w:rFonts w:ascii="Arial Narrow" w:hAnsi="Arial Narrow"/>
                <w:color w:val="000000"/>
                <w:sz w:val="20"/>
                <w:szCs w:val="18"/>
              </w:rPr>
            </w:pPr>
            <w:r w:rsidRPr="00542733">
              <w:rPr>
                <w:rFonts w:ascii="Arial Narrow" w:hAnsi="Arial Narrow"/>
                <w:b/>
                <w:color w:val="000000"/>
                <w:sz w:val="20"/>
                <w:szCs w:val="18"/>
              </w:rPr>
              <w:t>(95% CI)</w:t>
            </w:r>
          </w:p>
        </w:tc>
        <w:tc>
          <w:tcPr>
            <w:tcW w:w="1712" w:type="pct"/>
            <w:gridSpan w:val="4"/>
            <w:vAlign w:val="center"/>
          </w:tcPr>
          <w:p w:rsidR="0061212F" w:rsidRPr="00542733" w:rsidRDefault="0061212F" w:rsidP="00DB20A3">
            <w:pPr>
              <w:jc w:val="center"/>
              <w:rPr>
                <w:rFonts w:ascii="Arial Narrow" w:hAnsi="Arial Narrow"/>
                <w:color w:val="000000"/>
                <w:sz w:val="20"/>
                <w:szCs w:val="18"/>
              </w:rPr>
            </w:pPr>
            <w:r w:rsidRPr="00542733">
              <w:rPr>
                <w:rFonts w:ascii="Arial Narrow" w:hAnsi="Arial Narrow"/>
                <w:b/>
                <w:color w:val="000000"/>
                <w:sz w:val="20"/>
                <w:szCs w:val="18"/>
              </w:rPr>
              <w:t>Patients with AEs/100</w:t>
            </w:r>
          </w:p>
        </w:tc>
        <w:tc>
          <w:tcPr>
            <w:tcW w:w="811" w:type="pct"/>
            <w:vMerge w:val="restart"/>
            <w:vAlign w:val="center"/>
          </w:tcPr>
          <w:p w:rsidR="0061212F" w:rsidRPr="00542733" w:rsidRDefault="0061212F" w:rsidP="00675611">
            <w:pPr>
              <w:jc w:val="center"/>
              <w:rPr>
                <w:rFonts w:ascii="Arial Narrow" w:hAnsi="Arial Narrow"/>
                <w:b/>
                <w:color w:val="000000"/>
                <w:sz w:val="20"/>
                <w:szCs w:val="18"/>
              </w:rPr>
            </w:pPr>
            <w:r w:rsidRPr="00542733">
              <w:rPr>
                <w:rFonts w:ascii="Arial Narrow" w:hAnsi="Arial Narrow"/>
                <w:b/>
                <w:color w:val="000000"/>
                <w:sz w:val="20"/>
                <w:szCs w:val="18"/>
              </w:rPr>
              <w:t>RD/100 patients</w:t>
            </w:r>
          </w:p>
          <w:p w:rsidR="0061212F" w:rsidRPr="00542733" w:rsidRDefault="0061212F" w:rsidP="00675611">
            <w:pPr>
              <w:jc w:val="center"/>
              <w:rPr>
                <w:rFonts w:ascii="Arial Narrow" w:hAnsi="Arial Narrow"/>
                <w:color w:val="000000"/>
                <w:sz w:val="20"/>
                <w:szCs w:val="18"/>
              </w:rPr>
            </w:pPr>
            <w:r w:rsidRPr="00542733">
              <w:rPr>
                <w:rFonts w:ascii="Arial Narrow" w:hAnsi="Arial Narrow"/>
                <w:b/>
                <w:color w:val="000000"/>
                <w:sz w:val="20"/>
                <w:szCs w:val="18"/>
              </w:rPr>
              <w:t>(95% CI)</w:t>
            </w:r>
          </w:p>
        </w:tc>
      </w:tr>
      <w:tr w:rsidR="0061212F" w:rsidRPr="00542733" w:rsidTr="001A53B7">
        <w:trPr>
          <w:trHeight w:val="199"/>
        </w:trPr>
        <w:tc>
          <w:tcPr>
            <w:tcW w:w="684" w:type="pct"/>
            <w:vMerge/>
            <w:shd w:val="clear" w:color="auto" w:fill="auto"/>
            <w:vAlign w:val="center"/>
          </w:tcPr>
          <w:p w:rsidR="0061212F" w:rsidRPr="00542733" w:rsidRDefault="0061212F" w:rsidP="00CA3DDF">
            <w:pPr>
              <w:jc w:val="center"/>
              <w:rPr>
                <w:rFonts w:ascii="Arial Narrow" w:hAnsi="Arial Narrow"/>
                <w:b/>
                <w:color w:val="000000"/>
                <w:sz w:val="20"/>
                <w:szCs w:val="18"/>
              </w:rPr>
            </w:pPr>
          </w:p>
        </w:tc>
        <w:tc>
          <w:tcPr>
            <w:tcW w:w="998" w:type="pct"/>
            <w:gridSpan w:val="2"/>
            <w:vMerge/>
            <w:vAlign w:val="center"/>
          </w:tcPr>
          <w:p w:rsidR="0061212F" w:rsidRPr="00542733" w:rsidRDefault="0061212F" w:rsidP="00CA3DDF">
            <w:pPr>
              <w:jc w:val="center"/>
              <w:rPr>
                <w:rFonts w:ascii="Arial Narrow" w:hAnsi="Arial Narrow"/>
                <w:b/>
                <w:sz w:val="20"/>
              </w:rPr>
            </w:pPr>
          </w:p>
        </w:tc>
        <w:tc>
          <w:tcPr>
            <w:tcW w:w="794" w:type="pct"/>
            <w:gridSpan w:val="2"/>
            <w:vMerge/>
            <w:vAlign w:val="center"/>
          </w:tcPr>
          <w:p w:rsidR="0061212F" w:rsidRPr="00542733" w:rsidRDefault="0061212F" w:rsidP="007E01F6">
            <w:pPr>
              <w:jc w:val="center"/>
              <w:rPr>
                <w:rFonts w:ascii="Arial Narrow" w:hAnsi="Arial Narrow"/>
                <w:b/>
                <w:color w:val="000000"/>
                <w:sz w:val="20"/>
                <w:szCs w:val="18"/>
              </w:rPr>
            </w:pPr>
          </w:p>
        </w:tc>
        <w:tc>
          <w:tcPr>
            <w:tcW w:w="841" w:type="pct"/>
            <w:gridSpan w:val="2"/>
            <w:vAlign w:val="center"/>
          </w:tcPr>
          <w:p w:rsidR="0061212F" w:rsidRPr="00542733" w:rsidRDefault="0061212F" w:rsidP="00CA3DDF">
            <w:pPr>
              <w:jc w:val="center"/>
              <w:rPr>
                <w:rFonts w:ascii="Arial Narrow" w:hAnsi="Arial Narrow"/>
                <w:color w:val="000000"/>
                <w:sz w:val="20"/>
                <w:szCs w:val="18"/>
              </w:rPr>
            </w:pPr>
            <w:proofErr w:type="spellStart"/>
            <w:r w:rsidRPr="00542733">
              <w:rPr>
                <w:rFonts w:ascii="Arial Narrow" w:hAnsi="Arial Narrow"/>
                <w:b/>
                <w:color w:val="000000"/>
                <w:sz w:val="20"/>
                <w:szCs w:val="18"/>
              </w:rPr>
              <w:t>Panitumumab</w:t>
            </w:r>
            <w:proofErr w:type="spellEnd"/>
            <w:r w:rsidRPr="00542733">
              <w:rPr>
                <w:rFonts w:ascii="Arial Narrow" w:hAnsi="Arial Narrow"/>
                <w:b/>
                <w:color w:val="000000"/>
                <w:sz w:val="20"/>
                <w:szCs w:val="18"/>
              </w:rPr>
              <w:t xml:space="preserve"> + FOLFOX</w:t>
            </w:r>
          </w:p>
        </w:tc>
        <w:tc>
          <w:tcPr>
            <w:tcW w:w="871" w:type="pct"/>
            <w:gridSpan w:val="2"/>
            <w:vAlign w:val="center"/>
          </w:tcPr>
          <w:p w:rsidR="0061212F" w:rsidRPr="00542733" w:rsidRDefault="0061212F" w:rsidP="0061212F">
            <w:pPr>
              <w:jc w:val="center"/>
              <w:rPr>
                <w:rFonts w:ascii="Arial Narrow" w:hAnsi="Arial Narrow"/>
                <w:color w:val="000000"/>
                <w:sz w:val="20"/>
                <w:szCs w:val="18"/>
              </w:rPr>
            </w:pPr>
            <w:proofErr w:type="spellStart"/>
            <w:r w:rsidRPr="00542733">
              <w:rPr>
                <w:rFonts w:ascii="Arial Narrow" w:hAnsi="Arial Narrow"/>
                <w:b/>
                <w:color w:val="000000"/>
                <w:sz w:val="20"/>
                <w:szCs w:val="18"/>
              </w:rPr>
              <w:t>Bevacizumab</w:t>
            </w:r>
            <w:proofErr w:type="spellEnd"/>
            <w:r w:rsidRPr="00542733">
              <w:rPr>
                <w:rFonts w:ascii="Arial Narrow" w:hAnsi="Arial Narrow"/>
                <w:b/>
                <w:color w:val="000000"/>
                <w:sz w:val="20"/>
                <w:szCs w:val="18"/>
              </w:rPr>
              <w:t xml:space="preserve"> + </w:t>
            </w:r>
            <w:r w:rsidRPr="00542733">
              <w:rPr>
                <w:rFonts w:ascii="Arial Narrow" w:hAnsi="Arial Narrow"/>
                <w:b/>
                <w:sz w:val="20"/>
              </w:rPr>
              <w:t>FOLFOX</w:t>
            </w:r>
          </w:p>
        </w:tc>
        <w:tc>
          <w:tcPr>
            <w:tcW w:w="811" w:type="pct"/>
            <w:vMerge/>
            <w:vAlign w:val="center"/>
          </w:tcPr>
          <w:p w:rsidR="0061212F" w:rsidRPr="00542733" w:rsidRDefault="0061212F" w:rsidP="00CA3DDF">
            <w:pPr>
              <w:jc w:val="center"/>
              <w:rPr>
                <w:rFonts w:ascii="Arial Narrow" w:hAnsi="Arial Narrow"/>
                <w:color w:val="000000"/>
                <w:sz w:val="20"/>
                <w:szCs w:val="18"/>
              </w:rPr>
            </w:pPr>
          </w:p>
        </w:tc>
      </w:tr>
      <w:tr w:rsidR="0061212F" w:rsidRPr="00542733" w:rsidTr="001A53B7">
        <w:tc>
          <w:tcPr>
            <w:tcW w:w="5000" w:type="pct"/>
            <w:gridSpan w:val="10"/>
            <w:shd w:val="clear" w:color="auto" w:fill="auto"/>
            <w:vAlign w:val="center"/>
          </w:tcPr>
          <w:p w:rsidR="0061212F" w:rsidRPr="00542733" w:rsidRDefault="0061212F" w:rsidP="00380B5D">
            <w:pPr>
              <w:jc w:val="left"/>
              <w:rPr>
                <w:rFonts w:ascii="Arial Narrow" w:hAnsi="Arial Narrow"/>
                <w:color w:val="000000"/>
                <w:sz w:val="20"/>
              </w:rPr>
            </w:pPr>
            <w:r w:rsidRPr="00542733">
              <w:rPr>
                <w:rFonts w:ascii="Arial Narrow" w:hAnsi="Arial Narrow"/>
                <w:b/>
                <w:color w:val="000000"/>
                <w:sz w:val="20"/>
                <w:szCs w:val="18"/>
              </w:rPr>
              <w:t>Any Grade 3 or higher adverse event</w:t>
            </w:r>
          </w:p>
        </w:tc>
      </w:tr>
      <w:tr w:rsidR="0061212F" w:rsidRPr="00542733" w:rsidTr="001A53B7">
        <w:tc>
          <w:tcPr>
            <w:tcW w:w="684" w:type="pct"/>
            <w:shd w:val="clear" w:color="auto" w:fill="auto"/>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81/86</w:t>
            </w:r>
          </w:p>
        </w:tc>
        <w:tc>
          <w:tcPr>
            <w:tcW w:w="998"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65/80</w:t>
            </w:r>
          </w:p>
        </w:tc>
        <w:tc>
          <w:tcPr>
            <w:tcW w:w="794"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1.16 (1.03, 1.30)</w:t>
            </w:r>
          </w:p>
        </w:tc>
        <w:tc>
          <w:tcPr>
            <w:tcW w:w="841"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94.2</w:t>
            </w:r>
          </w:p>
        </w:tc>
        <w:tc>
          <w:tcPr>
            <w:tcW w:w="871"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81.3</w:t>
            </w:r>
          </w:p>
        </w:tc>
        <w:tc>
          <w:tcPr>
            <w:tcW w:w="811" w:type="pct"/>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13.0 (3.0, 23.0)</w:t>
            </w:r>
          </w:p>
        </w:tc>
      </w:tr>
      <w:tr w:rsidR="0061212F" w:rsidRPr="00542733" w:rsidTr="001A53B7">
        <w:tc>
          <w:tcPr>
            <w:tcW w:w="5000" w:type="pct"/>
            <w:gridSpan w:val="10"/>
            <w:shd w:val="clear" w:color="auto" w:fill="auto"/>
            <w:vAlign w:val="center"/>
          </w:tcPr>
          <w:p w:rsidR="0061212F" w:rsidRPr="00542733" w:rsidRDefault="0061212F" w:rsidP="003C511F">
            <w:pPr>
              <w:jc w:val="left"/>
              <w:rPr>
                <w:rFonts w:ascii="Arial Narrow" w:hAnsi="Arial Narrow"/>
                <w:color w:val="000000"/>
                <w:sz w:val="20"/>
              </w:rPr>
            </w:pPr>
            <w:r w:rsidRPr="00542733">
              <w:rPr>
                <w:rFonts w:ascii="Arial Narrow" w:hAnsi="Arial Narrow"/>
                <w:b/>
                <w:color w:val="000000"/>
                <w:sz w:val="20"/>
                <w:szCs w:val="18"/>
              </w:rPr>
              <w:t>Any serious adverse event</w:t>
            </w:r>
          </w:p>
        </w:tc>
      </w:tr>
      <w:tr w:rsidR="0061212F" w:rsidRPr="00542733" w:rsidTr="001A53B7">
        <w:tc>
          <w:tcPr>
            <w:tcW w:w="684" w:type="pct"/>
            <w:shd w:val="clear" w:color="auto" w:fill="auto"/>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37/86</w:t>
            </w:r>
          </w:p>
        </w:tc>
        <w:tc>
          <w:tcPr>
            <w:tcW w:w="998"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32/80</w:t>
            </w:r>
          </w:p>
        </w:tc>
        <w:tc>
          <w:tcPr>
            <w:tcW w:w="794"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1.08 (0.75, 1.55)</w:t>
            </w:r>
          </w:p>
        </w:tc>
        <w:tc>
          <w:tcPr>
            <w:tcW w:w="841"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43.0</w:t>
            </w:r>
          </w:p>
        </w:tc>
        <w:tc>
          <w:tcPr>
            <w:tcW w:w="871"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40.0</w:t>
            </w:r>
          </w:p>
        </w:tc>
        <w:tc>
          <w:tcPr>
            <w:tcW w:w="811" w:type="pct"/>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3.0 (-12.0, 18.0)</w:t>
            </w:r>
          </w:p>
        </w:tc>
      </w:tr>
      <w:tr w:rsidR="0061212F" w:rsidRPr="00542733" w:rsidTr="001A53B7">
        <w:tc>
          <w:tcPr>
            <w:tcW w:w="5000" w:type="pct"/>
            <w:gridSpan w:val="10"/>
            <w:shd w:val="clear" w:color="auto" w:fill="auto"/>
            <w:vAlign w:val="center"/>
          </w:tcPr>
          <w:p w:rsidR="0061212F" w:rsidRPr="00542733" w:rsidRDefault="0061212F" w:rsidP="004F3D8A">
            <w:pPr>
              <w:jc w:val="left"/>
              <w:rPr>
                <w:rFonts w:ascii="Arial Narrow" w:hAnsi="Arial Narrow"/>
                <w:color w:val="000000"/>
                <w:sz w:val="20"/>
              </w:rPr>
            </w:pPr>
            <w:r w:rsidRPr="00542733">
              <w:rPr>
                <w:rFonts w:ascii="Arial Narrow" w:hAnsi="Arial Narrow"/>
                <w:b/>
                <w:color w:val="000000"/>
                <w:sz w:val="20"/>
                <w:szCs w:val="18"/>
              </w:rPr>
              <w:t>Any Grade 3 or higher drug-related</w:t>
            </w:r>
            <w:r w:rsidRPr="00542733">
              <w:rPr>
                <w:rFonts w:ascii="Arial Narrow" w:hAnsi="Arial Narrow"/>
                <w:b/>
                <w:color w:val="000000"/>
                <w:sz w:val="20"/>
                <w:szCs w:val="18"/>
                <w:vertAlign w:val="superscript"/>
              </w:rPr>
              <w:t>β</w:t>
            </w:r>
            <w:r w:rsidRPr="00542733">
              <w:rPr>
                <w:rFonts w:ascii="Arial Narrow" w:hAnsi="Arial Narrow"/>
                <w:b/>
                <w:color w:val="000000"/>
                <w:sz w:val="20"/>
                <w:szCs w:val="18"/>
              </w:rPr>
              <w:t xml:space="preserve"> adverse event</w:t>
            </w:r>
          </w:p>
        </w:tc>
      </w:tr>
      <w:tr w:rsidR="0061212F" w:rsidRPr="00542733" w:rsidTr="001A53B7">
        <w:tc>
          <w:tcPr>
            <w:tcW w:w="684" w:type="pct"/>
            <w:shd w:val="clear" w:color="auto" w:fill="auto"/>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78/86</w:t>
            </w:r>
          </w:p>
        </w:tc>
        <w:tc>
          <w:tcPr>
            <w:tcW w:w="998"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58/80</w:t>
            </w:r>
          </w:p>
        </w:tc>
        <w:tc>
          <w:tcPr>
            <w:tcW w:w="794"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1.25 (1.08, 1.45)</w:t>
            </w:r>
          </w:p>
        </w:tc>
        <w:tc>
          <w:tcPr>
            <w:tcW w:w="841"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90.7</w:t>
            </w:r>
          </w:p>
        </w:tc>
        <w:tc>
          <w:tcPr>
            <w:tcW w:w="871" w:type="pct"/>
            <w:gridSpan w:val="2"/>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72.5</w:t>
            </w:r>
          </w:p>
        </w:tc>
        <w:tc>
          <w:tcPr>
            <w:tcW w:w="811" w:type="pct"/>
            <w:vAlign w:val="center"/>
          </w:tcPr>
          <w:p w:rsidR="0061212F" w:rsidRPr="00542733" w:rsidRDefault="0061212F" w:rsidP="0061212F">
            <w:pPr>
              <w:jc w:val="center"/>
              <w:rPr>
                <w:rFonts w:ascii="Arial Narrow" w:hAnsi="Arial Narrow"/>
                <w:color w:val="000000"/>
                <w:sz w:val="20"/>
                <w:szCs w:val="18"/>
              </w:rPr>
            </w:pPr>
            <w:r w:rsidRPr="00542733">
              <w:rPr>
                <w:rFonts w:ascii="Arial Narrow" w:hAnsi="Arial Narrow"/>
                <w:color w:val="000000"/>
                <w:sz w:val="20"/>
                <w:szCs w:val="18"/>
              </w:rPr>
              <w:t>18.0 (6.0, 30.0)</w:t>
            </w:r>
          </w:p>
        </w:tc>
      </w:tr>
      <w:tr w:rsidR="0061212F" w:rsidRPr="00542733" w:rsidTr="001A53B7">
        <w:tc>
          <w:tcPr>
            <w:tcW w:w="5000" w:type="pct"/>
            <w:gridSpan w:val="10"/>
            <w:shd w:val="clear" w:color="auto" w:fill="auto"/>
            <w:vAlign w:val="center"/>
          </w:tcPr>
          <w:p w:rsidR="0061212F" w:rsidRPr="00542733" w:rsidRDefault="0061212F" w:rsidP="005C3312">
            <w:pPr>
              <w:jc w:val="left"/>
              <w:rPr>
                <w:rFonts w:ascii="Arial Narrow" w:hAnsi="Arial Narrow"/>
                <w:color w:val="000000"/>
                <w:sz w:val="20"/>
              </w:rPr>
            </w:pPr>
            <w:r w:rsidRPr="00542733">
              <w:rPr>
                <w:rFonts w:ascii="Arial Narrow" w:hAnsi="Arial Narrow"/>
                <w:b/>
                <w:color w:val="000000"/>
                <w:sz w:val="20"/>
                <w:szCs w:val="18"/>
              </w:rPr>
              <w:t>Any serious drug-related</w:t>
            </w:r>
            <w:r w:rsidRPr="00542733">
              <w:rPr>
                <w:rFonts w:ascii="Arial Narrow" w:hAnsi="Arial Narrow"/>
                <w:b/>
                <w:color w:val="000000"/>
                <w:sz w:val="20"/>
                <w:szCs w:val="18"/>
                <w:vertAlign w:val="superscript"/>
              </w:rPr>
              <w:t>β</w:t>
            </w:r>
            <w:r w:rsidRPr="00542733">
              <w:rPr>
                <w:rFonts w:ascii="Arial Narrow" w:hAnsi="Arial Narrow"/>
                <w:b/>
                <w:color w:val="000000"/>
                <w:sz w:val="20"/>
                <w:szCs w:val="18"/>
              </w:rPr>
              <w:t xml:space="preserve"> adverse event</w:t>
            </w:r>
            <w:r w:rsidR="001905EB" w:rsidRPr="00542733">
              <w:rPr>
                <w:rFonts w:ascii="Arial Narrow" w:hAnsi="Arial Narrow"/>
                <w:b/>
                <w:color w:val="000000"/>
                <w:sz w:val="20"/>
                <w:szCs w:val="18"/>
              </w:rPr>
              <w:t xml:space="preserve"> (difference was small ~1%)</w:t>
            </w:r>
          </w:p>
        </w:tc>
      </w:tr>
    </w:tbl>
    <w:p w:rsidR="00A53D17" w:rsidRPr="00542733" w:rsidRDefault="00967FA3" w:rsidP="001A53B7">
      <w:pPr>
        <w:pStyle w:val="TableFooter"/>
        <w:ind w:firstLine="720"/>
      </w:pPr>
      <w:r w:rsidRPr="00542733">
        <w:rPr>
          <w:b/>
          <w:color w:val="000000"/>
          <w:sz w:val="20"/>
          <w:szCs w:val="18"/>
          <w:vertAlign w:val="superscript"/>
        </w:rPr>
        <w:t>∆</w:t>
      </w:r>
      <w:r w:rsidR="001905EB" w:rsidRPr="00542733">
        <w:rPr>
          <w:b/>
          <w:color w:val="000000"/>
          <w:sz w:val="20"/>
          <w:szCs w:val="18"/>
          <w:vertAlign w:val="superscript"/>
        </w:rPr>
        <w:t xml:space="preserve"> </w:t>
      </w:r>
      <w:r w:rsidR="00A53D17" w:rsidRPr="00542733">
        <w:t xml:space="preserve">PRIME median duration of follow-up: </w:t>
      </w:r>
      <w:proofErr w:type="spellStart"/>
      <w:r w:rsidR="00A53D17" w:rsidRPr="00542733">
        <w:t>Panitumumab</w:t>
      </w:r>
      <w:proofErr w:type="spellEnd"/>
      <w:r w:rsidR="00A53D17" w:rsidRPr="00542733">
        <w:t xml:space="preserve"> + FOLFOX: 95 weeks; FOLFOX: 77 weeks</w:t>
      </w:r>
      <w:r w:rsidR="00817D6B" w:rsidRPr="00542733">
        <w:t>.</w:t>
      </w:r>
    </w:p>
    <w:p w:rsidR="001905EB" w:rsidRPr="00542733" w:rsidRDefault="001905EB" w:rsidP="001A53B7">
      <w:pPr>
        <w:pStyle w:val="TableFooter"/>
        <w:ind w:firstLine="720"/>
      </w:pPr>
      <w:r w:rsidRPr="00542733">
        <w:t xml:space="preserve">* PEAK median duration of follow-up for the WT </w:t>
      </w:r>
      <w:r w:rsidRPr="00542733">
        <w:rPr>
          <w:i/>
        </w:rPr>
        <w:t>RAS</w:t>
      </w:r>
      <w:r w:rsidRPr="00542733">
        <w:t xml:space="preserve"> population was approximately 90 weeks</w:t>
      </w:r>
    </w:p>
    <w:p w:rsidR="00967FA3" w:rsidRPr="00542733" w:rsidRDefault="00967FA3" w:rsidP="001A53B7">
      <w:pPr>
        <w:pStyle w:val="TableFooter"/>
        <w:ind w:firstLine="720"/>
      </w:pPr>
      <w:proofErr w:type="gramStart"/>
      <w:r w:rsidRPr="00542733">
        <w:rPr>
          <w:b/>
          <w:color w:val="000000"/>
          <w:sz w:val="20"/>
          <w:szCs w:val="18"/>
          <w:vertAlign w:val="superscript"/>
        </w:rPr>
        <w:t>β</w:t>
      </w:r>
      <w:proofErr w:type="gramEnd"/>
      <w:r w:rsidR="001905EB" w:rsidRPr="00542733">
        <w:rPr>
          <w:b/>
          <w:color w:val="000000"/>
          <w:sz w:val="20"/>
          <w:szCs w:val="18"/>
          <w:vertAlign w:val="superscript"/>
        </w:rPr>
        <w:t xml:space="preserve"> </w:t>
      </w:r>
      <w:r w:rsidRPr="00542733">
        <w:t>The investigator considered there to be a reasonable possibility that the event may have been caused by study drug.</w:t>
      </w:r>
    </w:p>
    <w:p w:rsidR="00CA3DDF" w:rsidRPr="00542733" w:rsidRDefault="00CA3DDF" w:rsidP="001A53B7">
      <w:pPr>
        <w:pStyle w:val="TableFooter"/>
        <w:ind w:firstLine="720"/>
      </w:pPr>
      <w:r w:rsidRPr="00542733">
        <w:t>RD = risk difference; RR = risk ratio</w:t>
      </w:r>
    </w:p>
    <w:p w:rsidR="00CA3DDF" w:rsidRPr="00542733" w:rsidRDefault="00CA3DDF" w:rsidP="001A53B7">
      <w:pPr>
        <w:pStyle w:val="TableFooter"/>
        <w:ind w:firstLine="720"/>
      </w:pPr>
      <w:r w:rsidRPr="00542733">
        <w:t xml:space="preserve">Source: </w:t>
      </w:r>
      <w:r w:rsidR="00102F37" w:rsidRPr="00542733">
        <w:t>c</w:t>
      </w:r>
      <w:r w:rsidRPr="00542733">
        <w:t>ompiled during the evaluation</w:t>
      </w:r>
      <w:r w:rsidR="0077290D" w:rsidRPr="00542733">
        <w:t xml:space="preserve"> from </w:t>
      </w:r>
      <w:r w:rsidRPr="00542733">
        <w:t>Table</w:t>
      </w:r>
      <w:r w:rsidR="0077290D" w:rsidRPr="00542733">
        <w:t>s</w:t>
      </w:r>
      <w:r w:rsidRPr="00542733">
        <w:t xml:space="preserve"> B.</w:t>
      </w:r>
      <w:r w:rsidR="0077290D" w:rsidRPr="00542733">
        <w:t>6.1-5 of Section B of the Commentary</w:t>
      </w:r>
      <w:r w:rsidRPr="00542733">
        <w:t>.</w:t>
      </w:r>
    </w:p>
    <w:p w:rsidR="004E4B8A" w:rsidRPr="00542733" w:rsidRDefault="004E4B8A" w:rsidP="004E4B8A"/>
    <w:p w:rsidR="003567D9" w:rsidRPr="001A53B7" w:rsidRDefault="00E60B97" w:rsidP="001A53B7">
      <w:pPr>
        <w:pStyle w:val="ListParagraph"/>
        <w:widowControl/>
        <w:numPr>
          <w:ilvl w:val="1"/>
          <w:numId w:val="18"/>
        </w:numPr>
        <w:rPr>
          <w:szCs w:val="22"/>
        </w:rPr>
      </w:pPr>
      <w:r w:rsidRPr="00542733">
        <w:t>On the basis of the head</w:t>
      </w:r>
      <w:r w:rsidR="00603776" w:rsidRPr="00542733">
        <w:t>-</w:t>
      </w:r>
      <w:r w:rsidRPr="00542733">
        <w:t>to</w:t>
      </w:r>
      <w:r w:rsidR="00603776" w:rsidRPr="00542733">
        <w:t>-</w:t>
      </w:r>
      <w:r w:rsidRPr="00542733">
        <w:t xml:space="preserve">head PRIME trial, the comparison of </w:t>
      </w:r>
      <w:proofErr w:type="spellStart"/>
      <w:r w:rsidRPr="00542733">
        <w:t>panitumumab</w:t>
      </w:r>
      <w:proofErr w:type="spellEnd"/>
      <w:r w:rsidRPr="00542733">
        <w:t xml:space="preserve"> + FOLFOX to FOLFOX alone resulted in:</w:t>
      </w:r>
    </w:p>
    <w:p w:rsidR="00EE09B7" w:rsidRPr="00542733" w:rsidRDefault="00EE09B7" w:rsidP="00B614F8">
      <w:pPr>
        <w:pStyle w:val="ListParagraph"/>
        <w:numPr>
          <w:ilvl w:val="0"/>
          <w:numId w:val="7"/>
        </w:numPr>
        <w:ind w:left="1134"/>
      </w:pPr>
      <w:r w:rsidRPr="00542733">
        <w:t xml:space="preserve">approximately 2.2 months </w:t>
      </w:r>
      <w:r w:rsidR="003567D9" w:rsidRPr="00542733">
        <w:t xml:space="preserve">gain in </w:t>
      </w:r>
      <w:r w:rsidR="00A25858" w:rsidRPr="00542733">
        <w:t xml:space="preserve">median </w:t>
      </w:r>
      <w:r w:rsidR="003567D9" w:rsidRPr="00542733">
        <w:t>progression-</w:t>
      </w:r>
      <w:r w:rsidRPr="00542733">
        <w:t xml:space="preserve">free survival and 5.6 months </w:t>
      </w:r>
      <w:r w:rsidR="003567D9" w:rsidRPr="00542733">
        <w:t>gain</w:t>
      </w:r>
      <w:r w:rsidRPr="00542733">
        <w:t xml:space="preserve"> in </w:t>
      </w:r>
      <w:r w:rsidR="00A25858" w:rsidRPr="00542733">
        <w:t xml:space="preserve">median </w:t>
      </w:r>
      <w:r w:rsidRPr="00542733">
        <w:t xml:space="preserve">overall survival, </w:t>
      </w:r>
      <w:r w:rsidR="00D71EE6" w:rsidRPr="00542733">
        <w:t xml:space="preserve">observed over </w:t>
      </w:r>
      <w:r w:rsidRPr="00542733">
        <w:t xml:space="preserve">a median duration of approximately 95 weeks </w:t>
      </w:r>
      <w:r w:rsidR="003567D9" w:rsidRPr="00542733">
        <w:t>of follow-up</w:t>
      </w:r>
      <w:r w:rsidRPr="00542733">
        <w:t>;</w:t>
      </w:r>
    </w:p>
    <w:p w:rsidR="00EE09B7" w:rsidRPr="00542733" w:rsidRDefault="00EE09B7" w:rsidP="00B614F8">
      <w:pPr>
        <w:pStyle w:val="ListParagraph"/>
        <w:numPr>
          <w:ilvl w:val="0"/>
          <w:numId w:val="7"/>
        </w:numPr>
        <w:ind w:left="1134"/>
      </w:pPr>
      <w:r w:rsidRPr="00542733">
        <w:t>20 additional patients expe</w:t>
      </w:r>
      <w:r w:rsidR="003567D9" w:rsidRPr="00542733">
        <w:t>riencing</w:t>
      </w:r>
      <w:r w:rsidR="00233A98" w:rsidRPr="00542733">
        <w:t xml:space="preserve"> a Grade 3 or higher drug-</w:t>
      </w:r>
      <w:r w:rsidRPr="00542733">
        <w:t>related adverse event</w:t>
      </w:r>
      <w:r w:rsidR="003567D9" w:rsidRPr="00542733">
        <w:t xml:space="preserve"> for every 100 patients treated</w:t>
      </w:r>
      <w:r w:rsidRPr="00542733">
        <w:t>.</w:t>
      </w:r>
    </w:p>
    <w:p w:rsidR="001905EB" w:rsidRPr="00542733" w:rsidRDefault="001905EB" w:rsidP="001905EB"/>
    <w:p w:rsidR="001905EB" w:rsidRPr="001A53B7" w:rsidRDefault="00E60B97" w:rsidP="001A53B7">
      <w:pPr>
        <w:pStyle w:val="ListParagraph"/>
        <w:widowControl/>
        <w:numPr>
          <w:ilvl w:val="1"/>
          <w:numId w:val="18"/>
        </w:numPr>
        <w:rPr>
          <w:szCs w:val="22"/>
        </w:rPr>
      </w:pPr>
      <w:r w:rsidRPr="00542733">
        <w:t>On the basis of the head</w:t>
      </w:r>
      <w:r w:rsidR="00603776" w:rsidRPr="00542733">
        <w:t>-</w:t>
      </w:r>
      <w:r w:rsidRPr="00542733">
        <w:t>to</w:t>
      </w:r>
      <w:r w:rsidR="00603776" w:rsidRPr="00542733">
        <w:t>-</w:t>
      </w:r>
      <w:r w:rsidRPr="00542733">
        <w:t xml:space="preserve">head PEAK trial, the comparison of </w:t>
      </w:r>
      <w:proofErr w:type="spellStart"/>
      <w:r w:rsidRPr="00542733">
        <w:t>panitumumab</w:t>
      </w:r>
      <w:proofErr w:type="spellEnd"/>
      <w:r w:rsidRPr="00542733">
        <w:t xml:space="preserve"> + FOLFOX to </w:t>
      </w:r>
      <w:proofErr w:type="spellStart"/>
      <w:r w:rsidRPr="00542733">
        <w:t>bevacizumab</w:t>
      </w:r>
      <w:proofErr w:type="spellEnd"/>
      <w:r w:rsidRPr="00542733">
        <w:t xml:space="preserve"> + FOLFOX resulted in:</w:t>
      </w:r>
    </w:p>
    <w:p w:rsidR="001905EB" w:rsidRPr="00542733" w:rsidRDefault="001905EB" w:rsidP="00B614F8">
      <w:pPr>
        <w:pStyle w:val="ListParagraph"/>
        <w:numPr>
          <w:ilvl w:val="0"/>
          <w:numId w:val="6"/>
        </w:numPr>
        <w:ind w:left="1134"/>
      </w:pPr>
      <w:r w:rsidRPr="00542733">
        <w:t xml:space="preserve">approximately 2.9 months gain in median progression-free survival and 12.4 months gain in median overall survival, </w:t>
      </w:r>
      <w:r w:rsidR="00D71EE6" w:rsidRPr="00542733">
        <w:t>observed over a</w:t>
      </w:r>
      <w:r w:rsidRPr="00542733">
        <w:t xml:space="preserve"> median duration of approximately 90 weeks of follow-up;</w:t>
      </w:r>
    </w:p>
    <w:p w:rsidR="001905EB" w:rsidRPr="00542733" w:rsidRDefault="001905EB" w:rsidP="00B614F8">
      <w:pPr>
        <w:pStyle w:val="ListParagraph"/>
        <w:numPr>
          <w:ilvl w:val="0"/>
          <w:numId w:val="6"/>
        </w:numPr>
        <w:ind w:left="1134"/>
      </w:pPr>
      <w:r w:rsidRPr="00542733">
        <w:t>18 additional patients experiencing a Grade 3 or higher drug-related adverse event for every 100 patients treated.</w:t>
      </w:r>
    </w:p>
    <w:p w:rsidR="00B614F8" w:rsidRPr="00542733" w:rsidRDefault="00B614F8" w:rsidP="0073081A">
      <w:pPr>
        <w:rPr>
          <w:szCs w:val="22"/>
        </w:rPr>
      </w:pPr>
    </w:p>
    <w:p w:rsidR="00B614F8" w:rsidRPr="00542733" w:rsidRDefault="00B614F8" w:rsidP="00B614F8">
      <w:pPr>
        <w:pStyle w:val="ListParagraph"/>
        <w:rPr>
          <w:i/>
          <w:szCs w:val="22"/>
        </w:rPr>
      </w:pPr>
      <w:r w:rsidRPr="00542733">
        <w:rPr>
          <w:i/>
          <w:szCs w:val="22"/>
        </w:rPr>
        <w:t>For more detail on PBAC’s view, see section 7 “PBAC outcome”</w:t>
      </w:r>
    </w:p>
    <w:p w:rsidR="004B1C24" w:rsidRPr="00542733" w:rsidRDefault="004B1C24" w:rsidP="004E4B8A"/>
    <w:p w:rsidR="00301017" w:rsidRPr="00542733" w:rsidRDefault="00301017" w:rsidP="00301017">
      <w:pPr>
        <w:pStyle w:val="Heading2"/>
        <w:rPr>
          <w:i/>
        </w:rPr>
      </w:pPr>
      <w:bookmarkStart w:id="30" w:name="_Toc341702025"/>
      <w:bookmarkStart w:id="31" w:name="_Toc380679756"/>
      <w:bookmarkStart w:id="32" w:name="_Toc380742613"/>
      <w:bookmarkStart w:id="33" w:name="_Toc380746180"/>
      <w:bookmarkStart w:id="34" w:name="_Toc380746306"/>
      <w:bookmarkStart w:id="35" w:name="_Toc380746587"/>
      <w:bookmarkStart w:id="36" w:name="_Toc388361907"/>
      <w:r w:rsidRPr="00542733">
        <w:rPr>
          <w:i/>
        </w:rPr>
        <w:t>Clinical claim</w:t>
      </w:r>
      <w:bookmarkEnd w:id="30"/>
      <w:bookmarkEnd w:id="31"/>
      <w:bookmarkEnd w:id="32"/>
      <w:bookmarkEnd w:id="33"/>
      <w:bookmarkEnd w:id="34"/>
      <w:bookmarkEnd w:id="35"/>
      <w:bookmarkEnd w:id="36"/>
    </w:p>
    <w:p w:rsidR="004772B6" w:rsidRPr="00542733" w:rsidRDefault="004772B6" w:rsidP="00B02E4A"/>
    <w:p w:rsidR="00B02E4A" w:rsidRPr="001A53B7" w:rsidRDefault="00B02E4A" w:rsidP="001A53B7">
      <w:pPr>
        <w:pStyle w:val="ListParagraph"/>
        <w:widowControl/>
        <w:numPr>
          <w:ilvl w:val="1"/>
          <w:numId w:val="18"/>
        </w:numPr>
        <w:rPr>
          <w:szCs w:val="22"/>
        </w:rPr>
      </w:pPr>
      <w:r w:rsidRPr="00542733">
        <w:t xml:space="preserve">For the </w:t>
      </w:r>
      <w:r w:rsidR="003567D9" w:rsidRPr="00542733">
        <w:t xml:space="preserve">first-line </w:t>
      </w:r>
      <w:r w:rsidRPr="001A53B7">
        <w:rPr>
          <w:i/>
        </w:rPr>
        <w:t>RAS</w:t>
      </w:r>
      <w:r w:rsidRPr="00542733">
        <w:t xml:space="preserve"> WT </w:t>
      </w:r>
      <w:proofErr w:type="spellStart"/>
      <w:r w:rsidR="003567D9" w:rsidRPr="00542733">
        <w:t>mCRC</w:t>
      </w:r>
      <w:proofErr w:type="spellEnd"/>
      <w:r w:rsidR="003567D9" w:rsidRPr="00542733">
        <w:t xml:space="preserve"> </w:t>
      </w:r>
      <w:r w:rsidRPr="00542733">
        <w:t xml:space="preserve">population, the </w:t>
      </w:r>
      <w:r w:rsidR="00AF0640" w:rsidRPr="00542733">
        <w:t>re-</w:t>
      </w:r>
      <w:r w:rsidRPr="00542733">
        <w:t>submission describes</w:t>
      </w:r>
      <w:r w:rsidR="00AD35A8" w:rsidRPr="00542733">
        <w:t xml:space="preserve"> </w:t>
      </w:r>
      <w:proofErr w:type="spellStart"/>
      <w:r w:rsidR="00AD35A8" w:rsidRPr="00542733">
        <w:t>panitumumab</w:t>
      </w:r>
      <w:proofErr w:type="spellEnd"/>
      <w:r w:rsidR="00AD35A8" w:rsidRPr="00542733">
        <w:t xml:space="preserve"> + FOLFOX as</w:t>
      </w:r>
      <w:r w:rsidRPr="00542733">
        <w:t>:</w:t>
      </w:r>
    </w:p>
    <w:p w:rsidR="00B02E4A" w:rsidRPr="00542733" w:rsidRDefault="00B02E4A" w:rsidP="00B614F8">
      <w:pPr>
        <w:pStyle w:val="ListParagraph"/>
        <w:numPr>
          <w:ilvl w:val="0"/>
          <w:numId w:val="5"/>
        </w:numPr>
        <w:ind w:left="1134"/>
      </w:pPr>
      <w:r w:rsidRPr="00542733">
        <w:t xml:space="preserve">superior in terms of comparative effectiveness and with “a different safety profile” compared to </w:t>
      </w:r>
      <w:proofErr w:type="spellStart"/>
      <w:r w:rsidRPr="00542733">
        <w:t>bevacizumab</w:t>
      </w:r>
      <w:proofErr w:type="spellEnd"/>
      <w:r w:rsidRPr="00542733">
        <w:t xml:space="preserve"> + FOLFOX; and</w:t>
      </w:r>
    </w:p>
    <w:p w:rsidR="00B02E4A" w:rsidRPr="00542733" w:rsidRDefault="00B02E4A" w:rsidP="00B614F8">
      <w:pPr>
        <w:pStyle w:val="ListParagraph"/>
        <w:numPr>
          <w:ilvl w:val="0"/>
          <w:numId w:val="5"/>
        </w:numPr>
        <w:ind w:left="1134"/>
      </w:pPr>
      <w:proofErr w:type="gramStart"/>
      <w:r w:rsidRPr="00542733">
        <w:t>superior</w:t>
      </w:r>
      <w:proofErr w:type="gramEnd"/>
      <w:r w:rsidRPr="00542733">
        <w:t xml:space="preserve"> in terms of comparative effectiveness and which “adds a manageable level of toxicity” (or otherwise inferior in terms of comparative safety) over FOLFOX alone</w:t>
      </w:r>
      <w:r w:rsidR="00AD35A8" w:rsidRPr="00542733">
        <w:t>.</w:t>
      </w:r>
    </w:p>
    <w:p w:rsidR="003F31B2" w:rsidRPr="00542733" w:rsidRDefault="003F31B2" w:rsidP="003F31B2"/>
    <w:p w:rsidR="00AD35A8" w:rsidRPr="001A53B7" w:rsidRDefault="0077179D" w:rsidP="001A53B7">
      <w:pPr>
        <w:pStyle w:val="ListParagraph"/>
        <w:widowControl/>
        <w:numPr>
          <w:ilvl w:val="1"/>
          <w:numId w:val="18"/>
        </w:numPr>
        <w:rPr>
          <w:szCs w:val="22"/>
        </w:rPr>
      </w:pPr>
      <w:r w:rsidRPr="00542733">
        <w:t xml:space="preserve">Each </w:t>
      </w:r>
      <w:r w:rsidR="00AD35A8" w:rsidRPr="00542733">
        <w:t xml:space="preserve">description </w:t>
      </w:r>
      <w:r w:rsidR="004B1C24" w:rsidRPr="00542733">
        <w:t xml:space="preserve">about comparative effectiveness </w:t>
      </w:r>
      <w:r w:rsidRPr="00542733">
        <w:t>is supported by the respective randomised trial</w:t>
      </w:r>
      <w:r w:rsidR="00AD35A8" w:rsidRPr="00542733">
        <w:t xml:space="preserve">, </w:t>
      </w:r>
      <w:r w:rsidRPr="00542733">
        <w:t xml:space="preserve">however </w:t>
      </w:r>
      <w:r w:rsidR="004B1C24" w:rsidRPr="00542733">
        <w:t xml:space="preserve">the addition of </w:t>
      </w:r>
      <w:proofErr w:type="spellStart"/>
      <w:r w:rsidR="004B1C24" w:rsidRPr="00542733">
        <w:t>panitumumab</w:t>
      </w:r>
      <w:proofErr w:type="spellEnd"/>
      <w:r w:rsidR="004B1C24" w:rsidRPr="00542733">
        <w:t xml:space="preserve"> to FOLFOX appears to have an inferior safety profile compared with the addition of </w:t>
      </w:r>
      <w:proofErr w:type="spellStart"/>
      <w:r w:rsidR="004B1C24" w:rsidRPr="00542733">
        <w:t>bevacizumab</w:t>
      </w:r>
      <w:proofErr w:type="spellEnd"/>
      <w:r w:rsidR="004B1C24" w:rsidRPr="00542733">
        <w:t xml:space="preserve"> to FOLFOX or compared with FOLFOX alone.</w:t>
      </w:r>
    </w:p>
    <w:p w:rsidR="003D54F5" w:rsidRPr="006068F2" w:rsidRDefault="003D54F5" w:rsidP="003D54F5">
      <w:pPr>
        <w:rPr>
          <w:highlight w:val="lightGray"/>
          <w:lang w:eastAsia="ko-KR"/>
        </w:rPr>
      </w:pPr>
    </w:p>
    <w:p w:rsidR="00301017" w:rsidRPr="00542733" w:rsidRDefault="00301017" w:rsidP="00301017">
      <w:pPr>
        <w:pStyle w:val="Heading2"/>
        <w:rPr>
          <w:i/>
        </w:rPr>
      </w:pPr>
      <w:bookmarkStart w:id="37" w:name="_Toc380679757"/>
      <w:bookmarkStart w:id="38" w:name="_Toc380742614"/>
      <w:bookmarkStart w:id="39" w:name="_Toc380746181"/>
      <w:bookmarkStart w:id="40" w:name="_Toc380746307"/>
      <w:bookmarkStart w:id="41" w:name="_Toc380746588"/>
      <w:bookmarkStart w:id="42" w:name="_Toc388361908"/>
      <w:r w:rsidRPr="00542733">
        <w:rPr>
          <w:i/>
        </w:rPr>
        <w:t>Economic analysis –</w:t>
      </w:r>
      <w:r w:rsidR="005A0CC9" w:rsidRPr="00542733">
        <w:rPr>
          <w:i/>
        </w:rPr>
        <w:t xml:space="preserve"> </w:t>
      </w:r>
      <w:r w:rsidRPr="00542733">
        <w:rPr>
          <w:i/>
        </w:rPr>
        <w:t>cost-utility</w:t>
      </w:r>
      <w:bookmarkEnd w:id="37"/>
      <w:bookmarkEnd w:id="38"/>
      <w:bookmarkEnd w:id="39"/>
      <w:bookmarkEnd w:id="40"/>
      <w:bookmarkEnd w:id="41"/>
      <w:bookmarkEnd w:id="42"/>
    </w:p>
    <w:p w:rsidR="00A474D7" w:rsidRPr="00542733" w:rsidRDefault="00A474D7" w:rsidP="00A474D7"/>
    <w:p w:rsidR="00FD31FF" w:rsidRPr="001A53B7" w:rsidRDefault="005D7A49" w:rsidP="001A53B7">
      <w:pPr>
        <w:pStyle w:val="ListParagraph"/>
        <w:widowControl/>
        <w:numPr>
          <w:ilvl w:val="1"/>
          <w:numId w:val="18"/>
        </w:numPr>
        <w:rPr>
          <w:szCs w:val="22"/>
        </w:rPr>
      </w:pPr>
      <w:r w:rsidRPr="00542733">
        <w:t xml:space="preserve">The </w:t>
      </w:r>
      <w:r w:rsidR="00AF0640" w:rsidRPr="00542733">
        <w:t>re-</w:t>
      </w:r>
      <w:r w:rsidRPr="00542733">
        <w:t xml:space="preserve">submission presents modelled cost-utility analyses </w:t>
      </w:r>
      <w:r w:rsidR="00603776" w:rsidRPr="00542733">
        <w:t xml:space="preserve">in </w:t>
      </w:r>
      <w:r w:rsidR="00603776" w:rsidRPr="001A53B7">
        <w:rPr>
          <w:i/>
        </w:rPr>
        <w:t>RAS</w:t>
      </w:r>
      <w:r w:rsidR="00603776" w:rsidRPr="00542733">
        <w:t xml:space="preserve"> WT </w:t>
      </w:r>
      <w:proofErr w:type="spellStart"/>
      <w:r w:rsidR="00603776" w:rsidRPr="00542733">
        <w:t>mCRC</w:t>
      </w:r>
      <w:proofErr w:type="spellEnd"/>
      <w:r w:rsidR="00603776" w:rsidRPr="00542733">
        <w:t xml:space="preserve"> </w:t>
      </w:r>
      <w:r w:rsidRPr="00542733">
        <w:t xml:space="preserve">for comparisons of </w:t>
      </w:r>
      <w:r w:rsidR="00DE52C1" w:rsidRPr="00542733">
        <w:t xml:space="preserve">first-line </w:t>
      </w:r>
      <w:proofErr w:type="spellStart"/>
      <w:r w:rsidRPr="00542733">
        <w:t>panitumumab</w:t>
      </w:r>
      <w:proofErr w:type="spellEnd"/>
      <w:r w:rsidRPr="00542733">
        <w:t xml:space="preserve"> + FOLFOX </w:t>
      </w:r>
      <w:r w:rsidR="00603776" w:rsidRPr="00542733">
        <w:t>with</w:t>
      </w:r>
      <w:r w:rsidRPr="00542733">
        <w:t xml:space="preserve"> (1) </w:t>
      </w:r>
      <w:proofErr w:type="spellStart"/>
      <w:r w:rsidRPr="00542733">
        <w:t>bevacizumab</w:t>
      </w:r>
      <w:proofErr w:type="spellEnd"/>
      <w:r w:rsidRPr="00542733">
        <w:t xml:space="preserve"> + FOLFOX, (2) FOLFOX alone, and (3) a weighted com</w:t>
      </w:r>
      <w:r w:rsidR="00287193" w:rsidRPr="00542733">
        <w:t xml:space="preserve">bination of these comparators. </w:t>
      </w:r>
      <w:r w:rsidR="003130DD" w:rsidRPr="00542733">
        <w:t xml:space="preserve"> </w:t>
      </w:r>
      <w:r w:rsidRPr="00542733">
        <w:t>This is consistent with the claims of superiority presented in the clinical evidence.</w:t>
      </w:r>
    </w:p>
    <w:p w:rsidR="00FD31FF" w:rsidRPr="00542733" w:rsidRDefault="00FD31FF" w:rsidP="00FD31FF"/>
    <w:p w:rsidR="00287193" w:rsidRPr="001A53B7" w:rsidRDefault="00135907" w:rsidP="001A53B7">
      <w:pPr>
        <w:pStyle w:val="ListParagraph"/>
        <w:widowControl/>
        <w:numPr>
          <w:ilvl w:val="1"/>
          <w:numId w:val="18"/>
        </w:numPr>
        <w:rPr>
          <w:szCs w:val="22"/>
        </w:rPr>
      </w:pPr>
      <w:r w:rsidRPr="00542733">
        <w:t>The re-submission did not present a</w:t>
      </w:r>
      <w:r w:rsidR="003C7063" w:rsidRPr="00542733">
        <w:t xml:space="preserve">n economic evaluation of the other request in the re-submission </w:t>
      </w:r>
      <w:r w:rsidR="00FD31FF" w:rsidRPr="00542733">
        <w:t>to</w:t>
      </w:r>
      <w:r w:rsidR="003C7063" w:rsidRPr="00542733">
        <w:t xml:space="preserve"> </w:t>
      </w:r>
      <w:r w:rsidR="00603776" w:rsidRPr="00542733">
        <w:t>change the PBS</w:t>
      </w:r>
      <w:r w:rsidR="003C7063" w:rsidRPr="00542733">
        <w:t xml:space="preserve"> eligibility criteria </w:t>
      </w:r>
      <w:r w:rsidR="00603776" w:rsidRPr="00542733">
        <w:t xml:space="preserve">for </w:t>
      </w:r>
      <w:proofErr w:type="spellStart"/>
      <w:r w:rsidR="00603776" w:rsidRPr="00542733">
        <w:t>panitumumab</w:t>
      </w:r>
      <w:proofErr w:type="spellEnd"/>
      <w:r w:rsidR="00603776" w:rsidRPr="00542733">
        <w:t xml:space="preserve"> </w:t>
      </w:r>
      <w:r w:rsidR="003C7063" w:rsidRPr="00542733">
        <w:t xml:space="preserve">from </w:t>
      </w:r>
      <w:r w:rsidR="003C7063" w:rsidRPr="001A53B7">
        <w:rPr>
          <w:i/>
        </w:rPr>
        <w:t>KRAS</w:t>
      </w:r>
      <w:r w:rsidR="003C7063" w:rsidRPr="00542733">
        <w:t xml:space="preserve"> WT to </w:t>
      </w:r>
      <w:r w:rsidR="003C7063" w:rsidRPr="001A53B7">
        <w:rPr>
          <w:i/>
        </w:rPr>
        <w:t>RAS</w:t>
      </w:r>
      <w:r w:rsidR="003C7063" w:rsidRPr="00542733">
        <w:t xml:space="preserve"> WT</w:t>
      </w:r>
      <w:r w:rsidR="0073081A" w:rsidRPr="00542733">
        <w:t xml:space="preserve">.  The ESC advised that such an evaluation </w:t>
      </w:r>
      <w:r w:rsidR="003C7063" w:rsidRPr="00542733">
        <w:t xml:space="preserve">would result in dominance for </w:t>
      </w:r>
      <w:r w:rsidR="003C7063" w:rsidRPr="001A53B7">
        <w:rPr>
          <w:i/>
        </w:rPr>
        <w:t>RAS</w:t>
      </w:r>
      <w:r w:rsidR="003C7063" w:rsidRPr="00542733">
        <w:t xml:space="preserve"> WT because this would reduce the proportion of existing patients receiving additional </w:t>
      </w:r>
      <w:proofErr w:type="spellStart"/>
      <w:r w:rsidR="003C7063" w:rsidRPr="00542733">
        <w:t>panitumumab</w:t>
      </w:r>
      <w:proofErr w:type="spellEnd"/>
      <w:r w:rsidR="003C7063" w:rsidRPr="00542733">
        <w:t xml:space="preserve"> resulting in inferior health outcomes, and the increased costs of </w:t>
      </w:r>
      <w:r w:rsidR="003C7063" w:rsidRPr="001A53B7">
        <w:rPr>
          <w:i/>
        </w:rPr>
        <w:t>RAS</w:t>
      </w:r>
      <w:r w:rsidR="003C7063" w:rsidRPr="00542733">
        <w:t xml:space="preserve"> testing would be outweighed by the decreased costs of </w:t>
      </w:r>
      <w:proofErr w:type="spellStart"/>
      <w:r w:rsidR="003C7063" w:rsidRPr="00542733">
        <w:t>panitumumab</w:t>
      </w:r>
      <w:proofErr w:type="spellEnd"/>
      <w:r w:rsidR="003C7063" w:rsidRPr="00542733">
        <w:t>.</w:t>
      </w:r>
    </w:p>
    <w:p w:rsidR="00287193" w:rsidRPr="00542733" w:rsidRDefault="00287193" w:rsidP="00287193"/>
    <w:p w:rsidR="00D87A18" w:rsidRPr="001A53B7" w:rsidRDefault="002E31E8" w:rsidP="001A53B7">
      <w:pPr>
        <w:pStyle w:val="ListParagraph"/>
        <w:widowControl/>
        <w:numPr>
          <w:ilvl w:val="1"/>
          <w:numId w:val="18"/>
        </w:numPr>
        <w:rPr>
          <w:szCs w:val="22"/>
        </w:rPr>
      </w:pPr>
      <w:r w:rsidRPr="00542733">
        <w:t>The economic</w:t>
      </w:r>
      <w:r w:rsidR="00D87A18" w:rsidRPr="00542733">
        <w:t xml:space="preserve"> model </w:t>
      </w:r>
      <w:r w:rsidR="0073081A" w:rsidRPr="00542733">
        <w:t xml:space="preserve">presented in the re-submission </w:t>
      </w:r>
      <w:r w:rsidR="00D87A18" w:rsidRPr="00542733">
        <w:t xml:space="preserve">compares </w:t>
      </w:r>
      <w:r w:rsidR="00D87A18" w:rsidRPr="001A53B7">
        <w:rPr>
          <w:i/>
        </w:rPr>
        <w:t>RAS</w:t>
      </w:r>
      <w:r w:rsidR="00D87A18" w:rsidRPr="00542733">
        <w:t xml:space="preserve"> testing for access to </w:t>
      </w:r>
      <w:r w:rsidR="00D71EE6" w:rsidRPr="00542733">
        <w:t>anti-</w:t>
      </w:r>
      <w:r w:rsidR="00D87A18" w:rsidRPr="00542733">
        <w:t xml:space="preserve">EGFR </w:t>
      </w:r>
      <w:r w:rsidR="00D71EE6" w:rsidRPr="00542733">
        <w:t>antibody</w:t>
      </w:r>
      <w:r w:rsidR="00D87A18" w:rsidRPr="00542733">
        <w:t xml:space="preserve"> treatment in the first-line setting to </w:t>
      </w:r>
      <w:r w:rsidR="00063295" w:rsidRPr="001A53B7">
        <w:rPr>
          <w:i/>
        </w:rPr>
        <w:t>RAS</w:t>
      </w:r>
      <w:r w:rsidR="00D87A18" w:rsidRPr="00542733">
        <w:t xml:space="preserve"> testing for </w:t>
      </w:r>
      <w:r w:rsidR="00D71EE6" w:rsidRPr="00542733">
        <w:t>anti-</w:t>
      </w:r>
      <w:r w:rsidR="00D87A18" w:rsidRPr="00542733">
        <w:t xml:space="preserve">EGFR </w:t>
      </w:r>
      <w:r w:rsidR="00D71EE6" w:rsidRPr="00542733">
        <w:t xml:space="preserve">antibody </w:t>
      </w:r>
      <w:r w:rsidR="00D87A18" w:rsidRPr="00542733">
        <w:t>treatme</w:t>
      </w:r>
      <w:r w:rsidR="00287193" w:rsidRPr="00542733">
        <w:t xml:space="preserve">nt in the second-line setting. </w:t>
      </w:r>
      <w:r w:rsidR="003130DD" w:rsidRPr="00542733">
        <w:t xml:space="preserve"> </w:t>
      </w:r>
      <w:r w:rsidR="00D87A18" w:rsidRPr="00542733">
        <w:t xml:space="preserve">A comparison is not made to a scenario where </w:t>
      </w:r>
      <w:r w:rsidR="00D87A18" w:rsidRPr="001A53B7">
        <w:rPr>
          <w:i/>
        </w:rPr>
        <w:t>KRAS</w:t>
      </w:r>
      <w:r w:rsidR="00D87A18" w:rsidRPr="00542733">
        <w:t xml:space="preserve"> testing occurs, although this is current practice.</w:t>
      </w:r>
    </w:p>
    <w:p w:rsidR="00455D45" w:rsidRPr="00542733" w:rsidRDefault="00455D45" w:rsidP="001A53B7">
      <w:pPr>
        <w:ind w:firstLine="720"/>
        <w:rPr>
          <w:rStyle w:val="CommentReference"/>
        </w:rPr>
      </w:pPr>
      <w:r w:rsidRPr="00542733">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1843"/>
        <w:gridCol w:w="6502"/>
      </w:tblGrid>
      <w:tr w:rsidR="00455D45" w:rsidRPr="00542733" w:rsidTr="001A53B7">
        <w:trPr>
          <w:trHeight w:val="20"/>
          <w:tblHeader/>
        </w:trPr>
        <w:tc>
          <w:tcPr>
            <w:tcW w:w="1104" w:type="pct"/>
            <w:shd w:val="clear" w:color="auto" w:fill="auto"/>
          </w:tcPr>
          <w:p w:rsidR="00455D45" w:rsidRPr="00542733" w:rsidRDefault="00455D45" w:rsidP="00E2249B">
            <w:pPr>
              <w:rPr>
                <w:rFonts w:ascii="Arial Narrow" w:hAnsi="Arial Narrow"/>
                <w:b/>
                <w:sz w:val="20"/>
              </w:rPr>
            </w:pPr>
            <w:r w:rsidRPr="00542733">
              <w:rPr>
                <w:rFonts w:ascii="Arial Narrow" w:hAnsi="Arial Narrow"/>
                <w:b/>
                <w:sz w:val="20"/>
              </w:rPr>
              <w:t>Component</w:t>
            </w:r>
          </w:p>
        </w:tc>
        <w:tc>
          <w:tcPr>
            <w:tcW w:w="3896" w:type="pct"/>
            <w:shd w:val="clear" w:color="auto" w:fill="auto"/>
          </w:tcPr>
          <w:p w:rsidR="00455D45" w:rsidRPr="00542733" w:rsidRDefault="00455D45" w:rsidP="00E2249B">
            <w:pPr>
              <w:jc w:val="center"/>
              <w:rPr>
                <w:rFonts w:ascii="Arial Narrow" w:hAnsi="Arial Narrow"/>
                <w:b/>
                <w:sz w:val="20"/>
              </w:rPr>
            </w:pPr>
            <w:r w:rsidRPr="00542733">
              <w:rPr>
                <w:rFonts w:ascii="Arial Narrow" w:hAnsi="Arial Narrow"/>
                <w:b/>
                <w:sz w:val="20"/>
              </w:rPr>
              <w:t>Summary</w:t>
            </w:r>
          </w:p>
        </w:tc>
      </w:tr>
      <w:tr w:rsidR="00551F90" w:rsidRPr="00542733" w:rsidTr="001A53B7">
        <w:trPr>
          <w:trHeight w:val="20"/>
        </w:trPr>
        <w:tc>
          <w:tcPr>
            <w:tcW w:w="1104" w:type="pct"/>
            <w:shd w:val="clear" w:color="auto" w:fill="auto"/>
          </w:tcPr>
          <w:p w:rsidR="00551F90" w:rsidRPr="00542733" w:rsidRDefault="00551F90" w:rsidP="00E2249B">
            <w:pPr>
              <w:rPr>
                <w:rFonts w:ascii="Arial Narrow" w:hAnsi="Arial Narrow"/>
                <w:sz w:val="20"/>
              </w:rPr>
            </w:pPr>
            <w:r w:rsidRPr="00542733">
              <w:rPr>
                <w:rFonts w:ascii="Arial Narrow" w:hAnsi="Arial Narrow"/>
                <w:sz w:val="20"/>
              </w:rPr>
              <w:t>Time horizon</w:t>
            </w:r>
          </w:p>
        </w:tc>
        <w:tc>
          <w:tcPr>
            <w:tcW w:w="3896" w:type="pct"/>
            <w:shd w:val="clear" w:color="auto" w:fill="auto"/>
          </w:tcPr>
          <w:p w:rsidR="00551F90" w:rsidRPr="00542733" w:rsidRDefault="00551F90" w:rsidP="00885036">
            <w:pPr>
              <w:rPr>
                <w:rFonts w:ascii="Arial Narrow" w:hAnsi="Arial Narrow"/>
                <w:i/>
                <w:sz w:val="20"/>
              </w:rPr>
            </w:pPr>
            <w:r w:rsidRPr="00542733">
              <w:rPr>
                <w:rFonts w:ascii="Arial Narrow" w:hAnsi="Arial Narrow"/>
                <w:sz w:val="20"/>
              </w:rPr>
              <w:t xml:space="preserve">10 years in the model base case versus maximum follow-up of 2.5 years in </w:t>
            </w:r>
            <w:r w:rsidR="00885036" w:rsidRPr="00542733">
              <w:rPr>
                <w:rFonts w:ascii="Arial Narrow" w:hAnsi="Arial Narrow"/>
                <w:sz w:val="20"/>
              </w:rPr>
              <w:t xml:space="preserve">the </w:t>
            </w:r>
            <w:r w:rsidRPr="00542733">
              <w:rPr>
                <w:rFonts w:ascii="Arial Narrow" w:hAnsi="Arial Narrow"/>
                <w:sz w:val="20"/>
              </w:rPr>
              <w:t xml:space="preserve">PRIME </w:t>
            </w:r>
            <w:r w:rsidR="00885036" w:rsidRPr="00542733">
              <w:rPr>
                <w:rFonts w:ascii="Arial Narrow" w:hAnsi="Arial Narrow"/>
                <w:sz w:val="20"/>
              </w:rPr>
              <w:t>trial</w:t>
            </w:r>
            <w:r w:rsidR="006C07B3" w:rsidRPr="00542733">
              <w:rPr>
                <w:rFonts w:ascii="Arial Narrow" w:hAnsi="Arial Narrow"/>
                <w:sz w:val="20"/>
              </w:rPr>
              <w:t>.</w:t>
            </w:r>
            <w:r w:rsidR="003130DD" w:rsidRPr="00542733">
              <w:rPr>
                <w:rFonts w:ascii="Arial Narrow" w:hAnsi="Arial Narrow"/>
                <w:sz w:val="20"/>
              </w:rPr>
              <w:t xml:space="preserve"> </w:t>
            </w:r>
            <w:r w:rsidR="006C07B3" w:rsidRPr="00542733">
              <w:rPr>
                <w:rFonts w:ascii="Arial Narrow" w:hAnsi="Arial Narrow"/>
                <w:sz w:val="20"/>
              </w:rPr>
              <w:t xml:space="preserve"> The ESC con</w:t>
            </w:r>
            <w:r w:rsidR="003130DD" w:rsidRPr="00542733">
              <w:rPr>
                <w:rFonts w:ascii="Arial Narrow" w:hAnsi="Arial Narrow"/>
                <w:sz w:val="20"/>
              </w:rPr>
              <w:t>sidered the 10-</w:t>
            </w:r>
            <w:r w:rsidR="006C07B3" w:rsidRPr="00542733">
              <w:rPr>
                <w:rFonts w:ascii="Arial Narrow" w:hAnsi="Arial Narrow"/>
                <w:sz w:val="20"/>
              </w:rPr>
              <w:t xml:space="preserve">year time horizon to be appropriate given that </w:t>
            </w:r>
            <w:r w:rsidR="001A7755">
              <w:rPr>
                <w:rFonts w:ascii="Arial Narrow" w:hAnsi="Arial Narrow"/>
                <w:noProof/>
                <w:color w:val="000000"/>
                <w:sz w:val="20"/>
                <w:highlight w:val="black"/>
              </w:rPr>
              <w:t>''''''</w:t>
            </w:r>
            <w:r w:rsidR="006C07B3" w:rsidRPr="009E2BFE">
              <w:rPr>
                <w:rFonts w:ascii="Arial Narrow" w:hAnsi="Arial Narrow"/>
                <w:sz w:val="20"/>
              </w:rPr>
              <w:t>%</w:t>
            </w:r>
            <w:r w:rsidR="006C07B3" w:rsidRPr="00542733">
              <w:rPr>
                <w:rFonts w:ascii="Arial Narrow" w:hAnsi="Arial Narrow"/>
                <w:sz w:val="20"/>
              </w:rPr>
              <w:t xml:space="preserve"> of patients were alive at a maximum follow up of 6 years</w:t>
            </w:r>
            <w:r w:rsidR="006C07B3" w:rsidRPr="00542733">
              <w:rPr>
                <w:rFonts w:ascii="Arial Narrow" w:hAnsi="Arial Narrow"/>
                <w:i/>
                <w:sz w:val="20"/>
              </w:rPr>
              <w:t>.</w:t>
            </w:r>
          </w:p>
        </w:tc>
      </w:tr>
      <w:tr w:rsidR="00551F90" w:rsidRPr="00542733" w:rsidTr="001A53B7">
        <w:trPr>
          <w:trHeight w:val="20"/>
        </w:trPr>
        <w:tc>
          <w:tcPr>
            <w:tcW w:w="1104" w:type="pct"/>
            <w:shd w:val="clear" w:color="auto" w:fill="auto"/>
          </w:tcPr>
          <w:p w:rsidR="00551F90" w:rsidRPr="00542733" w:rsidRDefault="00551F90" w:rsidP="00E2249B">
            <w:pPr>
              <w:rPr>
                <w:rFonts w:ascii="Arial Narrow" w:hAnsi="Arial Narrow"/>
                <w:sz w:val="20"/>
              </w:rPr>
            </w:pPr>
            <w:r w:rsidRPr="00542733">
              <w:rPr>
                <w:rFonts w:ascii="Arial Narrow" w:hAnsi="Arial Narrow"/>
                <w:sz w:val="20"/>
              </w:rPr>
              <w:t>Outcomes</w:t>
            </w:r>
          </w:p>
        </w:tc>
        <w:tc>
          <w:tcPr>
            <w:tcW w:w="3896" w:type="pct"/>
            <w:shd w:val="clear" w:color="auto" w:fill="auto"/>
          </w:tcPr>
          <w:p w:rsidR="00551F90" w:rsidRPr="00542733" w:rsidRDefault="00551F90" w:rsidP="00E2249B">
            <w:pPr>
              <w:rPr>
                <w:rFonts w:ascii="Arial Narrow" w:hAnsi="Arial Narrow"/>
                <w:sz w:val="20"/>
              </w:rPr>
            </w:pPr>
            <w:r w:rsidRPr="00542733">
              <w:rPr>
                <w:rFonts w:ascii="Arial Narrow" w:hAnsi="Arial Narrow"/>
                <w:sz w:val="20"/>
              </w:rPr>
              <w:t>LYG and QALYs</w:t>
            </w:r>
          </w:p>
        </w:tc>
      </w:tr>
      <w:tr w:rsidR="00551F90" w:rsidRPr="00542733" w:rsidTr="001A53B7">
        <w:trPr>
          <w:trHeight w:val="20"/>
        </w:trPr>
        <w:tc>
          <w:tcPr>
            <w:tcW w:w="1104" w:type="pct"/>
            <w:shd w:val="clear" w:color="auto" w:fill="auto"/>
          </w:tcPr>
          <w:p w:rsidR="00551F90" w:rsidRPr="00542733" w:rsidRDefault="00551F90" w:rsidP="00E2249B">
            <w:pPr>
              <w:rPr>
                <w:rFonts w:ascii="Arial Narrow" w:hAnsi="Arial Narrow"/>
                <w:sz w:val="20"/>
              </w:rPr>
            </w:pPr>
            <w:r w:rsidRPr="00542733">
              <w:rPr>
                <w:rFonts w:ascii="Arial Narrow" w:hAnsi="Arial Narrow"/>
                <w:sz w:val="20"/>
              </w:rPr>
              <w:t>Methods used to generate results</w:t>
            </w:r>
          </w:p>
        </w:tc>
        <w:tc>
          <w:tcPr>
            <w:tcW w:w="3896" w:type="pct"/>
            <w:shd w:val="clear" w:color="auto" w:fill="auto"/>
          </w:tcPr>
          <w:p w:rsidR="00551F90" w:rsidRPr="00542733" w:rsidRDefault="00551F90" w:rsidP="00E2249B">
            <w:pPr>
              <w:rPr>
                <w:rFonts w:ascii="Arial Narrow" w:hAnsi="Arial Narrow"/>
                <w:sz w:val="20"/>
              </w:rPr>
            </w:pPr>
            <w:r w:rsidRPr="00542733">
              <w:rPr>
                <w:rFonts w:ascii="Arial Narrow" w:hAnsi="Arial Narrow"/>
                <w:sz w:val="20"/>
              </w:rPr>
              <w:t>Markov model (with half cycle correction applied to QALYs, but not costs)</w:t>
            </w:r>
          </w:p>
        </w:tc>
      </w:tr>
      <w:tr w:rsidR="00455D45" w:rsidRPr="00542733" w:rsidTr="001A53B7">
        <w:trPr>
          <w:trHeight w:val="20"/>
        </w:trPr>
        <w:tc>
          <w:tcPr>
            <w:tcW w:w="1104" w:type="pct"/>
            <w:shd w:val="clear" w:color="auto" w:fill="auto"/>
          </w:tcPr>
          <w:p w:rsidR="00455D45" w:rsidRPr="00542733" w:rsidRDefault="00455D45" w:rsidP="00E2249B">
            <w:pPr>
              <w:rPr>
                <w:rFonts w:ascii="Arial Narrow" w:hAnsi="Arial Narrow"/>
                <w:sz w:val="20"/>
              </w:rPr>
            </w:pPr>
            <w:r w:rsidRPr="00542733">
              <w:rPr>
                <w:rFonts w:ascii="Arial Narrow" w:hAnsi="Arial Narrow"/>
                <w:sz w:val="20"/>
              </w:rPr>
              <w:t>Health states</w:t>
            </w:r>
          </w:p>
        </w:tc>
        <w:tc>
          <w:tcPr>
            <w:tcW w:w="3896" w:type="pct"/>
            <w:shd w:val="clear" w:color="auto" w:fill="auto"/>
          </w:tcPr>
          <w:p w:rsidR="00455D45" w:rsidRPr="00542733" w:rsidRDefault="00551F90" w:rsidP="00E2249B">
            <w:pPr>
              <w:rPr>
                <w:rFonts w:ascii="Arial Narrow" w:hAnsi="Arial Narrow"/>
                <w:sz w:val="20"/>
              </w:rPr>
            </w:pPr>
            <w:r w:rsidRPr="00542733">
              <w:rPr>
                <w:rFonts w:ascii="Arial Narrow" w:hAnsi="Arial Narrow"/>
                <w:sz w:val="20"/>
              </w:rPr>
              <w:t>Seven health states, including: progression-free, progressive disease (active treatment), progressive disease (BSC), attempted resection of metastases, disease-free after resection, disease relapse after resection and dead.</w:t>
            </w:r>
          </w:p>
        </w:tc>
      </w:tr>
      <w:tr w:rsidR="00551F90" w:rsidRPr="00542733" w:rsidTr="001A53B7">
        <w:trPr>
          <w:trHeight w:val="20"/>
        </w:trPr>
        <w:tc>
          <w:tcPr>
            <w:tcW w:w="1104" w:type="pct"/>
            <w:shd w:val="clear" w:color="auto" w:fill="auto"/>
          </w:tcPr>
          <w:p w:rsidR="00551F90" w:rsidRPr="00542733" w:rsidRDefault="00551F90" w:rsidP="00E2249B">
            <w:pPr>
              <w:rPr>
                <w:rFonts w:ascii="Arial Narrow" w:hAnsi="Arial Narrow"/>
                <w:sz w:val="20"/>
              </w:rPr>
            </w:pPr>
            <w:r w:rsidRPr="00542733">
              <w:rPr>
                <w:rFonts w:ascii="Arial Narrow" w:hAnsi="Arial Narrow"/>
                <w:sz w:val="20"/>
              </w:rPr>
              <w:t>Cycle length</w:t>
            </w:r>
          </w:p>
        </w:tc>
        <w:tc>
          <w:tcPr>
            <w:tcW w:w="3896" w:type="pct"/>
            <w:shd w:val="clear" w:color="auto" w:fill="auto"/>
          </w:tcPr>
          <w:p w:rsidR="00551F90" w:rsidRPr="00542733" w:rsidRDefault="00551F90" w:rsidP="00E2249B">
            <w:pPr>
              <w:rPr>
                <w:rFonts w:ascii="Arial Narrow" w:hAnsi="Arial Narrow"/>
                <w:sz w:val="20"/>
              </w:rPr>
            </w:pPr>
            <w:r w:rsidRPr="00542733">
              <w:rPr>
                <w:rFonts w:ascii="Arial Narrow" w:hAnsi="Arial Narrow"/>
                <w:sz w:val="20"/>
              </w:rPr>
              <w:t>2 weeks</w:t>
            </w:r>
          </w:p>
        </w:tc>
      </w:tr>
      <w:tr w:rsidR="00551F90" w:rsidRPr="00542733" w:rsidTr="001A53B7">
        <w:trPr>
          <w:trHeight w:val="20"/>
        </w:trPr>
        <w:tc>
          <w:tcPr>
            <w:tcW w:w="1104" w:type="pct"/>
            <w:shd w:val="clear" w:color="auto" w:fill="auto"/>
          </w:tcPr>
          <w:p w:rsidR="00551F90" w:rsidRPr="00542733" w:rsidRDefault="00551F90" w:rsidP="00E2249B">
            <w:pPr>
              <w:rPr>
                <w:rFonts w:ascii="Arial Narrow" w:hAnsi="Arial Narrow"/>
                <w:sz w:val="20"/>
              </w:rPr>
            </w:pPr>
            <w:r w:rsidRPr="00542733">
              <w:rPr>
                <w:rFonts w:ascii="Arial Narrow" w:hAnsi="Arial Narrow"/>
                <w:sz w:val="20"/>
              </w:rPr>
              <w:t>Transition probabilities</w:t>
            </w:r>
          </w:p>
        </w:tc>
        <w:tc>
          <w:tcPr>
            <w:tcW w:w="3896" w:type="pct"/>
            <w:shd w:val="clear" w:color="auto" w:fill="auto"/>
          </w:tcPr>
          <w:p w:rsidR="00551F90" w:rsidRPr="00542733" w:rsidRDefault="00551F90" w:rsidP="00885036">
            <w:pPr>
              <w:rPr>
                <w:rFonts w:ascii="Arial Narrow" w:hAnsi="Arial Narrow"/>
                <w:sz w:val="20"/>
              </w:rPr>
            </w:pPr>
            <w:r w:rsidRPr="00542733">
              <w:rPr>
                <w:rFonts w:ascii="Arial Narrow" w:hAnsi="Arial Narrow"/>
                <w:sz w:val="20"/>
              </w:rPr>
              <w:t>PFS and OS from PRIME and disease-free survival and OS from Adam et al (2004)</w:t>
            </w:r>
          </w:p>
        </w:tc>
      </w:tr>
    </w:tbl>
    <w:p w:rsidR="00526EF6" w:rsidRPr="00542733" w:rsidRDefault="00526EF6" w:rsidP="001A53B7">
      <w:pPr>
        <w:pStyle w:val="TableFooter"/>
        <w:ind w:firstLine="720"/>
      </w:pPr>
      <w:r w:rsidRPr="00542733">
        <w:t>Note: The model structure depicted is applicable for each modelled comparison.</w:t>
      </w:r>
    </w:p>
    <w:p w:rsidR="00455D45" w:rsidRPr="00542733" w:rsidRDefault="00BD7352" w:rsidP="001A53B7">
      <w:pPr>
        <w:pStyle w:val="TableFooter"/>
        <w:ind w:left="720"/>
      </w:pPr>
      <w:r w:rsidRPr="00542733">
        <w:t xml:space="preserve">BSC= best supportive care; LYG= life years gained; </w:t>
      </w:r>
      <w:r w:rsidR="00B67D05" w:rsidRPr="00542733">
        <w:t xml:space="preserve">OS= overall survival; PFS= progression-free survival; QALY= quality-adjusted life years.  </w:t>
      </w:r>
      <w:r w:rsidR="00455D45" w:rsidRPr="00542733">
        <w:t xml:space="preserve">Source: </w:t>
      </w:r>
      <w:r w:rsidR="00FD31FF" w:rsidRPr="00542733">
        <w:t xml:space="preserve">Table D.3.1 of the commentary. </w:t>
      </w:r>
    </w:p>
    <w:p w:rsidR="00455D45" w:rsidRPr="00542733" w:rsidRDefault="00455D45" w:rsidP="00301017"/>
    <w:p w:rsidR="005131BD" w:rsidRPr="001A53B7" w:rsidRDefault="005131BD" w:rsidP="001A53B7">
      <w:pPr>
        <w:pStyle w:val="ListParagraph"/>
        <w:widowControl/>
        <w:numPr>
          <w:ilvl w:val="1"/>
          <w:numId w:val="18"/>
        </w:numPr>
        <w:rPr>
          <w:szCs w:val="22"/>
        </w:rPr>
      </w:pPr>
      <w:r w:rsidRPr="00542733">
        <w:t xml:space="preserve">The key drivers and their impact on the economic model are presented in </w:t>
      </w:r>
      <w:r w:rsidR="00415060" w:rsidRPr="00542733">
        <w:t>the table below</w:t>
      </w:r>
      <w:r w:rsidR="008D34F9" w:rsidRPr="00542733">
        <w:t>.</w:t>
      </w:r>
    </w:p>
    <w:p w:rsidR="005131BD" w:rsidRPr="00542733" w:rsidRDefault="005131BD" w:rsidP="005131BD"/>
    <w:p w:rsidR="005131BD" w:rsidRPr="00542733" w:rsidRDefault="005131BD" w:rsidP="001A53B7">
      <w:pPr>
        <w:ind w:firstLine="720"/>
        <w:rPr>
          <w:rStyle w:val="CommentReference"/>
        </w:rPr>
      </w:pPr>
      <w:r w:rsidRPr="00542733">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Key drivers of the model&#10;"/>
      </w:tblPr>
      <w:tblGrid>
        <w:gridCol w:w="1418"/>
        <w:gridCol w:w="4393"/>
        <w:gridCol w:w="2534"/>
      </w:tblGrid>
      <w:tr w:rsidR="005131BD" w:rsidRPr="00542733" w:rsidTr="001A53B7">
        <w:trPr>
          <w:trHeight w:val="222"/>
          <w:tblHeader/>
        </w:trPr>
        <w:tc>
          <w:tcPr>
            <w:tcW w:w="850" w:type="pct"/>
            <w:shd w:val="clear" w:color="auto" w:fill="auto"/>
          </w:tcPr>
          <w:p w:rsidR="005131BD" w:rsidRPr="00542733" w:rsidRDefault="005131BD" w:rsidP="001A397C">
            <w:pPr>
              <w:rPr>
                <w:rFonts w:ascii="Arial Narrow" w:hAnsi="Arial Narrow"/>
                <w:b/>
                <w:sz w:val="20"/>
              </w:rPr>
            </w:pPr>
            <w:r w:rsidRPr="00542733">
              <w:rPr>
                <w:rFonts w:ascii="Arial Narrow" w:hAnsi="Arial Narrow"/>
                <w:b/>
                <w:sz w:val="20"/>
              </w:rPr>
              <w:t>Description</w:t>
            </w:r>
          </w:p>
        </w:tc>
        <w:tc>
          <w:tcPr>
            <w:tcW w:w="2632" w:type="pct"/>
            <w:shd w:val="clear" w:color="auto" w:fill="auto"/>
          </w:tcPr>
          <w:p w:rsidR="005131BD" w:rsidRPr="00542733" w:rsidRDefault="00814BD2" w:rsidP="001A397C">
            <w:pPr>
              <w:jc w:val="center"/>
              <w:rPr>
                <w:rFonts w:ascii="Arial Narrow" w:hAnsi="Arial Narrow"/>
                <w:b/>
                <w:sz w:val="20"/>
              </w:rPr>
            </w:pPr>
            <w:r w:rsidRPr="00542733">
              <w:rPr>
                <w:rFonts w:ascii="Arial Narrow" w:hAnsi="Arial Narrow"/>
                <w:b/>
                <w:sz w:val="20"/>
              </w:rPr>
              <w:t>Method/v</w:t>
            </w:r>
            <w:r w:rsidR="005131BD" w:rsidRPr="00542733">
              <w:rPr>
                <w:rFonts w:ascii="Arial Narrow" w:hAnsi="Arial Narrow"/>
                <w:b/>
                <w:sz w:val="20"/>
              </w:rPr>
              <w:t>alue</w:t>
            </w:r>
          </w:p>
        </w:tc>
        <w:tc>
          <w:tcPr>
            <w:tcW w:w="1518" w:type="pct"/>
            <w:shd w:val="clear" w:color="auto" w:fill="auto"/>
          </w:tcPr>
          <w:p w:rsidR="005131BD" w:rsidRPr="00542733" w:rsidRDefault="005131BD" w:rsidP="003130DD">
            <w:pPr>
              <w:jc w:val="center"/>
              <w:rPr>
                <w:rFonts w:ascii="Arial Narrow" w:hAnsi="Arial Narrow"/>
                <w:b/>
                <w:sz w:val="20"/>
              </w:rPr>
            </w:pPr>
            <w:r w:rsidRPr="00542733">
              <w:rPr>
                <w:rFonts w:ascii="Arial Narrow" w:hAnsi="Arial Narrow"/>
                <w:b/>
                <w:sz w:val="20"/>
              </w:rPr>
              <w:t>Impact</w:t>
            </w:r>
          </w:p>
        </w:tc>
      </w:tr>
      <w:tr w:rsidR="005131BD" w:rsidRPr="00542733" w:rsidTr="001A53B7">
        <w:trPr>
          <w:trHeight w:val="237"/>
        </w:trPr>
        <w:tc>
          <w:tcPr>
            <w:tcW w:w="850" w:type="pct"/>
            <w:shd w:val="clear" w:color="auto" w:fill="auto"/>
          </w:tcPr>
          <w:p w:rsidR="005131BD" w:rsidRPr="00542733" w:rsidRDefault="00526EF6" w:rsidP="00885036">
            <w:pPr>
              <w:rPr>
                <w:rFonts w:ascii="Arial Narrow" w:hAnsi="Arial Narrow"/>
                <w:sz w:val="20"/>
              </w:rPr>
            </w:pPr>
            <w:r w:rsidRPr="00542733">
              <w:rPr>
                <w:rFonts w:ascii="Arial Narrow" w:hAnsi="Arial Narrow"/>
                <w:sz w:val="20"/>
              </w:rPr>
              <w:t xml:space="preserve">HR from </w:t>
            </w:r>
            <w:r w:rsidR="00885036" w:rsidRPr="00542733">
              <w:rPr>
                <w:rFonts w:ascii="Arial Narrow" w:hAnsi="Arial Narrow"/>
                <w:sz w:val="20"/>
              </w:rPr>
              <w:t xml:space="preserve">the </w:t>
            </w:r>
            <w:r w:rsidRPr="00542733">
              <w:rPr>
                <w:rFonts w:ascii="Arial Narrow" w:hAnsi="Arial Narrow"/>
                <w:sz w:val="20"/>
              </w:rPr>
              <w:t xml:space="preserve">PEAK trial used to estimate OS of </w:t>
            </w:r>
            <w:proofErr w:type="spellStart"/>
            <w:r w:rsidRPr="00542733">
              <w:rPr>
                <w:rFonts w:ascii="Arial Narrow" w:hAnsi="Arial Narrow"/>
                <w:sz w:val="20"/>
              </w:rPr>
              <w:t>bevacizumab</w:t>
            </w:r>
            <w:proofErr w:type="spellEnd"/>
            <w:r w:rsidR="003130DD" w:rsidRPr="00542733">
              <w:rPr>
                <w:rFonts w:ascii="Arial Narrow" w:hAnsi="Arial Narrow"/>
                <w:sz w:val="20"/>
              </w:rPr>
              <w:t xml:space="preserve"> + FOLFOX </w:t>
            </w:r>
            <w:r w:rsidR="00885036" w:rsidRPr="00542733">
              <w:rPr>
                <w:rFonts w:ascii="Arial Narrow" w:hAnsi="Arial Narrow"/>
                <w:sz w:val="20"/>
              </w:rPr>
              <w:t xml:space="preserve">from </w:t>
            </w:r>
            <w:r w:rsidR="003130DD" w:rsidRPr="00542733">
              <w:rPr>
                <w:rFonts w:ascii="Arial Narrow" w:hAnsi="Arial Narrow"/>
                <w:sz w:val="20"/>
              </w:rPr>
              <w:t xml:space="preserve">the PRIME </w:t>
            </w:r>
            <w:r w:rsidR="00885036" w:rsidRPr="00542733">
              <w:rPr>
                <w:rFonts w:ascii="Arial Narrow" w:hAnsi="Arial Narrow"/>
                <w:sz w:val="20"/>
              </w:rPr>
              <w:t xml:space="preserve">trial </w:t>
            </w:r>
            <w:r w:rsidR="003130DD" w:rsidRPr="00542733">
              <w:rPr>
                <w:rFonts w:ascii="Arial Narrow" w:hAnsi="Arial Narrow"/>
                <w:sz w:val="20"/>
              </w:rPr>
              <w:t xml:space="preserve">estimate of OS for </w:t>
            </w:r>
            <w:proofErr w:type="spellStart"/>
            <w:r w:rsidR="003130DD" w:rsidRPr="00542733">
              <w:rPr>
                <w:rFonts w:ascii="Arial Narrow" w:hAnsi="Arial Narrow"/>
                <w:sz w:val="20"/>
              </w:rPr>
              <w:t>panitumumab</w:t>
            </w:r>
            <w:proofErr w:type="spellEnd"/>
            <w:r w:rsidR="003130DD" w:rsidRPr="00542733">
              <w:rPr>
                <w:rFonts w:ascii="Arial Narrow" w:hAnsi="Arial Narrow"/>
                <w:sz w:val="20"/>
              </w:rPr>
              <w:t xml:space="preserve"> + FOLFOX</w:t>
            </w:r>
          </w:p>
        </w:tc>
        <w:tc>
          <w:tcPr>
            <w:tcW w:w="2632" w:type="pct"/>
            <w:shd w:val="clear" w:color="auto" w:fill="auto"/>
          </w:tcPr>
          <w:p w:rsidR="005131BD" w:rsidRPr="00542733" w:rsidRDefault="00526EF6" w:rsidP="003130DD">
            <w:pPr>
              <w:rPr>
                <w:rFonts w:ascii="Arial Narrow" w:hAnsi="Arial Narrow"/>
                <w:sz w:val="20"/>
              </w:rPr>
            </w:pPr>
            <w:r w:rsidRPr="00542733">
              <w:rPr>
                <w:rFonts w:ascii="Arial Narrow" w:hAnsi="Arial Narrow"/>
                <w:sz w:val="20"/>
              </w:rPr>
              <w:t>HR=</w:t>
            </w:r>
            <w:r w:rsidR="005131BD" w:rsidRPr="00542733">
              <w:rPr>
                <w:rFonts w:ascii="Arial Narrow" w:hAnsi="Arial Narrow"/>
                <w:sz w:val="20"/>
              </w:rPr>
              <w:t>0.663</w:t>
            </w:r>
            <w:r w:rsidRPr="00542733">
              <w:rPr>
                <w:rFonts w:ascii="Arial Narrow" w:hAnsi="Arial Narrow"/>
                <w:sz w:val="20"/>
              </w:rPr>
              <w:t xml:space="preserve">.  </w:t>
            </w:r>
            <w:r w:rsidR="00481334" w:rsidRPr="00542733">
              <w:rPr>
                <w:rFonts w:ascii="Arial Narrow" w:hAnsi="Arial Narrow"/>
                <w:sz w:val="20"/>
              </w:rPr>
              <w:t xml:space="preserve">The PEAK and PRIME trials are not exchangeable </w:t>
            </w:r>
            <w:r w:rsidR="003130DD" w:rsidRPr="00542733">
              <w:rPr>
                <w:rFonts w:ascii="Arial Narrow" w:hAnsi="Arial Narrow"/>
                <w:sz w:val="20"/>
              </w:rPr>
              <w:t>because</w:t>
            </w:r>
            <w:r w:rsidR="00481334" w:rsidRPr="00542733">
              <w:rPr>
                <w:rFonts w:ascii="Arial Narrow" w:hAnsi="Arial Narrow"/>
                <w:sz w:val="20"/>
              </w:rPr>
              <w:t xml:space="preserve"> the eligibility criteria differ according to the perceived risks of </w:t>
            </w:r>
            <w:r w:rsidR="00EC5D31" w:rsidRPr="00542733">
              <w:rPr>
                <w:rFonts w:ascii="Arial Narrow" w:hAnsi="Arial Narrow"/>
                <w:sz w:val="20"/>
              </w:rPr>
              <w:t>enrolled patients</w:t>
            </w:r>
            <w:r w:rsidR="003130DD" w:rsidRPr="00542733">
              <w:rPr>
                <w:rFonts w:ascii="Arial Narrow" w:hAnsi="Arial Narrow"/>
                <w:sz w:val="20"/>
              </w:rPr>
              <w:t xml:space="preserve"> and the post-progression use of </w:t>
            </w:r>
            <w:proofErr w:type="spellStart"/>
            <w:r w:rsidR="003130DD" w:rsidRPr="00542733">
              <w:rPr>
                <w:rFonts w:ascii="Arial Narrow" w:hAnsi="Arial Narrow"/>
                <w:sz w:val="20"/>
              </w:rPr>
              <w:t>bevacizumab</w:t>
            </w:r>
            <w:proofErr w:type="spellEnd"/>
            <w:r w:rsidR="003130DD" w:rsidRPr="00542733">
              <w:rPr>
                <w:rFonts w:ascii="Arial Narrow" w:hAnsi="Arial Narrow"/>
                <w:sz w:val="20"/>
              </w:rPr>
              <w:t xml:space="preserve"> in the </w:t>
            </w:r>
            <w:proofErr w:type="spellStart"/>
            <w:r w:rsidR="003130DD" w:rsidRPr="00542733">
              <w:rPr>
                <w:rFonts w:ascii="Arial Narrow" w:hAnsi="Arial Narrow"/>
                <w:sz w:val="20"/>
              </w:rPr>
              <w:t>panitumumab</w:t>
            </w:r>
            <w:proofErr w:type="spellEnd"/>
            <w:r w:rsidR="003130DD" w:rsidRPr="00542733">
              <w:rPr>
                <w:rFonts w:ascii="Arial Narrow" w:hAnsi="Arial Narrow"/>
                <w:sz w:val="20"/>
              </w:rPr>
              <w:t xml:space="preserve"> + FOLFOX arm of </w:t>
            </w:r>
            <w:r w:rsidR="00885036" w:rsidRPr="00542733">
              <w:rPr>
                <w:rFonts w:ascii="Arial Narrow" w:hAnsi="Arial Narrow"/>
                <w:sz w:val="20"/>
              </w:rPr>
              <w:t xml:space="preserve">the </w:t>
            </w:r>
            <w:r w:rsidR="003130DD" w:rsidRPr="00542733">
              <w:rPr>
                <w:rFonts w:ascii="Arial Narrow" w:hAnsi="Arial Narrow"/>
                <w:sz w:val="20"/>
              </w:rPr>
              <w:t>PEAK</w:t>
            </w:r>
            <w:r w:rsidR="00885036" w:rsidRPr="00542733">
              <w:rPr>
                <w:rFonts w:ascii="Arial Narrow" w:hAnsi="Arial Narrow"/>
                <w:sz w:val="20"/>
              </w:rPr>
              <w:t xml:space="preserve"> trial</w:t>
            </w:r>
            <w:r w:rsidR="00EC5D31" w:rsidRPr="00542733">
              <w:rPr>
                <w:rFonts w:ascii="Arial Narrow" w:hAnsi="Arial Narrow"/>
                <w:sz w:val="20"/>
              </w:rPr>
              <w:t xml:space="preserve">.  </w:t>
            </w:r>
            <w:r w:rsidR="00D75059" w:rsidRPr="00542733">
              <w:rPr>
                <w:rFonts w:ascii="Arial Narrow" w:hAnsi="Arial Narrow"/>
                <w:sz w:val="20"/>
              </w:rPr>
              <w:t xml:space="preserve">It </w:t>
            </w:r>
            <w:r w:rsidR="003130DD" w:rsidRPr="00542733">
              <w:rPr>
                <w:rFonts w:ascii="Arial Narrow" w:hAnsi="Arial Narrow"/>
                <w:sz w:val="20"/>
              </w:rPr>
              <w:t>may</w:t>
            </w:r>
            <w:r w:rsidR="00D75059" w:rsidRPr="00542733">
              <w:rPr>
                <w:rFonts w:ascii="Arial Narrow" w:hAnsi="Arial Narrow"/>
                <w:sz w:val="20"/>
              </w:rPr>
              <w:t xml:space="preserve"> be more appropriate to </w:t>
            </w:r>
            <w:r w:rsidR="00EC5D31" w:rsidRPr="00542733">
              <w:rPr>
                <w:rFonts w:ascii="Arial Narrow" w:hAnsi="Arial Narrow"/>
                <w:sz w:val="20"/>
              </w:rPr>
              <w:t xml:space="preserve">use </w:t>
            </w:r>
            <w:r w:rsidR="00D75059" w:rsidRPr="00542733">
              <w:rPr>
                <w:rFonts w:ascii="Arial Narrow" w:hAnsi="Arial Narrow"/>
                <w:sz w:val="20"/>
              </w:rPr>
              <w:t xml:space="preserve">survival data </w:t>
            </w:r>
            <w:r w:rsidR="00EC5D31" w:rsidRPr="00542733">
              <w:rPr>
                <w:rFonts w:ascii="Arial Narrow" w:hAnsi="Arial Narrow"/>
                <w:sz w:val="20"/>
              </w:rPr>
              <w:t xml:space="preserve">from the direct </w:t>
            </w:r>
            <w:r w:rsidR="00D75059" w:rsidRPr="00542733">
              <w:rPr>
                <w:rFonts w:ascii="Arial Narrow" w:hAnsi="Arial Narrow"/>
                <w:sz w:val="20"/>
              </w:rPr>
              <w:t xml:space="preserve">PEAK </w:t>
            </w:r>
            <w:r w:rsidR="00EC5D31" w:rsidRPr="00542733">
              <w:rPr>
                <w:rFonts w:ascii="Arial Narrow" w:hAnsi="Arial Narrow"/>
                <w:sz w:val="20"/>
              </w:rPr>
              <w:t xml:space="preserve">trial </w:t>
            </w:r>
            <w:r w:rsidR="00D75059" w:rsidRPr="00542733">
              <w:rPr>
                <w:rFonts w:ascii="Arial Narrow" w:hAnsi="Arial Narrow"/>
                <w:sz w:val="20"/>
              </w:rPr>
              <w:t xml:space="preserve">to inform the comparison of </w:t>
            </w:r>
            <w:proofErr w:type="spellStart"/>
            <w:r w:rsidR="00D75059" w:rsidRPr="00542733">
              <w:rPr>
                <w:rFonts w:ascii="Arial Narrow" w:hAnsi="Arial Narrow"/>
                <w:sz w:val="20"/>
              </w:rPr>
              <w:t>panitumumab</w:t>
            </w:r>
            <w:proofErr w:type="spellEnd"/>
            <w:r w:rsidR="00D75059" w:rsidRPr="00542733">
              <w:rPr>
                <w:rFonts w:ascii="Arial Narrow" w:hAnsi="Arial Narrow"/>
                <w:sz w:val="20"/>
              </w:rPr>
              <w:t xml:space="preserve"> + FOLFOX </w:t>
            </w:r>
            <w:r w:rsidR="00EC5D31" w:rsidRPr="00542733">
              <w:rPr>
                <w:rFonts w:ascii="Arial Narrow" w:hAnsi="Arial Narrow"/>
                <w:sz w:val="20"/>
              </w:rPr>
              <w:t xml:space="preserve">vs </w:t>
            </w:r>
            <w:proofErr w:type="spellStart"/>
            <w:r w:rsidR="00D75059" w:rsidRPr="00542733">
              <w:rPr>
                <w:rFonts w:ascii="Arial Narrow" w:hAnsi="Arial Narrow"/>
                <w:sz w:val="20"/>
              </w:rPr>
              <w:t>bevacizumab</w:t>
            </w:r>
            <w:proofErr w:type="spellEnd"/>
            <w:r w:rsidR="00D75059" w:rsidRPr="00542733">
              <w:rPr>
                <w:rFonts w:ascii="Arial Narrow" w:hAnsi="Arial Narrow"/>
                <w:sz w:val="20"/>
              </w:rPr>
              <w:t xml:space="preserve"> + FOLFOX.</w:t>
            </w:r>
          </w:p>
        </w:tc>
        <w:tc>
          <w:tcPr>
            <w:tcW w:w="1518" w:type="pct"/>
            <w:shd w:val="clear" w:color="auto" w:fill="auto"/>
          </w:tcPr>
          <w:p w:rsidR="005131BD" w:rsidRPr="00542733" w:rsidRDefault="005131BD" w:rsidP="001A397C">
            <w:pPr>
              <w:rPr>
                <w:rFonts w:ascii="Arial Narrow" w:hAnsi="Arial Narrow"/>
                <w:sz w:val="20"/>
              </w:rPr>
            </w:pPr>
            <w:r w:rsidRPr="00542733">
              <w:rPr>
                <w:rFonts w:ascii="Arial Narrow" w:hAnsi="Arial Narrow"/>
                <w:sz w:val="20"/>
              </w:rPr>
              <w:t xml:space="preserve">In model that compares </w:t>
            </w:r>
            <w:proofErr w:type="spellStart"/>
            <w:r w:rsidRPr="00542733">
              <w:rPr>
                <w:rFonts w:ascii="Arial Narrow" w:hAnsi="Arial Narrow"/>
                <w:sz w:val="20"/>
              </w:rPr>
              <w:t>panitumumab</w:t>
            </w:r>
            <w:proofErr w:type="spellEnd"/>
            <w:r w:rsidRPr="00542733">
              <w:rPr>
                <w:rFonts w:ascii="Arial Narrow" w:hAnsi="Arial Narrow"/>
                <w:sz w:val="20"/>
              </w:rPr>
              <w:t xml:space="preserve"> + FOLFOX to </w:t>
            </w:r>
            <w:proofErr w:type="spellStart"/>
            <w:r w:rsidRPr="00542733">
              <w:rPr>
                <w:rFonts w:ascii="Arial Narrow" w:hAnsi="Arial Narrow"/>
                <w:sz w:val="20"/>
              </w:rPr>
              <w:t>bevacizumab</w:t>
            </w:r>
            <w:proofErr w:type="spellEnd"/>
            <w:r w:rsidRPr="00542733">
              <w:rPr>
                <w:rFonts w:ascii="Arial Narrow" w:hAnsi="Arial Narrow"/>
                <w:sz w:val="20"/>
              </w:rPr>
              <w:t xml:space="preserve"> + FOLFOX:</w:t>
            </w:r>
          </w:p>
          <w:p w:rsidR="00D706A8" w:rsidRPr="00542733" w:rsidRDefault="00D706A8" w:rsidP="00B614F8">
            <w:pPr>
              <w:pStyle w:val="ListParagraph"/>
              <w:numPr>
                <w:ilvl w:val="0"/>
                <w:numId w:val="17"/>
              </w:numPr>
              <w:ind w:left="183" w:hanging="142"/>
              <w:rPr>
                <w:rFonts w:ascii="Arial Narrow" w:hAnsi="Arial Narrow"/>
                <w:sz w:val="20"/>
              </w:rPr>
            </w:pPr>
            <w:r w:rsidRPr="00542733">
              <w:rPr>
                <w:rFonts w:ascii="Arial Narrow" w:hAnsi="Arial Narrow"/>
                <w:sz w:val="20"/>
              </w:rPr>
              <w:t>u</w:t>
            </w:r>
            <w:r w:rsidR="005131BD" w:rsidRPr="00542733">
              <w:rPr>
                <w:rFonts w:ascii="Arial Narrow" w:hAnsi="Arial Narrow"/>
                <w:sz w:val="20"/>
              </w:rPr>
              <w:t>sing upper 95% C</w:t>
            </w:r>
            <w:r w:rsidR="003130DD" w:rsidRPr="00542733">
              <w:rPr>
                <w:rFonts w:ascii="Arial Narrow" w:hAnsi="Arial Narrow"/>
                <w:sz w:val="20"/>
              </w:rPr>
              <w:t>L</w:t>
            </w:r>
            <w:r w:rsidR="005131BD" w:rsidRPr="00542733">
              <w:rPr>
                <w:rFonts w:ascii="Arial Narrow" w:hAnsi="Arial Narrow"/>
                <w:sz w:val="20"/>
              </w:rPr>
              <w:t xml:space="preserve">: high, favours </w:t>
            </w:r>
            <w:proofErr w:type="spellStart"/>
            <w:r w:rsidR="005131BD" w:rsidRPr="00542733">
              <w:rPr>
                <w:rFonts w:ascii="Arial Narrow" w:hAnsi="Arial Narrow"/>
                <w:sz w:val="20"/>
              </w:rPr>
              <w:t>panitumumab</w:t>
            </w:r>
            <w:proofErr w:type="spellEnd"/>
          </w:p>
          <w:p w:rsidR="00D75059" w:rsidRPr="00542733" w:rsidRDefault="00D706A8" w:rsidP="00B614F8">
            <w:pPr>
              <w:pStyle w:val="ListParagraph"/>
              <w:numPr>
                <w:ilvl w:val="0"/>
                <w:numId w:val="17"/>
              </w:numPr>
              <w:ind w:left="183" w:hanging="142"/>
              <w:rPr>
                <w:rFonts w:ascii="Arial Narrow" w:hAnsi="Arial Narrow"/>
                <w:sz w:val="20"/>
              </w:rPr>
            </w:pPr>
            <w:r w:rsidRPr="00542733">
              <w:rPr>
                <w:rFonts w:ascii="Arial Narrow" w:hAnsi="Arial Narrow"/>
                <w:sz w:val="20"/>
              </w:rPr>
              <w:t>n</w:t>
            </w:r>
            <w:r w:rsidR="00D75059" w:rsidRPr="00542733">
              <w:rPr>
                <w:rFonts w:ascii="Arial Narrow" w:hAnsi="Arial Narrow"/>
                <w:sz w:val="20"/>
              </w:rPr>
              <w:t xml:space="preserve">o impact in model that compares </w:t>
            </w:r>
            <w:proofErr w:type="spellStart"/>
            <w:r w:rsidR="00D75059" w:rsidRPr="00542733">
              <w:rPr>
                <w:rFonts w:ascii="Arial Narrow" w:hAnsi="Arial Narrow"/>
                <w:sz w:val="20"/>
              </w:rPr>
              <w:t>panitumumab</w:t>
            </w:r>
            <w:proofErr w:type="spellEnd"/>
            <w:r w:rsidR="00D75059" w:rsidRPr="00542733">
              <w:rPr>
                <w:rFonts w:ascii="Arial Narrow" w:hAnsi="Arial Narrow"/>
                <w:sz w:val="20"/>
              </w:rPr>
              <w:t xml:space="preserve"> + FOLFOX to FOLFOX alone </w:t>
            </w:r>
          </w:p>
        </w:tc>
      </w:tr>
      <w:tr w:rsidR="005131BD" w:rsidRPr="00542733" w:rsidTr="001A53B7">
        <w:trPr>
          <w:trHeight w:val="222"/>
        </w:trPr>
        <w:tc>
          <w:tcPr>
            <w:tcW w:w="850" w:type="pct"/>
            <w:shd w:val="clear" w:color="auto" w:fill="auto"/>
          </w:tcPr>
          <w:p w:rsidR="005131BD" w:rsidRPr="00542733" w:rsidRDefault="005131BD" w:rsidP="001A397C">
            <w:pPr>
              <w:rPr>
                <w:rFonts w:ascii="Arial Narrow" w:hAnsi="Arial Narrow"/>
                <w:sz w:val="20"/>
              </w:rPr>
            </w:pPr>
            <w:proofErr w:type="spellStart"/>
            <w:r w:rsidRPr="00542733">
              <w:rPr>
                <w:rFonts w:ascii="Arial Narrow" w:hAnsi="Arial Narrow"/>
                <w:sz w:val="20"/>
              </w:rPr>
              <w:t>Weibull</w:t>
            </w:r>
            <w:proofErr w:type="spellEnd"/>
            <w:r w:rsidRPr="00542733">
              <w:rPr>
                <w:rFonts w:ascii="Arial Narrow" w:hAnsi="Arial Narrow"/>
                <w:sz w:val="20"/>
              </w:rPr>
              <w:t xml:space="preserve"> fitted treatment effect </w:t>
            </w:r>
            <w:r w:rsidRPr="00542733">
              <w:rPr>
                <w:rFonts w:ascii="Arial Narrow" w:hAnsi="Arial Narrow"/>
                <w:sz w:val="20"/>
              </w:rPr>
              <w:lastRenderedPageBreak/>
              <w:t xml:space="preserve">parameter </w:t>
            </w:r>
            <w:r w:rsidR="00526EF6" w:rsidRPr="00542733">
              <w:rPr>
                <w:rFonts w:ascii="Arial Narrow" w:hAnsi="Arial Narrow"/>
                <w:sz w:val="20"/>
              </w:rPr>
              <w:t xml:space="preserve">(β) </w:t>
            </w:r>
            <w:r w:rsidRPr="00542733">
              <w:rPr>
                <w:rFonts w:ascii="Arial Narrow" w:hAnsi="Arial Narrow"/>
                <w:sz w:val="20"/>
              </w:rPr>
              <w:t>for OS</w:t>
            </w:r>
          </w:p>
        </w:tc>
        <w:tc>
          <w:tcPr>
            <w:tcW w:w="2632" w:type="pct"/>
            <w:shd w:val="clear" w:color="auto" w:fill="auto"/>
          </w:tcPr>
          <w:p w:rsidR="005131BD" w:rsidRPr="00542733" w:rsidRDefault="00526EF6" w:rsidP="001A397C">
            <w:pPr>
              <w:rPr>
                <w:rFonts w:ascii="Arial Narrow" w:hAnsi="Arial Narrow"/>
                <w:sz w:val="20"/>
              </w:rPr>
            </w:pPr>
            <w:r w:rsidRPr="00542733">
              <w:rPr>
                <w:rFonts w:ascii="Arial Narrow" w:hAnsi="Arial Narrow"/>
                <w:sz w:val="20"/>
              </w:rPr>
              <w:lastRenderedPageBreak/>
              <w:t>β=</w:t>
            </w:r>
            <w:r w:rsidR="005131BD" w:rsidRPr="00542733">
              <w:rPr>
                <w:rFonts w:ascii="Arial Narrow" w:hAnsi="Arial Narrow"/>
                <w:sz w:val="20"/>
              </w:rPr>
              <w:t xml:space="preserve">0.2026, based on fitted </w:t>
            </w:r>
            <w:proofErr w:type="spellStart"/>
            <w:r w:rsidR="005131BD" w:rsidRPr="00542733">
              <w:rPr>
                <w:rFonts w:ascii="Arial Narrow" w:hAnsi="Arial Narrow"/>
                <w:sz w:val="20"/>
              </w:rPr>
              <w:t>Weibull</w:t>
            </w:r>
            <w:proofErr w:type="spellEnd"/>
            <w:r w:rsidR="005131BD" w:rsidRPr="00542733">
              <w:rPr>
                <w:rFonts w:ascii="Arial Narrow" w:hAnsi="Arial Narrow"/>
                <w:sz w:val="20"/>
              </w:rPr>
              <w:t xml:space="preserve"> curve (using the FOLFOX OS survival cur</w:t>
            </w:r>
            <w:r w:rsidR="003130DD" w:rsidRPr="00542733">
              <w:rPr>
                <w:rFonts w:ascii="Arial Narrow" w:hAnsi="Arial Narrow"/>
                <w:sz w:val="20"/>
              </w:rPr>
              <w:t>ve as the reference i.e. = 0).</w:t>
            </w:r>
          </w:p>
        </w:tc>
        <w:tc>
          <w:tcPr>
            <w:tcW w:w="1518" w:type="pct"/>
            <w:shd w:val="clear" w:color="auto" w:fill="auto"/>
          </w:tcPr>
          <w:p w:rsidR="00D75059" w:rsidRPr="00542733" w:rsidRDefault="00D75059" w:rsidP="00D75059">
            <w:pPr>
              <w:rPr>
                <w:rFonts w:ascii="Arial Narrow" w:hAnsi="Arial Narrow"/>
                <w:sz w:val="20"/>
              </w:rPr>
            </w:pPr>
            <w:r w:rsidRPr="00542733">
              <w:rPr>
                <w:rFonts w:ascii="Arial Narrow" w:hAnsi="Arial Narrow"/>
                <w:sz w:val="20"/>
              </w:rPr>
              <w:t xml:space="preserve">In model that compares </w:t>
            </w:r>
            <w:proofErr w:type="spellStart"/>
            <w:r w:rsidRPr="00542733">
              <w:rPr>
                <w:rFonts w:ascii="Arial Narrow" w:hAnsi="Arial Narrow"/>
                <w:sz w:val="20"/>
              </w:rPr>
              <w:t>panitumumab</w:t>
            </w:r>
            <w:proofErr w:type="spellEnd"/>
            <w:r w:rsidRPr="00542733">
              <w:rPr>
                <w:rFonts w:ascii="Arial Narrow" w:hAnsi="Arial Narrow"/>
                <w:sz w:val="20"/>
              </w:rPr>
              <w:t xml:space="preserve"> + FOLFOX to </w:t>
            </w:r>
            <w:r w:rsidRPr="00542733">
              <w:rPr>
                <w:rFonts w:ascii="Arial Narrow" w:hAnsi="Arial Narrow"/>
                <w:sz w:val="20"/>
              </w:rPr>
              <w:lastRenderedPageBreak/>
              <w:t>FOLFOX alone:</w:t>
            </w:r>
          </w:p>
          <w:p w:rsidR="00D706A8" w:rsidRPr="00542733" w:rsidRDefault="00D706A8" w:rsidP="00B614F8">
            <w:pPr>
              <w:pStyle w:val="ListParagraph"/>
              <w:numPr>
                <w:ilvl w:val="0"/>
                <w:numId w:val="17"/>
              </w:numPr>
              <w:ind w:left="183" w:hanging="142"/>
              <w:rPr>
                <w:rFonts w:ascii="Arial Narrow" w:hAnsi="Arial Narrow"/>
                <w:sz w:val="20"/>
              </w:rPr>
            </w:pPr>
            <w:r w:rsidRPr="00542733">
              <w:rPr>
                <w:rFonts w:ascii="Arial Narrow" w:hAnsi="Arial Narrow"/>
                <w:sz w:val="20"/>
              </w:rPr>
              <w:t>u</w:t>
            </w:r>
            <w:r w:rsidR="005131BD" w:rsidRPr="00542733">
              <w:rPr>
                <w:rFonts w:ascii="Arial Narrow" w:hAnsi="Arial Narrow"/>
                <w:sz w:val="20"/>
              </w:rPr>
              <w:t>sing lower 95% C</w:t>
            </w:r>
            <w:r w:rsidR="003130DD" w:rsidRPr="00542733">
              <w:rPr>
                <w:rFonts w:ascii="Arial Narrow" w:hAnsi="Arial Narrow"/>
                <w:sz w:val="20"/>
              </w:rPr>
              <w:t>L</w:t>
            </w:r>
            <w:r w:rsidR="005131BD" w:rsidRPr="00542733">
              <w:rPr>
                <w:rFonts w:ascii="Arial Narrow" w:hAnsi="Arial Narrow"/>
                <w:sz w:val="20"/>
              </w:rPr>
              <w:t xml:space="preserve">: high, favours </w:t>
            </w:r>
            <w:proofErr w:type="spellStart"/>
            <w:r w:rsidR="005131BD" w:rsidRPr="00542733">
              <w:rPr>
                <w:rFonts w:ascii="Arial Narrow" w:hAnsi="Arial Narrow"/>
                <w:sz w:val="20"/>
              </w:rPr>
              <w:t>panitumumab</w:t>
            </w:r>
            <w:proofErr w:type="spellEnd"/>
          </w:p>
          <w:p w:rsidR="00D75059" w:rsidRPr="00542733" w:rsidRDefault="00D706A8" w:rsidP="00B614F8">
            <w:pPr>
              <w:pStyle w:val="ListParagraph"/>
              <w:numPr>
                <w:ilvl w:val="0"/>
                <w:numId w:val="17"/>
              </w:numPr>
              <w:ind w:left="183" w:hanging="142"/>
              <w:rPr>
                <w:rFonts w:ascii="Arial Narrow" w:hAnsi="Arial Narrow"/>
                <w:sz w:val="20"/>
              </w:rPr>
            </w:pPr>
            <w:r w:rsidRPr="00542733">
              <w:rPr>
                <w:rFonts w:ascii="Arial Narrow" w:hAnsi="Arial Narrow"/>
                <w:sz w:val="20"/>
              </w:rPr>
              <w:t>u</w:t>
            </w:r>
            <w:r w:rsidR="005131BD" w:rsidRPr="00542733">
              <w:rPr>
                <w:rFonts w:ascii="Arial Narrow" w:hAnsi="Arial Narrow"/>
                <w:sz w:val="20"/>
              </w:rPr>
              <w:t>sing upper 95% C</w:t>
            </w:r>
            <w:r w:rsidR="003130DD" w:rsidRPr="00542733">
              <w:rPr>
                <w:rFonts w:ascii="Arial Narrow" w:hAnsi="Arial Narrow"/>
                <w:sz w:val="20"/>
              </w:rPr>
              <w:t>L</w:t>
            </w:r>
            <w:r w:rsidR="005131BD" w:rsidRPr="00542733">
              <w:rPr>
                <w:rFonts w:ascii="Arial Narrow" w:hAnsi="Arial Narrow"/>
                <w:sz w:val="20"/>
              </w:rPr>
              <w:t>: moderate, favours comparator</w:t>
            </w:r>
          </w:p>
        </w:tc>
      </w:tr>
      <w:tr w:rsidR="005131BD" w:rsidRPr="00542733" w:rsidTr="001A53B7">
        <w:trPr>
          <w:trHeight w:val="222"/>
        </w:trPr>
        <w:tc>
          <w:tcPr>
            <w:tcW w:w="850" w:type="pct"/>
            <w:shd w:val="clear" w:color="auto" w:fill="auto"/>
          </w:tcPr>
          <w:p w:rsidR="005131BD" w:rsidRPr="00542733" w:rsidRDefault="005131BD" w:rsidP="00BF5766">
            <w:pPr>
              <w:rPr>
                <w:rFonts w:ascii="Arial Narrow" w:hAnsi="Arial Narrow"/>
                <w:sz w:val="20"/>
              </w:rPr>
            </w:pPr>
            <w:r w:rsidRPr="00542733">
              <w:rPr>
                <w:rFonts w:ascii="Arial Narrow" w:hAnsi="Arial Narrow"/>
                <w:sz w:val="20"/>
              </w:rPr>
              <w:lastRenderedPageBreak/>
              <w:t xml:space="preserve">Later-line </w:t>
            </w:r>
            <w:r w:rsidR="00BF5766" w:rsidRPr="00542733">
              <w:rPr>
                <w:rFonts w:ascii="Arial Narrow" w:hAnsi="Arial Narrow"/>
                <w:sz w:val="20"/>
              </w:rPr>
              <w:t>anti-</w:t>
            </w:r>
            <w:r w:rsidRPr="00542733">
              <w:rPr>
                <w:rFonts w:ascii="Arial Narrow" w:hAnsi="Arial Narrow"/>
                <w:sz w:val="20"/>
              </w:rPr>
              <w:t xml:space="preserve">EGFR </w:t>
            </w:r>
            <w:r w:rsidR="00BF5766" w:rsidRPr="00542733">
              <w:rPr>
                <w:rFonts w:ascii="Arial Narrow" w:hAnsi="Arial Narrow"/>
                <w:sz w:val="20"/>
              </w:rPr>
              <w:t>antibody</w:t>
            </w:r>
            <w:r w:rsidRPr="00542733">
              <w:rPr>
                <w:rFonts w:ascii="Arial Narrow" w:hAnsi="Arial Narrow"/>
                <w:sz w:val="20"/>
              </w:rPr>
              <w:t xml:space="preserve"> treatment</w:t>
            </w:r>
          </w:p>
        </w:tc>
        <w:tc>
          <w:tcPr>
            <w:tcW w:w="2632" w:type="pct"/>
            <w:shd w:val="clear" w:color="auto" w:fill="auto"/>
          </w:tcPr>
          <w:p w:rsidR="005131BD" w:rsidRPr="00542733" w:rsidRDefault="001D5655" w:rsidP="00BF5766">
            <w:pPr>
              <w:rPr>
                <w:rFonts w:ascii="Arial Narrow" w:hAnsi="Arial Narrow"/>
                <w:sz w:val="20"/>
              </w:rPr>
            </w:pPr>
            <w:r w:rsidRPr="001D5655">
              <w:rPr>
                <w:rFonts w:ascii="Arial Narrow" w:hAnsi="Arial Narrow"/>
                <w:sz w:val="20"/>
              </w:rPr>
              <w:t xml:space="preserve">All </w:t>
            </w:r>
            <w:r w:rsidRPr="001D5655">
              <w:rPr>
                <w:rFonts w:ascii="Arial Narrow" w:hAnsi="Arial Narrow"/>
                <w:i/>
                <w:sz w:val="20"/>
              </w:rPr>
              <w:t>RAS</w:t>
            </w:r>
            <w:r w:rsidRPr="001D5655">
              <w:rPr>
                <w:rFonts w:ascii="Arial Narrow" w:hAnsi="Arial Narrow"/>
                <w:sz w:val="20"/>
              </w:rPr>
              <w:t xml:space="preserve"> WT patients in the comparator arm are assumed to incur the costs of an anti-EGFR antibody after disease progression.</w:t>
            </w:r>
            <w:r w:rsidRPr="00542733">
              <w:rPr>
                <w:rFonts w:ascii="Arial Narrow" w:hAnsi="Arial Narrow"/>
                <w:sz w:val="20"/>
              </w:rPr>
              <w:t xml:space="preserve">  </w:t>
            </w:r>
            <w:r w:rsidR="005131BD" w:rsidRPr="00542733">
              <w:rPr>
                <w:rFonts w:ascii="Arial Narrow" w:hAnsi="Arial Narrow"/>
                <w:sz w:val="20"/>
              </w:rPr>
              <w:t xml:space="preserve">This may not be a reasonable assumption, as current utilisation of </w:t>
            </w:r>
            <w:proofErr w:type="spellStart"/>
            <w:r w:rsidR="005131BD" w:rsidRPr="00542733">
              <w:rPr>
                <w:rFonts w:ascii="Arial Narrow" w:hAnsi="Arial Narrow"/>
                <w:sz w:val="20"/>
              </w:rPr>
              <w:t>cetuximab</w:t>
            </w:r>
            <w:proofErr w:type="spellEnd"/>
            <w:r w:rsidR="005131BD" w:rsidRPr="00542733">
              <w:rPr>
                <w:rFonts w:ascii="Arial Narrow" w:hAnsi="Arial Narrow"/>
                <w:sz w:val="20"/>
              </w:rPr>
              <w:t xml:space="preserve"> is lower than expected (DUSC </w:t>
            </w:r>
            <w:proofErr w:type="spellStart"/>
            <w:r w:rsidR="005131BD" w:rsidRPr="00542733">
              <w:rPr>
                <w:rFonts w:ascii="Arial Narrow" w:hAnsi="Arial Narrow"/>
                <w:sz w:val="20"/>
              </w:rPr>
              <w:t>mCRC</w:t>
            </w:r>
            <w:proofErr w:type="spellEnd"/>
            <w:r w:rsidR="005131BD" w:rsidRPr="00542733">
              <w:rPr>
                <w:rFonts w:ascii="Arial Narrow" w:hAnsi="Arial Narrow"/>
                <w:sz w:val="20"/>
              </w:rPr>
              <w:t xml:space="preserve"> report, 2013)</w:t>
            </w:r>
            <w:r w:rsidR="00D706A8" w:rsidRPr="00542733">
              <w:rPr>
                <w:rFonts w:ascii="Arial Narrow" w:hAnsi="Arial Narrow"/>
                <w:sz w:val="20"/>
              </w:rPr>
              <w:t xml:space="preserve"> and neither trial reported this extent of second-line </w:t>
            </w:r>
            <w:r w:rsidR="00BF5766" w:rsidRPr="00542733">
              <w:rPr>
                <w:rFonts w:ascii="Arial Narrow" w:hAnsi="Arial Narrow"/>
                <w:sz w:val="20"/>
              </w:rPr>
              <w:t>anti-</w:t>
            </w:r>
            <w:r w:rsidR="00D706A8" w:rsidRPr="00542733">
              <w:rPr>
                <w:rFonts w:ascii="Arial Narrow" w:hAnsi="Arial Narrow"/>
                <w:sz w:val="20"/>
              </w:rPr>
              <w:t>EGFR</w:t>
            </w:r>
            <w:r w:rsidR="00BF5766" w:rsidRPr="00542733">
              <w:rPr>
                <w:rFonts w:ascii="Arial Narrow" w:hAnsi="Arial Narrow"/>
                <w:sz w:val="20"/>
              </w:rPr>
              <w:t xml:space="preserve"> antibody</w:t>
            </w:r>
            <w:r w:rsidR="00D706A8" w:rsidRPr="00542733">
              <w:rPr>
                <w:rFonts w:ascii="Arial Narrow" w:hAnsi="Arial Narrow"/>
                <w:sz w:val="20"/>
              </w:rPr>
              <w:t xml:space="preserve">.  </w:t>
            </w:r>
            <w:r w:rsidR="005131BD" w:rsidRPr="00542733">
              <w:rPr>
                <w:rFonts w:ascii="Arial Narrow" w:hAnsi="Arial Narrow"/>
                <w:sz w:val="20"/>
              </w:rPr>
              <w:t xml:space="preserve">It </w:t>
            </w:r>
            <w:r w:rsidR="00D706A8" w:rsidRPr="00542733">
              <w:rPr>
                <w:rFonts w:ascii="Arial Narrow" w:hAnsi="Arial Narrow"/>
                <w:sz w:val="20"/>
              </w:rPr>
              <w:t>is</w:t>
            </w:r>
            <w:r w:rsidR="005131BD" w:rsidRPr="00542733">
              <w:rPr>
                <w:rFonts w:ascii="Arial Narrow" w:hAnsi="Arial Narrow"/>
                <w:sz w:val="20"/>
              </w:rPr>
              <w:t xml:space="preserve"> reasonable to assume </w:t>
            </w:r>
            <w:r w:rsidR="00D706A8" w:rsidRPr="00542733">
              <w:rPr>
                <w:rFonts w:ascii="Arial Narrow" w:hAnsi="Arial Narrow"/>
                <w:sz w:val="20"/>
              </w:rPr>
              <w:t xml:space="preserve">post-progression </w:t>
            </w:r>
            <w:r w:rsidR="00BF5766" w:rsidRPr="00542733">
              <w:rPr>
                <w:rFonts w:ascii="Arial Narrow" w:hAnsi="Arial Narrow"/>
                <w:sz w:val="20"/>
              </w:rPr>
              <w:t>anti-</w:t>
            </w:r>
            <w:r w:rsidR="00D706A8" w:rsidRPr="00542733">
              <w:rPr>
                <w:rFonts w:ascii="Arial Narrow" w:hAnsi="Arial Narrow"/>
                <w:sz w:val="20"/>
              </w:rPr>
              <w:t xml:space="preserve">EGFR </w:t>
            </w:r>
            <w:r w:rsidR="00BF5766" w:rsidRPr="00542733">
              <w:rPr>
                <w:rFonts w:ascii="Arial Narrow" w:hAnsi="Arial Narrow"/>
                <w:sz w:val="20"/>
              </w:rPr>
              <w:t xml:space="preserve">antibody </w:t>
            </w:r>
            <w:r w:rsidR="00D706A8" w:rsidRPr="00542733">
              <w:rPr>
                <w:rFonts w:ascii="Arial Narrow" w:hAnsi="Arial Narrow"/>
                <w:sz w:val="20"/>
              </w:rPr>
              <w:t>use in the comparator arm</w:t>
            </w:r>
            <w:r w:rsidR="005131BD" w:rsidRPr="00542733">
              <w:rPr>
                <w:rFonts w:ascii="Arial Narrow" w:hAnsi="Arial Narrow"/>
                <w:sz w:val="20"/>
              </w:rPr>
              <w:t xml:space="preserve">, </w:t>
            </w:r>
            <w:r w:rsidR="00D706A8" w:rsidRPr="00542733">
              <w:rPr>
                <w:rFonts w:ascii="Arial Narrow" w:hAnsi="Arial Narrow"/>
                <w:sz w:val="20"/>
              </w:rPr>
              <w:t>and it would be consistent to use the proportions reported in the relevant trials</w:t>
            </w:r>
            <w:r w:rsidR="005131BD" w:rsidRPr="00542733">
              <w:rPr>
                <w:rFonts w:ascii="Arial Narrow" w:hAnsi="Arial Narrow"/>
                <w:sz w:val="20"/>
              </w:rPr>
              <w:t>.</w:t>
            </w:r>
          </w:p>
        </w:tc>
        <w:tc>
          <w:tcPr>
            <w:tcW w:w="1518" w:type="pct"/>
            <w:shd w:val="clear" w:color="auto" w:fill="auto"/>
          </w:tcPr>
          <w:p w:rsidR="005131BD" w:rsidRPr="00542733" w:rsidRDefault="005131BD" w:rsidP="001A397C">
            <w:pPr>
              <w:rPr>
                <w:rFonts w:ascii="Arial Narrow" w:hAnsi="Arial Narrow"/>
                <w:sz w:val="20"/>
              </w:rPr>
            </w:pPr>
            <w:r w:rsidRPr="00542733">
              <w:rPr>
                <w:rFonts w:ascii="Arial Narrow" w:hAnsi="Arial Narrow"/>
                <w:sz w:val="20"/>
              </w:rPr>
              <w:t xml:space="preserve">High, favours </w:t>
            </w:r>
            <w:proofErr w:type="spellStart"/>
            <w:r w:rsidRPr="00542733">
              <w:rPr>
                <w:rFonts w:ascii="Arial Narrow" w:hAnsi="Arial Narrow"/>
                <w:sz w:val="20"/>
              </w:rPr>
              <w:t>panitumumab</w:t>
            </w:r>
            <w:proofErr w:type="spellEnd"/>
            <w:r w:rsidR="00D75059" w:rsidRPr="00542733">
              <w:rPr>
                <w:rFonts w:ascii="Arial Narrow" w:hAnsi="Arial Narrow"/>
                <w:sz w:val="20"/>
              </w:rPr>
              <w:t xml:space="preserve"> (both comparisons)</w:t>
            </w:r>
          </w:p>
        </w:tc>
      </w:tr>
      <w:tr w:rsidR="005131BD" w:rsidRPr="00542733" w:rsidTr="001A53B7">
        <w:trPr>
          <w:trHeight w:val="459"/>
        </w:trPr>
        <w:tc>
          <w:tcPr>
            <w:tcW w:w="850" w:type="pct"/>
            <w:shd w:val="clear" w:color="auto" w:fill="auto"/>
          </w:tcPr>
          <w:p w:rsidR="005131BD" w:rsidRPr="00542733" w:rsidRDefault="005131BD" w:rsidP="001A397C">
            <w:pPr>
              <w:rPr>
                <w:rFonts w:ascii="Arial Narrow" w:hAnsi="Arial Narrow"/>
                <w:sz w:val="20"/>
              </w:rPr>
            </w:pPr>
            <w:r w:rsidRPr="00542733">
              <w:rPr>
                <w:rFonts w:ascii="Arial Narrow" w:hAnsi="Arial Narrow"/>
                <w:sz w:val="20"/>
              </w:rPr>
              <w:t>Treatment intensity</w:t>
            </w:r>
          </w:p>
        </w:tc>
        <w:tc>
          <w:tcPr>
            <w:tcW w:w="2632" w:type="pct"/>
            <w:shd w:val="clear" w:color="auto" w:fill="auto"/>
          </w:tcPr>
          <w:p w:rsidR="005131BD" w:rsidRPr="00542733" w:rsidRDefault="001A7755" w:rsidP="006C07B3">
            <w:pPr>
              <w:rPr>
                <w:rFonts w:ascii="Arial Narrow" w:hAnsi="Arial Narrow"/>
                <w:sz w:val="20"/>
              </w:rPr>
            </w:pPr>
            <w:r>
              <w:rPr>
                <w:rFonts w:ascii="Arial Narrow" w:hAnsi="Arial Narrow"/>
                <w:noProof/>
                <w:color w:val="000000"/>
                <w:sz w:val="20"/>
                <w:highlight w:val="black"/>
              </w:rPr>
              <w:t>'''''''</w:t>
            </w:r>
            <w:r w:rsidR="00526EF6" w:rsidRPr="009E2BFE">
              <w:rPr>
                <w:rFonts w:ascii="Arial Narrow" w:hAnsi="Arial Narrow"/>
                <w:sz w:val="20"/>
              </w:rPr>
              <w:t>%</w:t>
            </w:r>
            <w:r w:rsidR="005131BD" w:rsidRPr="009E2BFE">
              <w:rPr>
                <w:rFonts w:ascii="Arial Narrow" w:hAnsi="Arial Narrow"/>
                <w:sz w:val="20"/>
              </w:rPr>
              <w:t>;</w:t>
            </w:r>
            <w:r w:rsidR="005131BD" w:rsidRPr="00542733">
              <w:rPr>
                <w:rFonts w:ascii="Arial Narrow" w:hAnsi="Arial Narrow"/>
                <w:sz w:val="20"/>
              </w:rPr>
              <w:t xml:space="preserve"> estimated from the ratio of observed </w:t>
            </w:r>
            <w:r>
              <w:rPr>
                <w:rFonts w:ascii="Arial Narrow" w:hAnsi="Arial Narrow"/>
                <w:noProof/>
                <w:color w:val="000000"/>
                <w:sz w:val="20"/>
                <w:highlight w:val="black"/>
              </w:rPr>
              <w:t>'''''''''''''''''</w:t>
            </w:r>
            <w:r w:rsidR="005131BD" w:rsidRPr="00542733">
              <w:rPr>
                <w:rFonts w:ascii="Arial Narrow" w:hAnsi="Arial Narrow"/>
                <w:sz w:val="20"/>
              </w:rPr>
              <w:t xml:space="preserve"> to expected </w:t>
            </w:r>
            <w:r>
              <w:rPr>
                <w:rFonts w:ascii="Arial Narrow" w:hAnsi="Arial Narrow"/>
                <w:noProof/>
                <w:color w:val="000000"/>
                <w:sz w:val="20"/>
                <w:highlight w:val="black"/>
              </w:rPr>
              <w:t>''''''''''</w:t>
            </w:r>
            <w:r w:rsidR="005131BD" w:rsidRPr="00542733">
              <w:rPr>
                <w:rFonts w:ascii="Arial Narrow" w:hAnsi="Arial Narrow"/>
                <w:sz w:val="20"/>
              </w:rPr>
              <w:t xml:space="preserve"> </w:t>
            </w:r>
            <w:proofErr w:type="spellStart"/>
            <w:r w:rsidR="005131BD" w:rsidRPr="00542733">
              <w:rPr>
                <w:rFonts w:ascii="Arial Narrow" w:hAnsi="Arial Narrow"/>
                <w:sz w:val="20"/>
              </w:rPr>
              <w:t>panitumumab</w:t>
            </w:r>
            <w:proofErr w:type="spellEnd"/>
            <w:r w:rsidR="005131BD" w:rsidRPr="00542733">
              <w:rPr>
                <w:rFonts w:ascii="Arial Narrow" w:hAnsi="Arial Narrow"/>
                <w:sz w:val="20"/>
              </w:rPr>
              <w:t xml:space="preserve"> treatment cycles in </w:t>
            </w:r>
            <w:r w:rsidR="005131BD" w:rsidRPr="00542733">
              <w:rPr>
                <w:rFonts w:ascii="Arial Narrow" w:hAnsi="Arial Narrow"/>
                <w:i/>
                <w:sz w:val="20"/>
              </w:rPr>
              <w:t>RAS</w:t>
            </w:r>
            <w:r w:rsidR="005131BD" w:rsidRPr="00542733">
              <w:rPr>
                <w:rFonts w:ascii="Arial Narrow" w:hAnsi="Arial Narrow"/>
                <w:sz w:val="20"/>
              </w:rPr>
              <w:t xml:space="preserve"> WT patients in the PRIME trial; this has been applied to all treatment arms.  T</w:t>
            </w:r>
            <w:r w:rsidR="00814BD2" w:rsidRPr="00542733">
              <w:rPr>
                <w:rFonts w:ascii="Arial Narrow" w:hAnsi="Arial Narrow"/>
                <w:sz w:val="20"/>
              </w:rPr>
              <w:t>he t</w:t>
            </w:r>
            <w:r w:rsidR="005131BD" w:rsidRPr="00542733">
              <w:rPr>
                <w:rFonts w:ascii="Arial Narrow" w:hAnsi="Arial Narrow"/>
                <w:sz w:val="20"/>
              </w:rPr>
              <w:t xml:space="preserve">reatment duration of </w:t>
            </w:r>
            <w:r>
              <w:rPr>
                <w:rFonts w:ascii="Arial Narrow" w:hAnsi="Arial Narrow"/>
                <w:noProof/>
                <w:color w:val="000000"/>
                <w:sz w:val="20"/>
                <w:highlight w:val="black"/>
              </w:rPr>
              <w:t>'''''''''''''</w:t>
            </w:r>
            <w:r w:rsidR="005131BD" w:rsidRPr="00542733">
              <w:rPr>
                <w:rFonts w:ascii="Arial Narrow" w:hAnsi="Arial Narrow"/>
                <w:sz w:val="20"/>
              </w:rPr>
              <w:t xml:space="preserve"> cycles in </w:t>
            </w:r>
            <w:r w:rsidR="005131BD" w:rsidRPr="00542733">
              <w:rPr>
                <w:rFonts w:ascii="Arial Narrow" w:hAnsi="Arial Narrow"/>
                <w:i/>
                <w:sz w:val="20"/>
              </w:rPr>
              <w:t>RAS</w:t>
            </w:r>
            <w:r w:rsidR="005131BD" w:rsidRPr="00542733">
              <w:rPr>
                <w:rFonts w:ascii="Arial Narrow" w:hAnsi="Arial Narrow"/>
                <w:sz w:val="20"/>
              </w:rPr>
              <w:t xml:space="preserve"> WT treated with </w:t>
            </w:r>
            <w:proofErr w:type="spellStart"/>
            <w:r w:rsidR="005131BD" w:rsidRPr="00542733">
              <w:rPr>
                <w:rFonts w:ascii="Arial Narrow" w:hAnsi="Arial Narrow"/>
                <w:sz w:val="20"/>
              </w:rPr>
              <w:t>panitumumab</w:t>
            </w:r>
            <w:proofErr w:type="spellEnd"/>
            <w:r w:rsidR="005131BD" w:rsidRPr="00542733">
              <w:rPr>
                <w:rFonts w:ascii="Arial Narrow" w:hAnsi="Arial Narrow"/>
                <w:sz w:val="20"/>
              </w:rPr>
              <w:t xml:space="preserve"> in the PRIME trial has not been verified during the evaluation.  An estimate of 15 cycles may be more appropriate, </w:t>
            </w:r>
            <w:r w:rsidR="005131BD" w:rsidRPr="009E2BFE">
              <w:rPr>
                <w:rFonts w:ascii="Arial Narrow" w:hAnsi="Arial Narrow"/>
                <w:sz w:val="20"/>
              </w:rPr>
              <w:t>increasing</w:t>
            </w:r>
            <w:r w:rsidR="005131BD" w:rsidRPr="00542733">
              <w:rPr>
                <w:rFonts w:ascii="Arial Narrow" w:hAnsi="Arial Narrow"/>
                <w:sz w:val="20"/>
              </w:rPr>
              <w:t xml:space="preserve"> the treatment intensity to </w:t>
            </w:r>
            <w:r>
              <w:rPr>
                <w:rFonts w:ascii="Arial Narrow" w:hAnsi="Arial Narrow"/>
                <w:noProof/>
                <w:color w:val="000000"/>
                <w:sz w:val="20"/>
                <w:highlight w:val="black"/>
              </w:rPr>
              <w:t>''''''''''</w:t>
            </w:r>
            <w:r w:rsidR="00814BD2" w:rsidRPr="00542733">
              <w:rPr>
                <w:rFonts w:ascii="Arial Narrow" w:hAnsi="Arial Narrow"/>
                <w:sz w:val="20"/>
              </w:rPr>
              <w:t xml:space="preserve">, and for FOLFOX alone, </w:t>
            </w:r>
            <w:r>
              <w:rPr>
                <w:rFonts w:ascii="Arial Narrow" w:hAnsi="Arial Narrow"/>
                <w:noProof/>
                <w:color w:val="000000"/>
                <w:sz w:val="20"/>
                <w:highlight w:val="black"/>
              </w:rPr>
              <w:t>''''''''''</w:t>
            </w:r>
            <w:r w:rsidR="00814BD2" w:rsidRPr="00542733">
              <w:rPr>
                <w:rFonts w:ascii="Arial Narrow" w:hAnsi="Arial Narrow"/>
                <w:sz w:val="20"/>
              </w:rPr>
              <w:t>.</w:t>
            </w:r>
          </w:p>
        </w:tc>
        <w:tc>
          <w:tcPr>
            <w:tcW w:w="1518" w:type="pct"/>
            <w:shd w:val="clear" w:color="auto" w:fill="auto"/>
          </w:tcPr>
          <w:p w:rsidR="005131BD" w:rsidRPr="00542733" w:rsidRDefault="005131BD" w:rsidP="001A397C">
            <w:pPr>
              <w:rPr>
                <w:rFonts w:ascii="Arial Narrow" w:hAnsi="Arial Narrow"/>
                <w:sz w:val="20"/>
              </w:rPr>
            </w:pPr>
            <w:r w:rsidRPr="00542733">
              <w:rPr>
                <w:rFonts w:ascii="Arial Narrow" w:hAnsi="Arial Narrow"/>
                <w:sz w:val="20"/>
              </w:rPr>
              <w:t xml:space="preserve">High, favours </w:t>
            </w:r>
            <w:proofErr w:type="spellStart"/>
            <w:r w:rsidRPr="00542733">
              <w:rPr>
                <w:rFonts w:ascii="Arial Narrow" w:hAnsi="Arial Narrow"/>
                <w:sz w:val="20"/>
              </w:rPr>
              <w:t>panitumumab</w:t>
            </w:r>
            <w:proofErr w:type="spellEnd"/>
            <w:r w:rsidRPr="00542733">
              <w:rPr>
                <w:rFonts w:ascii="Arial Narrow" w:hAnsi="Arial Narrow"/>
                <w:sz w:val="20"/>
              </w:rPr>
              <w:t xml:space="preserve"> </w:t>
            </w:r>
            <w:r w:rsidR="00D75059" w:rsidRPr="00542733">
              <w:rPr>
                <w:rFonts w:ascii="Arial Narrow" w:hAnsi="Arial Narrow"/>
                <w:sz w:val="20"/>
              </w:rPr>
              <w:t>(both comparisons)</w:t>
            </w:r>
          </w:p>
        </w:tc>
      </w:tr>
      <w:tr w:rsidR="005131BD" w:rsidRPr="00542733" w:rsidTr="001A53B7">
        <w:trPr>
          <w:trHeight w:val="1990"/>
        </w:trPr>
        <w:tc>
          <w:tcPr>
            <w:tcW w:w="850" w:type="pct"/>
            <w:shd w:val="clear" w:color="auto" w:fill="auto"/>
          </w:tcPr>
          <w:p w:rsidR="005131BD" w:rsidRPr="00542733" w:rsidRDefault="005131BD" w:rsidP="001A397C">
            <w:pPr>
              <w:rPr>
                <w:rFonts w:ascii="Arial Narrow" w:hAnsi="Arial Narrow"/>
                <w:sz w:val="20"/>
              </w:rPr>
            </w:pPr>
            <w:r w:rsidRPr="00542733">
              <w:rPr>
                <w:rFonts w:ascii="Arial Narrow" w:hAnsi="Arial Narrow"/>
                <w:sz w:val="20"/>
              </w:rPr>
              <w:t>Cost of BSC</w:t>
            </w:r>
          </w:p>
        </w:tc>
        <w:tc>
          <w:tcPr>
            <w:tcW w:w="2632" w:type="pct"/>
            <w:shd w:val="clear" w:color="auto" w:fill="auto"/>
          </w:tcPr>
          <w:p w:rsidR="005131BD" w:rsidRPr="00542733" w:rsidRDefault="005131BD" w:rsidP="001D5655">
            <w:pPr>
              <w:rPr>
                <w:rFonts w:ascii="Arial Narrow" w:hAnsi="Arial Narrow"/>
                <w:i/>
                <w:sz w:val="20"/>
              </w:rPr>
            </w:pPr>
            <w:r w:rsidRPr="009E2BFE">
              <w:rPr>
                <w:rFonts w:ascii="Arial Narrow" w:hAnsi="Arial Narrow"/>
                <w:sz w:val="20"/>
              </w:rPr>
              <w:t>$</w:t>
            </w:r>
            <w:r w:rsidR="001A7755">
              <w:rPr>
                <w:rFonts w:ascii="Arial Narrow" w:hAnsi="Arial Narrow"/>
                <w:noProof/>
                <w:color w:val="000000"/>
                <w:sz w:val="20"/>
                <w:highlight w:val="black"/>
              </w:rPr>
              <w:t>''''''''</w:t>
            </w:r>
            <w:r w:rsidRPr="00542733">
              <w:rPr>
                <w:rFonts w:ascii="Arial Narrow" w:hAnsi="Arial Narrow"/>
                <w:sz w:val="20"/>
              </w:rPr>
              <w:t xml:space="preserve"> per cycle, based on a UK study of breast cancer patients in which outpatient visits accounted for 37.9% of the total monthly cost of BSC.  The </w:t>
            </w:r>
            <w:r w:rsidR="00AF0640" w:rsidRPr="00542733">
              <w:rPr>
                <w:rFonts w:ascii="Arial Narrow" w:hAnsi="Arial Narrow"/>
                <w:sz w:val="20"/>
              </w:rPr>
              <w:t>re-</w:t>
            </w:r>
            <w:r w:rsidRPr="00542733">
              <w:rPr>
                <w:rFonts w:ascii="Arial Narrow" w:hAnsi="Arial Narrow"/>
                <w:sz w:val="20"/>
              </w:rPr>
              <w:t xml:space="preserve">submission assumes Australian patients would likely have </w:t>
            </w:r>
            <w:r w:rsidR="001A7755">
              <w:rPr>
                <w:rFonts w:ascii="Arial Narrow" w:hAnsi="Arial Narrow"/>
                <w:noProof/>
                <w:color w:val="000000"/>
                <w:sz w:val="20"/>
                <w:highlight w:val="black"/>
              </w:rPr>
              <w:t>''' '''''''''''''''''''''' ''''''''''''''''''''''</w:t>
            </w:r>
            <w:r w:rsidRPr="00542733">
              <w:rPr>
                <w:rFonts w:ascii="Arial Narrow" w:hAnsi="Arial Narrow"/>
                <w:sz w:val="20"/>
              </w:rPr>
              <w:t xml:space="preserve"> </w:t>
            </w:r>
            <w:r w:rsidR="001A7755">
              <w:rPr>
                <w:rFonts w:ascii="Arial Narrow" w:hAnsi="Arial Narrow"/>
                <w:noProof/>
                <w:color w:val="000000"/>
                <w:sz w:val="20"/>
                <w:highlight w:val="black"/>
              </w:rPr>
              <w:t>'''''''''' ''''''''''''' ''''''''''''''</w:t>
            </w:r>
            <w:r w:rsidRPr="00542733">
              <w:rPr>
                <w:rFonts w:ascii="Arial Narrow" w:hAnsi="Arial Narrow"/>
                <w:sz w:val="20"/>
              </w:rPr>
              <w:t xml:space="preserve">; and so then the </w:t>
            </w:r>
            <w:r w:rsidR="00815C91" w:rsidRPr="00542733">
              <w:rPr>
                <w:rFonts w:ascii="Arial Narrow" w:hAnsi="Arial Narrow"/>
                <w:sz w:val="20"/>
              </w:rPr>
              <w:t xml:space="preserve">cost </w:t>
            </w:r>
            <w:r w:rsidRPr="00542733">
              <w:rPr>
                <w:rFonts w:ascii="Arial Narrow" w:hAnsi="Arial Narrow"/>
                <w:sz w:val="20"/>
              </w:rPr>
              <w:t xml:space="preserve">per cycle (fortnightly) of BSC would equate to: </w:t>
            </w:r>
            <w:r w:rsidR="001A7755">
              <w:rPr>
                <w:rFonts w:ascii="Arial Narrow" w:hAnsi="Arial Narrow"/>
                <w:noProof/>
                <w:color w:val="000000"/>
                <w:sz w:val="20"/>
                <w:highlight w:val="black"/>
              </w:rPr>
              <w:t>''''' '''' ''''''''''''''''''''''''''''' '''' ''''''''''''</w:t>
            </w:r>
            <w:r w:rsidRPr="00542733">
              <w:rPr>
                <w:rFonts w:ascii="Arial Narrow" w:hAnsi="Arial Narrow"/>
                <w:sz w:val="20"/>
              </w:rPr>
              <w:t>.  This may not be a reasonable approach to estimate the costs of BSC.</w:t>
            </w:r>
            <w:r w:rsidR="00814BD2" w:rsidRPr="00542733">
              <w:rPr>
                <w:rFonts w:ascii="Arial Narrow" w:hAnsi="Arial Narrow"/>
                <w:sz w:val="20"/>
              </w:rPr>
              <w:t xml:space="preserve"> </w:t>
            </w:r>
            <w:r w:rsidR="00D27702" w:rsidRPr="00542733">
              <w:rPr>
                <w:rFonts w:ascii="Arial Narrow" w:hAnsi="Arial Narrow"/>
                <w:i/>
                <w:sz w:val="20"/>
              </w:rPr>
              <w:t xml:space="preserve"> </w:t>
            </w:r>
            <w:r w:rsidR="00D27702" w:rsidRPr="009E2BFE">
              <w:rPr>
                <w:rFonts w:ascii="Arial Narrow" w:hAnsi="Arial Narrow"/>
                <w:sz w:val="20"/>
              </w:rPr>
              <w:t xml:space="preserve">The PSCR argues that inclusion of </w:t>
            </w:r>
            <w:r w:rsidR="00BB2F0A" w:rsidRPr="009E2BFE">
              <w:rPr>
                <w:rFonts w:ascii="Arial Narrow" w:hAnsi="Arial Narrow"/>
                <w:sz w:val="20"/>
              </w:rPr>
              <w:t xml:space="preserve">a </w:t>
            </w:r>
            <w:r w:rsidR="00D27702" w:rsidRPr="009E2BFE">
              <w:rPr>
                <w:rFonts w:ascii="Arial Narrow" w:hAnsi="Arial Narrow"/>
                <w:sz w:val="20"/>
              </w:rPr>
              <w:t>same day palliative care admission per cycle would significantly overestimate the cost of BSC.</w:t>
            </w:r>
            <w:r w:rsidR="00D27702" w:rsidRPr="00542733">
              <w:rPr>
                <w:rFonts w:ascii="Arial Narrow" w:hAnsi="Arial Narrow"/>
                <w:sz w:val="20"/>
              </w:rPr>
              <w:t xml:space="preserve"> </w:t>
            </w:r>
            <w:r w:rsidR="00814BD2" w:rsidRPr="00542733">
              <w:rPr>
                <w:rFonts w:ascii="Arial Narrow" w:hAnsi="Arial Narrow"/>
                <w:sz w:val="20"/>
              </w:rPr>
              <w:t xml:space="preserve"> </w:t>
            </w:r>
            <w:r w:rsidR="00D27702" w:rsidRPr="00542733">
              <w:rPr>
                <w:rFonts w:ascii="Arial Narrow" w:hAnsi="Arial Narrow"/>
                <w:sz w:val="20"/>
              </w:rPr>
              <w:t xml:space="preserve">The model was re-run with a </w:t>
            </w:r>
            <w:r w:rsidR="00BB2F0A" w:rsidRPr="00542733">
              <w:rPr>
                <w:rFonts w:ascii="Arial Narrow" w:hAnsi="Arial Narrow"/>
                <w:sz w:val="20"/>
              </w:rPr>
              <w:t xml:space="preserve">BSC </w:t>
            </w:r>
            <w:r w:rsidR="00D27702" w:rsidRPr="00542733">
              <w:rPr>
                <w:rFonts w:ascii="Arial Narrow" w:hAnsi="Arial Narrow"/>
                <w:sz w:val="20"/>
              </w:rPr>
              <w:t xml:space="preserve">cost of </w:t>
            </w:r>
            <w:r w:rsidR="00D27702" w:rsidRPr="009E2BFE">
              <w:rPr>
                <w:rFonts w:ascii="Arial Narrow" w:hAnsi="Arial Narrow"/>
                <w:sz w:val="20"/>
              </w:rPr>
              <w:t>$</w:t>
            </w:r>
            <w:r w:rsidR="001A7755">
              <w:rPr>
                <w:rFonts w:ascii="Arial Narrow" w:hAnsi="Arial Narrow"/>
                <w:noProof/>
                <w:color w:val="000000"/>
                <w:sz w:val="20"/>
                <w:highlight w:val="black"/>
              </w:rPr>
              <w:t>''''''''''</w:t>
            </w:r>
            <w:r w:rsidR="00D27702" w:rsidRPr="00542733">
              <w:rPr>
                <w:rFonts w:ascii="Arial Narrow" w:hAnsi="Arial Narrow"/>
                <w:sz w:val="20"/>
              </w:rPr>
              <w:t xml:space="preserve"> which the ESC considered to be more plausible.</w:t>
            </w:r>
            <w:r w:rsidR="00D27702" w:rsidRPr="00542733">
              <w:rPr>
                <w:rFonts w:ascii="Arial Narrow" w:hAnsi="Arial Narrow"/>
                <w:i/>
                <w:sz w:val="20"/>
              </w:rPr>
              <w:t xml:space="preserve"> </w:t>
            </w:r>
          </w:p>
        </w:tc>
        <w:tc>
          <w:tcPr>
            <w:tcW w:w="1518" w:type="pct"/>
            <w:shd w:val="clear" w:color="auto" w:fill="auto"/>
          </w:tcPr>
          <w:p w:rsidR="005131BD" w:rsidRPr="00542733" w:rsidRDefault="005131BD" w:rsidP="00FD04EC">
            <w:pPr>
              <w:rPr>
                <w:rFonts w:ascii="Arial Narrow" w:hAnsi="Arial Narrow"/>
                <w:i/>
                <w:sz w:val="20"/>
              </w:rPr>
            </w:pPr>
            <w:r w:rsidRPr="00542733">
              <w:rPr>
                <w:rFonts w:ascii="Arial Narrow" w:hAnsi="Arial Narrow"/>
                <w:sz w:val="20"/>
              </w:rPr>
              <w:t xml:space="preserve">High, favours </w:t>
            </w:r>
            <w:proofErr w:type="spellStart"/>
            <w:r w:rsidRPr="00542733">
              <w:rPr>
                <w:rFonts w:ascii="Arial Narrow" w:hAnsi="Arial Narrow"/>
                <w:sz w:val="20"/>
              </w:rPr>
              <w:t>panitumumab</w:t>
            </w:r>
            <w:proofErr w:type="spellEnd"/>
            <w:r w:rsidR="00D75059" w:rsidRPr="00542733">
              <w:rPr>
                <w:rFonts w:ascii="Arial Narrow" w:hAnsi="Arial Narrow"/>
                <w:sz w:val="20"/>
              </w:rPr>
              <w:t xml:space="preserve"> (both comparisons)</w:t>
            </w:r>
            <w:r w:rsidR="00FD04EC" w:rsidRPr="00542733">
              <w:rPr>
                <w:rFonts w:ascii="Arial Narrow" w:hAnsi="Arial Narrow"/>
                <w:sz w:val="20"/>
              </w:rPr>
              <w:t xml:space="preserve">. </w:t>
            </w:r>
            <w:r w:rsidR="00814BD2" w:rsidRPr="00542733">
              <w:rPr>
                <w:rFonts w:ascii="Arial Narrow" w:hAnsi="Arial Narrow"/>
                <w:sz w:val="20"/>
              </w:rPr>
              <w:t xml:space="preserve"> </w:t>
            </w:r>
            <w:r w:rsidR="00FD04EC" w:rsidRPr="00542733">
              <w:rPr>
                <w:rFonts w:ascii="Arial Narrow" w:hAnsi="Arial Narrow"/>
                <w:sz w:val="20"/>
              </w:rPr>
              <w:t xml:space="preserve">This is likely to underestimate the ICER as the duration in BSC is substantially longer in the </w:t>
            </w:r>
            <w:proofErr w:type="spellStart"/>
            <w:r w:rsidR="00FD04EC" w:rsidRPr="00542733">
              <w:rPr>
                <w:rFonts w:ascii="Arial Narrow" w:hAnsi="Arial Narrow"/>
                <w:sz w:val="20"/>
              </w:rPr>
              <w:t>panitumumab</w:t>
            </w:r>
            <w:proofErr w:type="spellEnd"/>
            <w:r w:rsidR="00FD04EC" w:rsidRPr="00542733">
              <w:rPr>
                <w:rFonts w:ascii="Arial Narrow" w:hAnsi="Arial Narrow"/>
                <w:sz w:val="20"/>
              </w:rPr>
              <w:t xml:space="preserve"> arms of the model compared to the comparator arms.</w:t>
            </w:r>
            <w:r w:rsidR="00FD04EC" w:rsidRPr="00542733">
              <w:rPr>
                <w:rFonts w:ascii="Arial Narrow" w:hAnsi="Arial Narrow"/>
                <w:i/>
                <w:sz w:val="20"/>
              </w:rPr>
              <w:t xml:space="preserve"> </w:t>
            </w:r>
          </w:p>
        </w:tc>
      </w:tr>
    </w:tbl>
    <w:p w:rsidR="005131BD" w:rsidRPr="00542733" w:rsidRDefault="005131BD" w:rsidP="001A53B7">
      <w:pPr>
        <w:pStyle w:val="TableFooter"/>
        <w:ind w:firstLine="720"/>
      </w:pPr>
      <w:r w:rsidRPr="00542733">
        <w:t>Source: compiled during the evaluation</w:t>
      </w:r>
    </w:p>
    <w:p w:rsidR="002E31E8" w:rsidRPr="00542733" w:rsidRDefault="002E31E8" w:rsidP="001578A7"/>
    <w:p w:rsidR="002E31E8" w:rsidRPr="001A53B7" w:rsidRDefault="009A63F4" w:rsidP="001A53B7">
      <w:pPr>
        <w:pStyle w:val="ListParagraph"/>
        <w:widowControl/>
        <w:numPr>
          <w:ilvl w:val="1"/>
          <w:numId w:val="18"/>
        </w:numPr>
        <w:rPr>
          <w:szCs w:val="22"/>
        </w:rPr>
      </w:pPr>
      <w:r w:rsidRPr="00542733">
        <w:t>The</w:t>
      </w:r>
      <w:r w:rsidR="00491AE0" w:rsidRPr="00542733">
        <w:t xml:space="preserve"> results of the stepped analys</w:t>
      </w:r>
      <w:r w:rsidR="008F6D0F" w:rsidRPr="00542733">
        <w:t>e</w:t>
      </w:r>
      <w:r w:rsidR="00491AE0" w:rsidRPr="00542733">
        <w:t>s</w:t>
      </w:r>
      <w:r w:rsidRPr="00542733">
        <w:t xml:space="preserve"> are presented </w:t>
      </w:r>
      <w:r w:rsidR="008F6D0F" w:rsidRPr="00542733">
        <w:t xml:space="preserve">in </w:t>
      </w:r>
      <w:r w:rsidR="00FD31FF" w:rsidRPr="00542733">
        <w:t>the table below.</w:t>
      </w:r>
      <w:r w:rsidR="00F847DD" w:rsidRPr="00542733">
        <w:t xml:space="preserve">  The final result for each of the </w:t>
      </w:r>
      <w:r w:rsidR="00D94E3B" w:rsidRPr="00542733">
        <w:t xml:space="preserve">two cost-utility analyses </w:t>
      </w:r>
      <w:r w:rsidR="00F847DD" w:rsidRPr="00542733">
        <w:t>is presented in Step</w:t>
      </w:r>
      <w:r w:rsidR="00D23C90" w:rsidRPr="00542733">
        <w:t>s</w:t>
      </w:r>
      <w:r w:rsidR="00F847DD" w:rsidRPr="00542733">
        <w:t xml:space="preserve"> 7</w:t>
      </w:r>
      <w:r w:rsidR="00D23C90" w:rsidRPr="00542733">
        <w:t xml:space="preserve">a </w:t>
      </w:r>
      <w:r w:rsidR="00ED27B0" w:rsidRPr="00542733">
        <w:t>($</w:t>
      </w:r>
      <w:r w:rsidR="00311B19">
        <w:t>45,000/QALY - $75,000/QALY)</w:t>
      </w:r>
      <w:r w:rsidR="00ED27B0" w:rsidRPr="00542733">
        <w:t xml:space="preserve"> gained over FOLFOX alone) </w:t>
      </w:r>
      <w:r w:rsidR="00D23C90" w:rsidRPr="00542733">
        <w:t>and 7b</w:t>
      </w:r>
      <w:r w:rsidR="00ED27B0" w:rsidRPr="00542733">
        <w:t xml:space="preserve"> (dominant over </w:t>
      </w:r>
      <w:proofErr w:type="spellStart"/>
      <w:r w:rsidR="00ED27B0" w:rsidRPr="00542733">
        <w:t>bevacizumab</w:t>
      </w:r>
      <w:proofErr w:type="spellEnd"/>
      <w:r w:rsidR="00ED27B0" w:rsidRPr="00542733">
        <w:t xml:space="preserve"> + FOLFOX)</w:t>
      </w:r>
      <w:r w:rsidR="00D94E3B" w:rsidRPr="00542733">
        <w:t xml:space="preserve">. </w:t>
      </w:r>
      <w:r w:rsidR="00F847DD" w:rsidRPr="00542733">
        <w:t xml:space="preserve"> </w:t>
      </w:r>
      <w:r w:rsidR="00D94E3B" w:rsidRPr="00542733">
        <w:t>These result</w:t>
      </w:r>
      <w:r w:rsidR="00F847DD" w:rsidRPr="00542733">
        <w:t xml:space="preserve">s </w:t>
      </w:r>
      <w:r w:rsidR="00D94E3B" w:rsidRPr="00542733">
        <w:t xml:space="preserve">are </w:t>
      </w:r>
      <w:r w:rsidR="00F847DD" w:rsidRPr="00542733">
        <w:t xml:space="preserve">weighted in Step 8, assuming </w:t>
      </w:r>
      <w:r w:rsidR="001A7755">
        <w:rPr>
          <w:noProof/>
          <w:color w:val="000000"/>
          <w:highlight w:val="black"/>
        </w:rPr>
        <w:t>''''''</w:t>
      </w:r>
      <w:r w:rsidR="00F847DD" w:rsidRPr="009E2BFE">
        <w:t>%</w:t>
      </w:r>
      <w:r w:rsidR="00F847DD" w:rsidRPr="00542733">
        <w:t xml:space="preserve"> use in patients who would otherwise receive </w:t>
      </w:r>
      <w:proofErr w:type="spellStart"/>
      <w:r w:rsidR="00F847DD" w:rsidRPr="00542733">
        <w:t>bevacizumab</w:t>
      </w:r>
      <w:proofErr w:type="spellEnd"/>
      <w:r w:rsidR="00F847DD" w:rsidRPr="00542733">
        <w:t xml:space="preserve"> + FOLFOX, and </w:t>
      </w:r>
      <w:r w:rsidR="001A7755">
        <w:rPr>
          <w:noProof/>
          <w:color w:val="000000"/>
          <w:highlight w:val="black"/>
        </w:rPr>
        <w:t>'''''''</w:t>
      </w:r>
      <w:r w:rsidR="00F847DD" w:rsidRPr="009E2BFE">
        <w:t>%</w:t>
      </w:r>
      <w:r w:rsidR="00F847DD" w:rsidRPr="00542733">
        <w:t xml:space="preserve"> who would receive FOLFOX alone.</w:t>
      </w:r>
    </w:p>
    <w:p w:rsidR="00BB2F0A" w:rsidRPr="00542733" w:rsidRDefault="00BB2F0A" w:rsidP="00BB2F0A"/>
    <w:p w:rsidR="00A56B6A" w:rsidRPr="002461E7" w:rsidRDefault="00A56B6A" w:rsidP="001A53B7">
      <w:pPr>
        <w:rPr>
          <w:rStyle w:val="CommentReference"/>
        </w:rPr>
      </w:pPr>
      <w:r w:rsidRPr="002461E7">
        <w:rPr>
          <w:rStyle w:val="CommentReference"/>
        </w:rPr>
        <w:t>Results of the stepped economic evaluation</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the stepped economic evaluation"/>
      </w:tblPr>
      <w:tblGrid>
        <w:gridCol w:w="2580"/>
        <w:gridCol w:w="2692"/>
        <w:gridCol w:w="1760"/>
        <w:gridCol w:w="2211"/>
      </w:tblGrid>
      <w:tr w:rsidR="00491AE0" w:rsidRPr="00311B19" w:rsidTr="001A53B7">
        <w:tc>
          <w:tcPr>
            <w:tcW w:w="1396" w:type="pct"/>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Step and component</w:t>
            </w:r>
          </w:p>
        </w:tc>
        <w:tc>
          <w:tcPr>
            <w:tcW w:w="1456" w:type="pct"/>
            <w:vAlign w:val="center"/>
          </w:tcPr>
          <w:p w:rsidR="00491AE0" w:rsidRPr="002461E7" w:rsidRDefault="00491AE0" w:rsidP="00031F7D">
            <w:pPr>
              <w:jc w:val="center"/>
              <w:rPr>
                <w:rFonts w:ascii="Arial Narrow" w:hAnsi="Arial Narrow"/>
                <w:b/>
                <w:sz w:val="20"/>
              </w:rPr>
            </w:pPr>
            <w:proofErr w:type="spellStart"/>
            <w:r w:rsidRPr="002461E7">
              <w:rPr>
                <w:rFonts w:ascii="Arial Narrow" w:hAnsi="Arial Narrow"/>
                <w:b/>
                <w:sz w:val="20"/>
              </w:rPr>
              <w:t>Panitumumab</w:t>
            </w:r>
            <w:proofErr w:type="spellEnd"/>
            <w:r w:rsidRPr="002461E7">
              <w:rPr>
                <w:rFonts w:ascii="Arial Narrow" w:hAnsi="Arial Narrow"/>
                <w:b/>
                <w:sz w:val="20"/>
              </w:rPr>
              <w:t xml:space="preserve"> + FOLFOX (and first-line </w:t>
            </w:r>
            <w:r w:rsidRPr="002461E7">
              <w:rPr>
                <w:rFonts w:ascii="Arial Narrow" w:hAnsi="Arial Narrow"/>
                <w:b/>
                <w:i/>
                <w:sz w:val="20"/>
              </w:rPr>
              <w:t>RAS</w:t>
            </w:r>
            <w:r w:rsidRPr="002461E7">
              <w:rPr>
                <w:rFonts w:ascii="Arial Narrow" w:hAnsi="Arial Narrow"/>
                <w:b/>
                <w:sz w:val="20"/>
              </w:rPr>
              <w:t xml:space="preserve"> testing)</w:t>
            </w:r>
          </w:p>
        </w:tc>
        <w:tc>
          <w:tcPr>
            <w:tcW w:w="952" w:type="pct"/>
            <w:vAlign w:val="center"/>
          </w:tcPr>
          <w:p w:rsidR="00491AE0" w:rsidRPr="002461E7" w:rsidRDefault="00815C91" w:rsidP="00031F7D">
            <w:pPr>
              <w:jc w:val="center"/>
              <w:rPr>
                <w:rFonts w:ascii="Arial Narrow" w:hAnsi="Arial Narrow"/>
                <w:b/>
                <w:sz w:val="20"/>
              </w:rPr>
            </w:pPr>
            <w:r w:rsidRPr="002461E7">
              <w:rPr>
                <w:rFonts w:ascii="Arial Narrow" w:hAnsi="Arial Narrow"/>
                <w:b/>
                <w:sz w:val="20"/>
              </w:rPr>
              <w:t>Comparator</w:t>
            </w:r>
            <w:r w:rsidR="00491AE0" w:rsidRPr="002461E7">
              <w:rPr>
                <w:rFonts w:ascii="Arial Narrow" w:hAnsi="Arial Narrow"/>
                <w:b/>
                <w:sz w:val="20"/>
              </w:rPr>
              <w:t xml:space="preserve"> </w:t>
            </w:r>
            <w:r w:rsidR="00491AE0" w:rsidRPr="002461E7">
              <w:rPr>
                <w:rFonts w:ascii="Arial Narrow" w:hAnsi="Arial Narrow"/>
                <w:b/>
                <w:sz w:val="20"/>
              </w:rPr>
              <w:br/>
              <w:t xml:space="preserve">(and later-line </w:t>
            </w:r>
            <w:r w:rsidR="00491AE0" w:rsidRPr="002461E7">
              <w:rPr>
                <w:rFonts w:ascii="Arial Narrow" w:hAnsi="Arial Narrow"/>
                <w:b/>
                <w:i/>
                <w:sz w:val="20"/>
              </w:rPr>
              <w:t>RAS</w:t>
            </w:r>
            <w:r w:rsidR="00491AE0" w:rsidRPr="002461E7">
              <w:rPr>
                <w:rFonts w:ascii="Arial Narrow" w:hAnsi="Arial Narrow"/>
                <w:b/>
                <w:sz w:val="20"/>
              </w:rPr>
              <w:t xml:space="preserve"> testing)</w:t>
            </w:r>
          </w:p>
        </w:tc>
        <w:tc>
          <w:tcPr>
            <w:tcW w:w="1196" w:type="pct"/>
          </w:tcPr>
          <w:p w:rsidR="00491AE0" w:rsidRPr="002461E7" w:rsidRDefault="00491AE0" w:rsidP="00031F7D">
            <w:pPr>
              <w:jc w:val="center"/>
              <w:rPr>
                <w:rFonts w:ascii="Arial Narrow" w:hAnsi="Arial Narrow"/>
                <w:b/>
                <w:sz w:val="20"/>
              </w:rPr>
            </w:pPr>
            <w:r w:rsidRPr="002461E7">
              <w:rPr>
                <w:rFonts w:ascii="Arial Narrow" w:hAnsi="Arial Narrow"/>
                <w:b/>
                <w:sz w:val="20"/>
              </w:rPr>
              <w:t>Increment</w:t>
            </w:r>
          </w:p>
        </w:tc>
      </w:tr>
      <w:tr w:rsidR="00491AE0" w:rsidRPr="00311B19" w:rsidTr="00031F7D">
        <w:tc>
          <w:tcPr>
            <w:tcW w:w="5000" w:type="pct"/>
            <w:gridSpan w:val="4"/>
            <w:vAlign w:val="center"/>
          </w:tcPr>
          <w:p w:rsidR="00491AE0" w:rsidRPr="002461E7" w:rsidRDefault="00491AE0" w:rsidP="00D94E3B">
            <w:pPr>
              <w:pStyle w:val="TableHeading"/>
              <w:widowControl w:val="0"/>
              <w:spacing w:before="0" w:after="0"/>
              <w:rPr>
                <w:snapToGrid w:val="0"/>
              </w:rPr>
            </w:pPr>
            <w:r w:rsidRPr="002461E7">
              <w:rPr>
                <w:snapToGrid w:val="0"/>
              </w:rPr>
              <w:t>Step 1: trial-based estimate</w:t>
            </w:r>
            <w:r w:rsidR="00815C91" w:rsidRPr="002461E7">
              <w:rPr>
                <w:b w:val="0"/>
                <w:snapToGrid w:val="0"/>
              </w:rPr>
              <w:t xml:space="preserve"> (</w:t>
            </w:r>
            <w:r w:rsidR="00815C91" w:rsidRPr="002461E7">
              <w:rPr>
                <w:b w:val="0"/>
                <w:i/>
                <w:snapToGrid w:val="0"/>
              </w:rPr>
              <w:t>RAS</w:t>
            </w:r>
            <w:r w:rsidR="00815C91" w:rsidRPr="002461E7">
              <w:rPr>
                <w:b w:val="0"/>
                <w:snapToGrid w:val="0"/>
              </w:rPr>
              <w:t xml:space="preserve"> WT patients</w:t>
            </w:r>
            <w:r w:rsidR="001578A7" w:rsidRPr="002461E7">
              <w:rPr>
                <w:b w:val="0"/>
                <w:snapToGrid w:val="0"/>
              </w:rPr>
              <w:t xml:space="preserve">, </w:t>
            </w:r>
            <w:r w:rsidR="00D94E3B" w:rsidRPr="002461E7">
              <w:rPr>
                <w:b w:val="0"/>
              </w:rPr>
              <w:t xml:space="preserve">comparator = </w:t>
            </w:r>
            <w:r w:rsidR="001578A7" w:rsidRPr="002461E7">
              <w:rPr>
                <w:b w:val="0"/>
              </w:rPr>
              <w:t>FOLFOX alone</w:t>
            </w:r>
            <w:r w:rsidR="00815C91" w:rsidRPr="002461E7">
              <w:rPr>
                <w:b w:val="0"/>
                <w:snapToGrid w:val="0"/>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pStyle w:val="Tabletext"/>
              <w:widowControl w:val="0"/>
              <w:spacing w:after="0"/>
              <w:rPr>
                <w:rFonts w:ascii="Arial Narrow" w:hAnsi="Arial Narrow"/>
                <w:snapToGrid w:val="0"/>
              </w:rPr>
            </w:pPr>
            <w:r w:rsidRPr="002461E7">
              <w:rPr>
                <w:rFonts w:ascii="Arial Narrow" w:hAnsi="Arial Narrow"/>
                <w:b/>
              </w:rPr>
              <w:t>Incremental cost/extra LY gained</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D94E3B">
            <w:pPr>
              <w:pStyle w:val="TableHeading"/>
              <w:widowControl w:val="0"/>
              <w:spacing w:before="0" w:after="0"/>
              <w:rPr>
                <w:snapToGrid w:val="0"/>
              </w:rPr>
            </w:pPr>
            <w:r w:rsidRPr="002461E7">
              <w:rPr>
                <w:snapToGrid w:val="0"/>
              </w:rPr>
              <w:t xml:space="preserve">Step 2: </w:t>
            </w:r>
            <w:r w:rsidRPr="002461E7">
              <w:t>modelled estimate that includes costs of resection, later-line treatment and testing</w:t>
            </w:r>
            <w:r w:rsidRPr="002461E7">
              <w:rPr>
                <w:b w:val="0"/>
              </w:rPr>
              <w:t xml:space="preserve"> (not discounted, 2.5 year time horizon</w:t>
            </w:r>
            <w:r w:rsidR="001578A7" w:rsidRPr="002461E7">
              <w:rPr>
                <w:b w:val="0"/>
              </w:rPr>
              <w:t xml:space="preserve">, </w:t>
            </w:r>
            <w:r w:rsidR="00D94E3B" w:rsidRPr="002461E7">
              <w:rPr>
                <w:b w:val="0"/>
              </w:rPr>
              <w:t xml:space="preserve">comparator = </w:t>
            </w:r>
            <w:r w:rsidR="001578A7" w:rsidRPr="002461E7">
              <w:rPr>
                <w:b w:val="0"/>
              </w:rPr>
              <w:t>FOLFOX alone</w:t>
            </w:r>
            <w:r w:rsidRPr="002461E7">
              <w:rPr>
                <w:b w:val="0"/>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rPr>
          <w:trHeight w:val="70"/>
        </w:trPr>
        <w:tc>
          <w:tcPr>
            <w:tcW w:w="3804" w:type="pct"/>
            <w:gridSpan w:val="3"/>
            <w:vAlign w:val="center"/>
          </w:tcPr>
          <w:p w:rsidR="00491AE0" w:rsidRPr="002461E7" w:rsidRDefault="00491AE0" w:rsidP="00031F7D">
            <w:pPr>
              <w:pStyle w:val="Tabletext"/>
              <w:widowControl w:val="0"/>
              <w:spacing w:after="0"/>
              <w:rPr>
                <w:rFonts w:ascii="Arial Narrow" w:hAnsi="Arial Narrow"/>
                <w:snapToGrid w:val="0"/>
              </w:rPr>
            </w:pPr>
            <w:r w:rsidRPr="002461E7">
              <w:rPr>
                <w:rFonts w:ascii="Arial Narrow" w:hAnsi="Arial Narrow"/>
                <w:b/>
              </w:rPr>
              <w:t>Incremental cost/extra LY gained</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D94E3B">
            <w:pPr>
              <w:pStyle w:val="TableHeading"/>
              <w:widowControl w:val="0"/>
              <w:spacing w:before="0" w:after="0"/>
              <w:rPr>
                <w:snapToGrid w:val="0"/>
              </w:rPr>
            </w:pPr>
            <w:r w:rsidRPr="002461E7">
              <w:rPr>
                <w:snapToGrid w:val="0"/>
              </w:rPr>
              <w:lastRenderedPageBreak/>
              <w:t xml:space="preserve">Step 3: </w:t>
            </w:r>
            <w:r w:rsidRPr="002461E7">
              <w:t>transformation of outcomes into QALYs and extrapolated outcomes to 10 years</w:t>
            </w:r>
            <w:r w:rsidRPr="002461E7">
              <w:rPr>
                <w:b w:val="0"/>
              </w:rPr>
              <w:t xml:space="preserve"> (discounted</w:t>
            </w:r>
            <w:r w:rsidR="001578A7" w:rsidRPr="002461E7">
              <w:rPr>
                <w:b w:val="0"/>
              </w:rPr>
              <w:t xml:space="preserve">, </w:t>
            </w:r>
            <w:r w:rsidR="00D94E3B" w:rsidRPr="002461E7">
              <w:rPr>
                <w:b w:val="0"/>
              </w:rPr>
              <w:t xml:space="preserve">comparator = </w:t>
            </w:r>
            <w:r w:rsidR="001578A7" w:rsidRPr="002461E7">
              <w:rPr>
                <w:b w:val="0"/>
              </w:rPr>
              <w:t>FOLFOX alone</w:t>
            </w:r>
            <w:r w:rsidRPr="002461E7">
              <w:rPr>
                <w:b w:val="0"/>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2461E7" w:rsidRDefault="00491AE0" w:rsidP="00031F7D">
            <w:pPr>
              <w:jc w:val="center"/>
              <w:rPr>
                <w:rFonts w:ascii="Arial Narrow" w:hAnsi="Arial Narrow"/>
                <w:b/>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D94E3B">
            <w:pPr>
              <w:pStyle w:val="TableHeading"/>
              <w:widowControl w:val="0"/>
              <w:spacing w:before="0" w:after="0"/>
              <w:rPr>
                <w:snapToGrid w:val="0"/>
              </w:rPr>
            </w:pPr>
            <w:r w:rsidRPr="002461E7">
              <w:rPr>
                <w:snapToGrid w:val="0"/>
              </w:rPr>
              <w:t xml:space="preserve">Step 4: </w:t>
            </w:r>
            <w:r w:rsidR="00815C91" w:rsidRPr="002461E7">
              <w:t xml:space="preserve">applied prevalence of </w:t>
            </w:r>
            <w:r w:rsidR="00815C91" w:rsidRPr="002461E7">
              <w:rPr>
                <w:i/>
              </w:rPr>
              <w:t>RAS</w:t>
            </w:r>
            <w:r w:rsidR="00815C91" w:rsidRPr="002461E7">
              <w:t xml:space="preserve"> WT</w:t>
            </w:r>
            <w:r w:rsidR="00815C91" w:rsidRPr="002461E7">
              <w:rPr>
                <w:b w:val="0"/>
              </w:rPr>
              <w:t xml:space="preserve"> (assumed</w:t>
            </w:r>
            <w:r w:rsidRPr="002461E7">
              <w:rPr>
                <w:b w:val="0"/>
              </w:rPr>
              <w:t xml:space="preserve"> </w:t>
            </w:r>
            <w:r w:rsidR="00815C91" w:rsidRPr="002461E7">
              <w:rPr>
                <w:b w:val="0"/>
              </w:rPr>
              <w:t xml:space="preserve">from </w:t>
            </w:r>
            <w:r w:rsidRPr="002461E7">
              <w:rPr>
                <w:b w:val="0"/>
              </w:rPr>
              <w:t>that observed in the trial- no change</w:t>
            </w:r>
            <w:r w:rsidR="001578A7" w:rsidRPr="002461E7">
              <w:rPr>
                <w:b w:val="0"/>
              </w:rPr>
              <w:t xml:space="preserve">, </w:t>
            </w:r>
            <w:r w:rsidR="00D94E3B" w:rsidRPr="002461E7">
              <w:rPr>
                <w:b w:val="0"/>
              </w:rPr>
              <w:t xml:space="preserve">comparator = </w:t>
            </w:r>
            <w:r w:rsidR="001578A7" w:rsidRPr="002461E7">
              <w:rPr>
                <w:b w:val="0"/>
              </w:rPr>
              <w:t>FOLFOX alone</w:t>
            </w:r>
            <w:r w:rsidRPr="002461E7">
              <w:rPr>
                <w:b w:val="0"/>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2461E7" w:rsidRDefault="00491AE0" w:rsidP="00031F7D">
            <w:pPr>
              <w:jc w:val="center"/>
              <w:rPr>
                <w:rFonts w:ascii="Arial Narrow" w:hAnsi="Arial Narrow"/>
                <w:b/>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D94E3B">
            <w:pPr>
              <w:pStyle w:val="TableHeading"/>
              <w:widowControl w:val="0"/>
              <w:spacing w:before="0" w:after="0"/>
              <w:rPr>
                <w:snapToGrid w:val="0"/>
              </w:rPr>
            </w:pPr>
            <w:r w:rsidRPr="002461E7">
              <w:rPr>
                <w:snapToGrid w:val="0"/>
              </w:rPr>
              <w:t xml:space="preserve">Step 5a: </w:t>
            </w:r>
            <w:r w:rsidRPr="002461E7">
              <w:t>applied Australian later-line treatment algorithm</w:t>
            </w:r>
            <w:r w:rsidRPr="002461E7">
              <w:rPr>
                <w:b w:val="0"/>
              </w:rPr>
              <w:t xml:space="preserve"> (costs and outcomes</w:t>
            </w:r>
            <w:r w:rsidR="001578A7" w:rsidRPr="002461E7">
              <w:rPr>
                <w:b w:val="0"/>
              </w:rPr>
              <w:t xml:space="preserve">, </w:t>
            </w:r>
            <w:r w:rsidR="00D94E3B" w:rsidRPr="002461E7">
              <w:rPr>
                <w:b w:val="0"/>
              </w:rPr>
              <w:t xml:space="preserve">comparator = </w:t>
            </w:r>
            <w:r w:rsidRPr="002461E7">
              <w:rPr>
                <w:b w:val="0"/>
              </w:rPr>
              <w:t>FOLFOX alone)</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2461E7" w:rsidRDefault="00491AE0" w:rsidP="00031F7D">
            <w:pPr>
              <w:jc w:val="center"/>
              <w:rPr>
                <w:rFonts w:ascii="Arial Narrow" w:hAnsi="Arial Narrow"/>
                <w:b/>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D94E3B">
            <w:pPr>
              <w:pStyle w:val="TableHeading"/>
              <w:widowControl w:val="0"/>
              <w:spacing w:before="0" w:after="0"/>
              <w:rPr>
                <w:snapToGrid w:val="0"/>
              </w:rPr>
            </w:pPr>
            <w:r w:rsidRPr="002461E7">
              <w:rPr>
                <w:snapToGrid w:val="0"/>
              </w:rPr>
              <w:t xml:space="preserve">Step 5b: </w:t>
            </w:r>
            <w:r w:rsidRPr="002461E7">
              <w:t>applied Australian later-line treatment algorithm</w:t>
            </w:r>
            <w:r w:rsidRPr="002461E7">
              <w:rPr>
                <w:b w:val="0"/>
              </w:rPr>
              <w:t xml:space="preserve"> (costs and o</w:t>
            </w:r>
            <w:r w:rsidR="00E85BF1" w:rsidRPr="002461E7">
              <w:rPr>
                <w:b w:val="0"/>
              </w:rPr>
              <w:t xml:space="preserve">utcomes, </w:t>
            </w:r>
            <w:r w:rsidR="00D94E3B" w:rsidRPr="002461E7">
              <w:rPr>
                <w:b w:val="0"/>
                <w:i/>
              </w:rPr>
              <w:t xml:space="preserve">comparator = </w:t>
            </w:r>
            <w:proofErr w:type="spellStart"/>
            <w:r w:rsidRPr="002461E7">
              <w:rPr>
                <w:b w:val="0"/>
                <w:i/>
              </w:rPr>
              <w:t>bevacizumab</w:t>
            </w:r>
            <w:proofErr w:type="spellEnd"/>
            <w:r w:rsidRPr="002461E7">
              <w:rPr>
                <w:b w:val="0"/>
                <w:i/>
              </w:rPr>
              <w:t xml:space="preserve"> + FOLFOX</w:t>
            </w:r>
            <w:r w:rsidRPr="002461E7">
              <w:rPr>
                <w:b w:val="0"/>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2E31E8">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2461E7" w:rsidRDefault="002E31E8" w:rsidP="00031F7D">
            <w:pPr>
              <w:jc w:val="center"/>
              <w:rPr>
                <w:rFonts w:ascii="Arial Narrow" w:hAnsi="Arial Narrow"/>
                <w:b/>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D94E3B">
            <w:pPr>
              <w:pStyle w:val="TableHeading"/>
              <w:widowControl w:val="0"/>
              <w:spacing w:before="0" w:after="0"/>
              <w:rPr>
                <w:snapToGrid w:val="0"/>
              </w:rPr>
            </w:pPr>
            <w:r w:rsidRPr="002461E7">
              <w:rPr>
                <w:snapToGrid w:val="0"/>
              </w:rPr>
              <w:t xml:space="preserve">Step 6a: </w:t>
            </w:r>
            <w:r w:rsidRPr="002461E7">
              <w:t xml:space="preserve">includes costs and outcomes of </w:t>
            </w:r>
            <w:r w:rsidRPr="002461E7">
              <w:rPr>
                <w:i/>
              </w:rPr>
              <w:t>RAS</w:t>
            </w:r>
            <w:r w:rsidRPr="002461E7">
              <w:t xml:space="preserve"> </w:t>
            </w:r>
            <w:r w:rsidR="00681BDF" w:rsidRPr="002461E7">
              <w:t>M+</w:t>
            </w:r>
            <w:r w:rsidRPr="002461E7">
              <w:t xml:space="preserve"> patients</w:t>
            </w:r>
            <w:r w:rsidR="00A35E66" w:rsidRPr="002461E7">
              <w:t xml:space="preserve"> to model outcomes of </w:t>
            </w:r>
            <w:r w:rsidR="00A35E66" w:rsidRPr="002461E7">
              <w:rPr>
                <w:i/>
              </w:rPr>
              <w:t>RAS</w:t>
            </w:r>
            <w:r w:rsidR="00A35E66" w:rsidRPr="002461E7">
              <w:t xml:space="preserve"> testing</w:t>
            </w:r>
            <w:r w:rsidRPr="002461E7">
              <w:rPr>
                <w:b w:val="0"/>
              </w:rPr>
              <w:t xml:space="preserve"> (</w:t>
            </w:r>
            <w:r w:rsidR="00D94E3B" w:rsidRPr="002461E7">
              <w:rPr>
                <w:b w:val="0"/>
              </w:rPr>
              <w:t xml:space="preserve">comparator = </w:t>
            </w:r>
            <w:r w:rsidRPr="002461E7">
              <w:rPr>
                <w:b w:val="0"/>
              </w:rPr>
              <w:t>FOLFOX alone)</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2461E7" w:rsidRDefault="00491AE0" w:rsidP="00031F7D">
            <w:pPr>
              <w:jc w:val="center"/>
              <w:rPr>
                <w:rFonts w:ascii="Arial Narrow" w:hAnsi="Arial Narrow"/>
                <w:b/>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D94E3B">
            <w:pPr>
              <w:pStyle w:val="TableHeading"/>
              <w:widowControl w:val="0"/>
              <w:spacing w:before="0" w:after="0"/>
              <w:rPr>
                <w:snapToGrid w:val="0"/>
              </w:rPr>
            </w:pPr>
            <w:r w:rsidRPr="002461E7">
              <w:rPr>
                <w:snapToGrid w:val="0"/>
              </w:rPr>
              <w:t xml:space="preserve">Step 6b: </w:t>
            </w:r>
            <w:r w:rsidRPr="002461E7">
              <w:t xml:space="preserve">includes costs and outcomes of </w:t>
            </w:r>
            <w:r w:rsidRPr="002461E7">
              <w:rPr>
                <w:i/>
              </w:rPr>
              <w:t>RAS</w:t>
            </w:r>
            <w:r w:rsidRPr="002461E7">
              <w:t xml:space="preserve"> </w:t>
            </w:r>
            <w:r w:rsidR="00681BDF" w:rsidRPr="002461E7">
              <w:t>M+</w:t>
            </w:r>
            <w:r w:rsidRPr="002461E7">
              <w:t xml:space="preserve"> patients</w:t>
            </w:r>
            <w:r w:rsidR="00A35E66" w:rsidRPr="002461E7">
              <w:t xml:space="preserve"> to model outcomes of </w:t>
            </w:r>
            <w:r w:rsidR="00A35E66" w:rsidRPr="002461E7">
              <w:rPr>
                <w:i/>
              </w:rPr>
              <w:t>RAS</w:t>
            </w:r>
            <w:r w:rsidR="00A35E66" w:rsidRPr="002461E7">
              <w:t xml:space="preserve"> testing</w:t>
            </w:r>
            <w:r w:rsidRPr="002461E7">
              <w:rPr>
                <w:b w:val="0"/>
              </w:rPr>
              <w:t xml:space="preserve"> (</w:t>
            </w:r>
            <w:r w:rsidR="00D94E3B" w:rsidRPr="002461E7">
              <w:rPr>
                <w:b w:val="0"/>
                <w:i/>
              </w:rPr>
              <w:t xml:space="preserve">comparator = </w:t>
            </w:r>
            <w:proofErr w:type="spellStart"/>
            <w:r w:rsidRPr="002461E7">
              <w:rPr>
                <w:b w:val="0"/>
                <w:i/>
              </w:rPr>
              <w:t>bevacizumab</w:t>
            </w:r>
            <w:proofErr w:type="spellEnd"/>
            <w:r w:rsidRPr="002461E7">
              <w:rPr>
                <w:b w:val="0"/>
                <w:i/>
              </w:rPr>
              <w:t xml:space="preserve"> + FOLFOX</w:t>
            </w:r>
            <w:r w:rsidRPr="002461E7">
              <w:rPr>
                <w:b w:val="0"/>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2E31E8">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2461E7" w:rsidRDefault="002E31E8" w:rsidP="00031F7D">
            <w:pPr>
              <w:jc w:val="center"/>
              <w:rPr>
                <w:rFonts w:ascii="Arial Narrow" w:hAnsi="Arial Narrow"/>
                <w:b/>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B7552F">
            <w:pPr>
              <w:pStyle w:val="TableHeading"/>
              <w:widowControl w:val="0"/>
              <w:spacing w:before="0" w:after="0"/>
              <w:rPr>
                <w:snapToGrid w:val="0"/>
              </w:rPr>
            </w:pPr>
            <w:r w:rsidRPr="002461E7">
              <w:rPr>
                <w:snapToGrid w:val="0"/>
              </w:rPr>
              <w:t xml:space="preserve">Step 7a: </w:t>
            </w:r>
            <w:r w:rsidR="00B7552F" w:rsidRPr="002461E7">
              <w:rPr>
                <w:snapToGrid w:val="0"/>
              </w:rPr>
              <w:t>a</w:t>
            </w:r>
            <w:r w:rsidR="00A35E66" w:rsidRPr="002461E7">
              <w:rPr>
                <w:snapToGrid w:val="0"/>
              </w:rPr>
              <w:t xml:space="preserve">ll tested patients, </w:t>
            </w:r>
            <w:r w:rsidRPr="002461E7">
              <w:t>includes outcomes for false positive and false negative patients, and the cost of testing in the later-line setting in the comparator arm of the model</w:t>
            </w:r>
            <w:r w:rsidRPr="002461E7">
              <w:rPr>
                <w:b w:val="0"/>
              </w:rPr>
              <w:t xml:space="preserve"> (</w:t>
            </w:r>
            <w:r w:rsidR="00B7552F" w:rsidRPr="002461E7">
              <w:rPr>
                <w:b w:val="0"/>
              </w:rPr>
              <w:t xml:space="preserve">comparator = </w:t>
            </w:r>
            <w:r w:rsidRPr="002461E7">
              <w:rPr>
                <w:b w:val="0"/>
              </w:rPr>
              <w:t>FOLFOX alone)</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2461E7" w:rsidRDefault="00491AE0" w:rsidP="00031F7D">
            <w:pPr>
              <w:jc w:val="center"/>
              <w:rPr>
                <w:rFonts w:ascii="Arial Narrow" w:hAnsi="Arial Narrow"/>
                <w:b/>
                <w:sz w:val="20"/>
              </w:rPr>
            </w:pPr>
            <w:r w:rsidRPr="002461E7">
              <w:rPr>
                <w:rFonts w:ascii="Arial Narrow" w:hAnsi="Arial Narrow"/>
                <w:b/>
                <w:sz w:val="20"/>
              </w:rPr>
              <w:t>$</w:t>
            </w:r>
            <w:r w:rsidR="001A7755">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B7552F">
            <w:pPr>
              <w:pStyle w:val="TableHeading"/>
              <w:widowControl w:val="0"/>
              <w:spacing w:before="0" w:after="0"/>
              <w:rPr>
                <w:b w:val="0"/>
                <w:snapToGrid w:val="0"/>
              </w:rPr>
            </w:pPr>
            <w:r w:rsidRPr="002461E7">
              <w:rPr>
                <w:snapToGrid w:val="0"/>
              </w:rPr>
              <w:t xml:space="preserve">Step 7b: </w:t>
            </w:r>
            <w:r w:rsidR="00B7552F" w:rsidRPr="002461E7">
              <w:rPr>
                <w:snapToGrid w:val="0"/>
              </w:rPr>
              <w:t>a</w:t>
            </w:r>
            <w:r w:rsidR="00A35E66" w:rsidRPr="002461E7">
              <w:rPr>
                <w:snapToGrid w:val="0"/>
              </w:rPr>
              <w:t xml:space="preserve">ll tested patients, </w:t>
            </w:r>
            <w:r w:rsidRPr="002461E7">
              <w:t>includes outcomes for false positive and false negative patients, and the cost of testing in the later-line setting in the comparator arm of the model</w:t>
            </w:r>
            <w:r w:rsidRPr="002461E7">
              <w:rPr>
                <w:b w:val="0"/>
              </w:rPr>
              <w:t xml:space="preserve"> (</w:t>
            </w:r>
            <w:r w:rsidR="00B7552F" w:rsidRPr="002461E7">
              <w:rPr>
                <w:b w:val="0"/>
                <w:i/>
              </w:rPr>
              <w:t xml:space="preserve">comparator = </w:t>
            </w:r>
            <w:proofErr w:type="spellStart"/>
            <w:r w:rsidRPr="002461E7">
              <w:rPr>
                <w:b w:val="0"/>
                <w:i/>
              </w:rPr>
              <w:t>bevacizumab</w:t>
            </w:r>
            <w:proofErr w:type="spellEnd"/>
            <w:r w:rsidRPr="002461E7">
              <w:rPr>
                <w:b w:val="0"/>
                <w:i/>
              </w:rPr>
              <w:t xml:space="preserve"> + FOLFOX</w:t>
            </w:r>
            <w:r w:rsidRPr="002461E7">
              <w:rPr>
                <w:b w:val="0"/>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tcPr>
          <w:p w:rsidR="00491AE0" w:rsidRPr="002461E7" w:rsidRDefault="00491AE0" w:rsidP="002E31E8">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center"/>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center"/>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1A7755" w:rsidRDefault="001A7755" w:rsidP="00031F7D">
            <w:pPr>
              <w:jc w:val="center"/>
              <w:rPr>
                <w:rFonts w:ascii="Arial Narrow" w:hAnsi="Arial Narrow"/>
                <w:b/>
                <w:sz w:val="20"/>
                <w:highlight w:val="black"/>
              </w:rPr>
            </w:pPr>
            <w:r>
              <w:rPr>
                <w:rFonts w:ascii="Arial Narrow" w:hAnsi="Arial Narrow"/>
                <w:b/>
                <w:noProof/>
                <w:color w:val="000000"/>
                <w:sz w:val="20"/>
                <w:highlight w:val="black"/>
              </w:rPr>
              <w:t>''''''''''''''''''''''</w:t>
            </w:r>
          </w:p>
        </w:tc>
      </w:tr>
      <w:tr w:rsidR="00491AE0" w:rsidRPr="00311B19" w:rsidTr="00031F7D">
        <w:tc>
          <w:tcPr>
            <w:tcW w:w="5000" w:type="pct"/>
            <w:gridSpan w:val="4"/>
            <w:vAlign w:val="center"/>
          </w:tcPr>
          <w:p w:rsidR="00491AE0" w:rsidRPr="002461E7" w:rsidRDefault="00491AE0" w:rsidP="00A35E66">
            <w:pPr>
              <w:pStyle w:val="TableHeading"/>
              <w:widowControl w:val="0"/>
              <w:spacing w:before="0" w:after="0"/>
              <w:rPr>
                <w:b w:val="0"/>
                <w:snapToGrid w:val="0"/>
              </w:rPr>
            </w:pPr>
            <w:r w:rsidRPr="002461E7">
              <w:rPr>
                <w:snapToGrid w:val="0"/>
              </w:rPr>
              <w:t xml:space="preserve">Step 8: </w:t>
            </w:r>
            <w:r w:rsidRPr="002461E7">
              <w:t xml:space="preserve">weighted, assuming </w:t>
            </w:r>
            <w:r w:rsidR="001A7755">
              <w:rPr>
                <w:noProof/>
                <w:color w:val="000000"/>
                <w:highlight w:val="black"/>
              </w:rPr>
              <w:t>''''</w:t>
            </w:r>
            <w:r w:rsidRPr="002461E7">
              <w:t xml:space="preserve">% </w:t>
            </w:r>
            <w:r w:rsidR="00A35E66" w:rsidRPr="002461E7">
              <w:t>of</w:t>
            </w:r>
            <w:r w:rsidRPr="002461E7">
              <w:t xml:space="preserve"> </w:t>
            </w:r>
            <w:r w:rsidR="00A35E66" w:rsidRPr="002461E7">
              <w:t xml:space="preserve">costs and outcomes from the </w:t>
            </w:r>
            <w:proofErr w:type="spellStart"/>
            <w:r w:rsidRPr="002461E7">
              <w:t>bevacizumab</w:t>
            </w:r>
            <w:proofErr w:type="spellEnd"/>
            <w:r w:rsidRPr="002461E7">
              <w:t xml:space="preserve"> + FOLFOX</w:t>
            </w:r>
            <w:r w:rsidR="00A35E66" w:rsidRPr="002461E7">
              <w:t xml:space="preserve"> model</w:t>
            </w:r>
            <w:r w:rsidRPr="002461E7">
              <w:t xml:space="preserve">, and </w:t>
            </w:r>
            <w:r w:rsidR="001A7755">
              <w:rPr>
                <w:noProof/>
                <w:color w:val="000000"/>
                <w:highlight w:val="black"/>
              </w:rPr>
              <w:t>'''''</w:t>
            </w:r>
            <w:r w:rsidRPr="002461E7">
              <w:t xml:space="preserve">% </w:t>
            </w:r>
            <w:r w:rsidR="00A35E66" w:rsidRPr="002461E7">
              <w:t xml:space="preserve">from the </w:t>
            </w:r>
            <w:r w:rsidRPr="002461E7">
              <w:t>FOLFOX alone</w:t>
            </w:r>
            <w:r w:rsidR="00A35E66" w:rsidRPr="002461E7">
              <w:t xml:space="preserve"> model</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Costs</w:t>
            </w:r>
          </w:p>
        </w:tc>
        <w:tc>
          <w:tcPr>
            <w:tcW w:w="1456" w:type="pct"/>
            <w:vAlign w:val="bottom"/>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952" w:type="pct"/>
            <w:vAlign w:val="bottom"/>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c>
          <w:tcPr>
            <w:tcW w:w="1196" w:type="pct"/>
            <w:vAlign w:val="bottom"/>
          </w:tcPr>
          <w:p w:rsidR="00491AE0" w:rsidRPr="002461E7" w:rsidRDefault="00491AE0" w:rsidP="00031F7D">
            <w:pPr>
              <w:jc w:val="center"/>
              <w:rPr>
                <w:rFonts w:ascii="Arial Narrow" w:hAnsi="Arial Narrow"/>
                <w:sz w:val="20"/>
              </w:rPr>
            </w:pPr>
            <w:r w:rsidRPr="002461E7">
              <w:rPr>
                <w:rFonts w:ascii="Arial Narrow" w:hAnsi="Arial Narrow"/>
                <w:sz w:val="20"/>
              </w:rPr>
              <w:t>$</w:t>
            </w:r>
            <w:r w:rsidR="001A7755">
              <w:rPr>
                <w:rFonts w:ascii="Arial Narrow" w:hAnsi="Arial Narrow"/>
                <w:noProof/>
                <w:color w:val="000000"/>
                <w:sz w:val="20"/>
                <w:highlight w:val="black"/>
              </w:rPr>
              <w:t>'''''''''''''</w:t>
            </w:r>
          </w:p>
        </w:tc>
      </w:tr>
      <w:tr w:rsidR="00491AE0" w:rsidRPr="00311B19" w:rsidTr="001A53B7">
        <w:tc>
          <w:tcPr>
            <w:tcW w:w="1396" w:type="pct"/>
            <w:vAlign w:val="center"/>
          </w:tcPr>
          <w:p w:rsidR="00491AE0" w:rsidRPr="002461E7" w:rsidRDefault="00491AE0" w:rsidP="00031F7D">
            <w:pPr>
              <w:jc w:val="left"/>
              <w:rPr>
                <w:rFonts w:ascii="Arial Narrow" w:hAnsi="Arial Narrow"/>
                <w:sz w:val="20"/>
              </w:rPr>
            </w:pPr>
            <w:r w:rsidRPr="002461E7">
              <w:rPr>
                <w:rFonts w:ascii="Arial Narrow" w:hAnsi="Arial Narrow"/>
                <w:sz w:val="20"/>
              </w:rPr>
              <w:t>QALY</w:t>
            </w:r>
          </w:p>
        </w:tc>
        <w:tc>
          <w:tcPr>
            <w:tcW w:w="1456" w:type="pct"/>
            <w:vAlign w:val="bottom"/>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952" w:type="pct"/>
            <w:vAlign w:val="bottom"/>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c>
          <w:tcPr>
            <w:tcW w:w="1196" w:type="pct"/>
            <w:vAlign w:val="bottom"/>
          </w:tcPr>
          <w:p w:rsidR="00491AE0" w:rsidRPr="001A7755" w:rsidRDefault="001A7755" w:rsidP="00031F7D">
            <w:pPr>
              <w:jc w:val="center"/>
              <w:rPr>
                <w:rFonts w:ascii="Arial Narrow" w:hAnsi="Arial Narrow"/>
                <w:sz w:val="20"/>
                <w:highlight w:val="black"/>
              </w:rPr>
            </w:pPr>
            <w:r>
              <w:rPr>
                <w:rFonts w:ascii="Arial Narrow" w:hAnsi="Arial Narrow"/>
                <w:noProof/>
                <w:color w:val="000000"/>
                <w:sz w:val="20"/>
                <w:highlight w:val="black"/>
              </w:rPr>
              <w:t>''''''''''''</w:t>
            </w:r>
          </w:p>
        </w:tc>
      </w:tr>
      <w:tr w:rsidR="00491AE0" w:rsidRPr="00311B19" w:rsidTr="00031F7D">
        <w:tc>
          <w:tcPr>
            <w:tcW w:w="3804" w:type="pct"/>
            <w:gridSpan w:val="3"/>
            <w:vAlign w:val="center"/>
          </w:tcPr>
          <w:p w:rsidR="00491AE0" w:rsidRPr="002461E7" w:rsidRDefault="00491AE0" w:rsidP="00031F7D">
            <w:pPr>
              <w:jc w:val="left"/>
              <w:rPr>
                <w:rFonts w:ascii="Arial Narrow" w:hAnsi="Arial Narrow"/>
                <w:b/>
                <w:sz w:val="20"/>
              </w:rPr>
            </w:pPr>
            <w:r w:rsidRPr="002461E7">
              <w:rPr>
                <w:rFonts w:ascii="Arial Narrow" w:hAnsi="Arial Narrow"/>
                <w:b/>
                <w:sz w:val="20"/>
              </w:rPr>
              <w:t>Incremental cost/extra QALY gained</w:t>
            </w:r>
          </w:p>
        </w:tc>
        <w:tc>
          <w:tcPr>
            <w:tcW w:w="1196" w:type="pct"/>
          </w:tcPr>
          <w:p w:rsidR="00491AE0" w:rsidRPr="002461E7" w:rsidRDefault="00491AE0" w:rsidP="00031F7D">
            <w:pPr>
              <w:jc w:val="center"/>
              <w:rPr>
                <w:rFonts w:ascii="Arial Narrow" w:hAnsi="Arial Narrow"/>
                <w:b/>
                <w:sz w:val="20"/>
              </w:rPr>
            </w:pPr>
            <w:r w:rsidRPr="002461E7">
              <w:rPr>
                <w:rFonts w:ascii="Arial Narrow" w:hAnsi="Arial Narrow"/>
                <w:b/>
                <w:sz w:val="20"/>
              </w:rPr>
              <w:t>$</w:t>
            </w:r>
            <w:r w:rsidR="001A7755">
              <w:rPr>
                <w:rFonts w:ascii="Arial Narrow" w:hAnsi="Arial Narrow"/>
                <w:b/>
                <w:noProof/>
                <w:color w:val="000000"/>
                <w:sz w:val="20"/>
                <w:highlight w:val="black"/>
              </w:rPr>
              <w:t>'''''''''''''</w:t>
            </w:r>
          </w:p>
        </w:tc>
      </w:tr>
    </w:tbl>
    <w:p w:rsidR="00491AE0" w:rsidRPr="00542733" w:rsidRDefault="00102F37" w:rsidP="00491AE0">
      <w:pPr>
        <w:pStyle w:val="TableFooter"/>
      </w:pPr>
      <w:r w:rsidRPr="00542733">
        <w:t>Source: c</w:t>
      </w:r>
      <w:r w:rsidR="00491AE0" w:rsidRPr="00542733">
        <w:t xml:space="preserve">onstructed during the evaluation from Section D.6.1 and D.6.2.1 and Tables D.6-1 and D.6-2, pp32-38 of Section D of the </w:t>
      </w:r>
      <w:r w:rsidR="00AF0640" w:rsidRPr="00542733">
        <w:t>re-</w:t>
      </w:r>
      <w:r w:rsidR="00491AE0" w:rsidRPr="00542733">
        <w:t>submission.</w:t>
      </w:r>
    </w:p>
    <w:p w:rsidR="00491AE0" w:rsidRPr="00542733" w:rsidRDefault="00491AE0" w:rsidP="00E83F8A"/>
    <w:p w:rsidR="00FD31FF" w:rsidRPr="001A53B7" w:rsidRDefault="00A17050" w:rsidP="001A53B7">
      <w:pPr>
        <w:pStyle w:val="ListParagraph"/>
        <w:widowControl/>
        <w:numPr>
          <w:ilvl w:val="1"/>
          <w:numId w:val="18"/>
        </w:numPr>
        <w:rPr>
          <w:szCs w:val="22"/>
        </w:rPr>
      </w:pPr>
      <w:r w:rsidRPr="00542733">
        <w:t>A</w:t>
      </w:r>
      <w:r w:rsidR="00DC2F65" w:rsidRPr="00542733">
        <w:t xml:space="preserve"> key driver </w:t>
      </w:r>
      <w:r w:rsidR="00B7552F" w:rsidRPr="00542733">
        <w:t xml:space="preserve">of the economic evaluation as demonstrated in </w:t>
      </w:r>
      <w:r w:rsidR="006672F8" w:rsidRPr="00542733">
        <w:t>moving from Step 4 to S</w:t>
      </w:r>
      <w:r w:rsidR="00B7552F" w:rsidRPr="00542733">
        <w:t>tep 5</w:t>
      </w:r>
      <w:r w:rsidR="006672F8" w:rsidRPr="00542733">
        <w:t>a</w:t>
      </w:r>
      <w:r w:rsidR="00B7552F" w:rsidRPr="00542733">
        <w:t xml:space="preserve"> </w:t>
      </w:r>
      <w:r w:rsidR="006672F8" w:rsidRPr="00542733">
        <w:t xml:space="preserve">above </w:t>
      </w:r>
      <w:r w:rsidR="00DC2F65" w:rsidRPr="00542733">
        <w:t xml:space="preserve">is the limited treatment options post-progression </w:t>
      </w:r>
      <w:r w:rsidR="00B7552F" w:rsidRPr="00542733">
        <w:t xml:space="preserve">costed in </w:t>
      </w:r>
      <w:r w:rsidR="001A7755">
        <w:rPr>
          <w:noProof/>
          <w:color w:val="000000"/>
          <w:highlight w:val="black"/>
        </w:rPr>
        <w:t>''''''</w:t>
      </w:r>
      <w:r w:rsidR="00DA4438" w:rsidRPr="002461E7">
        <w:t>%</w:t>
      </w:r>
      <w:r w:rsidR="00DA4438" w:rsidRPr="00542733">
        <w:t xml:space="preserve"> of </w:t>
      </w:r>
      <w:r w:rsidR="00DC2F65" w:rsidRPr="00542733">
        <w:t xml:space="preserve">the </w:t>
      </w:r>
      <w:r w:rsidR="006672F8" w:rsidRPr="00542733">
        <w:t xml:space="preserve">proposed </w:t>
      </w:r>
      <w:proofErr w:type="spellStart"/>
      <w:r w:rsidR="00DC2F65" w:rsidRPr="00542733">
        <w:t>panitumumab</w:t>
      </w:r>
      <w:proofErr w:type="spellEnd"/>
      <w:r w:rsidR="00DC2F65" w:rsidRPr="00542733">
        <w:t xml:space="preserve"> </w:t>
      </w:r>
      <w:r w:rsidR="006672F8" w:rsidRPr="00542733">
        <w:t xml:space="preserve">+ FOLFOX </w:t>
      </w:r>
      <w:r w:rsidR="00DC2F65" w:rsidRPr="00542733">
        <w:t xml:space="preserve">arm (chemotherapy alone) </w:t>
      </w:r>
      <w:r w:rsidR="00B7552F" w:rsidRPr="00542733">
        <w:t xml:space="preserve">compared all patients receiving </w:t>
      </w:r>
      <w:r w:rsidR="00DC2F65" w:rsidRPr="00542733">
        <w:t xml:space="preserve">more costly </w:t>
      </w:r>
      <w:proofErr w:type="spellStart"/>
      <w:r w:rsidR="000958D7" w:rsidRPr="00542733">
        <w:t>cetuximab</w:t>
      </w:r>
      <w:proofErr w:type="spellEnd"/>
      <w:r w:rsidR="000958D7" w:rsidRPr="00542733">
        <w:t xml:space="preserve"> </w:t>
      </w:r>
      <w:r w:rsidR="00B7552F" w:rsidRPr="00542733">
        <w:t>in</w:t>
      </w:r>
      <w:r w:rsidR="00DC2F65" w:rsidRPr="00542733">
        <w:t xml:space="preserve"> </w:t>
      </w:r>
      <w:r w:rsidR="001A7755">
        <w:rPr>
          <w:noProof/>
          <w:color w:val="000000"/>
          <w:highlight w:val="black"/>
        </w:rPr>
        <w:t>'''''''''''</w:t>
      </w:r>
      <w:r w:rsidR="00DA4438" w:rsidRPr="002461E7">
        <w:t>%</w:t>
      </w:r>
      <w:r w:rsidR="00DA4438" w:rsidRPr="00542733">
        <w:t xml:space="preserve"> of </w:t>
      </w:r>
      <w:r w:rsidR="00DC2F65" w:rsidRPr="00542733">
        <w:t xml:space="preserve">the </w:t>
      </w:r>
      <w:r w:rsidR="00B7552F" w:rsidRPr="00542733">
        <w:t>FOLFOX alone arm</w:t>
      </w:r>
      <w:r w:rsidR="00DC2F65" w:rsidRPr="00542733">
        <w:t xml:space="preserve">. </w:t>
      </w:r>
      <w:r w:rsidR="00B7552F" w:rsidRPr="00542733">
        <w:t xml:space="preserve"> </w:t>
      </w:r>
      <w:r w:rsidR="00DA4438" w:rsidRPr="00542733">
        <w:t xml:space="preserve">These percentages reflect the extent of post-progression use in the PRIME trial.  </w:t>
      </w:r>
      <w:r w:rsidR="006672F8" w:rsidRPr="00542733">
        <w:t xml:space="preserve">This flows on to a similar assumption for all patients receiving more costly </w:t>
      </w:r>
      <w:proofErr w:type="spellStart"/>
      <w:r w:rsidR="000958D7" w:rsidRPr="00542733">
        <w:t>cetuximab</w:t>
      </w:r>
      <w:proofErr w:type="spellEnd"/>
      <w:r w:rsidR="006672F8" w:rsidRPr="00542733">
        <w:t xml:space="preserve"> in the </w:t>
      </w:r>
      <w:proofErr w:type="spellStart"/>
      <w:r w:rsidR="006672F8" w:rsidRPr="00542733">
        <w:t>bevacizumab</w:t>
      </w:r>
      <w:proofErr w:type="spellEnd"/>
      <w:r w:rsidR="006672F8" w:rsidRPr="00542733">
        <w:t xml:space="preserve"> + FOLFOX arm in Step 5b</w:t>
      </w:r>
      <w:r w:rsidR="00DA4438" w:rsidRPr="00542733">
        <w:t xml:space="preserve"> (</w:t>
      </w:r>
      <w:r w:rsidR="000958D7" w:rsidRPr="00542733">
        <w:t xml:space="preserve">the </w:t>
      </w:r>
      <w:r w:rsidR="00DA4438" w:rsidRPr="00542733">
        <w:t xml:space="preserve">percentage receiving post-progression therapy not clear, but </w:t>
      </w:r>
      <w:r w:rsidR="000958D7" w:rsidRPr="00542733">
        <w:t xml:space="preserve">is </w:t>
      </w:r>
      <w:r w:rsidR="00DA4438" w:rsidRPr="00542733">
        <w:t xml:space="preserve">likely to reflect the </w:t>
      </w:r>
      <w:r w:rsidR="001A7755">
        <w:rPr>
          <w:noProof/>
          <w:color w:val="000000"/>
          <w:highlight w:val="black"/>
        </w:rPr>
        <w:t>''''''</w:t>
      </w:r>
      <w:r w:rsidR="00DA4438" w:rsidRPr="002461E7">
        <w:t>%</w:t>
      </w:r>
      <w:r w:rsidR="00DA4438" w:rsidRPr="00542733">
        <w:t xml:space="preserve"> from the PRIME trial rather than </w:t>
      </w:r>
      <w:r w:rsidR="001A7755">
        <w:rPr>
          <w:noProof/>
          <w:color w:val="000000"/>
          <w:highlight w:val="black"/>
        </w:rPr>
        <w:t>'''''''</w:t>
      </w:r>
      <w:r w:rsidR="00DA4438" w:rsidRPr="002461E7">
        <w:t>%</w:t>
      </w:r>
      <w:r w:rsidR="00DA4438" w:rsidRPr="00542733">
        <w:t xml:space="preserve"> from the PEAK trial)</w:t>
      </w:r>
      <w:r w:rsidR="006672F8" w:rsidRPr="00542733">
        <w:t>.  As the incremental costs are therefore likely to be underestimated for both analyses, the corresponding ICERs are als</w:t>
      </w:r>
      <w:r w:rsidR="0073081A" w:rsidRPr="00542733">
        <w:t>o likely to be underestimated.</w:t>
      </w:r>
    </w:p>
    <w:p w:rsidR="00FD31FF" w:rsidRPr="00542733" w:rsidRDefault="00FD31FF" w:rsidP="00FD31FF"/>
    <w:p w:rsidR="00FD31FF" w:rsidRPr="001A53B7" w:rsidRDefault="006672F8" w:rsidP="001A53B7">
      <w:pPr>
        <w:pStyle w:val="ListParagraph"/>
        <w:widowControl/>
        <w:numPr>
          <w:ilvl w:val="1"/>
          <w:numId w:val="18"/>
        </w:numPr>
        <w:rPr>
          <w:szCs w:val="22"/>
        </w:rPr>
      </w:pPr>
      <w:r w:rsidRPr="00542733">
        <w:lastRenderedPageBreak/>
        <w:t xml:space="preserve">The PSCR (p1-2) argues that, on the basis of clinician advice, it is likely that around </w:t>
      </w:r>
      <w:r w:rsidR="001A7755">
        <w:rPr>
          <w:noProof/>
          <w:color w:val="000000"/>
          <w:highlight w:val="black"/>
        </w:rPr>
        <w:t>''''''</w:t>
      </w:r>
      <w:r w:rsidRPr="002461E7">
        <w:t>%</w:t>
      </w:r>
      <w:r w:rsidRPr="00542733">
        <w:t xml:space="preserve"> of eligible patients who receive active second-line trea</w:t>
      </w:r>
      <w:r w:rsidR="0073081A" w:rsidRPr="00542733">
        <w:t xml:space="preserve">tment would receive </w:t>
      </w:r>
      <w:proofErr w:type="spellStart"/>
      <w:r w:rsidR="0073081A" w:rsidRPr="00542733">
        <w:t>cetuximab</w:t>
      </w:r>
      <w:proofErr w:type="spellEnd"/>
      <w:r w:rsidR="0073081A" w:rsidRPr="00542733">
        <w:t>.</w:t>
      </w:r>
    </w:p>
    <w:p w:rsidR="00FD31FF" w:rsidRPr="00542733" w:rsidRDefault="00FD31FF" w:rsidP="00FD31FF"/>
    <w:p w:rsidR="00241DEC" w:rsidRPr="001A53B7" w:rsidRDefault="006672F8" w:rsidP="001A53B7">
      <w:pPr>
        <w:pStyle w:val="ListParagraph"/>
        <w:widowControl/>
        <w:numPr>
          <w:ilvl w:val="1"/>
          <w:numId w:val="18"/>
        </w:numPr>
        <w:rPr>
          <w:szCs w:val="22"/>
        </w:rPr>
      </w:pPr>
      <w:r w:rsidRPr="00542733">
        <w:t xml:space="preserve">The model was re-run to assume costs of </w:t>
      </w:r>
      <w:proofErr w:type="spellStart"/>
      <w:r w:rsidRPr="00542733">
        <w:t>cetuximab</w:t>
      </w:r>
      <w:proofErr w:type="spellEnd"/>
      <w:r w:rsidRPr="00542733">
        <w:t xml:space="preserve"> in </w:t>
      </w:r>
      <w:r w:rsidR="001A7755">
        <w:rPr>
          <w:noProof/>
          <w:color w:val="000000"/>
          <w:highlight w:val="black"/>
        </w:rPr>
        <w:t>''''''</w:t>
      </w:r>
      <w:r w:rsidRPr="002461E7">
        <w:t xml:space="preserve">% </w:t>
      </w:r>
      <w:r w:rsidRPr="00542733">
        <w:t xml:space="preserve">of modelled patients.  The ESC considered that </w:t>
      </w:r>
      <w:r w:rsidR="001A7755">
        <w:rPr>
          <w:noProof/>
          <w:color w:val="000000"/>
          <w:highlight w:val="black"/>
        </w:rPr>
        <w:t>''''''</w:t>
      </w:r>
      <w:r w:rsidRPr="002461E7">
        <w:t>%</w:t>
      </w:r>
      <w:r w:rsidRPr="00542733">
        <w:t xml:space="preserve"> is more likely but possibly still an overestimate.  </w:t>
      </w:r>
      <w:r w:rsidR="00B7552F" w:rsidRPr="00542733">
        <w:t xml:space="preserve">It would be more appropriate </w:t>
      </w:r>
      <w:r w:rsidR="000958D7" w:rsidRPr="00542733">
        <w:t xml:space="preserve">for these costs of </w:t>
      </w:r>
      <w:proofErr w:type="spellStart"/>
      <w:r w:rsidR="000958D7" w:rsidRPr="00542733">
        <w:t>cetuximab</w:t>
      </w:r>
      <w:proofErr w:type="spellEnd"/>
      <w:r w:rsidR="000958D7" w:rsidRPr="00542733">
        <w:t xml:space="preserve"> </w:t>
      </w:r>
      <w:r w:rsidR="00B7552F" w:rsidRPr="00542733">
        <w:t xml:space="preserve">to reflect the proportion of patients in the FOLFOX alone arm of the PRIME trial (which generated the corresponding estimate of health outcomes) </w:t>
      </w:r>
      <w:r w:rsidR="000958D7" w:rsidRPr="00542733">
        <w:t xml:space="preserve">who actually received post-progression </w:t>
      </w:r>
      <w:r w:rsidR="00BF5766" w:rsidRPr="00542733">
        <w:t>anti-</w:t>
      </w:r>
      <w:r w:rsidR="000958D7" w:rsidRPr="00542733">
        <w:t xml:space="preserve">EGFR </w:t>
      </w:r>
      <w:r w:rsidR="00BF5766" w:rsidRPr="00542733">
        <w:t xml:space="preserve">antibodies </w:t>
      </w:r>
      <w:r w:rsidR="001A7755">
        <w:rPr>
          <w:noProof/>
          <w:color w:val="000000"/>
          <w:highlight w:val="black"/>
        </w:rPr>
        <w:t>''''''''''''''''' ''''' ''''''</w:t>
      </w:r>
      <w:r w:rsidR="005C5B7C" w:rsidRPr="002461E7">
        <w:t>%, using the latest (2010) data cut-off</w:t>
      </w:r>
      <w:r w:rsidR="000958D7" w:rsidRPr="002461E7">
        <w:t>)</w:t>
      </w:r>
      <w:r w:rsidR="000958D7" w:rsidRPr="00542733">
        <w:t xml:space="preserve"> </w:t>
      </w:r>
      <w:r w:rsidR="00B7552F" w:rsidRPr="00542733">
        <w:t>as a better estimate of the current PBS population</w:t>
      </w:r>
      <w:r w:rsidR="005C5B7C" w:rsidRPr="00542733">
        <w:t>, with the remainder of patients progressing on FOLFOX alone receiving FOLFIRI alone</w:t>
      </w:r>
      <w:r w:rsidR="00B7552F" w:rsidRPr="00542733">
        <w:t>.</w:t>
      </w:r>
      <w:r w:rsidR="00D728EA" w:rsidRPr="00542733">
        <w:t xml:space="preserve">  The results of this sensitivity ana</w:t>
      </w:r>
      <w:r w:rsidR="00415060" w:rsidRPr="00542733">
        <w:t>lysis are presented in the table below.</w:t>
      </w:r>
    </w:p>
    <w:p w:rsidR="00241DEC" w:rsidRPr="00542733" w:rsidRDefault="00241DEC" w:rsidP="00171C9A">
      <w:pPr>
        <w:rPr>
          <w:i/>
        </w:rPr>
      </w:pPr>
    </w:p>
    <w:p w:rsidR="00D728EA" w:rsidRPr="002461E7" w:rsidRDefault="00D728EA" w:rsidP="001A53B7">
      <w:pPr>
        <w:ind w:firstLine="720"/>
        <w:rPr>
          <w:rStyle w:val="CommentReference"/>
        </w:rPr>
      </w:pPr>
      <w:r w:rsidRPr="002461E7">
        <w:rPr>
          <w:rStyle w:val="CommentReference"/>
        </w:rPr>
        <w:t>Sensitivity analys</w:t>
      </w:r>
      <w:r w:rsidR="00FA0562" w:rsidRPr="002461E7">
        <w:rPr>
          <w:rStyle w:val="CommentReference"/>
        </w:rPr>
        <w:t>e</w:t>
      </w:r>
      <w:r w:rsidRPr="002461E7">
        <w:rPr>
          <w:rStyle w:val="CommentReference"/>
        </w:rPr>
        <w:t xml:space="preserve">s </w:t>
      </w:r>
      <w:r w:rsidR="00FA0562" w:rsidRPr="002461E7">
        <w:rPr>
          <w:rStyle w:val="CommentReference"/>
        </w:rPr>
        <w:t>to reflect</w:t>
      </w:r>
      <w:r w:rsidRPr="002461E7">
        <w:rPr>
          <w:rStyle w:val="CommentReference"/>
        </w:rPr>
        <w:t xml:space="preserve"> post-progression therapy in the PRIME trial</w:t>
      </w:r>
    </w:p>
    <w:tbl>
      <w:tblPr>
        <w:tblW w:w="4604" w:type="pct"/>
        <w:tblInd w:w="737" w:type="dxa"/>
        <w:tblCellMar>
          <w:left w:w="0" w:type="dxa"/>
          <w:right w:w="0" w:type="dxa"/>
        </w:tblCellMar>
        <w:tblLook w:val="04A0" w:firstRow="1" w:lastRow="0" w:firstColumn="1" w:lastColumn="0" w:noHBand="0" w:noVBand="1"/>
        <w:tblDescription w:val="Sensitivity analyses to reflect post-progression therapy in the PRIME trial"/>
      </w:tblPr>
      <w:tblGrid>
        <w:gridCol w:w="2247"/>
        <w:gridCol w:w="2429"/>
        <w:gridCol w:w="2126"/>
        <w:gridCol w:w="1562"/>
      </w:tblGrid>
      <w:tr w:rsidR="00D728EA" w:rsidRPr="00311B19" w:rsidTr="001A53B7">
        <w:tc>
          <w:tcPr>
            <w:tcW w:w="134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D728EA" w:rsidRPr="002461E7" w:rsidRDefault="00D728EA" w:rsidP="00D728EA">
            <w:pPr>
              <w:widowControl/>
              <w:spacing w:line="276" w:lineRule="auto"/>
              <w:jc w:val="left"/>
              <w:rPr>
                <w:rFonts w:ascii="Arial Narrow" w:hAnsi="Arial Narrow" w:cs="Times New Roman"/>
                <w:snapToGrid/>
                <w:sz w:val="20"/>
                <w:lang w:eastAsia="zh-CN"/>
              </w:rPr>
            </w:pPr>
          </w:p>
        </w:tc>
        <w:tc>
          <w:tcPr>
            <w:tcW w:w="1452" w:type="pct"/>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proofErr w:type="spellStart"/>
            <w:r w:rsidRPr="002461E7">
              <w:rPr>
                <w:rFonts w:ascii="Arial Narrow" w:hAnsi="Arial Narrow" w:cs="Times New Roman"/>
                <w:b/>
                <w:bCs/>
                <w:snapToGrid/>
                <w:sz w:val="20"/>
                <w:lang w:eastAsia="en-AU"/>
              </w:rPr>
              <w:t>P</w:t>
            </w:r>
            <w:r w:rsidR="00FA0562" w:rsidRPr="002461E7">
              <w:rPr>
                <w:rFonts w:ascii="Arial Narrow" w:hAnsi="Arial Narrow" w:cs="Times New Roman"/>
                <w:b/>
                <w:bCs/>
                <w:snapToGrid/>
                <w:sz w:val="20"/>
                <w:lang w:eastAsia="en-AU"/>
              </w:rPr>
              <w:t>anitumu</w:t>
            </w:r>
            <w:r w:rsidRPr="002461E7">
              <w:rPr>
                <w:rFonts w:ascii="Arial Narrow" w:hAnsi="Arial Narrow" w:cs="Times New Roman"/>
                <w:b/>
                <w:bCs/>
                <w:snapToGrid/>
                <w:sz w:val="20"/>
                <w:lang w:eastAsia="en-AU"/>
              </w:rPr>
              <w:t>mab</w:t>
            </w:r>
            <w:proofErr w:type="spellEnd"/>
            <w:r w:rsidRPr="002461E7">
              <w:rPr>
                <w:rFonts w:ascii="Arial Narrow" w:hAnsi="Arial Narrow" w:cs="Times New Roman"/>
                <w:b/>
                <w:bCs/>
                <w:snapToGrid/>
                <w:sz w:val="20"/>
                <w:lang w:eastAsia="en-AU"/>
              </w:rPr>
              <w:t xml:space="preserve"> + FOLFOX</w:t>
            </w:r>
          </w:p>
        </w:tc>
        <w:tc>
          <w:tcPr>
            <w:tcW w:w="1271" w:type="pct"/>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r w:rsidRPr="002461E7">
              <w:rPr>
                <w:rFonts w:ascii="Arial Narrow" w:hAnsi="Arial Narrow" w:cs="Times New Roman"/>
                <w:b/>
                <w:bCs/>
                <w:snapToGrid/>
                <w:sz w:val="20"/>
                <w:lang w:eastAsia="en-AU"/>
              </w:rPr>
              <w:t xml:space="preserve">FOLFOX </w:t>
            </w:r>
            <w:r w:rsidR="00FA0562" w:rsidRPr="002461E7">
              <w:rPr>
                <w:rFonts w:ascii="Arial Narrow" w:hAnsi="Arial Narrow" w:cs="Times New Roman"/>
                <w:b/>
                <w:bCs/>
                <w:snapToGrid/>
                <w:sz w:val="20"/>
                <w:lang w:eastAsia="en-AU"/>
              </w:rPr>
              <w:t>alone</w:t>
            </w:r>
          </w:p>
        </w:tc>
        <w:tc>
          <w:tcPr>
            <w:tcW w:w="934" w:type="pct"/>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b/>
                <w:bCs/>
                <w:snapToGrid/>
                <w:sz w:val="20"/>
                <w:lang w:eastAsia="zh-CN"/>
              </w:rPr>
            </w:pPr>
            <w:r w:rsidRPr="002461E7">
              <w:rPr>
                <w:rFonts w:ascii="Arial Narrow" w:hAnsi="Arial Narrow" w:cs="Times New Roman"/>
                <w:b/>
                <w:bCs/>
                <w:snapToGrid/>
                <w:sz w:val="20"/>
                <w:lang w:eastAsia="en-AU"/>
              </w:rPr>
              <w:t>Increment</w:t>
            </w:r>
          </w:p>
        </w:tc>
      </w:tr>
      <w:tr w:rsidR="00D728EA" w:rsidRPr="00311B19" w:rsidTr="001A53B7">
        <w:tc>
          <w:tcPr>
            <w:tcW w:w="5000" w:type="pct"/>
            <w:gridSpan w:val="4"/>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2461E7" w:rsidRDefault="00D728EA" w:rsidP="00D728EA">
            <w:pPr>
              <w:widowControl/>
              <w:spacing w:line="276" w:lineRule="auto"/>
              <w:jc w:val="left"/>
              <w:rPr>
                <w:rFonts w:ascii="Arial Narrow" w:hAnsi="Arial Narrow" w:cs="Times New Roman"/>
                <w:snapToGrid/>
                <w:sz w:val="20"/>
                <w:lang w:eastAsia="en-AU"/>
              </w:rPr>
            </w:pPr>
            <w:r w:rsidRPr="002461E7">
              <w:rPr>
                <w:rFonts w:ascii="Arial Narrow" w:hAnsi="Arial Narrow" w:cs="Times New Roman"/>
                <w:b/>
                <w:bCs/>
                <w:snapToGrid/>
                <w:sz w:val="20"/>
                <w:u w:val="single"/>
                <w:lang w:eastAsia="en-AU"/>
              </w:rPr>
              <w:t>Base case</w:t>
            </w:r>
            <w:r w:rsidR="00102F37" w:rsidRPr="002461E7">
              <w:rPr>
                <w:rFonts w:ascii="Arial Narrow" w:hAnsi="Arial Narrow" w:cs="Times New Roman"/>
                <w:b/>
                <w:bCs/>
                <w:snapToGrid/>
                <w:sz w:val="20"/>
                <w:u w:val="single"/>
                <w:lang w:eastAsia="en-AU"/>
              </w:rPr>
              <w:t xml:space="preserve"> (Step 7a)</w:t>
            </w:r>
            <w:r w:rsidR="00FA0562" w:rsidRPr="002461E7">
              <w:rPr>
                <w:rFonts w:ascii="Arial Narrow" w:hAnsi="Arial Narrow" w:cs="Times New Roman"/>
                <w:snapToGrid/>
                <w:sz w:val="20"/>
                <w:lang w:eastAsia="en-AU"/>
              </w:rPr>
              <w:t>:</w:t>
            </w:r>
            <w:r w:rsidRPr="002461E7">
              <w:rPr>
                <w:rFonts w:ascii="Arial Narrow" w:hAnsi="Arial Narrow" w:cs="Times New Roman"/>
                <w:snapToGrid/>
                <w:sz w:val="20"/>
                <w:lang w:eastAsia="en-AU"/>
              </w:rPr>
              <w:t xml:space="preserve"> </w:t>
            </w:r>
            <w:r w:rsidR="00FA0562" w:rsidRPr="002461E7">
              <w:rPr>
                <w:rFonts w:ascii="Arial Narrow" w:hAnsi="Arial Narrow" w:cs="Times New Roman"/>
                <w:snapToGrid/>
                <w:sz w:val="20"/>
                <w:lang w:eastAsia="en-AU"/>
              </w:rPr>
              <w:t>a</w:t>
            </w:r>
            <w:r w:rsidRPr="002461E7">
              <w:rPr>
                <w:rFonts w:ascii="Arial Narrow" w:hAnsi="Arial Narrow" w:cs="Times New Roman"/>
                <w:snapToGrid/>
                <w:sz w:val="20"/>
                <w:lang w:eastAsia="en-AU"/>
              </w:rPr>
              <w:t xml:space="preserve">fter first-line FOLFOX: </w:t>
            </w:r>
            <w:r w:rsidR="001A7755">
              <w:rPr>
                <w:rFonts w:ascii="Arial Narrow" w:hAnsi="Arial Narrow" w:cs="Times New Roman"/>
                <w:noProof/>
                <w:snapToGrid/>
                <w:color w:val="000000"/>
                <w:sz w:val="20"/>
                <w:highlight w:val="black"/>
                <w:lang w:eastAsia="en-AU"/>
              </w:rPr>
              <w:t>''''''''''</w:t>
            </w:r>
            <w:r w:rsidRPr="002461E7">
              <w:rPr>
                <w:rFonts w:ascii="Arial Narrow" w:hAnsi="Arial Narrow" w:cs="Times New Roman"/>
                <w:snapToGrid/>
                <w:sz w:val="20"/>
                <w:lang w:eastAsia="en-AU"/>
              </w:rPr>
              <w:t xml:space="preserve">% </w:t>
            </w:r>
            <w:proofErr w:type="spellStart"/>
            <w:r w:rsidRPr="002461E7">
              <w:rPr>
                <w:rFonts w:ascii="Arial Narrow" w:hAnsi="Arial Narrow" w:cs="Times New Roman"/>
                <w:snapToGrid/>
                <w:sz w:val="20"/>
                <w:lang w:eastAsia="en-AU"/>
              </w:rPr>
              <w:t>cet</w:t>
            </w:r>
            <w:r w:rsidR="00FA0562" w:rsidRPr="002461E7">
              <w:rPr>
                <w:rFonts w:ascii="Arial Narrow" w:hAnsi="Arial Narrow" w:cs="Times New Roman"/>
                <w:snapToGrid/>
                <w:sz w:val="20"/>
                <w:lang w:eastAsia="en-AU"/>
              </w:rPr>
              <w:t>uximab</w:t>
            </w:r>
            <w:proofErr w:type="spellEnd"/>
            <w:r w:rsidR="00FA0562"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w:t>
            </w:r>
            <w:r w:rsidR="00FA0562"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FOLFIRI (in those who receive active treatment)</w:t>
            </w:r>
          </w:p>
          <w:p w:rsidR="00D728EA" w:rsidRPr="002461E7" w:rsidRDefault="00D728EA" w:rsidP="00D728EA">
            <w:pPr>
              <w:widowControl/>
              <w:spacing w:line="276" w:lineRule="auto"/>
              <w:jc w:val="left"/>
              <w:rPr>
                <w:rFonts w:ascii="Arial Narrow" w:hAnsi="Arial Narrow" w:cs="Times New Roman"/>
                <w:snapToGrid/>
                <w:sz w:val="20"/>
                <w:lang w:eastAsia="zh-CN"/>
              </w:rPr>
            </w:pPr>
            <w:r w:rsidRPr="002461E7">
              <w:rPr>
                <w:rFonts w:ascii="Arial Narrow" w:hAnsi="Arial Narrow" w:cs="Times New Roman"/>
                <w:snapToGrid/>
                <w:sz w:val="20"/>
                <w:lang w:eastAsia="en-AU"/>
              </w:rPr>
              <w:t xml:space="preserve">[so </w:t>
            </w:r>
            <w:r w:rsidR="001A7755">
              <w:rPr>
                <w:rFonts w:ascii="Arial Narrow" w:hAnsi="Arial Narrow" w:cs="Times New Roman"/>
                <w:noProof/>
                <w:snapToGrid/>
                <w:color w:val="000000"/>
                <w:sz w:val="20"/>
                <w:highlight w:val="black"/>
                <w:lang w:eastAsia="en-AU"/>
              </w:rPr>
              <w:t>''''''</w:t>
            </w:r>
            <w:r w:rsidRPr="002461E7">
              <w:rPr>
                <w:rFonts w:ascii="Arial Narrow" w:hAnsi="Arial Narrow" w:cs="Times New Roman"/>
                <w:snapToGrid/>
                <w:sz w:val="20"/>
                <w:lang w:eastAsia="en-AU"/>
              </w:rPr>
              <w:t xml:space="preserve">% of all patients receive </w:t>
            </w:r>
            <w:proofErr w:type="spellStart"/>
            <w:r w:rsidRPr="002461E7">
              <w:rPr>
                <w:rFonts w:ascii="Arial Narrow" w:hAnsi="Arial Narrow" w:cs="Times New Roman"/>
                <w:snapToGrid/>
                <w:sz w:val="20"/>
                <w:lang w:eastAsia="en-AU"/>
              </w:rPr>
              <w:t>cet</w:t>
            </w:r>
            <w:r w:rsidR="00FA0562" w:rsidRPr="002461E7">
              <w:rPr>
                <w:rFonts w:ascii="Arial Narrow" w:hAnsi="Arial Narrow" w:cs="Times New Roman"/>
                <w:snapToGrid/>
                <w:sz w:val="20"/>
                <w:lang w:eastAsia="en-AU"/>
              </w:rPr>
              <w:t>uximab</w:t>
            </w:r>
            <w:proofErr w:type="spellEnd"/>
            <w:r w:rsidR="00FA0562"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w:t>
            </w:r>
            <w:r w:rsidR="00FA0562"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 xml:space="preserve">FOLFIRI, </w:t>
            </w:r>
            <w:r w:rsidR="001A7755">
              <w:rPr>
                <w:rFonts w:ascii="Arial Narrow" w:hAnsi="Arial Narrow" w:cs="Times New Roman"/>
                <w:noProof/>
                <w:snapToGrid/>
                <w:color w:val="000000"/>
                <w:sz w:val="20"/>
                <w:highlight w:val="black"/>
                <w:lang w:eastAsia="en-AU"/>
              </w:rPr>
              <w:t>''''''</w:t>
            </w:r>
            <w:r w:rsidRPr="002461E7">
              <w:rPr>
                <w:rFonts w:ascii="Arial Narrow" w:hAnsi="Arial Narrow" w:cs="Times New Roman"/>
                <w:snapToGrid/>
                <w:sz w:val="20"/>
                <w:lang w:eastAsia="en-AU"/>
              </w:rPr>
              <w:t>% receive no treatment]</w:t>
            </w:r>
          </w:p>
        </w:tc>
      </w:tr>
      <w:tr w:rsidR="00D728EA" w:rsidRPr="00311B19" w:rsidTr="001A53B7">
        <w:tc>
          <w:tcPr>
            <w:tcW w:w="134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2461E7" w:rsidRDefault="00D728EA" w:rsidP="00D728EA">
            <w:pPr>
              <w:widowControl/>
              <w:spacing w:line="276" w:lineRule="auto"/>
              <w:jc w:val="left"/>
              <w:rPr>
                <w:rFonts w:ascii="Arial Narrow" w:hAnsi="Arial Narrow" w:cs="Times New Roman"/>
                <w:snapToGrid/>
                <w:sz w:val="20"/>
                <w:lang w:eastAsia="zh-CN"/>
              </w:rPr>
            </w:pPr>
            <w:r w:rsidRPr="002461E7">
              <w:rPr>
                <w:rFonts w:ascii="Arial Narrow" w:hAnsi="Arial Narrow" w:cs="Times New Roman"/>
                <w:snapToGrid/>
                <w:sz w:val="20"/>
                <w:lang w:eastAsia="en-AU"/>
              </w:rPr>
              <w:t>Costs</w:t>
            </w:r>
          </w:p>
        </w:tc>
        <w:tc>
          <w:tcPr>
            <w:tcW w:w="1452"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r w:rsidRPr="002461E7">
              <w:rPr>
                <w:rFonts w:ascii="Arial Narrow" w:hAnsi="Arial Narrow" w:cs="Times New Roman"/>
                <w:snapToGrid/>
                <w:sz w:val="20"/>
                <w:lang w:eastAsia="en-AU"/>
              </w:rPr>
              <w:t>$</w:t>
            </w:r>
            <w:r w:rsidR="001A7755">
              <w:rPr>
                <w:rFonts w:ascii="Arial Narrow" w:hAnsi="Arial Narrow" w:cs="Times New Roman"/>
                <w:noProof/>
                <w:snapToGrid/>
                <w:color w:val="000000"/>
                <w:sz w:val="20"/>
                <w:highlight w:val="black"/>
                <w:lang w:eastAsia="en-AU"/>
              </w:rPr>
              <w:t>'''''''''''''''</w:t>
            </w:r>
          </w:p>
        </w:tc>
        <w:tc>
          <w:tcPr>
            <w:tcW w:w="127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r w:rsidRPr="002461E7">
              <w:rPr>
                <w:rFonts w:ascii="Arial Narrow" w:hAnsi="Arial Narrow" w:cs="Times New Roman"/>
                <w:snapToGrid/>
                <w:sz w:val="20"/>
                <w:lang w:eastAsia="en-AU"/>
              </w:rPr>
              <w:t>$</w:t>
            </w:r>
            <w:r w:rsidR="001A7755">
              <w:rPr>
                <w:rFonts w:ascii="Arial Narrow" w:hAnsi="Arial Narrow" w:cs="Times New Roman"/>
                <w:noProof/>
                <w:snapToGrid/>
                <w:color w:val="000000"/>
                <w:sz w:val="20"/>
                <w:highlight w:val="black"/>
                <w:lang w:eastAsia="en-AU"/>
              </w:rPr>
              <w:t>'''''''''''''''</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r w:rsidRPr="002461E7">
              <w:rPr>
                <w:rFonts w:ascii="Arial Narrow" w:hAnsi="Arial Narrow" w:cs="Times New Roman"/>
                <w:snapToGrid/>
                <w:sz w:val="20"/>
                <w:lang w:eastAsia="en-AU"/>
              </w:rPr>
              <w:t>$</w:t>
            </w:r>
            <w:r w:rsidR="001A7755">
              <w:rPr>
                <w:rFonts w:ascii="Arial Narrow" w:hAnsi="Arial Narrow" w:cs="Times New Roman"/>
                <w:noProof/>
                <w:snapToGrid/>
                <w:color w:val="000000"/>
                <w:sz w:val="20"/>
                <w:highlight w:val="black"/>
                <w:lang w:eastAsia="en-AU"/>
              </w:rPr>
              <w:t>''''''''''''''</w:t>
            </w:r>
          </w:p>
        </w:tc>
      </w:tr>
      <w:tr w:rsidR="00D728EA" w:rsidRPr="00311B19" w:rsidTr="001A53B7">
        <w:tc>
          <w:tcPr>
            <w:tcW w:w="134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2461E7" w:rsidRDefault="00D728EA" w:rsidP="00D728EA">
            <w:pPr>
              <w:widowControl/>
              <w:spacing w:line="276" w:lineRule="auto"/>
              <w:jc w:val="left"/>
              <w:rPr>
                <w:rFonts w:ascii="Arial Narrow" w:hAnsi="Arial Narrow" w:cs="Times New Roman"/>
                <w:snapToGrid/>
                <w:sz w:val="20"/>
                <w:lang w:eastAsia="zh-CN"/>
              </w:rPr>
            </w:pPr>
            <w:r w:rsidRPr="002461E7">
              <w:rPr>
                <w:rFonts w:ascii="Arial Narrow" w:hAnsi="Arial Narrow" w:cs="Times New Roman"/>
                <w:snapToGrid/>
                <w:sz w:val="20"/>
                <w:lang w:eastAsia="en-AU"/>
              </w:rPr>
              <w:t>QALY</w:t>
            </w:r>
          </w:p>
        </w:tc>
        <w:tc>
          <w:tcPr>
            <w:tcW w:w="1452"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snapToGrid/>
                <w:sz w:val="20"/>
                <w:highlight w:val="black"/>
                <w:lang w:eastAsia="zh-CN"/>
              </w:rPr>
            </w:pPr>
            <w:r>
              <w:rPr>
                <w:rFonts w:ascii="Arial Narrow" w:hAnsi="Arial Narrow" w:cs="Times New Roman"/>
                <w:noProof/>
                <w:snapToGrid/>
                <w:color w:val="000000"/>
                <w:sz w:val="20"/>
                <w:highlight w:val="black"/>
                <w:lang w:eastAsia="en-AU"/>
              </w:rPr>
              <w:t>''''''''''''''</w:t>
            </w:r>
          </w:p>
        </w:tc>
        <w:tc>
          <w:tcPr>
            <w:tcW w:w="127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snapToGrid/>
                <w:sz w:val="20"/>
                <w:highlight w:val="black"/>
                <w:lang w:eastAsia="zh-CN"/>
              </w:rPr>
            </w:pPr>
            <w:r>
              <w:rPr>
                <w:rFonts w:ascii="Arial Narrow" w:hAnsi="Arial Narrow" w:cs="Times New Roman"/>
                <w:noProof/>
                <w:snapToGrid/>
                <w:color w:val="000000"/>
                <w:sz w:val="20"/>
                <w:highlight w:val="black"/>
                <w:lang w:eastAsia="en-AU"/>
              </w:rPr>
              <w:t>''''''''''''''</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snapToGrid/>
                <w:sz w:val="20"/>
                <w:highlight w:val="black"/>
                <w:lang w:eastAsia="zh-CN"/>
              </w:rPr>
            </w:pPr>
            <w:r>
              <w:rPr>
                <w:rFonts w:ascii="Arial Narrow" w:hAnsi="Arial Narrow" w:cs="Times New Roman"/>
                <w:noProof/>
                <w:snapToGrid/>
                <w:color w:val="000000"/>
                <w:sz w:val="20"/>
                <w:highlight w:val="black"/>
                <w:lang w:eastAsia="en-AU"/>
              </w:rPr>
              <w:t>'''''''''''''</w:t>
            </w:r>
          </w:p>
        </w:tc>
      </w:tr>
      <w:tr w:rsidR="00102F37" w:rsidRPr="00311B19" w:rsidTr="001A53B7">
        <w:tc>
          <w:tcPr>
            <w:tcW w:w="4066"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102F37" w:rsidRPr="002461E7" w:rsidRDefault="00102F37" w:rsidP="00102F37">
            <w:pPr>
              <w:widowControl/>
              <w:spacing w:line="276" w:lineRule="auto"/>
              <w:jc w:val="left"/>
              <w:rPr>
                <w:rFonts w:ascii="Arial Narrow" w:hAnsi="Arial Narrow" w:cs="Times New Roman"/>
                <w:snapToGrid/>
                <w:sz w:val="20"/>
                <w:lang w:eastAsia="zh-CN"/>
              </w:rPr>
            </w:pPr>
            <w:r w:rsidRPr="002461E7">
              <w:rPr>
                <w:rFonts w:ascii="Arial Narrow" w:hAnsi="Arial Narrow" w:cs="Times New Roman"/>
                <w:b/>
                <w:bCs/>
                <w:snapToGrid/>
                <w:sz w:val="20"/>
                <w:lang w:eastAsia="en-AU"/>
              </w:rPr>
              <w:t>Incremental cost/extra QALY gained</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102F37" w:rsidRPr="002461E7" w:rsidRDefault="00102F37" w:rsidP="00D728EA">
            <w:pPr>
              <w:widowControl/>
              <w:spacing w:line="276" w:lineRule="auto"/>
              <w:jc w:val="center"/>
              <w:rPr>
                <w:rFonts w:ascii="Arial Narrow" w:hAnsi="Arial Narrow" w:cs="Times New Roman"/>
                <w:b/>
                <w:bCs/>
                <w:snapToGrid/>
                <w:sz w:val="20"/>
                <w:lang w:eastAsia="zh-CN"/>
              </w:rPr>
            </w:pPr>
            <w:r w:rsidRPr="002461E7">
              <w:rPr>
                <w:rFonts w:ascii="Arial Narrow" w:hAnsi="Arial Narrow" w:cs="Times New Roman"/>
                <w:b/>
                <w:bCs/>
                <w:snapToGrid/>
                <w:sz w:val="20"/>
                <w:lang w:eastAsia="en-AU"/>
              </w:rPr>
              <w:t>$</w:t>
            </w:r>
            <w:r w:rsidR="001A7755">
              <w:rPr>
                <w:rFonts w:ascii="Arial Narrow" w:hAnsi="Arial Narrow" w:cs="Times New Roman"/>
                <w:b/>
                <w:bCs/>
                <w:noProof/>
                <w:snapToGrid/>
                <w:color w:val="000000"/>
                <w:sz w:val="20"/>
                <w:highlight w:val="black"/>
                <w:lang w:eastAsia="en-AU"/>
              </w:rPr>
              <w:t>''''''''''''''</w:t>
            </w:r>
          </w:p>
        </w:tc>
      </w:tr>
      <w:tr w:rsidR="00D728EA" w:rsidRPr="00311B19" w:rsidTr="001A53B7">
        <w:tc>
          <w:tcPr>
            <w:tcW w:w="5000" w:type="pct"/>
            <w:gridSpan w:val="4"/>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1A53B7" w:rsidRPr="002461E7" w:rsidRDefault="00D728EA" w:rsidP="001A53B7">
            <w:pPr>
              <w:widowControl/>
              <w:spacing w:line="276" w:lineRule="auto"/>
              <w:jc w:val="left"/>
              <w:rPr>
                <w:rFonts w:ascii="Arial Narrow" w:hAnsi="Arial Narrow" w:cs="Times New Roman"/>
                <w:i/>
                <w:snapToGrid/>
                <w:sz w:val="20"/>
                <w:lang w:eastAsia="en-AU"/>
              </w:rPr>
            </w:pPr>
            <w:r w:rsidRPr="002461E7">
              <w:rPr>
                <w:rFonts w:ascii="Arial Narrow" w:hAnsi="Arial Narrow" w:cs="Times New Roman"/>
                <w:b/>
                <w:i/>
                <w:snapToGrid/>
                <w:sz w:val="20"/>
                <w:u w:val="single"/>
                <w:lang w:eastAsia="en-AU"/>
              </w:rPr>
              <w:t>Revised</w:t>
            </w:r>
            <w:r w:rsidR="00FA0562" w:rsidRPr="002461E7">
              <w:rPr>
                <w:rFonts w:ascii="Arial Narrow" w:hAnsi="Arial Narrow" w:cs="Times New Roman"/>
                <w:i/>
                <w:snapToGrid/>
                <w:sz w:val="20"/>
                <w:lang w:eastAsia="en-AU"/>
              </w:rPr>
              <w:t>: a</w:t>
            </w:r>
            <w:r w:rsidRPr="002461E7">
              <w:rPr>
                <w:rFonts w:ascii="Arial Narrow" w:hAnsi="Arial Narrow" w:cs="Times New Roman"/>
                <w:i/>
                <w:snapToGrid/>
                <w:sz w:val="20"/>
                <w:lang w:eastAsia="en-AU"/>
              </w:rPr>
              <w:t xml:space="preserve">fter first-line FOLFOX: </w:t>
            </w:r>
            <w:r w:rsidR="001A7755">
              <w:rPr>
                <w:rFonts w:ascii="Arial Narrow" w:hAnsi="Arial Narrow" w:cs="Times New Roman"/>
                <w:i/>
                <w:noProof/>
                <w:snapToGrid/>
                <w:color w:val="000000"/>
                <w:sz w:val="20"/>
                <w:highlight w:val="black"/>
                <w:lang w:eastAsia="en-AU"/>
              </w:rPr>
              <w:t>''''''</w:t>
            </w:r>
            <w:r w:rsidRPr="002461E7">
              <w:rPr>
                <w:rFonts w:ascii="Arial Narrow" w:hAnsi="Arial Narrow" w:cs="Times New Roman"/>
                <w:i/>
                <w:snapToGrid/>
                <w:sz w:val="20"/>
                <w:lang w:eastAsia="en-AU"/>
              </w:rPr>
              <w:t xml:space="preserve">% FOLFIRI alone; </w:t>
            </w:r>
            <w:r w:rsidR="001A7755">
              <w:rPr>
                <w:rFonts w:ascii="Arial Narrow" w:hAnsi="Arial Narrow" w:cs="Times New Roman"/>
                <w:i/>
                <w:noProof/>
                <w:snapToGrid/>
                <w:color w:val="000000"/>
                <w:sz w:val="20"/>
                <w:highlight w:val="black"/>
                <w:lang w:eastAsia="en-AU"/>
              </w:rPr>
              <w:t>''''''</w:t>
            </w:r>
            <w:r w:rsidRPr="002461E7">
              <w:rPr>
                <w:rFonts w:ascii="Arial Narrow" w:hAnsi="Arial Narrow" w:cs="Times New Roman"/>
                <w:i/>
                <w:snapToGrid/>
                <w:sz w:val="20"/>
                <w:lang w:eastAsia="en-AU"/>
              </w:rPr>
              <w:t xml:space="preserve">% </w:t>
            </w:r>
            <w:proofErr w:type="spellStart"/>
            <w:r w:rsidRPr="002461E7">
              <w:rPr>
                <w:rFonts w:ascii="Arial Narrow" w:hAnsi="Arial Narrow" w:cs="Times New Roman"/>
                <w:i/>
                <w:snapToGrid/>
                <w:sz w:val="20"/>
                <w:lang w:eastAsia="en-AU"/>
              </w:rPr>
              <w:t>cet</w:t>
            </w:r>
            <w:r w:rsidR="00FA0562" w:rsidRPr="002461E7">
              <w:rPr>
                <w:rFonts w:ascii="Arial Narrow" w:hAnsi="Arial Narrow" w:cs="Times New Roman"/>
                <w:i/>
                <w:snapToGrid/>
                <w:sz w:val="20"/>
                <w:lang w:eastAsia="en-AU"/>
              </w:rPr>
              <w:t>uximab</w:t>
            </w:r>
            <w:proofErr w:type="spellEnd"/>
            <w:r w:rsidR="00FA0562" w:rsidRPr="002461E7">
              <w:rPr>
                <w:rFonts w:ascii="Arial Narrow" w:hAnsi="Arial Narrow" w:cs="Times New Roman"/>
                <w:i/>
                <w:snapToGrid/>
                <w:sz w:val="20"/>
                <w:lang w:eastAsia="en-AU"/>
              </w:rPr>
              <w:t xml:space="preserve"> </w:t>
            </w:r>
            <w:r w:rsidRPr="002461E7">
              <w:rPr>
                <w:rFonts w:ascii="Arial Narrow" w:hAnsi="Arial Narrow" w:cs="Times New Roman"/>
                <w:i/>
                <w:snapToGrid/>
                <w:sz w:val="20"/>
                <w:lang w:eastAsia="en-AU"/>
              </w:rPr>
              <w:t>+</w:t>
            </w:r>
            <w:r w:rsidR="00FA0562" w:rsidRPr="002461E7">
              <w:rPr>
                <w:rFonts w:ascii="Arial Narrow" w:hAnsi="Arial Narrow" w:cs="Times New Roman"/>
                <w:i/>
                <w:snapToGrid/>
                <w:sz w:val="20"/>
                <w:lang w:eastAsia="en-AU"/>
              </w:rPr>
              <w:t xml:space="preserve"> </w:t>
            </w:r>
            <w:r w:rsidRPr="002461E7">
              <w:rPr>
                <w:rFonts w:ascii="Arial Narrow" w:hAnsi="Arial Narrow" w:cs="Times New Roman"/>
                <w:i/>
                <w:snapToGrid/>
                <w:sz w:val="20"/>
                <w:lang w:eastAsia="en-AU"/>
              </w:rPr>
              <w:t>FOLFIRI (in those that receive active treatment)</w:t>
            </w:r>
            <w:r w:rsidR="001A53B7" w:rsidRPr="002461E7">
              <w:rPr>
                <w:rFonts w:ascii="Arial Narrow" w:hAnsi="Arial Narrow" w:cs="Times New Roman"/>
                <w:i/>
                <w:snapToGrid/>
                <w:sz w:val="20"/>
                <w:lang w:eastAsia="en-AU"/>
              </w:rPr>
              <w:t xml:space="preserve"> </w:t>
            </w:r>
          </w:p>
          <w:p w:rsidR="00D728EA" w:rsidRPr="002461E7" w:rsidRDefault="00D728EA" w:rsidP="001A53B7">
            <w:pPr>
              <w:widowControl/>
              <w:spacing w:line="276" w:lineRule="auto"/>
              <w:jc w:val="left"/>
              <w:rPr>
                <w:rFonts w:ascii="Arial Narrow" w:hAnsi="Arial Narrow" w:cs="Times New Roman"/>
                <w:i/>
                <w:snapToGrid/>
                <w:sz w:val="20"/>
                <w:lang w:eastAsia="zh-CN"/>
              </w:rPr>
            </w:pPr>
            <w:r w:rsidRPr="002461E7">
              <w:rPr>
                <w:rFonts w:ascii="Arial Narrow" w:hAnsi="Arial Narrow" w:cs="Times New Roman"/>
                <w:i/>
                <w:snapToGrid/>
                <w:sz w:val="20"/>
                <w:lang w:eastAsia="en-AU"/>
              </w:rPr>
              <w:t xml:space="preserve">[so </w:t>
            </w:r>
            <w:r w:rsidR="001A7755">
              <w:rPr>
                <w:rFonts w:ascii="Arial Narrow" w:hAnsi="Arial Narrow" w:cs="Times New Roman"/>
                <w:i/>
                <w:noProof/>
                <w:snapToGrid/>
                <w:color w:val="000000"/>
                <w:sz w:val="20"/>
                <w:highlight w:val="black"/>
                <w:lang w:eastAsia="en-AU"/>
              </w:rPr>
              <w:t>'''''</w:t>
            </w:r>
            <w:r w:rsidRPr="002461E7">
              <w:rPr>
                <w:rFonts w:ascii="Arial Narrow" w:hAnsi="Arial Narrow" w:cs="Times New Roman"/>
                <w:i/>
                <w:snapToGrid/>
                <w:sz w:val="20"/>
                <w:lang w:eastAsia="en-AU"/>
              </w:rPr>
              <w:t xml:space="preserve">% of all patients receive </w:t>
            </w:r>
            <w:proofErr w:type="spellStart"/>
            <w:r w:rsidRPr="002461E7">
              <w:rPr>
                <w:rFonts w:ascii="Arial Narrow" w:hAnsi="Arial Narrow" w:cs="Times New Roman"/>
                <w:i/>
                <w:snapToGrid/>
                <w:sz w:val="20"/>
                <w:lang w:eastAsia="en-AU"/>
              </w:rPr>
              <w:t>cet</w:t>
            </w:r>
            <w:r w:rsidR="00FA0562" w:rsidRPr="002461E7">
              <w:rPr>
                <w:rFonts w:ascii="Arial Narrow" w:hAnsi="Arial Narrow" w:cs="Times New Roman"/>
                <w:i/>
                <w:snapToGrid/>
                <w:sz w:val="20"/>
                <w:lang w:eastAsia="en-AU"/>
              </w:rPr>
              <w:t>uximab</w:t>
            </w:r>
            <w:proofErr w:type="spellEnd"/>
            <w:r w:rsidR="00FA0562" w:rsidRPr="002461E7">
              <w:rPr>
                <w:rFonts w:ascii="Arial Narrow" w:hAnsi="Arial Narrow" w:cs="Times New Roman"/>
                <w:i/>
                <w:snapToGrid/>
                <w:sz w:val="20"/>
                <w:lang w:eastAsia="en-AU"/>
              </w:rPr>
              <w:t xml:space="preserve"> </w:t>
            </w:r>
            <w:r w:rsidRPr="002461E7">
              <w:rPr>
                <w:rFonts w:ascii="Arial Narrow" w:hAnsi="Arial Narrow" w:cs="Times New Roman"/>
                <w:i/>
                <w:snapToGrid/>
                <w:sz w:val="20"/>
                <w:lang w:eastAsia="en-AU"/>
              </w:rPr>
              <w:t>+</w:t>
            </w:r>
            <w:r w:rsidR="00FA0562" w:rsidRPr="002461E7">
              <w:rPr>
                <w:rFonts w:ascii="Arial Narrow" w:hAnsi="Arial Narrow" w:cs="Times New Roman"/>
                <w:i/>
                <w:snapToGrid/>
                <w:sz w:val="20"/>
                <w:lang w:eastAsia="en-AU"/>
              </w:rPr>
              <w:t xml:space="preserve"> </w:t>
            </w:r>
            <w:r w:rsidRPr="002461E7">
              <w:rPr>
                <w:rFonts w:ascii="Arial Narrow" w:hAnsi="Arial Narrow" w:cs="Times New Roman"/>
                <w:i/>
                <w:snapToGrid/>
                <w:sz w:val="20"/>
                <w:lang w:eastAsia="en-AU"/>
              </w:rPr>
              <w:t xml:space="preserve">FOLFIRI, </w:t>
            </w:r>
            <w:r w:rsidR="001A7755">
              <w:rPr>
                <w:rFonts w:ascii="Arial Narrow" w:hAnsi="Arial Narrow" w:cs="Times New Roman"/>
                <w:i/>
                <w:noProof/>
                <w:snapToGrid/>
                <w:color w:val="000000"/>
                <w:sz w:val="20"/>
                <w:highlight w:val="black"/>
                <w:lang w:eastAsia="en-AU"/>
              </w:rPr>
              <w:t>''''''</w:t>
            </w:r>
            <w:r w:rsidRPr="002461E7">
              <w:rPr>
                <w:rFonts w:ascii="Arial Narrow" w:hAnsi="Arial Narrow" w:cs="Times New Roman"/>
                <w:i/>
                <w:snapToGrid/>
                <w:sz w:val="20"/>
                <w:lang w:eastAsia="en-AU"/>
              </w:rPr>
              <w:t>% receive FOLFIRI alone</w:t>
            </w:r>
            <w:r w:rsidR="00FA0562" w:rsidRPr="002461E7">
              <w:rPr>
                <w:rFonts w:ascii="Arial Narrow" w:hAnsi="Arial Narrow" w:cs="Times New Roman"/>
                <w:i/>
                <w:snapToGrid/>
                <w:sz w:val="20"/>
                <w:lang w:eastAsia="en-AU"/>
              </w:rPr>
              <w:t>,</w:t>
            </w:r>
            <w:r w:rsidRPr="002461E7">
              <w:rPr>
                <w:rFonts w:ascii="Arial Narrow" w:hAnsi="Arial Narrow" w:cs="Times New Roman"/>
                <w:i/>
                <w:snapToGrid/>
                <w:sz w:val="20"/>
                <w:lang w:eastAsia="en-AU"/>
              </w:rPr>
              <w:t xml:space="preserve"> and </w:t>
            </w:r>
            <w:r w:rsidR="001A7755">
              <w:rPr>
                <w:rFonts w:ascii="Arial Narrow" w:hAnsi="Arial Narrow" w:cs="Times New Roman"/>
                <w:i/>
                <w:noProof/>
                <w:snapToGrid/>
                <w:color w:val="000000"/>
                <w:sz w:val="20"/>
                <w:highlight w:val="black"/>
                <w:lang w:eastAsia="en-AU"/>
              </w:rPr>
              <w:t>''''''</w:t>
            </w:r>
            <w:r w:rsidRPr="002461E7">
              <w:rPr>
                <w:rFonts w:ascii="Arial Narrow" w:hAnsi="Arial Narrow" w:cs="Times New Roman"/>
                <w:i/>
                <w:snapToGrid/>
                <w:sz w:val="20"/>
                <w:lang w:eastAsia="en-AU"/>
              </w:rPr>
              <w:t>% receive no treatment]</w:t>
            </w:r>
          </w:p>
        </w:tc>
      </w:tr>
      <w:tr w:rsidR="00D728EA" w:rsidRPr="00311B19" w:rsidTr="001A53B7">
        <w:tc>
          <w:tcPr>
            <w:tcW w:w="134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2461E7" w:rsidRDefault="00D728EA" w:rsidP="00D728EA">
            <w:pPr>
              <w:widowControl/>
              <w:spacing w:line="276" w:lineRule="auto"/>
              <w:jc w:val="left"/>
              <w:rPr>
                <w:rFonts w:ascii="Arial Narrow" w:hAnsi="Arial Narrow" w:cs="Times New Roman"/>
                <w:i/>
                <w:snapToGrid/>
                <w:sz w:val="20"/>
                <w:lang w:eastAsia="zh-CN"/>
              </w:rPr>
            </w:pPr>
            <w:r w:rsidRPr="002461E7">
              <w:rPr>
                <w:rFonts w:ascii="Arial Narrow" w:hAnsi="Arial Narrow" w:cs="Times New Roman"/>
                <w:i/>
                <w:snapToGrid/>
                <w:sz w:val="20"/>
                <w:lang w:eastAsia="en-AU"/>
              </w:rPr>
              <w:t>Costs</w:t>
            </w:r>
          </w:p>
        </w:tc>
        <w:tc>
          <w:tcPr>
            <w:tcW w:w="1452"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i/>
                <w:snapToGrid/>
                <w:sz w:val="20"/>
                <w:lang w:eastAsia="zh-CN"/>
              </w:rPr>
            </w:pPr>
            <w:r w:rsidRPr="002461E7">
              <w:rPr>
                <w:rFonts w:ascii="Arial Narrow" w:hAnsi="Arial Narrow" w:cs="Times New Roman"/>
                <w:i/>
                <w:snapToGrid/>
                <w:sz w:val="20"/>
                <w:lang w:eastAsia="en-AU"/>
              </w:rPr>
              <w:t>$</w:t>
            </w:r>
            <w:r w:rsidR="001A7755">
              <w:rPr>
                <w:rFonts w:ascii="Arial Narrow" w:hAnsi="Arial Narrow" w:cs="Times New Roman"/>
                <w:i/>
                <w:noProof/>
                <w:snapToGrid/>
                <w:color w:val="000000"/>
                <w:sz w:val="20"/>
                <w:highlight w:val="black"/>
                <w:lang w:eastAsia="en-AU"/>
              </w:rPr>
              <w:t>''''''''''''''''</w:t>
            </w:r>
          </w:p>
        </w:tc>
        <w:tc>
          <w:tcPr>
            <w:tcW w:w="127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i/>
                <w:snapToGrid/>
                <w:sz w:val="20"/>
                <w:lang w:eastAsia="zh-CN"/>
              </w:rPr>
            </w:pPr>
            <w:r w:rsidRPr="002461E7">
              <w:rPr>
                <w:rFonts w:ascii="Arial Narrow" w:hAnsi="Arial Narrow" w:cs="Times New Roman"/>
                <w:i/>
                <w:snapToGrid/>
                <w:sz w:val="20"/>
                <w:lang w:eastAsia="zh-CN"/>
              </w:rPr>
              <w:t>$</w:t>
            </w:r>
            <w:r w:rsidR="001A7755">
              <w:rPr>
                <w:rFonts w:ascii="Arial Narrow" w:hAnsi="Arial Narrow" w:cs="Times New Roman"/>
                <w:i/>
                <w:noProof/>
                <w:snapToGrid/>
                <w:color w:val="000000"/>
                <w:sz w:val="20"/>
                <w:highlight w:val="black"/>
                <w:lang w:eastAsia="zh-CN"/>
              </w:rPr>
              <w:t>'''''''''''''''''</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i/>
                <w:snapToGrid/>
                <w:sz w:val="20"/>
                <w:lang w:eastAsia="zh-CN"/>
              </w:rPr>
            </w:pPr>
            <w:r w:rsidRPr="002461E7">
              <w:rPr>
                <w:rFonts w:ascii="Arial Narrow" w:hAnsi="Arial Narrow" w:cs="Times New Roman"/>
                <w:i/>
                <w:snapToGrid/>
                <w:sz w:val="20"/>
                <w:lang w:eastAsia="zh-CN"/>
              </w:rPr>
              <w:t>$</w:t>
            </w:r>
            <w:r w:rsidR="001A7755">
              <w:rPr>
                <w:rFonts w:ascii="Arial Narrow" w:hAnsi="Arial Narrow" w:cs="Times New Roman"/>
                <w:i/>
                <w:noProof/>
                <w:snapToGrid/>
                <w:color w:val="000000"/>
                <w:sz w:val="20"/>
                <w:highlight w:val="black"/>
                <w:lang w:eastAsia="zh-CN"/>
              </w:rPr>
              <w:t>'''''''''''''''''</w:t>
            </w:r>
          </w:p>
        </w:tc>
      </w:tr>
      <w:tr w:rsidR="00D728EA" w:rsidRPr="00311B19" w:rsidTr="001A53B7">
        <w:tc>
          <w:tcPr>
            <w:tcW w:w="134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2461E7" w:rsidRDefault="00D728EA" w:rsidP="00D728EA">
            <w:pPr>
              <w:widowControl/>
              <w:spacing w:line="276" w:lineRule="auto"/>
              <w:jc w:val="left"/>
              <w:rPr>
                <w:rFonts w:ascii="Arial Narrow" w:hAnsi="Arial Narrow" w:cs="Times New Roman"/>
                <w:i/>
                <w:snapToGrid/>
                <w:sz w:val="20"/>
                <w:lang w:eastAsia="zh-CN"/>
              </w:rPr>
            </w:pPr>
            <w:r w:rsidRPr="002461E7">
              <w:rPr>
                <w:rFonts w:ascii="Arial Narrow" w:hAnsi="Arial Narrow" w:cs="Times New Roman"/>
                <w:i/>
                <w:snapToGrid/>
                <w:sz w:val="20"/>
                <w:lang w:eastAsia="en-AU"/>
              </w:rPr>
              <w:t>QALY</w:t>
            </w:r>
          </w:p>
        </w:tc>
        <w:tc>
          <w:tcPr>
            <w:tcW w:w="1452"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i/>
                <w:snapToGrid/>
                <w:sz w:val="20"/>
                <w:highlight w:val="black"/>
                <w:lang w:eastAsia="zh-CN"/>
              </w:rPr>
            </w:pPr>
            <w:r>
              <w:rPr>
                <w:rFonts w:ascii="Arial Narrow" w:hAnsi="Arial Narrow" w:cs="Times New Roman"/>
                <w:i/>
                <w:noProof/>
                <w:snapToGrid/>
                <w:color w:val="000000"/>
                <w:sz w:val="20"/>
                <w:highlight w:val="black"/>
                <w:lang w:eastAsia="en-AU"/>
              </w:rPr>
              <w:t>'''''''''''''</w:t>
            </w:r>
          </w:p>
        </w:tc>
        <w:tc>
          <w:tcPr>
            <w:tcW w:w="127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i/>
                <w:snapToGrid/>
                <w:sz w:val="20"/>
                <w:highlight w:val="black"/>
                <w:lang w:eastAsia="zh-CN"/>
              </w:rPr>
            </w:pPr>
            <w:r>
              <w:rPr>
                <w:rFonts w:ascii="Arial Narrow" w:hAnsi="Arial Narrow" w:cs="Times New Roman"/>
                <w:i/>
                <w:noProof/>
                <w:snapToGrid/>
                <w:color w:val="000000"/>
                <w:sz w:val="20"/>
                <w:highlight w:val="black"/>
                <w:lang w:eastAsia="zh-CN"/>
              </w:rPr>
              <w:t>''''''''''''</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i/>
                <w:snapToGrid/>
                <w:sz w:val="20"/>
                <w:highlight w:val="black"/>
                <w:lang w:eastAsia="zh-CN"/>
              </w:rPr>
            </w:pPr>
            <w:r>
              <w:rPr>
                <w:rFonts w:ascii="Arial Narrow" w:hAnsi="Arial Narrow" w:cs="Times New Roman"/>
                <w:i/>
                <w:noProof/>
                <w:snapToGrid/>
                <w:color w:val="000000"/>
                <w:sz w:val="20"/>
                <w:highlight w:val="black"/>
                <w:lang w:eastAsia="zh-CN"/>
              </w:rPr>
              <w:t>''''''''''''</w:t>
            </w:r>
          </w:p>
        </w:tc>
      </w:tr>
      <w:tr w:rsidR="00102F37" w:rsidRPr="00311B19" w:rsidTr="001A53B7">
        <w:trPr>
          <w:trHeight w:val="61"/>
        </w:trPr>
        <w:tc>
          <w:tcPr>
            <w:tcW w:w="4066"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102F37" w:rsidRPr="002461E7" w:rsidRDefault="00102F37" w:rsidP="00102F37">
            <w:pPr>
              <w:widowControl/>
              <w:spacing w:line="276" w:lineRule="auto"/>
              <w:jc w:val="left"/>
              <w:rPr>
                <w:rFonts w:ascii="Arial Narrow" w:hAnsi="Arial Narrow" w:cs="Times New Roman"/>
                <w:i/>
                <w:snapToGrid/>
                <w:sz w:val="6"/>
                <w:lang w:eastAsia="zh-CN"/>
              </w:rPr>
            </w:pPr>
            <w:r w:rsidRPr="002461E7">
              <w:rPr>
                <w:rFonts w:ascii="Arial Narrow" w:hAnsi="Arial Narrow" w:cs="Times New Roman"/>
                <w:b/>
                <w:bCs/>
                <w:i/>
                <w:snapToGrid/>
                <w:sz w:val="20"/>
                <w:lang w:eastAsia="en-AU"/>
              </w:rPr>
              <w:t>Incremental cost/extra QALY gained</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102F37" w:rsidRPr="002461E7" w:rsidRDefault="00102F37" w:rsidP="00D728EA">
            <w:pPr>
              <w:widowControl/>
              <w:spacing w:line="61" w:lineRule="atLeast"/>
              <w:jc w:val="center"/>
              <w:rPr>
                <w:rFonts w:ascii="Arial Narrow" w:hAnsi="Arial Narrow" w:cs="Times New Roman"/>
                <w:b/>
                <w:bCs/>
                <w:i/>
                <w:snapToGrid/>
                <w:sz w:val="20"/>
                <w:lang w:eastAsia="zh-CN"/>
              </w:rPr>
            </w:pPr>
            <w:r w:rsidRPr="002461E7">
              <w:rPr>
                <w:rFonts w:ascii="Arial Narrow" w:hAnsi="Arial Narrow" w:cs="Times New Roman"/>
                <w:b/>
                <w:bCs/>
                <w:i/>
                <w:snapToGrid/>
                <w:sz w:val="20"/>
                <w:lang w:eastAsia="zh-CN"/>
              </w:rPr>
              <w:t>$94,113</w:t>
            </w:r>
          </w:p>
        </w:tc>
      </w:tr>
      <w:tr w:rsidR="00D728EA" w:rsidRPr="00311B19" w:rsidTr="001A53B7">
        <w:tc>
          <w:tcPr>
            <w:tcW w:w="134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D728EA" w:rsidRPr="002461E7" w:rsidRDefault="00D728EA" w:rsidP="00D728EA">
            <w:pPr>
              <w:widowControl/>
              <w:jc w:val="left"/>
              <w:rPr>
                <w:rFonts w:ascii="Times New Roman" w:hAnsi="Times New Roman" w:cs="Times New Roman"/>
                <w:snapToGrid/>
                <w:sz w:val="24"/>
                <w:szCs w:val="24"/>
                <w:lang w:eastAsia="en-AU"/>
              </w:rPr>
            </w:pPr>
          </w:p>
        </w:tc>
        <w:tc>
          <w:tcPr>
            <w:tcW w:w="1452" w:type="pct"/>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proofErr w:type="spellStart"/>
            <w:r w:rsidRPr="002461E7">
              <w:rPr>
                <w:rFonts w:ascii="Arial Narrow" w:hAnsi="Arial Narrow" w:cs="Times New Roman"/>
                <w:b/>
                <w:bCs/>
                <w:snapToGrid/>
                <w:sz w:val="20"/>
                <w:lang w:eastAsia="en-AU"/>
              </w:rPr>
              <w:t>P</w:t>
            </w:r>
            <w:r w:rsidR="00FA0562" w:rsidRPr="002461E7">
              <w:rPr>
                <w:rFonts w:ascii="Arial Narrow" w:hAnsi="Arial Narrow" w:cs="Times New Roman"/>
                <w:b/>
                <w:bCs/>
                <w:snapToGrid/>
                <w:sz w:val="20"/>
                <w:lang w:eastAsia="en-AU"/>
              </w:rPr>
              <w:t>anitumu</w:t>
            </w:r>
            <w:r w:rsidRPr="002461E7">
              <w:rPr>
                <w:rFonts w:ascii="Arial Narrow" w:hAnsi="Arial Narrow" w:cs="Times New Roman"/>
                <w:b/>
                <w:bCs/>
                <w:snapToGrid/>
                <w:sz w:val="20"/>
                <w:lang w:eastAsia="en-AU"/>
              </w:rPr>
              <w:t>mab</w:t>
            </w:r>
            <w:proofErr w:type="spellEnd"/>
            <w:r w:rsidRPr="002461E7">
              <w:rPr>
                <w:rFonts w:ascii="Arial Narrow" w:hAnsi="Arial Narrow" w:cs="Times New Roman"/>
                <w:b/>
                <w:bCs/>
                <w:snapToGrid/>
                <w:sz w:val="20"/>
                <w:lang w:eastAsia="en-AU"/>
              </w:rPr>
              <w:t xml:space="preserve"> + FOLFOX</w:t>
            </w:r>
          </w:p>
        </w:tc>
        <w:tc>
          <w:tcPr>
            <w:tcW w:w="1271" w:type="pct"/>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proofErr w:type="spellStart"/>
            <w:r w:rsidRPr="002461E7">
              <w:rPr>
                <w:rFonts w:ascii="Arial Narrow" w:hAnsi="Arial Narrow" w:cs="Times New Roman"/>
                <w:b/>
                <w:bCs/>
                <w:snapToGrid/>
                <w:sz w:val="20"/>
                <w:lang w:eastAsia="en-AU"/>
              </w:rPr>
              <w:t>Bev</w:t>
            </w:r>
            <w:r w:rsidR="00FA0562" w:rsidRPr="002461E7">
              <w:rPr>
                <w:rFonts w:ascii="Arial Narrow" w:hAnsi="Arial Narrow" w:cs="Times New Roman"/>
                <w:b/>
                <w:bCs/>
                <w:snapToGrid/>
                <w:sz w:val="20"/>
                <w:lang w:eastAsia="en-AU"/>
              </w:rPr>
              <w:t>acizumab</w:t>
            </w:r>
            <w:proofErr w:type="spellEnd"/>
            <w:r w:rsidRPr="002461E7">
              <w:rPr>
                <w:rFonts w:ascii="Arial Narrow" w:hAnsi="Arial Narrow" w:cs="Times New Roman"/>
                <w:b/>
                <w:bCs/>
                <w:snapToGrid/>
                <w:sz w:val="20"/>
                <w:lang w:eastAsia="en-AU"/>
              </w:rPr>
              <w:t xml:space="preserve"> + FOLFOX</w:t>
            </w:r>
          </w:p>
        </w:tc>
        <w:tc>
          <w:tcPr>
            <w:tcW w:w="934" w:type="pct"/>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b/>
                <w:bCs/>
                <w:snapToGrid/>
                <w:sz w:val="20"/>
                <w:lang w:eastAsia="zh-CN"/>
              </w:rPr>
            </w:pPr>
            <w:r w:rsidRPr="002461E7">
              <w:rPr>
                <w:rFonts w:ascii="Arial Narrow" w:hAnsi="Arial Narrow" w:cs="Times New Roman"/>
                <w:b/>
                <w:bCs/>
                <w:snapToGrid/>
                <w:sz w:val="20"/>
                <w:lang w:eastAsia="en-AU"/>
              </w:rPr>
              <w:t>Increment</w:t>
            </w:r>
          </w:p>
        </w:tc>
      </w:tr>
      <w:tr w:rsidR="00D728EA" w:rsidRPr="00311B19" w:rsidTr="001A53B7">
        <w:tc>
          <w:tcPr>
            <w:tcW w:w="5000" w:type="pct"/>
            <w:gridSpan w:val="4"/>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102F37" w:rsidRPr="002461E7" w:rsidRDefault="00D728EA" w:rsidP="00102F37">
            <w:pPr>
              <w:widowControl/>
              <w:spacing w:line="276" w:lineRule="auto"/>
              <w:jc w:val="left"/>
              <w:rPr>
                <w:rFonts w:ascii="Arial Narrow" w:hAnsi="Arial Narrow" w:cs="Times New Roman"/>
                <w:snapToGrid/>
                <w:sz w:val="20"/>
                <w:lang w:eastAsia="en-AU"/>
              </w:rPr>
            </w:pPr>
            <w:r w:rsidRPr="002461E7">
              <w:rPr>
                <w:rFonts w:ascii="Arial Narrow" w:hAnsi="Arial Narrow" w:cs="Times New Roman"/>
                <w:b/>
                <w:bCs/>
                <w:snapToGrid/>
                <w:sz w:val="20"/>
                <w:u w:val="single"/>
                <w:lang w:eastAsia="en-AU"/>
              </w:rPr>
              <w:t>Base case</w:t>
            </w:r>
            <w:r w:rsidR="00102F37" w:rsidRPr="002461E7">
              <w:rPr>
                <w:rFonts w:ascii="Arial Narrow" w:hAnsi="Arial Narrow" w:cs="Times New Roman"/>
                <w:b/>
                <w:bCs/>
                <w:snapToGrid/>
                <w:sz w:val="20"/>
                <w:u w:val="single"/>
                <w:lang w:eastAsia="en-AU"/>
              </w:rPr>
              <w:t xml:space="preserve"> (Step 7b)</w:t>
            </w:r>
            <w:r w:rsidR="00FA0562" w:rsidRPr="002461E7">
              <w:rPr>
                <w:rFonts w:ascii="Arial Narrow" w:hAnsi="Arial Narrow" w:cs="Times New Roman"/>
                <w:snapToGrid/>
                <w:sz w:val="20"/>
                <w:lang w:eastAsia="en-AU"/>
              </w:rPr>
              <w:t>: a</w:t>
            </w:r>
            <w:r w:rsidRPr="002461E7">
              <w:rPr>
                <w:rFonts w:ascii="Arial Narrow" w:hAnsi="Arial Narrow" w:cs="Times New Roman"/>
                <w:snapToGrid/>
                <w:sz w:val="20"/>
                <w:lang w:eastAsia="en-AU"/>
              </w:rPr>
              <w:t xml:space="preserve">fter first-line </w:t>
            </w:r>
            <w:proofErr w:type="spellStart"/>
            <w:r w:rsidRPr="002461E7">
              <w:rPr>
                <w:rFonts w:ascii="Arial Narrow" w:hAnsi="Arial Narrow" w:cs="Times New Roman"/>
                <w:snapToGrid/>
                <w:sz w:val="20"/>
                <w:lang w:eastAsia="en-AU"/>
              </w:rPr>
              <w:t>bev</w:t>
            </w:r>
            <w:r w:rsidR="00FA0562" w:rsidRPr="002461E7">
              <w:rPr>
                <w:rFonts w:ascii="Arial Narrow" w:hAnsi="Arial Narrow" w:cs="Times New Roman"/>
                <w:snapToGrid/>
                <w:sz w:val="20"/>
                <w:lang w:eastAsia="en-AU"/>
              </w:rPr>
              <w:t>acizumab</w:t>
            </w:r>
            <w:proofErr w:type="spellEnd"/>
            <w:r w:rsidR="00FA0562"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w:t>
            </w:r>
            <w:r w:rsidR="00FA0562"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 xml:space="preserve">FOLFOX: </w:t>
            </w:r>
            <w:r w:rsidR="001A7755">
              <w:rPr>
                <w:rFonts w:ascii="Arial Narrow" w:hAnsi="Arial Narrow" w:cs="Times New Roman"/>
                <w:noProof/>
                <w:snapToGrid/>
                <w:color w:val="000000"/>
                <w:sz w:val="20"/>
                <w:highlight w:val="black"/>
                <w:lang w:eastAsia="en-AU"/>
              </w:rPr>
              <w:t>'''''''''</w:t>
            </w:r>
            <w:r w:rsidRPr="002461E7">
              <w:rPr>
                <w:rFonts w:ascii="Arial Narrow" w:hAnsi="Arial Narrow" w:cs="Times New Roman"/>
                <w:snapToGrid/>
                <w:sz w:val="20"/>
                <w:lang w:eastAsia="en-AU"/>
              </w:rPr>
              <w:t xml:space="preserve">% </w:t>
            </w:r>
            <w:proofErr w:type="spellStart"/>
            <w:r w:rsidRPr="002461E7">
              <w:rPr>
                <w:rFonts w:ascii="Arial Narrow" w:hAnsi="Arial Narrow" w:cs="Times New Roman"/>
                <w:snapToGrid/>
                <w:sz w:val="20"/>
                <w:lang w:eastAsia="en-AU"/>
              </w:rPr>
              <w:t>cet</w:t>
            </w:r>
            <w:r w:rsidR="00FA0562" w:rsidRPr="002461E7">
              <w:rPr>
                <w:rFonts w:ascii="Arial Narrow" w:hAnsi="Arial Narrow" w:cs="Times New Roman"/>
                <w:snapToGrid/>
                <w:sz w:val="20"/>
                <w:lang w:eastAsia="en-AU"/>
              </w:rPr>
              <w:t>uximab</w:t>
            </w:r>
            <w:proofErr w:type="spellEnd"/>
            <w:r w:rsidR="00FA0562"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w:t>
            </w:r>
            <w:r w:rsidR="00FA0562"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FOLFIRI (in thos</w:t>
            </w:r>
            <w:r w:rsidR="00FA0562" w:rsidRPr="002461E7">
              <w:rPr>
                <w:rFonts w:ascii="Arial Narrow" w:hAnsi="Arial Narrow" w:cs="Times New Roman"/>
                <w:snapToGrid/>
                <w:sz w:val="20"/>
                <w:lang w:eastAsia="en-AU"/>
              </w:rPr>
              <w:t>e who receive active treatment)</w:t>
            </w:r>
          </w:p>
          <w:p w:rsidR="00D728EA" w:rsidRPr="002461E7" w:rsidRDefault="00D728EA" w:rsidP="00102F37">
            <w:pPr>
              <w:widowControl/>
              <w:spacing w:line="276" w:lineRule="auto"/>
              <w:jc w:val="left"/>
              <w:rPr>
                <w:rFonts w:ascii="Arial Narrow" w:hAnsi="Arial Narrow" w:cs="Times New Roman"/>
                <w:snapToGrid/>
                <w:sz w:val="20"/>
                <w:lang w:eastAsia="zh-CN"/>
              </w:rPr>
            </w:pPr>
            <w:r w:rsidRPr="002461E7">
              <w:rPr>
                <w:rFonts w:ascii="Arial Narrow" w:hAnsi="Arial Narrow" w:cs="Times New Roman"/>
                <w:snapToGrid/>
                <w:sz w:val="20"/>
                <w:lang w:eastAsia="en-AU"/>
              </w:rPr>
              <w:t xml:space="preserve">[so </w:t>
            </w:r>
            <w:r w:rsidR="001A7755">
              <w:rPr>
                <w:rFonts w:ascii="Arial Narrow" w:hAnsi="Arial Narrow" w:cs="Times New Roman"/>
                <w:noProof/>
                <w:snapToGrid/>
                <w:color w:val="000000"/>
                <w:sz w:val="20"/>
                <w:highlight w:val="black"/>
                <w:lang w:eastAsia="en-AU"/>
              </w:rPr>
              <w:t>'''''''</w:t>
            </w:r>
            <w:r w:rsidRPr="002461E7">
              <w:rPr>
                <w:rFonts w:ascii="Arial Narrow" w:hAnsi="Arial Narrow" w:cs="Times New Roman"/>
                <w:snapToGrid/>
                <w:sz w:val="20"/>
                <w:lang w:eastAsia="en-AU"/>
              </w:rPr>
              <w:t xml:space="preserve">% of all patients receive </w:t>
            </w:r>
            <w:proofErr w:type="spellStart"/>
            <w:r w:rsidRPr="002461E7">
              <w:rPr>
                <w:rFonts w:ascii="Arial Narrow" w:hAnsi="Arial Narrow" w:cs="Times New Roman"/>
                <w:snapToGrid/>
                <w:sz w:val="20"/>
                <w:lang w:eastAsia="en-AU"/>
              </w:rPr>
              <w:t>cet</w:t>
            </w:r>
            <w:r w:rsidR="003C147F" w:rsidRPr="002461E7">
              <w:rPr>
                <w:rFonts w:ascii="Arial Narrow" w:hAnsi="Arial Narrow" w:cs="Times New Roman"/>
                <w:snapToGrid/>
                <w:sz w:val="20"/>
                <w:lang w:eastAsia="en-AU"/>
              </w:rPr>
              <w:t>uximab</w:t>
            </w:r>
            <w:proofErr w:type="spellEnd"/>
            <w:r w:rsidR="003C147F"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w:t>
            </w:r>
            <w:r w:rsidR="003C147F" w:rsidRPr="002461E7">
              <w:rPr>
                <w:rFonts w:ascii="Arial Narrow" w:hAnsi="Arial Narrow" w:cs="Times New Roman"/>
                <w:snapToGrid/>
                <w:sz w:val="20"/>
                <w:lang w:eastAsia="en-AU"/>
              </w:rPr>
              <w:t xml:space="preserve"> </w:t>
            </w:r>
            <w:r w:rsidRPr="002461E7">
              <w:rPr>
                <w:rFonts w:ascii="Arial Narrow" w:hAnsi="Arial Narrow" w:cs="Times New Roman"/>
                <w:snapToGrid/>
                <w:sz w:val="20"/>
                <w:lang w:eastAsia="en-AU"/>
              </w:rPr>
              <w:t xml:space="preserve">FOLFIRI, </w:t>
            </w:r>
            <w:r w:rsidR="001A7755">
              <w:rPr>
                <w:rFonts w:ascii="Arial Narrow" w:hAnsi="Arial Narrow" w:cs="Times New Roman"/>
                <w:noProof/>
                <w:snapToGrid/>
                <w:color w:val="000000"/>
                <w:sz w:val="20"/>
                <w:highlight w:val="black"/>
                <w:lang w:eastAsia="en-AU"/>
              </w:rPr>
              <w:t>'''''</w:t>
            </w:r>
            <w:r w:rsidRPr="002461E7">
              <w:rPr>
                <w:rFonts w:ascii="Arial Narrow" w:hAnsi="Arial Narrow" w:cs="Times New Roman"/>
                <w:snapToGrid/>
                <w:sz w:val="20"/>
                <w:lang w:eastAsia="en-AU"/>
              </w:rPr>
              <w:t>% receive no treatment]</w:t>
            </w:r>
          </w:p>
        </w:tc>
      </w:tr>
      <w:tr w:rsidR="00D728EA" w:rsidRPr="00311B19" w:rsidTr="001A53B7">
        <w:tc>
          <w:tcPr>
            <w:tcW w:w="134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2461E7" w:rsidRDefault="00D728EA" w:rsidP="00D728EA">
            <w:pPr>
              <w:widowControl/>
              <w:spacing w:line="276" w:lineRule="auto"/>
              <w:jc w:val="left"/>
              <w:rPr>
                <w:rFonts w:ascii="Arial Narrow" w:hAnsi="Arial Narrow" w:cs="Times New Roman"/>
                <w:snapToGrid/>
                <w:sz w:val="20"/>
                <w:lang w:eastAsia="zh-CN"/>
              </w:rPr>
            </w:pPr>
            <w:r w:rsidRPr="002461E7">
              <w:rPr>
                <w:rFonts w:ascii="Arial Narrow" w:hAnsi="Arial Narrow" w:cs="Times New Roman"/>
                <w:snapToGrid/>
                <w:sz w:val="20"/>
                <w:lang w:eastAsia="en-AU"/>
              </w:rPr>
              <w:t>Costs</w:t>
            </w:r>
          </w:p>
        </w:tc>
        <w:tc>
          <w:tcPr>
            <w:tcW w:w="1452"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r w:rsidRPr="002461E7">
              <w:rPr>
                <w:rFonts w:ascii="Arial Narrow" w:hAnsi="Arial Narrow" w:cs="Times New Roman"/>
                <w:snapToGrid/>
                <w:sz w:val="20"/>
                <w:lang w:eastAsia="en-AU"/>
              </w:rPr>
              <w:t>$</w:t>
            </w:r>
            <w:r w:rsidR="001A7755">
              <w:rPr>
                <w:rFonts w:ascii="Arial Narrow" w:hAnsi="Arial Narrow" w:cs="Times New Roman"/>
                <w:noProof/>
                <w:snapToGrid/>
                <w:color w:val="000000"/>
                <w:sz w:val="20"/>
                <w:highlight w:val="black"/>
                <w:lang w:eastAsia="en-AU"/>
              </w:rPr>
              <w:t>''''''''''''''''''</w:t>
            </w:r>
          </w:p>
        </w:tc>
        <w:tc>
          <w:tcPr>
            <w:tcW w:w="127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r w:rsidRPr="002461E7">
              <w:rPr>
                <w:rFonts w:ascii="Arial Narrow" w:hAnsi="Arial Narrow" w:cs="Times New Roman"/>
                <w:snapToGrid/>
                <w:sz w:val="20"/>
                <w:lang w:eastAsia="en-AU"/>
              </w:rPr>
              <w:t>$</w:t>
            </w:r>
            <w:r w:rsidR="001A7755">
              <w:rPr>
                <w:rFonts w:ascii="Arial Narrow" w:hAnsi="Arial Narrow" w:cs="Times New Roman"/>
                <w:noProof/>
                <w:snapToGrid/>
                <w:color w:val="000000"/>
                <w:sz w:val="20"/>
                <w:highlight w:val="black"/>
                <w:lang w:eastAsia="en-AU"/>
              </w:rPr>
              <w:t>'''''''''''''''''</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2461E7" w:rsidRDefault="00D728EA" w:rsidP="00D728EA">
            <w:pPr>
              <w:widowControl/>
              <w:spacing w:line="276" w:lineRule="auto"/>
              <w:jc w:val="center"/>
              <w:rPr>
                <w:rFonts w:ascii="Arial Narrow" w:hAnsi="Arial Narrow" w:cs="Times New Roman"/>
                <w:snapToGrid/>
                <w:sz w:val="20"/>
                <w:lang w:eastAsia="zh-CN"/>
              </w:rPr>
            </w:pPr>
            <w:r w:rsidRPr="002461E7">
              <w:rPr>
                <w:rFonts w:ascii="Arial Narrow" w:hAnsi="Arial Narrow" w:cs="Times New Roman"/>
                <w:snapToGrid/>
                <w:sz w:val="20"/>
                <w:lang w:eastAsia="en-AU"/>
              </w:rPr>
              <w:t>-$</w:t>
            </w:r>
            <w:r w:rsidR="001A7755">
              <w:rPr>
                <w:rFonts w:ascii="Arial Narrow" w:hAnsi="Arial Narrow" w:cs="Times New Roman"/>
                <w:noProof/>
                <w:snapToGrid/>
                <w:color w:val="000000"/>
                <w:sz w:val="20"/>
                <w:highlight w:val="black"/>
                <w:lang w:eastAsia="en-AU"/>
              </w:rPr>
              <w:t>''''''''''</w:t>
            </w:r>
          </w:p>
        </w:tc>
      </w:tr>
      <w:tr w:rsidR="00D728EA" w:rsidRPr="00311B19" w:rsidTr="001A53B7">
        <w:tc>
          <w:tcPr>
            <w:tcW w:w="134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2461E7" w:rsidRDefault="00D728EA" w:rsidP="00D728EA">
            <w:pPr>
              <w:widowControl/>
              <w:spacing w:line="276" w:lineRule="auto"/>
              <w:jc w:val="left"/>
              <w:rPr>
                <w:rFonts w:ascii="Arial Narrow" w:hAnsi="Arial Narrow" w:cs="Times New Roman"/>
                <w:snapToGrid/>
                <w:sz w:val="20"/>
                <w:lang w:eastAsia="zh-CN"/>
              </w:rPr>
            </w:pPr>
            <w:r w:rsidRPr="002461E7">
              <w:rPr>
                <w:rFonts w:ascii="Arial Narrow" w:hAnsi="Arial Narrow" w:cs="Times New Roman"/>
                <w:snapToGrid/>
                <w:sz w:val="20"/>
                <w:lang w:eastAsia="en-AU"/>
              </w:rPr>
              <w:t>QALY</w:t>
            </w:r>
          </w:p>
        </w:tc>
        <w:tc>
          <w:tcPr>
            <w:tcW w:w="1452"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snapToGrid/>
                <w:sz w:val="20"/>
                <w:highlight w:val="black"/>
                <w:lang w:eastAsia="zh-CN"/>
              </w:rPr>
            </w:pPr>
            <w:r>
              <w:rPr>
                <w:rFonts w:ascii="Arial Narrow" w:hAnsi="Arial Narrow" w:cs="Times New Roman"/>
                <w:noProof/>
                <w:snapToGrid/>
                <w:color w:val="000000"/>
                <w:sz w:val="20"/>
                <w:highlight w:val="black"/>
                <w:lang w:eastAsia="en-AU"/>
              </w:rPr>
              <w:t>''''''''''''''</w:t>
            </w:r>
          </w:p>
        </w:tc>
        <w:tc>
          <w:tcPr>
            <w:tcW w:w="127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snapToGrid/>
                <w:sz w:val="20"/>
                <w:highlight w:val="black"/>
                <w:lang w:eastAsia="zh-CN"/>
              </w:rPr>
            </w:pPr>
            <w:r>
              <w:rPr>
                <w:rFonts w:ascii="Arial Narrow" w:hAnsi="Arial Narrow" w:cs="Times New Roman"/>
                <w:noProof/>
                <w:snapToGrid/>
                <w:color w:val="000000"/>
                <w:sz w:val="20"/>
                <w:highlight w:val="black"/>
                <w:lang w:eastAsia="en-AU"/>
              </w:rPr>
              <w:t>''''''''''''''</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snapToGrid/>
                <w:sz w:val="20"/>
                <w:highlight w:val="black"/>
                <w:lang w:eastAsia="zh-CN"/>
              </w:rPr>
            </w:pPr>
            <w:r>
              <w:rPr>
                <w:rFonts w:ascii="Arial Narrow" w:hAnsi="Arial Narrow" w:cs="Times New Roman"/>
                <w:noProof/>
                <w:snapToGrid/>
                <w:color w:val="000000"/>
                <w:sz w:val="20"/>
                <w:highlight w:val="black"/>
                <w:lang w:eastAsia="en-AU"/>
              </w:rPr>
              <w:t>''''''''''''''</w:t>
            </w:r>
          </w:p>
        </w:tc>
      </w:tr>
      <w:tr w:rsidR="00102F37" w:rsidRPr="00311B19" w:rsidTr="001A53B7">
        <w:tc>
          <w:tcPr>
            <w:tcW w:w="4066" w:type="pct"/>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102F37" w:rsidRPr="002461E7" w:rsidRDefault="00102F37" w:rsidP="00102F37">
            <w:pPr>
              <w:widowControl/>
              <w:spacing w:line="276" w:lineRule="auto"/>
              <w:jc w:val="left"/>
              <w:rPr>
                <w:rFonts w:ascii="Arial Narrow" w:hAnsi="Arial Narrow" w:cs="Times New Roman"/>
                <w:snapToGrid/>
                <w:sz w:val="20"/>
                <w:lang w:eastAsia="zh-CN"/>
              </w:rPr>
            </w:pPr>
            <w:r w:rsidRPr="002461E7">
              <w:rPr>
                <w:rFonts w:ascii="Arial Narrow" w:hAnsi="Arial Narrow" w:cs="Times New Roman"/>
                <w:b/>
                <w:bCs/>
                <w:snapToGrid/>
                <w:sz w:val="20"/>
                <w:lang w:eastAsia="en-AU"/>
              </w:rPr>
              <w:t>Incremental cost/extra QALY gained</w:t>
            </w:r>
          </w:p>
        </w:tc>
        <w:tc>
          <w:tcPr>
            <w:tcW w:w="934" w:type="pct"/>
            <w:tcBorders>
              <w:top w:val="nil"/>
              <w:left w:val="single" w:sz="8" w:space="0" w:color="auto"/>
              <w:bottom w:val="single" w:sz="8" w:space="0" w:color="auto"/>
              <w:right w:val="single" w:sz="8" w:space="0" w:color="auto"/>
            </w:tcBorders>
            <w:tcMar>
              <w:top w:w="0" w:type="dxa"/>
              <w:left w:w="28" w:type="dxa"/>
              <w:bottom w:w="0" w:type="dxa"/>
              <w:right w:w="28" w:type="dxa"/>
            </w:tcMar>
            <w:vAlign w:val="bottom"/>
            <w:hideMark/>
          </w:tcPr>
          <w:p w:rsidR="00102F37" w:rsidRPr="001A7755" w:rsidRDefault="001A7755" w:rsidP="00D728EA">
            <w:pPr>
              <w:widowControl/>
              <w:spacing w:line="276" w:lineRule="auto"/>
              <w:jc w:val="center"/>
              <w:rPr>
                <w:rFonts w:ascii="Arial Narrow" w:hAnsi="Arial Narrow" w:cs="Times New Roman"/>
                <w:b/>
                <w:bCs/>
                <w:snapToGrid/>
                <w:sz w:val="20"/>
                <w:highlight w:val="black"/>
                <w:lang w:eastAsia="zh-CN"/>
              </w:rPr>
            </w:pPr>
            <w:r>
              <w:rPr>
                <w:rFonts w:ascii="Arial Narrow" w:hAnsi="Arial Narrow" w:cs="Times New Roman"/>
                <w:b/>
                <w:bCs/>
                <w:noProof/>
                <w:snapToGrid/>
                <w:color w:val="000000"/>
                <w:sz w:val="20"/>
                <w:highlight w:val="black"/>
                <w:lang w:eastAsia="en-AU"/>
              </w:rPr>
              <w:t>''''''''''''''''''''' '''''''''''''''''</w:t>
            </w:r>
          </w:p>
        </w:tc>
      </w:tr>
    </w:tbl>
    <w:p w:rsidR="001A53B7" w:rsidRDefault="001A53B7"/>
    <w:tbl>
      <w:tblPr>
        <w:tblW w:w="4604" w:type="pct"/>
        <w:tblInd w:w="737" w:type="dxa"/>
        <w:tblCellMar>
          <w:left w:w="0" w:type="dxa"/>
          <w:right w:w="0" w:type="dxa"/>
        </w:tblCellMar>
        <w:tblLook w:val="04A0" w:firstRow="1" w:lastRow="0" w:firstColumn="1" w:lastColumn="0" w:noHBand="0" w:noVBand="1"/>
      </w:tblPr>
      <w:tblGrid>
        <w:gridCol w:w="2247"/>
        <w:gridCol w:w="2429"/>
        <w:gridCol w:w="2126"/>
        <w:gridCol w:w="1562"/>
      </w:tblGrid>
      <w:tr w:rsidR="00D728EA" w:rsidRPr="00542733" w:rsidTr="001A53B7">
        <w:tc>
          <w:tcPr>
            <w:tcW w:w="5000" w:type="pct"/>
            <w:gridSpan w:val="4"/>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102F37" w:rsidRPr="00542733" w:rsidRDefault="00FA0562" w:rsidP="00102F37">
            <w:pPr>
              <w:widowControl/>
              <w:spacing w:line="276" w:lineRule="auto"/>
              <w:jc w:val="left"/>
              <w:rPr>
                <w:rFonts w:ascii="Arial Narrow" w:hAnsi="Arial Narrow" w:cs="Times New Roman"/>
                <w:i/>
                <w:snapToGrid/>
                <w:sz w:val="20"/>
                <w:lang w:eastAsia="en-AU"/>
              </w:rPr>
            </w:pPr>
            <w:r w:rsidRPr="00542733">
              <w:rPr>
                <w:rFonts w:ascii="Arial Narrow" w:hAnsi="Arial Narrow" w:cs="Times New Roman"/>
                <w:b/>
                <w:i/>
                <w:snapToGrid/>
                <w:sz w:val="20"/>
                <w:u w:val="single"/>
                <w:lang w:eastAsia="en-AU"/>
              </w:rPr>
              <w:t>Revised</w:t>
            </w:r>
            <w:r w:rsidRPr="00542733">
              <w:rPr>
                <w:rFonts w:ascii="Arial Narrow" w:hAnsi="Arial Narrow" w:cs="Times New Roman"/>
                <w:i/>
                <w:snapToGrid/>
                <w:sz w:val="20"/>
                <w:lang w:eastAsia="en-AU"/>
              </w:rPr>
              <w:t>: a</w:t>
            </w:r>
            <w:r w:rsidR="00D728EA" w:rsidRPr="00542733">
              <w:rPr>
                <w:rFonts w:ascii="Arial Narrow" w:hAnsi="Arial Narrow" w:cs="Times New Roman"/>
                <w:i/>
                <w:snapToGrid/>
                <w:sz w:val="20"/>
                <w:lang w:eastAsia="en-AU"/>
              </w:rPr>
              <w:t xml:space="preserve">fter first-line </w:t>
            </w:r>
            <w:proofErr w:type="spellStart"/>
            <w:r w:rsidR="00D728EA" w:rsidRPr="00542733">
              <w:rPr>
                <w:rFonts w:ascii="Arial Narrow" w:hAnsi="Arial Narrow" w:cs="Times New Roman"/>
                <w:i/>
                <w:snapToGrid/>
                <w:sz w:val="20"/>
                <w:lang w:eastAsia="en-AU"/>
              </w:rPr>
              <w:t>bev</w:t>
            </w:r>
            <w:r w:rsidR="003C147F" w:rsidRPr="00542733">
              <w:rPr>
                <w:rFonts w:ascii="Arial Narrow" w:hAnsi="Arial Narrow" w:cs="Times New Roman"/>
                <w:i/>
                <w:snapToGrid/>
                <w:sz w:val="20"/>
                <w:lang w:eastAsia="en-AU"/>
              </w:rPr>
              <w:t>acizumab</w:t>
            </w:r>
            <w:proofErr w:type="spellEnd"/>
            <w:r w:rsidR="003C147F" w:rsidRPr="00542733">
              <w:rPr>
                <w:rFonts w:ascii="Arial Narrow" w:hAnsi="Arial Narrow" w:cs="Times New Roman"/>
                <w:i/>
                <w:snapToGrid/>
                <w:sz w:val="20"/>
                <w:lang w:eastAsia="en-AU"/>
              </w:rPr>
              <w:t xml:space="preserve"> </w:t>
            </w:r>
            <w:r w:rsidR="00D728EA" w:rsidRPr="00542733">
              <w:rPr>
                <w:rFonts w:ascii="Arial Narrow" w:hAnsi="Arial Narrow" w:cs="Times New Roman"/>
                <w:i/>
                <w:snapToGrid/>
                <w:sz w:val="20"/>
                <w:lang w:eastAsia="en-AU"/>
              </w:rPr>
              <w:t>+</w:t>
            </w:r>
            <w:r w:rsidR="003C147F" w:rsidRPr="00542733">
              <w:rPr>
                <w:rFonts w:ascii="Arial Narrow" w:hAnsi="Arial Narrow" w:cs="Times New Roman"/>
                <w:i/>
                <w:snapToGrid/>
                <w:sz w:val="20"/>
                <w:lang w:eastAsia="en-AU"/>
              </w:rPr>
              <w:t xml:space="preserve"> </w:t>
            </w:r>
            <w:r w:rsidR="00D728EA" w:rsidRPr="00542733">
              <w:rPr>
                <w:rFonts w:ascii="Arial Narrow" w:hAnsi="Arial Narrow" w:cs="Times New Roman"/>
                <w:i/>
                <w:snapToGrid/>
                <w:sz w:val="20"/>
                <w:lang w:eastAsia="en-AU"/>
              </w:rPr>
              <w:t xml:space="preserve">FOLFOX: </w:t>
            </w:r>
            <w:r w:rsidR="001A7755">
              <w:rPr>
                <w:rFonts w:ascii="Arial Narrow" w:hAnsi="Arial Narrow" w:cs="Times New Roman"/>
                <w:i/>
                <w:noProof/>
                <w:snapToGrid/>
                <w:color w:val="000000"/>
                <w:sz w:val="20"/>
                <w:highlight w:val="black"/>
                <w:lang w:eastAsia="en-AU"/>
              </w:rPr>
              <w:t>''''''</w:t>
            </w:r>
            <w:r w:rsidR="00D728EA" w:rsidRPr="00542733">
              <w:rPr>
                <w:rFonts w:ascii="Arial Narrow" w:hAnsi="Arial Narrow" w:cs="Times New Roman"/>
                <w:i/>
                <w:snapToGrid/>
                <w:sz w:val="20"/>
                <w:lang w:eastAsia="en-AU"/>
              </w:rPr>
              <w:t xml:space="preserve">% FOLFIRI alone; </w:t>
            </w:r>
            <w:r w:rsidR="001A7755">
              <w:rPr>
                <w:rFonts w:ascii="Arial Narrow" w:hAnsi="Arial Narrow" w:cs="Times New Roman"/>
                <w:i/>
                <w:noProof/>
                <w:snapToGrid/>
                <w:color w:val="000000"/>
                <w:sz w:val="20"/>
                <w:highlight w:val="black"/>
                <w:lang w:eastAsia="en-AU"/>
              </w:rPr>
              <w:t>'''''</w:t>
            </w:r>
            <w:r w:rsidR="00D728EA" w:rsidRPr="00542733">
              <w:rPr>
                <w:rFonts w:ascii="Arial Narrow" w:hAnsi="Arial Narrow" w:cs="Times New Roman"/>
                <w:i/>
                <w:snapToGrid/>
                <w:sz w:val="20"/>
                <w:lang w:eastAsia="en-AU"/>
              </w:rPr>
              <w:t xml:space="preserve">% </w:t>
            </w:r>
            <w:proofErr w:type="spellStart"/>
            <w:r w:rsidR="00D728EA" w:rsidRPr="00542733">
              <w:rPr>
                <w:rFonts w:ascii="Arial Narrow" w:hAnsi="Arial Narrow" w:cs="Times New Roman"/>
                <w:i/>
                <w:snapToGrid/>
                <w:sz w:val="20"/>
                <w:lang w:eastAsia="en-AU"/>
              </w:rPr>
              <w:t>cet</w:t>
            </w:r>
            <w:r w:rsidR="003C147F" w:rsidRPr="00542733">
              <w:rPr>
                <w:rFonts w:ascii="Arial Narrow" w:hAnsi="Arial Narrow" w:cs="Times New Roman"/>
                <w:i/>
                <w:snapToGrid/>
                <w:sz w:val="20"/>
                <w:lang w:eastAsia="en-AU"/>
              </w:rPr>
              <w:t>uximab</w:t>
            </w:r>
            <w:proofErr w:type="spellEnd"/>
            <w:r w:rsidR="003C147F" w:rsidRPr="00542733">
              <w:rPr>
                <w:rFonts w:ascii="Arial Narrow" w:hAnsi="Arial Narrow" w:cs="Times New Roman"/>
                <w:i/>
                <w:snapToGrid/>
                <w:sz w:val="20"/>
                <w:lang w:eastAsia="en-AU"/>
              </w:rPr>
              <w:t xml:space="preserve"> </w:t>
            </w:r>
            <w:r w:rsidR="00D728EA" w:rsidRPr="00542733">
              <w:rPr>
                <w:rFonts w:ascii="Arial Narrow" w:hAnsi="Arial Narrow" w:cs="Times New Roman"/>
                <w:i/>
                <w:snapToGrid/>
                <w:sz w:val="20"/>
                <w:lang w:eastAsia="en-AU"/>
              </w:rPr>
              <w:t>+</w:t>
            </w:r>
            <w:r w:rsidR="003C147F" w:rsidRPr="00542733">
              <w:rPr>
                <w:rFonts w:ascii="Arial Narrow" w:hAnsi="Arial Narrow" w:cs="Times New Roman"/>
                <w:i/>
                <w:snapToGrid/>
                <w:sz w:val="20"/>
                <w:lang w:eastAsia="en-AU"/>
              </w:rPr>
              <w:t xml:space="preserve"> </w:t>
            </w:r>
            <w:r w:rsidR="00D728EA" w:rsidRPr="00542733">
              <w:rPr>
                <w:rFonts w:ascii="Arial Narrow" w:hAnsi="Arial Narrow" w:cs="Times New Roman"/>
                <w:i/>
                <w:snapToGrid/>
                <w:sz w:val="20"/>
                <w:lang w:eastAsia="en-AU"/>
              </w:rPr>
              <w:t>FOLFIRI (in those</w:t>
            </w:r>
            <w:r w:rsidR="003C147F" w:rsidRPr="00542733">
              <w:rPr>
                <w:rFonts w:ascii="Arial Narrow" w:hAnsi="Arial Narrow" w:cs="Times New Roman"/>
                <w:i/>
                <w:snapToGrid/>
                <w:sz w:val="20"/>
                <w:lang w:eastAsia="en-AU"/>
              </w:rPr>
              <w:t xml:space="preserve"> that receive active treatment)</w:t>
            </w:r>
          </w:p>
          <w:p w:rsidR="00D728EA" w:rsidRPr="00542733" w:rsidRDefault="00D728EA" w:rsidP="00102F37">
            <w:pPr>
              <w:widowControl/>
              <w:spacing w:line="276" w:lineRule="auto"/>
              <w:jc w:val="left"/>
              <w:rPr>
                <w:rFonts w:ascii="Arial Narrow" w:hAnsi="Arial Narrow" w:cs="Times New Roman"/>
                <w:i/>
                <w:snapToGrid/>
                <w:sz w:val="20"/>
                <w:lang w:eastAsia="zh-CN"/>
              </w:rPr>
            </w:pPr>
            <w:r w:rsidRPr="00542733">
              <w:rPr>
                <w:rFonts w:ascii="Arial Narrow" w:hAnsi="Arial Narrow" w:cs="Times New Roman"/>
                <w:i/>
                <w:snapToGrid/>
                <w:sz w:val="20"/>
                <w:lang w:eastAsia="en-AU"/>
              </w:rPr>
              <w:t xml:space="preserve">[so </w:t>
            </w:r>
            <w:r w:rsidR="001A7755">
              <w:rPr>
                <w:rFonts w:ascii="Arial Narrow" w:hAnsi="Arial Narrow" w:cs="Times New Roman"/>
                <w:i/>
                <w:noProof/>
                <w:snapToGrid/>
                <w:color w:val="000000"/>
                <w:sz w:val="20"/>
                <w:highlight w:val="black"/>
                <w:lang w:eastAsia="en-AU"/>
              </w:rPr>
              <w:t>''''''</w:t>
            </w:r>
            <w:r w:rsidRPr="00542733">
              <w:rPr>
                <w:rFonts w:ascii="Arial Narrow" w:hAnsi="Arial Narrow" w:cs="Times New Roman"/>
                <w:i/>
                <w:snapToGrid/>
                <w:sz w:val="20"/>
                <w:lang w:eastAsia="en-AU"/>
              </w:rPr>
              <w:t xml:space="preserve">% of all patients receive </w:t>
            </w:r>
            <w:proofErr w:type="spellStart"/>
            <w:r w:rsidRPr="00542733">
              <w:rPr>
                <w:rFonts w:ascii="Arial Narrow" w:hAnsi="Arial Narrow" w:cs="Times New Roman"/>
                <w:i/>
                <w:snapToGrid/>
                <w:sz w:val="20"/>
                <w:lang w:eastAsia="en-AU"/>
              </w:rPr>
              <w:t>cet</w:t>
            </w:r>
            <w:r w:rsidR="003C147F" w:rsidRPr="00542733">
              <w:rPr>
                <w:rFonts w:ascii="Arial Narrow" w:hAnsi="Arial Narrow" w:cs="Times New Roman"/>
                <w:i/>
                <w:snapToGrid/>
                <w:sz w:val="20"/>
                <w:lang w:eastAsia="en-AU"/>
              </w:rPr>
              <w:t>uximab</w:t>
            </w:r>
            <w:proofErr w:type="spellEnd"/>
            <w:r w:rsidR="003C147F" w:rsidRPr="00542733">
              <w:rPr>
                <w:rFonts w:ascii="Arial Narrow" w:hAnsi="Arial Narrow" w:cs="Times New Roman"/>
                <w:i/>
                <w:snapToGrid/>
                <w:sz w:val="20"/>
                <w:lang w:eastAsia="en-AU"/>
              </w:rPr>
              <w:t xml:space="preserve"> </w:t>
            </w:r>
            <w:r w:rsidRPr="00542733">
              <w:rPr>
                <w:rFonts w:ascii="Arial Narrow" w:hAnsi="Arial Narrow" w:cs="Times New Roman"/>
                <w:i/>
                <w:snapToGrid/>
                <w:sz w:val="20"/>
                <w:lang w:eastAsia="en-AU"/>
              </w:rPr>
              <w:t>+</w:t>
            </w:r>
            <w:r w:rsidR="003C147F" w:rsidRPr="00542733">
              <w:rPr>
                <w:rFonts w:ascii="Arial Narrow" w:hAnsi="Arial Narrow" w:cs="Times New Roman"/>
                <w:i/>
                <w:snapToGrid/>
                <w:sz w:val="20"/>
                <w:lang w:eastAsia="en-AU"/>
              </w:rPr>
              <w:t xml:space="preserve"> </w:t>
            </w:r>
            <w:r w:rsidRPr="00542733">
              <w:rPr>
                <w:rFonts w:ascii="Arial Narrow" w:hAnsi="Arial Narrow" w:cs="Times New Roman"/>
                <w:i/>
                <w:snapToGrid/>
                <w:sz w:val="20"/>
                <w:lang w:eastAsia="en-AU"/>
              </w:rPr>
              <w:t xml:space="preserve">FOLFIRI, </w:t>
            </w:r>
            <w:r w:rsidR="001A7755">
              <w:rPr>
                <w:rFonts w:ascii="Arial Narrow" w:hAnsi="Arial Narrow" w:cs="Times New Roman"/>
                <w:i/>
                <w:noProof/>
                <w:snapToGrid/>
                <w:color w:val="000000"/>
                <w:sz w:val="20"/>
                <w:highlight w:val="black"/>
                <w:lang w:eastAsia="en-AU"/>
              </w:rPr>
              <w:t>''''''</w:t>
            </w:r>
            <w:r w:rsidRPr="00542733">
              <w:rPr>
                <w:rFonts w:ascii="Arial Narrow" w:hAnsi="Arial Narrow" w:cs="Times New Roman"/>
                <w:i/>
                <w:snapToGrid/>
                <w:sz w:val="20"/>
                <w:lang w:eastAsia="en-AU"/>
              </w:rPr>
              <w:t>% receive FOLFIRI alone</w:t>
            </w:r>
            <w:r w:rsidR="003C147F" w:rsidRPr="00542733">
              <w:rPr>
                <w:rFonts w:ascii="Arial Narrow" w:hAnsi="Arial Narrow" w:cs="Times New Roman"/>
                <w:i/>
                <w:snapToGrid/>
                <w:sz w:val="20"/>
                <w:lang w:eastAsia="en-AU"/>
              </w:rPr>
              <w:t>,</w:t>
            </w:r>
            <w:r w:rsidRPr="00542733">
              <w:rPr>
                <w:rFonts w:ascii="Arial Narrow" w:hAnsi="Arial Narrow" w:cs="Times New Roman"/>
                <w:i/>
                <w:snapToGrid/>
                <w:sz w:val="20"/>
                <w:lang w:eastAsia="en-AU"/>
              </w:rPr>
              <w:t xml:space="preserve"> and </w:t>
            </w:r>
            <w:r w:rsidR="001A7755">
              <w:rPr>
                <w:rFonts w:ascii="Arial Narrow" w:hAnsi="Arial Narrow" w:cs="Times New Roman"/>
                <w:i/>
                <w:noProof/>
                <w:snapToGrid/>
                <w:color w:val="000000"/>
                <w:sz w:val="20"/>
                <w:highlight w:val="black"/>
                <w:lang w:eastAsia="en-AU"/>
              </w:rPr>
              <w:t>''''''</w:t>
            </w:r>
            <w:r w:rsidRPr="00542733">
              <w:rPr>
                <w:rFonts w:ascii="Arial Narrow" w:hAnsi="Arial Narrow" w:cs="Times New Roman"/>
                <w:i/>
                <w:snapToGrid/>
                <w:sz w:val="20"/>
                <w:lang w:eastAsia="en-AU"/>
              </w:rPr>
              <w:t>% receive no treatment]</w:t>
            </w:r>
          </w:p>
        </w:tc>
      </w:tr>
      <w:tr w:rsidR="00D728EA" w:rsidRPr="00542733" w:rsidTr="001A53B7">
        <w:tc>
          <w:tcPr>
            <w:tcW w:w="134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542733" w:rsidRDefault="00D728EA" w:rsidP="00D728EA">
            <w:pPr>
              <w:widowControl/>
              <w:spacing w:line="276" w:lineRule="auto"/>
              <w:jc w:val="left"/>
              <w:rPr>
                <w:rFonts w:ascii="Arial Narrow" w:hAnsi="Arial Narrow" w:cs="Times New Roman"/>
                <w:i/>
                <w:snapToGrid/>
                <w:sz w:val="20"/>
                <w:lang w:eastAsia="zh-CN"/>
              </w:rPr>
            </w:pPr>
            <w:r w:rsidRPr="00542733">
              <w:rPr>
                <w:rFonts w:ascii="Arial Narrow" w:hAnsi="Arial Narrow" w:cs="Times New Roman"/>
                <w:i/>
                <w:snapToGrid/>
                <w:sz w:val="20"/>
                <w:lang w:eastAsia="en-AU"/>
              </w:rPr>
              <w:t>Costs</w:t>
            </w:r>
          </w:p>
        </w:tc>
        <w:tc>
          <w:tcPr>
            <w:tcW w:w="1452"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542733" w:rsidRDefault="00D728EA" w:rsidP="00D728EA">
            <w:pPr>
              <w:widowControl/>
              <w:spacing w:line="276" w:lineRule="auto"/>
              <w:jc w:val="center"/>
              <w:rPr>
                <w:rFonts w:ascii="Arial Narrow" w:hAnsi="Arial Narrow" w:cs="Times New Roman"/>
                <w:i/>
                <w:snapToGrid/>
                <w:sz w:val="20"/>
                <w:lang w:eastAsia="zh-CN"/>
              </w:rPr>
            </w:pPr>
            <w:r w:rsidRPr="00542733">
              <w:rPr>
                <w:rFonts w:ascii="Arial Narrow" w:hAnsi="Arial Narrow" w:cs="Times New Roman"/>
                <w:i/>
                <w:snapToGrid/>
                <w:sz w:val="20"/>
                <w:lang w:eastAsia="en-AU"/>
              </w:rPr>
              <w:t>$</w:t>
            </w:r>
            <w:r w:rsidR="001A7755">
              <w:rPr>
                <w:rFonts w:ascii="Arial Narrow" w:hAnsi="Arial Narrow" w:cs="Times New Roman"/>
                <w:i/>
                <w:noProof/>
                <w:snapToGrid/>
                <w:color w:val="000000"/>
                <w:sz w:val="20"/>
                <w:highlight w:val="black"/>
                <w:lang w:eastAsia="en-AU"/>
              </w:rPr>
              <w:t>'''''''''''''''</w:t>
            </w:r>
          </w:p>
        </w:tc>
        <w:tc>
          <w:tcPr>
            <w:tcW w:w="127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542733" w:rsidRDefault="00D728EA" w:rsidP="00D728EA">
            <w:pPr>
              <w:widowControl/>
              <w:spacing w:line="276" w:lineRule="auto"/>
              <w:jc w:val="center"/>
              <w:rPr>
                <w:rFonts w:ascii="Arial Narrow" w:hAnsi="Arial Narrow" w:cs="Times New Roman"/>
                <w:i/>
                <w:snapToGrid/>
                <w:sz w:val="20"/>
                <w:lang w:eastAsia="zh-CN"/>
              </w:rPr>
            </w:pPr>
            <w:r w:rsidRPr="00542733">
              <w:rPr>
                <w:rFonts w:ascii="Arial Narrow" w:hAnsi="Arial Narrow" w:cs="Times New Roman"/>
                <w:i/>
                <w:snapToGrid/>
                <w:sz w:val="20"/>
                <w:lang w:eastAsia="zh-CN"/>
              </w:rPr>
              <w:t>$</w:t>
            </w:r>
            <w:r w:rsidR="001A7755">
              <w:rPr>
                <w:rFonts w:ascii="Arial Narrow" w:hAnsi="Arial Narrow" w:cs="Times New Roman"/>
                <w:i/>
                <w:noProof/>
                <w:snapToGrid/>
                <w:color w:val="000000"/>
                <w:sz w:val="20"/>
                <w:highlight w:val="black"/>
                <w:lang w:eastAsia="zh-CN"/>
              </w:rPr>
              <w:t>'''''''''''''''</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542733" w:rsidRDefault="00D728EA" w:rsidP="00D728EA">
            <w:pPr>
              <w:widowControl/>
              <w:spacing w:line="276" w:lineRule="auto"/>
              <w:jc w:val="center"/>
              <w:rPr>
                <w:rFonts w:ascii="Arial Narrow" w:hAnsi="Arial Narrow" w:cs="Times New Roman"/>
                <w:i/>
                <w:snapToGrid/>
                <w:sz w:val="20"/>
                <w:lang w:eastAsia="zh-CN"/>
              </w:rPr>
            </w:pPr>
            <w:r w:rsidRPr="00542733">
              <w:rPr>
                <w:rFonts w:ascii="Arial Narrow" w:hAnsi="Arial Narrow" w:cs="Times New Roman"/>
                <w:i/>
                <w:snapToGrid/>
                <w:sz w:val="20"/>
                <w:lang w:eastAsia="zh-CN"/>
              </w:rPr>
              <w:t>$</w:t>
            </w:r>
            <w:r w:rsidR="001A7755">
              <w:rPr>
                <w:rFonts w:ascii="Arial Narrow" w:hAnsi="Arial Narrow" w:cs="Times New Roman"/>
                <w:i/>
                <w:noProof/>
                <w:snapToGrid/>
                <w:color w:val="000000"/>
                <w:sz w:val="20"/>
                <w:highlight w:val="black"/>
                <w:lang w:eastAsia="zh-CN"/>
              </w:rPr>
              <w:t>''''''''''''''</w:t>
            </w:r>
          </w:p>
        </w:tc>
      </w:tr>
      <w:tr w:rsidR="00D728EA" w:rsidRPr="00542733" w:rsidTr="001A53B7">
        <w:tc>
          <w:tcPr>
            <w:tcW w:w="1343"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D728EA" w:rsidRPr="00542733" w:rsidRDefault="00D728EA" w:rsidP="00D728EA">
            <w:pPr>
              <w:widowControl/>
              <w:spacing w:line="276" w:lineRule="auto"/>
              <w:jc w:val="left"/>
              <w:rPr>
                <w:rFonts w:ascii="Arial Narrow" w:hAnsi="Arial Narrow" w:cs="Times New Roman"/>
                <w:i/>
                <w:snapToGrid/>
                <w:sz w:val="20"/>
                <w:lang w:eastAsia="zh-CN"/>
              </w:rPr>
            </w:pPr>
            <w:r w:rsidRPr="00542733">
              <w:rPr>
                <w:rFonts w:ascii="Arial Narrow" w:hAnsi="Arial Narrow" w:cs="Times New Roman"/>
                <w:i/>
                <w:snapToGrid/>
                <w:sz w:val="20"/>
                <w:lang w:eastAsia="en-AU"/>
              </w:rPr>
              <w:t>QALY</w:t>
            </w:r>
          </w:p>
        </w:tc>
        <w:tc>
          <w:tcPr>
            <w:tcW w:w="1452"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i/>
                <w:snapToGrid/>
                <w:sz w:val="20"/>
                <w:highlight w:val="black"/>
                <w:lang w:eastAsia="zh-CN"/>
              </w:rPr>
            </w:pPr>
            <w:r>
              <w:rPr>
                <w:rFonts w:ascii="Arial Narrow" w:hAnsi="Arial Narrow" w:cs="Times New Roman"/>
                <w:i/>
                <w:noProof/>
                <w:snapToGrid/>
                <w:color w:val="000000"/>
                <w:sz w:val="20"/>
                <w:highlight w:val="black"/>
                <w:lang w:eastAsia="en-AU"/>
              </w:rPr>
              <w:t>'''''''''''''</w:t>
            </w:r>
          </w:p>
        </w:tc>
        <w:tc>
          <w:tcPr>
            <w:tcW w:w="1271"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i/>
                <w:snapToGrid/>
                <w:sz w:val="20"/>
                <w:highlight w:val="black"/>
                <w:lang w:eastAsia="zh-CN"/>
              </w:rPr>
            </w:pPr>
            <w:r>
              <w:rPr>
                <w:rFonts w:ascii="Arial Narrow" w:hAnsi="Arial Narrow" w:cs="Times New Roman"/>
                <w:i/>
                <w:noProof/>
                <w:snapToGrid/>
                <w:color w:val="000000"/>
                <w:sz w:val="20"/>
                <w:highlight w:val="black"/>
                <w:lang w:eastAsia="zh-CN"/>
              </w:rPr>
              <w:t>'''''''''''''</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D728EA" w:rsidRPr="001A7755" w:rsidRDefault="001A7755" w:rsidP="00D728EA">
            <w:pPr>
              <w:widowControl/>
              <w:spacing w:line="276" w:lineRule="auto"/>
              <w:jc w:val="center"/>
              <w:rPr>
                <w:rFonts w:ascii="Arial Narrow" w:hAnsi="Arial Narrow" w:cs="Times New Roman"/>
                <w:i/>
                <w:snapToGrid/>
                <w:sz w:val="20"/>
                <w:highlight w:val="black"/>
                <w:lang w:eastAsia="zh-CN"/>
              </w:rPr>
            </w:pPr>
            <w:r>
              <w:rPr>
                <w:rFonts w:ascii="Arial Narrow" w:hAnsi="Arial Narrow" w:cs="Times New Roman"/>
                <w:i/>
                <w:noProof/>
                <w:snapToGrid/>
                <w:color w:val="000000"/>
                <w:sz w:val="20"/>
                <w:highlight w:val="black"/>
                <w:lang w:eastAsia="zh-CN"/>
              </w:rPr>
              <w:t>''''''''''''''</w:t>
            </w:r>
          </w:p>
        </w:tc>
      </w:tr>
      <w:tr w:rsidR="00102F37" w:rsidRPr="00542733" w:rsidTr="001A53B7">
        <w:trPr>
          <w:trHeight w:val="61"/>
        </w:trPr>
        <w:tc>
          <w:tcPr>
            <w:tcW w:w="4066"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102F37" w:rsidRPr="00542733" w:rsidRDefault="00102F37" w:rsidP="00102F37">
            <w:pPr>
              <w:widowControl/>
              <w:spacing w:line="276" w:lineRule="auto"/>
              <w:jc w:val="left"/>
              <w:rPr>
                <w:rFonts w:ascii="Arial Narrow" w:hAnsi="Arial Narrow" w:cs="Times New Roman"/>
                <w:i/>
                <w:snapToGrid/>
                <w:sz w:val="6"/>
                <w:lang w:eastAsia="zh-CN"/>
              </w:rPr>
            </w:pPr>
            <w:r w:rsidRPr="00542733">
              <w:rPr>
                <w:rFonts w:ascii="Arial Narrow" w:hAnsi="Arial Narrow" w:cs="Times New Roman"/>
                <w:b/>
                <w:bCs/>
                <w:i/>
                <w:snapToGrid/>
                <w:sz w:val="20"/>
                <w:lang w:eastAsia="en-AU"/>
              </w:rPr>
              <w:t>Incremental cost/extra QALY gained</w:t>
            </w:r>
          </w:p>
        </w:tc>
        <w:tc>
          <w:tcPr>
            <w:tcW w:w="934" w:type="pct"/>
            <w:tcBorders>
              <w:top w:val="nil"/>
              <w:left w:val="nil"/>
              <w:bottom w:val="single" w:sz="8" w:space="0" w:color="auto"/>
              <w:right w:val="single" w:sz="8" w:space="0" w:color="auto"/>
            </w:tcBorders>
            <w:tcMar>
              <w:top w:w="0" w:type="dxa"/>
              <w:left w:w="28" w:type="dxa"/>
              <w:bottom w:w="0" w:type="dxa"/>
              <w:right w:w="28" w:type="dxa"/>
            </w:tcMar>
            <w:vAlign w:val="bottom"/>
            <w:hideMark/>
          </w:tcPr>
          <w:p w:rsidR="00102F37" w:rsidRPr="00542733" w:rsidRDefault="00102F37" w:rsidP="00D728EA">
            <w:pPr>
              <w:widowControl/>
              <w:spacing w:line="61" w:lineRule="atLeast"/>
              <w:jc w:val="center"/>
              <w:rPr>
                <w:rFonts w:ascii="Arial Narrow" w:hAnsi="Arial Narrow" w:cs="Times New Roman"/>
                <w:b/>
                <w:bCs/>
                <w:i/>
                <w:snapToGrid/>
                <w:sz w:val="20"/>
                <w:lang w:eastAsia="zh-CN"/>
              </w:rPr>
            </w:pPr>
            <w:r w:rsidRPr="00542733">
              <w:rPr>
                <w:rFonts w:ascii="Arial Narrow" w:hAnsi="Arial Narrow" w:cs="Times New Roman"/>
                <w:b/>
                <w:bCs/>
                <w:i/>
                <w:snapToGrid/>
                <w:sz w:val="20"/>
                <w:lang w:eastAsia="zh-CN"/>
              </w:rPr>
              <w:t>$</w:t>
            </w:r>
            <w:r w:rsidR="001A7755">
              <w:rPr>
                <w:rFonts w:ascii="Arial Narrow" w:hAnsi="Arial Narrow" w:cs="Times New Roman"/>
                <w:b/>
                <w:bCs/>
                <w:i/>
                <w:noProof/>
                <w:snapToGrid/>
                <w:color w:val="000000"/>
                <w:sz w:val="20"/>
                <w:highlight w:val="black"/>
                <w:lang w:eastAsia="zh-CN"/>
              </w:rPr>
              <w:t>''''''''''''</w:t>
            </w:r>
          </w:p>
        </w:tc>
      </w:tr>
    </w:tbl>
    <w:p w:rsidR="00102F37" w:rsidRPr="00542733" w:rsidRDefault="00102F37" w:rsidP="001A53B7">
      <w:pPr>
        <w:pStyle w:val="TableFooter"/>
        <w:ind w:firstLine="720"/>
        <w:rPr>
          <w:i/>
        </w:rPr>
      </w:pPr>
      <w:r w:rsidRPr="00542733">
        <w:rPr>
          <w:i/>
        </w:rPr>
        <w:t>Source: calculated by re-specifying post-progression costs in the submitted model as indicated.</w:t>
      </w:r>
    </w:p>
    <w:p w:rsidR="00D728EA" w:rsidRPr="00542733" w:rsidRDefault="00D728EA" w:rsidP="00171C9A"/>
    <w:p w:rsidR="00E07A32" w:rsidRPr="001A53B7" w:rsidRDefault="004C7E19" w:rsidP="001A53B7">
      <w:pPr>
        <w:pStyle w:val="ListParagraph"/>
        <w:widowControl/>
        <w:numPr>
          <w:ilvl w:val="1"/>
          <w:numId w:val="18"/>
        </w:numPr>
        <w:rPr>
          <w:szCs w:val="22"/>
        </w:rPr>
      </w:pPr>
      <w:r w:rsidRPr="00542733">
        <w:t xml:space="preserve">The approach taken by the </w:t>
      </w:r>
      <w:r w:rsidR="00AF0640" w:rsidRPr="00542733">
        <w:t>re-</w:t>
      </w:r>
      <w:r w:rsidRPr="00542733">
        <w:t xml:space="preserve">submission to model survival to inform the comparison of </w:t>
      </w:r>
      <w:proofErr w:type="spellStart"/>
      <w:r w:rsidRPr="00542733">
        <w:t>panitumumab</w:t>
      </w:r>
      <w:proofErr w:type="spellEnd"/>
      <w:r w:rsidRPr="00542733">
        <w:t xml:space="preserve"> + FOLFOX vs </w:t>
      </w:r>
      <w:proofErr w:type="spellStart"/>
      <w:r w:rsidRPr="00542733">
        <w:t>bevacizumab</w:t>
      </w:r>
      <w:proofErr w:type="spellEnd"/>
      <w:r w:rsidRPr="00542733">
        <w:t xml:space="preserve"> + FOLFOX </w:t>
      </w:r>
      <w:r w:rsidR="003377AA" w:rsidRPr="00542733">
        <w:t xml:space="preserve">in Step 5b above </w:t>
      </w:r>
      <w:r w:rsidR="00A25858" w:rsidRPr="00542733">
        <w:t>has un</w:t>
      </w:r>
      <w:r w:rsidRPr="00542733">
        <w:t>reasonable</w:t>
      </w:r>
      <w:r w:rsidR="00A25858" w:rsidRPr="00542733">
        <w:t xml:space="preserve"> consequences</w:t>
      </w:r>
      <w:r w:rsidRPr="00542733">
        <w:t xml:space="preserve">.  </w:t>
      </w:r>
      <w:r w:rsidR="00E44FA5" w:rsidRPr="00542733">
        <w:t xml:space="preserve">The re-submission applies the HRs from the PEAK trial to </w:t>
      </w:r>
      <w:r w:rsidR="00AF0640" w:rsidRPr="00542733">
        <w:t xml:space="preserve">the </w:t>
      </w:r>
      <w:r w:rsidR="000F2AC6" w:rsidRPr="00542733">
        <w:t xml:space="preserve">modelled survival </w:t>
      </w:r>
      <w:r w:rsidR="00AF0640" w:rsidRPr="00542733">
        <w:t xml:space="preserve">results of the </w:t>
      </w:r>
      <w:proofErr w:type="spellStart"/>
      <w:r w:rsidR="00AF0640" w:rsidRPr="00542733">
        <w:t>panitumumab</w:t>
      </w:r>
      <w:proofErr w:type="spellEnd"/>
      <w:r w:rsidR="00AF0640" w:rsidRPr="00542733">
        <w:t xml:space="preserve"> + FOLFOX arm from </w:t>
      </w:r>
      <w:r w:rsidR="00DE7862" w:rsidRPr="00542733">
        <w:t xml:space="preserve">the </w:t>
      </w:r>
      <w:r w:rsidR="00AF0640" w:rsidRPr="00542733">
        <w:t xml:space="preserve">PRIME </w:t>
      </w:r>
      <w:r w:rsidR="00DE7862" w:rsidRPr="00542733">
        <w:t xml:space="preserve">trial </w:t>
      </w:r>
      <w:r w:rsidR="00AF0640" w:rsidRPr="00542733">
        <w:t xml:space="preserve">rather than from </w:t>
      </w:r>
      <w:r w:rsidR="00DE7862" w:rsidRPr="00542733">
        <w:t xml:space="preserve">the </w:t>
      </w:r>
      <w:r w:rsidR="00AF0640" w:rsidRPr="00542733">
        <w:t>PEAK</w:t>
      </w:r>
      <w:r w:rsidR="00DE7862" w:rsidRPr="00542733">
        <w:t xml:space="preserve"> trial</w:t>
      </w:r>
      <w:r w:rsidR="00AF0640" w:rsidRPr="00542733">
        <w:t xml:space="preserve">, </w:t>
      </w:r>
      <w:r w:rsidRPr="00542733">
        <w:t xml:space="preserve">to model survival </w:t>
      </w:r>
      <w:r w:rsidR="000F2AC6" w:rsidRPr="00542733">
        <w:t xml:space="preserve">results </w:t>
      </w:r>
      <w:r w:rsidR="00DE7862" w:rsidRPr="00542733">
        <w:t>for</w:t>
      </w:r>
      <w:r w:rsidRPr="00542733">
        <w:t xml:space="preserve"> </w:t>
      </w:r>
      <w:proofErr w:type="spellStart"/>
      <w:r w:rsidRPr="00542733">
        <w:t>bevacizumab</w:t>
      </w:r>
      <w:proofErr w:type="spellEnd"/>
      <w:r w:rsidR="00131AC7" w:rsidRPr="00542733">
        <w:t xml:space="preserve"> </w:t>
      </w:r>
      <w:r w:rsidR="00DE7862" w:rsidRPr="00542733">
        <w:t>+ FOLFOX</w:t>
      </w:r>
      <w:r w:rsidRPr="00542733">
        <w:t>.</w:t>
      </w:r>
      <w:r w:rsidR="00256BDA" w:rsidRPr="00542733">
        <w:t xml:space="preserve"> </w:t>
      </w:r>
      <w:r w:rsidR="003377AA" w:rsidRPr="00542733">
        <w:t xml:space="preserve"> </w:t>
      </w:r>
      <w:r w:rsidR="00256BDA" w:rsidRPr="00542733">
        <w:t>The ESC noted that appl</w:t>
      </w:r>
      <w:r w:rsidR="00DE7862" w:rsidRPr="00542733">
        <w:t xml:space="preserve">ying the HR </w:t>
      </w:r>
      <w:r w:rsidR="00256BDA" w:rsidRPr="00542733">
        <w:t xml:space="preserve">from the PEAK trial </w:t>
      </w:r>
      <w:r w:rsidR="003377AA" w:rsidRPr="00542733">
        <w:t xml:space="preserve">requires a counterintuitive inference of </w:t>
      </w:r>
      <w:r w:rsidR="00256BDA" w:rsidRPr="00542733">
        <w:t xml:space="preserve">a </w:t>
      </w:r>
      <w:r w:rsidR="00715A2B" w:rsidRPr="00542733">
        <w:t xml:space="preserve">numerically greater </w:t>
      </w:r>
      <w:r w:rsidR="00256BDA" w:rsidRPr="00542733">
        <w:t xml:space="preserve">treatment effect </w:t>
      </w:r>
      <w:r w:rsidR="00445504" w:rsidRPr="00542733">
        <w:t xml:space="preserve">for </w:t>
      </w:r>
      <w:proofErr w:type="spellStart"/>
      <w:r w:rsidR="00445504" w:rsidRPr="00542733">
        <w:t>panitumumab</w:t>
      </w:r>
      <w:proofErr w:type="spellEnd"/>
      <w:r w:rsidR="00445504" w:rsidRPr="00542733">
        <w:t xml:space="preserve"> + FOLFOX </w:t>
      </w:r>
      <w:r w:rsidR="003377AA" w:rsidRPr="00542733">
        <w:t xml:space="preserve">over </w:t>
      </w:r>
      <w:proofErr w:type="spellStart"/>
      <w:r w:rsidR="003377AA" w:rsidRPr="00542733">
        <w:t>bevacizumab</w:t>
      </w:r>
      <w:proofErr w:type="spellEnd"/>
      <w:r w:rsidR="003377AA" w:rsidRPr="00542733">
        <w:t xml:space="preserve"> + FOLFOX </w:t>
      </w:r>
      <w:r w:rsidR="00256BDA" w:rsidRPr="00542733">
        <w:t xml:space="preserve">than </w:t>
      </w:r>
      <w:r w:rsidR="003377AA" w:rsidRPr="00542733">
        <w:t>over FOLFOX alone</w:t>
      </w:r>
      <w:r w:rsidR="00DE7862" w:rsidRPr="00542733">
        <w:t xml:space="preserve">. </w:t>
      </w:r>
      <w:r w:rsidR="003377AA" w:rsidRPr="00542733">
        <w:t xml:space="preserve"> </w:t>
      </w:r>
      <w:r w:rsidR="00A25858" w:rsidRPr="00542733">
        <w:lastRenderedPageBreak/>
        <w:t xml:space="preserve">Interpretation of these results </w:t>
      </w:r>
      <w:r w:rsidR="00DE7862" w:rsidRPr="00542733">
        <w:t xml:space="preserve">is </w:t>
      </w:r>
      <w:r w:rsidR="00A25858" w:rsidRPr="00542733">
        <w:t xml:space="preserve">hindered </w:t>
      </w:r>
      <w:r w:rsidR="00DE7862" w:rsidRPr="00542733">
        <w:t xml:space="preserve">by the lack of exchangeability of the two trials and </w:t>
      </w:r>
      <w:r w:rsidR="00334DBF" w:rsidRPr="00542733">
        <w:t xml:space="preserve">the high risk of bias and </w:t>
      </w:r>
      <w:r w:rsidR="00DE7862" w:rsidRPr="00542733">
        <w:t>relative</w:t>
      </w:r>
      <w:r w:rsidR="00E44FA5" w:rsidRPr="00542733">
        <w:t>ly</w:t>
      </w:r>
      <w:r w:rsidR="00DE7862" w:rsidRPr="00542733">
        <w:t xml:space="preserve"> </w:t>
      </w:r>
      <w:r w:rsidR="00256BDA" w:rsidRPr="00542733">
        <w:t xml:space="preserve">small </w:t>
      </w:r>
      <w:r w:rsidR="00DE7862" w:rsidRPr="00542733">
        <w:t xml:space="preserve">sample </w:t>
      </w:r>
      <w:r w:rsidR="00256BDA" w:rsidRPr="00542733">
        <w:t>size</w:t>
      </w:r>
      <w:r w:rsidR="00DE7862" w:rsidRPr="00542733">
        <w:t xml:space="preserve"> of the PEAK trial</w:t>
      </w:r>
      <w:r w:rsidR="00256BDA" w:rsidRPr="00542733">
        <w:t>.</w:t>
      </w:r>
      <w:r w:rsidRPr="00542733">
        <w:t xml:space="preserve">  This leads to a</w:t>
      </w:r>
      <w:r w:rsidR="00171C9A" w:rsidRPr="00542733">
        <w:t xml:space="preserve">dditional uncertainty in the </w:t>
      </w:r>
      <w:r w:rsidR="00DE7862" w:rsidRPr="00542733">
        <w:t xml:space="preserve">corresponding </w:t>
      </w:r>
      <w:r w:rsidR="00171C9A" w:rsidRPr="00542733">
        <w:t>ICER</w:t>
      </w:r>
      <w:r w:rsidR="00DE7862" w:rsidRPr="00542733">
        <w:t xml:space="preserve"> for </w:t>
      </w:r>
      <w:proofErr w:type="spellStart"/>
      <w:r w:rsidR="00DE7862" w:rsidRPr="00542733">
        <w:t>panitumumab</w:t>
      </w:r>
      <w:proofErr w:type="spellEnd"/>
      <w:r w:rsidR="00DE7862" w:rsidRPr="00542733">
        <w:t xml:space="preserve"> + FOLFOX over </w:t>
      </w:r>
      <w:proofErr w:type="spellStart"/>
      <w:r w:rsidR="00DE7862" w:rsidRPr="00542733">
        <w:t>bevacizumab</w:t>
      </w:r>
      <w:proofErr w:type="spellEnd"/>
      <w:r w:rsidR="00131AC7" w:rsidRPr="00542733">
        <w:t xml:space="preserve"> </w:t>
      </w:r>
      <w:r w:rsidR="00DE7862" w:rsidRPr="00542733">
        <w:t xml:space="preserve">+ FOLFOX, also favouring </w:t>
      </w:r>
      <w:proofErr w:type="spellStart"/>
      <w:r w:rsidR="00DE7862" w:rsidRPr="00542733">
        <w:t>panitumumab</w:t>
      </w:r>
      <w:proofErr w:type="spellEnd"/>
      <w:r w:rsidR="00171C9A" w:rsidRPr="00542733">
        <w:t>.</w:t>
      </w:r>
      <w:r w:rsidR="00334DBF" w:rsidRPr="00542733">
        <w:t xml:space="preserve"> </w:t>
      </w:r>
      <w:r w:rsidR="00C21C34" w:rsidRPr="00542733">
        <w:t xml:space="preserve"> </w:t>
      </w:r>
      <w:r w:rsidR="00C41CA8" w:rsidRPr="00542733">
        <w:t>The ESC advised that i</w:t>
      </w:r>
      <w:r w:rsidR="00C21C34" w:rsidRPr="00542733">
        <w:t xml:space="preserve">t may be more appropriate to base the consideration of the first line listing only on the PRIME-based comparison with FOLFOX alone given the PRIME trial is larger and produces less confounded results than the PEAK trial. </w:t>
      </w:r>
      <w:r w:rsidR="00334DBF" w:rsidRPr="00542733">
        <w:t xml:space="preserve"> </w:t>
      </w:r>
      <w:r w:rsidR="00C21C34" w:rsidRPr="00542733">
        <w:t>The Pre-PBAC response (p2) argues that hazard ratios for outcomes such as PFS and OS are typically regarded as likely to be similar regardless of baseline risk and this is why the hazard ratios from PEAK were used in the economic model to quantify the relative efficacy of the two treatment arms.</w:t>
      </w:r>
    </w:p>
    <w:p w:rsidR="001222FC" w:rsidRPr="00542733" w:rsidRDefault="001222FC" w:rsidP="001222FC"/>
    <w:p w:rsidR="00A25858" w:rsidRPr="001A53B7" w:rsidRDefault="00A25858" w:rsidP="001A53B7">
      <w:pPr>
        <w:pStyle w:val="ListParagraph"/>
        <w:widowControl/>
        <w:numPr>
          <w:ilvl w:val="1"/>
          <w:numId w:val="18"/>
        </w:numPr>
        <w:rPr>
          <w:szCs w:val="22"/>
        </w:rPr>
      </w:pPr>
      <w:r w:rsidRPr="00542733">
        <w:t xml:space="preserve">Costs following progression after second-line therapy may also be underestimated, both in terms of underestimating the use of third-line chemotherapy and underestimating the per cycle cost of best supportive care (BSC).  This favours </w:t>
      </w:r>
      <w:proofErr w:type="spellStart"/>
      <w:r w:rsidRPr="00542733">
        <w:t>panitumumab</w:t>
      </w:r>
      <w:proofErr w:type="spellEnd"/>
      <w:r w:rsidRPr="00542733">
        <w:t xml:space="preserve"> because the model generates a longer time in the post-progression state with </w:t>
      </w:r>
      <w:proofErr w:type="spellStart"/>
      <w:r w:rsidRPr="00542733">
        <w:t>panitumumab</w:t>
      </w:r>
      <w:proofErr w:type="spellEnd"/>
      <w:r w:rsidRPr="00542733">
        <w:t>.</w:t>
      </w:r>
      <w:r w:rsidR="008F13AE" w:rsidRPr="00542733">
        <w:t xml:space="preserve">  The PSCR </w:t>
      </w:r>
      <w:r w:rsidR="005F11CC" w:rsidRPr="00542733">
        <w:t xml:space="preserve">(p2) </w:t>
      </w:r>
      <w:r w:rsidR="008F13AE" w:rsidRPr="00542733">
        <w:t>increases the BSC per cycle cost of $</w:t>
      </w:r>
      <w:r w:rsidR="001A7755">
        <w:rPr>
          <w:noProof/>
          <w:color w:val="000000"/>
          <w:highlight w:val="black"/>
        </w:rPr>
        <w:t>'''''''''</w:t>
      </w:r>
      <w:r w:rsidR="008F13AE" w:rsidRPr="00542733">
        <w:t xml:space="preserve"> rather than $</w:t>
      </w:r>
      <w:r w:rsidR="001A7755">
        <w:rPr>
          <w:noProof/>
          <w:color w:val="000000"/>
          <w:highlight w:val="black"/>
        </w:rPr>
        <w:t>'''''''''</w:t>
      </w:r>
      <w:r w:rsidR="005F11CC" w:rsidRPr="00542733">
        <w:t xml:space="preserve"> in the base case, which increased</w:t>
      </w:r>
      <w:r w:rsidR="008F13AE" w:rsidRPr="00542733">
        <w:t xml:space="preserve"> the ICER over FOLFOX alone </w:t>
      </w:r>
      <w:r w:rsidR="005F11CC" w:rsidRPr="00542733">
        <w:t>(</w:t>
      </w:r>
      <w:r w:rsidR="008F13AE" w:rsidRPr="00542733">
        <w:t>from $</w:t>
      </w:r>
      <w:r w:rsidR="00570955">
        <w:t>45,000</w:t>
      </w:r>
      <w:r w:rsidR="008F13AE" w:rsidRPr="00542733">
        <w:t xml:space="preserve">/QALY </w:t>
      </w:r>
      <w:r w:rsidR="00570955">
        <w:t xml:space="preserve">- </w:t>
      </w:r>
      <w:r w:rsidR="008F13AE" w:rsidRPr="00542733">
        <w:t>$</w:t>
      </w:r>
      <w:r w:rsidR="00570955">
        <w:t>75,000</w:t>
      </w:r>
      <w:r w:rsidR="005F11CC" w:rsidRPr="00542733">
        <w:t>/QALY gained</w:t>
      </w:r>
      <w:r w:rsidR="008F13AE" w:rsidRPr="00542733">
        <w:t xml:space="preserve">) </w:t>
      </w:r>
      <w:r w:rsidR="005F11CC" w:rsidRPr="00542733">
        <w:t xml:space="preserve">and </w:t>
      </w:r>
      <w:r w:rsidR="008F13AE" w:rsidRPr="00542733">
        <w:t xml:space="preserve">over </w:t>
      </w:r>
      <w:proofErr w:type="spellStart"/>
      <w:r w:rsidR="008F13AE" w:rsidRPr="00542733">
        <w:t>bevacizumab</w:t>
      </w:r>
      <w:proofErr w:type="spellEnd"/>
      <w:r w:rsidR="008F13AE" w:rsidRPr="00542733">
        <w:t xml:space="preserve"> + FOLFOX</w:t>
      </w:r>
      <w:r w:rsidR="005F11CC" w:rsidRPr="00542733">
        <w:t xml:space="preserve"> (from dominant to </w:t>
      </w:r>
      <w:r w:rsidR="00570955">
        <w:t xml:space="preserve">less than </w:t>
      </w:r>
      <w:r w:rsidR="005F11CC" w:rsidRPr="00542733">
        <w:t>$</w:t>
      </w:r>
      <w:r w:rsidR="00570955">
        <w:t>15,000</w:t>
      </w:r>
      <w:r w:rsidR="005F11CC" w:rsidRPr="00542733">
        <w:t>/QALY gained</w:t>
      </w:r>
      <w:r w:rsidR="008F13AE" w:rsidRPr="00542733">
        <w:t>)</w:t>
      </w:r>
      <w:r w:rsidR="005F11CC" w:rsidRPr="00542733">
        <w:t>.</w:t>
      </w:r>
    </w:p>
    <w:p w:rsidR="00105650" w:rsidRPr="00542733" w:rsidRDefault="00105650" w:rsidP="00105650"/>
    <w:p w:rsidR="00105650" w:rsidRPr="001A53B7" w:rsidRDefault="00105650" w:rsidP="001A53B7">
      <w:pPr>
        <w:pStyle w:val="ListParagraph"/>
        <w:widowControl/>
        <w:numPr>
          <w:ilvl w:val="1"/>
          <w:numId w:val="18"/>
        </w:numPr>
        <w:rPr>
          <w:szCs w:val="22"/>
        </w:rPr>
      </w:pPr>
      <w:r w:rsidRPr="00542733">
        <w:t>The ESC was concerned that the modelling of mortality benefit of resection with curative intent amount</w:t>
      </w:r>
      <w:r w:rsidR="002F3875" w:rsidRPr="00542733">
        <w:t>s</w:t>
      </w:r>
      <w:r w:rsidRPr="00542733">
        <w:t xml:space="preserve"> to double-counting of the extrapolated incremental OS gain, but the extent of any impact of this was unclear.</w:t>
      </w:r>
    </w:p>
    <w:p w:rsidR="00A25858" w:rsidRPr="00542733" w:rsidRDefault="00A25858" w:rsidP="00A25858"/>
    <w:p w:rsidR="00E07A32" w:rsidRPr="001A53B7" w:rsidRDefault="006C1CC2" w:rsidP="001A53B7">
      <w:pPr>
        <w:pStyle w:val="ListParagraph"/>
        <w:widowControl/>
        <w:numPr>
          <w:ilvl w:val="1"/>
          <w:numId w:val="18"/>
        </w:numPr>
        <w:rPr>
          <w:szCs w:val="22"/>
        </w:rPr>
      </w:pPr>
      <w:proofErr w:type="spellStart"/>
      <w:r w:rsidRPr="00542733">
        <w:t>Univariate</w:t>
      </w:r>
      <w:proofErr w:type="spellEnd"/>
      <w:r w:rsidRPr="00542733">
        <w:t xml:space="preserve"> sensitivity analyses were presented in the </w:t>
      </w:r>
      <w:r w:rsidR="00553D26" w:rsidRPr="00542733">
        <w:t>re-</w:t>
      </w:r>
      <w:r w:rsidRPr="00542733">
        <w:t xml:space="preserve">submission using upper and lower limits for 63 parameters.  A number of the analyses tested ranges that were considered by the </w:t>
      </w:r>
      <w:r w:rsidR="00553D26" w:rsidRPr="00542733">
        <w:t>re-</w:t>
      </w:r>
      <w:r w:rsidRPr="00542733">
        <w:t>submission as extreme</w:t>
      </w:r>
      <w:r w:rsidR="000C01B7" w:rsidRPr="00542733">
        <w:t xml:space="preserve"> changes</w:t>
      </w:r>
      <w:r w:rsidRPr="00542733">
        <w:t xml:space="preserve"> or arbitrary changes</w:t>
      </w:r>
      <w:r w:rsidR="00135907" w:rsidRPr="00542733">
        <w:t xml:space="preserve"> </w:t>
      </w:r>
      <w:r w:rsidR="00135907" w:rsidRPr="00542733">
        <w:br/>
      </w:r>
      <w:r w:rsidRPr="00542733">
        <w:t xml:space="preserve">(-20%/+25% or </w:t>
      </w:r>
      <w:r w:rsidR="000C01B7" w:rsidRPr="00542733">
        <w:t>-</w:t>
      </w:r>
      <w:r w:rsidRPr="00542733">
        <w:t xml:space="preserve">50%/+100%).  </w:t>
      </w:r>
      <w:r w:rsidR="00885036" w:rsidRPr="00542733">
        <w:t xml:space="preserve">The ESC agreed with the commentary that, in </w:t>
      </w:r>
      <w:r w:rsidRPr="00542733">
        <w:t>some instances, the ranges used were inadequate or inappropriate.</w:t>
      </w:r>
    </w:p>
    <w:p w:rsidR="00E07A32" w:rsidRPr="00542733" w:rsidRDefault="00E07A32" w:rsidP="00DE7862"/>
    <w:p w:rsidR="00E07A32" w:rsidRPr="001A53B7" w:rsidRDefault="00E07A32" w:rsidP="001A53B7">
      <w:pPr>
        <w:pStyle w:val="ListParagraph"/>
        <w:widowControl/>
        <w:numPr>
          <w:ilvl w:val="1"/>
          <w:numId w:val="18"/>
        </w:numPr>
        <w:rPr>
          <w:szCs w:val="22"/>
        </w:rPr>
      </w:pPr>
      <w:r w:rsidRPr="00542733">
        <w:t xml:space="preserve">The ICER for the comparison of </w:t>
      </w:r>
      <w:proofErr w:type="spellStart"/>
      <w:r w:rsidRPr="00542733">
        <w:t>panitumumab</w:t>
      </w:r>
      <w:proofErr w:type="spellEnd"/>
      <w:r w:rsidRPr="00542733">
        <w:t xml:space="preserve"> + FOLFOX compared to </w:t>
      </w:r>
      <w:proofErr w:type="spellStart"/>
      <w:r w:rsidRPr="00542733">
        <w:t>bevacizumab</w:t>
      </w:r>
      <w:proofErr w:type="spellEnd"/>
      <w:r w:rsidRPr="00542733">
        <w:t xml:space="preserve"> + FOLFOX is sensitive to the upper limit of this HR (ICER approximately </w:t>
      </w:r>
      <w:r w:rsidR="005F5709">
        <w:t xml:space="preserve">more than </w:t>
      </w:r>
      <w:r w:rsidRPr="00542733">
        <w:t>$</w:t>
      </w:r>
      <w:r w:rsidR="005F5709">
        <w:t>2</w:t>
      </w:r>
      <w:r w:rsidRPr="00542733">
        <w:t>00,000</w:t>
      </w:r>
      <w:r w:rsidR="005F5709">
        <w:t>/QALY</w:t>
      </w:r>
      <w:r w:rsidRPr="00542733">
        <w:t xml:space="preserve">). The PSCR (p3) argues that this ICER should be interpreted as </w:t>
      </w:r>
      <w:proofErr w:type="spellStart"/>
      <w:r w:rsidRPr="00542733">
        <w:t>bevacizumab</w:t>
      </w:r>
      <w:proofErr w:type="spellEnd"/>
      <w:r w:rsidRPr="00542733">
        <w:t xml:space="preserve"> being inadequately cost effective compared to </w:t>
      </w:r>
      <w:proofErr w:type="spellStart"/>
      <w:r w:rsidRPr="00542733">
        <w:t>panitumumab</w:t>
      </w:r>
      <w:proofErr w:type="spellEnd"/>
      <w:r w:rsidRPr="00542733">
        <w:t xml:space="preserve">. </w:t>
      </w:r>
      <w:r w:rsidR="00D1361D" w:rsidRPr="00542733">
        <w:t xml:space="preserve"> </w:t>
      </w:r>
      <w:r w:rsidRPr="00542733">
        <w:t xml:space="preserve">The ESC interpreted this </w:t>
      </w:r>
      <w:r w:rsidR="00D1361D" w:rsidRPr="00542733">
        <w:t xml:space="preserve">ICER point estimate </w:t>
      </w:r>
      <w:r w:rsidRPr="00542733">
        <w:t>to mean that</w:t>
      </w:r>
      <w:r w:rsidR="00553D26" w:rsidRPr="00542733">
        <w:t xml:space="preserve"> starting with </w:t>
      </w:r>
      <w:proofErr w:type="spellStart"/>
      <w:r w:rsidRPr="00542733">
        <w:t>panitumumab</w:t>
      </w:r>
      <w:proofErr w:type="spellEnd"/>
      <w:r w:rsidRPr="00542733">
        <w:t xml:space="preserve"> </w:t>
      </w:r>
      <w:r w:rsidR="00D1361D" w:rsidRPr="00542733">
        <w:t xml:space="preserve">+ FOLFOX would be </w:t>
      </w:r>
      <w:r w:rsidRPr="00542733">
        <w:t xml:space="preserve">both less costly </w:t>
      </w:r>
      <w:r w:rsidR="00D1361D" w:rsidRPr="005F5709">
        <w:t>(</w:t>
      </w:r>
      <w:r w:rsidR="001A7755">
        <w:rPr>
          <w:noProof/>
          <w:color w:val="000000"/>
          <w:highlight w:val="black"/>
        </w:rPr>
        <w:t>''</w:t>
      </w:r>
      <w:r w:rsidR="00D1361D" w:rsidRPr="005F5709">
        <w:t>$</w:t>
      </w:r>
      <w:r w:rsidR="001A7755">
        <w:rPr>
          <w:noProof/>
          <w:color w:val="000000"/>
          <w:highlight w:val="black"/>
        </w:rPr>
        <w:t>''''''''''''''</w:t>
      </w:r>
      <w:r w:rsidR="00D1361D" w:rsidRPr="00542733">
        <w:t xml:space="preserve"> </w:t>
      </w:r>
      <w:r w:rsidRPr="00542733">
        <w:t xml:space="preserve">and less effective </w:t>
      </w:r>
      <w:r w:rsidR="00D1361D" w:rsidRPr="005D4538">
        <w:t>(</w:t>
      </w:r>
      <w:r w:rsidR="001A7755">
        <w:rPr>
          <w:noProof/>
          <w:color w:val="000000"/>
          <w:highlight w:val="black"/>
        </w:rPr>
        <w:t xml:space="preserve">'''''''''''''''''''' </w:t>
      </w:r>
      <w:r w:rsidR="00D1361D" w:rsidRPr="005D4538">
        <w:t>QALYs)</w:t>
      </w:r>
      <w:r w:rsidR="00D1361D" w:rsidRPr="00542733">
        <w:t xml:space="preserve"> </w:t>
      </w:r>
      <w:r w:rsidRPr="00542733">
        <w:t xml:space="preserve">than </w:t>
      </w:r>
      <w:r w:rsidR="00553D26" w:rsidRPr="00542733">
        <w:t xml:space="preserve">starting with </w:t>
      </w:r>
      <w:proofErr w:type="spellStart"/>
      <w:r w:rsidRPr="00542733">
        <w:t>bevacizumab</w:t>
      </w:r>
      <w:proofErr w:type="spellEnd"/>
      <w:r w:rsidR="00D1361D" w:rsidRPr="00542733">
        <w:t xml:space="preserve"> + FOLFOX</w:t>
      </w:r>
      <w:r w:rsidRPr="00542733">
        <w:t>.</w:t>
      </w:r>
    </w:p>
    <w:p w:rsidR="00241DEC" w:rsidRPr="00542733" w:rsidRDefault="00241DEC" w:rsidP="00BB2F0A"/>
    <w:p w:rsidR="00D1361D" w:rsidRPr="001A53B7" w:rsidRDefault="0082156F" w:rsidP="001A53B7">
      <w:pPr>
        <w:pStyle w:val="ListParagraph"/>
        <w:widowControl/>
        <w:numPr>
          <w:ilvl w:val="1"/>
          <w:numId w:val="18"/>
        </w:numPr>
        <w:rPr>
          <w:szCs w:val="22"/>
        </w:rPr>
      </w:pPr>
      <w:r w:rsidRPr="00542733">
        <w:t xml:space="preserve">The parameters associated with the most uncertainty in the re-specified analyses were changes to the treatment effect parameters for PFS and OS.  The ICER increases substantially </w:t>
      </w:r>
      <w:r w:rsidR="00570955">
        <w:t>in the range of $105,000/QALY - $200,000/QALY</w:t>
      </w:r>
      <w:r w:rsidRPr="00542733">
        <w:t xml:space="preserve"> (even when the assumptions with Step 5 are retained in the model) when the upper range for PFS treatment effect is assumed to result in no difference in treatment effect for OS.  The ICER is additionally most sensitive to the administration adjustment parameter (treatment intensity in line 1</w:t>
      </w:r>
      <w:r w:rsidR="00184C02" w:rsidRPr="00542733">
        <w:t xml:space="preserve">, with the base case favouring first-line </w:t>
      </w:r>
      <w:proofErr w:type="spellStart"/>
      <w:r w:rsidR="00184C02" w:rsidRPr="00542733">
        <w:t>panitumumab</w:t>
      </w:r>
      <w:proofErr w:type="spellEnd"/>
      <w:r w:rsidRPr="00542733">
        <w:t xml:space="preserve">) and second-line progression-free survival in </w:t>
      </w:r>
      <w:r w:rsidRPr="001A53B7">
        <w:rPr>
          <w:i/>
        </w:rPr>
        <w:t>RAS</w:t>
      </w:r>
      <w:r w:rsidRPr="00542733">
        <w:t xml:space="preserve"> WT patients treated with </w:t>
      </w:r>
      <w:proofErr w:type="spellStart"/>
      <w:r w:rsidRPr="00542733">
        <w:t>cetuximab</w:t>
      </w:r>
      <w:proofErr w:type="spellEnd"/>
      <w:r w:rsidRPr="00542733">
        <w:t>.</w:t>
      </w:r>
    </w:p>
    <w:p w:rsidR="00D1361D" w:rsidRPr="00542733" w:rsidRDefault="00D1361D" w:rsidP="00D1361D"/>
    <w:p w:rsidR="00B614F8" w:rsidRPr="001A53B7" w:rsidRDefault="001578A7" w:rsidP="001A53B7">
      <w:pPr>
        <w:pStyle w:val="ListParagraph"/>
        <w:widowControl/>
        <w:numPr>
          <w:ilvl w:val="1"/>
          <w:numId w:val="18"/>
        </w:numPr>
        <w:rPr>
          <w:szCs w:val="22"/>
        </w:rPr>
      </w:pPr>
      <w:r w:rsidRPr="00542733">
        <w:t xml:space="preserve">The ESC agreed that using a weighted ICER </w:t>
      </w:r>
      <w:r w:rsidR="00D1361D" w:rsidRPr="00542733">
        <w:t xml:space="preserve">required acceptance of the </w:t>
      </w:r>
      <w:r w:rsidRPr="00542733">
        <w:t xml:space="preserve">counterintuitive </w:t>
      </w:r>
      <w:r w:rsidR="00D1361D" w:rsidRPr="00542733">
        <w:t xml:space="preserve">ICER for </w:t>
      </w:r>
      <w:proofErr w:type="spellStart"/>
      <w:r w:rsidR="00D1361D" w:rsidRPr="00542733">
        <w:t>panitumumab</w:t>
      </w:r>
      <w:proofErr w:type="spellEnd"/>
      <w:r w:rsidR="00D1361D" w:rsidRPr="00542733">
        <w:t xml:space="preserve"> + FOLFOX over </w:t>
      </w:r>
      <w:proofErr w:type="spellStart"/>
      <w:r w:rsidR="00D1361D" w:rsidRPr="00542733">
        <w:t>bevacizumab</w:t>
      </w:r>
      <w:proofErr w:type="spellEnd"/>
      <w:r w:rsidR="00131AC7" w:rsidRPr="00542733">
        <w:t xml:space="preserve"> </w:t>
      </w:r>
      <w:r w:rsidR="00D1361D" w:rsidRPr="00542733">
        <w:t>+ FOLFOX</w:t>
      </w:r>
      <w:r w:rsidRPr="00542733">
        <w:t>.</w:t>
      </w:r>
    </w:p>
    <w:p w:rsidR="00542733" w:rsidRDefault="00542733" w:rsidP="00542733">
      <w:pPr>
        <w:rPr>
          <w:i/>
          <w:szCs w:val="22"/>
        </w:rPr>
      </w:pPr>
    </w:p>
    <w:p w:rsidR="00542733" w:rsidRPr="00542733" w:rsidRDefault="00542733" w:rsidP="00542733">
      <w:pPr>
        <w:ind w:left="709"/>
        <w:rPr>
          <w:i/>
          <w:szCs w:val="22"/>
        </w:rPr>
      </w:pPr>
      <w:r w:rsidRPr="00542733">
        <w:rPr>
          <w:i/>
          <w:szCs w:val="22"/>
        </w:rPr>
        <w:t>For more detail on PBAC’s view, see section 7 “PBAC outcome”</w:t>
      </w:r>
    </w:p>
    <w:p w:rsidR="00542733" w:rsidRPr="00542733" w:rsidRDefault="00542733" w:rsidP="00542733"/>
    <w:p w:rsidR="00542733" w:rsidRPr="00542733" w:rsidRDefault="00542733" w:rsidP="00542733">
      <w:pPr>
        <w:rPr>
          <w:b/>
          <w:i/>
        </w:rPr>
      </w:pPr>
      <w:bookmarkStart w:id="43" w:name="_Toc388361909"/>
      <w:r w:rsidRPr="00542733">
        <w:rPr>
          <w:rStyle w:val="Heading2Char"/>
          <w:i/>
        </w:rPr>
        <w:t>Drug cost/patient/course</w:t>
      </w:r>
      <w:bookmarkEnd w:id="43"/>
    </w:p>
    <w:p w:rsidR="00542733" w:rsidRDefault="00542733" w:rsidP="00542733">
      <w:pPr>
        <w:pStyle w:val="ListParagraph"/>
      </w:pPr>
    </w:p>
    <w:p w:rsidR="00542733" w:rsidRPr="001A53B7" w:rsidRDefault="00542733" w:rsidP="001A53B7">
      <w:pPr>
        <w:pStyle w:val="ListParagraph"/>
        <w:widowControl/>
        <w:numPr>
          <w:ilvl w:val="1"/>
          <w:numId w:val="18"/>
        </w:numPr>
        <w:rPr>
          <w:szCs w:val="22"/>
        </w:rPr>
      </w:pPr>
      <w:r w:rsidRPr="005F5709">
        <w:t>$</w:t>
      </w:r>
      <w:r w:rsidR="001A7755">
        <w:rPr>
          <w:noProof/>
          <w:color w:val="000000"/>
          <w:highlight w:val="black"/>
        </w:rPr>
        <w:t>'''''''''''''''''</w:t>
      </w:r>
      <w:r w:rsidRPr="00542733">
        <w:t xml:space="preserve"> per 24-week treatment course </w:t>
      </w:r>
      <w:r w:rsidRPr="005F5709">
        <w:t>($</w:t>
      </w:r>
      <w:r w:rsidR="001A7755">
        <w:rPr>
          <w:noProof/>
          <w:color w:val="000000"/>
          <w:highlight w:val="black"/>
        </w:rPr>
        <w:t>''''''''''''''''''</w:t>
      </w:r>
      <w:r w:rsidRPr="00542733">
        <w:t xml:space="preserve"> revised during the evaluation to account for the Revised Arrangements for the Efficient Funding of Chemotherapy (EFC) Drugs, effective July 2013).  This is compared to $22,174 per 24-week </w:t>
      </w:r>
      <w:proofErr w:type="spellStart"/>
      <w:r w:rsidRPr="00542733">
        <w:t>bevacizumab</w:t>
      </w:r>
      <w:proofErr w:type="spellEnd"/>
      <w:r w:rsidRPr="00542733">
        <w:t xml:space="preserve"> treatment course ($22,363 revised during the evaluation).</w:t>
      </w:r>
    </w:p>
    <w:p w:rsidR="00542733" w:rsidRDefault="00542733" w:rsidP="00542733">
      <w:pPr>
        <w:pStyle w:val="ListParagraph"/>
      </w:pPr>
    </w:p>
    <w:p w:rsidR="00542733" w:rsidRPr="00542733" w:rsidRDefault="00542733" w:rsidP="00542733">
      <w:pPr>
        <w:pStyle w:val="Heading2"/>
        <w:rPr>
          <w:i/>
        </w:rPr>
      </w:pPr>
      <w:bookmarkStart w:id="44" w:name="_Toc388361910"/>
      <w:r w:rsidRPr="00542733">
        <w:rPr>
          <w:i/>
        </w:rPr>
        <w:t>Estimated PBS usage and financial implications</w:t>
      </w:r>
      <w:bookmarkEnd w:id="44"/>
    </w:p>
    <w:p w:rsidR="00542733" w:rsidRDefault="00542733" w:rsidP="00542733">
      <w:pPr>
        <w:pStyle w:val="ListParagraph"/>
      </w:pPr>
    </w:p>
    <w:p w:rsidR="00542733" w:rsidRPr="001A53B7" w:rsidRDefault="00542733" w:rsidP="001A53B7">
      <w:pPr>
        <w:pStyle w:val="ListParagraph"/>
        <w:widowControl/>
        <w:numPr>
          <w:ilvl w:val="1"/>
          <w:numId w:val="18"/>
        </w:numPr>
        <w:rPr>
          <w:szCs w:val="22"/>
        </w:rPr>
      </w:pPr>
      <w:r w:rsidRPr="00542733">
        <w:t>This re-submission was not considered by DUSC.</w:t>
      </w:r>
    </w:p>
    <w:p w:rsidR="000C01B7" w:rsidRPr="00542733" w:rsidRDefault="000C01B7" w:rsidP="001222FC"/>
    <w:p w:rsidR="001222FC" w:rsidRPr="005F5709" w:rsidRDefault="001222FC" w:rsidP="001A53B7">
      <w:pPr>
        <w:ind w:firstLine="720"/>
        <w:rPr>
          <w:rStyle w:val="CommentReference"/>
        </w:rPr>
      </w:pPr>
      <w:r w:rsidRPr="005F5709">
        <w:rPr>
          <w:rStyle w:val="CommentReference"/>
        </w:rPr>
        <w:t>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Estimated use and financial implications"/>
      </w:tblPr>
      <w:tblGrid>
        <w:gridCol w:w="2552"/>
        <w:gridCol w:w="1157"/>
        <w:gridCol w:w="1158"/>
        <w:gridCol w:w="1157"/>
        <w:gridCol w:w="1158"/>
        <w:gridCol w:w="1163"/>
      </w:tblGrid>
      <w:tr w:rsidR="00EF2D82" w:rsidRPr="00570955" w:rsidTr="001A53B7">
        <w:trPr>
          <w:tblHeader/>
        </w:trPr>
        <w:tc>
          <w:tcPr>
            <w:tcW w:w="1529" w:type="pct"/>
            <w:shd w:val="clear" w:color="auto" w:fill="auto"/>
            <w:vAlign w:val="center"/>
          </w:tcPr>
          <w:p w:rsidR="00EF2D82" w:rsidRPr="005F5709" w:rsidRDefault="00EF2D82" w:rsidP="007C423C">
            <w:pPr>
              <w:tabs>
                <w:tab w:val="left" w:pos="142"/>
              </w:tabs>
              <w:jc w:val="left"/>
              <w:rPr>
                <w:rFonts w:ascii="Arial Narrow" w:hAnsi="Arial Narrow"/>
                <w:b/>
                <w:sz w:val="20"/>
              </w:rPr>
            </w:pPr>
          </w:p>
        </w:tc>
        <w:tc>
          <w:tcPr>
            <w:tcW w:w="693" w:type="pct"/>
            <w:shd w:val="clear" w:color="auto" w:fill="auto"/>
            <w:vAlign w:val="center"/>
          </w:tcPr>
          <w:p w:rsidR="00EF2D82" w:rsidRPr="005F5709" w:rsidRDefault="00EF2D82" w:rsidP="007C423C">
            <w:pPr>
              <w:jc w:val="center"/>
              <w:rPr>
                <w:rFonts w:ascii="Arial Narrow" w:hAnsi="Arial Narrow"/>
                <w:b/>
                <w:sz w:val="20"/>
              </w:rPr>
            </w:pPr>
            <w:r w:rsidRPr="005F5709">
              <w:rPr>
                <w:rFonts w:ascii="Arial Narrow" w:hAnsi="Arial Narrow"/>
                <w:b/>
                <w:sz w:val="20"/>
              </w:rPr>
              <w:t>Year 1</w:t>
            </w:r>
          </w:p>
        </w:tc>
        <w:tc>
          <w:tcPr>
            <w:tcW w:w="694" w:type="pct"/>
            <w:shd w:val="clear" w:color="auto" w:fill="auto"/>
            <w:vAlign w:val="center"/>
          </w:tcPr>
          <w:p w:rsidR="00EF2D82" w:rsidRPr="005F5709" w:rsidRDefault="00EF2D82" w:rsidP="007C423C">
            <w:pPr>
              <w:jc w:val="center"/>
              <w:rPr>
                <w:rFonts w:ascii="Arial Narrow" w:hAnsi="Arial Narrow"/>
                <w:b/>
                <w:sz w:val="20"/>
              </w:rPr>
            </w:pPr>
            <w:r w:rsidRPr="005F5709">
              <w:rPr>
                <w:rFonts w:ascii="Arial Narrow" w:hAnsi="Arial Narrow"/>
                <w:b/>
                <w:sz w:val="20"/>
              </w:rPr>
              <w:t>Year 2</w:t>
            </w:r>
          </w:p>
        </w:tc>
        <w:tc>
          <w:tcPr>
            <w:tcW w:w="693" w:type="pct"/>
            <w:shd w:val="clear" w:color="auto" w:fill="auto"/>
            <w:vAlign w:val="center"/>
          </w:tcPr>
          <w:p w:rsidR="00EF2D82" w:rsidRPr="005F5709" w:rsidRDefault="00EF2D82" w:rsidP="007C423C">
            <w:pPr>
              <w:jc w:val="center"/>
              <w:rPr>
                <w:rFonts w:ascii="Arial Narrow" w:hAnsi="Arial Narrow"/>
                <w:b/>
                <w:sz w:val="20"/>
              </w:rPr>
            </w:pPr>
            <w:r w:rsidRPr="005F5709">
              <w:rPr>
                <w:rFonts w:ascii="Arial Narrow" w:hAnsi="Arial Narrow"/>
                <w:b/>
                <w:sz w:val="20"/>
              </w:rPr>
              <w:t>Year 3</w:t>
            </w:r>
          </w:p>
        </w:tc>
        <w:tc>
          <w:tcPr>
            <w:tcW w:w="694" w:type="pct"/>
            <w:shd w:val="clear" w:color="auto" w:fill="auto"/>
            <w:vAlign w:val="center"/>
          </w:tcPr>
          <w:p w:rsidR="00EF2D82" w:rsidRPr="005F5709" w:rsidRDefault="00EF2D82" w:rsidP="007C423C">
            <w:pPr>
              <w:jc w:val="center"/>
              <w:rPr>
                <w:rFonts w:ascii="Arial Narrow" w:hAnsi="Arial Narrow"/>
                <w:b/>
                <w:sz w:val="20"/>
              </w:rPr>
            </w:pPr>
            <w:r w:rsidRPr="005F5709">
              <w:rPr>
                <w:rFonts w:ascii="Arial Narrow" w:hAnsi="Arial Narrow"/>
                <w:b/>
                <w:sz w:val="20"/>
              </w:rPr>
              <w:t>Year 4</w:t>
            </w:r>
          </w:p>
        </w:tc>
        <w:tc>
          <w:tcPr>
            <w:tcW w:w="696" w:type="pct"/>
            <w:shd w:val="clear" w:color="auto" w:fill="auto"/>
            <w:vAlign w:val="center"/>
          </w:tcPr>
          <w:p w:rsidR="00EF2D82" w:rsidRPr="005F5709" w:rsidRDefault="00EF2D82" w:rsidP="007C423C">
            <w:pPr>
              <w:jc w:val="center"/>
              <w:rPr>
                <w:rFonts w:ascii="Arial Narrow" w:hAnsi="Arial Narrow"/>
                <w:b/>
                <w:sz w:val="20"/>
              </w:rPr>
            </w:pPr>
            <w:r w:rsidRPr="005F5709">
              <w:rPr>
                <w:rFonts w:ascii="Arial Narrow" w:hAnsi="Arial Narrow"/>
                <w:b/>
                <w:sz w:val="20"/>
              </w:rPr>
              <w:t>Year 5</w:t>
            </w:r>
          </w:p>
        </w:tc>
      </w:tr>
      <w:tr w:rsidR="00EF2D82" w:rsidRPr="00570955" w:rsidTr="001A53B7">
        <w:tc>
          <w:tcPr>
            <w:tcW w:w="5000" w:type="pct"/>
            <w:gridSpan w:val="6"/>
            <w:shd w:val="clear" w:color="auto" w:fill="auto"/>
            <w:vAlign w:val="center"/>
          </w:tcPr>
          <w:p w:rsidR="00EF2D82" w:rsidRPr="005F5709" w:rsidRDefault="00EF2D82" w:rsidP="007C423C">
            <w:pPr>
              <w:jc w:val="left"/>
              <w:rPr>
                <w:rFonts w:ascii="Arial Narrow" w:hAnsi="Arial Narrow"/>
                <w:b/>
                <w:bCs/>
                <w:color w:val="000000"/>
                <w:sz w:val="20"/>
              </w:rPr>
            </w:pPr>
            <w:r w:rsidRPr="005F5709">
              <w:rPr>
                <w:rFonts w:ascii="Arial Narrow" w:hAnsi="Arial Narrow"/>
                <w:b/>
                <w:bCs/>
                <w:color w:val="000000"/>
                <w:sz w:val="20"/>
              </w:rPr>
              <w:t>Estimated extent of use</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Number treated</w:t>
            </w:r>
          </w:p>
        </w:tc>
        <w:tc>
          <w:tcPr>
            <w:tcW w:w="693"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4"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3"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4"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6"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63CFC" w:rsidRPr="00570955" w:rsidTr="001A53B7">
        <w:tc>
          <w:tcPr>
            <w:tcW w:w="1529" w:type="pct"/>
            <w:shd w:val="clear" w:color="auto" w:fill="auto"/>
            <w:vAlign w:val="center"/>
          </w:tcPr>
          <w:p w:rsidR="00063CFC" w:rsidRPr="005F5709" w:rsidRDefault="00063CFC" w:rsidP="004D11A4">
            <w:pPr>
              <w:tabs>
                <w:tab w:val="left" w:pos="142"/>
              </w:tabs>
              <w:jc w:val="left"/>
              <w:rPr>
                <w:rFonts w:ascii="Arial Narrow" w:hAnsi="Arial Narrow"/>
                <w:sz w:val="20"/>
              </w:rPr>
            </w:pPr>
            <w:r w:rsidRPr="005F5709">
              <w:rPr>
                <w:rFonts w:ascii="Arial Narrow" w:hAnsi="Arial Narrow"/>
                <w:sz w:val="20"/>
              </w:rPr>
              <w:t>Market shar</w:t>
            </w:r>
            <w:r w:rsidR="00131AC7" w:rsidRPr="005F5709">
              <w:rPr>
                <w:rFonts w:ascii="Arial Narrow" w:hAnsi="Arial Narrow"/>
                <w:sz w:val="20"/>
              </w:rPr>
              <w:t xml:space="preserve">e (in </w:t>
            </w:r>
            <w:proofErr w:type="spellStart"/>
            <w:r w:rsidR="00131AC7" w:rsidRPr="005F5709">
              <w:rPr>
                <w:rFonts w:ascii="Arial Narrow" w:hAnsi="Arial Narrow"/>
                <w:sz w:val="20"/>
              </w:rPr>
              <w:t>bev</w:t>
            </w:r>
            <w:proofErr w:type="spellEnd"/>
            <w:r w:rsidR="00131AC7" w:rsidRPr="005F5709">
              <w:rPr>
                <w:rFonts w:ascii="Arial Narrow" w:hAnsi="Arial Narrow"/>
                <w:sz w:val="20"/>
              </w:rPr>
              <w:t xml:space="preserve"> </w:t>
            </w:r>
            <w:r w:rsidRPr="005F5709">
              <w:rPr>
                <w:rFonts w:ascii="Arial Narrow" w:hAnsi="Arial Narrow"/>
                <w:sz w:val="20"/>
              </w:rPr>
              <w:t>+</w:t>
            </w:r>
            <w:r w:rsidR="00131AC7" w:rsidRPr="005F5709">
              <w:rPr>
                <w:rFonts w:ascii="Arial Narrow" w:hAnsi="Arial Narrow"/>
                <w:sz w:val="20"/>
              </w:rPr>
              <w:t xml:space="preserve"> </w:t>
            </w:r>
            <w:r w:rsidRPr="005F5709">
              <w:rPr>
                <w:rFonts w:ascii="Arial Narrow" w:hAnsi="Arial Narrow"/>
                <w:sz w:val="20"/>
              </w:rPr>
              <w:t>FOLFOX market)</w:t>
            </w:r>
          </w:p>
        </w:tc>
        <w:tc>
          <w:tcPr>
            <w:tcW w:w="693" w:type="pct"/>
            <w:shd w:val="clear" w:color="auto" w:fill="auto"/>
            <w:vAlign w:val="bottom"/>
          </w:tcPr>
          <w:p w:rsidR="00063CFC" w:rsidRPr="005F5709" w:rsidRDefault="001A7755" w:rsidP="004D11A4">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c>
          <w:tcPr>
            <w:tcW w:w="694" w:type="pct"/>
            <w:shd w:val="clear" w:color="auto" w:fill="auto"/>
            <w:vAlign w:val="bottom"/>
          </w:tcPr>
          <w:p w:rsidR="00063CFC" w:rsidRPr="005F5709" w:rsidRDefault="001A7755" w:rsidP="004D11A4">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c>
          <w:tcPr>
            <w:tcW w:w="693" w:type="pct"/>
            <w:shd w:val="clear" w:color="auto" w:fill="auto"/>
            <w:vAlign w:val="bottom"/>
          </w:tcPr>
          <w:p w:rsidR="00063CFC" w:rsidRPr="005F5709" w:rsidRDefault="001A7755" w:rsidP="004D11A4">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c>
          <w:tcPr>
            <w:tcW w:w="694" w:type="pct"/>
            <w:shd w:val="clear" w:color="auto" w:fill="auto"/>
            <w:vAlign w:val="bottom"/>
          </w:tcPr>
          <w:p w:rsidR="00063CFC" w:rsidRPr="005F5709" w:rsidRDefault="001A7755" w:rsidP="004D11A4">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c>
          <w:tcPr>
            <w:tcW w:w="696" w:type="pct"/>
            <w:shd w:val="clear" w:color="auto" w:fill="auto"/>
            <w:vAlign w:val="bottom"/>
          </w:tcPr>
          <w:p w:rsidR="00063CFC" w:rsidRPr="005F5709" w:rsidRDefault="001A7755" w:rsidP="004D11A4">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Market share (in FOLFOX market)</w:t>
            </w:r>
          </w:p>
        </w:tc>
        <w:tc>
          <w:tcPr>
            <w:tcW w:w="693" w:type="pct"/>
            <w:shd w:val="clear" w:color="auto" w:fill="auto"/>
            <w:vAlign w:val="bottom"/>
          </w:tcPr>
          <w:p w:rsidR="00063CFC" w:rsidRPr="005F5709" w:rsidRDefault="001A7755" w:rsidP="007C423C">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c>
          <w:tcPr>
            <w:tcW w:w="694" w:type="pct"/>
            <w:shd w:val="clear" w:color="auto" w:fill="auto"/>
            <w:vAlign w:val="bottom"/>
          </w:tcPr>
          <w:p w:rsidR="00063CFC" w:rsidRPr="005F5709" w:rsidRDefault="001A7755" w:rsidP="007C423C">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c>
          <w:tcPr>
            <w:tcW w:w="693" w:type="pct"/>
            <w:shd w:val="clear" w:color="auto" w:fill="auto"/>
            <w:vAlign w:val="bottom"/>
          </w:tcPr>
          <w:p w:rsidR="00063CFC" w:rsidRPr="005F5709" w:rsidRDefault="001A7755" w:rsidP="007C423C">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c>
          <w:tcPr>
            <w:tcW w:w="694" w:type="pct"/>
            <w:shd w:val="clear" w:color="auto" w:fill="auto"/>
            <w:vAlign w:val="bottom"/>
          </w:tcPr>
          <w:p w:rsidR="00063CFC" w:rsidRPr="005F5709" w:rsidRDefault="001A7755" w:rsidP="007C423C">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c>
          <w:tcPr>
            <w:tcW w:w="696" w:type="pct"/>
            <w:shd w:val="clear" w:color="auto" w:fill="auto"/>
            <w:vAlign w:val="bottom"/>
          </w:tcPr>
          <w:p w:rsidR="00063CFC" w:rsidRPr="005F5709" w:rsidRDefault="001A7755" w:rsidP="007C423C">
            <w:pPr>
              <w:jc w:val="center"/>
              <w:rPr>
                <w:rFonts w:ascii="Arial Narrow" w:hAnsi="Arial Narrow"/>
                <w:bCs/>
                <w:color w:val="000000"/>
                <w:sz w:val="20"/>
              </w:rPr>
            </w:pPr>
            <w:r>
              <w:rPr>
                <w:rFonts w:ascii="Arial Narrow" w:hAnsi="Arial Narrow"/>
                <w:noProof/>
                <w:color w:val="000000"/>
                <w:sz w:val="20"/>
                <w:highlight w:val="black"/>
              </w:rPr>
              <w:t>'''''</w:t>
            </w:r>
            <w:r w:rsidR="00063CFC" w:rsidRPr="005F5709">
              <w:rPr>
                <w:rFonts w:ascii="Arial Narrow" w:hAnsi="Arial Narrow"/>
                <w:sz w:val="20"/>
              </w:rPr>
              <w:t>%</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Scripts</w:t>
            </w:r>
            <w:r w:rsidR="00131AC7" w:rsidRPr="005F5709">
              <w:rPr>
                <w:rFonts w:ascii="Arial Narrow" w:hAnsi="Arial Narrow"/>
                <w:sz w:val="20"/>
              </w:rPr>
              <w:t xml:space="preserve"> </w:t>
            </w:r>
            <w:r w:rsidRPr="005F5709">
              <w:rPr>
                <w:rFonts w:ascii="Arial Narrow" w:hAnsi="Arial Narrow"/>
                <w:sz w:val="20"/>
                <w:vertAlign w:val="superscript"/>
              </w:rPr>
              <w:t>a</w:t>
            </w:r>
          </w:p>
        </w:tc>
        <w:tc>
          <w:tcPr>
            <w:tcW w:w="693"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4"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3"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4"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96" w:type="pct"/>
            <w:shd w:val="clear" w:color="auto" w:fill="auto"/>
            <w:vAlign w:val="center"/>
          </w:tcPr>
          <w:p w:rsidR="00063CFC" w:rsidRPr="001A7755" w:rsidRDefault="001A7755" w:rsidP="007C423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063CFC" w:rsidRPr="00570955" w:rsidTr="001A53B7">
        <w:tc>
          <w:tcPr>
            <w:tcW w:w="5000" w:type="pct"/>
            <w:gridSpan w:val="6"/>
            <w:shd w:val="clear" w:color="auto" w:fill="auto"/>
            <w:vAlign w:val="center"/>
          </w:tcPr>
          <w:p w:rsidR="00063CFC" w:rsidRPr="005F5709" w:rsidRDefault="00063CFC" w:rsidP="007C423C">
            <w:pPr>
              <w:jc w:val="left"/>
              <w:rPr>
                <w:rFonts w:ascii="Arial Narrow" w:hAnsi="Arial Narrow"/>
                <w:b/>
                <w:bCs/>
                <w:color w:val="000000"/>
                <w:sz w:val="20"/>
              </w:rPr>
            </w:pPr>
            <w:r w:rsidRPr="005F5709">
              <w:rPr>
                <w:rFonts w:ascii="Arial Narrow" w:hAnsi="Arial Narrow"/>
                <w:b/>
                <w:bCs/>
                <w:color w:val="000000"/>
                <w:sz w:val="20"/>
              </w:rPr>
              <w:t>Estimated net cost to PBS/RPBS/MBS</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Net cost to PBS</w:t>
            </w:r>
          </w:p>
        </w:tc>
        <w:tc>
          <w:tcPr>
            <w:tcW w:w="693"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hAnsi="Arial Narrow"/>
                <w:bCs/>
                <w:sz w:val="20"/>
              </w:rPr>
              <w:t>$</w:t>
            </w:r>
            <w:r w:rsidR="001A7755">
              <w:rPr>
                <w:rFonts w:ascii="Arial Narrow" w:hAnsi="Arial Narrow"/>
                <w:bCs/>
                <w:noProof/>
                <w:color w:val="000000"/>
                <w:sz w:val="20"/>
                <w:highlight w:val="black"/>
              </w:rPr>
              <w:t>'''''''''''''''''</w:t>
            </w:r>
          </w:p>
        </w:tc>
        <w:tc>
          <w:tcPr>
            <w:tcW w:w="694"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hAnsi="Arial Narrow"/>
                <w:bCs/>
                <w:sz w:val="20"/>
              </w:rPr>
              <w:t>$</w:t>
            </w:r>
            <w:r w:rsidR="001A7755">
              <w:rPr>
                <w:rFonts w:ascii="Arial Narrow" w:hAnsi="Arial Narrow"/>
                <w:bCs/>
                <w:noProof/>
                <w:color w:val="000000"/>
                <w:sz w:val="20"/>
                <w:highlight w:val="black"/>
              </w:rPr>
              <w:t>''''''''''''''''''</w:t>
            </w:r>
          </w:p>
        </w:tc>
        <w:tc>
          <w:tcPr>
            <w:tcW w:w="693"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hAnsi="Arial Narrow"/>
                <w:bCs/>
                <w:sz w:val="20"/>
              </w:rPr>
              <w:t>$</w:t>
            </w:r>
            <w:r w:rsidR="001A7755">
              <w:rPr>
                <w:rFonts w:ascii="Arial Narrow" w:hAnsi="Arial Narrow"/>
                <w:bCs/>
                <w:noProof/>
                <w:color w:val="000000"/>
                <w:sz w:val="20"/>
                <w:highlight w:val="black"/>
              </w:rPr>
              <w:t>'''''''''''''''''''''''</w:t>
            </w:r>
          </w:p>
        </w:tc>
        <w:tc>
          <w:tcPr>
            <w:tcW w:w="694"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hAnsi="Arial Narrow"/>
                <w:bCs/>
                <w:sz w:val="20"/>
              </w:rPr>
              <w:t>$</w:t>
            </w:r>
            <w:r w:rsidR="001A7755">
              <w:rPr>
                <w:rFonts w:ascii="Arial Narrow" w:hAnsi="Arial Narrow"/>
                <w:bCs/>
                <w:noProof/>
                <w:color w:val="000000"/>
                <w:sz w:val="20"/>
                <w:highlight w:val="black"/>
              </w:rPr>
              <w:t>'''''''''''''''''''''''</w:t>
            </w:r>
          </w:p>
        </w:tc>
        <w:tc>
          <w:tcPr>
            <w:tcW w:w="696"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hAnsi="Arial Narrow"/>
                <w:bCs/>
                <w:sz w:val="20"/>
              </w:rPr>
              <w:t>$</w:t>
            </w:r>
            <w:r w:rsidR="001A7755">
              <w:rPr>
                <w:rFonts w:ascii="Arial Narrow" w:hAnsi="Arial Narrow"/>
                <w:bCs/>
                <w:noProof/>
                <w:color w:val="000000"/>
                <w:sz w:val="20"/>
                <w:highlight w:val="black"/>
              </w:rPr>
              <w:t>'''''''''''''''''''''''''</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Net cost to PBS (revised)</w:t>
            </w:r>
          </w:p>
        </w:tc>
        <w:tc>
          <w:tcPr>
            <w:tcW w:w="693" w:type="pct"/>
            <w:shd w:val="clear" w:color="auto" w:fill="auto"/>
            <w:vAlign w:val="center"/>
          </w:tcPr>
          <w:p w:rsidR="00063CFC" w:rsidRPr="005F5709" w:rsidRDefault="00063CFC" w:rsidP="007C423C">
            <w:pPr>
              <w:jc w:val="center"/>
              <w:rPr>
                <w:rFonts w:ascii="Arial Narrow" w:hAnsi="Arial Narrow"/>
                <w:bCs/>
                <w:sz w:val="20"/>
              </w:rPr>
            </w:pPr>
            <w:r w:rsidRPr="005F5709">
              <w:rPr>
                <w:rFonts w:ascii="Arial Narrow" w:hAnsi="Arial Narrow"/>
                <w:bCs/>
                <w:sz w:val="20"/>
              </w:rPr>
              <w:t>$</w:t>
            </w:r>
            <w:r w:rsidR="001A7755">
              <w:rPr>
                <w:rFonts w:ascii="Arial Narrow" w:hAnsi="Arial Narrow"/>
                <w:bCs/>
                <w:noProof/>
                <w:color w:val="000000"/>
                <w:sz w:val="20"/>
                <w:highlight w:val="black"/>
              </w:rPr>
              <w:t>''''''''''''''''''''''</w:t>
            </w:r>
          </w:p>
        </w:tc>
        <w:tc>
          <w:tcPr>
            <w:tcW w:w="694" w:type="pct"/>
            <w:shd w:val="clear" w:color="auto" w:fill="auto"/>
            <w:vAlign w:val="center"/>
          </w:tcPr>
          <w:p w:rsidR="00063CFC" w:rsidRPr="005F5709" w:rsidRDefault="00063CFC" w:rsidP="007C423C">
            <w:pPr>
              <w:jc w:val="center"/>
              <w:rPr>
                <w:rFonts w:ascii="Arial Narrow" w:hAnsi="Arial Narrow"/>
                <w:bCs/>
                <w:sz w:val="20"/>
              </w:rPr>
            </w:pPr>
            <w:r w:rsidRPr="005F5709">
              <w:rPr>
                <w:rFonts w:ascii="Arial Narrow" w:hAnsi="Arial Narrow"/>
                <w:bCs/>
                <w:sz w:val="20"/>
              </w:rPr>
              <w:t>$</w:t>
            </w:r>
            <w:r w:rsidR="001A7755">
              <w:rPr>
                <w:rFonts w:ascii="Arial Narrow" w:hAnsi="Arial Narrow"/>
                <w:bCs/>
                <w:noProof/>
                <w:color w:val="000000"/>
                <w:sz w:val="20"/>
                <w:highlight w:val="black"/>
              </w:rPr>
              <w:t>''''''''''''''''''''''</w:t>
            </w:r>
          </w:p>
        </w:tc>
        <w:tc>
          <w:tcPr>
            <w:tcW w:w="693" w:type="pct"/>
            <w:shd w:val="clear" w:color="auto" w:fill="auto"/>
            <w:vAlign w:val="center"/>
          </w:tcPr>
          <w:p w:rsidR="00063CFC" w:rsidRPr="005F5709" w:rsidRDefault="00063CFC" w:rsidP="007C423C">
            <w:pPr>
              <w:jc w:val="center"/>
              <w:rPr>
                <w:rFonts w:ascii="Arial Narrow" w:hAnsi="Arial Narrow"/>
                <w:bCs/>
                <w:sz w:val="20"/>
              </w:rPr>
            </w:pPr>
            <w:r w:rsidRPr="005F5709">
              <w:rPr>
                <w:rFonts w:ascii="Arial Narrow" w:hAnsi="Arial Narrow"/>
                <w:bCs/>
                <w:sz w:val="20"/>
              </w:rPr>
              <w:t>$</w:t>
            </w:r>
            <w:r w:rsidR="001A7755">
              <w:rPr>
                <w:rFonts w:ascii="Arial Narrow" w:hAnsi="Arial Narrow"/>
                <w:bCs/>
                <w:noProof/>
                <w:color w:val="000000"/>
                <w:sz w:val="20"/>
                <w:highlight w:val="black"/>
              </w:rPr>
              <w:t>'''''''''''''''''''''''''</w:t>
            </w:r>
          </w:p>
        </w:tc>
        <w:tc>
          <w:tcPr>
            <w:tcW w:w="694" w:type="pct"/>
            <w:shd w:val="clear" w:color="auto" w:fill="auto"/>
            <w:vAlign w:val="center"/>
          </w:tcPr>
          <w:p w:rsidR="00063CFC" w:rsidRPr="005F5709" w:rsidRDefault="00063CFC" w:rsidP="007C423C">
            <w:pPr>
              <w:jc w:val="center"/>
              <w:rPr>
                <w:rFonts w:ascii="Arial Narrow" w:hAnsi="Arial Narrow"/>
                <w:bCs/>
                <w:sz w:val="20"/>
              </w:rPr>
            </w:pPr>
            <w:r w:rsidRPr="005F5709">
              <w:rPr>
                <w:rFonts w:ascii="Arial Narrow" w:hAnsi="Arial Narrow"/>
                <w:bCs/>
                <w:sz w:val="20"/>
              </w:rPr>
              <w:t>$</w:t>
            </w:r>
            <w:r w:rsidR="001A7755">
              <w:rPr>
                <w:rFonts w:ascii="Arial Narrow" w:hAnsi="Arial Narrow"/>
                <w:bCs/>
                <w:noProof/>
                <w:color w:val="000000"/>
                <w:sz w:val="20"/>
                <w:highlight w:val="black"/>
              </w:rPr>
              <w:t>'''''''''''''''''''''</w:t>
            </w:r>
          </w:p>
        </w:tc>
        <w:tc>
          <w:tcPr>
            <w:tcW w:w="696" w:type="pct"/>
            <w:shd w:val="clear" w:color="auto" w:fill="auto"/>
            <w:vAlign w:val="center"/>
          </w:tcPr>
          <w:p w:rsidR="00063CFC" w:rsidRPr="005F5709" w:rsidRDefault="00063CFC" w:rsidP="007C423C">
            <w:pPr>
              <w:jc w:val="center"/>
              <w:rPr>
                <w:rFonts w:ascii="Arial Narrow" w:hAnsi="Arial Narrow"/>
                <w:bCs/>
                <w:sz w:val="20"/>
              </w:rPr>
            </w:pPr>
            <w:r w:rsidRPr="005F5709">
              <w:rPr>
                <w:rFonts w:ascii="Arial Narrow" w:hAnsi="Arial Narrow"/>
                <w:bCs/>
                <w:sz w:val="20"/>
              </w:rPr>
              <w:t>$</w:t>
            </w:r>
            <w:r w:rsidR="001A7755">
              <w:rPr>
                <w:rFonts w:ascii="Arial Narrow" w:hAnsi="Arial Narrow"/>
                <w:bCs/>
                <w:noProof/>
                <w:color w:val="000000"/>
                <w:sz w:val="20"/>
                <w:highlight w:val="black"/>
              </w:rPr>
              <w:t>''''''''''''''''''''''</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Net cost to MBS</w:t>
            </w:r>
          </w:p>
        </w:tc>
        <w:tc>
          <w:tcPr>
            <w:tcW w:w="693"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eastAsia="Batang" w:hAnsi="Arial Narrow"/>
                <w:sz w:val="20"/>
                <w:lang w:eastAsia="ko-KR"/>
              </w:rPr>
              <w:t>-</w:t>
            </w:r>
          </w:p>
        </w:tc>
        <w:tc>
          <w:tcPr>
            <w:tcW w:w="694"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eastAsia="Batang" w:hAnsi="Arial Narrow"/>
                <w:sz w:val="20"/>
                <w:lang w:eastAsia="ko-KR"/>
              </w:rPr>
              <w:t>-</w:t>
            </w:r>
          </w:p>
        </w:tc>
        <w:tc>
          <w:tcPr>
            <w:tcW w:w="693"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eastAsia="Batang" w:hAnsi="Arial Narrow"/>
                <w:sz w:val="20"/>
                <w:lang w:eastAsia="ko-KR"/>
              </w:rPr>
              <w:t>-</w:t>
            </w:r>
          </w:p>
        </w:tc>
        <w:tc>
          <w:tcPr>
            <w:tcW w:w="694"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eastAsia="Batang" w:hAnsi="Arial Narrow"/>
                <w:sz w:val="20"/>
                <w:lang w:eastAsia="ko-KR"/>
              </w:rPr>
              <w:t>-</w:t>
            </w:r>
          </w:p>
        </w:tc>
        <w:tc>
          <w:tcPr>
            <w:tcW w:w="696" w:type="pct"/>
            <w:shd w:val="clear" w:color="auto" w:fill="auto"/>
            <w:vAlign w:val="center"/>
          </w:tcPr>
          <w:p w:rsidR="00063CFC" w:rsidRPr="005F5709" w:rsidRDefault="00063CFC" w:rsidP="007C423C">
            <w:pPr>
              <w:jc w:val="center"/>
              <w:rPr>
                <w:rFonts w:ascii="Arial Narrow" w:hAnsi="Arial Narrow"/>
                <w:bCs/>
                <w:color w:val="000000"/>
                <w:sz w:val="20"/>
              </w:rPr>
            </w:pPr>
            <w:r w:rsidRPr="005F5709">
              <w:rPr>
                <w:rFonts w:ascii="Arial Narrow" w:eastAsia="Batang" w:hAnsi="Arial Narrow"/>
                <w:sz w:val="20"/>
                <w:lang w:eastAsia="ko-KR"/>
              </w:rPr>
              <w:t>-</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Net cost to MBS (revised)</w:t>
            </w:r>
          </w:p>
        </w:tc>
        <w:tc>
          <w:tcPr>
            <w:tcW w:w="693" w:type="pct"/>
            <w:shd w:val="clear" w:color="auto" w:fill="auto"/>
            <w:vAlign w:val="bottom"/>
          </w:tcPr>
          <w:p w:rsidR="00063CFC" w:rsidRPr="005F5709" w:rsidRDefault="00063CFC" w:rsidP="007C423C">
            <w:pPr>
              <w:jc w:val="center"/>
              <w:rPr>
                <w:rFonts w:ascii="Arial Narrow" w:hAnsi="Arial Narrow"/>
                <w:bCs/>
                <w:sz w:val="20"/>
              </w:rPr>
            </w:pPr>
            <w:r w:rsidRPr="005F5709">
              <w:rPr>
                <w:rFonts w:ascii="Arial Narrow" w:hAnsi="Arial Narrow"/>
                <w:sz w:val="20"/>
              </w:rPr>
              <w:t>$</w:t>
            </w:r>
            <w:r w:rsidR="001A7755">
              <w:rPr>
                <w:rFonts w:ascii="Arial Narrow" w:hAnsi="Arial Narrow"/>
                <w:noProof/>
                <w:color w:val="000000"/>
                <w:sz w:val="20"/>
                <w:highlight w:val="black"/>
              </w:rPr>
              <w:t>''''''''''''''''''</w:t>
            </w:r>
          </w:p>
        </w:tc>
        <w:tc>
          <w:tcPr>
            <w:tcW w:w="694" w:type="pct"/>
            <w:shd w:val="clear" w:color="auto" w:fill="auto"/>
            <w:vAlign w:val="bottom"/>
          </w:tcPr>
          <w:p w:rsidR="00063CFC" w:rsidRPr="005F5709" w:rsidRDefault="00063CFC" w:rsidP="007C423C">
            <w:pPr>
              <w:jc w:val="center"/>
              <w:rPr>
                <w:rFonts w:ascii="Arial Narrow" w:hAnsi="Arial Narrow"/>
                <w:bCs/>
                <w:sz w:val="20"/>
              </w:rPr>
            </w:pPr>
            <w:r w:rsidRPr="005F5709">
              <w:rPr>
                <w:rFonts w:ascii="Arial Narrow" w:hAnsi="Arial Narrow"/>
                <w:sz w:val="20"/>
              </w:rPr>
              <w:t>$</w:t>
            </w:r>
            <w:r w:rsidR="001A7755">
              <w:rPr>
                <w:rFonts w:ascii="Arial Narrow" w:hAnsi="Arial Narrow"/>
                <w:noProof/>
                <w:color w:val="000000"/>
                <w:sz w:val="20"/>
                <w:highlight w:val="black"/>
              </w:rPr>
              <w:t>'''''''''''''''''</w:t>
            </w:r>
          </w:p>
        </w:tc>
        <w:tc>
          <w:tcPr>
            <w:tcW w:w="693" w:type="pct"/>
            <w:shd w:val="clear" w:color="auto" w:fill="auto"/>
            <w:vAlign w:val="bottom"/>
          </w:tcPr>
          <w:p w:rsidR="00063CFC" w:rsidRPr="005F5709" w:rsidRDefault="00063CFC" w:rsidP="007C423C">
            <w:pPr>
              <w:jc w:val="center"/>
              <w:rPr>
                <w:rFonts w:ascii="Arial Narrow" w:hAnsi="Arial Narrow"/>
                <w:bCs/>
                <w:sz w:val="20"/>
              </w:rPr>
            </w:pPr>
            <w:r w:rsidRPr="005F5709">
              <w:rPr>
                <w:rFonts w:ascii="Arial Narrow" w:hAnsi="Arial Narrow"/>
                <w:sz w:val="20"/>
              </w:rPr>
              <w:t>$</w:t>
            </w:r>
            <w:r w:rsidR="001A7755">
              <w:rPr>
                <w:rFonts w:ascii="Arial Narrow" w:hAnsi="Arial Narrow"/>
                <w:noProof/>
                <w:color w:val="000000"/>
                <w:sz w:val="20"/>
                <w:highlight w:val="black"/>
              </w:rPr>
              <w:t>'''''''''''''''''</w:t>
            </w:r>
          </w:p>
        </w:tc>
        <w:tc>
          <w:tcPr>
            <w:tcW w:w="694" w:type="pct"/>
            <w:shd w:val="clear" w:color="auto" w:fill="auto"/>
            <w:vAlign w:val="bottom"/>
          </w:tcPr>
          <w:p w:rsidR="00063CFC" w:rsidRPr="005F5709" w:rsidRDefault="00063CFC" w:rsidP="007C423C">
            <w:pPr>
              <w:jc w:val="center"/>
              <w:rPr>
                <w:rFonts w:ascii="Arial Narrow" w:hAnsi="Arial Narrow"/>
                <w:bCs/>
                <w:sz w:val="20"/>
              </w:rPr>
            </w:pPr>
            <w:r w:rsidRPr="005F5709">
              <w:rPr>
                <w:rFonts w:ascii="Arial Narrow" w:hAnsi="Arial Narrow"/>
                <w:sz w:val="20"/>
              </w:rPr>
              <w:t>$</w:t>
            </w:r>
            <w:r w:rsidR="001A7755">
              <w:rPr>
                <w:rFonts w:ascii="Arial Narrow" w:hAnsi="Arial Narrow"/>
                <w:noProof/>
                <w:color w:val="000000"/>
                <w:sz w:val="20"/>
                <w:highlight w:val="black"/>
              </w:rPr>
              <w:t>''''''''''''''''''</w:t>
            </w:r>
          </w:p>
        </w:tc>
        <w:tc>
          <w:tcPr>
            <w:tcW w:w="696" w:type="pct"/>
            <w:shd w:val="clear" w:color="auto" w:fill="auto"/>
            <w:vAlign w:val="bottom"/>
          </w:tcPr>
          <w:p w:rsidR="00063CFC" w:rsidRPr="005F5709" w:rsidRDefault="00063CFC" w:rsidP="007C423C">
            <w:pPr>
              <w:jc w:val="center"/>
              <w:rPr>
                <w:rFonts w:ascii="Arial Narrow" w:hAnsi="Arial Narrow"/>
                <w:bCs/>
                <w:sz w:val="20"/>
              </w:rPr>
            </w:pPr>
            <w:r w:rsidRPr="005F5709">
              <w:rPr>
                <w:rFonts w:ascii="Arial Narrow" w:hAnsi="Arial Narrow"/>
                <w:sz w:val="20"/>
              </w:rPr>
              <w:t>$</w:t>
            </w:r>
            <w:r w:rsidR="001A7755">
              <w:rPr>
                <w:rFonts w:ascii="Arial Narrow" w:hAnsi="Arial Narrow"/>
                <w:noProof/>
                <w:color w:val="000000"/>
                <w:sz w:val="20"/>
                <w:highlight w:val="black"/>
              </w:rPr>
              <w:t>''''''''''''''''''</w:t>
            </w:r>
          </w:p>
        </w:tc>
      </w:tr>
      <w:tr w:rsidR="00063CFC" w:rsidRPr="00570955" w:rsidTr="001A53B7">
        <w:tc>
          <w:tcPr>
            <w:tcW w:w="5000" w:type="pct"/>
            <w:gridSpan w:val="6"/>
            <w:shd w:val="clear" w:color="auto" w:fill="auto"/>
            <w:vAlign w:val="center"/>
          </w:tcPr>
          <w:p w:rsidR="00063CFC" w:rsidRPr="005F5709" w:rsidRDefault="00063CFC" w:rsidP="007C423C">
            <w:pPr>
              <w:jc w:val="left"/>
              <w:rPr>
                <w:rFonts w:ascii="Arial Narrow" w:hAnsi="Arial Narrow"/>
                <w:b/>
                <w:color w:val="000000"/>
                <w:sz w:val="20"/>
              </w:rPr>
            </w:pPr>
            <w:r w:rsidRPr="005F5709">
              <w:rPr>
                <w:rFonts w:ascii="Arial Narrow" w:hAnsi="Arial Narrow"/>
                <w:b/>
                <w:color w:val="000000"/>
                <w:sz w:val="20"/>
              </w:rPr>
              <w:t>Estimated total net cost</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Submission’s estimate</w:t>
            </w:r>
          </w:p>
        </w:tc>
        <w:tc>
          <w:tcPr>
            <w:tcW w:w="693"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c>
          <w:tcPr>
            <w:tcW w:w="694"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c>
          <w:tcPr>
            <w:tcW w:w="693"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c>
          <w:tcPr>
            <w:tcW w:w="694"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c>
          <w:tcPr>
            <w:tcW w:w="696"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r>
      <w:tr w:rsidR="00063CFC" w:rsidRPr="00570955" w:rsidTr="001A53B7">
        <w:tc>
          <w:tcPr>
            <w:tcW w:w="1529" w:type="pct"/>
            <w:shd w:val="clear" w:color="auto" w:fill="auto"/>
            <w:vAlign w:val="center"/>
          </w:tcPr>
          <w:p w:rsidR="00063CFC" w:rsidRPr="005F5709" w:rsidRDefault="00063CFC" w:rsidP="007C423C">
            <w:pPr>
              <w:tabs>
                <w:tab w:val="left" w:pos="142"/>
              </w:tabs>
              <w:jc w:val="left"/>
              <w:rPr>
                <w:rFonts w:ascii="Arial Narrow" w:hAnsi="Arial Narrow"/>
                <w:sz w:val="20"/>
              </w:rPr>
            </w:pPr>
            <w:r w:rsidRPr="005F5709">
              <w:rPr>
                <w:rFonts w:ascii="Arial Narrow" w:hAnsi="Arial Narrow"/>
                <w:sz w:val="20"/>
              </w:rPr>
              <w:t>Revise</w:t>
            </w:r>
            <w:r w:rsidR="00D04B0A" w:rsidRPr="005F5709">
              <w:rPr>
                <w:rFonts w:ascii="Arial Narrow" w:hAnsi="Arial Narrow"/>
                <w:sz w:val="20"/>
              </w:rPr>
              <w:t>d</w:t>
            </w:r>
            <w:r w:rsidRPr="005F5709">
              <w:rPr>
                <w:rFonts w:ascii="Arial Narrow" w:hAnsi="Arial Narrow"/>
                <w:sz w:val="20"/>
              </w:rPr>
              <w:t xml:space="preserve"> estimates</w:t>
            </w:r>
          </w:p>
        </w:tc>
        <w:tc>
          <w:tcPr>
            <w:tcW w:w="693"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c>
          <w:tcPr>
            <w:tcW w:w="694"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c>
          <w:tcPr>
            <w:tcW w:w="693"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c>
          <w:tcPr>
            <w:tcW w:w="694"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c>
          <w:tcPr>
            <w:tcW w:w="696" w:type="pct"/>
            <w:shd w:val="clear" w:color="auto" w:fill="auto"/>
            <w:vAlign w:val="center"/>
          </w:tcPr>
          <w:p w:rsidR="00063CFC" w:rsidRPr="005F5709" w:rsidRDefault="00063CFC" w:rsidP="007C423C">
            <w:pPr>
              <w:jc w:val="center"/>
              <w:rPr>
                <w:rFonts w:ascii="Arial Narrow" w:hAnsi="Arial Narrow"/>
                <w:b/>
                <w:bCs/>
                <w:sz w:val="20"/>
              </w:rPr>
            </w:pPr>
            <w:r w:rsidRPr="005F5709">
              <w:rPr>
                <w:rFonts w:ascii="Arial Narrow" w:hAnsi="Arial Narrow"/>
                <w:b/>
                <w:bCs/>
                <w:sz w:val="20"/>
              </w:rPr>
              <w:t>$</w:t>
            </w:r>
            <w:r w:rsidR="001A7755">
              <w:rPr>
                <w:rFonts w:ascii="Arial Narrow" w:hAnsi="Arial Narrow"/>
                <w:b/>
                <w:bCs/>
                <w:noProof/>
                <w:color w:val="000000"/>
                <w:sz w:val="20"/>
                <w:highlight w:val="black"/>
              </w:rPr>
              <w:t>'''''''''''''''''''</w:t>
            </w:r>
          </w:p>
        </w:tc>
      </w:tr>
    </w:tbl>
    <w:p w:rsidR="001222FC" w:rsidRPr="00542733" w:rsidRDefault="001222FC" w:rsidP="001A53B7">
      <w:pPr>
        <w:pStyle w:val="TableFooter"/>
        <w:ind w:firstLine="720"/>
        <w:rPr>
          <w:sz w:val="16"/>
          <w:szCs w:val="18"/>
        </w:rPr>
      </w:pPr>
      <w:proofErr w:type="spellStart"/>
      <w:proofErr w:type="gramStart"/>
      <w:r w:rsidRPr="00542733">
        <w:rPr>
          <w:vertAlign w:val="superscript"/>
        </w:rPr>
        <w:t>a</w:t>
      </w:r>
      <w:proofErr w:type="spellEnd"/>
      <w:proofErr w:type="gramEnd"/>
      <w:r w:rsidR="00131AC7" w:rsidRPr="00542733">
        <w:rPr>
          <w:vertAlign w:val="superscript"/>
        </w:rPr>
        <w:t xml:space="preserve"> </w:t>
      </w:r>
      <w:r w:rsidRPr="00542733">
        <w:t xml:space="preserve">Assuming </w:t>
      </w:r>
      <w:r w:rsidR="00063CFC" w:rsidRPr="00542733">
        <w:t xml:space="preserve">12 </w:t>
      </w:r>
      <w:r w:rsidRPr="00542733">
        <w:t xml:space="preserve">scripts per </w:t>
      </w:r>
      <w:r w:rsidR="00063CFC" w:rsidRPr="00542733">
        <w:t xml:space="preserve">treatment course, </w:t>
      </w:r>
      <w:r w:rsidRPr="00542733">
        <w:t xml:space="preserve">as estimated by the </w:t>
      </w:r>
      <w:r w:rsidR="00AF0640" w:rsidRPr="00542733">
        <w:t>re-</w:t>
      </w:r>
      <w:r w:rsidRPr="00542733">
        <w:t>submission.</w:t>
      </w:r>
      <w:r w:rsidR="00131AC7" w:rsidRPr="00542733">
        <w:t xml:space="preserve"> Bev=</w:t>
      </w:r>
      <w:proofErr w:type="spellStart"/>
      <w:r w:rsidR="00131AC7" w:rsidRPr="00542733">
        <w:t>bevacizumab</w:t>
      </w:r>
      <w:proofErr w:type="spellEnd"/>
    </w:p>
    <w:p w:rsidR="001222FC" w:rsidRPr="00542733" w:rsidRDefault="001222FC" w:rsidP="001A53B7">
      <w:pPr>
        <w:pStyle w:val="TableFooter"/>
        <w:ind w:firstLine="720"/>
        <w:rPr>
          <w:sz w:val="20"/>
        </w:rPr>
      </w:pPr>
      <w:r w:rsidRPr="00542733">
        <w:rPr>
          <w:szCs w:val="18"/>
        </w:rPr>
        <w:t xml:space="preserve">Source: </w:t>
      </w:r>
      <w:r w:rsidR="00C21C34" w:rsidRPr="00542733">
        <w:t>Table 8 of the commentary.</w:t>
      </w:r>
    </w:p>
    <w:p w:rsidR="001222FC" w:rsidRPr="00542733" w:rsidRDefault="001222FC" w:rsidP="001222FC"/>
    <w:p w:rsidR="00AF17B8" w:rsidRPr="001A53B7" w:rsidRDefault="00AF17B8" w:rsidP="001A53B7">
      <w:pPr>
        <w:pStyle w:val="ListParagraph"/>
        <w:widowControl/>
        <w:numPr>
          <w:ilvl w:val="1"/>
          <w:numId w:val="18"/>
        </w:numPr>
        <w:rPr>
          <w:szCs w:val="22"/>
        </w:rPr>
      </w:pPr>
      <w:bookmarkStart w:id="45" w:name="_Toc341702034"/>
      <w:bookmarkStart w:id="46" w:name="_Toc380679759"/>
      <w:bookmarkStart w:id="47" w:name="_Toc380742616"/>
      <w:bookmarkStart w:id="48" w:name="_Toc380746183"/>
      <w:bookmarkStart w:id="49" w:name="_Toc380746309"/>
      <w:bookmarkStart w:id="50" w:name="_Toc380746590"/>
      <w:r w:rsidRPr="00542733">
        <w:t xml:space="preserve">Revised estimates have </w:t>
      </w:r>
      <w:r w:rsidR="0093540D" w:rsidRPr="00542733">
        <w:t xml:space="preserve">been incorporated into </w:t>
      </w:r>
      <w:r w:rsidR="00C21C34" w:rsidRPr="00542733">
        <w:t>the table above</w:t>
      </w:r>
      <w:r w:rsidRPr="00542733">
        <w:t xml:space="preserve">. </w:t>
      </w:r>
      <w:r w:rsidR="00573AFF" w:rsidRPr="00542733">
        <w:t xml:space="preserve"> </w:t>
      </w:r>
      <w:r w:rsidRPr="00542733">
        <w:t xml:space="preserve">The net cost/year for the PBS </w:t>
      </w:r>
      <w:r w:rsidR="00D728EA" w:rsidRPr="00542733">
        <w:t xml:space="preserve">may </w:t>
      </w:r>
      <w:r w:rsidRPr="00542733">
        <w:t xml:space="preserve">be greater than estimated in the </w:t>
      </w:r>
      <w:r w:rsidR="00AF0640" w:rsidRPr="00542733">
        <w:t>re-</w:t>
      </w:r>
      <w:r w:rsidRPr="00542733">
        <w:t>submission given that:</w:t>
      </w:r>
    </w:p>
    <w:p w:rsidR="00AF17B8" w:rsidRPr="00542733" w:rsidRDefault="00DE52C1" w:rsidP="00B614F8">
      <w:pPr>
        <w:pStyle w:val="ListParagraph"/>
        <w:numPr>
          <w:ilvl w:val="0"/>
          <w:numId w:val="2"/>
        </w:numPr>
        <w:ind w:left="1134"/>
      </w:pPr>
      <w:r w:rsidRPr="00542733">
        <w:t xml:space="preserve">both </w:t>
      </w:r>
      <w:r w:rsidR="00AF17B8" w:rsidRPr="00542733">
        <w:t xml:space="preserve">the </w:t>
      </w:r>
      <w:r w:rsidRPr="00542733">
        <w:t xml:space="preserve">eligible </w:t>
      </w:r>
      <w:r w:rsidR="00AF17B8" w:rsidRPr="00542733">
        <w:t xml:space="preserve">population and the uptake of </w:t>
      </w:r>
      <w:proofErr w:type="spellStart"/>
      <w:r w:rsidR="00AF17B8" w:rsidRPr="00542733">
        <w:t>panitumumab</w:t>
      </w:r>
      <w:proofErr w:type="spellEnd"/>
      <w:r w:rsidR="00AF17B8" w:rsidRPr="00542733">
        <w:t xml:space="preserve"> </w:t>
      </w:r>
      <w:r w:rsidRPr="00542733">
        <w:t>are underestimated;</w:t>
      </w:r>
    </w:p>
    <w:p w:rsidR="00AF17B8" w:rsidRPr="00542733" w:rsidRDefault="00AF17B8" w:rsidP="00B614F8">
      <w:pPr>
        <w:pStyle w:val="ListParagraph"/>
        <w:numPr>
          <w:ilvl w:val="0"/>
          <w:numId w:val="2"/>
        </w:numPr>
        <w:ind w:left="1134"/>
      </w:pPr>
      <w:r w:rsidRPr="00542733">
        <w:t xml:space="preserve">the cost offset of later-line </w:t>
      </w:r>
      <w:r w:rsidR="00BB46EB" w:rsidRPr="00542733">
        <w:t>anti-</w:t>
      </w:r>
      <w:r w:rsidRPr="00542733">
        <w:t xml:space="preserve">EGFR </w:t>
      </w:r>
      <w:r w:rsidR="00BB46EB" w:rsidRPr="00542733">
        <w:t xml:space="preserve">antibody </w:t>
      </w:r>
      <w:r w:rsidRPr="00542733">
        <w:t xml:space="preserve">use in patients treated with first-line </w:t>
      </w:r>
      <w:proofErr w:type="spellStart"/>
      <w:r w:rsidRPr="00542733">
        <w:t>panitumumab</w:t>
      </w:r>
      <w:proofErr w:type="spellEnd"/>
      <w:r w:rsidRPr="00542733">
        <w:t xml:space="preserve"> is overestimated</w:t>
      </w:r>
      <w:r w:rsidR="00DE52C1" w:rsidRPr="00542733">
        <w:t xml:space="preserve"> - i</w:t>
      </w:r>
      <w:r w:rsidR="002425DC" w:rsidRPr="00542733">
        <w:t xml:space="preserve">t is not reasonable to assume that </w:t>
      </w:r>
      <w:r w:rsidR="002425DC" w:rsidRPr="005F5709">
        <w:t>all</w:t>
      </w:r>
      <w:r w:rsidR="002425DC" w:rsidRPr="00542733">
        <w:t xml:space="preserve"> patients will receive two or more lines of </w:t>
      </w:r>
      <w:r w:rsidR="00E60B97" w:rsidRPr="00542733">
        <w:t xml:space="preserve">active </w:t>
      </w:r>
      <w:r w:rsidR="002425DC" w:rsidRPr="00542733">
        <w:t>treatment</w:t>
      </w:r>
      <w:r w:rsidR="004322E6" w:rsidRPr="00542733">
        <w:t xml:space="preserve"> and that the market share held by </w:t>
      </w:r>
      <w:r w:rsidR="00BB46EB" w:rsidRPr="00542733">
        <w:t>anti-</w:t>
      </w:r>
      <w:r w:rsidR="004322E6" w:rsidRPr="00542733">
        <w:t xml:space="preserve">EGFR </w:t>
      </w:r>
      <w:r w:rsidR="00BB46EB" w:rsidRPr="00542733">
        <w:t xml:space="preserve">antibodies </w:t>
      </w:r>
      <w:r w:rsidR="004322E6" w:rsidRPr="00542733">
        <w:t xml:space="preserve">in the later-line setting (of </w:t>
      </w:r>
      <w:r w:rsidR="004322E6" w:rsidRPr="00542733">
        <w:rPr>
          <w:i/>
        </w:rPr>
        <w:t>RAS</w:t>
      </w:r>
      <w:r w:rsidR="004322E6" w:rsidRPr="00542733">
        <w:t xml:space="preserve"> WT) is </w:t>
      </w:r>
      <w:r w:rsidR="001A7755">
        <w:rPr>
          <w:noProof/>
          <w:color w:val="000000"/>
          <w:highlight w:val="black"/>
        </w:rPr>
        <w:t>''''''''</w:t>
      </w:r>
      <w:r w:rsidR="004322E6" w:rsidRPr="005F5709">
        <w:t>%</w:t>
      </w:r>
      <w:r w:rsidR="00D728EA" w:rsidRPr="00542733">
        <w:t>;</w:t>
      </w:r>
    </w:p>
    <w:p w:rsidR="00F713C3" w:rsidRPr="00542733" w:rsidRDefault="00DE52C1" w:rsidP="00B614F8">
      <w:pPr>
        <w:pStyle w:val="ListParagraph"/>
        <w:numPr>
          <w:ilvl w:val="0"/>
          <w:numId w:val="2"/>
        </w:numPr>
        <w:ind w:left="1134"/>
      </w:pPr>
      <w:r w:rsidRPr="00542733">
        <w:t xml:space="preserve">an increase in PFS to between 11 and 13 months with the addition of </w:t>
      </w:r>
      <w:proofErr w:type="spellStart"/>
      <w:r w:rsidRPr="00542733">
        <w:t>panitumumab</w:t>
      </w:r>
      <w:proofErr w:type="spellEnd"/>
      <w:r w:rsidRPr="00542733">
        <w:t xml:space="preserve"> would be expected to increase the duration of therapy from the 12 cycles assumed (24 weeks or 6 months) and thus also </w:t>
      </w:r>
      <w:r w:rsidR="00AF17B8" w:rsidRPr="00542733">
        <w:t xml:space="preserve">increase </w:t>
      </w:r>
      <w:r w:rsidRPr="00542733">
        <w:t xml:space="preserve">the </w:t>
      </w:r>
      <w:r w:rsidR="00AF17B8" w:rsidRPr="00542733">
        <w:t xml:space="preserve">use of </w:t>
      </w:r>
      <w:r w:rsidR="006A7106" w:rsidRPr="00542733">
        <w:t xml:space="preserve">corresponding </w:t>
      </w:r>
      <w:r w:rsidR="00F713C3" w:rsidRPr="00542733">
        <w:t>chemotherapy</w:t>
      </w:r>
      <w:r w:rsidR="00D728EA" w:rsidRPr="00542733">
        <w:t>;</w:t>
      </w:r>
      <w:r w:rsidR="006A7106" w:rsidRPr="00542733">
        <w:t xml:space="preserve"> and</w:t>
      </w:r>
    </w:p>
    <w:p w:rsidR="00AF17B8" w:rsidRPr="00542733" w:rsidRDefault="00F713C3" w:rsidP="00B614F8">
      <w:pPr>
        <w:pStyle w:val="ListParagraph"/>
        <w:numPr>
          <w:ilvl w:val="0"/>
          <w:numId w:val="2"/>
        </w:numPr>
        <w:ind w:left="1134"/>
      </w:pPr>
      <w:proofErr w:type="gramStart"/>
      <w:r w:rsidRPr="00542733">
        <w:t>a</w:t>
      </w:r>
      <w:proofErr w:type="gramEnd"/>
      <w:r w:rsidRPr="00542733">
        <w:t xml:space="preserve"> significantly smaller increase in PFS of 9.5 months with the addition of </w:t>
      </w:r>
      <w:proofErr w:type="spellStart"/>
      <w:r w:rsidRPr="00542733">
        <w:t>bevacizumab</w:t>
      </w:r>
      <w:proofErr w:type="spellEnd"/>
      <w:r w:rsidRPr="00542733">
        <w:t xml:space="preserve"> from the 12 cycles assumed (24 weeks or 6 months) </w:t>
      </w:r>
      <w:r w:rsidR="006A7106" w:rsidRPr="00542733">
        <w:t xml:space="preserve">would be expected to </w:t>
      </w:r>
      <w:r w:rsidRPr="00542733">
        <w:t xml:space="preserve">increase the </w:t>
      </w:r>
      <w:r w:rsidR="006A7106" w:rsidRPr="00542733">
        <w:t xml:space="preserve">offsetting </w:t>
      </w:r>
      <w:r w:rsidRPr="00542733">
        <w:t xml:space="preserve">use of </w:t>
      </w:r>
      <w:r w:rsidR="006A7106" w:rsidRPr="00542733">
        <w:t xml:space="preserve">corresponding </w:t>
      </w:r>
      <w:r w:rsidRPr="00542733">
        <w:t>chemotherapy</w:t>
      </w:r>
      <w:r w:rsidR="006A7106" w:rsidRPr="00542733">
        <w:t xml:space="preserve"> to a lesser extent</w:t>
      </w:r>
      <w:r w:rsidR="00AF17B8" w:rsidRPr="00542733">
        <w:t>.</w:t>
      </w:r>
    </w:p>
    <w:p w:rsidR="002425DC" w:rsidRPr="00542733" w:rsidRDefault="002425DC" w:rsidP="00DE52C1"/>
    <w:p w:rsidR="002425DC" w:rsidRPr="001A53B7" w:rsidRDefault="003C7063" w:rsidP="001A53B7">
      <w:pPr>
        <w:pStyle w:val="ListParagraph"/>
        <w:widowControl/>
        <w:numPr>
          <w:ilvl w:val="1"/>
          <w:numId w:val="18"/>
        </w:numPr>
        <w:rPr>
          <w:szCs w:val="22"/>
        </w:rPr>
      </w:pPr>
      <w:r w:rsidRPr="00542733">
        <w:t>I</w:t>
      </w:r>
      <w:r w:rsidR="002425DC" w:rsidRPr="00542733">
        <w:t>ncrease</w:t>
      </w:r>
      <w:r w:rsidRPr="00542733">
        <w:t xml:space="preserve">d costs to the MBS for </w:t>
      </w:r>
      <w:r w:rsidR="002425DC" w:rsidRPr="001A53B7">
        <w:rPr>
          <w:i/>
        </w:rPr>
        <w:t>RAS</w:t>
      </w:r>
      <w:r w:rsidR="002425DC" w:rsidRPr="00542733">
        <w:t xml:space="preserve"> testing </w:t>
      </w:r>
      <w:r w:rsidRPr="00542733">
        <w:t xml:space="preserve">over </w:t>
      </w:r>
      <w:r w:rsidRPr="001A53B7">
        <w:rPr>
          <w:i/>
        </w:rPr>
        <w:t>KRAS</w:t>
      </w:r>
      <w:r w:rsidRPr="00542733">
        <w:t xml:space="preserve"> testing and for any earlier testing </w:t>
      </w:r>
      <w:r w:rsidR="006375AB" w:rsidRPr="00542733">
        <w:t xml:space="preserve">with </w:t>
      </w:r>
      <w:r w:rsidRPr="00542733">
        <w:t xml:space="preserve">the first-line listing of </w:t>
      </w:r>
      <w:proofErr w:type="spellStart"/>
      <w:r w:rsidRPr="00542733">
        <w:t>panitumumab</w:t>
      </w:r>
      <w:proofErr w:type="spellEnd"/>
      <w:r w:rsidRPr="00542733">
        <w:t xml:space="preserve"> are being considered by MSAC</w:t>
      </w:r>
      <w:r w:rsidR="002425DC" w:rsidRPr="00542733">
        <w:t>.</w:t>
      </w:r>
    </w:p>
    <w:bookmarkEnd w:id="45"/>
    <w:bookmarkEnd w:id="46"/>
    <w:bookmarkEnd w:id="47"/>
    <w:bookmarkEnd w:id="48"/>
    <w:bookmarkEnd w:id="49"/>
    <w:bookmarkEnd w:id="50"/>
    <w:p w:rsidR="005F4304" w:rsidRPr="00542733" w:rsidRDefault="005F4304" w:rsidP="001222FC"/>
    <w:p w:rsidR="001222FC" w:rsidRPr="001A53B7" w:rsidRDefault="00F45ACD" w:rsidP="001A53B7">
      <w:pPr>
        <w:pStyle w:val="ListParagraph"/>
        <w:widowControl/>
        <w:numPr>
          <w:ilvl w:val="1"/>
          <w:numId w:val="18"/>
        </w:numPr>
        <w:rPr>
          <w:szCs w:val="22"/>
        </w:rPr>
      </w:pPr>
      <w:r w:rsidRPr="00542733">
        <w:t xml:space="preserve">The proposed price of </w:t>
      </w:r>
      <w:proofErr w:type="spellStart"/>
      <w:r w:rsidRPr="00542733">
        <w:t>panitumumab</w:t>
      </w:r>
      <w:proofErr w:type="spellEnd"/>
      <w:r w:rsidRPr="00542733">
        <w:t xml:space="preserve"> in the first-line is the same as that agreed for later-line listing for which a special pricing arrangement is in place.</w:t>
      </w:r>
    </w:p>
    <w:p w:rsidR="001222FC" w:rsidRDefault="001222FC">
      <w:pPr>
        <w:widowControl/>
        <w:jc w:val="left"/>
      </w:pPr>
    </w:p>
    <w:p w:rsidR="00B614F8" w:rsidRPr="00BB7EC3" w:rsidRDefault="00B614F8" w:rsidP="00B614F8">
      <w:pPr>
        <w:pStyle w:val="ListParagraph"/>
        <w:ind w:left="709"/>
        <w:rPr>
          <w:i/>
          <w:szCs w:val="22"/>
        </w:rPr>
      </w:pPr>
      <w:r>
        <w:rPr>
          <w:i/>
          <w:szCs w:val="22"/>
        </w:rPr>
        <w:t>For more detail on PBAC’s view, see section 7 “PBAC outcome”</w:t>
      </w:r>
    </w:p>
    <w:p w:rsidR="00B11BF0" w:rsidRDefault="00B11BF0">
      <w:pPr>
        <w:widowControl/>
        <w:jc w:val="left"/>
        <w:rPr>
          <w:szCs w:val="22"/>
        </w:rPr>
      </w:pPr>
    </w:p>
    <w:p w:rsidR="001A53B7" w:rsidRDefault="001A53B7">
      <w:pPr>
        <w:widowControl/>
        <w:jc w:val="left"/>
        <w:rPr>
          <w:szCs w:val="22"/>
        </w:rPr>
      </w:pPr>
    </w:p>
    <w:p w:rsidR="001A53B7" w:rsidRPr="00407F2D" w:rsidRDefault="001A53B7" w:rsidP="001A53B7">
      <w:pPr>
        <w:pStyle w:val="ListParagraph"/>
        <w:widowControl/>
        <w:numPr>
          <w:ilvl w:val="0"/>
          <w:numId w:val="18"/>
        </w:numPr>
        <w:rPr>
          <w:b/>
          <w:szCs w:val="22"/>
        </w:rPr>
      </w:pPr>
      <w:r w:rsidRPr="00407F2D">
        <w:rPr>
          <w:b/>
          <w:szCs w:val="22"/>
        </w:rPr>
        <w:t xml:space="preserve">PBAC Outcome </w:t>
      </w:r>
    </w:p>
    <w:p w:rsidR="00B614F8" w:rsidRPr="00EC7530" w:rsidRDefault="00B614F8" w:rsidP="00EC7530">
      <w:pPr>
        <w:widowControl/>
        <w:rPr>
          <w:szCs w:val="22"/>
        </w:rPr>
      </w:pPr>
    </w:p>
    <w:p w:rsidR="00875F29" w:rsidRPr="001A53B7" w:rsidRDefault="00B614F8" w:rsidP="001A53B7">
      <w:pPr>
        <w:pStyle w:val="ListParagraph"/>
        <w:widowControl/>
        <w:numPr>
          <w:ilvl w:val="1"/>
          <w:numId w:val="18"/>
        </w:numPr>
        <w:rPr>
          <w:szCs w:val="22"/>
        </w:rPr>
      </w:pPr>
      <w:r w:rsidRPr="001A53B7">
        <w:rPr>
          <w:szCs w:val="22"/>
        </w:rPr>
        <w:lastRenderedPageBreak/>
        <w:t xml:space="preserve">The PBAC recommended </w:t>
      </w:r>
      <w:r w:rsidR="00EC7530" w:rsidRPr="001A53B7">
        <w:rPr>
          <w:szCs w:val="22"/>
        </w:rPr>
        <w:t xml:space="preserve">that </w:t>
      </w:r>
      <w:r w:rsidR="00C21C34" w:rsidRPr="001A53B7">
        <w:rPr>
          <w:szCs w:val="22"/>
        </w:rPr>
        <w:t xml:space="preserve">the current </w:t>
      </w:r>
      <w:r w:rsidR="00EC7530" w:rsidRPr="001A53B7">
        <w:rPr>
          <w:szCs w:val="22"/>
        </w:rPr>
        <w:t xml:space="preserve">PBS restriction for </w:t>
      </w:r>
      <w:proofErr w:type="spellStart"/>
      <w:r w:rsidR="00C21C34" w:rsidRPr="001A53B7">
        <w:rPr>
          <w:szCs w:val="22"/>
        </w:rPr>
        <w:t>panitumumab</w:t>
      </w:r>
      <w:proofErr w:type="spellEnd"/>
      <w:r w:rsidR="00C21C34" w:rsidRPr="001A53B7">
        <w:rPr>
          <w:szCs w:val="22"/>
        </w:rPr>
        <w:t xml:space="preserve"> </w:t>
      </w:r>
      <w:r w:rsidR="00EC7530" w:rsidRPr="001A53B7">
        <w:rPr>
          <w:szCs w:val="22"/>
        </w:rPr>
        <w:t xml:space="preserve">be amended </w:t>
      </w:r>
      <w:r w:rsidR="00073B74" w:rsidRPr="001A53B7">
        <w:rPr>
          <w:szCs w:val="22"/>
        </w:rPr>
        <w:t xml:space="preserve">urgently </w:t>
      </w:r>
      <w:r w:rsidR="00C21C34" w:rsidRPr="001A53B7">
        <w:rPr>
          <w:szCs w:val="22"/>
        </w:rPr>
        <w:t xml:space="preserve">to include </w:t>
      </w:r>
      <w:r w:rsidR="00EC7530" w:rsidRPr="001A53B7">
        <w:rPr>
          <w:szCs w:val="22"/>
        </w:rPr>
        <w:t>only</w:t>
      </w:r>
      <w:r w:rsidR="00C8799C" w:rsidRPr="001A53B7">
        <w:rPr>
          <w:szCs w:val="22"/>
        </w:rPr>
        <w:t xml:space="preserve"> patients with </w:t>
      </w:r>
      <w:r w:rsidR="00C21C34" w:rsidRPr="001A53B7">
        <w:rPr>
          <w:i/>
          <w:szCs w:val="22"/>
        </w:rPr>
        <w:t>RAS</w:t>
      </w:r>
      <w:r w:rsidR="00C21C34" w:rsidRPr="001A53B7">
        <w:rPr>
          <w:szCs w:val="22"/>
        </w:rPr>
        <w:t xml:space="preserve"> </w:t>
      </w:r>
      <w:r w:rsidR="00C8799C" w:rsidRPr="001A53B7">
        <w:rPr>
          <w:szCs w:val="22"/>
        </w:rPr>
        <w:t xml:space="preserve">WT </w:t>
      </w:r>
      <w:proofErr w:type="spellStart"/>
      <w:r w:rsidR="00C8799C" w:rsidRPr="001A53B7">
        <w:rPr>
          <w:szCs w:val="22"/>
        </w:rPr>
        <w:t>mCRC</w:t>
      </w:r>
      <w:proofErr w:type="spellEnd"/>
      <w:r w:rsidR="00C21C34" w:rsidRPr="001A53B7">
        <w:rPr>
          <w:szCs w:val="22"/>
        </w:rPr>
        <w:t xml:space="preserve">. </w:t>
      </w:r>
      <w:r w:rsidR="00EC7530" w:rsidRPr="001A53B7">
        <w:rPr>
          <w:szCs w:val="22"/>
        </w:rPr>
        <w:t xml:space="preserve"> Based on the evidence provided for</w:t>
      </w:r>
      <w:r w:rsidR="00362CE5" w:rsidRPr="001A53B7">
        <w:rPr>
          <w:szCs w:val="22"/>
        </w:rPr>
        <w:t xml:space="preserve"> </w:t>
      </w:r>
      <w:r w:rsidR="00EC7530" w:rsidRPr="001A53B7">
        <w:rPr>
          <w:szCs w:val="22"/>
        </w:rPr>
        <w:t xml:space="preserve">both PBS-listed </w:t>
      </w:r>
      <w:r w:rsidR="00BB46EB" w:rsidRPr="001A53B7">
        <w:rPr>
          <w:szCs w:val="22"/>
        </w:rPr>
        <w:t>anti-EGFR antibodies</w:t>
      </w:r>
      <w:r w:rsidR="00EC7530" w:rsidRPr="001A53B7">
        <w:rPr>
          <w:szCs w:val="22"/>
        </w:rPr>
        <w:t xml:space="preserve">, </w:t>
      </w:r>
      <w:r w:rsidR="00F96C34" w:rsidRPr="001A53B7">
        <w:rPr>
          <w:szCs w:val="22"/>
        </w:rPr>
        <w:t>the TGA</w:t>
      </w:r>
      <w:r w:rsidR="00362CE5" w:rsidRPr="001A53B7">
        <w:rPr>
          <w:szCs w:val="22"/>
        </w:rPr>
        <w:t xml:space="preserve"> amendments to the </w:t>
      </w:r>
      <w:r w:rsidR="00B47B45" w:rsidRPr="001A53B7">
        <w:rPr>
          <w:szCs w:val="22"/>
        </w:rPr>
        <w:t>relevant product information documents</w:t>
      </w:r>
      <w:r w:rsidR="000C64E2" w:rsidRPr="001A53B7">
        <w:rPr>
          <w:szCs w:val="22"/>
        </w:rPr>
        <w:t>,</w:t>
      </w:r>
      <w:r w:rsidR="00F96C34" w:rsidRPr="001A53B7">
        <w:rPr>
          <w:szCs w:val="22"/>
        </w:rPr>
        <w:t xml:space="preserve"> updated guidelines</w:t>
      </w:r>
      <w:r w:rsidR="000C64E2" w:rsidRPr="001A53B7">
        <w:rPr>
          <w:szCs w:val="22"/>
        </w:rPr>
        <w:t xml:space="preserve"> and the hearing</w:t>
      </w:r>
      <w:r w:rsidR="003E7179" w:rsidRPr="001A53B7">
        <w:rPr>
          <w:szCs w:val="22"/>
        </w:rPr>
        <w:t>,</w:t>
      </w:r>
      <w:r w:rsidR="00F96C34" w:rsidRPr="001A53B7">
        <w:rPr>
          <w:szCs w:val="22"/>
        </w:rPr>
        <w:t xml:space="preserve"> </w:t>
      </w:r>
      <w:r w:rsidR="00EC7530" w:rsidRPr="001A53B7">
        <w:rPr>
          <w:szCs w:val="22"/>
        </w:rPr>
        <w:t xml:space="preserve">the PBAC advised that the inferior treatment effect for </w:t>
      </w:r>
      <w:r w:rsidR="00EC7530" w:rsidRPr="001A53B7">
        <w:rPr>
          <w:i/>
          <w:szCs w:val="22"/>
        </w:rPr>
        <w:t>RAS</w:t>
      </w:r>
      <w:r w:rsidR="00EC7530" w:rsidRPr="001A53B7">
        <w:rPr>
          <w:szCs w:val="22"/>
        </w:rPr>
        <w:t xml:space="preserve"> mutant patients </w:t>
      </w:r>
      <w:r w:rsidR="00875F29" w:rsidRPr="001A53B7">
        <w:rPr>
          <w:szCs w:val="22"/>
        </w:rPr>
        <w:t xml:space="preserve">is a class-wide effect and </w:t>
      </w:r>
      <w:r w:rsidR="00EC7530" w:rsidRPr="001A53B7">
        <w:rPr>
          <w:szCs w:val="22"/>
        </w:rPr>
        <w:t xml:space="preserve">so recommended that the current PBS restriction for </w:t>
      </w:r>
      <w:proofErr w:type="spellStart"/>
      <w:r w:rsidR="00EC7530" w:rsidRPr="001A53B7">
        <w:rPr>
          <w:szCs w:val="22"/>
        </w:rPr>
        <w:t>cetuximab</w:t>
      </w:r>
      <w:proofErr w:type="spellEnd"/>
      <w:r w:rsidR="00EC7530" w:rsidRPr="001A53B7">
        <w:rPr>
          <w:szCs w:val="22"/>
        </w:rPr>
        <w:t xml:space="preserve"> be amended in the same way at the same time. </w:t>
      </w:r>
      <w:r w:rsidR="00004877" w:rsidRPr="001A53B7">
        <w:rPr>
          <w:szCs w:val="22"/>
        </w:rPr>
        <w:t xml:space="preserve"> </w:t>
      </w:r>
      <w:r w:rsidR="00EC7530" w:rsidRPr="001A53B7">
        <w:rPr>
          <w:szCs w:val="22"/>
        </w:rPr>
        <w:t xml:space="preserve">The PBAC </w:t>
      </w:r>
      <w:r w:rsidR="00004877" w:rsidRPr="001A53B7">
        <w:rPr>
          <w:szCs w:val="22"/>
        </w:rPr>
        <w:t xml:space="preserve">also recommended </w:t>
      </w:r>
      <w:r w:rsidR="00EC7530" w:rsidRPr="001A53B7">
        <w:rPr>
          <w:szCs w:val="22"/>
        </w:rPr>
        <w:t xml:space="preserve">that </w:t>
      </w:r>
      <w:r w:rsidR="00004877" w:rsidRPr="001A53B7">
        <w:rPr>
          <w:szCs w:val="22"/>
        </w:rPr>
        <w:t xml:space="preserve">these amendments should be coordinated with corresponding amendments to the related MBS item descriptor </w:t>
      </w:r>
      <w:r w:rsidR="00F96C34" w:rsidRPr="001A53B7">
        <w:rPr>
          <w:szCs w:val="22"/>
        </w:rPr>
        <w:t xml:space="preserve">to extend </w:t>
      </w:r>
      <w:r w:rsidR="00004877" w:rsidRPr="001A53B7">
        <w:rPr>
          <w:szCs w:val="22"/>
        </w:rPr>
        <w:t>mutation testing</w:t>
      </w:r>
      <w:r w:rsidR="00F96C34" w:rsidRPr="001A53B7">
        <w:rPr>
          <w:szCs w:val="22"/>
        </w:rPr>
        <w:t xml:space="preserve"> to </w:t>
      </w:r>
      <w:r w:rsidR="00C8799C" w:rsidRPr="001A53B7">
        <w:rPr>
          <w:szCs w:val="22"/>
        </w:rPr>
        <w:t xml:space="preserve">cover </w:t>
      </w:r>
      <w:r w:rsidR="00F96C34" w:rsidRPr="001A53B7">
        <w:rPr>
          <w:szCs w:val="22"/>
        </w:rPr>
        <w:t xml:space="preserve">all </w:t>
      </w:r>
      <w:r w:rsidR="00F96C34" w:rsidRPr="001A53B7">
        <w:rPr>
          <w:i/>
          <w:szCs w:val="22"/>
        </w:rPr>
        <w:t>RAS</w:t>
      </w:r>
      <w:r w:rsidR="00F96C34" w:rsidRPr="001A53B7">
        <w:rPr>
          <w:szCs w:val="22"/>
        </w:rPr>
        <w:t xml:space="preserve"> mutations</w:t>
      </w:r>
      <w:r w:rsidR="00004877" w:rsidRPr="001A53B7">
        <w:rPr>
          <w:szCs w:val="22"/>
        </w:rPr>
        <w:t xml:space="preserve">, which is the subject of a coordinated submission to MSAC.  As foreshadowed by the PBAC and MSAC in November 2013, the </w:t>
      </w:r>
      <w:r w:rsidR="00073B74" w:rsidRPr="001A53B7">
        <w:rPr>
          <w:szCs w:val="22"/>
        </w:rPr>
        <w:t xml:space="preserve">need for urgency arises because the </w:t>
      </w:r>
      <w:r w:rsidR="00004877" w:rsidRPr="001A53B7">
        <w:rPr>
          <w:szCs w:val="22"/>
        </w:rPr>
        <w:t xml:space="preserve">evidence indicates that continuing the current restrictions based on identifying </w:t>
      </w:r>
      <w:r w:rsidR="00004877" w:rsidRPr="001A53B7">
        <w:rPr>
          <w:i/>
          <w:szCs w:val="22"/>
        </w:rPr>
        <w:t>KRAS</w:t>
      </w:r>
      <w:r w:rsidR="00004877" w:rsidRPr="001A53B7">
        <w:rPr>
          <w:szCs w:val="22"/>
        </w:rPr>
        <w:t xml:space="preserve"> wild-type patients is </w:t>
      </w:r>
      <w:r w:rsidR="00F96C34" w:rsidRPr="001A53B7">
        <w:rPr>
          <w:szCs w:val="22"/>
        </w:rPr>
        <w:t xml:space="preserve">predictably </w:t>
      </w:r>
      <w:r w:rsidR="00004877" w:rsidRPr="001A53B7">
        <w:rPr>
          <w:szCs w:val="22"/>
        </w:rPr>
        <w:t xml:space="preserve">exposing some of these patients to worse </w:t>
      </w:r>
      <w:r w:rsidR="00F96C34" w:rsidRPr="001A53B7">
        <w:rPr>
          <w:szCs w:val="22"/>
        </w:rPr>
        <w:t xml:space="preserve">health </w:t>
      </w:r>
      <w:r w:rsidR="00004877" w:rsidRPr="001A53B7">
        <w:rPr>
          <w:szCs w:val="22"/>
        </w:rPr>
        <w:t>outcomes</w:t>
      </w:r>
      <w:r w:rsidR="00073B74" w:rsidRPr="001A53B7">
        <w:rPr>
          <w:szCs w:val="22"/>
        </w:rPr>
        <w:t>.</w:t>
      </w:r>
    </w:p>
    <w:p w:rsidR="00875F29" w:rsidRPr="00EC7530" w:rsidRDefault="00875F29" w:rsidP="00EC7530">
      <w:pPr>
        <w:widowControl/>
        <w:rPr>
          <w:szCs w:val="22"/>
        </w:rPr>
      </w:pPr>
    </w:p>
    <w:p w:rsidR="00875F29" w:rsidRPr="001A53B7" w:rsidRDefault="00875F29" w:rsidP="001A53B7">
      <w:pPr>
        <w:pStyle w:val="ListParagraph"/>
        <w:widowControl/>
        <w:numPr>
          <w:ilvl w:val="1"/>
          <w:numId w:val="18"/>
        </w:numPr>
        <w:rPr>
          <w:szCs w:val="22"/>
        </w:rPr>
      </w:pPr>
      <w:r w:rsidRPr="001A53B7">
        <w:rPr>
          <w:szCs w:val="22"/>
        </w:rPr>
        <w:t xml:space="preserve">The PBAC rejected the request to </w:t>
      </w:r>
      <w:r w:rsidR="00334DBF" w:rsidRPr="001A53B7">
        <w:rPr>
          <w:szCs w:val="22"/>
        </w:rPr>
        <w:t xml:space="preserve">amend the current PBS restriction for </w:t>
      </w:r>
      <w:proofErr w:type="spellStart"/>
      <w:r w:rsidRPr="001A53B7">
        <w:rPr>
          <w:szCs w:val="22"/>
        </w:rPr>
        <w:t>panitumumab</w:t>
      </w:r>
      <w:proofErr w:type="spellEnd"/>
      <w:r w:rsidRPr="001A53B7">
        <w:rPr>
          <w:szCs w:val="22"/>
        </w:rPr>
        <w:t xml:space="preserve"> to </w:t>
      </w:r>
      <w:r w:rsidR="00334DBF" w:rsidRPr="001A53B7">
        <w:rPr>
          <w:szCs w:val="22"/>
        </w:rPr>
        <w:t xml:space="preserve">include </w:t>
      </w:r>
      <w:r w:rsidRPr="001A53B7">
        <w:rPr>
          <w:szCs w:val="22"/>
        </w:rPr>
        <w:t>first</w:t>
      </w:r>
      <w:r w:rsidR="00334DBF" w:rsidRPr="001A53B7">
        <w:rPr>
          <w:szCs w:val="22"/>
        </w:rPr>
        <w:t>-</w:t>
      </w:r>
      <w:r w:rsidRPr="001A53B7">
        <w:rPr>
          <w:szCs w:val="22"/>
        </w:rPr>
        <w:t xml:space="preserve">line treatment of </w:t>
      </w:r>
      <w:r w:rsidR="00C8799C" w:rsidRPr="001A53B7">
        <w:rPr>
          <w:szCs w:val="22"/>
        </w:rPr>
        <w:t xml:space="preserve">patients with </w:t>
      </w:r>
      <w:r w:rsidRPr="001A53B7">
        <w:rPr>
          <w:i/>
          <w:szCs w:val="22"/>
        </w:rPr>
        <w:t>RAS</w:t>
      </w:r>
      <w:r w:rsidRPr="001A53B7">
        <w:rPr>
          <w:szCs w:val="22"/>
        </w:rPr>
        <w:t xml:space="preserve"> WT </w:t>
      </w:r>
      <w:proofErr w:type="spellStart"/>
      <w:r w:rsidRPr="001A53B7">
        <w:rPr>
          <w:szCs w:val="22"/>
        </w:rPr>
        <w:t>mCRC</w:t>
      </w:r>
      <w:proofErr w:type="spellEnd"/>
      <w:r w:rsidRPr="001A53B7">
        <w:rPr>
          <w:szCs w:val="22"/>
        </w:rPr>
        <w:t xml:space="preserve"> based on the uncertainty of </w:t>
      </w:r>
      <w:r w:rsidR="00334DBF" w:rsidRPr="001A53B7">
        <w:rPr>
          <w:szCs w:val="22"/>
        </w:rPr>
        <w:t xml:space="preserve">the extent of incremental </w:t>
      </w:r>
      <w:r w:rsidRPr="001A53B7">
        <w:rPr>
          <w:szCs w:val="22"/>
        </w:rPr>
        <w:t xml:space="preserve">clinical benefit </w:t>
      </w:r>
      <w:r w:rsidR="00334DBF" w:rsidRPr="001A53B7">
        <w:rPr>
          <w:szCs w:val="22"/>
        </w:rPr>
        <w:t>over its comparators</w:t>
      </w:r>
      <w:r w:rsidR="00EC7530" w:rsidRPr="001A53B7">
        <w:rPr>
          <w:szCs w:val="22"/>
        </w:rPr>
        <w:t>.</w:t>
      </w:r>
    </w:p>
    <w:p w:rsidR="00875F29" w:rsidRPr="00EC7530" w:rsidRDefault="00875F29" w:rsidP="00EC7530">
      <w:pPr>
        <w:rPr>
          <w:szCs w:val="22"/>
        </w:rPr>
      </w:pPr>
    </w:p>
    <w:p w:rsidR="00875F29" w:rsidRDefault="00334DBF" w:rsidP="00B614F8">
      <w:pPr>
        <w:pStyle w:val="ListParagraph"/>
        <w:widowControl/>
        <w:numPr>
          <w:ilvl w:val="1"/>
          <w:numId w:val="18"/>
        </w:numPr>
        <w:ind w:left="709" w:hanging="709"/>
        <w:rPr>
          <w:szCs w:val="22"/>
        </w:rPr>
      </w:pPr>
      <w:r>
        <w:rPr>
          <w:szCs w:val="22"/>
        </w:rPr>
        <w:t xml:space="preserve">In particular, </w:t>
      </w:r>
      <w:r w:rsidR="00271B5B">
        <w:rPr>
          <w:szCs w:val="22"/>
        </w:rPr>
        <w:t xml:space="preserve">the PBAC did not consider that it could rely on </w:t>
      </w:r>
      <w:r>
        <w:rPr>
          <w:szCs w:val="22"/>
        </w:rPr>
        <w:t>t</w:t>
      </w:r>
      <w:r w:rsidR="00875F29">
        <w:rPr>
          <w:szCs w:val="22"/>
        </w:rPr>
        <w:t xml:space="preserve">he </w:t>
      </w:r>
      <w:r w:rsidR="00BB46EB">
        <w:rPr>
          <w:szCs w:val="22"/>
        </w:rPr>
        <w:t xml:space="preserve">median </w:t>
      </w:r>
      <w:r w:rsidR="00875F29">
        <w:rPr>
          <w:szCs w:val="22"/>
        </w:rPr>
        <w:t xml:space="preserve">absolute overall survival </w:t>
      </w:r>
      <w:r w:rsidR="003E7179">
        <w:rPr>
          <w:szCs w:val="22"/>
        </w:rPr>
        <w:t xml:space="preserve">of </w:t>
      </w:r>
      <w:r w:rsidR="00875F29">
        <w:rPr>
          <w:szCs w:val="22"/>
        </w:rPr>
        <w:t xml:space="preserve">41 months of </w:t>
      </w:r>
      <w:proofErr w:type="spellStart"/>
      <w:r w:rsidR="00875F29">
        <w:rPr>
          <w:szCs w:val="22"/>
        </w:rPr>
        <w:t>panitumumab</w:t>
      </w:r>
      <w:proofErr w:type="spellEnd"/>
      <w:r w:rsidR="00875F29">
        <w:rPr>
          <w:szCs w:val="22"/>
        </w:rPr>
        <w:t xml:space="preserve"> + FOLFOX </w:t>
      </w:r>
      <w:r w:rsidR="0055059E">
        <w:rPr>
          <w:szCs w:val="22"/>
        </w:rPr>
        <w:t xml:space="preserve">and </w:t>
      </w:r>
      <w:r w:rsidR="00BB46EB">
        <w:rPr>
          <w:szCs w:val="22"/>
        </w:rPr>
        <w:t xml:space="preserve">median </w:t>
      </w:r>
      <w:r w:rsidR="0055059E">
        <w:rPr>
          <w:szCs w:val="22"/>
        </w:rPr>
        <w:t xml:space="preserve">gain in overall survival </w:t>
      </w:r>
      <w:r w:rsidR="003E7179">
        <w:rPr>
          <w:szCs w:val="22"/>
        </w:rPr>
        <w:t xml:space="preserve">of </w:t>
      </w:r>
      <w:r w:rsidR="0055059E">
        <w:rPr>
          <w:szCs w:val="22"/>
        </w:rPr>
        <w:t xml:space="preserve">12.4 months </w:t>
      </w:r>
      <w:r w:rsidR="00875F29">
        <w:rPr>
          <w:szCs w:val="22"/>
        </w:rPr>
        <w:t xml:space="preserve">over </w:t>
      </w:r>
      <w:proofErr w:type="spellStart"/>
      <w:r w:rsidR="0055059E">
        <w:rPr>
          <w:szCs w:val="22"/>
        </w:rPr>
        <w:t>bevacizumab</w:t>
      </w:r>
      <w:proofErr w:type="spellEnd"/>
      <w:r w:rsidR="0055059E">
        <w:rPr>
          <w:szCs w:val="22"/>
        </w:rPr>
        <w:t xml:space="preserve"> + </w:t>
      </w:r>
      <w:r w:rsidR="00875F29">
        <w:rPr>
          <w:szCs w:val="22"/>
        </w:rPr>
        <w:t xml:space="preserve">FOLFOX alone in </w:t>
      </w:r>
      <w:r w:rsidR="00271B5B">
        <w:rPr>
          <w:szCs w:val="22"/>
        </w:rPr>
        <w:t xml:space="preserve">the </w:t>
      </w:r>
      <w:r w:rsidR="00271B5B" w:rsidRPr="00271047">
        <w:rPr>
          <w:i/>
          <w:szCs w:val="22"/>
        </w:rPr>
        <w:t>RAS</w:t>
      </w:r>
      <w:r w:rsidR="00271B5B">
        <w:rPr>
          <w:szCs w:val="22"/>
        </w:rPr>
        <w:t xml:space="preserve"> WT subgroup of </w:t>
      </w:r>
      <w:r w:rsidR="00875F29">
        <w:rPr>
          <w:szCs w:val="22"/>
        </w:rPr>
        <w:t>the PEAK trial</w:t>
      </w:r>
      <w:r w:rsidR="00271B5B">
        <w:rPr>
          <w:szCs w:val="22"/>
        </w:rPr>
        <w:t xml:space="preserve">. </w:t>
      </w:r>
      <w:r w:rsidR="00AF3F15">
        <w:rPr>
          <w:szCs w:val="22"/>
        </w:rPr>
        <w:t xml:space="preserve"> </w:t>
      </w:r>
      <w:r w:rsidR="00271B5B">
        <w:rPr>
          <w:szCs w:val="22"/>
        </w:rPr>
        <w:t>These results</w:t>
      </w:r>
      <w:r w:rsidR="00875F29">
        <w:rPr>
          <w:szCs w:val="22"/>
        </w:rPr>
        <w:t xml:space="preserve"> </w:t>
      </w:r>
      <w:r w:rsidR="0055059E">
        <w:rPr>
          <w:szCs w:val="22"/>
        </w:rPr>
        <w:t>are</w:t>
      </w:r>
      <w:r w:rsidR="00875F29">
        <w:rPr>
          <w:szCs w:val="22"/>
        </w:rPr>
        <w:t xml:space="preserve"> inconsistent with </w:t>
      </w:r>
      <w:r w:rsidR="0055059E">
        <w:rPr>
          <w:szCs w:val="22"/>
        </w:rPr>
        <w:t xml:space="preserve">a </w:t>
      </w:r>
      <w:r w:rsidR="00B47B45">
        <w:rPr>
          <w:szCs w:val="22"/>
        </w:rPr>
        <w:t xml:space="preserve">median gain in </w:t>
      </w:r>
      <w:r w:rsidR="0055059E">
        <w:rPr>
          <w:szCs w:val="22"/>
        </w:rPr>
        <w:t xml:space="preserve">PFS </w:t>
      </w:r>
      <w:r w:rsidR="00875F29">
        <w:rPr>
          <w:szCs w:val="22"/>
        </w:rPr>
        <w:t>of 2.9 months</w:t>
      </w:r>
      <w:r w:rsidR="0055059E">
        <w:rPr>
          <w:szCs w:val="22"/>
        </w:rPr>
        <w:t xml:space="preserve"> in the same trial</w:t>
      </w:r>
      <w:r w:rsidR="00FE61D1">
        <w:rPr>
          <w:szCs w:val="22"/>
        </w:rPr>
        <w:t xml:space="preserve"> and </w:t>
      </w:r>
      <w:r w:rsidR="00875F29">
        <w:rPr>
          <w:szCs w:val="22"/>
        </w:rPr>
        <w:t xml:space="preserve">data on equivalence of </w:t>
      </w:r>
      <w:proofErr w:type="spellStart"/>
      <w:r w:rsidR="00875F29">
        <w:rPr>
          <w:szCs w:val="22"/>
        </w:rPr>
        <w:t>panitumumab</w:t>
      </w:r>
      <w:proofErr w:type="spellEnd"/>
      <w:r w:rsidR="00875F29">
        <w:rPr>
          <w:szCs w:val="22"/>
        </w:rPr>
        <w:t xml:space="preserve"> and </w:t>
      </w:r>
      <w:proofErr w:type="spellStart"/>
      <w:r w:rsidR="00875F29">
        <w:rPr>
          <w:szCs w:val="22"/>
        </w:rPr>
        <w:t>cetuximab</w:t>
      </w:r>
      <w:proofErr w:type="spellEnd"/>
      <w:r w:rsidR="00FE61D1">
        <w:rPr>
          <w:szCs w:val="22"/>
        </w:rPr>
        <w:t xml:space="preserve">. </w:t>
      </w:r>
      <w:r w:rsidR="00B47B45">
        <w:rPr>
          <w:szCs w:val="22"/>
        </w:rPr>
        <w:t xml:space="preserve"> </w:t>
      </w:r>
      <w:r w:rsidR="00FE61D1">
        <w:rPr>
          <w:szCs w:val="22"/>
        </w:rPr>
        <w:t xml:space="preserve">The results are also inconsistent with </w:t>
      </w:r>
      <w:r w:rsidR="0055059E">
        <w:rPr>
          <w:szCs w:val="22"/>
        </w:rPr>
        <w:t>the</w:t>
      </w:r>
      <w:r w:rsidR="00FE61D1">
        <w:rPr>
          <w:szCs w:val="22"/>
        </w:rPr>
        <w:t xml:space="preserve"> absolute overall survival of both anti-EGFR antibodies + FOLFOX in </w:t>
      </w:r>
      <w:r w:rsidR="0055059E">
        <w:rPr>
          <w:szCs w:val="22"/>
        </w:rPr>
        <w:t>o</w:t>
      </w:r>
      <w:r w:rsidR="00875F29">
        <w:rPr>
          <w:szCs w:val="22"/>
        </w:rPr>
        <w:t>the</w:t>
      </w:r>
      <w:r w:rsidR="0055059E">
        <w:rPr>
          <w:szCs w:val="22"/>
        </w:rPr>
        <w:t>r</w:t>
      </w:r>
      <w:r w:rsidR="00875F29">
        <w:rPr>
          <w:szCs w:val="22"/>
        </w:rPr>
        <w:t xml:space="preserve"> </w:t>
      </w:r>
      <w:r w:rsidR="0055059E">
        <w:rPr>
          <w:szCs w:val="22"/>
        </w:rPr>
        <w:t xml:space="preserve">first-line </w:t>
      </w:r>
      <w:r w:rsidR="00875F29">
        <w:rPr>
          <w:szCs w:val="22"/>
        </w:rPr>
        <w:t>trial</w:t>
      </w:r>
      <w:r w:rsidR="0055059E">
        <w:rPr>
          <w:szCs w:val="22"/>
        </w:rPr>
        <w:t>s</w:t>
      </w:r>
      <w:r w:rsidR="00FC591A">
        <w:rPr>
          <w:szCs w:val="22"/>
        </w:rPr>
        <w:t>, including the PRIME trial</w:t>
      </w:r>
      <w:r w:rsidR="00BB46EB">
        <w:rPr>
          <w:szCs w:val="22"/>
        </w:rPr>
        <w:t xml:space="preserve"> (median </w:t>
      </w:r>
      <w:r w:rsidR="00B47B45">
        <w:rPr>
          <w:szCs w:val="22"/>
        </w:rPr>
        <w:t>overall survival of</w:t>
      </w:r>
      <w:r w:rsidR="00BB46EB">
        <w:rPr>
          <w:szCs w:val="22"/>
        </w:rPr>
        <w:t xml:space="preserve"> </w:t>
      </w:r>
      <w:r w:rsidR="00FE61D1">
        <w:rPr>
          <w:szCs w:val="22"/>
        </w:rPr>
        <w:t xml:space="preserve">25.8 months for </w:t>
      </w:r>
      <w:proofErr w:type="spellStart"/>
      <w:r w:rsidR="00FE61D1">
        <w:rPr>
          <w:szCs w:val="22"/>
        </w:rPr>
        <w:t>panitumumab</w:t>
      </w:r>
      <w:proofErr w:type="spellEnd"/>
      <w:r w:rsidR="00FE61D1">
        <w:rPr>
          <w:szCs w:val="22"/>
        </w:rPr>
        <w:t xml:space="preserve"> + FOLFOX)</w:t>
      </w:r>
      <w:r w:rsidR="00875F29">
        <w:rPr>
          <w:szCs w:val="22"/>
        </w:rPr>
        <w:t xml:space="preserve">. </w:t>
      </w:r>
      <w:r w:rsidR="00AF3F15">
        <w:rPr>
          <w:szCs w:val="22"/>
        </w:rPr>
        <w:t xml:space="preserve"> </w:t>
      </w:r>
      <w:r w:rsidR="00FE61D1">
        <w:rPr>
          <w:szCs w:val="22"/>
        </w:rPr>
        <w:t xml:space="preserve">Taken together the </w:t>
      </w:r>
      <w:r w:rsidR="00875F29">
        <w:rPr>
          <w:szCs w:val="22"/>
        </w:rPr>
        <w:t>PBAC consider</w:t>
      </w:r>
      <w:r w:rsidR="00EC7530">
        <w:rPr>
          <w:szCs w:val="22"/>
        </w:rPr>
        <w:t xml:space="preserve">ed </w:t>
      </w:r>
      <w:r w:rsidR="00FE61D1">
        <w:rPr>
          <w:szCs w:val="22"/>
        </w:rPr>
        <w:t xml:space="preserve">that the inconsistency of the </w:t>
      </w:r>
      <w:r w:rsidR="00FC591A">
        <w:rPr>
          <w:szCs w:val="22"/>
        </w:rPr>
        <w:t xml:space="preserve">OS results </w:t>
      </w:r>
      <w:r w:rsidR="00FE61D1">
        <w:rPr>
          <w:szCs w:val="22"/>
        </w:rPr>
        <w:t xml:space="preserve">for </w:t>
      </w:r>
      <w:proofErr w:type="spellStart"/>
      <w:r w:rsidR="00362CE5">
        <w:rPr>
          <w:szCs w:val="22"/>
        </w:rPr>
        <w:t>p</w:t>
      </w:r>
      <w:r w:rsidR="00FE61D1">
        <w:rPr>
          <w:szCs w:val="22"/>
        </w:rPr>
        <w:t>anitumumab</w:t>
      </w:r>
      <w:proofErr w:type="spellEnd"/>
      <w:r w:rsidR="00FE61D1">
        <w:rPr>
          <w:szCs w:val="22"/>
        </w:rPr>
        <w:t xml:space="preserve"> + FOLFOX in PEAK compared with the other studies meant these results could not be relied upon to quantify the benefit of </w:t>
      </w:r>
      <w:proofErr w:type="spellStart"/>
      <w:r w:rsidR="00FE61D1">
        <w:rPr>
          <w:szCs w:val="22"/>
        </w:rPr>
        <w:t>panitumumab</w:t>
      </w:r>
      <w:proofErr w:type="spellEnd"/>
      <w:r w:rsidR="00FE61D1">
        <w:rPr>
          <w:szCs w:val="22"/>
        </w:rPr>
        <w:t xml:space="preserve"> + FOLFOX co</w:t>
      </w:r>
      <w:r w:rsidR="00B47B45">
        <w:rPr>
          <w:szCs w:val="22"/>
        </w:rPr>
        <w:t xml:space="preserve">mpared to </w:t>
      </w:r>
      <w:proofErr w:type="spellStart"/>
      <w:r w:rsidR="00B47B45">
        <w:rPr>
          <w:szCs w:val="22"/>
        </w:rPr>
        <w:t>bevacizumab</w:t>
      </w:r>
      <w:proofErr w:type="spellEnd"/>
      <w:r w:rsidR="00B47B45">
        <w:rPr>
          <w:szCs w:val="22"/>
        </w:rPr>
        <w:t xml:space="preserve"> + FOLFOX.</w:t>
      </w:r>
    </w:p>
    <w:p w:rsidR="00875F29" w:rsidRPr="00EC7530" w:rsidRDefault="00875F29" w:rsidP="00EC7530">
      <w:pPr>
        <w:rPr>
          <w:szCs w:val="22"/>
        </w:rPr>
      </w:pPr>
    </w:p>
    <w:p w:rsidR="00BC04FD" w:rsidRDefault="00F23FF5" w:rsidP="00B614F8">
      <w:pPr>
        <w:pStyle w:val="ListParagraph"/>
        <w:widowControl/>
        <w:numPr>
          <w:ilvl w:val="1"/>
          <w:numId w:val="18"/>
        </w:numPr>
        <w:ind w:left="709" w:hanging="709"/>
        <w:rPr>
          <w:szCs w:val="22"/>
        </w:rPr>
      </w:pPr>
      <w:r>
        <w:rPr>
          <w:szCs w:val="22"/>
        </w:rPr>
        <w:t xml:space="preserve">The PBAC noted </w:t>
      </w:r>
      <w:r w:rsidR="0055059E">
        <w:rPr>
          <w:szCs w:val="22"/>
        </w:rPr>
        <w:t xml:space="preserve">that the most recent systematic review of </w:t>
      </w:r>
      <w:r w:rsidR="00FE61D1">
        <w:rPr>
          <w:szCs w:val="22"/>
        </w:rPr>
        <w:t xml:space="preserve">the </w:t>
      </w:r>
      <w:r w:rsidR="0055059E">
        <w:rPr>
          <w:szCs w:val="22"/>
        </w:rPr>
        <w:t xml:space="preserve">two </w:t>
      </w:r>
      <w:r w:rsidR="00FE61D1">
        <w:rPr>
          <w:szCs w:val="22"/>
        </w:rPr>
        <w:t xml:space="preserve">anti-EGFR antibodies </w:t>
      </w:r>
      <w:r w:rsidR="0055059E">
        <w:rPr>
          <w:szCs w:val="22"/>
        </w:rPr>
        <w:t xml:space="preserve">in the first-line treatment of </w:t>
      </w:r>
      <w:proofErr w:type="spellStart"/>
      <w:r w:rsidR="0055059E">
        <w:rPr>
          <w:szCs w:val="22"/>
        </w:rPr>
        <w:t>mCRC</w:t>
      </w:r>
      <w:proofErr w:type="spellEnd"/>
      <w:r w:rsidR="0055059E">
        <w:rPr>
          <w:szCs w:val="22"/>
        </w:rPr>
        <w:t xml:space="preserve"> (Zhou et al, </w:t>
      </w:r>
      <w:proofErr w:type="spellStart"/>
      <w:r w:rsidR="0055059E">
        <w:rPr>
          <w:szCs w:val="22"/>
        </w:rPr>
        <w:t>PL</w:t>
      </w:r>
      <w:r>
        <w:rPr>
          <w:szCs w:val="22"/>
        </w:rPr>
        <w:t>o</w:t>
      </w:r>
      <w:r w:rsidR="0055059E">
        <w:rPr>
          <w:szCs w:val="22"/>
        </w:rPr>
        <w:t>S</w:t>
      </w:r>
      <w:proofErr w:type="spellEnd"/>
      <w:r w:rsidR="0055059E">
        <w:rPr>
          <w:szCs w:val="22"/>
        </w:rPr>
        <w:t xml:space="preserve"> ONE</w:t>
      </w:r>
      <w:r>
        <w:rPr>
          <w:szCs w:val="22"/>
        </w:rPr>
        <w:t xml:space="preserve"> 7(11), </w:t>
      </w:r>
      <w:proofErr w:type="gramStart"/>
      <w:r>
        <w:rPr>
          <w:szCs w:val="22"/>
        </w:rPr>
        <w:t>November</w:t>
      </w:r>
      <w:proofErr w:type="gramEnd"/>
      <w:r>
        <w:rPr>
          <w:szCs w:val="22"/>
        </w:rPr>
        <w:t xml:space="preserve"> 2012) found no survival benefit over </w:t>
      </w:r>
      <w:proofErr w:type="spellStart"/>
      <w:r>
        <w:rPr>
          <w:szCs w:val="22"/>
        </w:rPr>
        <w:t>oxaliplatin</w:t>
      </w:r>
      <w:proofErr w:type="spellEnd"/>
      <w:r>
        <w:rPr>
          <w:szCs w:val="22"/>
        </w:rPr>
        <w:t xml:space="preserve">-based chemotherapy, but was based on </w:t>
      </w:r>
      <w:r w:rsidR="00FC591A">
        <w:rPr>
          <w:szCs w:val="22"/>
        </w:rPr>
        <w:t xml:space="preserve">the </w:t>
      </w:r>
      <w:r w:rsidRPr="001E6049">
        <w:rPr>
          <w:i/>
          <w:szCs w:val="22"/>
        </w:rPr>
        <w:t>KRAS</w:t>
      </w:r>
      <w:r>
        <w:rPr>
          <w:szCs w:val="22"/>
        </w:rPr>
        <w:t xml:space="preserve"> WT </w:t>
      </w:r>
      <w:r w:rsidR="00FC591A">
        <w:rPr>
          <w:szCs w:val="22"/>
        </w:rPr>
        <w:t>subgroup</w:t>
      </w:r>
      <w:r>
        <w:rPr>
          <w:szCs w:val="22"/>
        </w:rPr>
        <w:t xml:space="preserve"> </w:t>
      </w:r>
      <w:r w:rsidR="00FC591A">
        <w:rPr>
          <w:szCs w:val="22"/>
        </w:rPr>
        <w:t xml:space="preserve">rather </w:t>
      </w:r>
      <w:r>
        <w:rPr>
          <w:szCs w:val="22"/>
        </w:rPr>
        <w:t xml:space="preserve">than </w:t>
      </w:r>
      <w:r w:rsidR="00FC591A">
        <w:rPr>
          <w:szCs w:val="22"/>
        </w:rPr>
        <w:t xml:space="preserve">the </w:t>
      </w:r>
      <w:r w:rsidRPr="00271047">
        <w:rPr>
          <w:i/>
          <w:szCs w:val="22"/>
        </w:rPr>
        <w:t>RAS</w:t>
      </w:r>
      <w:r>
        <w:rPr>
          <w:szCs w:val="22"/>
        </w:rPr>
        <w:t xml:space="preserve"> WT </w:t>
      </w:r>
      <w:r w:rsidR="00FC591A">
        <w:rPr>
          <w:szCs w:val="22"/>
        </w:rPr>
        <w:t>subgroup</w:t>
      </w:r>
      <w:r>
        <w:rPr>
          <w:szCs w:val="22"/>
        </w:rPr>
        <w:t xml:space="preserve">. </w:t>
      </w:r>
      <w:r w:rsidR="00AF3F15">
        <w:rPr>
          <w:szCs w:val="22"/>
        </w:rPr>
        <w:t xml:space="preserve"> </w:t>
      </w:r>
      <w:r>
        <w:rPr>
          <w:szCs w:val="22"/>
        </w:rPr>
        <w:t>The PBAC</w:t>
      </w:r>
      <w:r w:rsidR="00FC591A">
        <w:rPr>
          <w:szCs w:val="22"/>
        </w:rPr>
        <w:t xml:space="preserve"> therefore</w:t>
      </w:r>
      <w:r>
        <w:rPr>
          <w:szCs w:val="22"/>
        </w:rPr>
        <w:t xml:space="preserve"> requested that a similar systematic review be conducted of all relevant trials with </w:t>
      </w:r>
      <w:r w:rsidRPr="00271047">
        <w:rPr>
          <w:i/>
          <w:szCs w:val="22"/>
        </w:rPr>
        <w:t>RAS</w:t>
      </w:r>
      <w:r>
        <w:rPr>
          <w:szCs w:val="22"/>
        </w:rPr>
        <w:t xml:space="preserve"> WT results </w:t>
      </w:r>
      <w:r w:rsidR="00875F29">
        <w:rPr>
          <w:szCs w:val="22"/>
        </w:rPr>
        <w:t xml:space="preserve">across </w:t>
      </w:r>
      <w:r>
        <w:rPr>
          <w:szCs w:val="22"/>
        </w:rPr>
        <w:t xml:space="preserve">both </w:t>
      </w:r>
      <w:proofErr w:type="spellStart"/>
      <w:r>
        <w:rPr>
          <w:szCs w:val="22"/>
        </w:rPr>
        <w:t>panitumumab</w:t>
      </w:r>
      <w:proofErr w:type="spellEnd"/>
      <w:r>
        <w:rPr>
          <w:szCs w:val="22"/>
        </w:rPr>
        <w:t xml:space="preserve"> and </w:t>
      </w:r>
      <w:proofErr w:type="spellStart"/>
      <w:r>
        <w:rPr>
          <w:szCs w:val="22"/>
        </w:rPr>
        <w:t>cetuximab</w:t>
      </w:r>
      <w:proofErr w:type="spellEnd"/>
      <w:r>
        <w:rPr>
          <w:szCs w:val="22"/>
        </w:rPr>
        <w:t xml:space="preserve"> in order </w:t>
      </w:r>
      <w:r w:rsidR="00875F29">
        <w:rPr>
          <w:szCs w:val="22"/>
        </w:rPr>
        <w:t>to assess the totality o</w:t>
      </w:r>
      <w:r w:rsidR="00EC7530">
        <w:rPr>
          <w:szCs w:val="22"/>
        </w:rPr>
        <w:t>f data for overall effect size.</w:t>
      </w:r>
      <w:r>
        <w:rPr>
          <w:szCs w:val="22"/>
        </w:rPr>
        <w:t xml:space="preserve"> </w:t>
      </w:r>
      <w:r w:rsidR="00AF3F15">
        <w:rPr>
          <w:szCs w:val="22"/>
        </w:rPr>
        <w:t xml:space="preserve"> </w:t>
      </w:r>
      <w:r w:rsidR="003D7E02">
        <w:rPr>
          <w:szCs w:val="22"/>
        </w:rPr>
        <w:t xml:space="preserve">The PBAC noted that the CALBG/SWOG 80405 comparison of </w:t>
      </w:r>
      <w:proofErr w:type="spellStart"/>
      <w:r w:rsidR="003D7E02">
        <w:rPr>
          <w:szCs w:val="22"/>
        </w:rPr>
        <w:t>cetuximab</w:t>
      </w:r>
      <w:proofErr w:type="spellEnd"/>
      <w:r w:rsidR="003D7E02">
        <w:rPr>
          <w:szCs w:val="22"/>
        </w:rPr>
        <w:t xml:space="preserve"> with </w:t>
      </w:r>
      <w:proofErr w:type="spellStart"/>
      <w:r w:rsidR="003D7E02">
        <w:rPr>
          <w:szCs w:val="22"/>
        </w:rPr>
        <w:t>bevacizumab</w:t>
      </w:r>
      <w:proofErr w:type="spellEnd"/>
      <w:r w:rsidR="003D7E02">
        <w:rPr>
          <w:szCs w:val="22"/>
        </w:rPr>
        <w:t xml:space="preserve"> (with FOLFOX or FOLFIRI as chemotherapy partners) would be particularly relevant for inclusion in this meta-analysis because of its larger size than the PEAK trial</w:t>
      </w:r>
      <w:r w:rsidR="00FE61D1">
        <w:rPr>
          <w:szCs w:val="22"/>
        </w:rPr>
        <w:t xml:space="preserve">. </w:t>
      </w:r>
      <w:r w:rsidR="00B47B45">
        <w:rPr>
          <w:szCs w:val="22"/>
        </w:rPr>
        <w:t xml:space="preserve"> </w:t>
      </w:r>
      <w:r w:rsidR="00FE61D1">
        <w:rPr>
          <w:szCs w:val="22"/>
        </w:rPr>
        <w:t xml:space="preserve">It would </w:t>
      </w:r>
      <w:r w:rsidR="00B47B45">
        <w:rPr>
          <w:szCs w:val="22"/>
        </w:rPr>
        <w:t xml:space="preserve">be </w:t>
      </w:r>
      <w:r w:rsidR="00FE61D1">
        <w:rPr>
          <w:szCs w:val="22"/>
        </w:rPr>
        <w:t xml:space="preserve">most informative to present this analysis for the subgroup of patients with </w:t>
      </w:r>
      <w:r w:rsidR="00FE61D1" w:rsidRPr="00FE61D1">
        <w:rPr>
          <w:i/>
          <w:szCs w:val="22"/>
        </w:rPr>
        <w:t>RAS</w:t>
      </w:r>
      <w:r w:rsidR="00FE61D1">
        <w:rPr>
          <w:szCs w:val="22"/>
        </w:rPr>
        <w:t xml:space="preserve"> WT (rat</w:t>
      </w:r>
      <w:r w:rsidR="00B47B45">
        <w:rPr>
          <w:szCs w:val="22"/>
        </w:rPr>
        <w:t xml:space="preserve">her than only </w:t>
      </w:r>
      <w:r w:rsidR="00B47B45" w:rsidRPr="001E6049">
        <w:rPr>
          <w:i/>
          <w:szCs w:val="22"/>
        </w:rPr>
        <w:t>KRAS</w:t>
      </w:r>
      <w:r w:rsidR="00B47B45">
        <w:rPr>
          <w:szCs w:val="22"/>
        </w:rPr>
        <w:t xml:space="preserve"> exon 2 WT).</w:t>
      </w:r>
    </w:p>
    <w:p w:rsidR="00BC04FD" w:rsidRPr="00BC04FD" w:rsidRDefault="00BC04FD" w:rsidP="00BC04FD">
      <w:pPr>
        <w:rPr>
          <w:szCs w:val="22"/>
        </w:rPr>
      </w:pPr>
    </w:p>
    <w:p w:rsidR="000C64E2" w:rsidRDefault="00F23FF5" w:rsidP="00B614F8">
      <w:pPr>
        <w:pStyle w:val="ListParagraph"/>
        <w:widowControl/>
        <w:numPr>
          <w:ilvl w:val="1"/>
          <w:numId w:val="18"/>
        </w:numPr>
        <w:ind w:left="709" w:hanging="709"/>
        <w:rPr>
          <w:szCs w:val="22"/>
        </w:rPr>
      </w:pPr>
      <w:r>
        <w:rPr>
          <w:szCs w:val="22"/>
        </w:rPr>
        <w:t xml:space="preserve">This systematic review </w:t>
      </w:r>
      <w:r w:rsidR="006D52B6">
        <w:rPr>
          <w:szCs w:val="22"/>
        </w:rPr>
        <w:t xml:space="preserve">involving the </w:t>
      </w:r>
      <w:r w:rsidR="006D52B6" w:rsidRPr="00214B8F">
        <w:rPr>
          <w:i/>
          <w:szCs w:val="22"/>
        </w:rPr>
        <w:t>RAS</w:t>
      </w:r>
      <w:r w:rsidR="006D52B6">
        <w:rPr>
          <w:szCs w:val="22"/>
        </w:rPr>
        <w:t xml:space="preserve"> WT subgroup </w:t>
      </w:r>
      <w:r>
        <w:rPr>
          <w:szCs w:val="22"/>
        </w:rPr>
        <w:t xml:space="preserve">should present pooled estimates of treatment effect for </w:t>
      </w:r>
      <w:r w:rsidR="00826343">
        <w:rPr>
          <w:szCs w:val="22"/>
        </w:rPr>
        <w:t xml:space="preserve">at least </w:t>
      </w:r>
      <w:r>
        <w:rPr>
          <w:szCs w:val="22"/>
        </w:rPr>
        <w:t xml:space="preserve">PFS and OS, and should present these separately for the comparison of </w:t>
      </w:r>
      <w:r w:rsidR="00FE61D1">
        <w:rPr>
          <w:szCs w:val="22"/>
        </w:rPr>
        <w:t>a</w:t>
      </w:r>
      <w:r w:rsidR="00BB46EB">
        <w:rPr>
          <w:szCs w:val="22"/>
        </w:rPr>
        <w:t>nti-EGFR antibody</w:t>
      </w:r>
      <w:r>
        <w:rPr>
          <w:szCs w:val="22"/>
        </w:rPr>
        <w:t xml:space="preserve"> + chemotherapy versus chemotherapy alone and for the comparison of </w:t>
      </w:r>
      <w:r w:rsidR="00FE61D1">
        <w:rPr>
          <w:szCs w:val="22"/>
        </w:rPr>
        <w:t>a</w:t>
      </w:r>
      <w:r w:rsidR="00BB46EB">
        <w:rPr>
          <w:szCs w:val="22"/>
        </w:rPr>
        <w:t>nti-EGFR antibody</w:t>
      </w:r>
      <w:r>
        <w:rPr>
          <w:szCs w:val="22"/>
        </w:rPr>
        <w:t xml:space="preserve"> + chemotherapy versus </w:t>
      </w:r>
      <w:proofErr w:type="spellStart"/>
      <w:r>
        <w:rPr>
          <w:szCs w:val="22"/>
        </w:rPr>
        <w:t>bevacizumab</w:t>
      </w:r>
      <w:proofErr w:type="spellEnd"/>
      <w:r>
        <w:rPr>
          <w:szCs w:val="22"/>
        </w:rPr>
        <w:t xml:space="preserve"> + chemotherapy.</w:t>
      </w:r>
      <w:r w:rsidR="00583711">
        <w:rPr>
          <w:szCs w:val="22"/>
        </w:rPr>
        <w:t xml:space="preserve"> </w:t>
      </w:r>
      <w:r w:rsidR="00AF3F15">
        <w:rPr>
          <w:szCs w:val="22"/>
        </w:rPr>
        <w:t xml:space="preserve"> </w:t>
      </w:r>
      <w:r w:rsidR="00583711">
        <w:rPr>
          <w:szCs w:val="22"/>
        </w:rPr>
        <w:t xml:space="preserve">In relation to these comparisons, the PBAC noted that there was no clear evidence that </w:t>
      </w:r>
      <w:r w:rsidR="00583711" w:rsidRPr="00214B8F">
        <w:rPr>
          <w:i/>
          <w:szCs w:val="22"/>
        </w:rPr>
        <w:t>RAS</w:t>
      </w:r>
      <w:r w:rsidR="00583711">
        <w:rPr>
          <w:szCs w:val="22"/>
        </w:rPr>
        <w:t xml:space="preserve"> mutation status predicted any treatment effect variation with either chemotherapy alone or </w:t>
      </w:r>
      <w:proofErr w:type="spellStart"/>
      <w:r w:rsidR="00583711">
        <w:rPr>
          <w:szCs w:val="22"/>
        </w:rPr>
        <w:t>bevacizumab</w:t>
      </w:r>
      <w:proofErr w:type="spellEnd"/>
      <w:r w:rsidR="00583711">
        <w:rPr>
          <w:szCs w:val="22"/>
        </w:rPr>
        <w:t xml:space="preserve"> + chemotherapy, so interpretation of the meta-analys</w:t>
      </w:r>
      <w:r w:rsidR="00AF3F15">
        <w:rPr>
          <w:szCs w:val="22"/>
        </w:rPr>
        <w:t>e</w:t>
      </w:r>
      <w:r w:rsidR="00583711">
        <w:rPr>
          <w:szCs w:val="22"/>
        </w:rPr>
        <w:t>s should not be biased against these comparator arms in relation to variation in their results across the subgroup analyses.</w:t>
      </w:r>
    </w:p>
    <w:p w:rsidR="000C64E2" w:rsidRPr="00AF3F15" w:rsidRDefault="000C64E2" w:rsidP="00AF3F15">
      <w:pPr>
        <w:rPr>
          <w:szCs w:val="22"/>
        </w:rPr>
      </w:pPr>
    </w:p>
    <w:p w:rsidR="00B614F8" w:rsidRDefault="00F23FF5" w:rsidP="00B614F8">
      <w:pPr>
        <w:pStyle w:val="ListParagraph"/>
        <w:widowControl/>
        <w:numPr>
          <w:ilvl w:val="1"/>
          <w:numId w:val="18"/>
        </w:numPr>
        <w:ind w:left="709" w:hanging="709"/>
        <w:rPr>
          <w:szCs w:val="22"/>
        </w:rPr>
      </w:pPr>
      <w:r>
        <w:rPr>
          <w:szCs w:val="22"/>
        </w:rPr>
        <w:t xml:space="preserve">The </w:t>
      </w:r>
      <w:r w:rsidR="00FC591A">
        <w:rPr>
          <w:szCs w:val="22"/>
        </w:rPr>
        <w:t xml:space="preserve">PBAC advised that the </w:t>
      </w:r>
      <w:r>
        <w:rPr>
          <w:szCs w:val="22"/>
        </w:rPr>
        <w:t xml:space="preserve">systematic review should </w:t>
      </w:r>
      <w:r w:rsidR="00FC591A">
        <w:rPr>
          <w:szCs w:val="22"/>
        </w:rPr>
        <w:t xml:space="preserve">also consider </w:t>
      </w:r>
      <w:r w:rsidR="006D52B6">
        <w:rPr>
          <w:szCs w:val="22"/>
        </w:rPr>
        <w:t xml:space="preserve">the </w:t>
      </w:r>
      <w:r w:rsidR="00FC591A">
        <w:rPr>
          <w:szCs w:val="22"/>
        </w:rPr>
        <w:t xml:space="preserve">risks of bias and exchangeability </w:t>
      </w:r>
      <w:r w:rsidR="006D52B6">
        <w:rPr>
          <w:szCs w:val="22"/>
        </w:rPr>
        <w:t xml:space="preserve">issues </w:t>
      </w:r>
      <w:r w:rsidR="00FC591A">
        <w:rPr>
          <w:szCs w:val="22"/>
        </w:rPr>
        <w:t>highlighted by the ESC.</w:t>
      </w:r>
      <w:r w:rsidR="000C64E2">
        <w:rPr>
          <w:szCs w:val="22"/>
        </w:rPr>
        <w:t xml:space="preserve"> </w:t>
      </w:r>
      <w:r w:rsidR="00AF3F15">
        <w:rPr>
          <w:szCs w:val="22"/>
        </w:rPr>
        <w:t xml:space="preserve"> </w:t>
      </w:r>
      <w:r w:rsidR="000C64E2">
        <w:rPr>
          <w:szCs w:val="22"/>
        </w:rPr>
        <w:t xml:space="preserve">In addition, the PBAC considered that the </w:t>
      </w:r>
      <w:r w:rsidR="005445D8">
        <w:rPr>
          <w:szCs w:val="22"/>
        </w:rPr>
        <w:t xml:space="preserve">Zhou et al meta-analysis raises questions over whether the </w:t>
      </w:r>
      <w:r w:rsidR="000C64E2">
        <w:rPr>
          <w:szCs w:val="22"/>
        </w:rPr>
        <w:t xml:space="preserve">extent of incremental benefit of </w:t>
      </w:r>
      <w:r w:rsidR="00214B8F">
        <w:rPr>
          <w:szCs w:val="22"/>
        </w:rPr>
        <w:t>a</w:t>
      </w:r>
      <w:r w:rsidR="00BB46EB">
        <w:rPr>
          <w:szCs w:val="22"/>
        </w:rPr>
        <w:t>nti-EGFR antibodies</w:t>
      </w:r>
      <w:r w:rsidR="000C64E2">
        <w:rPr>
          <w:szCs w:val="22"/>
        </w:rPr>
        <w:t xml:space="preserve"> </w:t>
      </w:r>
      <w:r w:rsidR="005445D8">
        <w:rPr>
          <w:szCs w:val="22"/>
        </w:rPr>
        <w:t>varies</w:t>
      </w:r>
      <w:r w:rsidR="000C64E2">
        <w:rPr>
          <w:szCs w:val="22"/>
        </w:rPr>
        <w:t xml:space="preserve"> with the choice of chemotherapy partner, with </w:t>
      </w:r>
      <w:proofErr w:type="spellStart"/>
      <w:r w:rsidR="000C64E2">
        <w:rPr>
          <w:szCs w:val="22"/>
        </w:rPr>
        <w:t>oxaliplatin</w:t>
      </w:r>
      <w:proofErr w:type="spellEnd"/>
      <w:r w:rsidR="000C64E2">
        <w:rPr>
          <w:szCs w:val="22"/>
        </w:rPr>
        <w:t xml:space="preserve">-based chemotherapy being considered to be </w:t>
      </w:r>
      <w:r w:rsidR="005445D8">
        <w:rPr>
          <w:szCs w:val="22"/>
        </w:rPr>
        <w:t>the least attractive partner</w:t>
      </w:r>
      <w:r w:rsidR="000C64E2">
        <w:rPr>
          <w:szCs w:val="22"/>
        </w:rPr>
        <w:t xml:space="preserve">. </w:t>
      </w:r>
      <w:r w:rsidR="00AF3F15">
        <w:rPr>
          <w:szCs w:val="22"/>
        </w:rPr>
        <w:t xml:space="preserve"> </w:t>
      </w:r>
      <w:r w:rsidR="000C64E2">
        <w:rPr>
          <w:szCs w:val="22"/>
        </w:rPr>
        <w:t xml:space="preserve">Similarly, </w:t>
      </w:r>
      <w:proofErr w:type="spellStart"/>
      <w:r w:rsidR="000C64E2">
        <w:rPr>
          <w:szCs w:val="22"/>
        </w:rPr>
        <w:t>bevacizumab</w:t>
      </w:r>
      <w:proofErr w:type="spellEnd"/>
      <w:r w:rsidR="000C64E2">
        <w:rPr>
          <w:szCs w:val="22"/>
        </w:rPr>
        <w:t xml:space="preserve"> is considered </w:t>
      </w:r>
      <w:r w:rsidR="005445D8">
        <w:rPr>
          <w:szCs w:val="22"/>
        </w:rPr>
        <w:t xml:space="preserve">to be </w:t>
      </w:r>
      <w:r w:rsidR="000C64E2">
        <w:rPr>
          <w:szCs w:val="22"/>
        </w:rPr>
        <w:t xml:space="preserve">more effective when used with </w:t>
      </w:r>
      <w:proofErr w:type="spellStart"/>
      <w:r w:rsidR="000C64E2">
        <w:rPr>
          <w:szCs w:val="22"/>
        </w:rPr>
        <w:t>capecitabine</w:t>
      </w:r>
      <w:proofErr w:type="spellEnd"/>
      <w:r w:rsidR="000C64E2">
        <w:rPr>
          <w:szCs w:val="22"/>
        </w:rPr>
        <w:t xml:space="preserve">, fluorouracil or FOLFIRI and least effective when used with </w:t>
      </w:r>
      <w:proofErr w:type="spellStart"/>
      <w:r w:rsidR="000C64E2">
        <w:rPr>
          <w:szCs w:val="22"/>
        </w:rPr>
        <w:t>oxaliplatin</w:t>
      </w:r>
      <w:proofErr w:type="spellEnd"/>
      <w:r w:rsidR="000C64E2">
        <w:rPr>
          <w:szCs w:val="22"/>
        </w:rPr>
        <w:t xml:space="preserve">. </w:t>
      </w:r>
      <w:r w:rsidR="00AF3F15">
        <w:rPr>
          <w:szCs w:val="22"/>
        </w:rPr>
        <w:t xml:space="preserve"> </w:t>
      </w:r>
      <w:r w:rsidR="000C64E2">
        <w:rPr>
          <w:szCs w:val="22"/>
        </w:rPr>
        <w:t xml:space="preserve">Further investigation </w:t>
      </w:r>
      <w:r w:rsidR="00214B8F">
        <w:rPr>
          <w:szCs w:val="22"/>
        </w:rPr>
        <w:t xml:space="preserve">or comments on the impact of </w:t>
      </w:r>
      <w:proofErr w:type="spellStart"/>
      <w:r w:rsidR="000C64E2">
        <w:rPr>
          <w:szCs w:val="22"/>
        </w:rPr>
        <w:t>oxaliplatin</w:t>
      </w:r>
      <w:proofErr w:type="spellEnd"/>
      <w:r w:rsidR="000C64E2">
        <w:rPr>
          <w:szCs w:val="22"/>
        </w:rPr>
        <w:t xml:space="preserve"> </w:t>
      </w:r>
      <w:r w:rsidR="00214B8F">
        <w:rPr>
          <w:szCs w:val="22"/>
        </w:rPr>
        <w:t xml:space="preserve">partner chemotherapy </w:t>
      </w:r>
      <w:r w:rsidR="000C64E2">
        <w:rPr>
          <w:szCs w:val="22"/>
        </w:rPr>
        <w:t>would be informative.</w:t>
      </w:r>
      <w:r w:rsidR="00BE7E8C">
        <w:rPr>
          <w:szCs w:val="22"/>
        </w:rPr>
        <w:t xml:space="preserve"> </w:t>
      </w:r>
      <w:r w:rsidR="00AF3F15">
        <w:rPr>
          <w:szCs w:val="22"/>
        </w:rPr>
        <w:t xml:space="preserve"> </w:t>
      </w:r>
      <w:r w:rsidR="00BE7E8C">
        <w:rPr>
          <w:szCs w:val="22"/>
        </w:rPr>
        <w:t xml:space="preserve">This investigation would helpfully be put into context by information on what proportions of current </w:t>
      </w:r>
      <w:r w:rsidR="00214B8F">
        <w:rPr>
          <w:szCs w:val="22"/>
        </w:rPr>
        <w:t>a</w:t>
      </w:r>
      <w:r w:rsidR="00BB46EB">
        <w:rPr>
          <w:szCs w:val="22"/>
        </w:rPr>
        <w:t>nti-EGFR antibody</w:t>
      </w:r>
      <w:r w:rsidR="00BE7E8C">
        <w:rPr>
          <w:szCs w:val="22"/>
        </w:rPr>
        <w:t xml:space="preserve"> and current </w:t>
      </w:r>
      <w:proofErr w:type="spellStart"/>
      <w:r w:rsidR="00BE7E8C">
        <w:rPr>
          <w:szCs w:val="22"/>
        </w:rPr>
        <w:t>bevacizumab</w:t>
      </w:r>
      <w:proofErr w:type="spellEnd"/>
      <w:r w:rsidR="00BE7E8C">
        <w:rPr>
          <w:szCs w:val="22"/>
        </w:rPr>
        <w:t xml:space="preserve"> prescribing in </w:t>
      </w:r>
      <w:proofErr w:type="spellStart"/>
      <w:r w:rsidR="00BE7E8C">
        <w:rPr>
          <w:szCs w:val="22"/>
        </w:rPr>
        <w:t>mCRC</w:t>
      </w:r>
      <w:proofErr w:type="spellEnd"/>
      <w:r w:rsidR="00BE7E8C">
        <w:rPr>
          <w:szCs w:val="22"/>
        </w:rPr>
        <w:t xml:space="preserve"> is partnered with the different options</w:t>
      </w:r>
      <w:r w:rsidR="00583711">
        <w:rPr>
          <w:szCs w:val="22"/>
        </w:rPr>
        <w:t xml:space="preserve">. </w:t>
      </w:r>
      <w:r w:rsidR="00AF3F15">
        <w:rPr>
          <w:szCs w:val="22"/>
        </w:rPr>
        <w:t xml:space="preserve"> </w:t>
      </w:r>
      <w:r w:rsidR="00583711">
        <w:rPr>
          <w:szCs w:val="22"/>
        </w:rPr>
        <w:t xml:space="preserve">The impression of the PBAC was that </w:t>
      </w:r>
      <w:proofErr w:type="spellStart"/>
      <w:r w:rsidR="00583711">
        <w:rPr>
          <w:szCs w:val="22"/>
        </w:rPr>
        <w:t>oxaliplatin</w:t>
      </w:r>
      <w:proofErr w:type="spellEnd"/>
      <w:r w:rsidR="00583711">
        <w:rPr>
          <w:szCs w:val="22"/>
        </w:rPr>
        <w:t xml:space="preserve"> was the most frequently chosen partner chemotherapy.</w:t>
      </w:r>
    </w:p>
    <w:p w:rsidR="00875F29" w:rsidRPr="00EC7530" w:rsidRDefault="00875F29" w:rsidP="00EC7530">
      <w:pPr>
        <w:rPr>
          <w:szCs w:val="22"/>
        </w:rPr>
      </w:pPr>
    </w:p>
    <w:p w:rsidR="00D5308A" w:rsidRDefault="00D5308A" w:rsidP="00D5308A">
      <w:pPr>
        <w:pStyle w:val="ListParagraph"/>
        <w:widowControl/>
        <w:numPr>
          <w:ilvl w:val="1"/>
          <w:numId w:val="18"/>
        </w:numPr>
        <w:ind w:left="709" w:hanging="709"/>
        <w:rPr>
          <w:szCs w:val="22"/>
        </w:rPr>
      </w:pPr>
      <w:r>
        <w:rPr>
          <w:szCs w:val="22"/>
        </w:rPr>
        <w:t xml:space="preserve">The addition of </w:t>
      </w:r>
      <w:proofErr w:type="spellStart"/>
      <w:r>
        <w:rPr>
          <w:szCs w:val="22"/>
        </w:rPr>
        <w:t>panitumumab</w:t>
      </w:r>
      <w:proofErr w:type="spellEnd"/>
      <w:r>
        <w:rPr>
          <w:szCs w:val="22"/>
        </w:rPr>
        <w:t xml:space="preserve"> to FOLFOX appears to have an inferior safety profile compared to </w:t>
      </w:r>
      <w:proofErr w:type="gramStart"/>
      <w:r w:rsidR="006D52B6">
        <w:rPr>
          <w:szCs w:val="22"/>
        </w:rPr>
        <w:t xml:space="preserve">either </w:t>
      </w:r>
      <w:proofErr w:type="spellStart"/>
      <w:r>
        <w:rPr>
          <w:szCs w:val="22"/>
        </w:rPr>
        <w:t>bevaci</w:t>
      </w:r>
      <w:r w:rsidR="00EC7530">
        <w:rPr>
          <w:szCs w:val="22"/>
        </w:rPr>
        <w:t>zumab</w:t>
      </w:r>
      <w:proofErr w:type="spellEnd"/>
      <w:proofErr w:type="gramEnd"/>
      <w:r w:rsidR="00EC7530">
        <w:rPr>
          <w:szCs w:val="22"/>
        </w:rPr>
        <w:t xml:space="preserve"> + FOLFOX or FOLFOX alone.</w:t>
      </w:r>
    </w:p>
    <w:p w:rsidR="00B614F8" w:rsidRPr="00BB7EC3" w:rsidRDefault="00B614F8" w:rsidP="00875F29"/>
    <w:p w:rsidR="00B614F8" w:rsidRDefault="00875F29" w:rsidP="00B614F8">
      <w:pPr>
        <w:pStyle w:val="ListParagraph"/>
        <w:widowControl/>
        <w:numPr>
          <w:ilvl w:val="1"/>
          <w:numId w:val="18"/>
        </w:numPr>
        <w:ind w:left="709" w:hanging="709"/>
        <w:rPr>
          <w:szCs w:val="22"/>
        </w:rPr>
      </w:pPr>
      <w:r>
        <w:rPr>
          <w:szCs w:val="22"/>
        </w:rPr>
        <w:t>The PBAC considered th</w:t>
      </w:r>
      <w:r w:rsidR="00EC7530">
        <w:rPr>
          <w:szCs w:val="22"/>
        </w:rPr>
        <w:t>e</w:t>
      </w:r>
      <w:r w:rsidR="006D52B6">
        <w:rPr>
          <w:szCs w:val="22"/>
        </w:rPr>
        <w:t>se</w:t>
      </w:r>
      <w:r w:rsidR="00EC7530">
        <w:rPr>
          <w:szCs w:val="22"/>
        </w:rPr>
        <w:t xml:space="preserve"> comparator</w:t>
      </w:r>
      <w:r w:rsidR="006D52B6">
        <w:rPr>
          <w:szCs w:val="22"/>
        </w:rPr>
        <w:t>s</w:t>
      </w:r>
      <w:r w:rsidR="00EC7530">
        <w:rPr>
          <w:szCs w:val="22"/>
        </w:rPr>
        <w:t xml:space="preserve"> to be appropriate.</w:t>
      </w:r>
    </w:p>
    <w:p w:rsidR="00B614F8" w:rsidRPr="00BB7EC3" w:rsidRDefault="00B614F8" w:rsidP="00D5308A">
      <w:pPr>
        <w:rPr>
          <w:szCs w:val="22"/>
        </w:rPr>
      </w:pPr>
    </w:p>
    <w:p w:rsidR="00875F29" w:rsidRPr="006D52B6" w:rsidRDefault="00875F29" w:rsidP="006D52B6">
      <w:pPr>
        <w:pStyle w:val="ListParagraph"/>
        <w:widowControl/>
        <w:numPr>
          <w:ilvl w:val="1"/>
          <w:numId w:val="18"/>
        </w:numPr>
        <w:ind w:left="709" w:hanging="709"/>
        <w:rPr>
          <w:szCs w:val="22"/>
        </w:rPr>
      </w:pPr>
      <w:r w:rsidRPr="006D52B6">
        <w:rPr>
          <w:szCs w:val="22"/>
        </w:rPr>
        <w:t>The PBAC generally considered the structure of the economic model to be acceptable, but considered that the following inputs require adjustment in orde</w:t>
      </w:r>
      <w:r w:rsidR="006D52B6" w:rsidRPr="006D52B6">
        <w:rPr>
          <w:szCs w:val="22"/>
        </w:rPr>
        <w:t>r for the model to be reliable:</w:t>
      </w:r>
    </w:p>
    <w:p w:rsidR="000C64E2" w:rsidRPr="00BC04FD" w:rsidRDefault="00875F29" w:rsidP="000C64E2">
      <w:pPr>
        <w:pStyle w:val="ListParagraph"/>
        <w:numPr>
          <w:ilvl w:val="0"/>
          <w:numId w:val="2"/>
        </w:numPr>
        <w:ind w:left="1134"/>
        <w:rPr>
          <w:szCs w:val="22"/>
        </w:rPr>
      </w:pPr>
      <w:r>
        <w:rPr>
          <w:szCs w:val="22"/>
        </w:rPr>
        <w:t xml:space="preserve">Hazard ratios: </w:t>
      </w:r>
      <w:r w:rsidR="009969D3">
        <w:rPr>
          <w:szCs w:val="22"/>
        </w:rPr>
        <w:t xml:space="preserve">these should be based on the results of the systematic review rather than the individual trials. </w:t>
      </w:r>
      <w:r w:rsidR="00AF3F15">
        <w:rPr>
          <w:szCs w:val="22"/>
        </w:rPr>
        <w:t xml:space="preserve"> </w:t>
      </w:r>
      <w:r w:rsidR="009969D3">
        <w:rPr>
          <w:szCs w:val="22"/>
        </w:rPr>
        <w:t xml:space="preserve">In particular, </w:t>
      </w:r>
      <w:r>
        <w:rPr>
          <w:szCs w:val="22"/>
        </w:rPr>
        <w:t xml:space="preserve">the </w:t>
      </w:r>
      <w:r w:rsidR="009969D3">
        <w:rPr>
          <w:szCs w:val="22"/>
        </w:rPr>
        <w:t xml:space="preserve">PBAC rejected the application of the </w:t>
      </w:r>
      <w:r>
        <w:rPr>
          <w:szCs w:val="22"/>
        </w:rPr>
        <w:t xml:space="preserve">favourable hazard ratios from the PEAK trial to </w:t>
      </w:r>
      <w:r w:rsidR="009969D3">
        <w:rPr>
          <w:szCs w:val="22"/>
        </w:rPr>
        <w:t xml:space="preserve">the </w:t>
      </w:r>
      <w:r>
        <w:rPr>
          <w:szCs w:val="22"/>
        </w:rPr>
        <w:t xml:space="preserve">survival results </w:t>
      </w:r>
      <w:r w:rsidR="009969D3">
        <w:rPr>
          <w:szCs w:val="22"/>
        </w:rPr>
        <w:t xml:space="preserve">of the </w:t>
      </w:r>
      <w:proofErr w:type="spellStart"/>
      <w:r w:rsidR="009969D3">
        <w:rPr>
          <w:szCs w:val="22"/>
        </w:rPr>
        <w:t>panitumumab</w:t>
      </w:r>
      <w:proofErr w:type="spellEnd"/>
      <w:r w:rsidR="009969D3">
        <w:rPr>
          <w:szCs w:val="22"/>
        </w:rPr>
        <w:t xml:space="preserve"> + FOLFOX arm </w:t>
      </w:r>
      <w:r>
        <w:rPr>
          <w:szCs w:val="22"/>
        </w:rPr>
        <w:t>from the PRIME trial</w:t>
      </w:r>
      <w:r w:rsidR="004D7D63">
        <w:rPr>
          <w:szCs w:val="22"/>
        </w:rPr>
        <w:t xml:space="preserve"> as the basis of the comparison with </w:t>
      </w:r>
      <w:proofErr w:type="spellStart"/>
      <w:r w:rsidR="004D7D63">
        <w:rPr>
          <w:szCs w:val="22"/>
        </w:rPr>
        <w:t>bevacizumab</w:t>
      </w:r>
      <w:proofErr w:type="spellEnd"/>
      <w:r w:rsidR="004D7D63">
        <w:rPr>
          <w:szCs w:val="22"/>
        </w:rPr>
        <w:t xml:space="preserve"> + FOLFOX</w:t>
      </w:r>
      <w:r>
        <w:rPr>
          <w:szCs w:val="22"/>
        </w:rPr>
        <w:t xml:space="preserve">. </w:t>
      </w:r>
      <w:r w:rsidR="00AF3F15">
        <w:rPr>
          <w:szCs w:val="22"/>
        </w:rPr>
        <w:t xml:space="preserve"> </w:t>
      </w:r>
      <w:r w:rsidR="009969D3">
        <w:rPr>
          <w:szCs w:val="22"/>
        </w:rPr>
        <w:t xml:space="preserve">The PBAC noted the ESC suggestion that it </w:t>
      </w:r>
      <w:r w:rsidR="00794057">
        <w:rPr>
          <w:szCs w:val="22"/>
        </w:rPr>
        <w:t xml:space="preserve">may be </w:t>
      </w:r>
      <w:r w:rsidR="009969D3">
        <w:rPr>
          <w:szCs w:val="22"/>
        </w:rPr>
        <w:t>possible</w:t>
      </w:r>
      <w:r w:rsidR="00794057">
        <w:rPr>
          <w:szCs w:val="22"/>
        </w:rPr>
        <w:t xml:space="preserve"> to base the consideration of first-line listing only on the PRIME-based comparison with FOLFOX alone given the PRIME trial is larger </w:t>
      </w:r>
      <w:r w:rsidR="00794057" w:rsidRPr="00BC04FD">
        <w:rPr>
          <w:szCs w:val="22"/>
        </w:rPr>
        <w:t>and produces less confounded</w:t>
      </w:r>
      <w:r w:rsidR="00EF3189" w:rsidRPr="00BC04FD">
        <w:rPr>
          <w:szCs w:val="22"/>
        </w:rPr>
        <w:t xml:space="preserve"> results</w:t>
      </w:r>
      <w:r w:rsidR="009969D3" w:rsidRPr="00BC04FD">
        <w:rPr>
          <w:szCs w:val="22"/>
        </w:rPr>
        <w:t>, but considered it more appropriate to await the results of the requested systematic review of this comparison to ascertain appropriate haz</w:t>
      </w:r>
      <w:r w:rsidR="006375AB" w:rsidRPr="00BC04FD">
        <w:rPr>
          <w:szCs w:val="22"/>
        </w:rPr>
        <w:t>a</w:t>
      </w:r>
      <w:r w:rsidR="009969D3" w:rsidRPr="00BC04FD">
        <w:rPr>
          <w:szCs w:val="22"/>
        </w:rPr>
        <w:t>rd ratios</w:t>
      </w:r>
      <w:r w:rsidR="00EF3189" w:rsidRPr="00BC04FD">
        <w:rPr>
          <w:szCs w:val="22"/>
        </w:rPr>
        <w:t>;</w:t>
      </w:r>
    </w:p>
    <w:p w:rsidR="000C64E2" w:rsidRPr="00BC04FD" w:rsidRDefault="00EF3189" w:rsidP="000C64E2">
      <w:pPr>
        <w:pStyle w:val="ListParagraph"/>
        <w:numPr>
          <w:ilvl w:val="0"/>
          <w:numId w:val="2"/>
        </w:numPr>
        <w:ind w:left="1134"/>
        <w:rPr>
          <w:szCs w:val="22"/>
        </w:rPr>
      </w:pPr>
      <w:r w:rsidRPr="00BC04FD">
        <w:rPr>
          <w:szCs w:val="22"/>
        </w:rPr>
        <w:t xml:space="preserve">Post-progression costs: the PBAC considered that post-progression costs were inappropriately </w:t>
      </w:r>
      <w:r w:rsidR="004D7D63" w:rsidRPr="00BC04FD">
        <w:rPr>
          <w:szCs w:val="22"/>
        </w:rPr>
        <w:t xml:space="preserve">estimated </w:t>
      </w:r>
      <w:r w:rsidRPr="00BC04FD">
        <w:rPr>
          <w:szCs w:val="22"/>
        </w:rPr>
        <w:t>in the model</w:t>
      </w:r>
      <w:r w:rsidR="004D7D63" w:rsidRPr="00BC04FD">
        <w:rPr>
          <w:szCs w:val="22"/>
        </w:rPr>
        <w:t xml:space="preserve"> and </w:t>
      </w:r>
      <w:r w:rsidR="00BC7260" w:rsidRPr="00BC04FD">
        <w:rPr>
          <w:szCs w:val="22"/>
        </w:rPr>
        <w:t xml:space="preserve">accepted the ESC’s basis for respecifying the base case of the model to reflect </w:t>
      </w:r>
      <w:r w:rsidR="00C57868" w:rsidRPr="00BC04FD">
        <w:rPr>
          <w:szCs w:val="22"/>
        </w:rPr>
        <w:t xml:space="preserve">more appropriately </w:t>
      </w:r>
      <w:r w:rsidR="00BC7260" w:rsidRPr="00BC04FD">
        <w:rPr>
          <w:szCs w:val="22"/>
        </w:rPr>
        <w:t xml:space="preserve">the extent of post-progression use of </w:t>
      </w:r>
      <w:r w:rsidR="00214B8F">
        <w:rPr>
          <w:szCs w:val="22"/>
        </w:rPr>
        <w:t>a</w:t>
      </w:r>
      <w:r w:rsidR="00BB46EB">
        <w:rPr>
          <w:szCs w:val="22"/>
        </w:rPr>
        <w:t>nti-EGFR antibodies</w:t>
      </w:r>
      <w:r w:rsidR="00BC7260" w:rsidRPr="00BC04FD">
        <w:rPr>
          <w:szCs w:val="22"/>
        </w:rPr>
        <w:t xml:space="preserve"> and </w:t>
      </w:r>
      <w:proofErr w:type="spellStart"/>
      <w:r w:rsidR="00BC7260" w:rsidRPr="00BC04FD">
        <w:rPr>
          <w:szCs w:val="22"/>
        </w:rPr>
        <w:t>bevacizumab</w:t>
      </w:r>
      <w:proofErr w:type="spellEnd"/>
      <w:r w:rsidR="00BC7260" w:rsidRPr="00BC04FD">
        <w:rPr>
          <w:szCs w:val="22"/>
        </w:rPr>
        <w:t xml:space="preserve"> </w:t>
      </w:r>
      <w:r w:rsidR="00E90581" w:rsidRPr="00BC04FD">
        <w:rPr>
          <w:szCs w:val="22"/>
        </w:rPr>
        <w:t xml:space="preserve">after first-line therapy </w:t>
      </w:r>
      <w:r w:rsidR="00BC7260" w:rsidRPr="00BC04FD">
        <w:rPr>
          <w:szCs w:val="22"/>
        </w:rPr>
        <w:t>both in the trials and also expected in Australian practice</w:t>
      </w:r>
      <w:r w:rsidR="00E90581" w:rsidRPr="00BC04FD">
        <w:rPr>
          <w:szCs w:val="22"/>
        </w:rPr>
        <w:t>.  The PBAC also agreed that c</w:t>
      </w:r>
      <w:r w:rsidR="00E90581" w:rsidRPr="00BC04FD">
        <w:t>osts following progression after second-line therapy were underestimated</w:t>
      </w:r>
      <w:r w:rsidR="00F0732C" w:rsidRPr="00BC04FD">
        <w:t xml:space="preserve"> (which favoured </w:t>
      </w:r>
      <w:proofErr w:type="spellStart"/>
      <w:r w:rsidR="00F0732C" w:rsidRPr="00BC04FD">
        <w:t>panitumumab</w:t>
      </w:r>
      <w:proofErr w:type="spellEnd"/>
      <w:r w:rsidR="00F0732C" w:rsidRPr="00BC04FD">
        <w:t>)</w:t>
      </w:r>
      <w:r w:rsidR="00E90581" w:rsidRPr="00BC04FD">
        <w:t xml:space="preserve">, and noted that the increased the BSC per cycle cost of </w:t>
      </w:r>
      <w:r w:rsidR="00E90581" w:rsidRPr="005F5709">
        <w:t>$</w:t>
      </w:r>
      <w:r w:rsidR="001A7755">
        <w:rPr>
          <w:noProof/>
          <w:color w:val="000000"/>
          <w:highlight w:val="black"/>
        </w:rPr>
        <w:t>'''''''''</w:t>
      </w:r>
      <w:r w:rsidR="00E90581" w:rsidRPr="00BC04FD">
        <w:t xml:space="preserve"> in the PSCR was a preferable estimate than </w:t>
      </w:r>
      <w:r w:rsidR="00E90581" w:rsidRPr="005F5709">
        <w:t>$</w:t>
      </w:r>
      <w:r w:rsidR="001A7755">
        <w:rPr>
          <w:noProof/>
          <w:color w:val="000000"/>
          <w:highlight w:val="black"/>
        </w:rPr>
        <w:t>''''''''''</w:t>
      </w:r>
      <w:r w:rsidR="00E90581" w:rsidRPr="00BC04FD">
        <w:t xml:space="preserve"> in the re-submission</w:t>
      </w:r>
      <w:r w:rsidRPr="00BC04FD">
        <w:rPr>
          <w:szCs w:val="22"/>
        </w:rPr>
        <w:t>;</w:t>
      </w:r>
    </w:p>
    <w:p w:rsidR="00F0732C" w:rsidRPr="00BC04FD" w:rsidRDefault="00BC7260" w:rsidP="00F0732C">
      <w:pPr>
        <w:pStyle w:val="ListParagraph"/>
        <w:numPr>
          <w:ilvl w:val="0"/>
          <w:numId w:val="2"/>
        </w:numPr>
        <w:ind w:left="1134"/>
        <w:rPr>
          <w:szCs w:val="22"/>
        </w:rPr>
      </w:pPr>
      <w:proofErr w:type="spellStart"/>
      <w:r w:rsidRPr="00BC04FD">
        <w:rPr>
          <w:szCs w:val="22"/>
        </w:rPr>
        <w:t>Bevacizumab</w:t>
      </w:r>
      <w:proofErr w:type="spellEnd"/>
      <w:r w:rsidRPr="00BC04FD">
        <w:rPr>
          <w:szCs w:val="22"/>
        </w:rPr>
        <w:t xml:space="preserve"> </w:t>
      </w:r>
      <w:r w:rsidR="00EF3189" w:rsidRPr="00BC04FD">
        <w:rPr>
          <w:szCs w:val="22"/>
        </w:rPr>
        <w:t xml:space="preserve">costs: the PBAC </w:t>
      </w:r>
      <w:r w:rsidRPr="00BC04FD">
        <w:rPr>
          <w:szCs w:val="22"/>
        </w:rPr>
        <w:t xml:space="preserve">noted that the modelled comparison with </w:t>
      </w:r>
      <w:proofErr w:type="spellStart"/>
      <w:r w:rsidRPr="00BC04FD">
        <w:rPr>
          <w:szCs w:val="22"/>
        </w:rPr>
        <w:t>bevacizumab</w:t>
      </w:r>
      <w:proofErr w:type="spellEnd"/>
      <w:r w:rsidRPr="00BC04FD">
        <w:rPr>
          <w:szCs w:val="22"/>
        </w:rPr>
        <w:t xml:space="preserve"> </w:t>
      </w:r>
      <w:r w:rsidR="00F0732C" w:rsidRPr="00BC04FD">
        <w:rPr>
          <w:szCs w:val="22"/>
        </w:rPr>
        <w:t xml:space="preserve">also </w:t>
      </w:r>
      <w:r w:rsidRPr="00BC04FD">
        <w:rPr>
          <w:szCs w:val="22"/>
        </w:rPr>
        <w:t xml:space="preserve">favours </w:t>
      </w:r>
      <w:proofErr w:type="spellStart"/>
      <w:r w:rsidRPr="00BC04FD">
        <w:rPr>
          <w:szCs w:val="22"/>
        </w:rPr>
        <w:t>panitumumab</w:t>
      </w:r>
      <w:proofErr w:type="spellEnd"/>
      <w:r w:rsidRPr="00BC04FD">
        <w:rPr>
          <w:szCs w:val="22"/>
        </w:rPr>
        <w:t xml:space="preserve"> because it uses the published price of </w:t>
      </w:r>
      <w:proofErr w:type="spellStart"/>
      <w:r w:rsidRPr="00BC04FD">
        <w:rPr>
          <w:szCs w:val="22"/>
        </w:rPr>
        <w:t>bevacizumab</w:t>
      </w:r>
      <w:proofErr w:type="spellEnd"/>
      <w:r w:rsidRPr="00BC04FD">
        <w:rPr>
          <w:szCs w:val="22"/>
        </w:rPr>
        <w:t xml:space="preserve">, whereas special pricing arrangements are known to apply to the PBS listing of </w:t>
      </w:r>
      <w:proofErr w:type="spellStart"/>
      <w:r w:rsidRPr="00BC04FD">
        <w:rPr>
          <w:szCs w:val="22"/>
        </w:rPr>
        <w:t>bevacizumab</w:t>
      </w:r>
      <w:proofErr w:type="spellEnd"/>
      <w:r w:rsidR="004F2F24" w:rsidRPr="00BC04FD">
        <w:rPr>
          <w:szCs w:val="22"/>
        </w:rPr>
        <w:t>; and</w:t>
      </w:r>
    </w:p>
    <w:p w:rsidR="004F2F24" w:rsidRPr="00BC04FD" w:rsidDel="00F0732C" w:rsidRDefault="004F2F24" w:rsidP="00F0732C">
      <w:pPr>
        <w:pStyle w:val="ListParagraph"/>
        <w:numPr>
          <w:ilvl w:val="0"/>
          <w:numId w:val="2"/>
        </w:numPr>
        <w:ind w:left="1134"/>
        <w:rPr>
          <w:szCs w:val="22"/>
        </w:rPr>
      </w:pPr>
      <w:r w:rsidRPr="00BC04FD">
        <w:rPr>
          <w:szCs w:val="22"/>
        </w:rPr>
        <w:t>Aggregated analysis weighted by expected proportion of substitution (step 8): the results of the model for each comparison should be considered separately.</w:t>
      </w:r>
    </w:p>
    <w:p w:rsidR="00B614F8" w:rsidRPr="00F0732C" w:rsidRDefault="00B614F8" w:rsidP="00F0732C">
      <w:pPr>
        <w:rPr>
          <w:highlight w:val="yellow"/>
        </w:rPr>
      </w:pPr>
    </w:p>
    <w:p w:rsidR="00B614F8" w:rsidRDefault="00EF3189" w:rsidP="00B614F8">
      <w:pPr>
        <w:pStyle w:val="ListParagraph"/>
        <w:widowControl/>
        <w:numPr>
          <w:ilvl w:val="1"/>
          <w:numId w:val="18"/>
        </w:numPr>
        <w:ind w:left="709" w:hanging="709"/>
        <w:rPr>
          <w:szCs w:val="22"/>
        </w:rPr>
      </w:pPr>
      <w:r>
        <w:rPr>
          <w:szCs w:val="22"/>
        </w:rPr>
        <w:t xml:space="preserve">The PBAC noted that estimates of the number of </w:t>
      </w:r>
      <w:r w:rsidRPr="00214B8F">
        <w:rPr>
          <w:i/>
          <w:szCs w:val="22"/>
        </w:rPr>
        <w:t>RAS</w:t>
      </w:r>
      <w:r>
        <w:rPr>
          <w:szCs w:val="22"/>
        </w:rPr>
        <w:t xml:space="preserve"> WT patients with </w:t>
      </w:r>
      <w:proofErr w:type="spellStart"/>
      <w:r>
        <w:rPr>
          <w:szCs w:val="22"/>
        </w:rPr>
        <w:t>mCRC</w:t>
      </w:r>
      <w:proofErr w:type="spellEnd"/>
      <w:r>
        <w:rPr>
          <w:szCs w:val="22"/>
        </w:rPr>
        <w:t xml:space="preserve"> across all lines </w:t>
      </w:r>
      <w:r w:rsidR="000C64E2">
        <w:rPr>
          <w:szCs w:val="22"/>
        </w:rPr>
        <w:t>of therapy were underestimated.</w:t>
      </w:r>
    </w:p>
    <w:p w:rsidR="00EF3189" w:rsidRPr="000C64E2" w:rsidRDefault="00EF3189" w:rsidP="000C64E2">
      <w:pPr>
        <w:widowControl/>
        <w:rPr>
          <w:szCs w:val="22"/>
        </w:rPr>
      </w:pPr>
    </w:p>
    <w:p w:rsidR="00EF3189" w:rsidRDefault="000C64E2" w:rsidP="00B614F8">
      <w:pPr>
        <w:pStyle w:val="ListParagraph"/>
        <w:widowControl/>
        <w:numPr>
          <w:ilvl w:val="1"/>
          <w:numId w:val="18"/>
        </w:numPr>
        <w:ind w:left="709" w:hanging="709"/>
        <w:rPr>
          <w:szCs w:val="22"/>
        </w:rPr>
      </w:pPr>
      <w:r>
        <w:rPr>
          <w:szCs w:val="22"/>
        </w:rPr>
        <w:t>In particular, t</w:t>
      </w:r>
      <w:r w:rsidR="00EF3189">
        <w:rPr>
          <w:szCs w:val="22"/>
        </w:rPr>
        <w:t xml:space="preserve">he treatment duration for both </w:t>
      </w:r>
      <w:proofErr w:type="spellStart"/>
      <w:r w:rsidR="00EF3189">
        <w:rPr>
          <w:szCs w:val="22"/>
        </w:rPr>
        <w:t>panitumumab</w:t>
      </w:r>
      <w:proofErr w:type="spellEnd"/>
      <w:r w:rsidR="00EF3189">
        <w:rPr>
          <w:szCs w:val="22"/>
        </w:rPr>
        <w:t xml:space="preserve"> and </w:t>
      </w:r>
      <w:proofErr w:type="spellStart"/>
      <w:r w:rsidR="00EF3189">
        <w:rPr>
          <w:szCs w:val="22"/>
        </w:rPr>
        <w:t>bevacizumab</w:t>
      </w:r>
      <w:proofErr w:type="spellEnd"/>
      <w:r w:rsidR="00EF3189">
        <w:rPr>
          <w:szCs w:val="22"/>
        </w:rPr>
        <w:t xml:space="preserve"> are assumed to be 12 cycles in the </w:t>
      </w:r>
      <w:r w:rsidR="00EF3189" w:rsidRPr="00214B8F">
        <w:rPr>
          <w:i/>
          <w:szCs w:val="22"/>
        </w:rPr>
        <w:t>RAS</w:t>
      </w:r>
      <w:r w:rsidR="00EF3189">
        <w:rPr>
          <w:szCs w:val="22"/>
        </w:rPr>
        <w:t xml:space="preserve"> WT subgroup</w:t>
      </w:r>
      <w:r w:rsidR="00D5308A">
        <w:rPr>
          <w:szCs w:val="22"/>
        </w:rPr>
        <w:t xml:space="preserve">. </w:t>
      </w:r>
      <w:r w:rsidR="00AF3F15">
        <w:rPr>
          <w:szCs w:val="22"/>
        </w:rPr>
        <w:t xml:space="preserve"> </w:t>
      </w:r>
      <w:r w:rsidR="00D5308A">
        <w:rPr>
          <w:szCs w:val="22"/>
        </w:rPr>
        <w:t>T</w:t>
      </w:r>
      <w:r w:rsidR="00EF3189">
        <w:rPr>
          <w:szCs w:val="22"/>
        </w:rPr>
        <w:t xml:space="preserve">he median PFS observed with </w:t>
      </w:r>
      <w:proofErr w:type="spellStart"/>
      <w:r w:rsidR="00EF3189">
        <w:rPr>
          <w:szCs w:val="22"/>
        </w:rPr>
        <w:lastRenderedPageBreak/>
        <w:t>panitumumab</w:t>
      </w:r>
      <w:proofErr w:type="spellEnd"/>
      <w:r w:rsidR="00EF3189">
        <w:rPr>
          <w:szCs w:val="22"/>
        </w:rPr>
        <w:t xml:space="preserve"> + FOLFOX was 11 and 13 months in the PRIME and PEAK trial</w:t>
      </w:r>
      <w:r w:rsidR="00D5308A">
        <w:rPr>
          <w:szCs w:val="22"/>
        </w:rPr>
        <w:t>s respectively, while the median</w:t>
      </w:r>
      <w:r w:rsidR="00EF3189">
        <w:rPr>
          <w:szCs w:val="22"/>
        </w:rPr>
        <w:t xml:space="preserve"> PFS observed with </w:t>
      </w:r>
      <w:proofErr w:type="spellStart"/>
      <w:r w:rsidR="00EF3189">
        <w:rPr>
          <w:szCs w:val="22"/>
        </w:rPr>
        <w:t>bevacizumab</w:t>
      </w:r>
      <w:proofErr w:type="spellEnd"/>
      <w:r w:rsidR="00EF3189">
        <w:rPr>
          <w:szCs w:val="22"/>
        </w:rPr>
        <w:t xml:space="preserve"> + FOLFOX was 9.5 months. </w:t>
      </w:r>
      <w:r w:rsidR="00AF3F15">
        <w:rPr>
          <w:szCs w:val="22"/>
        </w:rPr>
        <w:t xml:space="preserve"> </w:t>
      </w:r>
      <w:r w:rsidR="00EF3189">
        <w:rPr>
          <w:szCs w:val="22"/>
        </w:rPr>
        <w:t xml:space="preserve">As treatment is proposed to continue until disease progression, the </w:t>
      </w:r>
      <w:r w:rsidR="00362CE5">
        <w:rPr>
          <w:szCs w:val="22"/>
        </w:rPr>
        <w:t>assumption of no difference in treatment duration overestimates</w:t>
      </w:r>
      <w:r>
        <w:rPr>
          <w:szCs w:val="22"/>
        </w:rPr>
        <w:t xml:space="preserve"> cost offsets.</w:t>
      </w:r>
    </w:p>
    <w:p w:rsidR="002D1121" w:rsidRPr="000C64E2" w:rsidRDefault="002D1121" w:rsidP="000C64E2">
      <w:pPr>
        <w:rPr>
          <w:szCs w:val="22"/>
        </w:rPr>
      </w:pPr>
    </w:p>
    <w:p w:rsidR="002D1121" w:rsidRDefault="002D1121" w:rsidP="00B614F8">
      <w:pPr>
        <w:pStyle w:val="ListParagraph"/>
        <w:widowControl/>
        <w:numPr>
          <w:ilvl w:val="1"/>
          <w:numId w:val="18"/>
        </w:numPr>
        <w:ind w:left="709" w:hanging="709"/>
        <w:rPr>
          <w:szCs w:val="22"/>
        </w:rPr>
      </w:pPr>
      <w:r>
        <w:rPr>
          <w:szCs w:val="22"/>
        </w:rPr>
        <w:t xml:space="preserve">The PBAC considered that a Risk Sharing Arrangement would be appropriate for </w:t>
      </w:r>
      <w:r w:rsidR="00214B8F">
        <w:rPr>
          <w:szCs w:val="22"/>
        </w:rPr>
        <w:t>a</w:t>
      </w:r>
      <w:r w:rsidR="00BB46EB">
        <w:rPr>
          <w:szCs w:val="22"/>
        </w:rPr>
        <w:t>nti-EGFR antibodies</w:t>
      </w:r>
      <w:r>
        <w:rPr>
          <w:szCs w:val="22"/>
        </w:rPr>
        <w:t xml:space="preserve"> should they be</w:t>
      </w:r>
      <w:r w:rsidR="00DC2D5A">
        <w:rPr>
          <w:szCs w:val="22"/>
        </w:rPr>
        <w:t xml:space="preserve"> recommended</w:t>
      </w:r>
      <w:r>
        <w:rPr>
          <w:szCs w:val="22"/>
        </w:rPr>
        <w:t xml:space="preserve"> for fi</w:t>
      </w:r>
      <w:r w:rsidR="000C64E2">
        <w:rPr>
          <w:szCs w:val="22"/>
        </w:rPr>
        <w:t>rst line therapy in the future.</w:t>
      </w:r>
    </w:p>
    <w:p w:rsidR="00EF3189" w:rsidRPr="000C64E2" w:rsidRDefault="00EF3189" w:rsidP="000C64E2">
      <w:pPr>
        <w:rPr>
          <w:szCs w:val="22"/>
        </w:rPr>
      </w:pPr>
    </w:p>
    <w:p w:rsidR="00EF3189" w:rsidRDefault="00EF3189" w:rsidP="00B614F8">
      <w:pPr>
        <w:pStyle w:val="ListParagraph"/>
        <w:widowControl/>
        <w:numPr>
          <w:ilvl w:val="1"/>
          <w:numId w:val="18"/>
        </w:numPr>
        <w:ind w:left="709" w:hanging="709"/>
        <w:rPr>
          <w:szCs w:val="22"/>
        </w:rPr>
      </w:pPr>
      <w:r>
        <w:rPr>
          <w:szCs w:val="22"/>
        </w:rPr>
        <w:t xml:space="preserve">The PBAC </w:t>
      </w:r>
      <w:r w:rsidR="006375AB">
        <w:rPr>
          <w:szCs w:val="22"/>
        </w:rPr>
        <w:t xml:space="preserve">noted that the PBS subsidy of first-line </w:t>
      </w:r>
      <w:r w:rsidR="00214B8F">
        <w:rPr>
          <w:szCs w:val="22"/>
        </w:rPr>
        <w:t>a</w:t>
      </w:r>
      <w:r w:rsidR="00BB46EB">
        <w:rPr>
          <w:szCs w:val="22"/>
        </w:rPr>
        <w:t>nti-EGFR antibodies</w:t>
      </w:r>
      <w:r w:rsidR="006375AB">
        <w:rPr>
          <w:szCs w:val="22"/>
        </w:rPr>
        <w:t xml:space="preserve"> would initiate a re-consideration of </w:t>
      </w:r>
      <w:r>
        <w:rPr>
          <w:szCs w:val="22"/>
        </w:rPr>
        <w:t xml:space="preserve">the </w:t>
      </w:r>
      <w:r w:rsidR="006375AB">
        <w:rPr>
          <w:szCs w:val="22"/>
        </w:rPr>
        <w:t xml:space="preserve">current </w:t>
      </w:r>
      <w:r>
        <w:rPr>
          <w:szCs w:val="22"/>
        </w:rPr>
        <w:t xml:space="preserve">inability to use PBS-subsidised </w:t>
      </w:r>
      <w:proofErr w:type="spellStart"/>
      <w:r>
        <w:rPr>
          <w:szCs w:val="22"/>
        </w:rPr>
        <w:t>bevacizumab</w:t>
      </w:r>
      <w:proofErr w:type="spellEnd"/>
      <w:r>
        <w:rPr>
          <w:szCs w:val="22"/>
        </w:rPr>
        <w:t xml:space="preserve"> in the later-line treatment of </w:t>
      </w:r>
      <w:proofErr w:type="spellStart"/>
      <w:r>
        <w:rPr>
          <w:szCs w:val="22"/>
        </w:rPr>
        <w:t>mCRC</w:t>
      </w:r>
      <w:proofErr w:type="spellEnd"/>
      <w:r>
        <w:rPr>
          <w:szCs w:val="22"/>
        </w:rPr>
        <w:t xml:space="preserve">. </w:t>
      </w:r>
      <w:r w:rsidR="00AF3F15">
        <w:rPr>
          <w:szCs w:val="22"/>
        </w:rPr>
        <w:t xml:space="preserve"> </w:t>
      </w:r>
      <w:r>
        <w:rPr>
          <w:szCs w:val="22"/>
        </w:rPr>
        <w:t xml:space="preserve">As per the current </w:t>
      </w:r>
      <w:proofErr w:type="spellStart"/>
      <w:r w:rsidR="006375AB">
        <w:rPr>
          <w:szCs w:val="22"/>
        </w:rPr>
        <w:t>bevacizumab</w:t>
      </w:r>
      <w:proofErr w:type="spellEnd"/>
      <w:r w:rsidR="006375AB">
        <w:rPr>
          <w:szCs w:val="22"/>
        </w:rPr>
        <w:t xml:space="preserve"> </w:t>
      </w:r>
      <w:r>
        <w:rPr>
          <w:szCs w:val="22"/>
        </w:rPr>
        <w:t xml:space="preserve">restriction, patients who use </w:t>
      </w:r>
      <w:r w:rsidR="00214B8F">
        <w:rPr>
          <w:szCs w:val="22"/>
        </w:rPr>
        <w:t>a</w:t>
      </w:r>
      <w:r w:rsidR="00BB46EB">
        <w:rPr>
          <w:szCs w:val="22"/>
        </w:rPr>
        <w:t>nti-EGFR antibodies</w:t>
      </w:r>
      <w:r>
        <w:rPr>
          <w:szCs w:val="22"/>
        </w:rPr>
        <w:t xml:space="preserve"> first-line and experience disease progression </w:t>
      </w:r>
      <w:r w:rsidR="006375AB">
        <w:rPr>
          <w:szCs w:val="22"/>
        </w:rPr>
        <w:t xml:space="preserve">would not be able to receive PBS-subsidised </w:t>
      </w:r>
      <w:proofErr w:type="spellStart"/>
      <w:r w:rsidR="006375AB">
        <w:rPr>
          <w:szCs w:val="22"/>
        </w:rPr>
        <w:t>bevacizumab</w:t>
      </w:r>
      <w:proofErr w:type="spellEnd"/>
      <w:r w:rsidR="006375AB">
        <w:rPr>
          <w:szCs w:val="22"/>
        </w:rPr>
        <w:t xml:space="preserve"> and so would </w:t>
      </w:r>
      <w:r>
        <w:rPr>
          <w:szCs w:val="22"/>
        </w:rPr>
        <w:t xml:space="preserve">only </w:t>
      </w:r>
      <w:r w:rsidR="006375AB">
        <w:rPr>
          <w:szCs w:val="22"/>
        </w:rPr>
        <w:t xml:space="preserve">be </w:t>
      </w:r>
      <w:r>
        <w:rPr>
          <w:szCs w:val="22"/>
        </w:rPr>
        <w:t xml:space="preserve">able to receive further treatment with chemotherapy alone in the later-line setting. </w:t>
      </w:r>
      <w:r w:rsidR="00AF3F15">
        <w:rPr>
          <w:szCs w:val="22"/>
        </w:rPr>
        <w:t xml:space="preserve"> </w:t>
      </w:r>
      <w:r>
        <w:rPr>
          <w:szCs w:val="22"/>
        </w:rPr>
        <w:t xml:space="preserve">For this reason, prescribers might be directed towards predominately using </w:t>
      </w:r>
      <w:proofErr w:type="spellStart"/>
      <w:r>
        <w:rPr>
          <w:szCs w:val="22"/>
        </w:rPr>
        <w:t>bevacizumab</w:t>
      </w:r>
      <w:proofErr w:type="spellEnd"/>
      <w:r>
        <w:rPr>
          <w:szCs w:val="22"/>
        </w:rPr>
        <w:t xml:space="preserve"> first-line in order</w:t>
      </w:r>
      <w:r w:rsidR="000C64E2">
        <w:rPr>
          <w:szCs w:val="22"/>
        </w:rPr>
        <w:t xml:space="preserve"> to maximise treatment options.</w:t>
      </w:r>
      <w:r w:rsidR="00583711">
        <w:rPr>
          <w:szCs w:val="22"/>
        </w:rPr>
        <w:t xml:space="preserve"> </w:t>
      </w:r>
      <w:r w:rsidR="00AF3F15">
        <w:rPr>
          <w:szCs w:val="22"/>
        </w:rPr>
        <w:t xml:space="preserve"> The PBAC foreshadowed its intention to recommend relaxing the </w:t>
      </w:r>
      <w:proofErr w:type="spellStart"/>
      <w:r w:rsidR="00AF3F15">
        <w:rPr>
          <w:szCs w:val="22"/>
        </w:rPr>
        <w:t>bevacizumab</w:t>
      </w:r>
      <w:proofErr w:type="spellEnd"/>
      <w:r w:rsidR="00AF3F15">
        <w:rPr>
          <w:szCs w:val="22"/>
        </w:rPr>
        <w:t xml:space="preserve"> restriction to allow its use in </w:t>
      </w:r>
      <w:proofErr w:type="spellStart"/>
      <w:r w:rsidR="00AF3F15">
        <w:rPr>
          <w:szCs w:val="22"/>
        </w:rPr>
        <w:t>mCRC</w:t>
      </w:r>
      <w:proofErr w:type="spellEnd"/>
      <w:r w:rsidR="00AF3F15">
        <w:rPr>
          <w:szCs w:val="22"/>
        </w:rPr>
        <w:t xml:space="preserve"> after a first-line </w:t>
      </w:r>
      <w:r w:rsidR="00BB46EB">
        <w:rPr>
          <w:szCs w:val="22"/>
        </w:rPr>
        <w:t>anti-EGFR antibody</w:t>
      </w:r>
      <w:r w:rsidR="00D04B0A">
        <w:rPr>
          <w:szCs w:val="22"/>
        </w:rPr>
        <w:t xml:space="preserve"> (</w:t>
      </w:r>
      <w:proofErr w:type="spellStart"/>
      <w:r w:rsidR="00D04B0A">
        <w:rPr>
          <w:szCs w:val="22"/>
        </w:rPr>
        <w:t>ie</w:t>
      </w:r>
      <w:proofErr w:type="spellEnd"/>
      <w:r w:rsidR="00D04B0A">
        <w:rPr>
          <w:szCs w:val="22"/>
        </w:rPr>
        <w:t xml:space="preserve"> one course only for the PBS-subsidised treatment of </w:t>
      </w:r>
      <w:proofErr w:type="spellStart"/>
      <w:r w:rsidR="00D04B0A">
        <w:rPr>
          <w:szCs w:val="22"/>
        </w:rPr>
        <w:t>mCRC</w:t>
      </w:r>
      <w:proofErr w:type="spellEnd"/>
      <w:r w:rsidR="00D04B0A">
        <w:rPr>
          <w:szCs w:val="22"/>
        </w:rPr>
        <w:t xml:space="preserve"> in a patient)</w:t>
      </w:r>
      <w:r w:rsidR="00AF3F15">
        <w:rPr>
          <w:szCs w:val="22"/>
        </w:rPr>
        <w:t xml:space="preserve">, but not to vary the basis of the risk-share arrangements for </w:t>
      </w:r>
      <w:proofErr w:type="spellStart"/>
      <w:r w:rsidR="00AF3F15">
        <w:rPr>
          <w:szCs w:val="22"/>
        </w:rPr>
        <w:t>bevacizumab</w:t>
      </w:r>
      <w:proofErr w:type="spellEnd"/>
      <w:r w:rsidR="00AF3F15">
        <w:rPr>
          <w:szCs w:val="22"/>
        </w:rPr>
        <w:t xml:space="preserve"> as these </w:t>
      </w:r>
      <w:r w:rsidR="00D04B0A">
        <w:rPr>
          <w:szCs w:val="22"/>
        </w:rPr>
        <w:t xml:space="preserve">changes </w:t>
      </w:r>
      <w:r w:rsidR="00AF3F15">
        <w:rPr>
          <w:szCs w:val="22"/>
        </w:rPr>
        <w:t xml:space="preserve">should not be expected to increase the extent of </w:t>
      </w:r>
      <w:proofErr w:type="spellStart"/>
      <w:r w:rsidR="00AF3F15">
        <w:rPr>
          <w:szCs w:val="22"/>
        </w:rPr>
        <w:t>bevacizumab</w:t>
      </w:r>
      <w:proofErr w:type="spellEnd"/>
      <w:r w:rsidR="00AF3F15">
        <w:rPr>
          <w:szCs w:val="22"/>
        </w:rPr>
        <w:t xml:space="preserve"> prescribing.</w:t>
      </w:r>
      <w:r w:rsidR="00DA3842">
        <w:rPr>
          <w:szCs w:val="22"/>
        </w:rPr>
        <w:t xml:space="preserve">  The PBAC invited feedback on this proposal.</w:t>
      </w:r>
    </w:p>
    <w:p w:rsidR="00345BF1" w:rsidRPr="00DA3842" w:rsidRDefault="00345BF1" w:rsidP="00DA3842">
      <w:pPr>
        <w:rPr>
          <w:szCs w:val="22"/>
        </w:rPr>
      </w:pPr>
    </w:p>
    <w:p w:rsidR="00345BF1" w:rsidRDefault="00345BF1" w:rsidP="00B614F8">
      <w:pPr>
        <w:pStyle w:val="ListParagraph"/>
        <w:widowControl/>
        <w:numPr>
          <w:ilvl w:val="1"/>
          <w:numId w:val="18"/>
        </w:numPr>
        <w:ind w:left="709" w:hanging="709"/>
        <w:rPr>
          <w:szCs w:val="22"/>
        </w:rPr>
      </w:pPr>
      <w:r>
        <w:rPr>
          <w:szCs w:val="22"/>
        </w:rPr>
        <w:t xml:space="preserve">Similarly, the PBAC noted </w:t>
      </w:r>
      <w:r w:rsidR="00C57868">
        <w:rPr>
          <w:szCs w:val="22"/>
        </w:rPr>
        <w:t xml:space="preserve">the ESC advice and the Pre-PBAC response on whether </w:t>
      </w:r>
      <w:r>
        <w:rPr>
          <w:szCs w:val="22"/>
        </w:rPr>
        <w:t xml:space="preserve">the PBS subsidy of first-line </w:t>
      </w:r>
      <w:r w:rsidR="00214B8F">
        <w:rPr>
          <w:szCs w:val="22"/>
        </w:rPr>
        <w:t>a</w:t>
      </w:r>
      <w:r w:rsidR="00BB46EB">
        <w:rPr>
          <w:szCs w:val="22"/>
        </w:rPr>
        <w:t>nti-EGFR antibodies</w:t>
      </w:r>
      <w:r>
        <w:rPr>
          <w:szCs w:val="22"/>
        </w:rPr>
        <w:t xml:space="preserve"> would raise the need to decide whether to subsidise </w:t>
      </w:r>
      <w:r w:rsidR="00E77F46">
        <w:rPr>
          <w:szCs w:val="22"/>
        </w:rPr>
        <w:t xml:space="preserve">multiple uses or </w:t>
      </w:r>
      <w:r>
        <w:rPr>
          <w:szCs w:val="22"/>
        </w:rPr>
        <w:t xml:space="preserve">sequential use of these medicines in </w:t>
      </w:r>
      <w:proofErr w:type="spellStart"/>
      <w:r>
        <w:rPr>
          <w:szCs w:val="22"/>
        </w:rPr>
        <w:t>mCRC</w:t>
      </w:r>
      <w:proofErr w:type="spellEnd"/>
      <w:r w:rsidR="00DA3842">
        <w:rPr>
          <w:szCs w:val="22"/>
        </w:rPr>
        <w:t xml:space="preserve"> after disease progression</w:t>
      </w:r>
      <w:r w:rsidR="00C57868">
        <w:rPr>
          <w:szCs w:val="22"/>
        </w:rPr>
        <w:t xml:space="preserve">.  The PBAC </w:t>
      </w:r>
      <w:r w:rsidR="00DA3842">
        <w:rPr>
          <w:szCs w:val="22"/>
        </w:rPr>
        <w:t xml:space="preserve">noted the </w:t>
      </w:r>
      <w:r w:rsidR="004F1EB7">
        <w:rPr>
          <w:szCs w:val="22"/>
        </w:rPr>
        <w:t xml:space="preserve">advice </w:t>
      </w:r>
      <w:r w:rsidR="00DA3842">
        <w:rPr>
          <w:szCs w:val="22"/>
        </w:rPr>
        <w:t xml:space="preserve">of the clinician at the hearing that this would be preferable.  The PBAC foreshadowed its intention to allow sequential use, but only in in the context of reducing the average price of the </w:t>
      </w:r>
      <w:r w:rsidR="00214B8F">
        <w:rPr>
          <w:szCs w:val="22"/>
        </w:rPr>
        <w:t>a</w:t>
      </w:r>
      <w:r w:rsidR="00BB46EB">
        <w:rPr>
          <w:szCs w:val="22"/>
        </w:rPr>
        <w:t>nti-EGFR antibodies</w:t>
      </w:r>
      <w:r w:rsidR="00DA3842">
        <w:rPr>
          <w:szCs w:val="22"/>
        </w:rPr>
        <w:t xml:space="preserve"> to recognise the expected reduction in the extent of their incremental benefit with each sequential use.  The PBAC invited feedback on this proposal.</w:t>
      </w:r>
    </w:p>
    <w:p w:rsidR="00C57868" w:rsidRPr="00C57868" w:rsidRDefault="00C57868" w:rsidP="00C57868">
      <w:pPr>
        <w:rPr>
          <w:szCs w:val="22"/>
        </w:rPr>
      </w:pPr>
    </w:p>
    <w:p w:rsidR="00EF3189" w:rsidRPr="00BA41CF" w:rsidRDefault="00C57868" w:rsidP="000C64E2">
      <w:pPr>
        <w:pStyle w:val="ListParagraph"/>
        <w:widowControl/>
        <w:numPr>
          <w:ilvl w:val="1"/>
          <w:numId w:val="18"/>
        </w:numPr>
        <w:ind w:left="709" w:hanging="709"/>
        <w:rPr>
          <w:szCs w:val="22"/>
        </w:rPr>
      </w:pPr>
      <w:r>
        <w:rPr>
          <w:szCs w:val="22"/>
        </w:rPr>
        <w:t xml:space="preserve">Further, the PBAC noted the ESC advice and the Pre-PBAC response on the variation across the proposed and existing PBS restrictions for both </w:t>
      </w:r>
      <w:proofErr w:type="spellStart"/>
      <w:r>
        <w:rPr>
          <w:szCs w:val="22"/>
        </w:rPr>
        <w:t>panitumumab</w:t>
      </w:r>
      <w:proofErr w:type="spellEnd"/>
      <w:r>
        <w:rPr>
          <w:szCs w:val="22"/>
        </w:rPr>
        <w:t xml:space="preserve"> and </w:t>
      </w:r>
      <w:proofErr w:type="spellStart"/>
      <w:r>
        <w:rPr>
          <w:szCs w:val="22"/>
        </w:rPr>
        <w:t>bevacizumab</w:t>
      </w:r>
      <w:proofErr w:type="spellEnd"/>
      <w:r>
        <w:rPr>
          <w:szCs w:val="22"/>
        </w:rPr>
        <w:t xml:space="preserve"> in </w:t>
      </w:r>
      <w:proofErr w:type="spellStart"/>
      <w:r>
        <w:rPr>
          <w:szCs w:val="22"/>
        </w:rPr>
        <w:t>mCRC</w:t>
      </w:r>
      <w:proofErr w:type="spellEnd"/>
      <w:r>
        <w:rPr>
          <w:szCs w:val="22"/>
        </w:rPr>
        <w:t xml:space="preserve"> in relation to ECOG </w:t>
      </w:r>
      <w:r w:rsidR="00D04B0A">
        <w:rPr>
          <w:szCs w:val="22"/>
        </w:rPr>
        <w:t xml:space="preserve">or WHO </w:t>
      </w:r>
      <w:r>
        <w:rPr>
          <w:szCs w:val="22"/>
        </w:rPr>
        <w:t xml:space="preserve">performance status.  The PBAC foreshadowed its intention to </w:t>
      </w:r>
      <w:r w:rsidR="00E77F46">
        <w:rPr>
          <w:szCs w:val="22"/>
        </w:rPr>
        <w:t xml:space="preserve">allow first-line </w:t>
      </w:r>
      <w:r w:rsidR="00214B8F">
        <w:rPr>
          <w:szCs w:val="22"/>
        </w:rPr>
        <w:t>a</w:t>
      </w:r>
      <w:r w:rsidR="00BB46EB">
        <w:rPr>
          <w:szCs w:val="22"/>
        </w:rPr>
        <w:t>nti-EGFR antibodies</w:t>
      </w:r>
      <w:r w:rsidR="00E77F46">
        <w:rPr>
          <w:szCs w:val="22"/>
        </w:rPr>
        <w:t xml:space="preserve"> in patients with a WHO performance status of 2 or less (consistent with their current PBS restriction in second-line </w:t>
      </w:r>
      <w:proofErr w:type="spellStart"/>
      <w:r w:rsidR="00E77F46">
        <w:rPr>
          <w:szCs w:val="22"/>
        </w:rPr>
        <w:t>mCRC</w:t>
      </w:r>
      <w:proofErr w:type="spellEnd"/>
      <w:r w:rsidR="00E77F46">
        <w:rPr>
          <w:szCs w:val="22"/>
        </w:rPr>
        <w:t xml:space="preserve">), but to retain the current PBS restriction for </w:t>
      </w:r>
      <w:proofErr w:type="spellStart"/>
      <w:r w:rsidR="00E77F46">
        <w:rPr>
          <w:szCs w:val="22"/>
        </w:rPr>
        <w:t>bevacizumab</w:t>
      </w:r>
      <w:proofErr w:type="spellEnd"/>
      <w:r w:rsidR="00E77F46">
        <w:rPr>
          <w:szCs w:val="22"/>
        </w:rPr>
        <w:t xml:space="preserve"> in </w:t>
      </w:r>
      <w:proofErr w:type="spellStart"/>
      <w:r w:rsidR="00E77F46">
        <w:rPr>
          <w:szCs w:val="22"/>
        </w:rPr>
        <w:t>mCRC</w:t>
      </w:r>
      <w:proofErr w:type="spellEnd"/>
      <w:r w:rsidR="00E77F46">
        <w:rPr>
          <w:szCs w:val="22"/>
        </w:rPr>
        <w:t xml:space="preserve"> to patients with a WHO performance status of </w:t>
      </w:r>
      <w:r w:rsidR="001A7755">
        <w:rPr>
          <w:noProof/>
          <w:color w:val="000000"/>
          <w:szCs w:val="22"/>
          <w:highlight w:val="black"/>
        </w:rPr>
        <w:t xml:space="preserve">''' </w:t>
      </w:r>
      <w:r w:rsidR="00E77F46">
        <w:rPr>
          <w:szCs w:val="22"/>
        </w:rPr>
        <w:t>or less</w:t>
      </w:r>
      <w:r>
        <w:rPr>
          <w:szCs w:val="22"/>
        </w:rPr>
        <w:t>.  The PBAC invited feedback on this proposal.</w:t>
      </w:r>
    </w:p>
    <w:p w:rsidR="00B614F8" w:rsidRPr="00BB7EC3" w:rsidRDefault="00B614F8" w:rsidP="008B66BA"/>
    <w:p w:rsidR="008B66BA" w:rsidRDefault="00B614F8" w:rsidP="008B66BA">
      <w:pPr>
        <w:pStyle w:val="ListParagraph"/>
        <w:widowControl/>
        <w:numPr>
          <w:ilvl w:val="1"/>
          <w:numId w:val="18"/>
        </w:numPr>
        <w:ind w:left="709" w:hanging="709"/>
        <w:rPr>
          <w:szCs w:val="22"/>
        </w:rPr>
      </w:pPr>
      <w:r w:rsidRPr="008B66BA">
        <w:rPr>
          <w:szCs w:val="22"/>
        </w:rPr>
        <w:t xml:space="preserve">The PBAC noted that this </w:t>
      </w:r>
      <w:r w:rsidR="00351F71">
        <w:rPr>
          <w:szCs w:val="22"/>
        </w:rPr>
        <w:t>re</w:t>
      </w:r>
      <w:r w:rsidRPr="008B66BA">
        <w:rPr>
          <w:szCs w:val="22"/>
        </w:rPr>
        <w:t>submission is</w:t>
      </w:r>
      <w:r w:rsidR="008B66BA" w:rsidRPr="008B66BA">
        <w:rPr>
          <w:szCs w:val="22"/>
        </w:rPr>
        <w:t xml:space="preserve"> </w:t>
      </w:r>
      <w:r w:rsidRPr="008B66BA">
        <w:rPr>
          <w:szCs w:val="22"/>
        </w:rPr>
        <w:t>not elig</w:t>
      </w:r>
      <w:r w:rsidR="000C01B7">
        <w:rPr>
          <w:szCs w:val="22"/>
        </w:rPr>
        <w:t>ible for an Independent Review</w:t>
      </w:r>
      <w:r w:rsidR="000B27BD">
        <w:rPr>
          <w:szCs w:val="22"/>
        </w:rPr>
        <w:t xml:space="preserve"> because it had recommended one of the two requests of the re-submission</w:t>
      </w:r>
      <w:r w:rsidR="000C01B7">
        <w:rPr>
          <w:szCs w:val="22"/>
        </w:rPr>
        <w:t>.</w:t>
      </w:r>
    </w:p>
    <w:p w:rsidR="008B66BA" w:rsidRDefault="008B66BA" w:rsidP="008B66BA">
      <w:pPr>
        <w:rPr>
          <w:szCs w:val="22"/>
        </w:rPr>
      </w:pPr>
    </w:p>
    <w:p w:rsidR="00CF21B0" w:rsidRPr="000C01B7" w:rsidRDefault="00CF21B0" w:rsidP="008B66BA">
      <w:pPr>
        <w:rPr>
          <w:szCs w:val="22"/>
        </w:rPr>
      </w:pPr>
    </w:p>
    <w:p w:rsidR="008B66BA" w:rsidRPr="008B66BA" w:rsidRDefault="008B66BA" w:rsidP="008B66BA">
      <w:pPr>
        <w:rPr>
          <w:b/>
          <w:szCs w:val="22"/>
        </w:rPr>
      </w:pPr>
      <w:r w:rsidRPr="008B66BA">
        <w:rPr>
          <w:b/>
          <w:szCs w:val="22"/>
        </w:rPr>
        <w:t>Outcome:</w:t>
      </w:r>
    </w:p>
    <w:p w:rsidR="008B66BA" w:rsidRDefault="00351F71" w:rsidP="008B66BA">
      <w:pPr>
        <w:widowControl/>
        <w:rPr>
          <w:szCs w:val="22"/>
        </w:rPr>
      </w:pPr>
      <w:r>
        <w:rPr>
          <w:szCs w:val="22"/>
        </w:rPr>
        <w:t>Recommended</w:t>
      </w:r>
    </w:p>
    <w:p w:rsidR="00D654AE" w:rsidRDefault="00D654AE" w:rsidP="008B66BA">
      <w:pPr>
        <w:widowControl/>
        <w:rPr>
          <w:szCs w:val="22"/>
        </w:rPr>
      </w:pPr>
    </w:p>
    <w:p w:rsidR="008B66BA" w:rsidRPr="008B66BA" w:rsidRDefault="008B66BA" w:rsidP="008B66BA">
      <w:pPr>
        <w:widowControl/>
        <w:rPr>
          <w:szCs w:val="22"/>
        </w:rPr>
      </w:pPr>
    </w:p>
    <w:p w:rsidR="001A53B7" w:rsidRPr="00407F2D" w:rsidRDefault="001A53B7" w:rsidP="001A53B7">
      <w:pPr>
        <w:pStyle w:val="ListParagraph"/>
        <w:widowControl/>
        <w:numPr>
          <w:ilvl w:val="0"/>
          <w:numId w:val="18"/>
        </w:numPr>
        <w:rPr>
          <w:b/>
          <w:szCs w:val="22"/>
        </w:rPr>
      </w:pPr>
      <w:r w:rsidRPr="00407F2D">
        <w:rPr>
          <w:b/>
          <w:szCs w:val="22"/>
        </w:rPr>
        <w:t>Recommended listing</w:t>
      </w:r>
    </w:p>
    <w:p w:rsidR="008B66BA" w:rsidRDefault="008B66BA" w:rsidP="008B66BA">
      <w:pPr>
        <w:widowControl/>
        <w:rPr>
          <w:szCs w:val="22"/>
        </w:rPr>
      </w:pPr>
    </w:p>
    <w:p w:rsidR="00B614F8" w:rsidRPr="001A53B7" w:rsidRDefault="008B66BA" w:rsidP="00B614F8">
      <w:pPr>
        <w:pStyle w:val="ListParagraph"/>
        <w:widowControl/>
        <w:numPr>
          <w:ilvl w:val="1"/>
          <w:numId w:val="18"/>
        </w:numPr>
        <w:rPr>
          <w:szCs w:val="22"/>
        </w:rPr>
      </w:pPr>
      <w:r w:rsidRPr="001A53B7">
        <w:rPr>
          <w:szCs w:val="22"/>
        </w:rPr>
        <w:t xml:space="preserve">Amend existing </w:t>
      </w:r>
      <w:proofErr w:type="spellStart"/>
      <w:r w:rsidR="000B27BD" w:rsidRPr="001A53B7">
        <w:rPr>
          <w:szCs w:val="22"/>
        </w:rPr>
        <w:t>panitumumab</w:t>
      </w:r>
      <w:proofErr w:type="spellEnd"/>
      <w:r w:rsidR="000B27BD" w:rsidRPr="001A53B7">
        <w:rPr>
          <w:szCs w:val="22"/>
        </w:rPr>
        <w:t xml:space="preserve"> </w:t>
      </w:r>
      <w:r w:rsidRPr="001A53B7">
        <w:rPr>
          <w:szCs w:val="22"/>
        </w:rPr>
        <w:t>listing as follows</w:t>
      </w:r>
      <w:r w:rsidR="000B27BD" w:rsidRPr="001A53B7">
        <w:rPr>
          <w:szCs w:val="22"/>
        </w:rPr>
        <w:t xml:space="preserve"> (recommended amendments in bold type face)</w:t>
      </w:r>
      <w:r w:rsidRPr="001A53B7">
        <w:rPr>
          <w:szCs w:val="22"/>
        </w:rPr>
        <w:t>:</w:t>
      </w:r>
    </w:p>
    <w:tbl>
      <w:tblPr>
        <w:tblW w:w="8222" w:type="dxa"/>
        <w:tblInd w:w="817" w:type="dxa"/>
        <w:tblBorders>
          <w:insideH w:val="single" w:sz="4" w:space="0" w:color="auto"/>
        </w:tblBorders>
        <w:tblLayout w:type="fixed"/>
        <w:tblLook w:val="0000" w:firstRow="0" w:lastRow="0" w:firstColumn="0" w:lastColumn="0" w:noHBand="0" w:noVBand="0"/>
      </w:tblPr>
      <w:tblGrid>
        <w:gridCol w:w="2835"/>
        <w:gridCol w:w="992"/>
        <w:gridCol w:w="851"/>
        <w:gridCol w:w="1843"/>
        <w:gridCol w:w="1701"/>
      </w:tblGrid>
      <w:tr w:rsidR="008A4055" w:rsidRPr="001A53B7" w:rsidTr="0064721C">
        <w:trPr>
          <w:cantSplit/>
          <w:trHeight w:val="504"/>
        </w:trPr>
        <w:tc>
          <w:tcPr>
            <w:tcW w:w="2835" w:type="dxa"/>
          </w:tcPr>
          <w:p w:rsidR="008A4055" w:rsidRPr="001A53B7" w:rsidRDefault="008A4055" w:rsidP="00C21C34">
            <w:pPr>
              <w:keepNext/>
              <w:ind w:left="-108"/>
              <w:rPr>
                <w:rFonts w:ascii="Arial Narrow" w:hAnsi="Arial Narrow"/>
                <w:sz w:val="20"/>
              </w:rPr>
            </w:pPr>
          </w:p>
          <w:p w:rsidR="008A4055" w:rsidRPr="001A53B7" w:rsidRDefault="008A4055" w:rsidP="00C21C34">
            <w:pPr>
              <w:keepNext/>
              <w:ind w:left="-108"/>
              <w:rPr>
                <w:rFonts w:ascii="Arial Narrow" w:hAnsi="Arial Narrow"/>
                <w:sz w:val="20"/>
              </w:rPr>
            </w:pPr>
            <w:r w:rsidRPr="001A53B7">
              <w:rPr>
                <w:rFonts w:ascii="Arial Narrow" w:hAnsi="Arial Narrow"/>
                <w:sz w:val="20"/>
              </w:rPr>
              <w:t>Name, Restriction,</w:t>
            </w:r>
          </w:p>
          <w:p w:rsidR="008A4055" w:rsidRPr="001A53B7" w:rsidRDefault="008A4055" w:rsidP="00C21C34">
            <w:pPr>
              <w:keepNext/>
              <w:ind w:left="-108"/>
              <w:rPr>
                <w:rFonts w:ascii="Arial Narrow" w:hAnsi="Arial Narrow"/>
                <w:sz w:val="20"/>
              </w:rPr>
            </w:pPr>
            <w:r w:rsidRPr="001A53B7">
              <w:rPr>
                <w:rFonts w:ascii="Arial Narrow" w:hAnsi="Arial Narrow"/>
                <w:sz w:val="20"/>
              </w:rPr>
              <w:t>Manner of administration and form</w:t>
            </w:r>
          </w:p>
        </w:tc>
        <w:tc>
          <w:tcPr>
            <w:tcW w:w="992" w:type="dxa"/>
          </w:tcPr>
          <w:p w:rsidR="008A4055" w:rsidRPr="001A53B7" w:rsidRDefault="008A4055" w:rsidP="00C21C34">
            <w:pPr>
              <w:keepNext/>
              <w:ind w:left="-108"/>
              <w:jc w:val="center"/>
              <w:rPr>
                <w:rFonts w:ascii="Arial Narrow" w:hAnsi="Arial Narrow"/>
                <w:sz w:val="20"/>
              </w:rPr>
            </w:pPr>
            <w:r w:rsidRPr="001A53B7">
              <w:rPr>
                <w:rFonts w:ascii="Arial Narrow" w:hAnsi="Arial Narrow"/>
                <w:sz w:val="20"/>
              </w:rPr>
              <w:t>Max</w:t>
            </w:r>
          </w:p>
          <w:p w:rsidR="008A4055" w:rsidRPr="001A53B7" w:rsidRDefault="008A4055" w:rsidP="00C21C34">
            <w:pPr>
              <w:keepNext/>
              <w:ind w:left="-108"/>
              <w:jc w:val="center"/>
              <w:rPr>
                <w:rFonts w:ascii="Arial Narrow" w:hAnsi="Arial Narrow"/>
                <w:sz w:val="20"/>
              </w:rPr>
            </w:pPr>
            <w:proofErr w:type="spellStart"/>
            <w:r w:rsidRPr="001A53B7">
              <w:rPr>
                <w:rFonts w:ascii="Arial Narrow" w:hAnsi="Arial Narrow"/>
                <w:sz w:val="20"/>
              </w:rPr>
              <w:t>Amt</w:t>
            </w:r>
            <w:proofErr w:type="spellEnd"/>
          </w:p>
        </w:tc>
        <w:tc>
          <w:tcPr>
            <w:tcW w:w="851" w:type="dxa"/>
          </w:tcPr>
          <w:p w:rsidR="008A4055" w:rsidRPr="001A53B7" w:rsidRDefault="008A4055" w:rsidP="00C21C34">
            <w:pPr>
              <w:keepNext/>
              <w:ind w:left="-108"/>
              <w:jc w:val="center"/>
              <w:rPr>
                <w:rFonts w:ascii="Arial Narrow" w:hAnsi="Arial Narrow"/>
                <w:sz w:val="20"/>
              </w:rPr>
            </w:pPr>
            <w:r w:rsidRPr="001A53B7">
              <w:rPr>
                <w:rFonts w:ascii="Arial Narrow" w:hAnsi="Arial Narrow"/>
                <w:sz w:val="20"/>
              </w:rPr>
              <w:t>№.of</w:t>
            </w:r>
          </w:p>
          <w:p w:rsidR="008A4055" w:rsidRPr="001A53B7" w:rsidRDefault="008A4055" w:rsidP="00C21C34">
            <w:pPr>
              <w:keepNext/>
              <w:ind w:left="-108"/>
              <w:jc w:val="center"/>
              <w:rPr>
                <w:rFonts w:ascii="Arial Narrow" w:hAnsi="Arial Narrow"/>
                <w:sz w:val="20"/>
              </w:rPr>
            </w:pPr>
            <w:proofErr w:type="spellStart"/>
            <w:r w:rsidRPr="001A53B7">
              <w:rPr>
                <w:rFonts w:ascii="Arial Narrow" w:hAnsi="Arial Narrow"/>
                <w:sz w:val="20"/>
              </w:rPr>
              <w:t>Rpts</w:t>
            </w:r>
            <w:proofErr w:type="spellEnd"/>
          </w:p>
        </w:tc>
        <w:tc>
          <w:tcPr>
            <w:tcW w:w="3544" w:type="dxa"/>
            <w:gridSpan w:val="2"/>
          </w:tcPr>
          <w:p w:rsidR="008A4055" w:rsidRPr="001A53B7" w:rsidRDefault="008A4055" w:rsidP="00C21C34">
            <w:pPr>
              <w:keepNext/>
              <w:rPr>
                <w:rFonts w:ascii="Arial Narrow" w:hAnsi="Arial Narrow"/>
                <w:sz w:val="20"/>
              </w:rPr>
            </w:pPr>
            <w:r w:rsidRPr="001A53B7">
              <w:rPr>
                <w:rFonts w:ascii="Arial Narrow" w:hAnsi="Arial Narrow"/>
                <w:sz w:val="20"/>
              </w:rPr>
              <w:t>Proprietary Name and Manufacturer</w:t>
            </w:r>
          </w:p>
        </w:tc>
      </w:tr>
      <w:tr w:rsidR="008A4055" w:rsidRPr="001A53B7" w:rsidTr="0064721C">
        <w:trPr>
          <w:cantSplit/>
          <w:trHeight w:val="618"/>
        </w:trPr>
        <w:tc>
          <w:tcPr>
            <w:tcW w:w="2835" w:type="dxa"/>
          </w:tcPr>
          <w:p w:rsidR="008A4055" w:rsidRPr="001A53B7" w:rsidRDefault="008A4055" w:rsidP="00C21C34">
            <w:pPr>
              <w:keepNext/>
              <w:ind w:left="-108"/>
              <w:rPr>
                <w:rFonts w:ascii="Arial Narrow" w:hAnsi="Arial Narrow"/>
                <w:sz w:val="20"/>
                <w:szCs w:val="22"/>
              </w:rPr>
            </w:pPr>
            <w:r w:rsidRPr="001A53B7">
              <w:rPr>
                <w:rFonts w:ascii="Arial Narrow" w:hAnsi="Arial Narrow"/>
                <w:smallCaps/>
                <w:sz w:val="20"/>
                <w:szCs w:val="22"/>
              </w:rPr>
              <w:t>PANITUMUMAB</w:t>
            </w:r>
          </w:p>
          <w:p w:rsidR="008A4055" w:rsidRPr="001A53B7" w:rsidRDefault="008A4055" w:rsidP="00C21C34">
            <w:pPr>
              <w:keepNext/>
              <w:ind w:left="-108"/>
              <w:rPr>
                <w:rFonts w:ascii="Arial Narrow" w:hAnsi="Arial Narrow"/>
                <w:sz w:val="20"/>
                <w:szCs w:val="22"/>
              </w:rPr>
            </w:pPr>
            <w:proofErr w:type="spellStart"/>
            <w:r w:rsidRPr="001A53B7">
              <w:rPr>
                <w:rFonts w:ascii="Arial Narrow" w:hAnsi="Arial Narrow"/>
                <w:sz w:val="20"/>
                <w:szCs w:val="22"/>
              </w:rPr>
              <w:t>panitumumab</w:t>
            </w:r>
            <w:proofErr w:type="spellEnd"/>
            <w:r w:rsidRPr="001A53B7">
              <w:rPr>
                <w:rFonts w:ascii="Arial Narrow" w:hAnsi="Arial Narrow"/>
                <w:sz w:val="20"/>
                <w:szCs w:val="22"/>
              </w:rPr>
              <w:t xml:space="preserve"> 100 mg/5 mL injection, 1 x 5 mL vial</w:t>
            </w:r>
          </w:p>
          <w:p w:rsidR="008A4055" w:rsidRPr="001A53B7" w:rsidRDefault="008A4055" w:rsidP="00C21C34">
            <w:pPr>
              <w:keepNext/>
              <w:ind w:left="-108"/>
              <w:rPr>
                <w:rFonts w:ascii="Arial Narrow" w:hAnsi="Arial Narrow"/>
                <w:sz w:val="20"/>
                <w:szCs w:val="22"/>
              </w:rPr>
            </w:pPr>
          </w:p>
          <w:p w:rsidR="008A4055" w:rsidRPr="001A53B7" w:rsidRDefault="008A4055" w:rsidP="00C21C34">
            <w:pPr>
              <w:keepNext/>
              <w:ind w:left="-108"/>
              <w:rPr>
                <w:rFonts w:ascii="Arial Narrow" w:hAnsi="Arial Narrow"/>
                <w:sz w:val="20"/>
                <w:szCs w:val="22"/>
              </w:rPr>
            </w:pPr>
            <w:proofErr w:type="spellStart"/>
            <w:r w:rsidRPr="001A53B7">
              <w:rPr>
                <w:rFonts w:ascii="Arial Narrow" w:hAnsi="Arial Narrow"/>
                <w:sz w:val="20"/>
                <w:szCs w:val="22"/>
              </w:rPr>
              <w:t>panitumumab</w:t>
            </w:r>
            <w:proofErr w:type="spellEnd"/>
            <w:r w:rsidRPr="001A53B7">
              <w:rPr>
                <w:rFonts w:ascii="Arial Narrow" w:hAnsi="Arial Narrow"/>
                <w:sz w:val="20"/>
                <w:szCs w:val="22"/>
              </w:rPr>
              <w:t xml:space="preserve"> 400 mg/20 mL injection, 1 x 20 mL vial</w:t>
            </w:r>
          </w:p>
        </w:tc>
        <w:tc>
          <w:tcPr>
            <w:tcW w:w="992" w:type="dxa"/>
          </w:tcPr>
          <w:p w:rsidR="008A4055" w:rsidRPr="001A53B7" w:rsidRDefault="008A4055" w:rsidP="00C21C34">
            <w:pPr>
              <w:keepNext/>
              <w:ind w:left="-108"/>
              <w:jc w:val="center"/>
              <w:rPr>
                <w:rFonts w:ascii="Arial Narrow" w:hAnsi="Arial Narrow"/>
                <w:sz w:val="20"/>
                <w:szCs w:val="22"/>
              </w:rPr>
            </w:pPr>
          </w:p>
          <w:p w:rsidR="008A4055" w:rsidRPr="001A53B7" w:rsidRDefault="008A4055" w:rsidP="00C21C34">
            <w:pPr>
              <w:keepNext/>
              <w:ind w:left="-108"/>
              <w:jc w:val="center"/>
              <w:rPr>
                <w:rFonts w:ascii="Arial Narrow" w:hAnsi="Arial Narrow"/>
                <w:sz w:val="20"/>
                <w:szCs w:val="22"/>
              </w:rPr>
            </w:pPr>
            <w:r w:rsidRPr="001A53B7">
              <w:rPr>
                <w:rFonts w:ascii="Arial Narrow" w:hAnsi="Arial Narrow"/>
                <w:sz w:val="20"/>
                <w:szCs w:val="22"/>
              </w:rPr>
              <w:t>720 mg</w:t>
            </w:r>
          </w:p>
        </w:tc>
        <w:tc>
          <w:tcPr>
            <w:tcW w:w="851" w:type="dxa"/>
          </w:tcPr>
          <w:p w:rsidR="008A4055" w:rsidRPr="001A53B7" w:rsidRDefault="008A4055" w:rsidP="00C21C34">
            <w:pPr>
              <w:keepNext/>
              <w:ind w:left="-108"/>
              <w:jc w:val="center"/>
              <w:rPr>
                <w:rFonts w:ascii="Arial Narrow" w:hAnsi="Arial Narrow"/>
                <w:sz w:val="20"/>
                <w:szCs w:val="22"/>
              </w:rPr>
            </w:pPr>
          </w:p>
          <w:p w:rsidR="008A4055" w:rsidRPr="001A53B7" w:rsidRDefault="008A4055" w:rsidP="00C21C34">
            <w:pPr>
              <w:keepNext/>
              <w:ind w:left="-108"/>
              <w:jc w:val="center"/>
              <w:rPr>
                <w:rFonts w:ascii="Arial Narrow" w:hAnsi="Arial Narrow"/>
                <w:sz w:val="20"/>
                <w:szCs w:val="22"/>
              </w:rPr>
            </w:pPr>
            <w:r w:rsidRPr="001A53B7">
              <w:rPr>
                <w:rFonts w:ascii="Arial Narrow" w:hAnsi="Arial Narrow"/>
                <w:sz w:val="20"/>
                <w:szCs w:val="22"/>
              </w:rPr>
              <w:t>5</w:t>
            </w:r>
          </w:p>
        </w:tc>
        <w:tc>
          <w:tcPr>
            <w:tcW w:w="1843" w:type="dxa"/>
          </w:tcPr>
          <w:p w:rsidR="008A4055" w:rsidRPr="001A53B7" w:rsidRDefault="008A4055" w:rsidP="00C21C34">
            <w:pPr>
              <w:keepNext/>
              <w:rPr>
                <w:rFonts w:ascii="Arial Narrow" w:hAnsi="Arial Narrow"/>
                <w:sz w:val="20"/>
                <w:szCs w:val="22"/>
              </w:rPr>
            </w:pPr>
          </w:p>
          <w:p w:rsidR="008A4055" w:rsidRPr="001A53B7" w:rsidRDefault="008A4055" w:rsidP="00C21C34">
            <w:pPr>
              <w:keepNext/>
              <w:rPr>
                <w:rFonts w:ascii="Arial Narrow" w:hAnsi="Arial Narrow"/>
                <w:sz w:val="20"/>
                <w:szCs w:val="22"/>
              </w:rPr>
            </w:pPr>
            <w:proofErr w:type="spellStart"/>
            <w:r w:rsidRPr="001A53B7">
              <w:rPr>
                <w:rFonts w:ascii="Arial Narrow" w:hAnsi="Arial Narrow"/>
                <w:sz w:val="20"/>
                <w:szCs w:val="22"/>
              </w:rPr>
              <w:t>Vectibix</w:t>
            </w:r>
            <w:proofErr w:type="spellEnd"/>
            <w:r w:rsidRPr="001A53B7">
              <w:rPr>
                <w:rFonts w:ascii="Arial Narrow" w:hAnsi="Arial Narrow"/>
                <w:sz w:val="20"/>
                <w:szCs w:val="22"/>
              </w:rPr>
              <w:t>®</w:t>
            </w:r>
          </w:p>
        </w:tc>
        <w:tc>
          <w:tcPr>
            <w:tcW w:w="1701" w:type="dxa"/>
          </w:tcPr>
          <w:p w:rsidR="008A4055" w:rsidRPr="001A53B7" w:rsidRDefault="008A4055" w:rsidP="00C21C34">
            <w:pPr>
              <w:keepNext/>
              <w:rPr>
                <w:rFonts w:ascii="Arial Narrow" w:hAnsi="Arial Narrow"/>
                <w:sz w:val="20"/>
                <w:szCs w:val="22"/>
              </w:rPr>
            </w:pPr>
          </w:p>
          <w:p w:rsidR="008A4055" w:rsidRPr="001A53B7" w:rsidRDefault="008A4055" w:rsidP="00C21C34">
            <w:pPr>
              <w:keepNext/>
              <w:rPr>
                <w:rFonts w:ascii="Arial Narrow" w:hAnsi="Arial Narrow"/>
                <w:sz w:val="20"/>
                <w:szCs w:val="22"/>
              </w:rPr>
            </w:pPr>
            <w:r w:rsidRPr="001A53B7">
              <w:rPr>
                <w:rFonts w:ascii="Arial Narrow" w:hAnsi="Arial Narrow"/>
                <w:sz w:val="20"/>
                <w:szCs w:val="22"/>
              </w:rPr>
              <w:t>AN</w:t>
            </w:r>
          </w:p>
        </w:tc>
      </w:tr>
    </w:tbl>
    <w:p w:rsidR="008A4055" w:rsidRPr="007107C1" w:rsidRDefault="008A4055" w:rsidP="008A4055">
      <w:pPr>
        <w:rPr>
          <w:b/>
          <w:i/>
          <w:lang w:eastAsia="ko-KR"/>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isting panitumumab"/>
      </w:tblPr>
      <w:tblGrid>
        <w:gridCol w:w="1701"/>
        <w:gridCol w:w="6521"/>
      </w:tblGrid>
      <w:tr w:rsidR="008A4055" w:rsidRPr="0064721C" w:rsidTr="0064721C">
        <w:tc>
          <w:tcPr>
            <w:tcW w:w="170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Severity:</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Metastatic</w:t>
            </w:r>
          </w:p>
        </w:tc>
      </w:tr>
      <w:tr w:rsidR="008A4055" w:rsidRPr="0064721C" w:rsidTr="0064721C">
        <w:tc>
          <w:tcPr>
            <w:tcW w:w="170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Condition: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colorectal cancer</w:t>
            </w:r>
          </w:p>
        </w:tc>
      </w:tr>
      <w:tr w:rsidR="008A4055" w:rsidRPr="0064721C" w:rsidTr="0064721C">
        <w:tc>
          <w:tcPr>
            <w:tcW w:w="1701" w:type="dxa"/>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Treatment phase:</w:t>
            </w:r>
          </w:p>
        </w:tc>
        <w:tc>
          <w:tcPr>
            <w:tcW w:w="6521" w:type="dxa"/>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Initial treatment</w:t>
            </w:r>
          </w:p>
        </w:tc>
      </w:tr>
      <w:tr w:rsidR="008A4055" w:rsidRPr="0064721C" w:rsidTr="0064721C">
        <w:tc>
          <w:tcPr>
            <w:tcW w:w="1701" w:type="dxa"/>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Restriction:</w:t>
            </w:r>
          </w:p>
        </w:tc>
        <w:tc>
          <w:tcPr>
            <w:tcW w:w="6521" w:type="dxa"/>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Section 100 (Efficient Funding of Chemotherapy (EFC))</w:t>
            </w:r>
          </w:p>
          <w:p w:rsidR="008A4055" w:rsidRPr="0064721C" w:rsidRDefault="008A4055" w:rsidP="00C21C34">
            <w:pPr>
              <w:rPr>
                <w:rFonts w:ascii="Arial Narrow" w:hAnsi="Arial Narrow"/>
                <w:sz w:val="20"/>
              </w:rPr>
            </w:pPr>
            <w:r w:rsidRPr="0064721C">
              <w:rPr>
                <w:rFonts w:ascii="Arial Narrow" w:hAnsi="Arial Narrow"/>
                <w:sz w:val="20"/>
              </w:rPr>
              <w:t>Private Hospital/Private Clinic Authority Required</w:t>
            </w:r>
          </w:p>
          <w:p w:rsidR="008A4055" w:rsidRPr="0064721C" w:rsidRDefault="008A4055" w:rsidP="00C21C34">
            <w:pPr>
              <w:rPr>
                <w:rFonts w:ascii="Arial Narrow" w:hAnsi="Arial Narrow"/>
                <w:sz w:val="20"/>
              </w:rPr>
            </w:pPr>
            <w:r w:rsidRPr="0064721C">
              <w:rPr>
                <w:rFonts w:ascii="Arial Narrow" w:hAnsi="Arial Narrow"/>
                <w:sz w:val="20"/>
              </w:rPr>
              <w:t>Public Hospital Authority Required (STREAMLINED)</w:t>
            </w:r>
          </w:p>
          <w:p w:rsidR="008A4055" w:rsidRPr="0064721C" w:rsidRDefault="008A4055" w:rsidP="00C21C34">
            <w:pPr>
              <w:rPr>
                <w:rFonts w:ascii="Arial Narrow" w:hAnsi="Arial Narrow"/>
                <w:sz w:val="20"/>
              </w:rPr>
            </w:pPr>
          </w:p>
        </w:tc>
      </w:tr>
      <w:tr w:rsidR="008A4055" w:rsidRPr="0064721C" w:rsidTr="0064721C">
        <w:tc>
          <w:tcPr>
            <w:tcW w:w="1701" w:type="dxa"/>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Clinical criteria:</w:t>
            </w:r>
          </w:p>
        </w:tc>
        <w:tc>
          <w:tcPr>
            <w:tcW w:w="6521" w:type="dxa"/>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 xml:space="preserve">Patient must have </w:t>
            </w:r>
            <w:r w:rsidRPr="0064721C">
              <w:rPr>
                <w:rFonts w:ascii="Arial Narrow" w:hAnsi="Arial Narrow"/>
                <w:b/>
                <w:i/>
                <w:sz w:val="20"/>
              </w:rPr>
              <w:t>RAS</w:t>
            </w:r>
            <w:r w:rsidRPr="0064721C">
              <w:rPr>
                <w:rFonts w:ascii="Arial Narrow" w:hAnsi="Arial Narrow"/>
                <w:sz w:val="20"/>
              </w:rPr>
              <w:t xml:space="preserve"> wild-type metastatic colorectal cancer</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AND</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Patient must have a WHO performance status of 2 or less</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AND</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The condition must have failed to respond to first-line chemotherapy</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AND</w:t>
            </w:r>
          </w:p>
          <w:p w:rsidR="008A4055" w:rsidRPr="0064721C" w:rsidRDefault="008A4055" w:rsidP="00C21C34">
            <w:pPr>
              <w:rPr>
                <w:rFonts w:ascii="Arial Narrow" w:hAnsi="Arial Narrow"/>
                <w:sz w:val="20"/>
              </w:rPr>
            </w:pPr>
            <w:r w:rsidRPr="0064721C">
              <w:rPr>
                <w:rFonts w:ascii="Arial Narrow" w:hAnsi="Arial Narrow"/>
                <w:sz w:val="20"/>
              </w:rPr>
              <w:t>The treatment must be as monotherapy; OR</w:t>
            </w:r>
          </w:p>
          <w:p w:rsidR="008A4055" w:rsidRPr="0064721C" w:rsidRDefault="008A4055" w:rsidP="00C21C34">
            <w:pPr>
              <w:rPr>
                <w:rFonts w:ascii="Arial Narrow" w:hAnsi="Arial Narrow"/>
                <w:sz w:val="20"/>
                <w:szCs w:val="22"/>
              </w:rPr>
            </w:pPr>
            <w:r w:rsidRPr="0064721C">
              <w:rPr>
                <w:rFonts w:ascii="Arial Narrow" w:hAnsi="Arial Narrow"/>
                <w:sz w:val="20"/>
              </w:rPr>
              <w:t>The treatm</w:t>
            </w:r>
            <w:r w:rsidRPr="0064721C">
              <w:rPr>
                <w:rFonts w:ascii="Arial Narrow" w:hAnsi="Arial Narrow"/>
                <w:sz w:val="20"/>
                <w:szCs w:val="22"/>
              </w:rPr>
              <w:t xml:space="preserve">ent must be in combination with an </w:t>
            </w:r>
            <w:proofErr w:type="spellStart"/>
            <w:r w:rsidRPr="0064721C">
              <w:rPr>
                <w:rFonts w:ascii="Arial Narrow" w:hAnsi="Arial Narrow"/>
                <w:sz w:val="20"/>
                <w:szCs w:val="22"/>
              </w:rPr>
              <w:t>irinotecan</w:t>
            </w:r>
            <w:proofErr w:type="spellEnd"/>
            <w:r w:rsidRPr="0064721C">
              <w:rPr>
                <w:rFonts w:ascii="Arial Narrow" w:hAnsi="Arial Narrow"/>
                <w:sz w:val="20"/>
                <w:szCs w:val="22"/>
              </w:rPr>
              <w:t xml:space="preserve"> based therapy</w:t>
            </w:r>
          </w:p>
          <w:p w:rsidR="008A4055" w:rsidRPr="0064721C" w:rsidRDefault="008A4055" w:rsidP="00C21C34">
            <w:pPr>
              <w:rPr>
                <w:rFonts w:ascii="Arial Narrow" w:hAnsi="Arial Narrow"/>
                <w:sz w:val="20"/>
                <w:szCs w:val="22"/>
              </w:rPr>
            </w:pPr>
          </w:p>
          <w:p w:rsidR="008A4055" w:rsidRPr="0064721C" w:rsidRDefault="008A4055" w:rsidP="00C21C34">
            <w:pPr>
              <w:rPr>
                <w:rFonts w:ascii="Arial Narrow" w:hAnsi="Arial Narrow"/>
                <w:sz w:val="20"/>
                <w:szCs w:val="22"/>
              </w:rPr>
            </w:pPr>
            <w:r w:rsidRPr="0064721C">
              <w:rPr>
                <w:rFonts w:ascii="Arial Narrow" w:hAnsi="Arial Narrow"/>
                <w:sz w:val="20"/>
                <w:szCs w:val="22"/>
              </w:rPr>
              <w:t>AND</w:t>
            </w:r>
          </w:p>
          <w:p w:rsidR="008A4055" w:rsidRPr="0064721C" w:rsidRDefault="008A4055" w:rsidP="00C21C34">
            <w:pPr>
              <w:rPr>
                <w:rFonts w:ascii="Arial Narrow" w:hAnsi="Arial Narrow"/>
                <w:sz w:val="20"/>
                <w:szCs w:val="22"/>
              </w:rPr>
            </w:pPr>
          </w:p>
          <w:p w:rsidR="008A4055" w:rsidRPr="0064721C" w:rsidRDefault="008A4055" w:rsidP="00C21C34">
            <w:pPr>
              <w:rPr>
                <w:rFonts w:ascii="Arial Narrow" w:hAnsi="Arial Narrow"/>
                <w:sz w:val="20"/>
                <w:szCs w:val="22"/>
              </w:rPr>
            </w:pPr>
            <w:r w:rsidRPr="0064721C">
              <w:rPr>
                <w:rFonts w:ascii="Arial Narrow" w:hAnsi="Arial Narrow"/>
                <w:sz w:val="20"/>
                <w:szCs w:val="22"/>
              </w:rPr>
              <w:t>The treatment must be the sole PBS-subsidised anti-EGFR antibody therapy for this condition.</w:t>
            </w:r>
          </w:p>
          <w:p w:rsidR="008A4055" w:rsidRPr="0064721C" w:rsidRDefault="008A4055" w:rsidP="00C21C34">
            <w:pPr>
              <w:rPr>
                <w:rFonts w:ascii="Arial Narrow" w:hAnsi="Arial Narrow"/>
                <w:sz w:val="20"/>
              </w:rPr>
            </w:pPr>
          </w:p>
        </w:tc>
      </w:tr>
      <w:tr w:rsidR="008A4055" w:rsidRPr="0064721C" w:rsidTr="0064721C">
        <w:tc>
          <w:tcPr>
            <w:tcW w:w="170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Prescriber Instructions</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 xml:space="preserve">Patients who have progressive disease on </w:t>
            </w:r>
            <w:proofErr w:type="spellStart"/>
            <w:r w:rsidRPr="0064721C">
              <w:rPr>
                <w:rFonts w:ascii="Arial Narrow" w:hAnsi="Arial Narrow"/>
                <w:sz w:val="20"/>
              </w:rPr>
              <w:t>cetuximab</w:t>
            </w:r>
            <w:proofErr w:type="spellEnd"/>
            <w:r w:rsidRPr="0064721C">
              <w:rPr>
                <w:rFonts w:ascii="Arial Narrow" w:hAnsi="Arial Narrow"/>
                <w:sz w:val="20"/>
              </w:rPr>
              <w:t xml:space="preserve"> are not eligible to receive PBS-subsidised </w:t>
            </w:r>
            <w:proofErr w:type="spellStart"/>
            <w:r w:rsidRPr="0064721C">
              <w:rPr>
                <w:rFonts w:ascii="Arial Narrow" w:hAnsi="Arial Narrow"/>
                <w:sz w:val="20"/>
              </w:rPr>
              <w:t>panitumumab</w:t>
            </w:r>
            <w:proofErr w:type="spellEnd"/>
            <w:r w:rsidRPr="0064721C">
              <w:rPr>
                <w:rFonts w:ascii="Arial Narrow" w:hAnsi="Arial Narrow"/>
                <w:sz w:val="20"/>
              </w:rPr>
              <w:t>.</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 xml:space="preserve">Patients who have developed intolerance to </w:t>
            </w:r>
            <w:proofErr w:type="spellStart"/>
            <w:r w:rsidRPr="0064721C">
              <w:rPr>
                <w:rFonts w:ascii="Arial Narrow" w:hAnsi="Arial Narrow"/>
                <w:sz w:val="20"/>
              </w:rPr>
              <w:t>cetuximab</w:t>
            </w:r>
            <w:proofErr w:type="spellEnd"/>
            <w:r w:rsidRPr="0064721C">
              <w:rPr>
                <w:rFonts w:ascii="Arial Narrow" w:hAnsi="Arial Narrow"/>
                <w:sz w:val="20"/>
              </w:rPr>
              <w:t xml:space="preserve"> of a severity necessitating permanent treatment withdrawal are eligible to receive PBS-subsidised </w:t>
            </w:r>
            <w:proofErr w:type="spellStart"/>
            <w:r w:rsidRPr="0064721C">
              <w:rPr>
                <w:rFonts w:ascii="Arial Narrow" w:hAnsi="Arial Narrow"/>
                <w:sz w:val="20"/>
              </w:rPr>
              <w:t>panitumumab</w:t>
            </w:r>
            <w:proofErr w:type="spellEnd"/>
            <w:r w:rsidRPr="0064721C">
              <w:rPr>
                <w:rFonts w:ascii="Arial Narrow" w:hAnsi="Arial Narrow"/>
                <w:sz w:val="20"/>
              </w:rPr>
              <w:t xml:space="preserve">. </w:t>
            </w:r>
          </w:p>
          <w:p w:rsidR="008A4055" w:rsidRPr="0064721C" w:rsidRDefault="008A4055" w:rsidP="00C21C34">
            <w:pPr>
              <w:rPr>
                <w:rFonts w:ascii="Arial Narrow" w:hAnsi="Arial Narrow"/>
                <w:sz w:val="20"/>
              </w:rPr>
            </w:pPr>
          </w:p>
        </w:tc>
      </w:tr>
      <w:tr w:rsidR="008A4055" w:rsidRPr="0064721C" w:rsidTr="0064721C">
        <w:tc>
          <w:tcPr>
            <w:tcW w:w="170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CF21B0" w:rsidP="00C21C34">
            <w:pPr>
              <w:rPr>
                <w:rFonts w:ascii="Arial Narrow" w:hAnsi="Arial Narrow"/>
                <w:b/>
                <w:sz w:val="20"/>
              </w:rPr>
            </w:pPr>
            <w:r>
              <w:br w:type="page"/>
            </w:r>
            <w:r w:rsidR="008A4055" w:rsidRPr="0064721C">
              <w:rPr>
                <w:rFonts w:ascii="Arial Narrow" w:hAnsi="Arial Narrow"/>
                <w:b/>
                <w:sz w:val="20"/>
              </w:rPr>
              <w:t>Administrative advice</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Note</w:t>
            </w:r>
          </w:p>
          <w:p w:rsidR="008A4055" w:rsidRPr="0064721C" w:rsidRDefault="008A4055" w:rsidP="00C21C34">
            <w:pPr>
              <w:rPr>
                <w:rFonts w:ascii="Arial Narrow" w:hAnsi="Arial Narrow"/>
                <w:sz w:val="20"/>
              </w:rPr>
            </w:pPr>
            <w:r w:rsidRPr="0064721C">
              <w:rPr>
                <w:rFonts w:ascii="Arial Narrow" w:hAnsi="Arial Narrow"/>
                <w:sz w:val="20"/>
              </w:rPr>
              <w:t>Special Pricing Arrangements apply.</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 xml:space="preserve">Note </w:t>
            </w:r>
          </w:p>
          <w:p w:rsidR="008A4055" w:rsidRPr="0064721C" w:rsidRDefault="008A4055" w:rsidP="00C21C34">
            <w:pPr>
              <w:rPr>
                <w:rFonts w:ascii="Arial Narrow" w:hAnsi="Arial Narrow"/>
                <w:sz w:val="20"/>
              </w:rPr>
            </w:pPr>
            <w:proofErr w:type="spellStart"/>
            <w:r w:rsidRPr="0064721C">
              <w:rPr>
                <w:rFonts w:ascii="Arial Narrow" w:hAnsi="Arial Narrow"/>
                <w:sz w:val="20"/>
              </w:rPr>
              <w:t>Panitumumab</w:t>
            </w:r>
            <w:proofErr w:type="spellEnd"/>
            <w:r w:rsidRPr="0064721C">
              <w:rPr>
                <w:rFonts w:ascii="Arial Narrow" w:hAnsi="Arial Narrow"/>
                <w:sz w:val="20"/>
              </w:rPr>
              <w:t xml:space="preserve"> is not PBS-subsidised for use in combination with </w:t>
            </w:r>
            <w:proofErr w:type="spellStart"/>
            <w:r w:rsidRPr="0064721C">
              <w:rPr>
                <w:rFonts w:ascii="Arial Narrow" w:hAnsi="Arial Narrow"/>
                <w:sz w:val="20"/>
              </w:rPr>
              <w:t>oxaliplatin</w:t>
            </w:r>
            <w:proofErr w:type="spellEnd"/>
            <w:r w:rsidRPr="0064721C">
              <w:rPr>
                <w:rFonts w:ascii="Arial Narrow" w:hAnsi="Arial Narrow"/>
                <w:sz w:val="20"/>
              </w:rPr>
              <w:t>-based therapies.</w:t>
            </w:r>
          </w:p>
          <w:p w:rsidR="008A4055" w:rsidRPr="0064721C" w:rsidRDefault="008A4055" w:rsidP="00C21C34">
            <w:pPr>
              <w:rPr>
                <w:rFonts w:ascii="Arial Narrow" w:hAnsi="Arial Narrow"/>
                <w:sz w:val="20"/>
              </w:rPr>
            </w:pPr>
          </w:p>
        </w:tc>
      </w:tr>
    </w:tbl>
    <w:p w:rsidR="00E03039" w:rsidRDefault="00E03039" w:rsidP="00B614F8"/>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isting panitumumab"/>
      </w:tblPr>
      <w:tblGrid>
        <w:gridCol w:w="1701"/>
        <w:gridCol w:w="6521"/>
      </w:tblGrid>
      <w:tr w:rsidR="008A4055" w:rsidRPr="0064721C" w:rsidTr="0064721C">
        <w:tc>
          <w:tcPr>
            <w:tcW w:w="170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Severity:</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Metastatic</w:t>
            </w:r>
          </w:p>
        </w:tc>
      </w:tr>
      <w:tr w:rsidR="008A4055" w:rsidRPr="0064721C" w:rsidTr="0064721C">
        <w:tc>
          <w:tcPr>
            <w:tcW w:w="170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Condition: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colorectal cancer</w:t>
            </w:r>
          </w:p>
        </w:tc>
      </w:tr>
      <w:tr w:rsidR="008A4055" w:rsidRPr="0064721C" w:rsidTr="0064721C">
        <w:tc>
          <w:tcPr>
            <w:tcW w:w="1701" w:type="dxa"/>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Treatment phase:</w:t>
            </w:r>
          </w:p>
        </w:tc>
        <w:tc>
          <w:tcPr>
            <w:tcW w:w="6521" w:type="dxa"/>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Continuing treatment</w:t>
            </w:r>
            <w:bookmarkStart w:id="51" w:name="_GoBack"/>
            <w:bookmarkEnd w:id="51"/>
          </w:p>
        </w:tc>
      </w:tr>
      <w:tr w:rsidR="008A4055" w:rsidRPr="0064721C" w:rsidTr="0064721C">
        <w:tc>
          <w:tcPr>
            <w:tcW w:w="1701" w:type="dxa"/>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Restriction:</w:t>
            </w:r>
          </w:p>
        </w:tc>
        <w:tc>
          <w:tcPr>
            <w:tcW w:w="6521" w:type="dxa"/>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Section 100 (Efficient Funding of Chemotherapy (EFC))</w:t>
            </w:r>
          </w:p>
          <w:p w:rsidR="008A4055" w:rsidRPr="0064721C" w:rsidRDefault="008A4055" w:rsidP="00C21C34">
            <w:pPr>
              <w:rPr>
                <w:rFonts w:ascii="Arial Narrow" w:hAnsi="Arial Narrow"/>
                <w:sz w:val="20"/>
              </w:rPr>
            </w:pPr>
            <w:r w:rsidRPr="0064721C">
              <w:rPr>
                <w:rFonts w:ascii="Arial Narrow" w:hAnsi="Arial Narrow"/>
                <w:sz w:val="20"/>
              </w:rPr>
              <w:t>Private Hospital/Private Clinic Authority Required</w:t>
            </w:r>
          </w:p>
          <w:p w:rsidR="008A4055" w:rsidRPr="0064721C" w:rsidRDefault="008A4055" w:rsidP="00C21C34">
            <w:pPr>
              <w:rPr>
                <w:rFonts w:ascii="Arial Narrow" w:hAnsi="Arial Narrow"/>
                <w:sz w:val="20"/>
              </w:rPr>
            </w:pPr>
            <w:r w:rsidRPr="0064721C">
              <w:rPr>
                <w:rFonts w:ascii="Arial Narrow" w:hAnsi="Arial Narrow"/>
                <w:sz w:val="20"/>
              </w:rPr>
              <w:t>Public Hospital Authority Required (STREAMLINED)</w:t>
            </w:r>
          </w:p>
          <w:p w:rsidR="008A4055" w:rsidRPr="0064721C" w:rsidRDefault="008A4055" w:rsidP="00C21C34">
            <w:pPr>
              <w:rPr>
                <w:rFonts w:ascii="Arial Narrow" w:hAnsi="Arial Narrow"/>
                <w:sz w:val="20"/>
              </w:rPr>
            </w:pPr>
          </w:p>
        </w:tc>
      </w:tr>
      <w:tr w:rsidR="008A4055" w:rsidRPr="0064721C" w:rsidTr="0064721C">
        <w:tc>
          <w:tcPr>
            <w:tcW w:w="1701" w:type="dxa"/>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Clinical criteria:</w:t>
            </w:r>
          </w:p>
        </w:tc>
        <w:tc>
          <w:tcPr>
            <w:tcW w:w="6521" w:type="dxa"/>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 xml:space="preserve">Patient must have received an initial authority prescription for </w:t>
            </w:r>
            <w:proofErr w:type="spellStart"/>
            <w:r w:rsidRPr="0064721C">
              <w:rPr>
                <w:rFonts w:ascii="Arial Narrow" w:hAnsi="Arial Narrow"/>
                <w:sz w:val="20"/>
              </w:rPr>
              <w:t>panitumumab</w:t>
            </w:r>
            <w:proofErr w:type="spellEnd"/>
            <w:r w:rsidRPr="0064721C">
              <w:rPr>
                <w:rFonts w:ascii="Arial Narrow" w:hAnsi="Arial Narrow"/>
                <w:sz w:val="20"/>
              </w:rPr>
              <w:t xml:space="preserve"> for treatment of </w:t>
            </w:r>
            <w:r w:rsidRPr="0064721C">
              <w:rPr>
                <w:rFonts w:ascii="Arial Narrow" w:hAnsi="Arial Narrow"/>
                <w:b/>
                <w:i/>
                <w:sz w:val="20"/>
              </w:rPr>
              <w:t>RAS</w:t>
            </w:r>
            <w:r w:rsidRPr="0064721C">
              <w:rPr>
                <w:rFonts w:ascii="Arial Narrow" w:hAnsi="Arial Narrow"/>
                <w:sz w:val="20"/>
              </w:rPr>
              <w:t xml:space="preserve"> wild-type metastatic colorectal cancer after failure of first-line </w:t>
            </w:r>
            <w:r w:rsidRPr="0064721C">
              <w:rPr>
                <w:rFonts w:ascii="Arial Narrow" w:hAnsi="Arial Narrow"/>
                <w:sz w:val="20"/>
              </w:rPr>
              <w:lastRenderedPageBreak/>
              <w:t>chemotherapy</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AND</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Patient must not have progressive disease</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AND</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The treatment must be as monotherapy; OR</w:t>
            </w:r>
          </w:p>
          <w:p w:rsidR="008A4055" w:rsidRPr="0064721C" w:rsidRDefault="008A4055" w:rsidP="00C21C34">
            <w:pPr>
              <w:rPr>
                <w:rFonts w:ascii="Arial Narrow" w:hAnsi="Arial Narrow"/>
                <w:sz w:val="20"/>
                <w:szCs w:val="22"/>
              </w:rPr>
            </w:pPr>
            <w:r w:rsidRPr="0064721C">
              <w:rPr>
                <w:rFonts w:ascii="Arial Narrow" w:hAnsi="Arial Narrow"/>
                <w:sz w:val="20"/>
              </w:rPr>
              <w:t xml:space="preserve">The </w:t>
            </w:r>
            <w:r w:rsidRPr="0064721C">
              <w:rPr>
                <w:rFonts w:ascii="Arial Narrow" w:hAnsi="Arial Narrow"/>
                <w:sz w:val="20"/>
                <w:szCs w:val="22"/>
              </w:rPr>
              <w:t xml:space="preserve">treatment must be in combination with an </w:t>
            </w:r>
            <w:proofErr w:type="spellStart"/>
            <w:r w:rsidRPr="0064721C">
              <w:rPr>
                <w:rFonts w:ascii="Arial Narrow" w:hAnsi="Arial Narrow"/>
                <w:sz w:val="20"/>
                <w:szCs w:val="22"/>
              </w:rPr>
              <w:t>irinotecan</w:t>
            </w:r>
            <w:proofErr w:type="spellEnd"/>
            <w:r w:rsidRPr="0064721C">
              <w:rPr>
                <w:rFonts w:ascii="Arial Narrow" w:hAnsi="Arial Narrow"/>
                <w:sz w:val="20"/>
                <w:szCs w:val="22"/>
              </w:rPr>
              <w:t xml:space="preserve"> based therapy</w:t>
            </w:r>
          </w:p>
          <w:p w:rsidR="008A4055" w:rsidRPr="0064721C" w:rsidRDefault="008A4055" w:rsidP="00C21C34">
            <w:pPr>
              <w:rPr>
                <w:rFonts w:ascii="Arial Narrow" w:hAnsi="Arial Narrow"/>
                <w:sz w:val="20"/>
                <w:szCs w:val="22"/>
              </w:rPr>
            </w:pPr>
          </w:p>
          <w:p w:rsidR="008A4055" w:rsidRPr="0064721C" w:rsidRDefault="008A4055" w:rsidP="00C21C34">
            <w:pPr>
              <w:rPr>
                <w:rFonts w:ascii="Arial Narrow" w:hAnsi="Arial Narrow"/>
                <w:sz w:val="20"/>
                <w:szCs w:val="22"/>
              </w:rPr>
            </w:pPr>
            <w:r w:rsidRPr="0064721C">
              <w:rPr>
                <w:rFonts w:ascii="Arial Narrow" w:hAnsi="Arial Narrow"/>
                <w:sz w:val="20"/>
                <w:szCs w:val="22"/>
              </w:rPr>
              <w:t>AND</w:t>
            </w:r>
          </w:p>
          <w:p w:rsidR="008A4055" w:rsidRPr="0064721C" w:rsidRDefault="008A4055" w:rsidP="00C21C34">
            <w:pPr>
              <w:rPr>
                <w:rFonts w:ascii="Arial Narrow" w:hAnsi="Arial Narrow"/>
                <w:sz w:val="20"/>
                <w:szCs w:val="22"/>
              </w:rPr>
            </w:pPr>
          </w:p>
          <w:p w:rsidR="008A4055" w:rsidRPr="0064721C" w:rsidRDefault="008A4055" w:rsidP="00C21C34">
            <w:pPr>
              <w:rPr>
                <w:rFonts w:ascii="Arial Narrow" w:hAnsi="Arial Narrow"/>
                <w:sz w:val="20"/>
                <w:szCs w:val="22"/>
              </w:rPr>
            </w:pPr>
            <w:r w:rsidRPr="0064721C">
              <w:rPr>
                <w:rFonts w:ascii="Arial Narrow" w:hAnsi="Arial Narrow"/>
                <w:sz w:val="20"/>
                <w:szCs w:val="22"/>
              </w:rPr>
              <w:t>The treatment must be the sole PBS-subsidised anti-EGFR antibody therapy for this condition</w:t>
            </w:r>
          </w:p>
          <w:p w:rsidR="008A4055" w:rsidRPr="0064721C" w:rsidRDefault="008A4055" w:rsidP="00C21C34">
            <w:pPr>
              <w:rPr>
                <w:rFonts w:ascii="Arial Narrow" w:hAnsi="Arial Narrow"/>
                <w:sz w:val="20"/>
              </w:rPr>
            </w:pPr>
          </w:p>
        </w:tc>
      </w:tr>
      <w:tr w:rsidR="008A4055" w:rsidRPr="0064721C" w:rsidTr="0064721C">
        <w:tc>
          <w:tcPr>
            <w:tcW w:w="170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lastRenderedPageBreak/>
              <w:t>Prescriber Instructions</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 xml:space="preserve">Patients who have progressive disease on </w:t>
            </w:r>
            <w:proofErr w:type="spellStart"/>
            <w:r w:rsidRPr="0064721C">
              <w:rPr>
                <w:rFonts w:ascii="Arial Narrow" w:hAnsi="Arial Narrow"/>
                <w:sz w:val="20"/>
              </w:rPr>
              <w:t>cetuximab</w:t>
            </w:r>
            <w:proofErr w:type="spellEnd"/>
            <w:r w:rsidRPr="0064721C">
              <w:rPr>
                <w:rFonts w:ascii="Arial Narrow" w:hAnsi="Arial Narrow"/>
                <w:sz w:val="20"/>
              </w:rPr>
              <w:t xml:space="preserve"> are not eligible to receive PBS-subsidised </w:t>
            </w:r>
            <w:proofErr w:type="spellStart"/>
            <w:r w:rsidRPr="0064721C">
              <w:rPr>
                <w:rFonts w:ascii="Arial Narrow" w:hAnsi="Arial Narrow"/>
                <w:sz w:val="20"/>
              </w:rPr>
              <w:t>panitumumab</w:t>
            </w:r>
            <w:proofErr w:type="spellEnd"/>
            <w:r w:rsidRPr="0064721C">
              <w:rPr>
                <w:rFonts w:ascii="Arial Narrow" w:hAnsi="Arial Narrow"/>
                <w:sz w:val="20"/>
              </w:rPr>
              <w:t>.</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 xml:space="preserve">Patients who have developed intolerance to </w:t>
            </w:r>
            <w:proofErr w:type="spellStart"/>
            <w:r w:rsidRPr="0064721C">
              <w:rPr>
                <w:rFonts w:ascii="Arial Narrow" w:hAnsi="Arial Narrow"/>
                <w:sz w:val="20"/>
              </w:rPr>
              <w:t>cetuximab</w:t>
            </w:r>
            <w:proofErr w:type="spellEnd"/>
            <w:r w:rsidRPr="0064721C">
              <w:rPr>
                <w:rFonts w:ascii="Arial Narrow" w:hAnsi="Arial Narrow"/>
                <w:sz w:val="20"/>
              </w:rPr>
              <w:t xml:space="preserve"> of a severity necessitating permanent treatment withdrawal are eligible to receive PBS-subsidised </w:t>
            </w:r>
            <w:proofErr w:type="spellStart"/>
            <w:r w:rsidRPr="0064721C">
              <w:rPr>
                <w:rFonts w:ascii="Arial Narrow" w:hAnsi="Arial Narrow"/>
                <w:sz w:val="20"/>
              </w:rPr>
              <w:t>panitumumab</w:t>
            </w:r>
            <w:proofErr w:type="spellEnd"/>
            <w:r w:rsidRPr="0064721C">
              <w:rPr>
                <w:rFonts w:ascii="Arial Narrow" w:hAnsi="Arial Narrow"/>
                <w:sz w:val="20"/>
              </w:rPr>
              <w:t xml:space="preserve">. </w:t>
            </w:r>
          </w:p>
          <w:p w:rsidR="008A4055" w:rsidRPr="0064721C" w:rsidRDefault="008A4055" w:rsidP="00C21C34">
            <w:pPr>
              <w:rPr>
                <w:rFonts w:ascii="Arial Narrow" w:hAnsi="Arial Narrow"/>
                <w:sz w:val="20"/>
              </w:rPr>
            </w:pPr>
          </w:p>
        </w:tc>
      </w:tr>
      <w:tr w:rsidR="008A4055" w:rsidRPr="0064721C" w:rsidTr="0064721C">
        <w:tc>
          <w:tcPr>
            <w:tcW w:w="170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b/>
                <w:sz w:val="20"/>
              </w:rPr>
            </w:pPr>
            <w:r w:rsidRPr="0064721C">
              <w:rPr>
                <w:rFonts w:ascii="Arial Narrow" w:hAnsi="Arial Narrow"/>
                <w:b/>
                <w:sz w:val="20"/>
              </w:rPr>
              <w:t>Administrative advice</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A4055" w:rsidRPr="0064721C" w:rsidRDefault="008A4055" w:rsidP="00C21C34">
            <w:pPr>
              <w:rPr>
                <w:rFonts w:ascii="Arial Narrow" w:hAnsi="Arial Narrow"/>
                <w:sz w:val="20"/>
              </w:rPr>
            </w:pPr>
            <w:r w:rsidRPr="0064721C">
              <w:rPr>
                <w:rFonts w:ascii="Arial Narrow" w:hAnsi="Arial Narrow"/>
                <w:sz w:val="20"/>
              </w:rPr>
              <w:t>Note</w:t>
            </w:r>
          </w:p>
          <w:p w:rsidR="008A4055" w:rsidRPr="0064721C" w:rsidRDefault="008A4055" w:rsidP="00C21C34">
            <w:pPr>
              <w:rPr>
                <w:rFonts w:ascii="Arial Narrow" w:hAnsi="Arial Narrow"/>
                <w:sz w:val="20"/>
              </w:rPr>
            </w:pPr>
            <w:r w:rsidRPr="0064721C">
              <w:rPr>
                <w:rFonts w:ascii="Arial Narrow" w:hAnsi="Arial Narrow"/>
                <w:sz w:val="20"/>
              </w:rPr>
              <w:t>Special Pricing Arrangements apply.</w:t>
            </w:r>
          </w:p>
          <w:p w:rsidR="008A4055" w:rsidRPr="0064721C" w:rsidRDefault="008A4055" w:rsidP="00C21C34">
            <w:pPr>
              <w:rPr>
                <w:rFonts w:ascii="Arial Narrow" w:hAnsi="Arial Narrow"/>
                <w:sz w:val="20"/>
              </w:rPr>
            </w:pPr>
          </w:p>
          <w:p w:rsidR="008A4055" w:rsidRPr="0064721C" w:rsidRDefault="008A4055" w:rsidP="00C21C34">
            <w:pPr>
              <w:rPr>
                <w:rFonts w:ascii="Arial Narrow" w:hAnsi="Arial Narrow"/>
                <w:sz w:val="20"/>
              </w:rPr>
            </w:pPr>
            <w:r w:rsidRPr="0064721C">
              <w:rPr>
                <w:rFonts w:ascii="Arial Narrow" w:hAnsi="Arial Narrow"/>
                <w:sz w:val="20"/>
              </w:rPr>
              <w:t xml:space="preserve">Note </w:t>
            </w:r>
          </w:p>
          <w:p w:rsidR="008A4055" w:rsidRPr="0064721C" w:rsidRDefault="008A4055" w:rsidP="00C21C34">
            <w:pPr>
              <w:rPr>
                <w:rFonts w:ascii="Arial Narrow" w:hAnsi="Arial Narrow"/>
                <w:sz w:val="20"/>
              </w:rPr>
            </w:pPr>
            <w:proofErr w:type="spellStart"/>
            <w:r w:rsidRPr="0064721C">
              <w:rPr>
                <w:rFonts w:ascii="Arial Narrow" w:hAnsi="Arial Narrow"/>
                <w:sz w:val="20"/>
              </w:rPr>
              <w:t>Panitumumab</w:t>
            </w:r>
            <w:proofErr w:type="spellEnd"/>
            <w:r w:rsidRPr="0064721C">
              <w:rPr>
                <w:rFonts w:ascii="Arial Narrow" w:hAnsi="Arial Narrow"/>
                <w:sz w:val="20"/>
              </w:rPr>
              <w:t xml:space="preserve"> is not PBS-subsidised for use in combination with </w:t>
            </w:r>
            <w:proofErr w:type="spellStart"/>
            <w:r w:rsidRPr="0064721C">
              <w:rPr>
                <w:rFonts w:ascii="Arial Narrow" w:hAnsi="Arial Narrow"/>
                <w:sz w:val="20"/>
              </w:rPr>
              <w:t>oxaliplatin</w:t>
            </w:r>
            <w:proofErr w:type="spellEnd"/>
            <w:r w:rsidRPr="0064721C">
              <w:rPr>
                <w:rFonts w:ascii="Arial Narrow" w:hAnsi="Arial Narrow"/>
                <w:sz w:val="20"/>
              </w:rPr>
              <w:t>-based therapies.</w:t>
            </w:r>
          </w:p>
          <w:p w:rsidR="008A4055" w:rsidRPr="0064721C" w:rsidRDefault="008A4055" w:rsidP="00C21C34">
            <w:pPr>
              <w:rPr>
                <w:rFonts w:ascii="Arial Narrow" w:hAnsi="Arial Narrow"/>
                <w:sz w:val="20"/>
              </w:rPr>
            </w:pPr>
          </w:p>
        </w:tc>
      </w:tr>
    </w:tbl>
    <w:p w:rsidR="00B614F8" w:rsidRDefault="00B614F8" w:rsidP="00B614F8"/>
    <w:p w:rsidR="00AD19AA" w:rsidRDefault="00AD19AA" w:rsidP="00AD19AA">
      <w:pPr>
        <w:pStyle w:val="ListParagraph"/>
        <w:widowControl/>
        <w:numPr>
          <w:ilvl w:val="0"/>
          <w:numId w:val="18"/>
        </w:numPr>
        <w:rPr>
          <w:b/>
        </w:rPr>
      </w:pPr>
      <w:r w:rsidRPr="00D4420F">
        <w:rPr>
          <w:b/>
        </w:rPr>
        <w:t>Context for Decision</w:t>
      </w:r>
    </w:p>
    <w:p w:rsidR="00AD19AA" w:rsidRPr="00D4420F" w:rsidRDefault="00AD19AA" w:rsidP="00AD19AA">
      <w:pPr>
        <w:pStyle w:val="ListParagraph"/>
        <w:widowControl/>
        <w:rPr>
          <w:b/>
        </w:rPr>
      </w:pPr>
    </w:p>
    <w:p w:rsidR="00AD19AA" w:rsidRPr="00D4420F" w:rsidRDefault="00AD19AA" w:rsidP="00AD19AA">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D19AA" w:rsidRPr="00D4420F" w:rsidRDefault="00AD19AA" w:rsidP="00AD19AA"/>
    <w:p w:rsidR="00AD19AA" w:rsidRPr="00D4420F" w:rsidRDefault="00AD19AA" w:rsidP="00AD19AA">
      <w:pPr>
        <w:pStyle w:val="ListParagraph"/>
        <w:widowControl/>
        <w:numPr>
          <w:ilvl w:val="0"/>
          <w:numId w:val="18"/>
        </w:numPr>
        <w:rPr>
          <w:b/>
        </w:rPr>
      </w:pPr>
      <w:r w:rsidRPr="00D4420F">
        <w:rPr>
          <w:b/>
        </w:rPr>
        <w:t>Sponsor’s Comment</w:t>
      </w:r>
    </w:p>
    <w:p w:rsidR="0023259E" w:rsidRDefault="00DB471F" w:rsidP="00DB471F">
      <w:pPr>
        <w:ind w:left="709"/>
      </w:pPr>
      <w:r>
        <w:tab/>
      </w:r>
    </w:p>
    <w:p w:rsidR="00DB471F" w:rsidRDefault="00DB471F" w:rsidP="00DB471F">
      <w:pPr>
        <w:ind w:left="709"/>
      </w:pPr>
      <w:r>
        <w:t xml:space="preserve">Amgen acknowledges the PBAC’s positive recommendation for modifying the </w:t>
      </w:r>
      <w:proofErr w:type="spellStart"/>
      <w:r>
        <w:t>panitumumab</w:t>
      </w:r>
      <w:proofErr w:type="spellEnd"/>
      <w:r>
        <w:t xml:space="preserve"> (and </w:t>
      </w:r>
      <w:proofErr w:type="spellStart"/>
      <w:r>
        <w:t>cetuximab</w:t>
      </w:r>
      <w:proofErr w:type="spellEnd"/>
      <w:r>
        <w:t xml:space="preserve">) PBS restrictions from WT KRAS to WT RAS in the later-line setting. Amgen is disappointed with the PBAC’s decision not to recommend </w:t>
      </w:r>
      <w:proofErr w:type="spellStart"/>
      <w:r>
        <w:t>panitumumab</w:t>
      </w:r>
      <w:proofErr w:type="spellEnd"/>
      <w:r>
        <w:t xml:space="preserve"> in first-line WT RAS patients, but remains committed to working with the PBAC towards a listing as soon as possible.</w:t>
      </w:r>
    </w:p>
    <w:p w:rsidR="00DB471F" w:rsidRDefault="00DB471F" w:rsidP="00DB471F">
      <w:pPr>
        <w:ind w:left="709"/>
      </w:pPr>
    </w:p>
    <w:p w:rsidR="00DB471F" w:rsidRDefault="00DB471F" w:rsidP="00DB471F">
      <w:pPr>
        <w:ind w:left="709"/>
      </w:pPr>
      <w:r>
        <w:t xml:space="preserve">Taking into account the totality of the evidence considered by the PBAC Amgen believes that, in WT RAS patients, the effectiveness of </w:t>
      </w:r>
      <w:proofErr w:type="spellStart"/>
      <w:r>
        <w:t>panitumumab</w:t>
      </w:r>
      <w:proofErr w:type="spellEnd"/>
      <w:r>
        <w:t xml:space="preserve"> is greater than previously accepted as clinically meaningful in this setting.</w:t>
      </w:r>
    </w:p>
    <w:p w:rsidR="002A07FF" w:rsidRDefault="002A07FF" w:rsidP="00DB471F">
      <w:pPr>
        <w:ind w:left="709"/>
      </w:pPr>
    </w:p>
    <w:p w:rsidR="002A07FF" w:rsidRDefault="002A07FF" w:rsidP="002A07FF">
      <w:pPr>
        <w:ind w:left="709"/>
      </w:pPr>
      <w:r>
        <w:t>Amgen would also like to provide the following corrections and clarifications to the information provided in the above Public Summary Document:</w:t>
      </w:r>
    </w:p>
    <w:p w:rsidR="002A07FF" w:rsidRDefault="002A07FF" w:rsidP="000A70D2">
      <w:pPr>
        <w:pStyle w:val="ListParagraph"/>
        <w:widowControl/>
        <w:ind w:left="1485"/>
        <w:contextualSpacing w:val="0"/>
        <w:jc w:val="left"/>
      </w:pPr>
      <w:r>
        <w:t xml:space="preserve">  </w:t>
      </w:r>
    </w:p>
    <w:p w:rsidR="002A07FF" w:rsidRDefault="002A07FF" w:rsidP="002A07FF">
      <w:pPr>
        <w:pStyle w:val="ListParagraph"/>
        <w:widowControl/>
        <w:numPr>
          <w:ilvl w:val="0"/>
          <w:numId w:val="25"/>
        </w:numPr>
        <w:contextualSpacing w:val="0"/>
        <w:jc w:val="left"/>
      </w:pPr>
      <w:r>
        <w:t>It is incorrectly stated that all RAS WT patients in the comparator arm of the model were assumed to incur the cost of an EGFR inhibitor at progression (Section 6.24, table). In Amgen’s model only a subset of patients were assumed to go on to receive subsequent EGFR therapy.</w:t>
      </w:r>
    </w:p>
    <w:p w:rsidR="002A07FF" w:rsidRDefault="002A07FF" w:rsidP="002A07FF">
      <w:pPr>
        <w:pStyle w:val="ListParagraph"/>
        <w:widowControl/>
        <w:numPr>
          <w:ilvl w:val="0"/>
          <w:numId w:val="25"/>
        </w:numPr>
        <w:contextualSpacing w:val="0"/>
        <w:jc w:val="left"/>
      </w:pPr>
      <w:r>
        <w:lastRenderedPageBreak/>
        <w:t xml:space="preserve">In a response to a question at the hearing, the clinician expressed a personal preference to have both these medicines </w:t>
      </w:r>
      <w:r>
        <w:rPr>
          <w:i/>
          <w:iCs/>
        </w:rPr>
        <w:t>[</w:t>
      </w:r>
      <w:proofErr w:type="spellStart"/>
      <w:r>
        <w:rPr>
          <w:i/>
          <w:iCs/>
        </w:rPr>
        <w:t>panitumumab</w:t>
      </w:r>
      <w:proofErr w:type="spellEnd"/>
      <w:r>
        <w:rPr>
          <w:i/>
          <w:iCs/>
        </w:rPr>
        <w:t xml:space="preserve"> and </w:t>
      </w:r>
      <w:proofErr w:type="spellStart"/>
      <w:r>
        <w:rPr>
          <w:i/>
          <w:iCs/>
        </w:rPr>
        <w:t>cetuximab</w:t>
      </w:r>
      <w:proofErr w:type="spellEnd"/>
      <w:r>
        <w:rPr>
          <w:i/>
          <w:iCs/>
        </w:rPr>
        <w:t>]</w:t>
      </w:r>
      <w:r>
        <w:t xml:space="preserve"> available to be used in sequence with each other for a minority of patients (Section 6.1). Amgen wishes to note that this was not part of the hearing presentation nor was it being sought as part of the submission.  Evidence to support EGFR inhibitors used sequence is limited.</w:t>
      </w:r>
    </w:p>
    <w:p w:rsidR="002A07FF" w:rsidRPr="002A07FF" w:rsidRDefault="002A07FF" w:rsidP="002A07FF">
      <w:pPr>
        <w:pStyle w:val="ListParagraph"/>
        <w:widowControl/>
        <w:numPr>
          <w:ilvl w:val="0"/>
          <w:numId w:val="25"/>
        </w:numPr>
        <w:contextualSpacing w:val="0"/>
        <w:jc w:val="left"/>
      </w:pPr>
      <w:r w:rsidRPr="002A07FF">
        <w:t xml:space="preserve">The PSD also suggests a “trend to a greater superiority in the RAS WT subgroups of the </w:t>
      </w:r>
      <w:proofErr w:type="spellStart"/>
      <w:r w:rsidRPr="002A07FF">
        <w:t>panitumumab</w:t>
      </w:r>
      <w:proofErr w:type="spellEnd"/>
      <w:r w:rsidRPr="002A07FF">
        <w:t xml:space="preserve"> studies” (Section 6.6).  Whilst PEAK is a phase 2 study and demonstrated only a statistically significant difference in PFS in the RAS WT population, the phase 3 PRIME study demonstrated superiority of </w:t>
      </w:r>
      <w:proofErr w:type="spellStart"/>
      <w:r w:rsidRPr="002A07FF">
        <w:t>panitumumab</w:t>
      </w:r>
      <w:proofErr w:type="spellEnd"/>
      <w:r w:rsidRPr="002A07FF">
        <w:t xml:space="preserve"> in both PFS and OS in RAS WT patients.</w:t>
      </w:r>
    </w:p>
    <w:p w:rsidR="002A07FF" w:rsidRPr="00977792" w:rsidRDefault="002A07FF" w:rsidP="002A07FF"/>
    <w:p w:rsidR="002A07FF" w:rsidRPr="00977792" w:rsidRDefault="002A07FF" w:rsidP="00DB471F">
      <w:pPr>
        <w:ind w:left="709"/>
      </w:pPr>
    </w:p>
    <w:p w:rsidR="00E3564F" w:rsidRPr="00977792" w:rsidRDefault="00E3564F" w:rsidP="00621477"/>
    <w:sectPr w:rsidR="00E3564F" w:rsidRPr="00977792" w:rsidSect="00B43E2B">
      <w:headerReference w:type="default" r:id="rId9"/>
      <w:footerReference w:type="default" r:id="rId10"/>
      <w:pgSz w:w="11907" w:h="16840" w:code="9"/>
      <w:pgMar w:top="1440" w:right="1440" w:bottom="1440" w:left="1440" w:header="567" w:footer="60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88A03C" w15:done="0"/>
  <w15:commentEx w15:paraId="7C589553" w15:done="0"/>
  <w15:commentEx w15:paraId="5A782C62" w15:done="0"/>
  <w15:commentEx w15:paraId="37372988" w15:done="0"/>
  <w15:commentEx w15:paraId="231C65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55" w:rsidRDefault="001A7755" w:rsidP="00124A51">
      <w:r>
        <w:separator/>
      </w:r>
    </w:p>
  </w:endnote>
  <w:endnote w:type="continuationSeparator" w:id="0">
    <w:p w:rsidR="001A7755" w:rsidRDefault="001A775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utiger LT 65 Bold">
    <w:altName w:val="Frutiger LT 65 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00"/>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86"/>
      <w:docPartObj>
        <w:docPartGallery w:val="Page Numbers (Bottom of Page)"/>
        <w:docPartUnique/>
      </w:docPartObj>
    </w:sdtPr>
    <w:sdtEndPr>
      <w:rPr>
        <w:noProof/>
      </w:rPr>
    </w:sdtEndPr>
    <w:sdtContent>
      <w:p w:rsidR="001769BF" w:rsidRDefault="001769BF">
        <w:pPr>
          <w:pStyle w:val="Footer"/>
          <w:jc w:val="center"/>
        </w:pPr>
      </w:p>
      <w:p w:rsidR="001769BF" w:rsidRDefault="001769BF">
        <w:pPr>
          <w:pStyle w:val="Footer"/>
          <w:jc w:val="center"/>
        </w:pPr>
        <w:r>
          <w:fldChar w:fldCharType="begin"/>
        </w:r>
        <w:r>
          <w:instrText xml:space="preserve"> PAGE   \* MERGEFORMAT </w:instrText>
        </w:r>
        <w:r>
          <w:fldChar w:fldCharType="separate"/>
        </w:r>
        <w:r w:rsidR="003D030C">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55" w:rsidRDefault="001A7755" w:rsidP="00124A51">
      <w:r>
        <w:separator/>
      </w:r>
    </w:p>
  </w:footnote>
  <w:footnote w:type="continuationSeparator" w:id="0">
    <w:p w:rsidR="001A7755" w:rsidRDefault="001A775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BF" w:rsidRPr="00DF217D" w:rsidRDefault="001769BF" w:rsidP="00AD19AA">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1769BF" w:rsidRPr="00B21748" w:rsidRDefault="001769BF" w:rsidP="00B21748">
    <w:pPr>
      <w:tabs>
        <w:tab w:val="left" w:pos="142"/>
        <w:tab w:val="right" w:pos="9026"/>
      </w:tabs>
      <w:jc w:val="left"/>
      <w:rPr>
        <w:color w:val="D9D9D9" w:themeColor="background1" w:themeShade="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C12"/>
    <w:multiLevelType w:val="hybridMultilevel"/>
    <w:tmpl w:val="2A38FC14"/>
    <w:lvl w:ilvl="0" w:tplc="0C090001">
      <w:start w:val="1"/>
      <w:numFmt w:val="bullet"/>
      <w:lvlText w:val=""/>
      <w:lvlJc w:val="left"/>
      <w:pPr>
        <w:ind w:left="1485" w:hanging="360"/>
      </w:pPr>
      <w:rPr>
        <w:rFonts w:ascii="Symbol" w:hAnsi="Symbol" w:hint="default"/>
      </w:rPr>
    </w:lvl>
    <w:lvl w:ilvl="1" w:tplc="0C090003">
      <w:start w:val="1"/>
      <w:numFmt w:val="bullet"/>
      <w:lvlText w:val="o"/>
      <w:lvlJc w:val="left"/>
      <w:pPr>
        <w:ind w:left="2205" w:hanging="360"/>
      </w:pPr>
      <w:rPr>
        <w:rFonts w:ascii="Courier New" w:hAnsi="Courier New" w:cs="Courier New" w:hint="default"/>
      </w:rPr>
    </w:lvl>
    <w:lvl w:ilvl="2" w:tplc="0C090005">
      <w:start w:val="1"/>
      <w:numFmt w:val="bullet"/>
      <w:lvlText w:val=""/>
      <w:lvlJc w:val="left"/>
      <w:pPr>
        <w:ind w:left="2925" w:hanging="360"/>
      </w:pPr>
      <w:rPr>
        <w:rFonts w:ascii="Wingdings" w:hAnsi="Wingdings" w:hint="default"/>
      </w:rPr>
    </w:lvl>
    <w:lvl w:ilvl="3" w:tplc="0C090001">
      <w:start w:val="1"/>
      <w:numFmt w:val="bullet"/>
      <w:lvlText w:val=""/>
      <w:lvlJc w:val="left"/>
      <w:pPr>
        <w:ind w:left="3645" w:hanging="360"/>
      </w:pPr>
      <w:rPr>
        <w:rFonts w:ascii="Symbol" w:hAnsi="Symbol" w:hint="default"/>
      </w:rPr>
    </w:lvl>
    <w:lvl w:ilvl="4" w:tplc="0C090003">
      <w:start w:val="1"/>
      <w:numFmt w:val="bullet"/>
      <w:lvlText w:val="o"/>
      <w:lvlJc w:val="left"/>
      <w:pPr>
        <w:ind w:left="4365" w:hanging="360"/>
      </w:pPr>
      <w:rPr>
        <w:rFonts w:ascii="Courier New" w:hAnsi="Courier New" w:cs="Courier New" w:hint="default"/>
      </w:rPr>
    </w:lvl>
    <w:lvl w:ilvl="5" w:tplc="0C090005">
      <w:start w:val="1"/>
      <w:numFmt w:val="bullet"/>
      <w:lvlText w:val=""/>
      <w:lvlJc w:val="left"/>
      <w:pPr>
        <w:ind w:left="5085" w:hanging="360"/>
      </w:pPr>
      <w:rPr>
        <w:rFonts w:ascii="Wingdings" w:hAnsi="Wingdings" w:hint="default"/>
      </w:rPr>
    </w:lvl>
    <w:lvl w:ilvl="6" w:tplc="0C090001">
      <w:start w:val="1"/>
      <w:numFmt w:val="bullet"/>
      <w:lvlText w:val=""/>
      <w:lvlJc w:val="left"/>
      <w:pPr>
        <w:ind w:left="5805" w:hanging="360"/>
      </w:pPr>
      <w:rPr>
        <w:rFonts w:ascii="Symbol" w:hAnsi="Symbol" w:hint="default"/>
      </w:rPr>
    </w:lvl>
    <w:lvl w:ilvl="7" w:tplc="0C090003">
      <w:start w:val="1"/>
      <w:numFmt w:val="bullet"/>
      <w:lvlText w:val="o"/>
      <w:lvlJc w:val="left"/>
      <w:pPr>
        <w:ind w:left="6525" w:hanging="360"/>
      </w:pPr>
      <w:rPr>
        <w:rFonts w:ascii="Courier New" w:hAnsi="Courier New" w:cs="Courier New" w:hint="default"/>
      </w:rPr>
    </w:lvl>
    <w:lvl w:ilvl="8" w:tplc="0C090005">
      <w:start w:val="1"/>
      <w:numFmt w:val="bullet"/>
      <w:lvlText w:val=""/>
      <w:lvlJc w:val="left"/>
      <w:pPr>
        <w:ind w:left="7245" w:hanging="360"/>
      </w:pPr>
      <w:rPr>
        <w:rFonts w:ascii="Wingdings" w:hAnsi="Wingdings" w:hint="default"/>
      </w:rPr>
    </w:lvl>
  </w:abstractNum>
  <w:abstractNum w:abstractNumId="1">
    <w:nsid w:val="041E2844"/>
    <w:multiLevelType w:val="hybridMultilevel"/>
    <w:tmpl w:val="8A3236CE"/>
    <w:lvl w:ilvl="0" w:tplc="3044209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420FDB"/>
    <w:multiLevelType w:val="hybridMultilevel"/>
    <w:tmpl w:val="F5066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DC41F1"/>
    <w:multiLevelType w:val="hybridMultilevel"/>
    <w:tmpl w:val="578E6256"/>
    <w:lvl w:ilvl="0" w:tplc="2DDEE7EE">
      <w:start w:val="1"/>
      <w:numFmt w:val="decimal"/>
      <w:lvlText w:val="6.%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8511963"/>
    <w:multiLevelType w:val="hybridMultilevel"/>
    <w:tmpl w:val="56985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A25DC9"/>
    <w:multiLevelType w:val="multilevel"/>
    <w:tmpl w:val="E974B62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6">
    <w:nsid w:val="1EFB4B54"/>
    <w:multiLevelType w:val="hybridMultilevel"/>
    <w:tmpl w:val="19DC787A"/>
    <w:lvl w:ilvl="0" w:tplc="1F0A4666">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8">
    <w:nsid w:val="270071EC"/>
    <w:multiLevelType w:val="hybridMultilevel"/>
    <w:tmpl w:val="8040789A"/>
    <w:lvl w:ilvl="0" w:tplc="D81C4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5C71A7F"/>
    <w:multiLevelType w:val="hybridMultilevel"/>
    <w:tmpl w:val="BB3A247A"/>
    <w:lvl w:ilvl="0" w:tplc="C9401AE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F2E6708"/>
    <w:multiLevelType w:val="hybridMultilevel"/>
    <w:tmpl w:val="56A0C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2BC3237"/>
    <w:multiLevelType w:val="hybridMultilevel"/>
    <w:tmpl w:val="69484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2CA4B9C"/>
    <w:multiLevelType w:val="hybridMultilevel"/>
    <w:tmpl w:val="D8C8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AD28A4"/>
    <w:multiLevelType w:val="hybridMultilevel"/>
    <w:tmpl w:val="C4241B44"/>
    <w:lvl w:ilvl="0" w:tplc="56043B34">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ED00A85"/>
    <w:multiLevelType w:val="hybridMultilevel"/>
    <w:tmpl w:val="F5AA1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16F3A0C"/>
    <w:multiLevelType w:val="hybridMultilevel"/>
    <w:tmpl w:val="8BD27C1C"/>
    <w:lvl w:ilvl="0" w:tplc="D92C0ED6">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CEF5786"/>
    <w:multiLevelType w:val="hybridMultilevel"/>
    <w:tmpl w:val="F13E9C20"/>
    <w:lvl w:ilvl="0" w:tplc="50ECE8BA">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CFB294A"/>
    <w:multiLevelType w:val="hybridMultilevel"/>
    <w:tmpl w:val="AA340B60"/>
    <w:lvl w:ilvl="0" w:tplc="0C090001">
      <w:start w:val="1"/>
      <w:numFmt w:val="bullet"/>
      <w:lvlText w:val=""/>
      <w:lvlJc w:val="left"/>
      <w:pPr>
        <w:ind w:left="1078" w:hanging="360"/>
      </w:pPr>
      <w:rPr>
        <w:rFonts w:ascii="Symbol" w:hAnsi="Symbol" w:hint="default"/>
      </w:rPr>
    </w:lvl>
    <w:lvl w:ilvl="1" w:tplc="0C090003" w:tentative="1">
      <w:start w:val="1"/>
      <w:numFmt w:val="bullet"/>
      <w:lvlText w:val="o"/>
      <w:lvlJc w:val="left"/>
      <w:pPr>
        <w:ind w:left="1798" w:hanging="360"/>
      </w:pPr>
      <w:rPr>
        <w:rFonts w:ascii="Courier New" w:hAnsi="Courier New" w:cs="Courier New" w:hint="default"/>
      </w:rPr>
    </w:lvl>
    <w:lvl w:ilvl="2" w:tplc="0C090005" w:tentative="1">
      <w:start w:val="1"/>
      <w:numFmt w:val="bullet"/>
      <w:lvlText w:val=""/>
      <w:lvlJc w:val="left"/>
      <w:pPr>
        <w:ind w:left="2518" w:hanging="360"/>
      </w:pPr>
      <w:rPr>
        <w:rFonts w:ascii="Wingdings" w:hAnsi="Wingdings" w:hint="default"/>
      </w:rPr>
    </w:lvl>
    <w:lvl w:ilvl="3" w:tplc="0C090001" w:tentative="1">
      <w:start w:val="1"/>
      <w:numFmt w:val="bullet"/>
      <w:lvlText w:val=""/>
      <w:lvlJc w:val="left"/>
      <w:pPr>
        <w:ind w:left="3238" w:hanging="360"/>
      </w:pPr>
      <w:rPr>
        <w:rFonts w:ascii="Symbol" w:hAnsi="Symbol" w:hint="default"/>
      </w:rPr>
    </w:lvl>
    <w:lvl w:ilvl="4" w:tplc="0C090003" w:tentative="1">
      <w:start w:val="1"/>
      <w:numFmt w:val="bullet"/>
      <w:lvlText w:val="o"/>
      <w:lvlJc w:val="left"/>
      <w:pPr>
        <w:ind w:left="3958" w:hanging="360"/>
      </w:pPr>
      <w:rPr>
        <w:rFonts w:ascii="Courier New" w:hAnsi="Courier New" w:cs="Courier New" w:hint="default"/>
      </w:rPr>
    </w:lvl>
    <w:lvl w:ilvl="5" w:tplc="0C090005" w:tentative="1">
      <w:start w:val="1"/>
      <w:numFmt w:val="bullet"/>
      <w:lvlText w:val=""/>
      <w:lvlJc w:val="left"/>
      <w:pPr>
        <w:ind w:left="4678" w:hanging="360"/>
      </w:pPr>
      <w:rPr>
        <w:rFonts w:ascii="Wingdings" w:hAnsi="Wingdings" w:hint="default"/>
      </w:rPr>
    </w:lvl>
    <w:lvl w:ilvl="6" w:tplc="0C090001" w:tentative="1">
      <w:start w:val="1"/>
      <w:numFmt w:val="bullet"/>
      <w:lvlText w:val=""/>
      <w:lvlJc w:val="left"/>
      <w:pPr>
        <w:ind w:left="5398" w:hanging="360"/>
      </w:pPr>
      <w:rPr>
        <w:rFonts w:ascii="Symbol" w:hAnsi="Symbol" w:hint="default"/>
      </w:rPr>
    </w:lvl>
    <w:lvl w:ilvl="7" w:tplc="0C090003" w:tentative="1">
      <w:start w:val="1"/>
      <w:numFmt w:val="bullet"/>
      <w:lvlText w:val="o"/>
      <w:lvlJc w:val="left"/>
      <w:pPr>
        <w:ind w:left="6118" w:hanging="360"/>
      </w:pPr>
      <w:rPr>
        <w:rFonts w:ascii="Courier New" w:hAnsi="Courier New" w:cs="Courier New" w:hint="default"/>
      </w:rPr>
    </w:lvl>
    <w:lvl w:ilvl="8" w:tplc="0C090005" w:tentative="1">
      <w:start w:val="1"/>
      <w:numFmt w:val="bullet"/>
      <w:lvlText w:val=""/>
      <w:lvlJc w:val="left"/>
      <w:pPr>
        <w:ind w:left="6838" w:hanging="360"/>
      </w:pPr>
      <w:rPr>
        <w:rFonts w:ascii="Wingdings" w:hAnsi="Wingdings" w:hint="default"/>
      </w:rPr>
    </w:lvl>
  </w:abstractNum>
  <w:abstractNum w:abstractNumId="19">
    <w:nsid w:val="740D7817"/>
    <w:multiLevelType w:val="hybridMultilevel"/>
    <w:tmpl w:val="D960EBB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778D31AE"/>
    <w:multiLevelType w:val="hybridMultilevel"/>
    <w:tmpl w:val="34C6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B78630B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C8C4F72"/>
    <w:multiLevelType w:val="hybridMultilevel"/>
    <w:tmpl w:val="1B329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5"/>
  </w:num>
  <w:num w:numId="2">
    <w:abstractNumId w:val="19"/>
  </w:num>
  <w:num w:numId="3">
    <w:abstractNumId w:val="10"/>
  </w:num>
  <w:num w:numId="4">
    <w:abstractNumId w:val="4"/>
  </w:num>
  <w:num w:numId="5">
    <w:abstractNumId w:val="23"/>
  </w:num>
  <w:num w:numId="6">
    <w:abstractNumId w:val="11"/>
  </w:num>
  <w:num w:numId="7">
    <w:abstractNumId w:val="12"/>
  </w:num>
  <w:num w:numId="8">
    <w:abstractNumId w:val="5"/>
  </w:num>
  <w:num w:numId="9">
    <w:abstractNumId w:val="9"/>
  </w:num>
  <w:num w:numId="10">
    <w:abstractNumId w:val="16"/>
  </w:num>
  <w:num w:numId="11">
    <w:abstractNumId w:val="6"/>
  </w:num>
  <w:num w:numId="12">
    <w:abstractNumId w:val="17"/>
  </w:num>
  <w:num w:numId="13">
    <w:abstractNumId w:val="14"/>
  </w:num>
  <w:num w:numId="14">
    <w:abstractNumId w:val="3"/>
  </w:num>
  <w:num w:numId="15">
    <w:abstractNumId w:val="21"/>
  </w:num>
  <w:num w:numId="16">
    <w:abstractNumId w:val="18"/>
  </w:num>
  <w:num w:numId="17">
    <w:abstractNumId w:val="2"/>
  </w:num>
  <w:num w:numId="18">
    <w:abstractNumId w:val="22"/>
  </w:num>
  <w:num w:numId="19">
    <w:abstractNumId w:val="13"/>
  </w:num>
  <w:num w:numId="20">
    <w:abstractNumId w:val="20"/>
  </w:num>
  <w:num w:numId="21">
    <w:abstractNumId w:val="24"/>
  </w:num>
  <w:num w:numId="22">
    <w:abstractNumId w:val="7"/>
  </w:num>
  <w:num w:numId="23">
    <w:abstractNumId w:val="1"/>
  </w:num>
  <w:num w:numId="24">
    <w:abstractNumId w:val="8"/>
  </w:num>
  <w:num w:numId="25">
    <w:abstractNumId w:val="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2vsa92aw2xxw2e5rv8v0tzxwpatpwfsssat&quot;&gt;Panitumumab&lt;record-ids&gt;&lt;item&gt;6&lt;/item&gt;&lt;item&gt;108&lt;/item&gt;&lt;item&gt;115&lt;/item&gt;&lt;item&gt;122&lt;/item&gt;&lt;item&gt;124&lt;/item&gt;&lt;item&gt;125&lt;/item&gt;&lt;item&gt;127&lt;/item&gt;&lt;item&gt;128&lt;/item&gt;&lt;item&gt;129&lt;/item&gt;&lt;item&gt;132&lt;/item&gt;&lt;item&gt;133&lt;/item&gt;&lt;item&gt;134&lt;/item&gt;&lt;item&gt;135&lt;/item&gt;&lt;item&gt;136&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record-ids&gt;&lt;/item&gt;&lt;/Libraries&gt;"/>
  </w:docVars>
  <w:rsids>
    <w:rsidRoot w:val="00E65E79"/>
    <w:rsid w:val="00000050"/>
    <w:rsid w:val="00000494"/>
    <w:rsid w:val="00001103"/>
    <w:rsid w:val="0000110B"/>
    <w:rsid w:val="0000167E"/>
    <w:rsid w:val="00002783"/>
    <w:rsid w:val="00002910"/>
    <w:rsid w:val="000043D1"/>
    <w:rsid w:val="00004877"/>
    <w:rsid w:val="0000498D"/>
    <w:rsid w:val="00005FE9"/>
    <w:rsid w:val="000116C0"/>
    <w:rsid w:val="00011C8B"/>
    <w:rsid w:val="00015C4E"/>
    <w:rsid w:val="00016236"/>
    <w:rsid w:val="0001684A"/>
    <w:rsid w:val="00021F8E"/>
    <w:rsid w:val="0002225F"/>
    <w:rsid w:val="00022806"/>
    <w:rsid w:val="00023763"/>
    <w:rsid w:val="00023D4F"/>
    <w:rsid w:val="000273F3"/>
    <w:rsid w:val="00027FE2"/>
    <w:rsid w:val="00031F7D"/>
    <w:rsid w:val="00032EDB"/>
    <w:rsid w:val="00033F7E"/>
    <w:rsid w:val="000344C6"/>
    <w:rsid w:val="00034657"/>
    <w:rsid w:val="000349BF"/>
    <w:rsid w:val="0003538E"/>
    <w:rsid w:val="00036FE3"/>
    <w:rsid w:val="000372AD"/>
    <w:rsid w:val="0004019E"/>
    <w:rsid w:val="00040895"/>
    <w:rsid w:val="00040ADC"/>
    <w:rsid w:val="000414BB"/>
    <w:rsid w:val="000431B4"/>
    <w:rsid w:val="0004372C"/>
    <w:rsid w:val="00043A28"/>
    <w:rsid w:val="00043AB4"/>
    <w:rsid w:val="0004710A"/>
    <w:rsid w:val="000474A7"/>
    <w:rsid w:val="00047F1F"/>
    <w:rsid w:val="000500ED"/>
    <w:rsid w:val="00053BD2"/>
    <w:rsid w:val="000546D7"/>
    <w:rsid w:val="00057D55"/>
    <w:rsid w:val="00060017"/>
    <w:rsid w:val="000600E5"/>
    <w:rsid w:val="00060FDC"/>
    <w:rsid w:val="000616D3"/>
    <w:rsid w:val="00061E11"/>
    <w:rsid w:val="00063295"/>
    <w:rsid w:val="00063CFC"/>
    <w:rsid w:val="000656D4"/>
    <w:rsid w:val="00065C4D"/>
    <w:rsid w:val="00065E8D"/>
    <w:rsid w:val="00065F83"/>
    <w:rsid w:val="00066085"/>
    <w:rsid w:val="0006630A"/>
    <w:rsid w:val="00066FBD"/>
    <w:rsid w:val="0006797B"/>
    <w:rsid w:val="000729AA"/>
    <w:rsid w:val="00073219"/>
    <w:rsid w:val="000733E1"/>
    <w:rsid w:val="000734CB"/>
    <w:rsid w:val="00073B74"/>
    <w:rsid w:val="000740EB"/>
    <w:rsid w:val="00074AFD"/>
    <w:rsid w:val="00074B80"/>
    <w:rsid w:val="00075281"/>
    <w:rsid w:val="00075C4D"/>
    <w:rsid w:val="00075D7E"/>
    <w:rsid w:val="00077192"/>
    <w:rsid w:val="00077642"/>
    <w:rsid w:val="000800B5"/>
    <w:rsid w:val="000812CA"/>
    <w:rsid w:val="00082478"/>
    <w:rsid w:val="00083A75"/>
    <w:rsid w:val="000846DB"/>
    <w:rsid w:val="00090726"/>
    <w:rsid w:val="00090A0E"/>
    <w:rsid w:val="00090C7E"/>
    <w:rsid w:val="00092CFD"/>
    <w:rsid w:val="00094F4B"/>
    <w:rsid w:val="000958D7"/>
    <w:rsid w:val="000A0649"/>
    <w:rsid w:val="000A34A7"/>
    <w:rsid w:val="000A42B1"/>
    <w:rsid w:val="000A500B"/>
    <w:rsid w:val="000A70D2"/>
    <w:rsid w:val="000A7562"/>
    <w:rsid w:val="000B0125"/>
    <w:rsid w:val="000B04AF"/>
    <w:rsid w:val="000B1511"/>
    <w:rsid w:val="000B1DEB"/>
    <w:rsid w:val="000B27BD"/>
    <w:rsid w:val="000B345D"/>
    <w:rsid w:val="000B4BE8"/>
    <w:rsid w:val="000C01B7"/>
    <w:rsid w:val="000C0698"/>
    <w:rsid w:val="000C154D"/>
    <w:rsid w:val="000C1FF7"/>
    <w:rsid w:val="000C232B"/>
    <w:rsid w:val="000C36EC"/>
    <w:rsid w:val="000C3954"/>
    <w:rsid w:val="000C476A"/>
    <w:rsid w:val="000C64E2"/>
    <w:rsid w:val="000C6625"/>
    <w:rsid w:val="000D080B"/>
    <w:rsid w:val="000D1BFC"/>
    <w:rsid w:val="000D1D10"/>
    <w:rsid w:val="000D22FD"/>
    <w:rsid w:val="000D2DEC"/>
    <w:rsid w:val="000D3627"/>
    <w:rsid w:val="000D3DEA"/>
    <w:rsid w:val="000D5437"/>
    <w:rsid w:val="000D688B"/>
    <w:rsid w:val="000E4217"/>
    <w:rsid w:val="000E4427"/>
    <w:rsid w:val="000E56E9"/>
    <w:rsid w:val="000E5B1C"/>
    <w:rsid w:val="000E69B4"/>
    <w:rsid w:val="000E6F11"/>
    <w:rsid w:val="000F13B1"/>
    <w:rsid w:val="000F1E74"/>
    <w:rsid w:val="000F212B"/>
    <w:rsid w:val="000F2AC6"/>
    <w:rsid w:val="000F4139"/>
    <w:rsid w:val="000F4F5C"/>
    <w:rsid w:val="000F6532"/>
    <w:rsid w:val="000F7F6D"/>
    <w:rsid w:val="0010153E"/>
    <w:rsid w:val="00102F37"/>
    <w:rsid w:val="00104850"/>
    <w:rsid w:val="00105650"/>
    <w:rsid w:val="001057D4"/>
    <w:rsid w:val="00107A92"/>
    <w:rsid w:val="001101C9"/>
    <w:rsid w:val="0011032E"/>
    <w:rsid w:val="00110EFF"/>
    <w:rsid w:val="00111081"/>
    <w:rsid w:val="00111955"/>
    <w:rsid w:val="00114216"/>
    <w:rsid w:val="001164C6"/>
    <w:rsid w:val="00117DE6"/>
    <w:rsid w:val="00121799"/>
    <w:rsid w:val="001222FC"/>
    <w:rsid w:val="00124A51"/>
    <w:rsid w:val="00125319"/>
    <w:rsid w:val="00125AAD"/>
    <w:rsid w:val="00127E3C"/>
    <w:rsid w:val="001302EC"/>
    <w:rsid w:val="00131A94"/>
    <w:rsid w:val="00131AC7"/>
    <w:rsid w:val="0013291C"/>
    <w:rsid w:val="001332E2"/>
    <w:rsid w:val="00135611"/>
    <w:rsid w:val="00135907"/>
    <w:rsid w:val="001359B0"/>
    <w:rsid w:val="00135BFF"/>
    <w:rsid w:val="00137645"/>
    <w:rsid w:val="00140163"/>
    <w:rsid w:val="00140DED"/>
    <w:rsid w:val="00140E99"/>
    <w:rsid w:val="0014123E"/>
    <w:rsid w:val="001464E1"/>
    <w:rsid w:val="00146946"/>
    <w:rsid w:val="00153BCD"/>
    <w:rsid w:val="00155269"/>
    <w:rsid w:val="001555FC"/>
    <w:rsid w:val="001562B8"/>
    <w:rsid w:val="001578A7"/>
    <w:rsid w:val="00160568"/>
    <w:rsid w:val="0016058D"/>
    <w:rsid w:val="0016129A"/>
    <w:rsid w:val="00161508"/>
    <w:rsid w:val="001617D1"/>
    <w:rsid w:val="00161E1D"/>
    <w:rsid w:val="00162BC4"/>
    <w:rsid w:val="00163B35"/>
    <w:rsid w:val="00163F7D"/>
    <w:rsid w:val="001661FB"/>
    <w:rsid w:val="0017019E"/>
    <w:rsid w:val="00170EBA"/>
    <w:rsid w:val="00171305"/>
    <w:rsid w:val="0017141D"/>
    <w:rsid w:val="00171810"/>
    <w:rsid w:val="00171B31"/>
    <w:rsid w:val="00171C9A"/>
    <w:rsid w:val="00172FF5"/>
    <w:rsid w:val="00173614"/>
    <w:rsid w:val="001743EB"/>
    <w:rsid w:val="001769BF"/>
    <w:rsid w:val="00176EC2"/>
    <w:rsid w:val="001808E0"/>
    <w:rsid w:val="00181C0F"/>
    <w:rsid w:val="00183036"/>
    <w:rsid w:val="001846BC"/>
    <w:rsid w:val="001849C9"/>
    <w:rsid w:val="001849CA"/>
    <w:rsid w:val="00184C02"/>
    <w:rsid w:val="00186D3E"/>
    <w:rsid w:val="00186F6C"/>
    <w:rsid w:val="001870A2"/>
    <w:rsid w:val="001905EB"/>
    <w:rsid w:val="00195222"/>
    <w:rsid w:val="001962DC"/>
    <w:rsid w:val="00196FCB"/>
    <w:rsid w:val="001975D8"/>
    <w:rsid w:val="001A1055"/>
    <w:rsid w:val="001A1A57"/>
    <w:rsid w:val="001A2B30"/>
    <w:rsid w:val="001A367A"/>
    <w:rsid w:val="001A397C"/>
    <w:rsid w:val="001A3AE4"/>
    <w:rsid w:val="001A53B7"/>
    <w:rsid w:val="001A7755"/>
    <w:rsid w:val="001B0049"/>
    <w:rsid w:val="001B0F96"/>
    <w:rsid w:val="001B1A3F"/>
    <w:rsid w:val="001B1C1A"/>
    <w:rsid w:val="001B3443"/>
    <w:rsid w:val="001B4699"/>
    <w:rsid w:val="001B4756"/>
    <w:rsid w:val="001B5161"/>
    <w:rsid w:val="001B6109"/>
    <w:rsid w:val="001B740E"/>
    <w:rsid w:val="001C0D5E"/>
    <w:rsid w:val="001C16BE"/>
    <w:rsid w:val="001C26CF"/>
    <w:rsid w:val="001C2BA3"/>
    <w:rsid w:val="001C42B9"/>
    <w:rsid w:val="001C5255"/>
    <w:rsid w:val="001C5BC9"/>
    <w:rsid w:val="001C6E66"/>
    <w:rsid w:val="001D093C"/>
    <w:rsid w:val="001D0979"/>
    <w:rsid w:val="001D2685"/>
    <w:rsid w:val="001D3A41"/>
    <w:rsid w:val="001D4087"/>
    <w:rsid w:val="001D4644"/>
    <w:rsid w:val="001D5655"/>
    <w:rsid w:val="001D66AD"/>
    <w:rsid w:val="001D7030"/>
    <w:rsid w:val="001E0D2E"/>
    <w:rsid w:val="001E133E"/>
    <w:rsid w:val="001E3D84"/>
    <w:rsid w:val="001E52EB"/>
    <w:rsid w:val="001E6049"/>
    <w:rsid w:val="001E61A4"/>
    <w:rsid w:val="001E7760"/>
    <w:rsid w:val="001F029B"/>
    <w:rsid w:val="001F1235"/>
    <w:rsid w:val="001F1BF3"/>
    <w:rsid w:val="001F28AA"/>
    <w:rsid w:val="001F3659"/>
    <w:rsid w:val="001F3A88"/>
    <w:rsid w:val="001F527E"/>
    <w:rsid w:val="001F5D1A"/>
    <w:rsid w:val="001F7361"/>
    <w:rsid w:val="00200453"/>
    <w:rsid w:val="00200BE0"/>
    <w:rsid w:val="00206142"/>
    <w:rsid w:val="002105C1"/>
    <w:rsid w:val="00210CDC"/>
    <w:rsid w:val="00211D6F"/>
    <w:rsid w:val="00212440"/>
    <w:rsid w:val="00213EC8"/>
    <w:rsid w:val="00214521"/>
    <w:rsid w:val="00214B8F"/>
    <w:rsid w:val="00215EDF"/>
    <w:rsid w:val="0021730C"/>
    <w:rsid w:val="00217FB1"/>
    <w:rsid w:val="002220F4"/>
    <w:rsid w:val="002242A2"/>
    <w:rsid w:val="00224535"/>
    <w:rsid w:val="00224DD4"/>
    <w:rsid w:val="00225AD6"/>
    <w:rsid w:val="0022644C"/>
    <w:rsid w:val="0022659C"/>
    <w:rsid w:val="00227E3C"/>
    <w:rsid w:val="002308C4"/>
    <w:rsid w:val="002309CC"/>
    <w:rsid w:val="00230BE1"/>
    <w:rsid w:val="00230F1D"/>
    <w:rsid w:val="00231E6C"/>
    <w:rsid w:val="0023259E"/>
    <w:rsid w:val="002337FF"/>
    <w:rsid w:val="00233A98"/>
    <w:rsid w:val="00234A4F"/>
    <w:rsid w:val="00236177"/>
    <w:rsid w:val="00236A2F"/>
    <w:rsid w:val="0023719B"/>
    <w:rsid w:val="002376F1"/>
    <w:rsid w:val="00237B2C"/>
    <w:rsid w:val="00237E68"/>
    <w:rsid w:val="00241DEC"/>
    <w:rsid w:val="002425DC"/>
    <w:rsid w:val="00245178"/>
    <w:rsid w:val="002457BC"/>
    <w:rsid w:val="00245CA9"/>
    <w:rsid w:val="002461E7"/>
    <w:rsid w:val="002463B6"/>
    <w:rsid w:val="002472B1"/>
    <w:rsid w:val="00250756"/>
    <w:rsid w:val="002510A7"/>
    <w:rsid w:val="002529E9"/>
    <w:rsid w:val="00253391"/>
    <w:rsid w:val="0025450E"/>
    <w:rsid w:val="0025534B"/>
    <w:rsid w:val="00256BDA"/>
    <w:rsid w:val="00257F7F"/>
    <w:rsid w:val="002610C5"/>
    <w:rsid w:val="0026554E"/>
    <w:rsid w:val="002657AF"/>
    <w:rsid w:val="00265FAC"/>
    <w:rsid w:val="002675B8"/>
    <w:rsid w:val="00271047"/>
    <w:rsid w:val="002716E8"/>
    <w:rsid w:val="00271B5B"/>
    <w:rsid w:val="0027274B"/>
    <w:rsid w:val="0027289B"/>
    <w:rsid w:val="00272A08"/>
    <w:rsid w:val="00274DD4"/>
    <w:rsid w:val="0027749D"/>
    <w:rsid w:val="002804DC"/>
    <w:rsid w:val="00281224"/>
    <w:rsid w:val="00281DC6"/>
    <w:rsid w:val="0028221E"/>
    <w:rsid w:val="00282492"/>
    <w:rsid w:val="00285349"/>
    <w:rsid w:val="0028619A"/>
    <w:rsid w:val="00287193"/>
    <w:rsid w:val="002873F7"/>
    <w:rsid w:val="0028742F"/>
    <w:rsid w:val="00287841"/>
    <w:rsid w:val="0029170E"/>
    <w:rsid w:val="00293C18"/>
    <w:rsid w:val="00293DA6"/>
    <w:rsid w:val="00295B3A"/>
    <w:rsid w:val="002A07FF"/>
    <w:rsid w:val="002A2254"/>
    <w:rsid w:val="002A2D20"/>
    <w:rsid w:val="002A441D"/>
    <w:rsid w:val="002A5F58"/>
    <w:rsid w:val="002A606A"/>
    <w:rsid w:val="002B2C46"/>
    <w:rsid w:val="002B33C7"/>
    <w:rsid w:val="002B43CD"/>
    <w:rsid w:val="002B4E53"/>
    <w:rsid w:val="002B5E43"/>
    <w:rsid w:val="002C0A11"/>
    <w:rsid w:val="002C1CEF"/>
    <w:rsid w:val="002C27C1"/>
    <w:rsid w:val="002C2D0E"/>
    <w:rsid w:val="002C2F6F"/>
    <w:rsid w:val="002C3066"/>
    <w:rsid w:val="002D1121"/>
    <w:rsid w:val="002D1825"/>
    <w:rsid w:val="002D312F"/>
    <w:rsid w:val="002D4704"/>
    <w:rsid w:val="002D4760"/>
    <w:rsid w:val="002D49B5"/>
    <w:rsid w:val="002D5705"/>
    <w:rsid w:val="002D5814"/>
    <w:rsid w:val="002D649E"/>
    <w:rsid w:val="002D7822"/>
    <w:rsid w:val="002E0FAD"/>
    <w:rsid w:val="002E1FD4"/>
    <w:rsid w:val="002E22E7"/>
    <w:rsid w:val="002E3013"/>
    <w:rsid w:val="002E31E8"/>
    <w:rsid w:val="002E692A"/>
    <w:rsid w:val="002E71CE"/>
    <w:rsid w:val="002F080D"/>
    <w:rsid w:val="002F1B02"/>
    <w:rsid w:val="002F1CDD"/>
    <w:rsid w:val="002F204C"/>
    <w:rsid w:val="002F2B37"/>
    <w:rsid w:val="002F2B85"/>
    <w:rsid w:val="002F2C48"/>
    <w:rsid w:val="002F375B"/>
    <w:rsid w:val="002F3875"/>
    <w:rsid w:val="002F3EE2"/>
    <w:rsid w:val="002F41B6"/>
    <w:rsid w:val="002F4DFE"/>
    <w:rsid w:val="002F5962"/>
    <w:rsid w:val="002F65FA"/>
    <w:rsid w:val="002F7E36"/>
    <w:rsid w:val="00300A86"/>
    <w:rsid w:val="00301017"/>
    <w:rsid w:val="00302E52"/>
    <w:rsid w:val="00306ACE"/>
    <w:rsid w:val="0030786C"/>
    <w:rsid w:val="00307EAE"/>
    <w:rsid w:val="0031031A"/>
    <w:rsid w:val="00310643"/>
    <w:rsid w:val="00310E8B"/>
    <w:rsid w:val="003113FE"/>
    <w:rsid w:val="00311B19"/>
    <w:rsid w:val="00312C13"/>
    <w:rsid w:val="003130DD"/>
    <w:rsid w:val="0031529B"/>
    <w:rsid w:val="00315498"/>
    <w:rsid w:val="00317D39"/>
    <w:rsid w:val="00317F5F"/>
    <w:rsid w:val="003202DB"/>
    <w:rsid w:val="00320B0F"/>
    <w:rsid w:val="00321249"/>
    <w:rsid w:val="00322DC7"/>
    <w:rsid w:val="00323391"/>
    <w:rsid w:val="00324618"/>
    <w:rsid w:val="00324D96"/>
    <w:rsid w:val="00325364"/>
    <w:rsid w:val="00326AB9"/>
    <w:rsid w:val="0032725B"/>
    <w:rsid w:val="00330B1C"/>
    <w:rsid w:val="00330CD7"/>
    <w:rsid w:val="0033116C"/>
    <w:rsid w:val="00333570"/>
    <w:rsid w:val="00334DBF"/>
    <w:rsid w:val="00334E01"/>
    <w:rsid w:val="003366C9"/>
    <w:rsid w:val="0033698D"/>
    <w:rsid w:val="003377AA"/>
    <w:rsid w:val="00341F95"/>
    <w:rsid w:val="00342F1A"/>
    <w:rsid w:val="00343AB1"/>
    <w:rsid w:val="00344751"/>
    <w:rsid w:val="00344D27"/>
    <w:rsid w:val="00345372"/>
    <w:rsid w:val="00345BF1"/>
    <w:rsid w:val="00345FEA"/>
    <w:rsid w:val="00346516"/>
    <w:rsid w:val="00350978"/>
    <w:rsid w:val="00350A66"/>
    <w:rsid w:val="00351765"/>
    <w:rsid w:val="00351F71"/>
    <w:rsid w:val="0035238C"/>
    <w:rsid w:val="00353018"/>
    <w:rsid w:val="003553F1"/>
    <w:rsid w:val="00355428"/>
    <w:rsid w:val="003567D9"/>
    <w:rsid w:val="00357A43"/>
    <w:rsid w:val="003628AD"/>
    <w:rsid w:val="00362CE5"/>
    <w:rsid w:val="0036313A"/>
    <w:rsid w:val="00364CE0"/>
    <w:rsid w:val="0036743D"/>
    <w:rsid w:val="00367A7F"/>
    <w:rsid w:val="00370FBE"/>
    <w:rsid w:val="003748FC"/>
    <w:rsid w:val="00374FB9"/>
    <w:rsid w:val="00375B86"/>
    <w:rsid w:val="0037602E"/>
    <w:rsid w:val="00376E80"/>
    <w:rsid w:val="00377DCA"/>
    <w:rsid w:val="00380B5D"/>
    <w:rsid w:val="00382131"/>
    <w:rsid w:val="003905CB"/>
    <w:rsid w:val="00392805"/>
    <w:rsid w:val="00393874"/>
    <w:rsid w:val="003964FA"/>
    <w:rsid w:val="00396718"/>
    <w:rsid w:val="00396FD0"/>
    <w:rsid w:val="00397497"/>
    <w:rsid w:val="003978FA"/>
    <w:rsid w:val="00397A20"/>
    <w:rsid w:val="003A1A7A"/>
    <w:rsid w:val="003A3AA5"/>
    <w:rsid w:val="003A7EE2"/>
    <w:rsid w:val="003B0057"/>
    <w:rsid w:val="003B0FE1"/>
    <w:rsid w:val="003B38BA"/>
    <w:rsid w:val="003B5F70"/>
    <w:rsid w:val="003B64B9"/>
    <w:rsid w:val="003B7801"/>
    <w:rsid w:val="003C05BE"/>
    <w:rsid w:val="003C0624"/>
    <w:rsid w:val="003C147F"/>
    <w:rsid w:val="003C39E5"/>
    <w:rsid w:val="003C502E"/>
    <w:rsid w:val="003C511F"/>
    <w:rsid w:val="003C57F3"/>
    <w:rsid w:val="003C6535"/>
    <w:rsid w:val="003C6E4C"/>
    <w:rsid w:val="003C7063"/>
    <w:rsid w:val="003D030C"/>
    <w:rsid w:val="003D1828"/>
    <w:rsid w:val="003D26C8"/>
    <w:rsid w:val="003D3169"/>
    <w:rsid w:val="003D54F5"/>
    <w:rsid w:val="003D56C3"/>
    <w:rsid w:val="003D6F13"/>
    <w:rsid w:val="003D7E02"/>
    <w:rsid w:val="003D7FAE"/>
    <w:rsid w:val="003E0CCE"/>
    <w:rsid w:val="003E3CB1"/>
    <w:rsid w:val="003E3D4C"/>
    <w:rsid w:val="003E4BB0"/>
    <w:rsid w:val="003E7179"/>
    <w:rsid w:val="003E7798"/>
    <w:rsid w:val="003F31B2"/>
    <w:rsid w:val="003F4156"/>
    <w:rsid w:val="003F5337"/>
    <w:rsid w:val="003F7793"/>
    <w:rsid w:val="00400392"/>
    <w:rsid w:val="004005E8"/>
    <w:rsid w:val="00400AF3"/>
    <w:rsid w:val="004026B1"/>
    <w:rsid w:val="00402D06"/>
    <w:rsid w:val="00403328"/>
    <w:rsid w:val="004047F3"/>
    <w:rsid w:val="0040490A"/>
    <w:rsid w:val="0040496D"/>
    <w:rsid w:val="004050A6"/>
    <w:rsid w:val="0041002D"/>
    <w:rsid w:val="00410EC7"/>
    <w:rsid w:val="0041337D"/>
    <w:rsid w:val="00413601"/>
    <w:rsid w:val="00413EEE"/>
    <w:rsid w:val="00415060"/>
    <w:rsid w:val="00415571"/>
    <w:rsid w:val="0041673B"/>
    <w:rsid w:val="00416BF9"/>
    <w:rsid w:val="0042084E"/>
    <w:rsid w:val="0042508C"/>
    <w:rsid w:val="004254ED"/>
    <w:rsid w:val="00431E07"/>
    <w:rsid w:val="004322E6"/>
    <w:rsid w:val="00433000"/>
    <w:rsid w:val="00433B93"/>
    <w:rsid w:val="00433D08"/>
    <w:rsid w:val="00434B93"/>
    <w:rsid w:val="0043509A"/>
    <w:rsid w:val="004377AA"/>
    <w:rsid w:val="0044320E"/>
    <w:rsid w:val="00444B3F"/>
    <w:rsid w:val="00445504"/>
    <w:rsid w:val="004464EB"/>
    <w:rsid w:val="00447989"/>
    <w:rsid w:val="00450434"/>
    <w:rsid w:val="0045050F"/>
    <w:rsid w:val="004508D1"/>
    <w:rsid w:val="00450C12"/>
    <w:rsid w:val="00451006"/>
    <w:rsid w:val="004546FC"/>
    <w:rsid w:val="004558F1"/>
    <w:rsid w:val="00455D45"/>
    <w:rsid w:val="00457AE0"/>
    <w:rsid w:val="00463636"/>
    <w:rsid w:val="0046368F"/>
    <w:rsid w:val="0046436D"/>
    <w:rsid w:val="00464595"/>
    <w:rsid w:val="004664FB"/>
    <w:rsid w:val="004703D4"/>
    <w:rsid w:val="00470D4A"/>
    <w:rsid w:val="00473340"/>
    <w:rsid w:val="00474079"/>
    <w:rsid w:val="004742D5"/>
    <w:rsid w:val="004772B6"/>
    <w:rsid w:val="00480230"/>
    <w:rsid w:val="00481334"/>
    <w:rsid w:val="00481537"/>
    <w:rsid w:val="0048236E"/>
    <w:rsid w:val="0048249F"/>
    <w:rsid w:val="00482E2F"/>
    <w:rsid w:val="004830FE"/>
    <w:rsid w:val="0048408D"/>
    <w:rsid w:val="00484C1F"/>
    <w:rsid w:val="00485180"/>
    <w:rsid w:val="00485D6C"/>
    <w:rsid w:val="004867E2"/>
    <w:rsid w:val="004869CC"/>
    <w:rsid w:val="004871AA"/>
    <w:rsid w:val="00487B8D"/>
    <w:rsid w:val="0049025F"/>
    <w:rsid w:val="00491AE0"/>
    <w:rsid w:val="004920AF"/>
    <w:rsid w:val="0049459F"/>
    <w:rsid w:val="00496BBF"/>
    <w:rsid w:val="004970B6"/>
    <w:rsid w:val="004A0DA1"/>
    <w:rsid w:val="004A193A"/>
    <w:rsid w:val="004A1E3F"/>
    <w:rsid w:val="004A20D5"/>
    <w:rsid w:val="004A3D87"/>
    <w:rsid w:val="004A4832"/>
    <w:rsid w:val="004B015C"/>
    <w:rsid w:val="004B0E57"/>
    <w:rsid w:val="004B1C24"/>
    <w:rsid w:val="004B3DDB"/>
    <w:rsid w:val="004B4F3F"/>
    <w:rsid w:val="004B5CFC"/>
    <w:rsid w:val="004C0437"/>
    <w:rsid w:val="004C1380"/>
    <w:rsid w:val="004C1E8C"/>
    <w:rsid w:val="004C1FAA"/>
    <w:rsid w:val="004C4AED"/>
    <w:rsid w:val="004C7C22"/>
    <w:rsid w:val="004C7E19"/>
    <w:rsid w:val="004D0405"/>
    <w:rsid w:val="004D11A4"/>
    <w:rsid w:val="004D18CB"/>
    <w:rsid w:val="004D3736"/>
    <w:rsid w:val="004D428D"/>
    <w:rsid w:val="004D608F"/>
    <w:rsid w:val="004D7D63"/>
    <w:rsid w:val="004E0AB9"/>
    <w:rsid w:val="004E4B8A"/>
    <w:rsid w:val="004E5965"/>
    <w:rsid w:val="004E72BE"/>
    <w:rsid w:val="004E7AB9"/>
    <w:rsid w:val="004F0D40"/>
    <w:rsid w:val="004F1D02"/>
    <w:rsid w:val="004F1EB7"/>
    <w:rsid w:val="004F20C6"/>
    <w:rsid w:val="004F2557"/>
    <w:rsid w:val="004F2679"/>
    <w:rsid w:val="004F2F24"/>
    <w:rsid w:val="004F30C6"/>
    <w:rsid w:val="004F3D8A"/>
    <w:rsid w:val="004F4C68"/>
    <w:rsid w:val="004F5975"/>
    <w:rsid w:val="004F5C34"/>
    <w:rsid w:val="004F7516"/>
    <w:rsid w:val="004F75FE"/>
    <w:rsid w:val="005033A1"/>
    <w:rsid w:val="00512C80"/>
    <w:rsid w:val="00512DB6"/>
    <w:rsid w:val="005131BD"/>
    <w:rsid w:val="00516E3A"/>
    <w:rsid w:val="005177B9"/>
    <w:rsid w:val="00520071"/>
    <w:rsid w:val="00521319"/>
    <w:rsid w:val="005221B7"/>
    <w:rsid w:val="0052250C"/>
    <w:rsid w:val="005234BA"/>
    <w:rsid w:val="00526EF6"/>
    <w:rsid w:val="0053108D"/>
    <w:rsid w:val="00531DCA"/>
    <w:rsid w:val="00531EE2"/>
    <w:rsid w:val="0053382F"/>
    <w:rsid w:val="00537584"/>
    <w:rsid w:val="00541098"/>
    <w:rsid w:val="00541B2F"/>
    <w:rsid w:val="00542733"/>
    <w:rsid w:val="005445D8"/>
    <w:rsid w:val="00544935"/>
    <w:rsid w:val="00545A05"/>
    <w:rsid w:val="00546E7E"/>
    <w:rsid w:val="0054723B"/>
    <w:rsid w:val="0055059E"/>
    <w:rsid w:val="00550AB8"/>
    <w:rsid w:val="00551159"/>
    <w:rsid w:val="00551551"/>
    <w:rsid w:val="005519EA"/>
    <w:rsid w:val="00551F90"/>
    <w:rsid w:val="00552B68"/>
    <w:rsid w:val="00552CA7"/>
    <w:rsid w:val="00553D26"/>
    <w:rsid w:val="0055437A"/>
    <w:rsid w:val="0055476C"/>
    <w:rsid w:val="00555109"/>
    <w:rsid w:val="0055512C"/>
    <w:rsid w:val="005573AA"/>
    <w:rsid w:val="00557E0F"/>
    <w:rsid w:val="00557F8E"/>
    <w:rsid w:val="00557FD6"/>
    <w:rsid w:val="0056277D"/>
    <w:rsid w:val="00563049"/>
    <w:rsid w:val="005636E5"/>
    <w:rsid w:val="00564A2D"/>
    <w:rsid w:val="00565546"/>
    <w:rsid w:val="005660E3"/>
    <w:rsid w:val="0056696F"/>
    <w:rsid w:val="00567D9F"/>
    <w:rsid w:val="00570517"/>
    <w:rsid w:val="00570955"/>
    <w:rsid w:val="00571B41"/>
    <w:rsid w:val="00572B9D"/>
    <w:rsid w:val="00573201"/>
    <w:rsid w:val="00573AFF"/>
    <w:rsid w:val="00574508"/>
    <w:rsid w:val="00574B5D"/>
    <w:rsid w:val="00574D2D"/>
    <w:rsid w:val="005757EF"/>
    <w:rsid w:val="005778A9"/>
    <w:rsid w:val="00577DCD"/>
    <w:rsid w:val="005803E8"/>
    <w:rsid w:val="00581787"/>
    <w:rsid w:val="00583711"/>
    <w:rsid w:val="0058592B"/>
    <w:rsid w:val="005859D0"/>
    <w:rsid w:val="00585DAA"/>
    <w:rsid w:val="00586098"/>
    <w:rsid w:val="00587413"/>
    <w:rsid w:val="005903C3"/>
    <w:rsid w:val="00590E2B"/>
    <w:rsid w:val="00591017"/>
    <w:rsid w:val="00591035"/>
    <w:rsid w:val="00592EC1"/>
    <w:rsid w:val="005944A6"/>
    <w:rsid w:val="00594EEC"/>
    <w:rsid w:val="00596BC2"/>
    <w:rsid w:val="0059776F"/>
    <w:rsid w:val="00597AB2"/>
    <w:rsid w:val="005A0CC9"/>
    <w:rsid w:val="005A0D8C"/>
    <w:rsid w:val="005A23ED"/>
    <w:rsid w:val="005A2D2A"/>
    <w:rsid w:val="005A3214"/>
    <w:rsid w:val="005A4425"/>
    <w:rsid w:val="005A46C0"/>
    <w:rsid w:val="005A5923"/>
    <w:rsid w:val="005A6CE5"/>
    <w:rsid w:val="005B1C6D"/>
    <w:rsid w:val="005B2D03"/>
    <w:rsid w:val="005B2EED"/>
    <w:rsid w:val="005B31D6"/>
    <w:rsid w:val="005B32EE"/>
    <w:rsid w:val="005B4C8C"/>
    <w:rsid w:val="005B5857"/>
    <w:rsid w:val="005B6255"/>
    <w:rsid w:val="005B70BA"/>
    <w:rsid w:val="005B73B0"/>
    <w:rsid w:val="005C1649"/>
    <w:rsid w:val="005C2EB9"/>
    <w:rsid w:val="005C3312"/>
    <w:rsid w:val="005C3A36"/>
    <w:rsid w:val="005C3C8A"/>
    <w:rsid w:val="005C41B8"/>
    <w:rsid w:val="005C532C"/>
    <w:rsid w:val="005C5B7C"/>
    <w:rsid w:val="005C6012"/>
    <w:rsid w:val="005C6DEE"/>
    <w:rsid w:val="005C7A03"/>
    <w:rsid w:val="005D0580"/>
    <w:rsid w:val="005D0CCF"/>
    <w:rsid w:val="005D18AD"/>
    <w:rsid w:val="005D193A"/>
    <w:rsid w:val="005D3B0C"/>
    <w:rsid w:val="005D4538"/>
    <w:rsid w:val="005D4793"/>
    <w:rsid w:val="005D611C"/>
    <w:rsid w:val="005D63E8"/>
    <w:rsid w:val="005D7A49"/>
    <w:rsid w:val="005E00C5"/>
    <w:rsid w:val="005E08DA"/>
    <w:rsid w:val="005E0ADC"/>
    <w:rsid w:val="005E0CD7"/>
    <w:rsid w:val="005E1456"/>
    <w:rsid w:val="005E388E"/>
    <w:rsid w:val="005E6AC3"/>
    <w:rsid w:val="005F11CC"/>
    <w:rsid w:val="005F1874"/>
    <w:rsid w:val="005F244B"/>
    <w:rsid w:val="005F2706"/>
    <w:rsid w:val="005F4304"/>
    <w:rsid w:val="005F5709"/>
    <w:rsid w:val="005F6A8F"/>
    <w:rsid w:val="00600009"/>
    <w:rsid w:val="00600AA1"/>
    <w:rsid w:val="00600B59"/>
    <w:rsid w:val="006017F3"/>
    <w:rsid w:val="00601967"/>
    <w:rsid w:val="00602601"/>
    <w:rsid w:val="00603776"/>
    <w:rsid w:val="006050DE"/>
    <w:rsid w:val="0060511C"/>
    <w:rsid w:val="00605A5D"/>
    <w:rsid w:val="006068F2"/>
    <w:rsid w:val="006069EC"/>
    <w:rsid w:val="00606F8B"/>
    <w:rsid w:val="00607669"/>
    <w:rsid w:val="00610A15"/>
    <w:rsid w:val="00610B3D"/>
    <w:rsid w:val="0061212F"/>
    <w:rsid w:val="006127C9"/>
    <w:rsid w:val="00612AAD"/>
    <w:rsid w:val="00613F7C"/>
    <w:rsid w:val="00616802"/>
    <w:rsid w:val="00616CCC"/>
    <w:rsid w:val="00616FF2"/>
    <w:rsid w:val="0061742F"/>
    <w:rsid w:val="00617B9A"/>
    <w:rsid w:val="00621477"/>
    <w:rsid w:val="006218BA"/>
    <w:rsid w:val="006264E1"/>
    <w:rsid w:val="0062700E"/>
    <w:rsid w:val="00627CA2"/>
    <w:rsid w:val="00627F1D"/>
    <w:rsid w:val="006306F5"/>
    <w:rsid w:val="00631D6B"/>
    <w:rsid w:val="00631F4D"/>
    <w:rsid w:val="00632B5B"/>
    <w:rsid w:val="00632C3B"/>
    <w:rsid w:val="00636379"/>
    <w:rsid w:val="006364A1"/>
    <w:rsid w:val="0063724B"/>
    <w:rsid w:val="006375AB"/>
    <w:rsid w:val="00637F06"/>
    <w:rsid w:val="00640FBF"/>
    <w:rsid w:val="0064119C"/>
    <w:rsid w:val="00641F81"/>
    <w:rsid w:val="0064523C"/>
    <w:rsid w:val="00646EB7"/>
    <w:rsid w:val="0064721C"/>
    <w:rsid w:val="0065293B"/>
    <w:rsid w:val="00652A42"/>
    <w:rsid w:val="00654FED"/>
    <w:rsid w:val="00655266"/>
    <w:rsid w:val="006558C4"/>
    <w:rsid w:val="0065786E"/>
    <w:rsid w:val="00660CCE"/>
    <w:rsid w:val="0066179D"/>
    <w:rsid w:val="00661BBF"/>
    <w:rsid w:val="00662E1B"/>
    <w:rsid w:val="00663E9C"/>
    <w:rsid w:val="00666391"/>
    <w:rsid w:val="00666488"/>
    <w:rsid w:val="006666D9"/>
    <w:rsid w:val="00666B6B"/>
    <w:rsid w:val="006672F8"/>
    <w:rsid w:val="0066780B"/>
    <w:rsid w:val="00670122"/>
    <w:rsid w:val="00670430"/>
    <w:rsid w:val="006717F2"/>
    <w:rsid w:val="00675611"/>
    <w:rsid w:val="00675A3F"/>
    <w:rsid w:val="00676783"/>
    <w:rsid w:val="00680856"/>
    <w:rsid w:val="00681BDF"/>
    <w:rsid w:val="00682112"/>
    <w:rsid w:val="0068528D"/>
    <w:rsid w:val="0068658F"/>
    <w:rsid w:val="006909A9"/>
    <w:rsid w:val="00691E4D"/>
    <w:rsid w:val="00695A3A"/>
    <w:rsid w:val="00695F11"/>
    <w:rsid w:val="0069754C"/>
    <w:rsid w:val="006A3A7E"/>
    <w:rsid w:val="006A3C15"/>
    <w:rsid w:val="006A4AE1"/>
    <w:rsid w:val="006A5886"/>
    <w:rsid w:val="006A5CE7"/>
    <w:rsid w:val="006A7106"/>
    <w:rsid w:val="006A7304"/>
    <w:rsid w:val="006A7BA5"/>
    <w:rsid w:val="006A7D9C"/>
    <w:rsid w:val="006B21ED"/>
    <w:rsid w:val="006B3136"/>
    <w:rsid w:val="006B363A"/>
    <w:rsid w:val="006B497C"/>
    <w:rsid w:val="006B5A3D"/>
    <w:rsid w:val="006B74B1"/>
    <w:rsid w:val="006B7E06"/>
    <w:rsid w:val="006C07B3"/>
    <w:rsid w:val="006C1CC2"/>
    <w:rsid w:val="006C20F4"/>
    <w:rsid w:val="006C2A8E"/>
    <w:rsid w:val="006C61A4"/>
    <w:rsid w:val="006D0C02"/>
    <w:rsid w:val="006D0CCC"/>
    <w:rsid w:val="006D0CE4"/>
    <w:rsid w:val="006D2618"/>
    <w:rsid w:val="006D303A"/>
    <w:rsid w:val="006D3C7D"/>
    <w:rsid w:val="006D4CA6"/>
    <w:rsid w:val="006D52B6"/>
    <w:rsid w:val="006D6127"/>
    <w:rsid w:val="006D65AB"/>
    <w:rsid w:val="006D7C1C"/>
    <w:rsid w:val="006E0405"/>
    <w:rsid w:val="006E0965"/>
    <w:rsid w:val="006E0A7D"/>
    <w:rsid w:val="006E2D70"/>
    <w:rsid w:val="006E3BF7"/>
    <w:rsid w:val="006E4C9F"/>
    <w:rsid w:val="006E558A"/>
    <w:rsid w:val="006E5703"/>
    <w:rsid w:val="006E6B4D"/>
    <w:rsid w:val="006E7359"/>
    <w:rsid w:val="006E7CD6"/>
    <w:rsid w:val="006F2094"/>
    <w:rsid w:val="006F4CF9"/>
    <w:rsid w:val="006F4D8D"/>
    <w:rsid w:val="006F63A5"/>
    <w:rsid w:val="006F7150"/>
    <w:rsid w:val="007015B6"/>
    <w:rsid w:val="00701E22"/>
    <w:rsid w:val="00702670"/>
    <w:rsid w:val="0070276E"/>
    <w:rsid w:val="00702A33"/>
    <w:rsid w:val="00704E8B"/>
    <w:rsid w:val="0070587C"/>
    <w:rsid w:val="00710948"/>
    <w:rsid w:val="00710DB5"/>
    <w:rsid w:val="00710E5E"/>
    <w:rsid w:val="00711A36"/>
    <w:rsid w:val="00711ABB"/>
    <w:rsid w:val="007129E6"/>
    <w:rsid w:val="0071390E"/>
    <w:rsid w:val="00714CA9"/>
    <w:rsid w:val="00715A2B"/>
    <w:rsid w:val="007165B5"/>
    <w:rsid w:val="00716B6A"/>
    <w:rsid w:val="007172AD"/>
    <w:rsid w:val="00722281"/>
    <w:rsid w:val="00723B31"/>
    <w:rsid w:val="00724CD6"/>
    <w:rsid w:val="00725C92"/>
    <w:rsid w:val="00727097"/>
    <w:rsid w:val="0073081A"/>
    <w:rsid w:val="00730A82"/>
    <w:rsid w:val="00730DB9"/>
    <w:rsid w:val="00731200"/>
    <w:rsid w:val="00731778"/>
    <w:rsid w:val="007324DD"/>
    <w:rsid w:val="00732C7E"/>
    <w:rsid w:val="00734DF4"/>
    <w:rsid w:val="00734F14"/>
    <w:rsid w:val="00736220"/>
    <w:rsid w:val="0073630A"/>
    <w:rsid w:val="0073665C"/>
    <w:rsid w:val="0073677A"/>
    <w:rsid w:val="00736851"/>
    <w:rsid w:val="0073685B"/>
    <w:rsid w:val="00737E34"/>
    <w:rsid w:val="00740A94"/>
    <w:rsid w:val="0074223D"/>
    <w:rsid w:val="00742BD3"/>
    <w:rsid w:val="00750A31"/>
    <w:rsid w:val="0075107F"/>
    <w:rsid w:val="007514E7"/>
    <w:rsid w:val="00752A45"/>
    <w:rsid w:val="007536E5"/>
    <w:rsid w:val="007540C4"/>
    <w:rsid w:val="00755530"/>
    <w:rsid w:val="00756C83"/>
    <w:rsid w:val="00757566"/>
    <w:rsid w:val="00757830"/>
    <w:rsid w:val="007606E2"/>
    <w:rsid w:val="00761569"/>
    <w:rsid w:val="00761798"/>
    <w:rsid w:val="0076229D"/>
    <w:rsid w:val="00762766"/>
    <w:rsid w:val="00763880"/>
    <w:rsid w:val="00764539"/>
    <w:rsid w:val="0076683F"/>
    <w:rsid w:val="007669FA"/>
    <w:rsid w:val="00767B0D"/>
    <w:rsid w:val="00767F8F"/>
    <w:rsid w:val="0077179D"/>
    <w:rsid w:val="007727DB"/>
    <w:rsid w:val="0077290D"/>
    <w:rsid w:val="0077524D"/>
    <w:rsid w:val="007830B2"/>
    <w:rsid w:val="00784054"/>
    <w:rsid w:val="00784EAE"/>
    <w:rsid w:val="00785A3A"/>
    <w:rsid w:val="00790940"/>
    <w:rsid w:val="00790B33"/>
    <w:rsid w:val="00790E01"/>
    <w:rsid w:val="00793877"/>
    <w:rsid w:val="00794057"/>
    <w:rsid w:val="00795DC9"/>
    <w:rsid w:val="00796E4D"/>
    <w:rsid w:val="007A00DE"/>
    <w:rsid w:val="007A2414"/>
    <w:rsid w:val="007A26F1"/>
    <w:rsid w:val="007A28B3"/>
    <w:rsid w:val="007A5157"/>
    <w:rsid w:val="007A573F"/>
    <w:rsid w:val="007A658E"/>
    <w:rsid w:val="007A6F86"/>
    <w:rsid w:val="007A721B"/>
    <w:rsid w:val="007A7AF7"/>
    <w:rsid w:val="007B0B05"/>
    <w:rsid w:val="007B0D6B"/>
    <w:rsid w:val="007B119C"/>
    <w:rsid w:val="007B2209"/>
    <w:rsid w:val="007B55A5"/>
    <w:rsid w:val="007B5E36"/>
    <w:rsid w:val="007B67A5"/>
    <w:rsid w:val="007B77D1"/>
    <w:rsid w:val="007C17D0"/>
    <w:rsid w:val="007C1BCC"/>
    <w:rsid w:val="007C3044"/>
    <w:rsid w:val="007C30F3"/>
    <w:rsid w:val="007C423C"/>
    <w:rsid w:val="007C443F"/>
    <w:rsid w:val="007C489C"/>
    <w:rsid w:val="007C5E9F"/>
    <w:rsid w:val="007C6005"/>
    <w:rsid w:val="007C66A7"/>
    <w:rsid w:val="007C77E7"/>
    <w:rsid w:val="007D0CAB"/>
    <w:rsid w:val="007D3057"/>
    <w:rsid w:val="007D546E"/>
    <w:rsid w:val="007D63DA"/>
    <w:rsid w:val="007D7869"/>
    <w:rsid w:val="007E01F6"/>
    <w:rsid w:val="007E0A3C"/>
    <w:rsid w:val="007E5098"/>
    <w:rsid w:val="007E5920"/>
    <w:rsid w:val="007E59AD"/>
    <w:rsid w:val="007F020A"/>
    <w:rsid w:val="007F1B11"/>
    <w:rsid w:val="007F5155"/>
    <w:rsid w:val="007F6322"/>
    <w:rsid w:val="007F6FE7"/>
    <w:rsid w:val="0080057A"/>
    <w:rsid w:val="0080133B"/>
    <w:rsid w:val="00801521"/>
    <w:rsid w:val="00802EC8"/>
    <w:rsid w:val="00802F75"/>
    <w:rsid w:val="008038C9"/>
    <w:rsid w:val="00803B84"/>
    <w:rsid w:val="00805142"/>
    <w:rsid w:val="008056AF"/>
    <w:rsid w:val="00807108"/>
    <w:rsid w:val="00807A32"/>
    <w:rsid w:val="00807A8B"/>
    <w:rsid w:val="00810F44"/>
    <w:rsid w:val="00812149"/>
    <w:rsid w:val="00812674"/>
    <w:rsid w:val="00814563"/>
    <w:rsid w:val="00814BD2"/>
    <w:rsid w:val="00815C91"/>
    <w:rsid w:val="008166EF"/>
    <w:rsid w:val="008167ED"/>
    <w:rsid w:val="00817D6B"/>
    <w:rsid w:val="00817E25"/>
    <w:rsid w:val="0082156F"/>
    <w:rsid w:val="00822EF3"/>
    <w:rsid w:val="00823CA6"/>
    <w:rsid w:val="00823F84"/>
    <w:rsid w:val="00826343"/>
    <w:rsid w:val="008264EB"/>
    <w:rsid w:val="008266C4"/>
    <w:rsid w:val="00826996"/>
    <w:rsid w:val="0082790D"/>
    <w:rsid w:val="00827A48"/>
    <w:rsid w:val="00831BD9"/>
    <w:rsid w:val="00831ED6"/>
    <w:rsid w:val="008329E8"/>
    <w:rsid w:val="0083317D"/>
    <w:rsid w:val="00834545"/>
    <w:rsid w:val="00835660"/>
    <w:rsid w:val="00836ACA"/>
    <w:rsid w:val="00836DF5"/>
    <w:rsid w:val="00837143"/>
    <w:rsid w:val="00840CA2"/>
    <w:rsid w:val="00841460"/>
    <w:rsid w:val="008415F5"/>
    <w:rsid w:val="00841F92"/>
    <w:rsid w:val="008423EB"/>
    <w:rsid w:val="00843C0C"/>
    <w:rsid w:val="00847F95"/>
    <w:rsid w:val="0085158E"/>
    <w:rsid w:val="008522C6"/>
    <w:rsid w:val="00852723"/>
    <w:rsid w:val="008532B6"/>
    <w:rsid w:val="00853B25"/>
    <w:rsid w:val="00854DB2"/>
    <w:rsid w:val="00855927"/>
    <w:rsid w:val="008566CC"/>
    <w:rsid w:val="00856E9A"/>
    <w:rsid w:val="00860157"/>
    <w:rsid w:val="008626F5"/>
    <w:rsid w:val="00862DA0"/>
    <w:rsid w:val="00863DCC"/>
    <w:rsid w:val="00863EC6"/>
    <w:rsid w:val="00864CDF"/>
    <w:rsid w:val="00867727"/>
    <w:rsid w:val="0086780D"/>
    <w:rsid w:val="0086782F"/>
    <w:rsid w:val="00867AE6"/>
    <w:rsid w:val="00870BAA"/>
    <w:rsid w:val="00870D3F"/>
    <w:rsid w:val="008711DD"/>
    <w:rsid w:val="0087236E"/>
    <w:rsid w:val="00872C58"/>
    <w:rsid w:val="00872C77"/>
    <w:rsid w:val="00874CE0"/>
    <w:rsid w:val="0087532C"/>
    <w:rsid w:val="008755CF"/>
    <w:rsid w:val="00875F29"/>
    <w:rsid w:val="00876148"/>
    <w:rsid w:val="00876726"/>
    <w:rsid w:val="008774CB"/>
    <w:rsid w:val="00881046"/>
    <w:rsid w:val="00881214"/>
    <w:rsid w:val="0088183A"/>
    <w:rsid w:val="008826EE"/>
    <w:rsid w:val="008827D3"/>
    <w:rsid w:val="00882874"/>
    <w:rsid w:val="0088288E"/>
    <w:rsid w:val="0088325D"/>
    <w:rsid w:val="008840C8"/>
    <w:rsid w:val="00885036"/>
    <w:rsid w:val="00885535"/>
    <w:rsid w:val="0088582E"/>
    <w:rsid w:val="00885E4C"/>
    <w:rsid w:val="00885F22"/>
    <w:rsid w:val="00891313"/>
    <w:rsid w:val="008915DF"/>
    <w:rsid w:val="00892258"/>
    <w:rsid w:val="00892657"/>
    <w:rsid w:val="00892A16"/>
    <w:rsid w:val="0089464A"/>
    <w:rsid w:val="00896DD1"/>
    <w:rsid w:val="00897763"/>
    <w:rsid w:val="00897AB9"/>
    <w:rsid w:val="00897CD2"/>
    <w:rsid w:val="008A0451"/>
    <w:rsid w:val="008A3621"/>
    <w:rsid w:val="008A3BB0"/>
    <w:rsid w:val="008A4055"/>
    <w:rsid w:val="008A5F38"/>
    <w:rsid w:val="008A640A"/>
    <w:rsid w:val="008A79DE"/>
    <w:rsid w:val="008B116D"/>
    <w:rsid w:val="008B11DE"/>
    <w:rsid w:val="008B149A"/>
    <w:rsid w:val="008B23CE"/>
    <w:rsid w:val="008B43DB"/>
    <w:rsid w:val="008B45F9"/>
    <w:rsid w:val="008B5E5D"/>
    <w:rsid w:val="008B66BA"/>
    <w:rsid w:val="008B68BF"/>
    <w:rsid w:val="008B7D7E"/>
    <w:rsid w:val="008C067A"/>
    <w:rsid w:val="008C14B9"/>
    <w:rsid w:val="008C2523"/>
    <w:rsid w:val="008C2734"/>
    <w:rsid w:val="008C29A8"/>
    <w:rsid w:val="008C4633"/>
    <w:rsid w:val="008C5CF0"/>
    <w:rsid w:val="008C68D2"/>
    <w:rsid w:val="008C6A5A"/>
    <w:rsid w:val="008D0B25"/>
    <w:rsid w:val="008D1FB2"/>
    <w:rsid w:val="008D2FA7"/>
    <w:rsid w:val="008D34F9"/>
    <w:rsid w:val="008D3DA4"/>
    <w:rsid w:val="008D40F8"/>
    <w:rsid w:val="008D44D2"/>
    <w:rsid w:val="008D554C"/>
    <w:rsid w:val="008D6120"/>
    <w:rsid w:val="008D6A89"/>
    <w:rsid w:val="008D797B"/>
    <w:rsid w:val="008D7AC0"/>
    <w:rsid w:val="008E020E"/>
    <w:rsid w:val="008E065F"/>
    <w:rsid w:val="008E1129"/>
    <w:rsid w:val="008E205D"/>
    <w:rsid w:val="008E3259"/>
    <w:rsid w:val="008E55C8"/>
    <w:rsid w:val="008E6977"/>
    <w:rsid w:val="008F1068"/>
    <w:rsid w:val="008F13AE"/>
    <w:rsid w:val="008F237E"/>
    <w:rsid w:val="008F2FEB"/>
    <w:rsid w:val="008F48EB"/>
    <w:rsid w:val="008F68FA"/>
    <w:rsid w:val="008F6D0F"/>
    <w:rsid w:val="008F6D47"/>
    <w:rsid w:val="008F701C"/>
    <w:rsid w:val="0090140C"/>
    <w:rsid w:val="009027F3"/>
    <w:rsid w:val="00903882"/>
    <w:rsid w:val="0090475B"/>
    <w:rsid w:val="00905766"/>
    <w:rsid w:val="00905ED6"/>
    <w:rsid w:val="00907A98"/>
    <w:rsid w:val="009103CD"/>
    <w:rsid w:val="00910441"/>
    <w:rsid w:val="00911272"/>
    <w:rsid w:val="00911D74"/>
    <w:rsid w:val="00913658"/>
    <w:rsid w:val="00916D1F"/>
    <w:rsid w:val="00916EEE"/>
    <w:rsid w:val="009216CD"/>
    <w:rsid w:val="0092475F"/>
    <w:rsid w:val="0092497E"/>
    <w:rsid w:val="00927F9D"/>
    <w:rsid w:val="00930C0A"/>
    <w:rsid w:val="009319CA"/>
    <w:rsid w:val="00931B19"/>
    <w:rsid w:val="009327C8"/>
    <w:rsid w:val="00933515"/>
    <w:rsid w:val="009343AC"/>
    <w:rsid w:val="0093502E"/>
    <w:rsid w:val="0093540D"/>
    <w:rsid w:val="00941523"/>
    <w:rsid w:val="009433DC"/>
    <w:rsid w:val="00943938"/>
    <w:rsid w:val="00943D64"/>
    <w:rsid w:val="0094496C"/>
    <w:rsid w:val="009449F9"/>
    <w:rsid w:val="009452B6"/>
    <w:rsid w:val="00947CEB"/>
    <w:rsid w:val="0095096D"/>
    <w:rsid w:val="0095233D"/>
    <w:rsid w:val="00953C93"/>
    <w:rsid w:val="00954F23"/>
    <w:rsid w:val="009557F5"/>
    <w:rsid w:val="00955B20"/>
    <w:rsid w:val="009577D7"/>
    <w:rsid w:val="00957D6B"/>
    <w:rsid w:val="009600D9"/>
    <w:rsid w:val="00960120"/>
    <w:rsid w:val="009605FC"/>
    <w:rsid w:val="0096149E"/>
    <w:rsid w:val="00963015"/>
    <w:rsid w:val="0096414E"/>
    <w:rsid w:val="00965095"/>
    <w:rsid w:val="009673BC"/>
    <w:rsid w:val="00967FA3"/>
    <w:rsid w:val="0097053E"/>
    <w:rsid w:val="009750B2"/>
    <w:rsid w:val="00975F91"/>
    <w:rsid w:val="00975FC4"/>
    <w:rsid w:val="009770AC"/>
    <w:rsid w:val="00977792"/>
    <w:rsid w:val="00980E55"/>
    <w:rsid w:val="00983E57"/>
    <w:rsid w:val="009845DC"/>
    <w:rsid w:val="00986CFC"/>
    <w:rsid w:val="00987EA1"/>
    <w:rsid w:val="009908D1"/>
    <w:rsid w:val="0099335F"/>
    <w:rsid w:val="009936C9"/>
    <w:rsid w:val="00993846"/>
    <w:rsid w:val="00993AB6"/>
    <w:rsid w:val="009953EA"/>
    <w:rsid w:val="009969D3"/>
    <w:rsid w:val="00997553"/>
    <w:rsid w:val="009A034E"/>
    <w:rsid w:val="009A0CD4"/>
    <w:rsid w:val="009A1510"/>
    <w:rsid w:val="009A3574"/>
    <w:rsid w:val="009A4ACE"/>
    <w:rsid w:val="009A4EAE"/>
    <w:rsid w:val="009A5765"/>
    <w:rsid w:val="009A6368"/>
    <w:rsid w:val="009A63F4"/>
    <w:rsid w:val="009A6EF4"/>
    <w:rsid w:val="009A7244"/>
    <w:rsid w:val="009B0D69"/>
    <w:rsid w:val="009B1327"/>
    <w:rsid w:val="009B3E26"/>
    <w:rsid w:val="009B4FEF"/>
    <w:rsid w:val="009B655E"/>
    <w:rsid w:val="009B6B62"/>
    <w:rsid w:val="009B7678"/>
    <w:rsid w:val="009B7BA8"/>
    <w:rsid w:val="009B7D27"/>
    <w:rsid w:val="009C0B8C"/>
    <w:rsid w:val="009C1120"/>
    <w:rsid w:val="009D057A"/>
    <w:rsid w:val="009D371D"/>
    <w:rsid w:val="009D5398"/>
    <w:rsid w:val="009D6947"/>
    <w:rsid w:val="009E05DC"/>
    <w:rsid w:val="009E0A44"/>
    <w:rsid w:val="009E0A5B"/>
    <w:rsid w:val="009E2BFE"/>
    <w:rsid w:val="009E38E4"/>
    <w:rsid w:val="009E4C07"/>
    <w:rsid w:val="009E6982"/>
    <w:rsid w:val="009F2003"/>
    <w:rsid w:val="009F2419"/>
    <w:rsid w:val="009F2F29"/>
    <w:rsid w:val="009F4DC3"/>
    <w:rsid w:val="009F6A68"/>
    <w:rsid w:val="00A0013A"/>
    <w:rsid w:val="00A00FCB"/>
    <w:rsid w:val="00A015D1"/>
    <w:rsid w:val="00A01664"/>
    <w:rsid w:val="00A01781"/>
    <w:rsid w:val="00A02B37"/>
    <w:rsid w:val="00A039B4"/>
    <w:rsid w:val="00A03BCD"/>
    <w:rsid w:val="00A03D43"/>
    <w:rsid w:val="00A03F0C"/>
    <w:rsid w:val="00A0435B"/>
    <w:rsid w:val="00A04380"/>
    <w:rsid w:val="00A0702D"/>
    <w:rsid w:val="00A072EF"/>
    <w:rsid w:val="00A109F1"/>
    <w:rsid w:val="00A10D0E"/>
    <w:rsid w:val="00A1193A"/>
    <w:rsid w:val="00A13948"/>
    <w:rsid w:val="00A151D6"/>
    <w:rsid w:val="00A15A0D"/>
    <w:rsid w:val="00A17050"/>
    <w:rsid w:val="00A174E4"/>
    <w:rsid w:val="00A1761A"/>
    <w:rsid w:val="00A21281"/>
    <w:rsid w:val="00A22CD1"/>
    <w:rsid w:val="00A22E44"/>
    <w:rsid w:val="00A23BC0"/>
    <w:rsid w:val="00A2425D"/>
    <w:rsid w:val="00A24689"/>
    <w:rsid w:val="00A25858"/>
    <w:rsid w:val="00A27740"/>
    <w:rsid w:val="00A27AEC"/>
    <w:rsid w:val="00A27C64"/>
    <w:rsid w:val="00A303CA"/>
    <w:rsid w:val="00A305E4"/>
    <w:rsid w:val="00A30A43"/>
    <w:rsid w:val="00A34310"/>
    <w:rsid w:val="00A35E66"/>
    <w:rsid w:val="00A36D41"/>
    <w:rsid w:val="00A36DD3"/>
    <w:rsid w:val="00A37B99"/>
    <w:rsid w:val="00A4093E"/>
    <w:rsid w:val="00A42D8E"/>
    <w:rsid w:val="00A4505B"/>
    <w:rsid w:val="00A45CE6"/>
    <w:rsid w:val="00A474D7"/>
    <w:rsid w:val="00A5083E"/>
    <w:rsid w:val="00A50AF8"/>
    <w:rsid w:val="00A50EC2"/>
    <w:rsid w:val="00A50ECD"/>
    <w:rsid w:val="00A52815"/>
    <w:rsid w:val="00A53D17"/>
    <w:rsid w:val="00A56AEB"/>
    <w:rsid w:val="00A56B6A"/>
    <w:rsid w:val="00A57AAF"/>
    <w:rsid w:val="00A608FB"/>
    <w:rsid w:val="00A61546"/>
    <w:rsid w:val="00A646F0"/>
    <w:rsid w:val="00A652FF"/>
    <w:rsid w:val="00A6725B"/>
    <w:rsid w:val="00A70078"/>
    <w:rsid w:val="00A70CBF"/>
    <w:rsid w:val="00A71910"/>
    <w:rsid w:val="00A72B91"/>
    <w:rsid w:val="00A73023"/>
    <w:rsid w:val="00A73904"/>
    <w:rsid w:val="00A73AE1"/>
    <w:rsid w:val="00A73F03"/>
    <w:rsid w:val="00A742D7"/>
    <w:rsid w:val="00A746D6"/>
    <w:rsid w:val="00A751A3"/>
    <w:rsid w:val="00A7638C"/>
    <w:rsid w:val="00A82435"/>
    <w:rsid w:val="00A8294E"/>
    <w:rsid w:val="00A83302"/>
    <w:rsid w:val="00A853CD"/>
    <w:rsid w:val="00A85D1B"/>
    <w:rsid w:val="00A85E34"/>
    <w:rsid w:val="00A8621F"/>
    <w:rsid w:val="00A90350"/>
    <w:rsid w:val="00A91A2E"/>
    <w:rsid w:val="00A92382"/>
    <w:rsid w:val="00A93673"/>
    <w:rsid w:val="00A93ADA"/>
    <w:rsid w:val="00A93D30"/>
    <w:rsid w:val="00A95194"/>
    <w:rsid w:val="00A9568B"/>
    <w:rsid w:val="00A95771"/>
    <w:rsid w:val="00A969D6"/>
    <w:rsid w:val="00A9747C"/>
    <w:rsid w:val="00A975F6"/>
    <w:rsid w:val="00AA392D"/>
    <w:rsid w:val="00AA4887"/>
    <w:rsid w:val="00AA5780"/>
    <w:rsid w:val="00AA713D"/>
    <w:rsid w:val="00AA720A"/>
    <w:rsid w:val="00AB042A"/>
    <w:rsid w:val="00AB0AEA"/>
    <w:rsid w:val="00AB2DD6"/>
    <w:rsid w:val="00AB32F5"/>
    <w:rsid w:val="00AB3430"/>
    <w:rsid w:val="00AB38BB"/>
    <w:rsid w:val="00AB3FEA"/>
    <w:rsid w:val="00AB52D7"/>
    <w:rsid w:val="00AB5517"/>
    <w:rsid w:val="00AB556D"/>
    <w:rsid w:val="00AB5B5A"/>
    <w:rsid w:val="00AB5BC7"/>
    <w:rsid w:val="00AB5F1F"/>
    <w:rsid w:val="00AB6191"/>
    <w:rsid w:val="00AB668D"/>
    <w:rsid w:val="00AB6B05"/>
    <w:rsid w:val="00AB6E1A"/>
    <w:rsid w:val="00AB75F8"/>
    <w:rsid w:val="00AB7CFA"/>
    <w:rsid w:val="00AC116F"/>
    <w:rsid w:val="00AC1DE6"/>
    <w:rsid w:val="00AC4D9D"/>
    <w:rsid w:val="00AC6700"/>
    <w:rsid w:val="00AC735A"/>
    <w:rsid w:val="00AC777F"/>
    <w:rsid w:val="00AD06C9"/>
    <w:rsid w:val="00AD110F"/>
    <w:rsid w:val="00AD12D0"/>
    <w:rsid w:val="00AD19AA"/>
    <w:rsid w:val="00AD28CB"/>
    <w:rsid w:val="00AD2F69"/>
    <w:rsid w:val="00AD30D6"/>
    <w:rsid w:val="00AD35A8"/>
    <w:rsid w:val="00AD5015"/>
    <w:rsid w:val="00AD5406"/>
    <w:rsid w:val="00AD6B46"/>
    <w:rsid w:val="00AD6C13"/>
    <w:rsid w:val="00AD7DEC"/>
    <w:rsid w:val="00AE0226"/>
    <w:rsid w:val="00AE0AF6"/>
    <w:rsid w:val="00AE241A"/>
    <w:rsid w:val="00AE32B4"/>
    <w:rsid w:val="00AE37BE"/>
    <w:rsid w:val="00AE412E"/>
    <w:rsid w:val="00AE568B"/>
    <w:rsid w:val="00AE6752"/>
    <w:rsid w:val="00AE6CA5"/>
    <w:rsid w:val="00AE6E49"/>
    <w:rsid w:val="00AE6EE8"/>
    <w:rsid w:val="00AE7B76"/>
    <w:rsid w:val="00AE7C2E"/>
    <w:rsid w:val="00AF0640"/>
    <w:rsid w:val="00AF17B8"/>
    <w:rsid w:val="00AF3B19"/>
    <w:rsid w:val="00AF3F15"/>
    <w:rsid w:val="00B01D7D"/>
    <w:rsid w:val="00B02C67"/>
    <w:rsid w:val="00B02E4A"/>
    <w:rsid w:val="00B03215"/>
    <w:rsid w:val="00B04CE5"/>
    <w:rsid w:val="00B0576E"/>
    <w:rsid w:val="00B116BD"/>
    <w:rsid w:val="00B11BF0"/>
    <w:rsid w:val="00B13433"/>
    <w:rsid w:val="00B14295"/>
    <w:rsid w:val="00B14EC6"/>
    <w:rsid w:val="00B15360"/>
    <w:rsid w:val="00B175EB"/>
    <w:rsid w:val="00B21748"/>
    <w:rsid w:val="00B2200E"/>
    <w:rsid w:val="00B232A0"/>
    <w:rsid w:val="00B2382B"/>
    <w:rsid w:val="00B23C95"/>
    <w:rsid w:val="00B26568"/>
    <w:rsid w:val="00B266A8"/>
    <w:rsid w:val="00B31242"/>
    <w:rsid w:val="00B32013"/>
    <w:rsid w:val="00B35012"/>
    <w:rsid w:val="00B350B6"/>
    <w:rsid w:val="00B35F99"/>
    <w:rsid w:val="00B4017C"/>
    <w:rsid w:val="00B42851"/>
    <w:rsid w:val="00B4349B"/>
    <w:rsid w:val="00B439FC"/>
    <w:rsid w:val="00B43E2B"/>
    <w:rsid w:val="00B44D64"/>
    <w:rsid w:val="00B46B1D"/>
    <w:rsid w:val="00B47B45"/>
    <w:rsid w:val="00B47F4D"/>
    <w:rsid w:val="00B503AA"/>
    <w:rsid w:val="00B50624"/>
    <w:rsid w:val="00B5178E"/>
    <w:rsid w:val="00B52248"/>
    <w:rsid w:val="00B53E9A"/>
    <w:rsid w:val="00B54B5B"/>
    <w:rsid w:val="00B5513C"/>
    <w:rsid w:val="00B5562E"/>
    <w:rsid w:val="00B572FB"/>
    <w:rsid w:val="00B5786A"/>
    <w:rsid w:val="00B614F8"/>
    <w:rsid w:val="00B6355D"/>
    <w:rsid w:val="00B63667"/>
    <w:rsid w:val="00B63A61"/>
    <w:rsid w:val="00B6537C"/>
    <w:rsid w:val="00B6575F"/>
    <w:rsid w:val="00B67182"/>
    <w:rsid w:val="00B67D05"/>
    <w:rsid w:val="00B70BE3"/>
    <w:rsid w:val="00B71565"/>
    <w:rsid w:val="00B7405D"/>
    <w:rsid w:val="00B75072"/>
    <w:rsid w:val="00B7552F"/>
    <w:rsid w:val="00B76D22"/>
    <w:rsid w:val="00B817A6"/>
    <w:rsid w:val="00B81892"/>
    <w:rsid w:val="00B818A4"/>
    <w:rsid w:val="00B824FA"/>
    <w:rsid w:val="00B8290B"/>
    <w:rsid w:val="00B82D9D"/>
    <w:rsid w:val="00B8373D"/>
    <w:rsid w:val="00B86745"/>
    <w:rsid w:val="00B8741B"/>
    <w:rsid w:val="00B90061"/>
    <w:rsid w:val="00B925C6"/>
    <w:rsid w:val="00B93FF8"/>
    <w:rsid w:val="00B949AB"/>
    <w:rsid w:val="00B95D7F"/>
    <w:rsid w:val="00B96927"/>
    <w:rsid w:val="00B96E9D"/>
    <w:rsid w:val="00B975DB"/>
    <w:rsid w:val="00B9763E"/>
    <w:rsid w:val="00BA0664"/>
    <w:rsid w:val="00BA0A9D"/>
    <w:rsid w:val="00BA15B7"/>
    <w:rsid w:val="00BA228B"/>
    <w:rsid w:val="00BA2EF9"/>
    <w:rsid w:val="00BA3A39"/>
    <w:rsid w:val="00BA3B84"/>
    <w:rsid w:val="00BA41CF"/>
    <w:rsid w:val="00BA4851"/>
    <w:rsid w:val="00BA61BE"/>
    <w:rsid w:val="00BA6622"/>
    <w:rsid w:val="00BA7D41"/>
    <w:rsid w:val="00BB0272"/>
    <w:rsid w:val="00BB289F"/>
    <w:rsid w:val="00BB2F0A"/>
    <w:rsid w:val="00BB2F8E"/>
    <w:rsid w:val="00BB46EB"/>
    <w:rsid w:val="00BB5239"/>
    <w:rsid w:val="00BB6D2D"/>
    <w:rsid w:val="00BC04FD"/>
    <w:rsid w:val="00BC1C3A"/>
    <w:rsid w:val="00BC32E7"/>
    <w:rsid w:val="00BC4B83"/>
    <w:rsid w:val="00BC59C9"/>
    <w:rsid w:val="00BC5BA0"/>
    <w:rsid w:val="00BC6A30"/>
    <w:rsid w:val="00BC7260"/>
    <w:rsid w:val="00BC7848"/>
    <w:rsid w:val="00BC7DBE"/>
    <w:rsid w:val="00BD1BB0"/>
    <w:rsid w:val="00BD4BF0"/>
    <w:rsid w:val="00BD7352"/>
    <w:rsid w:val="00BD7FC3"/>
    <w:rsid w:val="00BE05EF"/>
    <w:rsid w:val="00BE4275"/>
    <w:rsid w:val="00BE47C1"/>
    <w:rsid w:val="00BE70CE"/>
    <w:rsid w:val="00BE7704"/>
    <w:rsid w:val="00BE7CBF"/>
    <w:rsid w:val="00BE7E8C"/>
    <w:rsid w:val="00BF0E24"/>
    <w:rsid w:val="00BF29BC"/>
    <w:rsid w:val="00BF2D53"/>
    <w:rsid w:val="00BF2DF8"/>
    <w:rsid w:val="00BF2F52"/>
    <w:rsid w:val="00BF5766"/>
    <w:rsid w:val="00BF5A62"/>
    <w:rsid w:val="00BF5E35"/>
    <w:rsid w:val="00BF61C9"/>
    <w:rsid w:val="00BF67A0"/>
    <w:rsid w:val="00BF726D"/>
    <w:rsid w:val="00BF7FC8"/>
    <w:rsid w:val="00C0237B"/>
    <w:rsid w:val="00C05CCB"/>
    <w:rsid w:val="00C070C9"/>
    <w:rsid w:val="00C10055"/>
    <w:rsid w:val="00C10065"/>
    <w:rsid w:val="00C10F23"/>
    <w:rsid w:val="00C12503"/>
    <w:rsid w:val="00C1267A"/>
    <w:rsid w:val="00C21C34"/>
    <w:rsid w:val="00C223DA"/>
    <w:rsid w:val="00C229B7"/>
    <w:rsid w:val="00C2301D"/>
    <w:rsid w:val="00C2610F"/>
    <w:rsid w:val="00C266D4"/>
    <w:rsid w:val="00C26F8F"/>
    <w:rsid w:val="00C31266"/>
    <w:rsid w:val="00C31574"/>
    <w:rsid w:val="00C31649"/>
    <w:rsid w:val="00C32046"/>
    <w:rsid w:val="00C33069"/>
    <w:rsid w:val="00C34286"/>
    <w:rsid w:val="00C3458D"/>
    <w:rsid w:val="00C35D44"/>
    <w:rsid w:val="00C36216"/>
    <w:rsid w:val="00C40385"/>
    <w:rsid w:val="00C41CA8"/>
    <w:rsid w:val="00C41EDE"/>
    <w:rsid w:val="00C4389B"/>
    <w:rsid w:val="00C4586E"/>
    <w:rsid w:val="00C50CFC"/>
    <w:rsid w:val="00C513F4"/>
    <w:rsid w:val="00C51936"/>
    <w:rsid w:val="00C52B9A"/>
    <w:rsid w:val="00C57868"/>
    <w:rsid w:val="00C5786F"/>
    <w:rsid w:val="00C57B27"/>
    <w:rsid w:val="00C60309"/>
    <w:rsid w:val="00C61083"/>
    <w:rsid w:val="00C61E0C"/>
    <w:rsid w:val="00C61ECF"/>
    <w:rsid w:val="00C62102"/>
    <w:rsid w:val="00C6278C"/>
    <w:rsid w:val="00C645E0"/>
    <w:rsid w:val="00C64850"/>
    <w:rsid w:val="00C65576"/>
    <w:rsid w:val="00C65921"/>
    <w:rsid w:val="00C7183F"/>
    <w:rsid w:val="00C72967"/>
    <w:rsid w:val="00C75DED"/>
    <w:rsid w:val="00C80BCD"/>
    <w:rsid w:val="00C8213F"/>
    <w:rsid w:val="00C85083"/>
    <w:rsid w:val="00C86530"/>
    <w:rsid w:val="00C8797A"/>
    <w:rsid w:val="00C8799C"/>
    <w:rsid w:val="00C87A31"/>
    <w:rsid w:val="00C87E02"/>
    <w:rsid w:val="00C90A7D"/>
    <w:rsid w:val="00C92229"/>
    <w:rsid w:val="00C93417"/>
    <w:rsid w:val="00C938CF"/>
    <w:rsid w:val="00C93BC9"/>
    <w:rsid w:val="00C93D57"/>
    <w:rsid w:val="00C949FC"/>
    <w:rsid w:val="00C94ACE"/>
    <w:rsid w:val="00C95226"/>
    <w:rsid w:val="00C95CCE"/>
    <w:rsid w:val="00C961A6"/>
    <w:rsid w:val="00C96E36"/>
    <w:rsid w:val="00C97366"/>
    <w:rsid w:val="00C976A9"/>
    <w:rsid w:val="00C97E24"/>
    <w:rsid w:val="00CA2924"/>
    <w:rsid w:val="00CA306F"/>
    <w:rsid w:val="00CA3DDF"/>
    <w:rsid w:val="00CA4D9E"/>
    <w:rsid w:val="00CA5245"/>
    <w:rsid w:val="00CA7B09"/>
    <w:rsid w:val="00CB1638"/>
    <w:rsid w:val="00CB4599"/>
    <w:rsid w:val="00CB5B1A"/>
    <w:rsid w:val="00CB5B32"/>
    <w:rsid w:val="00CB6219"/>
    <w:rsid w:val="00CB6563"/>
    <w:rsid w:val="00CB7933"/>
    <w:rsid w:val="00CC0BB3"/>
    <w:rsid w:val="00CC10E9"/>
    <w:rsid w:val="00CC128B"/>
    <w:rsid w:val="00CC2425"/>
    <w:rsid w:val="00CC2FC4"/>
    <w:rsid w:val="00CC59C3"/>
    <w:rsid w:val="00CC5D61"/>
    <w:rsid w:val="00CC686C"/>
    <w:rsid w:val="00CD251E"/>
    <w:rsid w:val="00CD346D"/>
    <w:rsid w:val="00CD3757"/>
    <w:rsid w:val="00CD4433"/>
    <w:rsid w:val="00CD555A"/>
    <w:rsid w:val="00CD6602"/>
    <w:rsid w:val="00CD755F"/>
    <w:rsid w:val="00CE234E"/>
    <w:rsid w:val="00CE6274"/>
    <w:rsid w:val="00CF098E"/>
    <w:rsid w:val="00CF0D5E"/>
    <w:rsid w:val="00CF165C"/>
    <w:rsid w:val="00CF1BB0"/>
    <w:rsid w:val="00CF1C80"/>
    <w:rsid w:val="00CF21B0"/>
    <w:rsid w:val="00CF30B4"/>
    <w:rsid w:val="00CF40D3"/>
    <w:rsid w:val="00CF4135"/>
    <w:rsid w:val="00CF4D4F"/>
    <w:rsid w:val="00CF5A22"/>
    <w:rsid w:val="00CF6231"/>
    <w:rsid w:val="00D0000C"/>
    <w:rsid w:val="00D011B6"/>
    <w:rsid w:val="00D01D11"/>
    <w:rsid w:val="00D02171"/>
    <w:rsid w:val="00D0262E"/>
    <w:rsid w:val="00D0270C"/>
    <w:rsid w:val="00D02E54"/>
    <w:rsid w:val="00D040E3"/>
    <w:rsid w:val="00D04B0A"/>
    <w:rsid w:val="00D070FA"/>
    <w:rsid w:val="00D073DF"/>
    <w:rsid w:val="00D077F6"/>
    <w:rsid w:val="00D1058E"/>
    <w:rsid w:val="00D12425"/>
    <w:rsid w:val="00D12B50"/>
    <w:rsid w:val="00D1314C"/>
    <w:rsid w:val="00D1361D"/>
    <w:rsid w:val="00D171ED"/>
    <w:rsid w:val="00D17D6C"/>
    <w:rsid w:val="00D208E4"/>
    <w:rsid w:val="00D219F8"/>
    <w:rsid w:val="00D229C5"/>
    <w:rsid w:val="00D2394E"/>
    <w:rsid w:val="00D23C90"/>
    <w:rsid w:val="00D243A4"/>
    <w:rsid w:val="00D26382"/>
    <w:rsid w:val="00D26912"/>
    <w:rsid w:val="00D27702"/>
    <w:rsid w:val="00D32476"/>
    <w:rsid w:val="00D32ABC"/>
    <w:rsid w:val="00D34D7C"/>
    <w:rsid w:val="00D35885"/>
    <w:rsid w:val="00D41363"/>
    <w:rsid w:val="00D43F2E"/>
    <w:rsid w:val="00D459ED"/>
    <w:rsid w:val="00D4617D"/>
    <w:rsid w:val="00D5000E"/>
    <w:rsid w:val="00D5043A"/>
    <w:rsid w:val="00D518AF"/>
    <w:rsid w:val="00D5308A"/>
    <w:rsid w:val="00D53C2C"/>
    <w:rsid w:val="00D54478"/>
    <w:rsid w:val="00D545E7"/>
    <w:rsid w:val="00D564FA"/>
    <w:rsid w:val="00D577D3"/>
    <w:rsid w:val="00D603A7"/>
    <w:rsid w:val="00D61C37"/>
    <w:rsid w:val="00D63115"/>
    <w:rsid w:val="00D645E6"/>
    <w:rsid w:val="00D64B69"/>
    <w:rsid w:val="00D654AE"/>
    <w:rsid w:val="00D65F0F"/>
    <w:rsid w:val="00D6647F"/>
    <w:rsid w:val="00D67E14"/>
    <w:rsid w:val="00D70027"/>
    <w:rsid w:val="00D706A8"/>
    <w:rsid w:val="00D71EE6"/>
    <w:rsid w:val="00D728EA"/>
    <w:rsid w:val="00D7378E"/>
    <w:rsid w:val="00D74B35"/>
    <w:rsid w:val="00D75059"/>
    <w:rsid w:val="00D75146"/>
    <w:rsid w:val="00D7714B"/>
    <w:rsid w:val="00D77EC6"/>
    <w:rsid w:val="00D83087"/>
    <w:rsid w:val="00D834EF"/>
    <w:rsid w:val="00D8539B"/>
    <w:rsid w:val="00D8727E"/>
    <w:rsid w:val="00D87A18"/>
    <w:rsid w:val="00D90E3D"/>
    <w:rsid w:val="00D9198F"/>
    <w:rsid w:val="00D94E3B"/>
    <w:rsid w:val="00D94E44"/>
    <w:rsid w:val="00D96458"/>
    <w:rsid w:val="00D9721C"/>
    <w:rsid w:val="00D97C10"/>
    <w:rsid w:val="00D97C7B"/>
    <w:rsid w:val="00DA0918"/>
    <w:rsid w:val="00DA2925"/>
    <w:rsid w:val="00DA3430"/>
    <w:rsid w:val="00DA3842"/>
    <w:rsid w:val="00DA4438"/>
    <w:rsid w:val="00DB20A3"/>
    <w:rsid w:val="00DB246F"/>
    <w:rsid w:val="00DB3AEF"/>
    <w:rsid w:val="00DB471F"/>
    <w:rsid w:val="00DB4A6B"/>
    <w:rsid w:val="00DB4E7D"/>
    <w:rsid w:val="00DB4F56"/>
    <w:rsid w:val="00DB4F67"/>
    <w:rsid w:val="00DB67B7"/>
    <w:rsid w:val="00DC0798"/>
    <w:rsid w:val="00DC2D5A"/>
    <w:rsid w:val="00DC2F65"/>
    <w:rsid w:val="00DC5501"/>
    <w:rsid w:val="00DC661D"/>
    <w:rsid w:val="00DC6961"/>
    <w:rsid w:val="00DC6B90"/>
    <w:rsid w:val="00DC726F"/>
    <w:rsid w:val="00DC731C"/>
    <w:rsid w:val="00DD022A"/>
    <w:rsid w:val="00DD1AB6"/>
    <w:rsid w:val="00DD20BB"/>
    <w:rsid w:val="00DD26E7"/>
    <w:rsid w:val="00DD2AF7"/>
    <w:rsid w:val="00DD3F28"/>
    <w:rsid w:val="00DD4011"/>
    <w:rsid w:val="00DD4537"/>
    <w:rsid w:val="00DD5AC1"/>
    <w:rsid w:val="00DD70D8"/>
    <w:rsid w:val="00DE1AD2"/>
    <w:rsid w:val="00DE2D2A"/>
    <w:rsid w:val="00DE4B71"/>
    <w:rsid w:val="00DE52C1"/>
    <w:rsid w:val="00DE5A9E"/>
    <w:rsid w:val="00DE7862"/>
    <w:rsid w:val="00DF20A0"/>
    <w:rsid w:val="00DF59C1"/>
    <w:rsid w:val="00E01958"/>
    <w:rsid w:val="00E03039"/>
    <w:rsid w:val="00E039A6"/>
    <w:rsid w:val="00E04F41"/>
    <w:rsid w:val="00E057E8"/>
    <w:rsid w:val="00E0583E"/>
    <w:rsid w:val="00E05AA3"/>
    <w:rsid w:val="00E07A32"/>
    <w:rsid w:val="00E07C87"/>
    <w:rsid w:val="00E15503"/>
    <w:rsid w:val="00E16372"/>
    <w:rsid w:val="00E164B8"/>
    <w:rsid w:val="00E16618"/>
    <w:rsid w:val="00E2249B"/>
    <w:rsid w:val="00E25CA0"/>
    <w:rsid w:val="00E25EAD"/>
    <w:rsid w:val="00E262EF"/>
    <w:rsid w:val="00E26CDE"/>
    <w:rsid w:val="00E27C47"/>
    <w:rsid w:val="00E302BF"/>
    <w:rsid w:val="00E3078F"/>
    <w:rsid w:val="00E3337B"/>
    <w:rsid w:val="00E33D22"/>
    <w:rsid w:val="00E3555F"/>
    <w:rsid w:val="00E3564F"/>
    <w:rsid w:val="00E4122A"/>
    <w:rsid w:val="00E435BA"/>
    <w:rsid w:val="00E43A86"/>
    <w:rsid w:val="00E44BFC"/>
    <w:rsid w:val="00E44C3C"/>
    <w:rsid w:val="00E44FA5"/>
    <w:rsid w:val="00E473DB"/>
    <w:rsid w:val="00E4769E"/>
    <w:rsid w:val="00E47B2C"/>
    <w:rsid w:val="00E50D69"/>
    <w:rsid w:val="00E525F5"/>
    <w:rsid w:val="00E55424"/>
    <w:rsid w:val="00E577FF"/>
    <w:rsid w:val="00E60B97"/>
    <w:rsid w:val="00E62D54"/>
    <w:rsid w:val="00E65E79"/>
    <w:rsid w:val="00E6629D"/>
    <w:rsid w:val="00E67416"/>
    <w:rsid w:val="00E71564"/>
    <w:rsid w:val="00E718B6"/>
    <w:rsid w:val="00E71B56"/>
    <w:rsid w:val="00E723B0"/>
    <w:rsid w:val="00E72C26"/>
    <w:rsid w:val="00E73218"/>
    <w:rsid w:val="00E73581"/>
    <w:rsid w:val="00E74C9C"/>
    <w:rsid w:val="00E75223"/>
    <w:rsid w:val="00E753B3"/>
    <w:rsid w:val="00E75440"/>
    <w:rsid w:val="00E761C5"/>
    <w:rsid w:val="00E773E8"/>
    <w:rsid w:val="00E77F46"/>
    <w:rsid w:val="00E80505"/>
    <w:rsid w:val="00E80740"/>
    <w:rsid w:val="00E80F03"/>
    <w:rsid w:val="00E813BF"/>
    <w:rsid w:val="00E82932"/>
    <w:rsid w:val="00E82FFB"/>
    <w:rsid w:val="00E8365C"/>
    <w:rsid w:val="00E83BDF"/>
    <w:rsid w:val="00E83F8A"/>
    <w:rsid w:val="00E8597C"/>
    <w:rsid w:val="00E85AC5"/>
    <w:rsid w:val="00E85BF1"/>
    <w:rsid w:val="00E8746B"/>
    <w:rsid w:val="00E90581"/>
    <w:rsid w:val="00E90833"/>
    <w:rsid w:val="00E90B0D"/>
    <w:rsid w:val="00E91238"/>
    <w:rsid w:val="00E92AC4"/>
    <w:rsid w:val="00E9334F"/>
    <w:rsid w:val="00E94825"/>
    <w:rsid w:val="00E95790"/>
    <w:rsid w:val="00E960B3"/>
    <w:rsid w:val="00E96A91"/>
    <w:rsid w:val="00E96FE1"/>
    <w:rsid w:val="00EA04FA"/>
    <w:rsid w:val="00EA05CE"/>
    <w:rsid w:val="00EA3864"/>
    <w:rsid w:val="00EA3E68"/>
    <w:rsid w:val="00EA5D4A"/>
    <w:rsid w:val="00EA5F0E"/>
    <w:rsid w:val="00EA61FA"/>
    <w:rsid w:val="00EA656B"/>
    <w:rsid w:val="00EA6C4D"/>
    <w:rsid w:val="00EA78FE"/>
    <w:rsid w:val="00EB3F40"/>
    <w:rsid w:val="00EB63D7"/>
    <w:rsid w:val="00EB711C"/>
    <w:rsid w:val="00EC0AD3"/>
    <w:rsid w:val="00EC0B37"/>
    <w:rsid w:val="00EC23BB"/>
    <w:rsid w:val="00EC5794"/>
    <w:rsid w:val="00EC5D31"/>
    <w:rsid w:val="00EC60B2"/>
    <w:rsid w:val="00EC6637"/>
    <w:rsid w:val="00EC7530"/>
    <w:rsid w:val="00ED0310"/>
    <w:rsid w:val="00ED0B61"/>
    <w:rsid w:val="00ED0F04"/>
    <w:rsid w:val="00ED27B0"/>
    <w:rsid w:val="00ED33B9"/>
    <w:rsid w:val="00ED607D"/>
    <w:rsid w:val="00ED7148"/>
    <w:rsid w:val="00EE00BB"/>
    <w:rsid w:val="00EE025B"/>
    <w:rsid w:val="00EE07D3"/>
    <w:rsid w:val="00EE09B7"/>
    <w:rsid w:val="00EE09FF"/>
    <w:rsid w:val="00EE18F5"/>
    <w:rsid w:val="00EE3C38"/>
    <w:rsid w:val="00EE5A97"/>
    <w:rsid w:val="00EE5AC8"/>
    <w:rsid w:val="00EF2D82"/>
    <w:rsid w:val="00EF3189"/>
    <w:rsid w:val="00EF5F3E"/>
    <w:rsid w:val="00EF739D"/>
    <w:rsid w:val="00F01378"/>
    <w:rsid w:val="00F0155F"/>
    <w:rsid w:val="00F03038"/>
    <w:rsid w:val="00F041E3"/>
    <w:rsid w:val="00F048A1"/>
    <w:rsid w:val="00F05DE8"/>
    <w:rsid w:val="00F06624"/>
    <w:rsid w:val="00F0732C"/>
    <w:rsid w:val="00F07C48"/>
    <w:rsid w:val="00F102B4"/>
    <w:rsid w:val="00F10434"/>
    <w:rsid w:val="00F11C92"/>
    <w:rsid w:val="00F12560"/>
    <w:rsid w:val="00F12753"/>
    <w:rsid w:val="00F12954"/>
    <w:rsid w:val="00F12F87"/>
    <w:rsid w:val="00F135D8"/>
    <w:rsid w:val="00F15513"/>
    <w:rsid w:val="00F155F3"/>
    <w:rsid w:val="00F15D42"/>
    <w:rsid w:val="00F16250"/>
    <w:rsid w:val="00F16959"/>
    <w:rsid w:val="00F22027"/>
    <w:rsid w:val="00F22DCA"/>
    <w:rsid w:val="00F236B0"/>
    <w:rsid w:val="00F23AB9"/>
    <w:rsid w:val="00F23FF5"/>
    <w:rsid w:val="00F24848"/>
    <w:rsid w:val="00F248B4"/>
    <w:rsid w:val="00F24A3A"/>
    <w:rsid w:val="00F2575F"/>
    <w:rsid w:val="00F2599C"/>
    <w:rsid w:val="00F26B33"/>
    <w:rsid w:val="00F26C4D"/>
    <w:rsid w:val="00F279B0"/>
    <w:rsid w:val="00F27B36"/>
    <w:rsid w:val="00F30B18"/>
    <w:rsid w:val="00F320B6"/>
    <w:rsid w:val="00F3211F"/>
    <w:rsid w:val="00F323B1"/>
    <w:rsid w:val="00F32F5E"/>
    <w:rsid w:val="00F33DE9"/>
    <w:rsid w:val="00F34AA7"/>
    <w:rsid w:val="00F35F14"/>
    <w:rsid w:val="00F360A3"/>
    <w:rsid w:val="00F363BF"/>
    <w:rsid w:val="00F408DE"/>
    <w:rsid w:val="00F40AF4"/>
    <w:rsid w:val="00F417FF"/>
    <w:rsid w:val="00F42B81"/>
    <w:rsid w:val="00F44187"/>
    <w:rsid w:val="00F4447B"/>
    <w:rsid w:val="00F44E3C"/>
    <w:rsid w:val="00F4565C"/>
    <w:rsid w:val="00F45ACD"/>
    <w:rsid w:val="00F46CB6"/>
    <w:rsid w:val="00F473FF"/>
    <w:rsid w:val="00F47DED"/>
    <w:rsid w:val="00F511C8"/>
    <w:rsid w:val="00F5240F"/>
    <w:rsid w:val="00F52955"/>
    <w:rsid w:val="00F54204"/>
    <w:rsid w:val="00F54292"/>
    <w:rsid w:val="00F54AB8"/>
    <w:rsid w:val="00F60386"/>
    <w:rsid w:val="00F611CB"/>
    <w:rsid w:val="00F63BD1"/>
    <w:rsid w:val="00F66B25"/>
    <w:rsid w:val="00F67F89"/>
    <w:rsid w:val="00F704C1"/>
    <w:rsid w:val="00F7089C"/>
    <w:rsid w:val="00F713C3"/>
    <w:rsid w:val="00F72FA9"/>
    <w:rsid w:val="00F7352C"/>
    <w:rsid w:val="00F73DDF"/>
    <w:rsid w:val="00F759B7"/>
    <w:rsid w:val="00F76393"/>
    <w:rsid w:val="00F76A92"/>
    <w:rsid w:val="00F80758"/>
    <w:rsid w:val="00F81C6C"/>
    <w:rsid w:val="00F820FC"/>
    <w:rsid w:val="00F82F0E"/>
    <w:rsid w:val="00F843A5"/>
    <w:rsid w:val="00F847DD"/>
    <w:rsid w:val="00F852A0"/>
    <w:rsid w:val="00F86907"/>
    <w:rsid w:val="00F87B4C"/>
    <w:rsid w:val="00F87E8B"/>
    <w:rsid w:val="00F91B33"/>
    <w:rsid w:val="00F948DD"/>
    <w:rsid w:val="00F96692"/>
    <w:rsid w:val="00F96C34"/>
    <w:rsid w:val="00F96C7E"/>
    <w:rsid w:val="00F975FE"/>
    <w:rsid w:val="00F979E3"/>
    <w:rsid w:val="00F97A2D"/>
    <w:rsid w:val="00FA0562"/>
    <w:rsid w:val="00FA097D"/>
    <w:rsid w:val="00FA1DBE"/>
    <w:rsid w:val="00FA2F40"/>
    <w:rsid w:val="00FA3311"/>
    <w:rsid w:val="00FA57E0"/>
    <w:rsid w:val="00FA598B"/>
    <w:rsid w:val="00FA69C4"/>
    <w:rsid w:val="00FA6BCF"/>
    <w:rsid w:val="00FA6CE0"/>
    <w:rsid w:val="00FA78AA"/>
    <w:rsid w:val="00FA7D1C"/>
    <w:rsid w:val="00FB0091"/>
    <w:rsid w:val="00FB2328"/>
    <w:rsid w:val="00FB2BC6"/>
    <w:rsid w:val="00FB48A4"/>
    <w:rsid w:val="00FB5734"/>
    <w:rsid w:val="00FB591E"/>
    <w:rsid w:val="00FB5B0F"/>
    <w:rsid w:val="00FB5BCB"/>
    <w:rsid w:val="00FB63E4"/>
    <w:rsid w:val="00FB7499"/>
    <w:rsid w:val="00FB7969"/>
    <w:rsid w:val="00FC1074"/>
    <w:rsid w:val="00FC13FF"/>
    <w:rsid w:val="00FC240D"/>
    <w:rsid w:val="00FC2843"/>
    <w:rsid w:val="00FC591A"/>
    <w:rsid w:val="00FC63E9"/>
    <w:rsid w:val="00FD04EC"/>
    <w:rsid w:val="00FD083B"/>
    <w:rsid w:val="00FD0B72"/>
    <w:rsid w:val="00FD0BAD"/>
    <w:rsid w:val="00FD122E"/>
    <w:rsid w:val="00FD2100"/>
    <w:rsid w:val="00FD31FF"/>
    <w:rsid w:val="00FD3829"/>
    <w:rsid w:val="00FD446D"/>
    <w:rsid w:val="00FD5C76"/>
    <w:rsid w:val="00FE0DED"/>
    <w:rsid w:val="00FE0E58"/>
    <w:rsid w:val="00FE1597"/>
    <w:rsid w:val="00FE19B0"/>
    <w:rsid w:val="00FE315C"/>
    <w:rsid w:val="00FE61D1"/>
    <w:rsid w:val="00FE62ED"/>
    <w:rsid w:val="00FE71DB"/>
    <w:rsid w:val="00FE7AA9"/>
    <w:rsid w:val="00FE7D14"/>
    <w:rsid w:val="00FF010D"/>
    <w:rsid w:val="00FF1A19"/>
    <w:rsid w:val="00FF2434"/>
    <w:rsid w:val="00FF385E"/>
    <w:rsid w:val="00FF38D8"/>
    <w:rsid w:val="00FF3DCF"/>
    <w:rsid w:val="00FF531D"/>
    <w:rsid w:val="00FF59FB"/>
    <w:rsid w:val="00FF5AA3"/>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835660"/>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D0F04"/>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c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D0F04"/>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B824FA"/>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B824FA"/>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Revision">
    <w:name w:val="Revision"/>
    <w:hidden/>
    <w:uiPriority w:val="99"/>
    <w:semiHidden/>
    <w:rsid w:val="000414BB"/>
    <w:rPr>
      <w:rFonts w:ascii="Arial" w:hAnsi="Arial" w:cs="Arial"/>
      <w:snapToGrid w:val="0"/>
      <w:sz w:val="22"/>
      <w:lang w:eastAsia="en-US"/>
    </w:rPr>
  </w:style>
  <w:style w:type="paragraph" w:styleId="BodyTextIndent">
    <w:name w:val="Body Text Indent"/>
    <w:basedOn w:val="Normal"/>
    <w:link w:val="BodyTextIndentChar"/>
    <w:rsid w:val="000372AD"/>
    <w:pPr>
      <w:spacing w:after="120"/>
      <w:ind w:left="283"/>
    </w:pPr>
  </w:style>
  <w:style w:type="character" w:customStyle="1" w:styleId="BodyTextIndentChar">
    <w:name w:val="Body Text Indent Char"/>
    <w:basedOn w:val="DefaultParagraphFont"/>
    <w:link w:val="BodyTextIndent"/>
    <w:rsid w:val="000372AD"/>
    <w:rPr>
      <w:rFonts w:ascii="Arial" w:hAnsi="Arial" w:cs="Arial"/>
      <w:snapToGrid w:val="0"/>
      <w:sz w:val="22"/>
      <w:lang w:eastAsia="en-US"/>
    </w:rPr>
  </w:style>
  <w:style w:type="paragraph" w:styleId="CommentSubject">
    <w:name w:val="annotation subject"/>
    <w:basedOn w:val="CommentText"/>
    <w:next w:val="CommentText"/>
    <w:link w:val="CommentSubjectChar"/>
    <w:semiHidden/>
    <w:unhideWhenUsed/>
    <w:rsid w:val="001F029B"/>
    <w:rPr>
      <w:rFonts w:ascii="Arial" w:hAnsi="Arial" w:cs="Arial"/>
      <w:b/>
      <w:bCs/>
    </w:rPr>
  </w:style>
  <w:style w:type="character" w:customStyle="1" w:styleId="CommentSubjectChar">
    <w:name w:val="Comment Subject Char"/>
    <w:basedOn w:val="CommentTextChar"/>
    <w:link w:val="CommentSubject"/>
    <w:semiHidden/>
    <w:rsid w:val="001F029B"/>
    <w:rPr>
      <w:rFonts w:ascii="Arial" w:hAnsi="Arial" w:cs="Arial"/>
      <w:b/>
      <w:bCs/>
      <w:snapToGrid w:val="0"/>
      <w:lang w:eastAsia="en-US"/>
    </w:rPr>
  </w:style>
  <w:style w:type="paragraph" w:customStyle="1" w:styleId="Char1CharCharChar">
    <w:name w:val="Char1 Char Char Char"/>
    <w:basedOn w:val="Normal"/>
    <w:rsid w:val="00ED0F04"/>
    <w:pPr>
      <w:widowControl/>
      <w:spacing w:after="160" w:line="240" w:lineRule="exact"/>
      <w:jc w:val="left"/>
    </w:pPr>
    <w:rPr>
      <w:rFonts w:ascii="Verdana" w:eastAsia="MS Mincho" w:hAnsi="Verdana" w:cs="Verdana"/>
      <w:snapToGrid/>
      <w:sz w:val="20"/>
      <w:lang w:val="en-US"/>
    </w:rPr>
  </w:style>
  <w:style w:type="paragraph" w:customStyle="1" w:styleId="Default">
    <w:name w:val="Default"/>
    <w:basedOn w:val="Normal"/>
    <w:next w:val="Normal"/>
    <w:link w:val="DefaultChar"/>
    <w:rsid w:val="00A82435"/>
    <w:pPr>
      <w:widowControl/>
      <w:autoSpaceDE w:val="0"/>
      <w:autoSpaceDN w:val="0"/>
      <w:adjustRightInd w:val="0"/>
      <w:spacing w:line="360" w:lineRule="auto"/>
      <w:jc w:val="left"/>
    </w:pPr>
    <w:rPr>
      <w:snapToGrid/>
      <w:color w:val="000000"/>
      <w:sz w:val="24"/>
      <w:szCs w:val="24"/>
    </w:rPr>
  </w:style>
  <w:style w:type="character" w:customStyle="1" w:styleId="DefaultChar">
    <w:name w:val="Default Char"/>
    <w:basedOn w:val="DefaultParagraphFont"/>
    <w:link w:val="Default"/>
    <w:rsid w:val="00A82435"/>
    <w:rPr>
      <w:rFonts w:ascii="Arial" w:hAnsi="Arial" w:cs="Arial"/>
      <w:color w:val="000000"/>
      <w:sz w:val="24"/>
      <w:szCs w:val="24"/>
      <w:lang w:eastAsia="en-US"/>
    </w:rPr>
  </w:style>
  <w:style w:type="table" w:customStyle="1" w:styleId="TableGrid1">
    <w:name w:val="Table Grid1"/>
    <w:basedOn w:val="TableNormal"/>
    <w:next w:val="TableGrid"/>
    <w:rsid w:val="00A001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0013A"/>
    <w:rPr>
      <w:sz w:val="20"/>
    </w:rPr>
  </w:style>
  <w:style w:type="character" w:customStyle="1" w:styleId="FootnoteTextChar">
    <w:name w:val="Footnote Text Char"/>
    <w:basedOn w:val="DefaultParagraphFont"/>
    <w:link w:val="FootnoteText"/>
    <w:rsid w:val="00A0013A"/>
    <w:rPr>
      <w:rFonts w:ascii="Arial" w:hAnsi="Arial" w:cs="Arial"/>
      <w:snapToGrid w:val="0"/>
      <w:lang w:eastAsia="en-US"/>
    </w:rPr>
  </w:style>
  <w:style w:type="character" w:styleId="FootnoteReference">
    <w:name w:val="footnote reference"/>
    <w:basedOn w:val="DefaultParagraphFont"/>
    <w:unhideWhenUsed/>
    <w:rsid w:val="00A0013A"/>
    <w:rPr>
      <w:vertAlign w:val="superscript"/>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uiPriority w:val="99"/>
    <w:rsid w:val="00F759B7"/>
    <w:rPr>
      <w:rFonts w:ascii="Arial" w:hAnsi="Arial" w:cs="Arial"/>
      <w:b/>
      <w:lang w:eastAsia="zh-CN"/>
    </w:rPr>
  </w:style>
  <w:style w:type="character" w:customStyle="1" w:styleId="A0">
    <w:name w:val="A0"/>
    <w:rsid w:val="006218BA"/>
    <w:rPr>
      <w:rFonts w:cs="Frutiger LT 65 Bold"/>
      <w:color w:val="000000"/>
      <w:sz w:val="60"/>
      <w:szCs w:val="60"/>
    </w:rPr>
  </w:style>
  <w:style w:type="character" w:customStyle="1" w:styleId="A1">
    <w:name w:val="A1"/>
    <w:rsid w:val="006218BA"/>
    <w:rPr>
      <w:rFonts w:cs="Frutiger LT 65 Bold"/>
      <w:color w:val="000000"/>
      <w:sz w:val="28"/>
      <w:szCs w:val="28"/>
    </w:rPr>
  </w:style>
  <w:style w:type="paragraph" w:customStyle="1" w:styleId="Tablename0">
    <w:name w:val="Table name"/>
    <w:basedOn w:val="Normal"/>
    <w:link w:val="TablenameChar"/>
    <w:qFormat/>
    <w:rsid w:val="00E4769E"/>
    <w:pPr>
      <w:keepNext/>
    </w:pPr>
    <w:rPr>
      <w:rFonts w:cs="Times New Roman"/>
      <w:b/>
      <w:sz w:val="20"/>
      <w:lang w:val="x-none"/>
    </w:rPr>
  </w:style>
  <w:style w:type="character" w:customStyle="1" w:styleId="TablenameChar">
    <w:name w:val="Table name Char"/>
    <w:link w:val="Tablename0"/>
    <w:rsid w:val="00E4769E"/>
    <w:rPr>
      <w:rFonts w:ascii="Arial" w:hAnsi="Arial"/>
      <w:b/>
      <w:snapToGrid w:val="0"/>
      <w:lang w:val="x-none" w:eastAsia="en-US"/>
    </w:rPr>
  </w:style>
  <w:style w:type="paragraph" w:customStyle="1" w:styleId="TableHeadingCentred">
    <w:name w:val="TableHeadingCentred"/>
    <w:basedOn w:val="Normal"/>
    <w:next w:val="TableText0"/>
    <w:rsid w:val="004A3D87"/>
    <w:pPr>
      <w:keepNext/>
      <w:widowControl/>
      <w:spacing w:before="40" w:after="40"/>
      <w:jc w:val="center"/>
    </w:pPr>
    <w:rPr>
      <w:rFonts w:ascii="Calibri" w:hAnsi="Calibri" w:cs="Times New Roman"/>
      <w:b/>
      <w:bCs/>
      <w:iCs/>
      <w:snapToGrid/>
      <w:sz w:val="20"/>
      <w:szCs w:val="18"/>
    </w:rPr>
  </w:style>
  <w:style w:type="character" w:styleId="FollowedHyperlink">
    <w:name w:val="FollowedHyperlink"/>
    <w:basedOn w:val="DefaultParagraphFont"/>
    <w:semiHidden/>
    <w:unhideWhenUsed/>
    <w:rsid w:val="00F82F0E"/>
    <w:rPr>
      <w:color w:val="800080" w:themeColor="followedHyperlink"/>
      <w:u w:val="single"/>
    </w:rPr>
  </w:style>
  <w:style w:type="paragraph" w:customStyle="1" w:styleId="Char">
    <w:name w:val="Char"/>
    <w:basedOn w:val="Normal"/>
    <w:rsid w:val="00610B3D"/>
    <w:pPr>
      <w:widowControl/>
      <w:jc w:val="left"/>
    </w:pPr>
    <w:rPr>
      <w:snapToGrid/>
      <w:szCs w:val="22"/>
    </w:rPr>
  </w:style>
  <w:style w:type="paragraph" w:customStyle="1" w:styleId="TableNotes">
    <w:name w:val="TableNotes"/>
    <w:basedOn w:val="Normal"/>
    <w:link w:val="TableNotesChar"/>
    <w:qFormat/>
    <w:rsid w:val="00B32013"/>
    <w:pPr>
      <w:widowControl/>
      <w:autoSpaceDE w:val="0"/>
      <w:autoSpaceDN w:val="0"/>
      <w:adjustRightInd w:val="0"/>
      <w:spacing w:before="40" w:after="40"/>
      <w:ind w:left="1134" w:hanging="1134"/>
      <w:jc w:val="left"/>
    </w:pPr>
    <w:rPr>
      <w:rFonts w:eastAsia="SimSun" w:cs="TimesNewRoman"/>
      <w:snapToGrid/>
      <w:sz w:val="16"/>
      <w:szCs w:val="16"/>
      <w:lang w:eastAsia="zh-CN"/>
    </w:rPr>
  </w:style>
  <w:style w:type="character" w:customStyle="1" w:styleId="TableNotesChar">
    <w:name w:val="TableNotes Char"/>
    <w:basedOn w:val="DefaultParagraphFont"/>
    <w:link w:val="TableNotes"/>
    <w:rsid w:val="00B32013"/>
    <w:rPr>
      <w:rFonts w:ascii="Arial" w:eastAsia="SimSun" w:hAnsi="Arial" w:cs="TimesNewRoman"/>
      <w:sz w:val="16"/>
      <w:szCs w:val="16"/>
      <w:lang w:eastAsia="zh-CN"/>
    </w:rPr>
  </w:style>
  <w:style w:type="paragraph" w:customStyle="1" w:styleId="TableParagraph">
    <w:name w:val="Table Paragraph"/>
    <w:basedOn w:val="Normal"/>
    <w:uiPriority w:val="1"/>
    <w:qFormat/>
    <w:rsid w:val="00A4505B"/>
    <w:pPr>
      <w:widowControl/>
      <w:autoSpaceDE w:val="0"/>
      <w:autoSpaceDN w:val="0"/>
      <w:adjustRightInd w:val="0"/>
      <w:jc w:val="left"/>
    </w:pPr>
    <w:rPr>
      <w:rFonts w:ascii="Times New Roman" w:eastAsiaTheme="minorHAnsi" w:hAnsi="Times New Roman" w:cs="Times New Roman"/>
      <w:snapToGrid/>
      <w:sz w:val="24"/>
      <w:szCs w:val="24"/>
    </w:rPr>
  </w:style>
  <w:style w:type="paragraph" w:customStyle="1" w:styleId="TableLeftAlign">
    <w:name w:val="TableLeftAlign"/>
    <w:basedOn w:val="TableText0"/>
    <w:rsid w:val="00A4505B"/>
    <w:rPr>
      <w:rFonts w:ascii="Arial" w:hAnsi="Arial"/>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4505B"/>
    <w:pPr>
      <w:widowControl/>
      <w:spacing w:after="160" w:line="240" w:lineRule="exact"/>
      <w:jc w:val="left"/>
    </w:pPr>
    <w:rPr>
      <w:rFonts w:ascii="Verdana" w:eastAsia="MS Mincho" w:hAnsi="Verdana" w:cs="Verdana"/>
      <w:snapToGrid/>
      <w:sz w:val="20"/>
      <w:lang w:val="en-US"/>
    </w:rPr>
  </w:style>
  <w:style w:type="paragraph" w:customStyle="1" w:styleId="TableTextBold">
    <w:name w:val="TableTextBold"/>
    <w:basedOn w:val="TableText0"/>
    <w:next w:val="TableText0"/>
    <w:qFormat/>
    <w:rsid w:val="00A4505B"/>
    <w:pPr>
      <w:jc w:val="center"/>
    </w:pPr>
    <w:rPr>
      <w:rFonts w:ascii="Arial" w:hAnsi="Arial"/>
      <w:b/>
    </w:rPr>
  </w:style>
  <w:style w:type="paragraph" w:customStyle="1" w:styleId="StyleCaptionIBCaptionMedicalCaptionCaptionCharMedicalCapti">
    <w:name w:val="Style CaptionIB CaptionMedical CaptionCaption CharMedical Capti..."/>
    <w:basedOn w:val="Normal"/>
    <w:rsid w:val="00A4505B"/>
    <w:pPr>
      <w:widowControl/>
      <w:spacing w:before="120" w:after="120"/>
      <w:jc w:val="left"/>
    </w:pPr>
    <w:rPr>
      <w:rFonts w:ascii="Calibri" w:eastAsia="SimSun" w:hAnsi="Calibri" w:cs="Times New Roman"/>
      <w:b/>
      <w:bCs/>
      <w:snapToGrid/>
      <w:sz w:val="24"/>
    </w:rPr>
  </w:style>
  <w:style w:type="paragraph" w:customStyle="1" w:styleId="NarrowTableText">
    <w:name w:val="NarrowTableText"/>
    <w:basedOn w:val="TableText0"/>
    <w:qFormat/>
    <w:rsid w:val="00A4505B"/>
    <w:rPr>
      <w:rFonts w:eastAsia="Batang"/>
    </w:rPr>
  </w:style>
  <w:style w:type="character" w:customStyle="1" w:styleId="ListParagraphChar">
    <w:name w:val="List Paragraph Char"/>
    <w:link w:val="ListParagraph"/>
    <w:uiPriority w:val="72"/>
    <w:rsid w:val="00793877"/>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835660"/>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D0F04"/>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i,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c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D0F04"/>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B824FA"/>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B824FA"/>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Revision">
    <w:name w:val="Revision"/>
    <w:hidden/>
    <w:uiPriority w:val="99"/>
    <w:semiHidden/>
    <w:rsid w:val="000414BB"/>
    <w:rPr>
      <w:rFonts w:ascii="Arial" w:hAnsi="Arial" w:cs="Arial"/>
      <w:snapToGrid w:val="0"/>
      <w:sz w:val="22"/>
      <w:lang w:eastAsia="en-US"/>
    </w:rPr>
  </w:style>
  <w:style w:type="paragraph" w:styleId="BodyTextIndent">
    <w:name w:val="Body Text Indent"/>
    <w:basedOn w:val="Normal"/>
    <w:link w:val="BodyTextIndentChar"/>
    <w:rsid w:val="000372AD"/>
    <w:pPr>
      <w:spacing w:after="120"/>
      <w:ind w:left="283"/>
    </w:pPr>
  </w:style>
  <w:style w:type="character" w:customStyle="1" w:styleId="BodyTextIndentChar">
    <w:name w:val="Body Text Indent Char"/>
    <w:basedOn w:val="DefaultParagraphFont"/>
    <w:link w:val="BodyTextIndent"/>
    <w:rsid w:val="000372AD"/>
    <w:rPr>
      <w:rFonts w:ascii="Arial" w:hAnsi="Arial" w:cs="Arial"/>
      <w:snapToGrid w:val="0"/>
      <w:sz w:val="22"/>
      <w:lang w:eastAsia="en-US"/>
    </w:rPr>
  </w:style>
  <w:style w:type="paragraph" w:styleId="CommentSubject">
    <w:name w:val="annotation subject"/>
    <w:basedOn w:val="CommentText"/>
    <w:next w:val="CommentText"/>
    <w:link w:val="CommentSubjectChar"/>
    <w:semiHidden/>
    <w:unhideWhenUsed/>
    <w:rsid w:val="001F029B"/>
    <w:rPr>
      <w:rFonts w:ascii="Arial" w:hAnsi="Arial" w:cs="Arial"/>
      <w:b/>
      <w:bCs/>
    </w:rPr>
  </w:style>
  <w:style w:type="character" w:customStyle="1" w:styleId="CommentSubjectChar">
    <w:name w:val="Comment Subject Char"/>
    <w:basedOn w:val="CommentTextChar"/>
    <w:link w:val="CommentSubject"/>
    <w:semiHidden/>
    <w:rsid w:val="001F029B"/>
    <w:rPr>
      <w:rFonts w:ascii="Arial" w:hAnsi="Arial" w:cs="Arial"/>
      <w:b/>
      <w:bCs/>
      <w:snapToGrid w:val="0"/>
      <w:lang w:eastAsia="en-US"/>
    </w:rPr>
  </w:style>
  <w:style w:type="paragraph" w:customStyle="1" w:styleId="Char1CharCharChar">
    <w:name w:val="Char1 Char Char Char"/>
    <w:basedOn w:val="Normal"/>
    <w:rsid w:val="00ED0F04"/>
    <w:pPr>
      <w:widowControl/>
      <w:spacing w:after="160" w:line="240" w:lineRule="exact"/>
      <w:jc w:val="left"/>
    </w:pPr>
    <w:rPr>
      <w:rFonts w:ascii="Verdana" w:eastAsia="MS Mincho" w:hAnsi="Verdana" w:cs="Verdana"/>
      <w:snapToGrid/>
      <w:sz w:val="20"/>
      <w:lang w:val="en-US"/>
    </w:rPr>
  </w:style>
  <w:style w:type="paragraph" w:customStyle="1" w:styleId="Default">
    <w:name w:val="Default"/>
    <w:basedOn w:val="Normal"/>
    <w:next w:val="Normal"/>
    <w:link w:val="DefaultChar"/>
    <w:rsid w:val="00A82435"/>
    <w:pPr>
      <w:widowControl/>
      <w:autoSpaceDE w:val="0"/>
      <w:autoSpaceDN w:val="0"/>
      <w:adjustRightInd w:val="0"/>
      <w:spacing w:line="360" w:lineRule="auto"/>
      <w:jc w:val="left"/>
    </w:pPr>
    <w:rPr>
      <w:snapToGrid/>
      <w:color w:val="000000"/>
      <w:sz w:val="24"/>
      <w:szCs w:val="24"/>
    </w:rPr>
  </w:style>
  <w:style w:type="character" w:customStyle="1" w:styleId="DefaultChar">
    <w:name w:val="Default Char"/>
    <w:basedOn w:val="DefaultParagraphFont"/>
    <w:link w:val="Default"/>
    <w:rsid w:val="00A82435"/>
    <w:rPr>
      <w:rFonts w:ascii="Arial" w:hAnsi="Arial" w:cs="Arial"/>
      <w:color w:val="000000"/>
      <w:sz w:val="24"/>
      <w:szCs w:val="24"/>
      <w:lang w:eastAsia="en-US"/>
    </w:rPr>
  </w:style>
  <w:style w:type="table" w:customStyle="1" w:styleId="TableGrid1">
    <w:name w:val="Table Grid1"/>
    <w:basedOn w:val="TableNormal"/>
    <w:next w:val="TableGrid"/>
    <w:rsid w:val="00A001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0013A"/>
    <w:rPr>
      <w:sz w:val="20"/>
    </w:rPr>
  </w:style>
  <w:style w:type="character" w:customStyle="1" w:styleId="FootnoteTextChar">
    <w:name w:val="Footnote Text Char"/>
    <w:basedOn w:val="DefaultParagraphFont"/>
    <w:link w:val="FootnoteText"/>
    <w:rsid w:val="00A0013A"/>
    <w:rPr>
      <w:rFonts w:ascii="Arial" w:hAnsi="Arial" w:cs="Arial"/>
      <w:snapToGrid w:val="0"/>
      <w:lang w:eastAsia="en-US"/>
    </w:rPr>
  </w:style>
  <w:style w:type="character" w:styleId="FootnoteReference">
    <w:name w:val="footnote reference"/>
    <w:basedOn w:val="DefaultParagraphFont"/>
    <w:unhideWhenUsed/>
    <w:rsid w:val="00A0013A"/>
    <w:rPr>
      <w:vertAlign w:val="superscript"/>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uiPriority w:val="99"/>
    <w:rsid w:val="00F759B7"/>
    <w:rPr>
      <w:rFonts w:ascii="Arial" w:hAnsi="Arial" w:cs="Arial"/>
      <w:b/>
      <w:lang w:eastAsia="zh-CN"/>
    </w:rPr>
  </w:style>
  <w:style w:type="character" w:customStyle="1" w:styleId="A0">
    <w:name w:val="A0"/>
    <w:rsid w:val="006218BA"/>
    <w:rPr>
      <w:rFonts w:cs="Frutiger LT 65 Bold"/>
      <w:color w:val="000000"/>
      <w:sz w:val="60"/>
      <w:szCs w:val="60"/>
    </w:rPr>
  </w:style>
  <w:style w:type="character" w:customStyle="1" w:styleId="A1">
    <w:name w:val="A1"/>
    <w:rsid w:val="006218BA"/>
    <w:rPr>
      <w:rFonts w:cs="Frutiger LT 65 Bold"/>
      <w:color w:val="000000"/>
      <w:sz w:val="28"/>
      <w:szCs w:val="28"/>
    </w:rPr>
  </w:style>
  <w:style w:type="paragraph" w:customStyle="1" w:styleId="Tablename0">
    <w:name w:val="Table name"/>
    <w:basedOn w:val="Normal"/>
    <w:link w:val="TablenameChar"/>
    <w:qFormat/>
    <w:rsid w:val="00E4769E"/>
    <w:pPr>
      <w:keepNext/>
    </w:pPr>
    <w:rPr>
      <w:rFonts w:cs="Times New Roman"/>
      <w:b/>
      <w:sz w:val="20"/>
      <w:lang w:val="x-none"/>
    </w:rPr>
  </w:style>
  <w:style w:type="character" w:customStyle="1" w:styleId="TablenameChar">
    <w:name w:val="Table name Char"/>
    <w:link w:val="Tablename0"/>
    <w:rsid w:val="00E4769E"/>
    <w:rPr>
      <w:rFonts w:ascii="Arial" w:hAnsi="Arial"/>
      <w:b/>
      <w:snapToGrid w:val="0"/>
      <w:lang w:val="x-none" w:eastAsia="en-US"/>
    </w:rPr>
  </w:style>
  <w:style w:type="paragraph" w:customStyle="1" w:styleId="TableHeadingCentred">
    <w:name w:val="TableHeadingCentred"/>
    <w:basedOn w:val="Normal"/>
    <w:next w:val="TableText0"/>
    <w:rsid w:val="004A3D87"/>
    <w:pPr>
      <w:keepNext/>
      <w:widowControl/>
      <w:spacing w:before="40" w:after="40"/>
      <w:jc w:val="center"/>
    </w:pPr>
    <w:rPr>
      <w:rFonts w:ascii="Calibri" w:hAnsi="Calibri" w:cs="Times New Roman"/>
      <w:b/>
      <w:bCs/>
      <w:iCs/>
      <w:snapToGrid/>
      <w:sz w:val="20"/>
      <w:szCs w:val="18"/>
    </w:rPr>
  </w:style>
  <w:style w:type="character" w:styleId="FollowedHyperlink">
    <w:name w:val="FollowedHyperlink"/>
    <w:basedOn w:val="DefaultParagraphFont"/>
    <w:semiHidden/>
    <w:unhideWhenUsed/>
    <w:rsid w:val="00F82F0E"/>
    <w:rPr>
      <w:color w:val="800080" w:themeColor="followedHyperlink"/>
      <w:u w:val="single"/>
    </w:rPr>
  </w:style>
  <w:style w:type="paragraph" w:customStyle="1" w:styleId="Char">
    <w:name w:val="Char"/>
    <w:basedOn w:val="Normal"/>
    <w:rsid w:val="00610B3D"/>
    <w:pPr>
      <w:widowControl/>
      <w:jc w:val="left"/>
    </w:pPr>
    <w:rPr>
      <w:snapToGrid/>
      <w:szCs w:val="22"/>
    </w:rPr>
  </w:style>
  <w:style w:type="paragraph" w:customStyle="1" w:styleId="TableNotes">
    <w:name w:val="TableNotes"/>
    <w:basedOn w:val="Normal"/>
    <w:link w:val="TableNotesChar"/>
    <w:qFormat/>
    <w:rsid w:val="00B32013"/>
    <w:pPr>
      <w:widowControl/>
      <w:autoSpaceDE w:val="0"/>
      <w:autoSpaceDN w:val="0"/>
      <w:adjustRightInd w:val="0"/>
      <w:spacing w:before="40" w:after="40"/>
      <w:ind w:left="1134" w:hanging="1134"/>
      <w:jc w:val="left"/>
    </w:pPr>
    <w:rPr>
      <w:rFonts w:eastAsia="SimSun" w:cs="TimesNewRoman"/>
      <w:snapToGrid/>
      <w:sz w:val="16"/>
      <w:szCs w:val="16"/>
      <w:lang w:eastAsia="zh-CN"/>
    </w:rPr>
  </w:style>
  <w:style w:type="character" w:customStyle="1" w:styleId="TableNotesChar">
    <w:name w:val="TableNotes Char"/>
    <w:basedOn w:val="DefaultParagraphFont"/>
    <w:link w:val="TableNotes"/>
    <w:rsid w:val="00B32013"/>
    <w:rPr>
      <w:rFonts w:ascii="Arial" w:eastAsia="SimSun" w:hAnsi="Arial" w:cs="TimesNewRoman"/>
      <w:sz w:val="16"/>
      <w:szCs w:val="16"/>
      <w:lang w:eastAsia="zh-CN"/>
    </w:rPr>
  </w:style>
  <w:style w:type="paragraph" w:customStyle="1" w:styleId="TableParagraph">
    <w:name w:val="Table Paragraph"/>
    <w:basedOn w:val="Normal"/>
    <w:uiPriority w:val="1"/>
    <w:qFormat/>
    <w:rsid w:val="00A4505B"/>
    <w:pPr>
      <w:widowControl/>
      <w:autoSpaceDE w:val="0"/>
      <w:autoSpaceDN w:val="0"/>
      <w:adjustRightInd w:val="0"/>
      <w:jc w:val="left"/>
    </w:pPr>
    <w:rPr>
      <w:rFonts w:ascii="Times New Roman" w:eastAsiaTheme="minorHAnsi" w:hAnsi="Times New Roman" w:cs="Times New Roman"/>
      <w:snapToGrid/>
      <w:sz w:val="24"/>
      <w:szCs w:val="24"/>
    </w:rPr>
  </w:style>
  <w:style w:type="paragraph" w:customStyle="1" w:styleId="TableLeftAlign">
    <w:name w:val="TableLeftAlign"/>
    <w:basedOn w:val="TableText0"/>
    <w:rsid w:val="00A4505B"/>
    <w:rPr>
      <w:rFonts w:ascii="Arial" w:hAnsi="Arial"/>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4505B"/>
    <w:pPr>
      <w:widowControl/>
      <w:spacing w:after="160" w:line="240" w:lineRule="exact"/>
      <w:jc w:val="left"/>
    </w:pPr>
    <w:rPr>
      <w:rFonts w:ascii="Verdana" w:eastAsia="MS Mincho" w:hAnsi="Verdana" w:cs="Verdana"/>
      <w:snapToGrid/>
      <w:sz w:val="20"/>
      <w:lang w:val="en-US"/>
    </w:rPr>
  </w:style>
  <w:style w:type="paragraph" w:customStyle="1" w:styleId="TableTextBold">
    <w:name w:val="TableTextBold"/>
    <w:basedOn w:val="TableText0"/>
    <w:next w:val="TableText0"/>
    <w:qFormat/>
    <w:rsid w:val="00A4505B"/>
    <w:pPr>
      <w:jc w:val="center"/>
    </w:pPr>
    <w:rPr>
      <w:rFonts w:ascii="Arial" w:hAnsi="Arial"/>
      <w:b/>
    </w:rPr>
  </w:style>
  <w:style w:type="paragraph" w:customStyle="1" w:styleId="StyleCaptionIBCaptionMedicalCaptionCaptionCharMedicalCapti">
    <w:name w:val="Style CaptionIB CaptionMedical CaptionCaption CharMedical Capti..."/>
    <w:basedOn w:val="Normal"/>
    <w:rsid w:val="00A4505B"/>
    <w:pPr>
      <w:widowControl/>
      <w:spacing w:before="120" w:after="120"/>
      <w:jc w:val="left"/>
    </w:pPr>
    <w:rPr>
      <w:rFonts w:ascii="Calibri" w:eastAsia="SimSun" w:hAnsi="Calibri" w:cs="Times New Roman"/>
      <w:b/>
      <w:bCs/>
      <w:snapToGrid/>
      <w:sz w:val="24"/>
    </w:rPr>
  </w:style>
  <w:style w:type="paragraph" w:customStyle="1" w:styleId="NarrowTableText">
    <w:name w:val="NarrowTableText"/>
    <w:basedOn w:val="TableText0"/>
    <w:qFormat/>
    <w:rsid w:val="00A4505B"/>
    <w:rPr>
      <w:rFonts w:eastAsia="Batang"/>
    </w:rPr>
  </w:style>
  <w:style w:type="character" w:customStyle="1" w:styleId="ListParagraphChar">
    <w:name w:val="List Paragraph Char"/>
    <w:link w:val="ListParagraph"/>
    <w:uiPriority w:val="72"/>
    <w:rsid w:val="00793877"/>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3045">
      <w:bodyDiv w:val="1"/>
      <w:marLeft w:val="0"/>
      <w:marRight w:val="0"/>
      <w:marTop w:val="0"/>
      <w:marBottom w:val="0"/>
      <w:divBdr>
        <w:top w:val="none" w:sz="0" w:space="0" w:color="auto"/>
        <w:left w:val="none" w:sz="0" w:space="0" w:color="auto"/>
        <w:bottom w:val="none" w:sz="0" w:space="0" w:color="auto"/>
        <w:right w:val="none" w:sz="0" w:space="0" w:color="auto"/>
      </w:divBdr>
    </w:div>
    <w:div w:id="70395355">
      <w:bodyDiv w:val="1"/>
      <w:marLeft w:val="0"/>
      <w:marRight w:val="0"/>
      <w:marTop w:val="0"/>
      <w:marBottom w:val="0"/>
      <w:divBdr>
        <w:top w:val="none" w:sz="0" w:space="0" w:color="auto"/>
        <w:left w:val="none" w:sz="0" w:space="0" w:color="auto"/>
        <w:bottom w:val="none" w:sz="0" w:space="0" w:color="auto"/>
        <w:right w:val="none" w:sz="0" w:space="0" w:color="auto"/>
      </w:divBdr>
    </w:div>
    <w:div w:id="581178213">
      <w:bodyDiv w:val="1"/>
      <w:marLeft w:val="0"/>
      <w:marRight w:val="0"/>
      <w:marTop w:val="0"/>
      <w:marBottom w:val="0"/>
      <w:divBdr>
        <w:top w:val="none" w:sz="0" w:space="0" w:color="auto"/>
        <w:left w:val="none" w:sz="0" w:space="0" w:color="auto"/>
        <w:bottom w:val="none" w:sz="0" w:space="0" w:color="auto"/>
        <w:right w:val="none" w:sz="0" w:space="0" w:color="auto"/>
      </w:divBdr>
    </w:div>
    <w:div w:id="588196065">
      <w:bodyDiv w:val="1"/>
      <w:marLeft w:val="0"/>
      <w:marRight w:val="0"/>
      <w:marTop w:val="0"/>
      <w:marBottom w:val="0"/>
      <w:divBdr>
        <w:top w:val="none" w:sz="0" w:space="0" w:color="auto"/>
        <w:left w:val="none" w:sz="0" w:space="0" w:color="auto"/>
        <w:bottom w:val="none" w:sz="0" w:space="0" w:color="auto"/>
        <w:right w:val="none" w:sz="0" w:space="0" w:color="auto"/>
      </w:divBdr>
    </w:div>
    <w:div w:id="653681332">
      <w:bodyDiv w:val="1"/>
      <w:marLeft w:val="0"/>
      <w:marRight w:val="0"/>
      <w:marTop w:val="0"/>
      <w:marBottom w:val="0"/>
      <w:divBdr>
        <w:top w:val="none" w:sz="0" w:space="0" w:color="auto"/>
        <w:left w:val="none" w:sz="0" w:space="0" w:color="auto"/>
        <w:bottom w:val="none" w:sz="0" w:space="0" w:color="auto"/>
        <w:right w:val="none" w:sz="0" w:space="0" w:color="auto"/>
      </w:divBdr>
    </w:div>
    <w:div w:id="752552730">
      <w:bodyDiv w:val="1"/>
      <w:marLeft w:val="0"/>
      <w:marRight w:val="0"/>
      <w:marTop w:val="0"/>
      <w:marBottom w:val="0"/>
      <w:divBdr>
        <w:top w:val="none" w:sz="0" w:space="0" w:color="auto"/>
        <w:left w:val="none" w:sz="0" w:space="0" w:color="auto"/>
        <w:bottom w:val="none" w:sz="0" w:space="0" w:color="auto"/>
        <w:right w:val="none" w:sz="0" w:space="0" w:color="auto"/>
      </w:divBdr>
    </w:div>
    <w:div w:id="785276158">
      <w:bodyDiv w:val="1"/>
      <w:marLeft w:val="0"/>
      <w:marRight w:val="0"/>
      <w:marTop w:val="0"/>
      <w:marBottom w:val="0"/>
      <w:divBdr>
        <w:top w:val="none" w:sz="0" w:space="0" w:color="auto"/>
        <w:left w:val="none" w:sz="0" w:space="0" w:color="auto"/>
        <w:bottom w:val="none" w:sz="0" w:space="0" w:color="auto"/>
        <w:right w:val="none" w:sz="0" w:space="0" w:color="auto"/>
      </w:divBdr>
    </w:div>
    <w:div w:id="909735642">
      <w:bodyDiv w:val="1"/>
      <w:marLeft w:val="0"/>
      <w:marRight w:val="0"/>
      <w:marTop w:val="0"/>
      <w:marBottom w:val="0"/>
      <w:divBdr>
        <w:top w:val="none" w:sz="0" w:space="0" w:color="auto"/>
        <w:left w:val="none" w:sz="0" w:space="0" w:color="auto"/>
        <w:bottom w:val="none" w:sz="0" w:space="0" w:color="auto"/>
        <w:right w:val="none" w:sz="0" w:space="0" w:color="auto"/>
      </w:divBdr>
    </w:div>
    <w:div w:id="1040324535">
      <w:bodyDiv w:val="1"/>
      <w:marLeft w:val="0"/>
      <w:marRight w:val="0"/>
      <w:marTop w:val="0"/>
      <w:marBottom w:val="0"/>
      <w:divBdr>
        <w:top w:val="none" w:sz="0" w:space="0" w:color="auto"/>
        <w:left w:val="none" w:sz="0" w:space="0" w:color="auto"/>
        <w:bottom w:val="none" w:sz="0" w:space="0" w:color="auto"/>
        <w:right w:val="none" w:sz="0" w:space="0" w:color="auto"/>
      </w:divBdr>
    </w:div>
    <w:div w:id="1227957205">
      <w:bodyDiv w:val="1"/>
      <w:marLeft w:val="0"/>
      <w:marRight w:val="0"/>
      <w:marTop w:val="0"/>
      <w:marBottom w:val="0"/>
      <w:divBdr>
        <w:top w:val="none" w:sz="0" w:space="0" w:color="auto"/>
        <w:left w:val="none" w:sz="0" w:space="0" w:color="auto"/>
        <w:bottom w:val="none" w:sz="0" w:space="0" w:color="auto"/>
        <w:right w:val="none" w:sz="0" w:space="0" w:color="auto"/>
      </w:divBdr>
    </w:div>
    <w:div w:id="1700735472">
      <w:bodyDiv w:val="1"/>
      <w:marLeft w:val="0"/>
      <w:marRight w:val="0"/>
      <w:marTop w:val="0"/>
      <w:marBottom w:val="0"/>
      <w:divBdr>
        <w:top w:val="none" w:sz="0" w:space="0" w:color="auto"/>
        <w:left w:val="none" w:sz="0" w:space="0" w:color="auto"/>
        <w:bottom w:val="none" w:sz="0" w:space="0" w:color="auto"/>
        <w:right w:val="none" w:sz="0" w:space="0" w:color="auto"/>
      </w:divBdr>
    </w:div>
    <w:div w:id="20357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Pee10</b:Tag>
    <b:SourceType>JournalArticle</b:SourceType>
    <b:Guid>{CF6A074B-6D84-4AF9-80A0-06C36F7DB7A1}</b:Guid>
    <b:Author>
      <b:Author>
        <b:NameList>
          <b:Person>
            <b:Last>Peeters</b:Last>
          </b:Person>
        </b:NameList>
      </b:Author>
    </b:Author>
    <b:Title>Randomized phase III study of panitumumab with fluorouracil, leucovorin, and irinotecan (FOLFIRI) compared with FOLFIRI alone as second-line treatment in patients with metastatic colorectal cancer.</b:Title>
    <b:JournalName>J Clin Oncol</b:JournalName>
    <b:Year>2010</b:Year>
    <b:Pages>28:4706-13</b:Pages>
    <b:RefOrder>3</b:RefOrder>
  </b:Source>
  <b:Source>
    <b:Tag>Gia07</b:Tag>
    <b:SourceType>JournalArticle</b:SourceType>
    <b:Guid>{8262146E-E633-48A9-8710-EF47086A8DC0}</b:Guid>
    <b:Title>Bevacizumab in Combination With Oxaliplatin, Fluorouracil, and Leucovorin (FOLFOX4) for Previously Treated Metastatic Colorectal Cancer: Results From the Eastern Cooperative Oncology Group Study E3200</b:Title>
    <b:Year>2007</b:Year>
    <b:Author>
      <b:Author>
        <b:NameList>
          <b:Person>
            <b:Last>Giantonio</b:Last>
          </b:Person>
        </b:NameList>
      </b:Author>
    </b:Author>
    <b:JournalName>J Clin Oncol</b:JournalName>
    <b:Pages>25:1539-44</b:Pages>
    <b:RefOrder>28</b:RefOrder>
  </b:Source>
  <b:Source>
    <b:Tag>Cov131</b:Tag>
    <b:SourceType>Report</b:SourceType>
    <b:Guid>{C44FD5F6-DEB6-469A-8FA2-125ABD6E97A4}</b:Guid>
    <b:Title>Metastatic colorectal cancer: Treatment with bevacizumab and cetuximab: Analysis using the Department of Human Services PBS 10% sample</b:Title>
    <b:Year>2013</b:Year>
    <b:Author>
      <b:Author>
        <b:NameList>
          <b:Person>
            <b:Last>Covance</b:Last>
          </b:Person>
        </b:NameList>
      </b:Author>
    </b:Author>
    <b:Publisher>Covance</b:Publisher>
    <b:RefOrder>21</b:RefOrder>
  </b:Source>
  <b:Source>
    <b:Tag>Bio13</b:Tag>
    <b:SourceType>Report</b:SourceType>
    <b:Guid>{9478EB67-CD5A-4A83-BE8A-C01C316B641B}</b:Guid>
    <b:Title>Understanding chemotherapy treatment pathways of metastatic colorectal cancer patients in the era of biologics</b:Title>
    <b:Year>2013</b:Year>
    <b:Author>
      <b:Author>
        <b:NameList>
          <b:Person>
            <b:Last>Biogrid</b:Last>
          </b:Person>
        </b:NameList>
      </b:Author>
    </b:Author>
    <b:Publisher>Biogrid</b:Publisher>
    <b:RefOrder>15</b:RefOrder>
  </b:Source>
  <b:Source>
    <b:Tag>Neo11</b:Tag>
    <b:SourceType>JournalArticle</b:SourceType>
    <b:Guid>{348B43F1-B346-42A0-9A16-D814B968C335}</b:Guid>
    <b:Author>
      <b:Author>
        <b:NameList>
          <b:Person>
            <b:Last>Neo</b:Last>
          </b:Person>
        </b:NameList>
      </b:Author>
    </b:Author>
    <b:Title>South Australian clinical registry for metastatic colorectal cancer</b:Title>
    <b:JournalName>ANZ Journal of Surgery</b:JournalName>
    <b:Year>2011</b:Year>
    <b:Pages>352-357.</b:Pages>
    <b:RefOrder>20</b:RefOrder>
  </b:Source>
  <b:Source>
    <b:Tag>AIH12</b:Tag>
    <b:SourceType>Report</b:SourceType>
    <b:Guid>{DFD7D6CB-BC82-4953-9905-92084277B84F}</b:Guid>
    <b:Author>
      <b:Author>
        <b:NameList>
          <b:Person>
            <b:Last>AIHW</b:Last>
          </b:Person>
        </b:NameList>
      </b:Author>
    </b:Author>
    <b:Title>Australian Cancer Incidence and Mortality Books</b:Title>
    <b:Year>2012a</b:Year>
    <b:City>Canberra</b:City>
    <b:Publisher>AIHW</b:Publisher>
    <b:RefOrder>1</b:RefOrder>
  </b:Source>
  <b:Source>
    <b:Tag>Dou13</b:Tag>
    <b:SourceType>JournalArticle</b:SourceType>
    <b:Guid>{D0B08438-8BB4-4C0B-B81B-84EA58773AB3}</b:Guid>
    <b:Title>Panitumumab–FOLFOX4 Treatment and RAS Mutations in Colorectal Cancer</b:Title>
    <b:Year>2013</b:Year>
    <b:Author>
      <b:Author>
        <b:NameList>
          <b:Person>
            <b:Last>Douillard</b:Last>
          </b:Person>
        </b:NameList>
      </b:Author>
    </b:Author>
    <b:JournalName>NEJM</b:JournalName>
    <b:Pages>369:1023-1034</b:Pages>
    <b:RefOrder>2</b:RefOrder>
  </b:Source>
  <b:Source>
    <b:Tag>DUS13</b:Tag>
    <b:SourceType>Report</b:SourceType>
    <b:Guid>{1241477F-4181-4E37-9570-47545D7BCE68}</b:Guid>
    <b:Title>Item 7.4 Monoclonal antibodies for mCRC</b:Title>
    <b:Year>2013</b:Year>
    <b:Author>
      <b:Author>
        <b:NameList>
          <b:Person>
            <b:Last>DUSC</b:Last>
          </b:Person>
        </b:NameList>
      </b:Author>
    </b:Author>
    <b:RefOrder>3</b:RefOrder>
  </b:Source>
  <b:Source>
    <b:Tag>Cov13</b:Tag>
    <b:SourceType>Report</b:SourceType>
    <b:Guid>{8AE69351-61C4-45F4-8F1C-7799F1082024}</b:Guid>
    <b:Title>Metastatic colorectal cancer:Treatment with bevacizumab and cetuximab. Analysis using the Department of Human Services PBS 10% sample</b:Title>
    <b:Year>2013</b:Year>
    <b:Author>
      <b:Author>
        <b:NameList>
          <b:Person>
            <b:Last>Covance</b:Last>
          </b:Person>
        </b:NameList>
      </b:Author>
    </b:Author>
    <b:RefOrder>4</b:RefOrder>
  </b:Source>
  <b:Source>
    <b:Tag>Fie</b:Tag>
    <b:SourceType>JournalArticle</b:SourceType>
    <b:Guid>{03B42BE2-0153-414D-8251-B563745090E9}</b:Guid>
    <b:Author>
      <b:Author>
        <b:NameList>
          <b:Person>
            <b:Last>Field</b:Last>
          </b:Person>
        </b:NameList>
      </b:Author>
    </b:Author>
    <b:Title>Prescribing patterns for bevacizumab in first-line metastatic colorectal cancer: Exploring the introduction of a new drug into routine clinical practice.</b:Title>
    <b:JournalName>JCO</b:JournalName>
    <b:Year>2012</b:Year>
    <b:Pages>665</b:Pages>
    <b:RefOrder>5</b:RefOrder>
  </b:Source>
  <b:Source>
    <b:Tag>Hea13</b:Tag>
    <b:SourceType>Report</b:SourceType>
    <b:Guid>{3B4136C6-9F9A-41BE-8A65-DC8642E7C384}</b:Guid>
    <b:Author>
      <b:Author>
        <b:NameList>
          <b:Person>
            <b:Last>IPSOS</b:Last>
          </b:Person>
        </b:NameList>
      </b:Author>
    </b:Author>
    <b:Title>CRC – 2013 Q2 and Q3 update</b:Title>
    <b:Year>2013</b:Year>
    <b:Publisher>IPSOS Healthcare</b:Publisher>
    <b:RefOrder>6</b:RefOrder>
  </b:Source>
</b:Sources>
</file>

<file path=customXml/itemProps1.xml><?xml version="1.0" encoding="utf-8"?>
<ds:datastoreItem xmlns:ds="http://schemas.openxmlformats.org/officeDocument/2006/customXml" ds:itemID="{D56776AD-875E-4556-B25C-CF7C421A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10471</Words>
  <Characters>58129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2</cp:revision>
  <cp:lastPrinted>2014-08-01T04:24:00Z</cp:lastPrinted>
  <dcterms:created xsi:type="dcterms:W3CDTF">2014-10-20T21:48:00Z</dcterms:created>
  <dcterms:modified xsi:type="dcterms:W3CDTF">2014-11-03T02:00:00Z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