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B27" w:rsidRPr="00046B27" w:rsidRDefault="00046B27" w:rsidP="00A9215A">
      <w:pPr>
        <w:pStyle w:val="Heading1"/>
      </w:pPr>
      <w:r>
        <w:t>7.3</w:t>
      </w:r>
      <w:r w:rsidR="007C0F57" w:rsidRPr="006D6EC7">
        <w:tab/>
      </w:r>
      <w:r w:rsidRPr="00A9215A">
        <w:rPr>
          <w:sz w:val="28"/>
          <w:szCs w:val="28"/>
        </w:rPr>
        <w:t xml:space="preserve">LISDEXAMFETAMINE DIMESILATE, capsules, 30 mg, 50 mg &amp; 70 mg, </w:t>
      </w:r>
      <w:proofErr w:type="spellStart"/>
      <w:r w:rsidRPr="00A9215A">
        <w:rPr>
          <w:sz w:val="28"/>
          <w:szCs w:val="28"/>
        </w:rPr>
        <w:t>Vyvanse</w:t>
      </w:r>
      <w:proofErr w:type="spellEnd"/>
      <w:r w:rsidRPr="00A9215A">
        <w:rPr>
          <w:sz w:val="28"/>
          <w:szCs w:val="28"/>
          <w:vertAlign w:val="superscript"/>
        </w:rPr>
        <w:t>®</w:t>
      </w:r>
      <w:r w:rsidRPr="00A9215A">
        <w:rPr>
          <w:sz w:val="28"/>
          <w:szCs w:val="28"/>
        </w:rPr>
        <w:t>, Shire Australia Pty Ltd</w:t>
      </w:r>
    </w:p>
    <w:p w:rsidR="008D447E" w:rsidRDefault="008D447E" w:rsidP="00A5273B">
      <w:pPr>
        <w:rPr>
          <w:rFonts w:ascii="Arial" w:hAnsi="Arial"/>
          <w:b/>
        </w:rPr>
      </w:pPr>
    </w:p>
    <w:p w:rsidR="006B3655" w:rsidRDefault="006B3655" w:rsidP="00A5273B">
      <w:pPr>
        <w:rPr>
          <w:rFonts w:ascii="Arial" w:hAnsi="Arial"/>
          <w:b/>
        </w:rPr>
      </w:pPr>
    </w:p>
    <w:p w:rsidR="00BE5144" w:rsidRPr="00407F2D" w:rsidRDefault="00BE5144" w:rsidP="00BE5144">
      <w:pPr>
        <w:pStyle w:val="ListParagraph"/>
        <w:numPr>
          <w:ilvl w:val="0"/>
          <w:numId w:val="25"/>
        </w:numPr>
        <w:jc w:val="both"/>
        <w:rPr>
          <w:rFonts w:ascii="Arial" w:hAnsi="Arial"/>
          <w:b/>
          <w:sz w:val="22"/>
          <w:szCs w:val="22"/>
        </w:rPr>
      </w:pPr>
      <w:r w:rsidRPr="00407F2D">
        <w:rPr>
          <w:rFonts w:ascii="Arial" w:hAnsi="Arial"/>
          <w:b/>
          <w:sz w:val="22"/>
          <w:szCs w:val="22"/>
        </w:rPr>
        <w:t>Purpose of Application</w:t>
      </w:r>
    </w:p>
    <w:p w:rsidR="006A12A5" w:rsidRPr="00FC6E89" w:rsidRDefault="006A12A5" w:rsidP="00882085">
      <w:pPr>
        <w:jc w:val="both"/>
        <w:rPr>
          <w:rFonts w:ascii="Arial" w:hAnsi="Arial"/>
          <w:sz w:val="22"/>
          <w:szCs w:val="22"/>
        </w:rPr>
      </w:pPr>
    </w:p>
    <w:p w:rsidR="00046B27" w:rsidRPr="00BE5144" w:rsidRDefault="00392CD7" w:rsidP="00BE5144">
      <w:pPr>
        <w:pStyle w:val="ListParagraph"/>
        <w:numPr>
          <w:ilvl w:val="1"/>
          <w:numId w:val="25"/>
        </w:numPr>
        <w:ind w:left="720"/>
        <w:jc w:val="both"/>
        <w:rPr>
          <w:rFonts w:ascii="Arial" w:hAnsi="Arial"/>
          <w:sz w:val="22"/>
          <w:szCs w:val="22"/>
        </w:rPr>
      </w:pPr>
      <w:r w:rsidRPr="00BE5144">
        <w:rPr>
          <w:rFonts w:ascii="Arial" w:hAnsi="Arial" w:cs="Arial"/>
          <w:sz w:val="22"/>
          <w:szCs w:val="22"/>
        </w:rPr>
        <w:t>The re</w:t>
      </w:r>
      <w:r w:rsidR="00D648D7" w:rsidRPr="00BE5144">
        <w:rPr>
          <w:rFonts w:ascii="Arial" w:hAnsi="Arial" w:cs="Arial"/>
          <w:sz w:val="22"/>
          <w:szCs w:val="22"/>
        </w:rPr>
        <w:t xml:space="preserve">submission requested an </w:t>
      </w:r>
      <w:r w:rsidR="00046B27" w:rsidRPr="00BE5144">
        <w:rPr>
          <w:rFonts w:ascii="Arial" w:hAnsi="Arial" w:cs="Arial"/>
          <w:sz w:val="22"/>
          <w:szCs w:val="22"/>
        </w:rPr>
        <w:t xml:space="preserve">Authority </w:t>
      </w:r>
      <w:proofErr w:type="gramStart"/>
      <w:r w:rsidR="00046B27" w:rsidRPr="00BE5144">
        <w:rPr>
          <w:rFonts w:ascii="Arial" w:hAnsi="Arial" w:cs="Arial"/>
          <w:sz w:val="22"/>
          <w:szCs w:val="22"/>
        </w:rPr>
        <w:t>Required</w:t>
      </w:r>
      <w:proofErr w:type="gramEnd"/>
      <w:r w:rsidR="00046B27" w:rsidRPr="00BE5144">
        <w:rPr>
          <w:rFonts w:ascii="Arial" w:hAnsi="Arial" w:cs="Arial"/>
          <w:sz w:val="22"/>
          <w:szCs w:val="22"/>
        </w:rPr>
        <w:t xml:space="preserve"> listing for </w:t>
      </w:r>
      <w:proofErr w:type="spellStart"/>
      <w:r w:rsidR="00046B27" w:rsidRPr="00BE5144">
        <w:rPr>
          <w:rFonts w:ascii="Arial" w:hAnsi="Arial" w:cs="Arial"/>
          <w:sz w:val="22"/>
          <w:szCs w:val="22"/>
        </w:rPr>
        <w:t>lisdexamfetamine</w:t>
      </w:r>
      <w:proofErr w:type="spellEnd"/>
      <w:r w:rsidR="00046B27" w:rsidRPr="00BE5144">
        <w:rPr>
          <w:rFonts w:ascii="Arial" w:hAnsi="Arial" w:cs="Arial"/>
          <w:sz w:val="22"/>
          <w:szCs w:val="22"/>
        </w:rPr>
        <w:t xml:space="preserve"> (LDX) </w:t>
      </w:r>
      <w:r w:rsidR="00D648D7" w:rsidRPr="00BE5144">
        <w:rPr>
          <w:rFonts w:ascii="Arial" w:hAnsi="Arial" w:cs="Arial"/>
          <w:sz w:val="22"/>
          <w:szCs w:val="22"/>
        </w:rPr>
        <w:t xml:space="preserve">on the PBS </w:t>
      </w:r>
      <w:r w:rsidR="00046B27" w:rsidRPr="00BE5144">
        <w:rPr>
          <w:rFonts w:ascii="Arial" w:hAnsi="Arial" w:cs="Arial"/>
          <w:sz w:val="22"/>
          <w:szCs w:val="22"/>
        </w:rPr>
        <w:t xml:space="preserve">for treatment of Attention Deficit Hyperactivity Disorder (ADHD).  The first submission was in July 2013. </w:t>
      </w:r>
    </w:p>
    <w:p w:rsidR="006B3655" w:rsidRDefault="006B3655" w:rsidP="00882085">
      <w:pPr>
        <w:jc w:val="both"/>
        <w:rPr>
          <w:rFonts w:ascii="Arial" w:hAnsi="Arial"/>
          <w:b/>
          <w:sz w:val="22"/>
          <w:szCs w:val="22"/>
        </w:rPr>
      </w:pPr>
    </w:p>
    <w:p w:rsidR="006B3655" w:rsidRPr="00FC6E89" w:rsidRDefault="006B3655" w:rsidP="00882085">
      <w:pPr>
        <w:jc w:val="both"/>
        <w:rPr>
          <w:rFonts w:ascii="Arial" w:hAnsi="Arial"/>
          <w:b/>
          <w:sz w:val="22"/>
          <w:szCs w:val="22"/>
        </w:rPr>
      </w:pPr>
    </w:p>
    <w:p w:rsidR="006B3655" w:rsidRPr="006B3655" w:rsidRDefault="006A12A5" w:rsidP="006B3655">
      <w:pPr>
        <w:pStyle w:val="ListParagraph"/>
        <w:numPr>
          <w:ilvl w:val="0"/>
          <w:numId w:val="25"/>
        </w:numPr>
        <w:jc w:val="both"/>
        <w:rPr>
          <w:rFonts w:ascii="Arial" w:hAnsi="Arial"/>
          <w:b/>
          <w:sz w:val="22"/>
          <w:szCs w:val="22"/>
        </w:rPr>
      </w:pPr>
      <w:r w:rsidRPr="00FC6E89">
        <w:rPr>
          <w:rFonts w:ascii="Arial" w:hAnsi="Arial"/>
          <w:b/>
          <w:sz w:val="22"/>
          <w:szCs w:val="22"/>
        </w:rPr>
        <w:t>Requested listing</w:t>
      </w:r>
    </w:p>
    <w:p w:rsidR="006A12A5" w:rsidRPr="00FC6E89" w:rsidRDefault="006A12A5" w:rsidP="00882085">
      <w:pPr>
        <w:jc w:val="both"/>
        <w:rPr>
          <w:rFonts w:ascii="Arial" w:hAnsi="Arial"/>
          <w:b/>
          <w:sz w:val="22"/>
          <w:szCs w:val="22"/>
        </w:rPr>
      </w:pPr>
    </w:p>
    <w:p w:rsidR="00046B27" w:rsidRDefault="00046B27" w:rsidP="00243655">
      <w:pPr>
        <w:pStyle w:val="ListParagraph"/>
        <w:numPr>
          <w:ilvl w:val="1"/>
          <w:numId w:val="25"/>
        </w:numPr>
        <w:ind w:left="709" w:hanging="709"/>
        <w:jc w:val="both"/>
        <w:rPr>
          <w:rFonts w:ascii="Arial" w:hAnsi="Arial"/>
          <w:sz w:val="22"/>
          <w:szCs w:val="22"/>
        </w:rPr>
      </w:pPr>
      <w:r w:rsidRPr="00FC6E89">
        <w:rPr>
          <w:rFonts w:ascii="Arial" w:hAnsi="Arial"/>
          <w:sz w:val="22"/>
          <w:szCs w:val="22"/>
        </w:rPr>
        <w:t>T</w:t>
      </w:r>
      <w:r w:rsidR="00326E79" w:rsidRPr="00FC6E89">
        <w:rPr>
          <w:rFonts w:ascii="Arial" w:hAnsi="Arial"/>
          <w:sz w:val="22"/>
          <w:szCs w:val="22"/>
        </w:rPr>
        <w:t>he</w:t>
      </w:r>
      <w:r w:rsidR="00D648D7" w:rsidRPr="00FC6E89">
        <w:rPr>
          <w:rFonts w:ascii="Arial" w:hAnsi="Arial"/>
          <w:sz w:val="22"/>
          <w:szCs w:val="22"/>
        </w:rPr>
        <w:t xml:space="preserve"> </w:t>
      </w:r>
      <w:r w:rsidR="00E1684F" w:rsidRPr="00FC6E89">
        <w:rPr>
          <w:rFonts w:ascii="Arial" w:hAnsi="Arial"/>
          <w:sz w:val="22"/>
          <w:szCs w:val="22"/>
        </w:rPr>
        <w:t>re</w:t>
      </w:r>
      <w:r w:rsidR="00D648D7" w:rsidRPr="00FC6E89">
        <w:rPr>
          <w:rFonts w:ascii="Arial" w:hAnsi="Arial"/>
          <w:sz w:val="22"/>
          <w:szCs w:val="22"/>
        </w:rPr>
        <w:t>submission</w:t>
      </w:r>
      <w:r w:rsidR="00326E79" w:rsidRPr="00FC6E89">
        <w:rPr>
          <w:rFonts w:ascii="Arial" w:hAnsi="Arial"/>
          <w:sz w:val="22"/>
          <w:szCs w:val="22"/>
        </w:rPr>
        <w:t xml:space="preserve"> requested</w:t>
      </w:r>
      <w:r w:rsidR="00D648D7" w:rsidRPr="00FC6E89">
        <w:rPr>
          <w:rFonts w:ascii="Arial" w:hAnsi="Arial"/>
          <w:sz w:val="22"/>
          <w:szCs w:val="22"/>
        </w:rPr>
        <w:t xml:space="preserve"> the following</w:t>
      </w:r>
      <w:r w:rsidR="00326E79" w:rsidRPr="00FC6E89">
        <w:rPr>
          <w:rFonts w:ascii="Arial" w:hAnsi="Arial"/>
          <w:sz w:val="22"/>
          <w:szCs w:val="22"/>
        </w:rPr>
        <w:t xml:space="preserve"> restriction</w:t>
      </w:r>
      <w:r w:rsidRPr="00FC6E89">
        <w:rPr>
          <w:rFonts w:ascii="Arial" w:hAnsi="Arial"/>
          <w:sz w:val="22"/>
          <w:szCs w:val="22"/>
        </w:rPr>
        <w:t xml:space="preserve">: </w:t>
      </w:r>
      <w:r w:rsidR="00E16910" w:rsidRPr="00FC6E89">
        <w:rPr>
          <w:rFonts w:ascii="Arial" w:hAnsi="Arial"/>
          <w:sz w:val="22"/>
          <w:szCs w:val="22"/>
        </w:rPr>
        <w:t xml:space="preserve"> </w:t>
      </w:r>
    </w:p>
    <w:tbl>
      <w:tblPr>
        <w:tblW w:w="3067" w:type="pct"/>
        <w:tblInd w:w="737" w:type="dxa"/>
        <w:tblCellMar>
          <w:left w:w="28" w:type="dxa"/>
          <w:right w:w="28" w:type="dxa"/>
        </w:tblCellMar>
        <w:tblLook w:val="0000" w:firstRow="0" w:lastRow="0" w:firstColumn="0" w:lastColumn="0" w:noHBand="0" w:noVBand="0"/>
        <w:tblDescription w:val="listing lisdexamfetamine"/>
      </w:tblPr>
      <w:tblGrid>
        <w:gridCol w:w="1964"/>
        <w:gridCol w:w="533"/>
        <w:gridCol w:w="670"/>
        <w:gridCol w:w="1003"/>
        <w:gridCol w:w="1401"/>
      </w:tblGrid>
      <w:tr w:rsidR="0009121E" w:rsidRPr="00BE5144" w:rsidTr="0009121E">
        <w:tc>
          <w:tcPr>
            <w:tcW w:w="1764" w:type="pct"/>
            <w:tcBorders>
              <w:bottom w:val="single" w:sz="4" w:space="0" w:color="auto"/>
            </w:tcBorders>
          </w:tcPr>
          <w:p w:rsidR="0009121E" w:rsidRPr="00BE5144" w:rsidRDefault="0009121E" w:rsidP="00DB024D">
            <w:pPr>
              <w:keepNext/>
              <w:rPr>
                <w:rFonts w:ascii="Arial Narrow" w:hAnsi="Arial Narrow" w:cs="Arial"/>
                <w:sz w:val="20"/>
                <w:szCs w:val="20"/>
              </w:rPr>
            </w:pPr>
            <w:r w:rsidRPr="00BE5144">
              <w:rPr>
                <w:rFonts w:ascii="Arial Narrow" w:hAnsi="Arial Narrow" w:cs="Arial"/>
                <w:sz w:val="20"/>
                <w:szCs w:val="20"/>
              </w:rPr>
              <w:t>Name, Restriction,</w:t>
            </w:r>
          </w:p>
          <w:p w:rsidR="0009121E" w:rsidRPr="00BE5144" w:rsidRDefault="0009121E" w:rsidP="00DB024D">
            <w:pPr>
              <w:keepNext/>
              <w:rPr>
                <w:rFonts w:ascii="Arial Narrow" w:hAnsi="Arial Narrow" w:cs="Arial"/>
                <w:sz w:val="20"/>
                <w:szCs w:val="20"/>
              </w:rPr>
            </w:pPr>
            <w:r w:rsidRPr="00BE5144">
              <w:rPr>
                <w:rFonts w:ascii="Arial Narrow" w:hAnsi="Arial Narrow" w:cs="Arial"/>
                <w:sz w:val="20"/>
                <w:szCs w:val="20"/>
              </w:rPr>
              <w:t>Manner of administration and form</w:t>
            </w:r>
          </w:p>
        </w:tc>
        <w:tc>
          <w:tcPr>
            <w:tcW w:w="478" w:type="pct"/>
            <w:tcBorders>
              <w:bottom w:val="single" w:sz="4" w:space="0" w:color="auto"/>
            </w:tcBorders>
          </w:tcPr>
          <w:p w:rsidR="0009121E" w:rsidRPr="00BE5144" w:rsidRDefault="0009121E" w:rsidP="00DB024D">
            <w:pPr>
              <w:keepNext/>
              <w:rPr>
                <w:rFonts w:ascii="Arial Narrow" w:hAnsi="Arial Narrow" w:cs="Arial"/>
                <w:sz w:val="20"/>
                <w:szCs w:val="20"/>
              </w:rPr>
            </w:pPr>
            <w:r w:rsidRPr="00BE5144">
              <w:rPr>
                <w:rFonts w:ascii="Arial Narrow" w:hAnsi="Arial Narrow" w:cs="Arial"/>
                <w:sz w:val="20"/>
                <w:szCs w:val="20"/>
              </w:rPr>
              <w:t>Max.</w:t>
            </w:r>
          </w:p>
          <w:p w:rsidR="0009121E" w:rsidRPr="00BE5144" w:rsidRDefault="0009121E" w:rsidP="00DB024D">
            <w:pPr>
              <w:keepNext/>
              <w:rPr>
                <w:rFonts w:ascii="Arial Narrow" w:hAnsi="Arial Narrow" w:cs="Arial"/>
                <w:sz w:val="20"/>
                <w:szCs w:val="20"/>
              </w:rPr>
            </w:pPr>
            <w:proofErr w:type="spellStart"/>
            <w:r w:rsidRPr="00BE5144">
              <w:rPr>
                <w:rFonts w:ascii="Arial Narrow" w:hAnsi="Arial Narrow" w:cs="Arial"/>
                <w:sz w:val="20"/>
                <w:szCs w:val="20"/>
              </w:rPr>
              <w:t>Qty</w:t>
            </w:r>
            <w:proofErr w:type="spellEnd"/>
          </w:p>
        </w:tc>
        <w:tc>
          <w:tcPr>
            <w:tcW w:w="601" w:type="pct"/>
            <w:tcBorders>
              <w:bottom w:val="single" w:sz="4" w:space="0" w:color="auto"/>
            </w:tcBorders>
          </w:tcPr>
          <w:p w:rsidR="0009121E" w:rsidRPr="00BE5144" w:rsidRDefault="0009121E" w:rsidP="00DB024D">
            <w:pPr>
              <w:keepNext/>
              <w:rPr>
                <w:rFonts w:ascii="Arial Narrow" w:hAnsi="Arial Narrow" w:cs="Arial"/>
                <w:sz w:val="20"/>
                <w:szCs w:val="20"/>
              </w:rPr>
            </w:pPr>
            <w:r w:rsidRPr="00BE5144">
              <w:rPr>
                <w:rFonts w:ascii="Arial Narrow" w:hAnsi="Arial Narrow" w:cs="Arial"/>
                <w:sz w:val="20"/>
                <w:szCs w:val="20"/>
              </w:rPr>
              <w:t>№.of</w:t>
            </w:r>
          </w:p>
          <w:p w:rsidR="0009121E" w:rsidRPr="00BE5144" w:rsidRDefault="0009121E" w:rsidP="00DB024D">
            <w:pPr>
              <w:keepNext/>
              <w:rPr>
                <w:rFonts w:ascii="Arial Narrow" w:hAnsi="Arial Narrow" w:cs="Arial"/>
                <w:sz w:val="20"/>
                <w:szCs w:val="20"/>
              </w:rPr>
            </w:pPr>
            <w:proofErr w:type="spellStart"/>
            <w:r w:rsidRPr="00BE5144">
              <w:rPr>
                <w:rFonts w:ascii="Arial Narrow" w:hAnsi="Arial Narrow" w:cs="Arial"/>
                <w:sz w:val="20"/>
                <w:szCs w:val="20"/>
              </w:rPr>
              <w:t>Rpts</w:t>
            </w:r>
            <w:proofErr w:type="spellEnd"/>
          </w:p>
        </w:tc>
        <w:tc>
          <w:tcPr>
            <w:tcW w:w="2157" w:type="pct"/>
            <w:gridSpan w:val="2"/>
            <w:tcBorders>
              <w:bottom w:val="single" w:sz="4" w:space="0" w:color="auto"/>
            </w:tcBorders>
          </w:tcPr>
          <w:p w:rsidR="0009121E" w:rsidRPr="00BE5144" w:rsidRDefault="0009121E" w:rsidP="00DB024D">
            <w:pPr>
              <w:keepNext/>
              <w:rPr>
                <w:rFonts w:ascii="Arial Narrow" w:hAnsi="Arial Narrow" w:cs="Arial"/>
                <w:sz w:val="20"/>
                <w:szCs w:val="20"/>
                <w:lang w:val="fr-FR"/>
              </w:rPr>
            </w:pPr>
            <w:r w:rsidRPr="00BE5144">
              <w:rPr>
                <w:rFonts w:ascii="Arial Narrow" w:hAnsi="Arial Narrow" w:cs="Arial"/>
                <w:sz w:val="20"/>
                <w:szCs w:val="20"/>
              </w:rPr>
              <w:t>Proprietary Name and Manufacturer</w:t>
            </w:r>
          </w:p>
        </w:tc>
      </w:tr>
      <w:tr w:rsidR="0009121E" w:rsidRPr="00BE5144" w:rsidTr="0009121E">
        <w:tc>
          <w:tcPr>
            <w:tcW w:w="1764" w:type="pct"/>
            <w:tcBorders>
              <w:bottom w:val="single" w:sz="4" w:space="0" w:color="auto"/>
            </w:tcBorders>
          </w:tcPr>
          <w:p w:rsidR="0009121E" w:rsidRPr="00BE5144" w:rsidRDefault="0009121E" w:rsidP="00DB024D">
            <w:pPr>
              <w:keepNext/>
              <w:rPr>
                <w:rFonts w:ascii="Arial Narrow" w:hAnsi="Arial Narrow" w:cs="Arial"/>
                <w:smallCaps/>
                <w:sz w:val="20"/>
                <w:szCs w:val="20"/>
              </w:rPr>
            </w:pPr>
            <w:proofErr w:type="spellStart"/>
            <w:r w:rsidRPr="00BE5144">
              <w:rPr>
                <w:rFonts w:ascii="Arial Narrow" w:hAnsi="Arial Narrow" w:cs="Arial"/>
                <w:smallCaps/>
                <w:sz w:val="20"/>
                <w:szCs w:val="20"/>
              </w:rPr>
              <w:t>Lisdexamfetamine</w:t>
            </w:r>
            <w:proofErr w:type="spellEnd"/>
          </w:p>
          <w:p w:rsidR="0009121E" w:rsidRPr="00BE5144" w:rsidRDefault="0009121E" w:rsidP="00DB024D">
            <w:pPr>
              <w:keepNext/>
              <w:rPr>
                <w:rFonts w:ascii="Arial Narrow" w:hAnsi="Arial Narrow" w:cs="Arial"/>
                <w:sz w:val="20"/>
                <w:szCs w:val="20"/>
              </w:rPr>
            </w:pPr>
            <w:r w:rsidRPr="00BE5144">
              <w:rPr>
                <w:rFonts w:ascii="Arial Narrow" w:hAnsi="Arial Narrow" w:cs="Arial"/>
                <w:sz w:val="20"/>
                <w:szCs w:val="20"/>
              </w:rPr>
              <w:t>30mg Capsules</w:t>
            </w:r>
          </w:p>
          <w:p w:rsidR="0009121E" w:rsidRPr="00BE5144" w:rsidRDefault="0009121E" w:rsidP="00DB024D">
            <w:pPr>
              <w:keepNext/>
              <w:rPr>
                <w:rFonts w:ascii="Arial Narrow" w:hAnsi="Arial Narrow" w:cs="Arial"/>
                <w:sz w:val="20"/>
                <w:szCs w:val="20"/>
              </w:rPr>
            </w:pPr>
            <w:r w:rsidRPr="00BE5144">
              <w:rPr>
                <w:rFonts w:ascii="Arial Narrow" w:hAnsi="Arial Narrow" w:cs="Arial"/>
                <w:sz w:val="20"/>
                <w:szCs w:val="20"/>
              </w:rPr>
              <w:t>50mg Capsules</w:t>
            </w:r>
          </w:p>
          <w:p w:rsidR="0009121E" w:rsidRPr="00BE5144" w:rsidRDefault="0009121E" w:rsidP="00DB024D">
            <w:pPr>
              <w:keepNext/>
              <w:rPr>
                <w:rFonts w:ascii="Arial Narrow" w:hAnsi="Arial Narrow" w:cs="Arial"/>
                <w:sz w:val="20"/>
                <w:szCs w:val="20"/>
              </w:rPr>
            </w:pPr>
            <w:r w:rsidRPr="00BE5144">
              <w:rPr>
                <w:rFonts w:ascii="Arial Narrow" w:hAnsi="Arial Narrow" w:cs="Arial"/>
                <w:sz w:val="20"/>
                <w:szCs w:val="20"/>
              </w:rPr>
              <w:t>70mg Capsules</w:t>
            </w:r>
          </w:p>
        </w:tc>
        <w:tc>
          <w:tcPr>
            <w:tcW w:w="478" w:type="pct"/>
            <w:tcBorders>
              <w:bottom w:val="single" w:sz="4" w:space="0" w:color="auto"/>
            </w:tcBorders>
          </w:tcPr>
          <w:p w:rsidR="0009121E" w:rsidRPr="00BE5144" w:rsidRDefault="0009121E" w:rsidP="00DB024D">
            <w:pPr>
              <w:keepNext/>
              <w:jc w:val="center"/>
              <w:rPr>
                <w:rFonts w:ascii="Arial Narrow" w:hAnsi="Arial Narrow" w:cs="Arial"/>
                <w:sz w:val="20"/>
                <w:szCs w:val="20"/>
              </w:rPr>
            </w:pPr>
          </w:p>
          <w:p w:rsidR="0009121E" w:rsidRPr="00BE5144" w:rsidRDefault="0009121E" w:rsidP="00DB024D">
            <w:pPr>
              <w:keepNext/>
              <w:jc w:val="center"/>
              <w:rPr>
                <w:rFonts w:ascii="Arial Narrow" w:hAnsi="Arial Narrow" w:cs="Arial"/>
                <w:sz w:val="20"/>
                <w:szCs w:val="20"/>
              </w:rPr>
            </w:pPr>
            <w:r w:rsidRPr="00BE5144">
              <w:rPr>
                <w:rFonts w:ascii="Arial Narrow" w:hAnsi="Arial Narrow" w:cs="Arial"/>
                <w:sz w:val="20"/>
                <w:szCs w:val="20"/>
              </w:rPr>
              <w:t>30</w:t>
            </w:r>
          </w:p>
          <w:p w:rsidR="0009121E" w:rsidRPr="00BE5144" w:rsidRDefault="0009121E" w:rsidP="00DB024D">
            <w:pPr>
              <w:keepNext/>
              <w:jc w:val="center"/>
              <w:rPr>
                <w:rFonts w:ascii="Arial Narrow" w:hAnsi="Arial Narrow" w:cs="Arial"/>
                <w:sz w:val="20"/>
                <w:szCs w:val="20"/>
              </w:rPr>
            </w:pPr>
            <w:r w:rsidRPr="00BE5144">
              <w:rPr>
                <w:rFonts w:ascii="Arial Narrow" w:hAnsi="Arial Narrow" w:cs="Arial"/>
                <w:sz w:val="20"/>
                <w:szCs w:val="20"/>
              </w:rPr>
              <w:t>30</w:t>
            </w:r>
          </w:p>
          <w:p w:rsidR="0009121E" w:rsidRPr="00BE5144" w:rsidRDefault="0009121E" w:rsidP="00DB024D">
            <w:pPr>
              <w:keepNext/>
              <w:jc w:val="center"/>
              <w:rPr>
                <w:rFonts w:ascii="Arial Narrow" w:hAnsi="Arial Narrow" w:cs="Arial"/>
                <w:sz w:val="20"/>
                <w:szCs w:val="20"/>
              </w:rPr>
            </w:pPr>
            <w:r w:rsidRPr="00BE5144">
              <w:rPr>
                <w:rFonts w:ascii="Arial Narrow" w:hAnsi="Arial Narrow" w:cs="Arial"/>
                <w:sz w:val="20"/>
                <w:szCs w:val="20"/>
              </w:rPr>
              <w:t>30</w:t>
            </w:r>
          </w:p>
        </w:tc>
        <w:tc>
          <w:tcPr>
            <w:tcW w:w="601" w:type="pct"/>
            <w:tcBorders>
              <w:bottom w:val="single" w:sz="4" w:space="0" w:color="auto"/>
            </w:tcBorders>
          </w:tcPr>
          <w:p w:rsidR="0009121E" w:rsidRPr="00BE5144" w:rsidRDefault="0009121E" w:rsidP="00DB024D">
            <w:pPr>
              <w:keepNext/>
              <w:jc w:val="center"/>
              <w:rPr>
                <w:rFonts w:ascii="Arial Narrow" w:hAnsi="Arial Narrow" w:cs="Arial"/>
                <w:sz w:val="20"/>
                <w:szCs w:val="20"/>
              </w:rPr>
            </w:pPr>
          </w:p>
          <w:p w:rsidR="0009121E" w:rsidRPr="00BE5144" w:rsidRDefault="0009121E" w:rsidP="00DB024D">
            <w:pPr>
              <w:keepNext/>
              <w:jc w:val="center"/>
              <w:rPr>
                <w:rFonts w:ascii="Arial Narrow" w:hAnsi="Arial Narrow" w:cs="Arial"/>
                <w:sz w:val="20"/>
                <w:szCs w:val="20"/>
              </w:rPr>
            </w:pPr>
            <w:r w:rsidRPr="00BE5144">
              <w:rPr>
                <w:rFonts w:ascii="Arial Narrow" w:hAnsi="Arial Narrow" w:cs="Arial"/>
                <w:sz w:val="20"/>
                <w:szCs w:val="20"/>
              </w:rPr>
              <w:t>5</w:t>
            </w:r>
          </w:p>
          <w:p w:rsidR="0009121E" w:rsidRPr="00BE5144" w:rsidRDefault="0009121E" w:rsidP="00DB024D">
            <w:pPr>
              <w:keepNext/>
              <w:jc w:val="center"/>
              <w:rPr>
                <w:rFonts w:ascii="Arial Narrow" w:hAnsi="Arial Narrow" w:cs="Arial"/>
                <w:sz w:val="20"/>
                <w:szCs w:val="20"/>
              </w:rPr>
            </w:pPr>
            <w:r w:rsidRPr="00BE5144">
              <w:rPr>
                <w:rFonts w:ascii="Arial Narrow" w:hAnsi="Arial Narrow" w:cs="Arial"/>
                <w:sz w:val="20"/>
                <w:szCs w:val="20"/>
              </w:rPr>
              <w:t>5</w:t>
            </w:r>
          </w:p>
          <w:p w:rsidR="0009121E" w:rsidRPr="00BE5144" w:rsidRDefault="0009121E" w:rsidP="00DB024D">
            <w:pPr>
              <w:keepNext/>
              <w:jc w:val="center"/>
              <w:rPr>
                <w:rFonts w:ascii="Arial Narrow" w:hAnsi="Arial Narrow" w:cs="Arial"/>
                <w:sz w:val="20"/>
                <w:szCs w:val="20"/>
              </w:rPr>
            </w:pPr>
            <w:r w:rsidRPr="00BE5144">
              <w:rPr>
                <w:rFonts w:ascii="Arial Narrow" w:hAnsi="Arial Narrow" w:cs="Arial"/>
                <w:sz w:val="20"/>
                <w:szCs w:val="20"/>
              </w:rPr>
              <w:t>5</w:t>
            </w:r>
          </w:p>
        </w:tc>
        <w:tc>
          <w:tcPr>
            <w:tcW w:w="900" w:type="pct"/>
            <w:tcBorders>
              <w:bottom w:val="single" w:sz="4" w:space="0" w:color="auto"/>
            </w:tcBorders>
          </w:tcPr>
          <w:p w:rsidR="0009121E" w:rsidRPr="00BE5144" w:rsidRDefault="0009121E" w:rsidP="00DB024D">
            <w:pPr>
              <w:keepNext/>
              <w:jc w:val="center"/>
              <w:rPr>
                <w:rFonts w:ascii="Arial Narrow" w:hAnsi="Arial Narrow" w:cs="Arial"/>
                <w:sz w:val="20"/>
                <w:szCs w:val="20"/>
              </w:rPr>
            </w:pPr>
          </w:p>
          <w:p w:rsidR="0009121E" w:rsidRPr="00BE5144" w:rsidRDefault="0009121E" w:rsidP="00DB024D">
            <w:pPr>
              <w:keepNext/>
              <w:jc w:val="center"/>
              <w:rPr>
                <w:rFonts w:ascii="Arial Narrow" w:hAnsi="Arial Narrow" w:cs="Arial"/>
                <w:sz w:val="20"/>
                <w:szCs w:val="20"/>
              </w:rPr>
            </w:pPr>
            <w:proofErr w:type="spellStart"/>
            <w:r w:rsidRPr="00BE5144">
              <w:rPr>
                <w:rFonts w:ascii="Arial Narrow" w:hAnsi="Arial Narrow" w:cs="Arial"/>
                <w:sz w:val="20"/>
                <w:szCs w:val="20"/>
              </w:rPr>
              <w:t>Vyvanse</w:t>
            </w:r>
            <w:proofErr w:type="spellEnd"/>
            <w:r w:rsidRPr="00BE5144">
              <w:rPr>
                <w:rFonts w:ascii="Arial Narrow" w:hAnsi="Arial Narrow" w:cs="Arial"/>
                <w:sz w:val="20"/>
                <w:szCs w:val="20"/>
                <w:vertAlign w:val="superscript"/>
              </w:rPr>
              <w:t>®</w:t>
            </w:r>
          </w:p>
        </w:tc>
        <w:tc>
          <w:tcPr>
            <w:tcW w:w="1257" w:type="pct"/>
            <w:tcBorders>
              <w:bottom w:val="single" w:sz="4" w:space="0" w:color="auto"/>
            </w:tcBorders>
          </w:tcPr>
          <w:p w:rsidR="0009121E" w:rsidRPr="00BE5144" w:rsidRDefault="0009121E" w:rsidP="00DB024D">
            <w:pPr>
              <w:keepNext/>
              <w:jc w:val="center"/>
              <w:rPr>
                <w:rFonts w:ascii="Arial Narrow" w:hAnsi="Arial Narrow" w:cs="Arial"/>
                <w:sz w:val="20"/>
                <w:szCs w:val="20"/>
              </w:rPr>
            </w:pPr>
          </w:p>
          <w:p w:rsidR="0009121E" w:rsidRPr="00BE5144" w:rsidRDefault="0009121E" w:rsidP="00DB024D">
            <w:pPr>
              <w:keepNext/>
              <w:jc w:val="center"/>
              <w:rPr>
                <w:rFonts w:ascii="Arial Narrow" w:hAnsi="Arial Narrow" w:cs="Arial"/>
                <w:sz w:val="20"/>
                <w:szCs w:val="20"/>
              </w:rPr>
            </w:pPr>
            <w:r w:rsidRPr="00BE5144">
              <w:rPr>
                <w:rFonts w:ascii="Arial Narrow" w:hAnsi="Arial Narrow" w:cs="Arial"/>
                <w:sz w:val="20"/>
                <w:szCs w:val="20"/>
              </w:rPr>
              <w:t>Shire Australia</w:t>
            </w:r>
          </w:p>
        </w:tc>
      </w:tr>
    </w:tbl>
    <w:p w:rsidR="0009121E" w:rsidRDefault="0009121E" w:rsidP="0009121E">
      <w:pPr>
        <w:ind w:left="709"/>
        <w:jc w:val="both"/>
        <w:rPr>
          <w:rFonts w:ascii="Arial" w:hAnsi="Arial"/>
          <w:sz w:val="22"/>
          <w:szCs w:val="22"/>
        </w:rPr>
      </w:pPr>
    </w:p>
    <w:tbl>
      <w:tblPr>
        <w:tblW w:w="4594" w:type="pct"/>
        <w:tblInd w:w="737" w:type="dxa"/>
        <w:tblCellMar>
          <w:left w:w="28" w:type="dxa"/>
          <w:right w:w="28" w:type="dxa"/>
        </w:tblCellMar>
        <w:tblLook w:val="0000" w:firstRow="0" w:lastRow="0" w:firstColumn="0" w:lastColumn="0" w:noHBand="0" w:noVBand="0"/>
      </w:tblPr>
      <w:tblGrid>
        <w:gridCol w:w="3759"/>
        <w:gridCol w:w="4586"/>
      </w:tblGrid>
      <w:tr w:rsidR="00046B27" w:rsidRPr="00BE5144" w:rsidTr="00C16D64">
        <w:tc>
          <w:tcPr>
            <w:tcW w:w="2252" w:type="pct"/>
            <w:tcBorders>
              <w:top w:val="single" w:sz="4" w:space="0" w:color="auto"/>
              <w:left w:val="single" w:sz="4" w:space="0" w:color="auto"/>
              <w:bottom w:val="single" w:sz="4" w:space="0" w:color="auto"/>
              <w:right w:val="single" w:sz="4" w:space="0" w:color="auto"/>
            </w:tcBorders>
          </w:tcPr>
          <w:p w:rsidR="00046B27" w:rsidRPr="00BE5144" w:rsidRDefault="00046B27" w:rsidP="008F275C">
            <w:pPr>
              <w:rPr>
                <w:rFonts w:ascii="Arial Narrow" w:hAnsi="Arial Narrow" w:cs="Arial"/>
                <w:b/>
                <w:sz w:val="20"/>
                <w:szCs w:val="20"/>
                <w:u w:val="single"/>
              </w:rPr>
            </w:pPr>
            <w:r w:rsidRPr="00BE5144">
              <w:rPr>
                <w:rFonts w:ascii="Arial Narrow" w:hAnsi="Arial Narrow" w:cs="Arial"/>
                <w:b/>
                <w:sz w:val="20"/>
                <w:szCs w:val="20"/>
                <w:u w:val="single"/>
              </w:rPr>
              <w:t>Authority required</w:t>
            </w:r>
          </w:p>
          <w:p w:rsidR="00046B27" w:rsidRPr="00BE5144" w:rsidRDefault="00046B27" w:rsidP="008F275C">
            <w:pPr>
              <w:rPr>
                <w:rFonts w:ascii="Arial Narrow" w:hAnsi="Arial Narrow" w:cs="Arial"/>
                <w:b/>
                <w:sz w:val="20"/>
                <w:szCs w:val="20"/>
              </w:rPr>
            </w:pPr>
            <w:r w:rsidRPr="00BE5144">
              <w:rPr>
                <w:rFonts w:ascii="Arial Narrow" w:hAnsi="Arial Narrow" w:cs="Arial"/>
                <w:b/>
                <w:sz w:val="20"/>
                <w:szCs w:val="20"/>
              </w:rPr>
              <w:t xml:space="preserve">Option 1 </w:t>
            </w:r>
          </w:p>
          <w:p w:rsidR="00046B27" w:rsidRPr="00BE5144" w:rsidRDefault="00046B27" w:rsidP="008F275C">
            <w:pPr>
              <w:rPr>
                <w:rFonts w:ascii="Arial Narrow" w:hAnsi="Arial Narrow" w:cs="Arial"/>
                <w:sz w:val="20"/>
                <w:szCs w:val="20"/>
              </w:rPr>
            </w:pPr>
            <w:r w:rsidRPr="00BE5144">
              <w:rPr>
                <w:rFonts w:ascii="Arial Narrow" w:hAnsi="Arial Narrow" w:cs="Arial"/>
                <w:sz w:val="20"/>
                <w:szCs w:val="20"/>
              </w:rPr>
              <w:t xml:space="preserve">Treatment of attention deficit hyperactivity disorder (ADHD) in a patient diagnosed between the ages of 6 and 18 years (inclusive), </w:t>
            </w:r>
            <w:r w:rsidR="009A2793">
              <w:rPr>
                <w:rFonts w:ascii="Arial Narrow" w:hAnsi="Arial Narrow" w:cs="Arial"/>
                <w:sz w:val="20"/>
                <w:szCs w:val="20"/>
              </w:rPr>
              <w:t>[</w:t>
            </w:r>
            <w:r w:rsidRPr="00BE5144">
              <w:rPr>
                <w:rFonts w:ascii="Arial Narrow" w:hAnsi="Arial Narrow" w:cs="Arial"/>
                <w:sz w:val="20"/>
                <w:szCs w:val="20"/>
              </w:rPr>
              <w:t>who has demonstrated a response to immediate release dexamphetamine sulphate with no emergence of serious adverse events</w:t>
            </w:r>
            <w:r w:rsidR="009A2793" w:rsidRPr="00AF3D4D">
              <w:rPr>
                <w:rFonts w:ascii="Arial Narrow" w:hAnsi="Arial Narrow" w:cs="Arial"/>
                <w:sz w:val="20"/>
                <w:szCs w:val="20"/>
              </w:rPr>
              <w:t>^</w:t>
            </w:r>
            <w:r w:rsidR="009A2793">
              <w:rPr>
                <w:rFonts w:ascii="Arial Narrow" w:hAnsi="Arial Narrow" w:cs="Arial"/>
                <w:sz w:val="20"/>
                <w:szCs w:val="20"/>
              </w:rPr>
              <w:t>]</w:t>
            </w:r>
            <w:r w:rsidRPr="00BE5144">
              <w:rPr>
                <w:rFonts w:ascii="Arial Narrow" w:hAnsi="Arial Narrow" w:cs="Arial"/>
                <w:sz w:val="20"/>
                <w:szCs w:val="20"/>
              </w:rPr>
              <w:t xml:space="preserve"> and who requires continuous coverage over 12 hours.  </w:t>
            </w:r>
          </w:p>
        </w:tc>
        <w:tc>
          <w:tcPr>
            <w:tcW w:w="2748" w:type="pct"/>
            <w:tcBorders>
              <w:top w:val="single" w:sz="4" w:space="0" w:color="auto"/>
              <w:left w:val="single" w:sz="4" w:space="0" w:color="auto"/>
              <w:bottom w:val="single" w:sz="4" w:space="0" w:color="auto"/>
              <w:right w:val="single" w:sz="4" w:space="0" w:color="auto"/>
            </w:tcBorders>
          </w:tcPr>
          <w:p w:rsidR="00046B27" w:rsidRPr="00BE5144" w:rsidRDefault="00046B27" w:rsidP="008F275C">
            <w:pPr>
              <w:rPr>
                <w:rFonts w:ascii="Arial Narrow" w:hAnsi="Arial Narrow" w:cs="Arial"/>
                <w:sz w:val="20"/>
                <w:szCs w:val="20"/>
              </w:rPr>
            </w:pPr>
          </w:p>
          <w:p w:rsidR="00046B27" w:rsidRPr="00BE5144" w:rsidRDefault="00046B27" w:rsidP="008F275C">
            <w:pPr>
              <w:rPr>
                <w:rFonts w:ascii="Arial Narrow" w:hAnsi="Arial Narrow" w:cs="Arial"/>
                <w:b/>
                <w:sz w:val="20"/>
                <w:szCs w:val="20"/>
              </w:rPr>
            </w:pPr>
            <w:r w:rsidRPr="00BE5144">
              <w:rPr>
                <w:rFonts w:ascii="Arial Narrow" w:hAnsi="Arial Narrow" w:cs="Arial"/>
                <w:b/>
                <w:sz w:val="20"/>
                <w:szCs w:val="20"/>
              </w:rPr>
              <w:t>Option 2</w:t>
            </w:r>
          </w:p>
          <w:p w:rsidR="00046B27" w:rsidRPr="00BE5144" w:rsidRDefault="00046B27" w:rsidP="008F275C">
            <w:pPr>
              <w:rPr>
                <w:rFonts w:ascii="Arial Narrow" w:hAnsi="Arial Narrow" w:cs="Arial"/>
                <w:b/>
                <w:sz w:val="20"/>
                <w:szCs w:val="20"/>
              </w:rPr>
            </w:pPr>
            <w:r w:rsidRPr="00BE5144">
              <w:rPr>
                <w:rFonts w:ascii="Arial Narrow" w:hAnsi="Arial Narrow" w:cs="Arial"/>
                <w:sz w:val="20"/>
                <w:szCs w:val="20"/>
              </w:rPr>
              <w:t xml:space="preserve">Treatment of attention deficit hyperactivity disorder (ADHD) in a patient diagnosed between the ages of 6 and 18 years (inclusive), </w:t>
            </w:r>
            <w:r w:rsidR="009A2793">
              <w:rPr>
                <w:rFonts w:ascii="Arial Narrow" w:hAnsi="Arial Narrow" w:cs="Arial"/>
                <w:sz w:val="20"/>
                <w:szCs w:val="20"/>
              </w:rPr>
              <w:t>[</w:t>
            </w:r>
            <w:r w:rsidRPr="00BE5144">
              <w:rPr>
                <w:rFonts w:ascii="Arial Narrow" w:hAnsi="Arial Narrow" w:cs="Arial"/>
                <w:sz w:val="20"/>
                <w:szCs w:val="20"/>
              </w:rPr>
              <w:t>who has demonstrated a response to immediate release dexamphetamine sulphate with no emergence of serious adverse events</w:t>
            </w:r>
            <w:r w:rsidR="009A2793" w:rsidRPr="00AF3D4D">
              <w:rPr>
                <w:rFonts w:ascii="Arial Narrow" w:hAnsi="Arial Narrow" w:cs="Arial"/>
                <w:sz w:val="20"/>
                <w:szCs w:val="20"/>
              </w:rPr>
              <w:t>^</w:t>
            </w:r>
            <w:r w:rsidR="009A2793">
              <w:rPr>
                <w:rFonts w:ascii="Arial Narrow" w:hAnsi="Arial Narrow" w:cs="Arial"/>
                <w:sz w:val="20"/>
                <w:szCs w:val="20"/>
              </w:rPr>
              <w:t>]</w:t>
            </w:r>
            <w:r w:rsidRPr="00BE5144">
              <w:rPr>
                <w:rFonts w:ascii="Arial Narrow" w:hAnsi="Arial Narrow" w:cs="Arial"/>
                <w:sz w:val="20"/>
                <w:szCs w:val="20"/>
              </w:rPr>
              <w:t xml:space="preserve"> and who requires continuous coverage over 12 hours AND whose response to previous methylphenidate treatment is considered clinically inadequate. </w:t>
            </w:r>
          </w:p>
        </w:tc>
      </w:tr>
    </w:tbl>
    <w:p w:rsidR="00046B27" w:rsidRPr="006B3655" w:rsidRDefault="00046B27" w:rsidP="00C16D64">
      <w:pPr>
        <w:ind w:left="709"/>
        <w:rPr>
          <w:rFonts w:ascii="Arial Narrow" w:hAnsi="Arial Narrow" w:cs="Arial"/>
          <w:sz w:val="20"/>
          <w:szCs w:val="20"/>
        </w:rPr>
      </w:pPr>
      <w:r w:rsidRPr="006B3655">
        <w:rPr>
          <w:rFonts w:ascii="Arial Narrow" w:hAnsi="Arial Narrow" w:cs="Arial"/>
          <w:sz w:val="20"/>
          <w:szCs w:val="20"/>
        </w:rPr>
        <w:t>NOTE:</w:t>
      </w:r>
    </w:p>
    <w:p w:rsidR="00046B27" w:rsidRPr="006B3655" w:rsidRDefault="00046B27" w:rsidP="00C16D64">
      <w:pPr>
        <w:pStyle w:val="ListParagraph"/>
        <w:widowControl w:val="0"/>
        <w:numPr>
          <w:ilvl w:val="0"/>
          <w:numId w:val="37"/>
        </w:numPr>
        <w:tabs>
          <w:tab w:val="left" w:pos="709"/>
          <w:tab w:val="left" w:pos="1134"/>
        </w:tabs>
        <w:ind w:hanging="11"/>
        <w:jc w:val="both"/>
        <w:rPr>
          <w:rFonts w:ascii="Arial Narrow" w:hAnsi="Arial Narrow" w:cs="Arial"/>
          <w:sz w:val="20"/>
          <w:szCs w:val="20"/>
        </w:rPr>
      </w:pPr>
      <w:r w:rsidRPr="006B3655">
        <w:rPr>
          <w:rFonts w:ascii="Arial Narrow" w:hAnsi="Arial Narrow" w:cs="Arial"/>
          <w:sz w:val="20"/>
          <w:szCs w:val="20"/>
        </w:rPr>
        <w:t>Patients requiring long term therapy should be carefully monitored.  Patients who are not growing or gaining weight as expected should have their treatment interrupted.</w:t>
      </w:r>
    </w:p>
    <w:p w:rsidR="00046B27" w:rsidRPr="006B3655" w:rsidRDefault="00046B27" w:rsidP="00C16D64">
      <w:pPr>
        <w:pStyle w:val="ListParagraph"/>
        <w:widowControl w:val="0"/>
        <w:numPr>
          <w:ilvl w:val="0"/>
          <w:numId w:val="37"/>
        </w:numPr>
        <w:tabs>
          <w:tab w:val="left" w:pos="709"/>
          <w:tab w:val="left" w:pos="1134"/>
        </w:tabs>
        <w:ind w:hanging="11"/>
        <w:jc w:val="both"/>
        <w:rPr>
          <w:rFonts w:ascii="Arial Narrow" w:hAnsi="Arial Narrow" w:cs="Arial"/>
          <w:sz w:val="20"/>
          <w:szCs w:val="20"/>
        </w:rPr>
      </w:pPr>
      <w:r w:rsidRPr="006B3655">
        <w:rPr>
          <w:rFonts w:ascii="Arial Narrow" w:hAnsi="Arial Narrow" w:cs="Arial"/>
          <w:sz w:val="20"/>
          <w:szCs w:val="20"/>
        </w:rPr>
        <w:t xml:space="preserve">Care must be taken to comply with the provisions of State/Territory law when prescribing </w:t>
      </w:r>
      <w:proofErr w:type="spellStart"/>
      <w:r w:rsidRPr="006B3655">
        <w:rPr>
          <w:rFonts w:ascii="Arial Narrow" w:hAnsi="Arial Narrow" w:cs="Arial"/>
          <w:sz w:val="20"/>
          <w:szCs w:val="20"/>
        </w:rPr>
        <w:t>lisdexamfetamine</w:t>
      </w:r>
      <w:proofErr w:type="spellEnd"/>
      <w:r w:rsidRPr="006B3655">
        <w:rPr>
          <w:rFonts w:ascii="Arial Narrow" w:hAnsi="Arial Narrow" w:cs="Arial"/>
          <w:sz w:val="20"/>
          <w:szCs w:val="20"/>
        </w:rPr>
        <w:t>.</w:t>
      </w:r>
    </w:p>
    <w:p w:rsidR="00046B27" w:rsidRPr="006B3655" w:rsidRDefault="00046B27" w:rsidP="00C16D64">
      <w:pPr>
        <w:pStyle w:val="ListParagraph"/>
        <w:widowControl w:val="0"/>
        <w:numPr>
          <w:ilvl w:val="0"/>
          <w:numId w:val="37"/>
        </w:numPr>
        <w:tabs>
          <w:tab w:val="left" w:pos="709"/>
          <w:tab w:val="left" w:pos="1134"/>
        </w:tabs>
        <w:ind w:hanging="11"/>
        <w:jc w:val="both"/>
        <w:rPr>
          <w:rFonts w:ascii="Arial Narrow" w:hAnsi="Arial Narrow" w:cs="Arial"/>
          <w:sz w:val="20"/>
          <w:szCs w:val="20"/>
        </w:rPr>
      </w:pPr>
      <w:r w:rsidRPr="006B3655">
        <w:rPr>
          <w:rFonts w:ascii="Arial Narrow" w:hAnsi="Arial Narrow" w:cs="Arial"/>
          <w:sz w:val="20"/>
          <w:szCs w:val="20"/>
        </w:rPr>
        <w:t>Continuing Therapy Only: For prescribing by nurse practitioners as continuing therapy only, where the treatment of, and prescribing of medicine for, a patient has been initiated by a medical practitioner. Further information can be found in the Explanatory Notes for Nurse Practitioners.</w:t>
      </w:r>
    </w:p>
    <w:p w:rsidR="00046B27" w:rsidRPr="006B3655" w:rsidRDefault="00136DB8" w:rsidP="00C16D64">
      <w:pPr>
        <w:pStyle w:val="ListParagraph"/>
        <w:tabs>
          <w:tab w:val="left" w:pos="709"/>
        </w:tabs>
        <w:ind w:left="709"/>
        <w:rPr>
          <w:rFonts w:ascii="Arial Narrow" w:hAnsi="Arial Narrow" w:cs="Arial"/>
          <w:sz w:val="20"/>
          <w:szCs w:val="20"/>
        </w:rPr>
      </w:pPr>
      <w:r>
        <w:rPr>
          <w:rFonts w:ascii="Arial Narrow" w:hAnsi="Arial Narrow" w:cs="Arial"/>
          <w:noProof/>
          <w:color w:val="000000"/>
          <w:sz w:val="20"/>
          <w:szCs w:val="20"/>
          <w:highlight w:val="black"/>
        </w:rPr>
        <w:t xml:space="preserve">''''''''''''''''''''' ''''''''''''''' '''' '''''' '''''''''''''''''' ''''''' ''''''''' ''''' ''' ''''''''' ''''''''''''''''''' '''''''''''''''''''''''''' </w:t>
      </w:r>
      <w:r w:rsidR="00046B27" w:rsidRPr="00737946">
        <w:rPr>
          <w:rFonts w:ascii="Arial Narrow" w:hAnsi="Arial Narrow" w:cs="Arial"/>
          <w:sz w:val="20"/>
          <w:szCs w:val="20"/>
        </w:rPr>
        <w:t>calculated as a weighted average price of first line use in children, first line use in adolescents and second line use in children and adolescents.</w:t>
      </w:r>
    </w:p>
    <w:p w:rsidR="00046B27" w:rsidRDefault="00046B27" w:rsidP="00882085">
      <w:pPr>
        <w:pStyle w:val="ListParagraph"/>
        <w:jc w:val="both"/>
        <w:rPr>
          <w:rFonts w:ascii="Arial Narrow" w:hAnsi="Arial Narrow"/>
          <w:sz w:val="20"/>
          <w:szCs w:val="20"/>
          <w:highlight w:val="lightGray"/>
        </w:rPr>
      </w:pPr>
    </w:p>
    <w:p w:rsidR="00F96E46" w:rsidRPr="00FC6E89" w:rsidRDefault="00F96E46" w:rsidP="00893FAF">
      <w:pPr>
        <w:pStyle w:val="ListParagraph"/>
        <w:numPr>
          <w:ilvl w:val="1"/>
          <w:numId w:val="25"/>
        </w:numPr>
        <w:ind w:left="709" w:hanging="709"/>
        <w:jc w:val="both"/>
        <w:rPr>
          <w:rFonts w:ascii="Arial" w:hAnsi="Arial"/>
          <w:sz w:val="22"/>
          <w:szCs w:val="22"/>
        </w:rPr>
      </w:pPr>
      <w:r w:rsidRPr="00FC6E89">
        <w:rPr>
          <w:rFonts w:ascii="Arial" w:hAnsi="Arial" w:cs="Arial"/>
          <w:sz w:val="22"/>
          <w:szCs w:val="22"/>
        </w:rPr>
        <w:t xml:space="preserve">The resubmission presents the following economic evaluations: </w:t>
      </w:r>
    </w:p>
    <w:p w:rsidR="00FF17D7" w:rsidRPr="00FC6E89" w:rsidRDefault="00F96E46" w:rsidP="00BE5144">
      <w:pPr>
        <w:pStyle w:val="ListParagraph"/>
        <w:widowControl w:val="0"/>
        <w:numPr>
          <w:ilvl w:val="3"/>
          <w:numId w:val="38"/>
        </w:numPr>
        <w:tabs>
          <w:tab w:val="left" w:pos="284"/>
          <w:tab w:val="left" w:pos="1134"/>
        </w:tabs>
        <w:ind w:left="709" w:firstLine="0"/>
        <w:jc w:val="both"/>
        <w:rPr>
          <w:rFonts w:ascii="Arial" w:hAnsi="Arial" w:cs="Arial"/>
          <w:sz w:val="22"/>
          <w:szCs w:val="22"/>
        </w:rPr>
      </w:pPr>
      <w:r w:rsidRPr="00FC6E89">
        <w:rPr>
          <w:rFonts w:ascii="Arial" w:hAnsi="Arial" w:cs="Arial"/>
          <w:sz w:val="22"/>
          <w:szCs w:val="22"/>
        </w:rPr>
        <w:t xml:space="preserve">Cost minimisation analysis versus </w:t>
      </w:r>
      <w:r w:rsidR="00392CD7" w:rsidRPr="00FC6E89">
        <w:rPr>
          <w:rFonts w:ascii="Arial" w:hAnsi="Arial" w:cs="Arial"/>
          <w:sz w:val="22"/>
          <w:szCs w:val="22"/>
        </w:rPr>
        <w:t>long-acting methylphenidate (</w:t>
      </w:r>
      <w:r w:rsidRPr="00FC6E89">
        <w:rPr>
          <w:rFonts w:ascii="Arial" w:hAnsi="Arial" w:cs="Arial"/>
          <w:sz w:val="22"/>
          <w:szCs w:val="22"/>
        </w:rPr>
        <w:t>MPH-OROS</w:t>
      </w:r>
      <w:r w:rsidR="00392CD7" w:rsidRPr="00FC6E89">
        <w:rPr>
          <w:rFonts w:ascii="Arial" w:hAnsi="Arial" w:cs="Arial"/>
          <w:sz w:val="22"/>
          <w:szCs w:val="22"/>
        </w:rPr>
        <w:t>)</w:t>
      </w:r>
      <w:r w:rsidRPr="00FC6E89">
        <w:rPr>
          <w:rFonts w:ascii="Arial" w:hAnsi="Arial" w:cs="Arial"/>
          <w:sz w:val="22"/>
          <w:szCs w:val="22"/>
        </w:rPr>
        <w:t xml:space="preserve"> in children aged 6 to 12</w:t>
      </w:r>
      <w:r w:rsidR="00392CD7" w:rsidRPr="00FC6E89">
        <w:rPr>
          <w:rFonts w:ascii="Arial" w:hAnsi="Arial" w:cs="Arial"/>
          <w:sz w:val="22"/>
          <w:szCs w:val="22"/>
        </w:rPr>
        <w:t>;</w:t>
      </w:r>
    </w:p>
    <w:p w:rsidR="003C5285" w:rsidRPr="00FC6E89" w:rsidRDefault="00F96E46" w:rsidP="00BE5144">
      <w:pPr>
        <w:pStyle w:val="ListParagraph"/>
        <w:widowControl w:val="0"/>
        <w:numPr>
          <w:ilvl w:val="3"/>
          <w:numId w:val="38"/>
        </w:numPr>
        <w:tabs>
          <w:tab w:val="left" w:pos="284"/>
          <w:tab w:val="left" w:pos="1134"/>
        </w:tabs>
        <w:ind w:left="709" w:firstLine="0"/>
        <w:jc w:val="both"/>
        <w:rPr>
          <w:rFonts w:ascii="Arial" w:hAnsi="Arial" w:cs="Arial"/>
          <w:sz w:val="22"/>
          <w:szCs w:val="22"/>
        </w:rPr>
      </w:pPr>
      <w:r w:rsidRPr="00FC6E89">
        <w:rPr>
          <w:rFonts w:ascii="Arial" w:hAnsi="Arial" w:cs="Arial"/>
          <w:sz w:val="22"/>
          <w:szCs w:val="22"/>
        </w:rPr>
        <w:t>Cost-utility analysis versus MPH-OROS in adolescents aged 13 to 17;  and</w:t>
      </w:r>
    </w:p>
    <w:p w:rsidR="00DF1409" w:rsidRPr="00FC6E89" w:rsidRDefault="00F96E46" w:rsidP="00BE5144">
      <w:pPr>
        <w:pStyle w:val="ListParagraph"/>
        <w:widowControl w:val="0"/>
        <w:numPr>
          <w:ilvl w:val="3"/>
          <w:numId w:val="38"/>
        </w:numPr>
        <w:tabs>
          <w:tab w:val="left" w:pos="284"/>
          <w:tab w:val="left" w:pos="1134"/>
        </w:tabs>
        <w:ind w:left="709" w:firstLine="0"/>
        <w:jc w:val="both"/>
        <w:rPr>
          <w:rFonts w:ascii="Arial" w:hAnsi="Arial" w:cs="Arial"/>
          <w:sz w:val="22"/>
          <w:szCs w:val="22"/>
        </w:rPr>
      </w:pPr>
      <w:r w:rsidRPr="00FC6E89">
        <w:rPr>
          <w:rFonts w:ascii="Arial" w:hAnsi="Arial" w:cs="Arial"/>
          <w:sz w:val="22"/>
          <w:szCs w:val="22"/>
        </w:rPr>
        <w:t>Cost-utility analysis versus “no pharmacological treatment” or “placebo” as proxy for standard of care in patients who have failed MPH-OROS.</w:t>
      </w:r>
      <w:r w:rsidR="005A305F" w:rsidRPr="00FC6E89">
        <w:rPr>
          <w:rFonts w:ascii="Arial" w:hAnsi="Arial" w:cs="Arial"/>
          <w:sz w:val="22"/>
          <w:szCs w:val="22"/>
        </w:rPr>
        <w:t xml:space="preserve"> </w:t>
      </w:r>
    </w:p>
    <w:p w:rsidR="003C5285" w:rsidRDefault="003C5285" w:rsidP="00392CD7">
      <w:pPr>
        <w:jc w:val="both"/>
        <w:rPr>
          <w:rFonts w:ascii="Arial" w:hAnsi="Arial"/>
          <w:sz w:val="22"/>
          <w:szCs w:val="22"/>
        </w:rPr>
      </w:pPr>
    </w:p>
    <w:p w:rsidR="006B3655" w:rsidRPr="00FC6E89" w:rsidRDefault="006B3655" w:rsidP="00392CD7">
      <w:pPr>
        <w:jc w:val="both"/>
        <w:rPr>
          <w:rFonts w:ascii="Arial" w:hAnsi="Arial"/>
          <w:sz w:val="22"/>
          <w:szCs w:val="22"/>
        </w:rPr>
      </w:pPr>
    </w:p>
    <w:p w:rsidR="00CE10C4" w:rsidRPr="00FC6E89" w:rsidRDefault="00401BC1" w:rsidP="00401BC1">
      <w:pPr>
        <w:pStyle w:val="ListParagraph"/>
        <w:numPr>
          <w:ilvl w:val="0"/>
          <w:numId w:val="25"/>
        </w:numPr>
        <w:jc w:val="both"/>
        <w:rPr>
          <w:rFonts w:ascii="Arial" w:hAnsi="Arial"/>
          <w:sz w:val="22"/>
          <w:szCs w:val="22"/>
        </w:rPr>
      </w:pPr>
      <w:r w:rsidRPr="00FC6E89">
        <w:rPr>
          <w:rFonts w:ascii="Arial" w:hAnsi="Arial"/>
          <w:b/>
          <w:sz w:val="22"/>
          <w:szCs w:val="22"/>
        </w:rPr>
        <w:t>Background</w:t>
      </w:r>
    </w:p>
    <w:p w:rsidR="006A12A5" w:rsidRPr="00FC6E89" w:rsidRDefault="006A12A5" w:rsidP="00882085">
      <w:pPr>
        <w:jc w:val="both"/>
        <w:rPr>
          <w:rFonts w:ascii="Arial" w:hAnsi="Arial"/>
          <w:sz w:val="22"/>
          <w:szCs w:val="22"/>
        </w:rPr>
      </w:pPr>
    </w:p>
    <w:p w:rsidR="00B25653" w:rsidRPr="00FC6E89" w:rsidRDefault="004168CE" w:rsidP="00243655">
      <w:pPr>
        <w:pStyle w:val="ListParagraph"/>
        <w:numPr>
          <w:ilvl w:val="1"/>
          <w:numId w:val="25"/>
        </w:numPr>
        <w:ind w:left="709" w:hanging="709"/>
        <w:jc w:val="both"/>
        <w:rPr>
          <w:rFonts w:ascii="Arial" w:hAnsi="Arial"/>
          <w:sz w:val="22"/>
          <w:szCs w:val="22"/>
        </w:rPr>
      </w:pPr>
      <w:r w:rsidRPr="00FC6E89">
        <w:rPr>
          <w:rFonts w:ascii="Arial" w:hAnsi="Arial" w:cs="Arial"/>
          <w:sz w:val="22"/>
          <w:szCs w:val="22"/>
        </w:rPr>
        <w:t xml:space="preserve">LDX </w:t>
      </w:r>
      <w:r w:rsidR="00F96E46" w:rsidRPr="00FC6E89">
        <w:rPr>
          <w:rFonts w:ascii="Arial" w:hAnsi="Arial" w:cs="Arial"/>
          <w:sz w:val="22"/>
          <w:szCs w:val="22"/>
        </w:rPr>
        <w:t>was TGA registered on 22</w:t>
      </w:r>
      <w:r w:rsidR="00F96E46" w:rsidRPr="00FC6E89">
        <w:rPr>
          <w:rFonts w:ascii="Arial" w:hAnsi="Arial" w:cs="Arial"/>
          <w:sz w:val="22"/>
          <w:szCs w:val="22"/>
          <w:vertAlign w:val="superscript"/>
        </w:rPr>
        <w:t>nd</w:t>
      </w:r>
      <w:r w:rsidR="00F96E46" w:rsidRPr="00FC6E89">
        <w:rPr>
          <w:rFonts w:ascii="Arial" w:hAnsi="Arial" w:cs="Arial"/>
          <w:sz w:val="22"/>
          <w:szCs w:val="22"/>
        </w:rPr>
        <w:t xml:space="preserve"> July, 2013 for the treatment of Attention Deficit Hyperactivity Disorder (ADHD).  </w:t>
      </w:r>
    </w:p>
    <w:p w:rsidR="00B25653" w:rsidRPr="00FC6E89" w:rsidRDefault="00B25653" w:rsidP="00B25653">
      <w:pPr>
        <w:pStyle w:val="ListParagraph"/>
        <w:jc w:val="both"/>
        <w:rPr>
          <w:rFonts w:ascii="Arial" w:hAnsi="Arial"/>
          <w:sz w:val="22"/>
          <w:szCs w:val="22"/>
        </w:rPr>
      </w:pPr>
    </w:p>
    <w:p w:rsidR="00B25653" w:rsidRPr="00FC6E89" w:rsidRDefault="00E1684F" w:rsidP="00243655">
      <w:pPr>
        <w:pStyle w:val="ListParagraph"/>
        <w:numPr>
          <w:ilvl w:val="1"/>
          <w:numId w:val="25"/>
        </w:numPr>
        <w:ind w:left="709" w:hanging="709"/>
        <w:jc w:val="both"/>
        <w:rPr>
          <w:rFonts w:ascii="Arial" w:hAnsi="Arial"/>
          <w:sz w:val="22"/>
          <w:szCs w:val="22"/>
        </w:rPr>
      </w:pPr>
      <w:r w:rsidRPr="00FC6E89">
        <w:rPr>
          <w:rFonts w:ascii="Arial" w:hAnsi="Arial" w:cs="Arial"/>
          <w:sz w:val="22"/>
          <w:szCs w:val="22"/>
        </w:rPr>
        <w:t>This is the</w:t>
      </w:r>
      <w:r w:rsidR="00F96E46" w:rsidRPr="00FC6E89">
        <w:rPr>
          <w:rFonts w:ascii="Arial" w:hAnsi="Arial" w:cs="Arial"/>
          <w:sz w:val="22"/>
          <w:szCs w:val="22"/>
        </w:rPr>
        <w:t xml:space="preserve"> second submission for LDX for the management of ADHD.  </w:t>
      </w:r>
    </w:p>
    <w:p w:rsidR="00B25653" w:rsidRPr="00FC6E89" w:rsidRDefault="00B25653" w:rsidP="00B25653">
      <w:pPr>
        <w:pStyle w:val="ListParagraph"/>
        <w:rPr>
          <w:rFonts w:ascii="Arial" w:hAnsi="Arial" w:cs="Arial"/>
          <w:sz w:val="22"/>
          <w:szCs w:val="22"/>
        </w:rPr>
      </w:pPr>
    </w:p>
    <w:p w:rsidR="00F96E46" w:rsidRPr="00FC6E89" w:rsidRDefault="00F96E46" w:rsidP="00243655">
      <w:pPr>
        <w:pStyle w:val="ListParagraph"/>
        <w:numPr>
          <w:ilvl w:val="1"/>
          <w:numId w:val="25"/>
        </w:numPr>
        <w:ind w:left="709" w:hanging="709"/>
        <w:jc w:val="both"/>
        <w:rPr>
          <w:rFonts w:ascii="Arial" w:hAnsi="Arial"/>
          <w:sz w:val="22"/>
          <w:szCs w:val="22"/>
        </w:rPr>
      </w:pPr>
      <w:r w:rsidRPr="00FC6E89">
        <w:rPr>
          <w:rFonts w:ascii="Arial" w:hAnsi="Arial" w:cs="Arial"/>
          <w:sz w:val="22"/>
          <w:szCs w:val="22"/>
        </w:rPr>
        <w:lastRenderedPageBreak/>
        <w:t>The previous submission was rejected on the basis of insufficient clinical evidence to support claims of superiority in comparative effectiveness, non-inferiority in comparative safety and unacceptable cost-effectiveness compared with MPH-OROS</w:t>
      </w:r>
      <w:r w:rsidRPr="00FC6E89">
        <w:t>.</w:t>
      </w:r>
      <w:r w:rsidRPr="00FC6E89">
        <w:rPr>
          <w:rFonts w:ascii="Arial" w:hAnsi="Arial" w:cs="Arial"/>
          <w:color w:val="FF0000"/>
          <w:sz w:val="22"/>
          <w:szCs w:val="22"/>
        </w:rPr>
        <w:t xml:space="preserve"> </w:t>
      </w:r>
    </w:p>
    <w:p w:rsidR="00F96E46" w:rsidRDefault="00F96E46" w:rsidP="00882085">
      <w:pPr>
        <w:jc w:val="both"/>
        <w:rPr>
          <w:rFonts w:ascii="Arial" w:hAnsi="Arial"/>
          <w:b/>
          <w:sz w:val="22"/>
          <w:szCs w:val="22"/>
        </w:rPr>
      </w:pPr>
    </w:p>
    <w:p w:rsidR="006B3655" w:rsidRPr="00FC6E89" w:rsidRDefault="006B3655" w:rsidP="00882085">
      <w:pPr>
        <w:jc w:val="both"/>
        <w:rPr>
          <w:rFonts w:ascii="Arial" w:hAnsi="Arial"/>
          <w:b/>
          <w:sz w:val="22"/>
          <w:szCs w:val="22"/>
        </w:rPr>
      </w:pPr>
    </w:p>
    <w:p w:rsidR="00CE10C4" w:rsidRPr="00FC6E89" w:rsidRDefault="00CE10C4" w:rsidP="00882085">
      <w:pPr>
        <w:pStyle w:val="ListParagraph"/>
        <w:numPr>
          <w:ilvl w:val="0"/>
          <w:numId w:val="25"/>
        </w:numPr>
        <w:jc w:val="both"/>
        <w:rPr>
          <w:rFonts w:ascii="Arial" w:hAnsi="Arial"/>
          <w:b/>
          <w:sz w:val="22"/>
          <w:szCs w:val="22"/>
        </w:rPr>
      </w:pPr>
      <w:r w:rsidRPr="00FC6E89">
        <w:rPr>
          <w:rFonts w:ascii="Arial" w:hAnsi="Arial"/>
          <w:b/>
          <w:sz w:val="22"/>
          <w:szCs w:val="22"/>
        </w:rPr>
        <w:t>Clinical place for the proposed ther</w:t>
      </w:r>
      <w:r w:rsidR="006A12A5" w:rsidRPr="00FC6E89">
        <w:rPr>
          <w:rFonts w:ascii="Arial" w:hAnsi="Arial"/>
          <w:b/>
          <w:sz w:val="22"/>
          <w:szCs w:val="22"/>
        </w:rPr>
        <w:t>apy</w:t>
      </w:r>
    </w:p>
    <w:p w:rsidR="00C35996" w:rsidRPr="00FC6E89" w:rsidRDefault="00C35996" w:rsidP="00C02D16">
      <w:pPr>
        <w:jc w:val="both"/>
        <w:rPr>
          <w:rFonts w:ascii="Arial" w:hAnsi="Arial"/>
          <w:sz w:val="22"/>
          <w:szCs w:val="22"/>
        </w:rPr>
      </w:pPr>
    </w:p>
    <w:p w:rsidR="00C14A6A" w:rsidRPr="00FC6E89" w:rsidRDefault="00C14A6A" w:rsidP="00243655">
      <w:pPr>
        <w:pStyle w:val="ListParagraph"/>
        <w:numPr>
          <w:ilvl w:val="1"/>
          <w:numId w:val="25"/>
        </w:numPr>
        <w:ind w:left="709" w:hanging="709"/>
        <w:jc w:val="both"/>
        <w:rPr>
          <w:rFonts w:ascii="Arial" w:hAnsi="Arial" w:cs="Arial"/>
          <w:sz w:val="22"/>
          <w:szCs w:val="22"/>
        </w:rPr>
      </w:pPr>
      <w:r w:rsidRPr="00FC6E89">
        <w:rPr>
          <w:rFonts w:ascii="Arial" w:hAnsi="Arial" w:cs="Arial"/>
          <w:sz w:val="22"/>
          <w:szCs w:val="22"/>
        </w:rPr>
        <w:t xml:space="preserve">LDX is an alternative </w:t>
      </w:r>
      <w:r w:rsidR="00312E49" w:rsidRPr="00FC6E89">
        <w:rPr>
          <w:rFonts w:ascii="Arial" w:hAnsi="Arial" w:cs="Arial"/>
          <w:sz w:val="22"/>
          <w:szCs w:val="22"/>
        </w:rPr>
        <w:t xml:space="preserve">once </w:t>
      </w:r>
      <w:r w:rsidRPr="00FC6E89">
        <w:rPr>
          <w:rFonts w:ascii="Arial" w:hAnsi="Arial" w:cs="Arial"/>
          <w:sz w:val="22"/>
          <w:szCs w:val="22"/>
        </w:rPr>
        <w:t xml:space="preserve">daily morning </w:t>
      </w:r>
      <w:r w:rsidR="002B30C3" w:rsidRPr="00FC6E89">
        <w:rPr>
          <w:rFonts w:ascii="Arial" w:hAnsi="Arial" w:cs="Arial"/>
          <w:sz w:val="22"/>
          <w:szCs w:val="22"/>
        </w:rPr>
        <w:t>therapy</w:t>
      </w:r>
      <w:r w:rsidR="00312E49" w:rsidRPr="00FC6E89">
        <w:rPr>
          <w:rFonts w:ascii="Arial" w:hAnsi="Arial" w:cs="Arial"/>
          <w:sz w:val="22"/>
          <w:szCs w:val="22"/>
        </w:rPr>
        <w:t xml:space="preserve"> </w:t>
      </w:r>
      <w:r w:rsidRPr="00FC6E89">
        <w:rPr>
          <w:rFonts w:ascii="Arial" w:hAnsi="Arial" w:cs="Arial"/>
          <w:sz w:val="22"/>
          <w:szCs w:val="22"/>
        </w:rPr>
        <w:t xml:space="preserve">for patients with ADHD.  </w:t>
      </w:r>
    </w:p>
    <w:p w:rsidR="00C14A6A" w:rsidRDefault="00C14A6A" w:rsidP="00882085">
      <w:pPr>
        <w:pStyle w:val="Header"/>
        <w:tabs>
          <w:tab w:val="clear" w:pos="4153"/>
          <w:tab w:val="clear" w:pos="8306"/>
        </w:tabs>
        <w:jc w:val="both"/>
        <w:rPr>
          <w:rFonts w:ascii="Arial" w:hAnsi="Arial"/>
          <w:sz w:val="22"/>
          <w:szCs w:val="22"/>
        </w:rPr>
      </w:pPr>
    </w:p>
    <w:p w:rsidR="006B3655" w:rsidRPr="00FC6E89" w:rsidRDefault="006B3655" w:rsidP="00882085">
      <w:pPr>
        <w:pStyle w:val="Header"/>
        <w:tabs>
          <w:tab w:val="clear" w:pos="4153"/>
          <w:tab w:val="clear" w:pos="8306"/>
        </w:tabs>
        <w:jc w:val="both"/>
        <w:rPr>
          <w:rFonts w:ascii="Arial" w:hAnsi="Arial"/>
          <w:sz w:val="22"/>
          <w:szCs w:val="22"/>
        </w:rPr>
      </w:pPr>
    </w:p>
    <w:p w:rsidR="005A3173" w:rsidRPr="00FC6E89" w:rsidRDefault="005A3173" w:rsidP="00882085">
      <w:pPr>
        <w:pStyle w:val="Header"/>
        <w:numPr>
          <w:ilvl w:val="0"/>
          <w:numId w:val="25"/>
        </w:numPr>
        <w:tabs>
          <w:tab w:val="clear" w:pos="4153"/>
          <w:tab w:val="clear" w:pos="8306"/>
        </w:tabs>
        <w:jc w:val="both"/>
        <w:rPr>
          <w:rFonts w:ascii="Arial" w:hAnsi="Arial"/>
          <w:b/>
          <w:sz w:val="22"/>
          <w:szCs w:val="22"/>
        </w:rPr>
      </w:pPr>
      <w:r w:rsidRPr="00FC6E89">
        <w:rPr>
          <w:rFonts w:ascii="Arial" w:hAnsi="Arial"/>
          <w:b/>
          <w:sz w:val="22"/>
          <w:szCs w:val="22"/>
        </w:rPr>
        <w:t>Comparator</w:t>
      </w:r>
    </w:p>
    <w:p w:rsidR="005A305F" w:rsidRPr="00FC6E89" w:rsidRDefault="005A305F" w:rsidP="00392CD7">
      <w:pPr>
        <w:pStyle w:val="Header"/>
        <w:tabs>
          <w:tab w:val="clear" w:pos="4153"/>
          <w:tab w:val="clear" w:pos="8306"/>
        </w:tabs>
        <w:ind w:left="720"/>
        <w:jc w:val="both"/>
        <w:rPr>
          <w:rFonts w:ascii="Arial" w:hAnsi="Arial"/>
          <w:b/>
          <w:sz w:val="22"/>
          <w:szCs w:val="22"/>
        </w:rPr>
      </w:pPr>
    </w:p>
    <w:p w:rsidR="00C14A6A" w:rsidRPr="00893FAF" w:rsidRDefault="00E1684F" w:rsidP="008D447E">
      <w:pPr>
        <w:pStyle w:val="Header"/>
        <w:numPr>
          <w:ilvl w:val="1"/>
          <w:numId w:val="25"/>
        </w:numPr>
        <w:ind w:left="709" w:hanging="709"/>
        <w:jc w:val="both"/>
        <w:rPr>
          <w:rFonts w:ascii="Arial" w:hAnsi="Arial"/>
          <w:sz w:val="22"/>
          <w:szCs w:val="22"/>
        </w:rPr>
      </w:pPr>
      <w:r w:rsidRPr="00893FAF">
        <w:rPr>
          <w:rFonts w:ascii="Arial" w:hAnsi="Arial" w:cs="Arial"/>
          <w:sz w:val="22"/>
          <w:szCs w:val="22"/>
        </w:rPr>
        <w:t xml:space="preserve">The nominated comparators for LDX are MPH-OROS for first line use and placebo for patients who have not demonstrated an adequate response to MPH-OROS but need longer acting treatment.  </w:t>
      </w:r>
      <w:r w:rsidR="00CD3703" w:rsidRPr="00893FAF">
        <w:rPr>
          <w:rFonts w:ascii="Arial" w:hAnsi="Arial" w:cs="Arial"/>
          <w:sz w:val="22"/>
          <w:szCs w:val="22"/>
        </w:rPr>
        <w:t>The ESC did not consider placebo</w:t>
      </w:r>
      <w:r w:rsidRPr="00893FAF">
        <w:rPr>
          <w:rFonts w:ascii="Arial" w:hAnsi="Arial" w:cs="Arial"/>
          <w:sz w:val="22"/>
          <w:szCs w:val="22"/>
        </w:rPr>
        <w:t xml:space="preserve"> an appropriate comparator</w:t>
      </w:r>
      <w:r w:rsidR="00591F06" w:rsidRPr="00893FAF">
        <w:rPr>
          <w:rFonts w:ascii="Arial" w:hAnsi="Arial" w:cs="Arial"/>
          <w:sz w:val="22"/>
          <w:szCs w:val="22"/>
        </w:rPr>
        <w:t xml:space="preserve"> on the basis</w:t>
      </w:r>
      <w:r w:rsidR="00833914" w:rsidRPr="00893FAF">
        <w:rPr>
          <w:rFonts w:ascii="Arial" w:hAnsi="Arial" w:cs="Arial"/>
          <w:sz w:val="22"/>
          <w:szCs w:val="22"/>
        </w:rPr>
        <w:t xml:space="preserve"> </w:t>
      </w:r>
      <w:r w:rsidR="00CD3703" w:rsidRPr="00893FAF">
        <w:rPr>
          <w:rFonts w:ascii="Arial" w:hAnsi="Arial" w:cs="Arial"/>
          <w:sz w:val="22"/>
          <w:szCs w:val="22"/>
        </w:rPr>
        <w:t xml:space="preserve">that it would be highly unlikely for </w:t>
      </w:r>
      <w:r w:rsidRPr="00893FAF">
        <w:rPr>
          <w:rFonts w:ascii="Arial" w:hAnsi="Arial" w:cs="Arial"/>
          <w:sz w:val="22"/>
          <w:szCs w:val="22"/>
        </w:rPr>
        <w:t xml:space="preserve">clinicians </w:t>
      </w:r>
      <w:r w:rsidR="00CD3703" w:rsidRPr="00893FAF">
        <w:rPr>
          <w:rFonts w:ascii="Arial" w:hAnsi="Arial" w:cs="Arial"/>
          <w:sz w:val="22"/>
          <w:szCs w:val="22"/>
        </w:rPr>
        <w:t>to leave patients</w:t>
      </w:r>
      <w:r w:rsidRPr="00893FAF">
        <w:rPr>
          <w:rFonts w:ascii="Arial" w:hAnsi="Arial" w:cs="Arial"/>
          <w:sz w:val="22"/>
          <w:szCs w:val="22"/>
        </w:rPr>
        <w:t xml:space="preserve"> completely untreated in the event that they don’t respond to MPH-OROS. The ESC considered the appropriate comparators for LDX to be DEX (where MPH-OROS could be used as the price reference to account for increased compliance and extended duration of effect compared with DEX) and MPH-OROS</w:t>
      </w:r>
      <w:r w:rsidR="00C14A6A" w:rsidRPr="00893FAF">
        <w:rPr>
          <w:rFonts w:ascii="Arial" w:hAnsi="Arial" w:cs="Arial"/>
          <w:sz w:val="22"/>
          <w:szCs w:val="22"/>
        </w:rPr>
        <w:t>.</w:t>
      </w:r>
      <w:r w:rsidR="00C14A6A" w:rsidRPr="00893FAF">
        <w:rPr>
          <w:rFonts w:ascii="Arial" w:hAnsi="Arial" w:cs="Arial"/>
          <w:color w:val="FF0000"/>
          <w:sz w:val="22"/>
          <w:szCs w:val="22"/>
        </w:rPr>
        <w:t xml:space="preserve"> </w:t>
      </w:r>
    </w:p>
    <w:p w:rsidR="00893FAF" w:rsidRDefault="00893FAF" w:rsidP="00893FAF">
      <w:pPr>
        <w:pStyle w:val="Header"/>
        <w:ind w:left="709"/>
        <w:jc w:val="both"/>
        <w:rPr>
          <w:rFonts w:ascii="Arial" w:hAnsi="Arial"/>
          <w:sz w:val="22"/>
          <w:szCs w:val="22"/>
        </w:rPr>
      </w:pPr>
    </w:p>
    <w:p w:rsidR="006B3655" w:rsidRPr="00893FAF" w:rsidRDefault="006B3655" w:rsidP="00893FAF">
      <w:pPr>
        <w:pStyle w:val="Header"/>
        <w:ind w:left="709"/>
        <w:jc w:val="both"/>
        <w:rPr>
          <w:rFonts w:ascii="Arial" w:hAnsi="Arial"/>
          <w:sz w:val="22"/>
          <w:szCs w:val="22"/>
        </w:rPr>
      </w:pPr>
    </w:p>
    <w:p w:rsidR="00401BC1" w:rsidRPr="00FC6E89" w:rsidRDefault="00401BC1" w:rsidP="00401BC1">
      <w:pPr>
        <w:pStyle w:val="Header"/>
        <w:numPr>
          <w:ilvl w:val="0"/>
          <w:numId w:val="25"/>
        </w:numPr>
        <w:tabs>
          <w:tab w:val="clear" w:pos="4153"/>
          <w:tab w:val="clear" w:pos="8306"/>
        </w:tabs>
        <w:jc w:val="both"/>
        <w:rPr>
          <w:rFonts w:ascii="Arial" w:hAnsi="Arial"/>
          <w:b/>
          <w:sz w:val="22"/>
          <w:szCs w:val="22"/>
        </w:rPr>
      </w:pPr>
      <w:r w:rsidRPr="00FC6E89">
        <w:rPr>
          <w:rFonts w:ascii="Arial" w:hAnsi="Arial"/>
          <w:b/>
          <w:sz w:val="22"/>
          <w:szCs w:val="22"/>
        </w:rPr>
        <w:t>Consideration of the evidence</w:t>
      </w:r>
    </w:p>
    <w:p w:rsidR="006A12A5" w:rsidRPr="00FC6E89" w:rsidRDefault="006A12A5" w:rsidP="00882085">
      <w:pPr>
        <w:jc w:val="both"/>
        <w:rPr>
          <w:rFonts w:ascii="Arial" w:hAnsi="Arial"/>
          <w:b/>
          <w:sz w:val="22"/>
          <w:szCs w:val="22"/>
        </w:rPr>
      </w:pPr>
    </w:p>
    <w:p w:rsidR="00BB7EC3" w:rsidRPr="00FC6E89" w:rsidRDefault="00BB7EC3" w:rsidP="00401BC1">
      <w:pPr>
        <w:jc w:val="both"/>
        <w:rPr>
          <w:rFonts w:ascii="Arial" w:hAnsi="Arial"/>
          <w:b/>
          <w:i/>
          <w:sz w:val="22"/>
          <w:szCs w:val="22"/>
        </w:rPr>
      </w:pPr>
      <w:r w:rsidRPr="00FC6E89">
        <w:rPr>
          <w:rFonts w:ascii="Arial" w:hAnsi="Arial"/>
          <w:b/>
          <w:i/>
          <w:sz w:val="22"/>
          <w:szCs w:val="22"/>
        </w:rPr>
        <w:t>Sponsor hearing</w:t>
      </w:r>
    </w:p>
    <w:p w:rsidR="00401BC1" w:rsidRPr="00FC6E89" w:rsidRDefault="00401BC1" w:rsidP="00401BC1">
      <w:pPr>
        <w:jc w:val="both"/>
        <w:rPr>
          <w:rFonts w:ascii="Arial" w:hAnsi="Arial"/>
          <w:b/>
          <w:i/>
          <w:sz w:val="22"/>
          <w:szCs w:val="22"/>
        </w:rPr>
      </w:pPr>
    </w:p>
    <w:p w:rsidR="00401BC1" w:rsidRPr="00FC6E89" w:rsidRDefault="00401BC1" w:rsidP="00243655">
      <w:pPr>
        <w:pStyle w:val="ListParagraph"/>
        <w:numPr>
          <w:ilvl w:val="1"/>
          <w:numId w:val="25"/>
        </w:numPr>
        <w:ind w:left="709" w:hanging="709"/>
        <w:jc w:val="both"/>
        <w:rPr>
          <w:rFonts w:ascii="Arial" w:hAnsi="Arial"/>
          <w:sz w:val="22"/>
          <w:szCs w:val="22"/>
        </w:rPr>
      </w:pPr>
      <w:r w:rsidRPr="00FC6E89">
        <w:rPr>
          <w:rFonts w:ascii="Arial" w:hAnsi="Arial"/>
          <w:sz w:val="22"/>
          <w:szCs w:val="22"/>
        </w:rPr>
        <w:t>There was no hearing for this item</w:t>
      </w:r>
    </w:p>
    <w:p w:rsidR="00401BC1" w:rsidRPr="00FC6E89" w:rsidRDefault="00401BC1" w:rsidP="00401BC1">
      <w:pPr>
        <w:jc w:val="both"/>
        <w:rPr>
          <w:rFonts w:ascii="Arial" w:hAnsi="Arial"/>
          <w:sz w:val="22"/>
          <w:szCs w:val="22"/>
        </w:rPr>
      </w:pPr>
    </w:p>
    <w:p w:rsidR="00BB7EC3" w:rsidRPr="00FC6E89" w:rsidRDefault="00BB7EC3" w:rsidP="00BB7EC3">
      <w:pPr>
        <w:jc w:val="both"/>
        <w:rPr>
          <w:rFonts w:ascii="Arial" w:hAnsi="Arial"/>
          <w:b/>
          <w:i/>
          <w:sz w:val="22"/>
          <w:szCs w:val="22"/>
        </w:rPr>
      </w:pPr>
      <w:r w:rsidRPr="00FC6E89">
        <w:rPr>
          <w:rFonts w:ascii="Arial" w:hAnsi="Arial"/>
          <w:b/>
          <w:i/>
          <w:sz w:val="22"/>
          <w:szCs w:val="22"/>
        </w:rPr>
        <w:t>Consumer comments</w:t>
      </w:r>
    </w:p>
    <w:p w:rsidR="00A8400E" w:rsidRPr="00FC6E89" w:rsidRDefault="00A8400E" w:rsidP="00A8400E">
      <w:pPr>
        <w:pStyle w:val="ListParagraph"/>
        <w:ind w:left="709"/>
        <w:jc w:val="both"/>
        <w:rPr>
          <w:rFonts w:ascii="Arial" w:hAnsi="Arial"/>
          <w:sz w:val="22"/>
          <w:szCs w:val="22"/>
        </w:rPr>
      </w:pPr>
    </w:p>
    <w:p w:rsidR="002948C0" w:rsidRPr="00FC6E89" w:rsidRDefault="00A8400E" w:rsidP="00243655">
      <w:pPr>
        <w:pStyle w:val="ListParagraph"/>
        <w:numPr>
          <w:ilvl w:val="1"/>
          <w:numId w:val="25"/>
        </w:numPr>
        <w:ind w:left="709" w:hanging="709"/>
        <w:jc w:val="both"/>
        <w:rPr>
          <w:rFonts w:ascii="Arial" w:hAnsi="Arial"/>
          <w:sz w:val="22"/>
          <w:szCs w:val="22"/>
        </w:rPr>
      </w:pPr>
      <w:r w:rsidRPr="00FC6E89">
        <w:rPr>
          <w:rFonts w:ascii="Arial" w:hAnsi="Arial"/>
          <w:sz w:val="22"/>
          <w:szCs w:val="22"/>
        </w:rPr>
        <w:t>T</w:t>
      </w:r>
      <w:r w:rsidR="00BB7EC3" w:rsidRPr="00FC6E89">
        <w:rPr>
          <w:rFonts w:ascii="Arial" w:hAnsi="Arial"/>
          <w:sz w:val="22"/>
          <w:szCs w:val="22"/>
        </w:rPr>
        <w:t>he PBAC noted and welcomed the input from individuals (</w:t>
      </w:r>
      <w:r w:rsidR="00A123C1" w:rsidRPr="00FC6E89">
        <w:rPr>
          <w:rFonts w:ascii="Arial" w:hAnsi="Arial"/>
          <w:sz w:val="22"/>
          <w:szCs w:val="22"/>
        </w:rPr>
        <w:t>7</w:t>
      </w:r>
      <w:r w:rsidR="00BB7EC3" w:rsidRPr="00FC6E89">
        <w:rPr>
          <w:rFonts w:ascii="Arial" w:hAnsi="Arial"/>
          <w:sz w:val="22"/>
          <w:szCs w:val="22"/>
        </w:rPr>
        <w:t>), health care professionals (</w:t>
      </w:r>
      <w:r w:rsidR="00A123C1" w:rsidRPr="00FC6E89">
        <w:rPr>
          <w:rFonts w:ascii="Arial" w:hAnsi="Arial"/>
          <w:sz w:val="22"/>
          <w:szCs w:val="22"/>
        </w:rPr>
        <w:t>22</w:t>
      </w:r>
      <w:r w:rsidR="00BB7EC3" w:rsidRPr="00FC6E89">
        <w:rPr>
          <w:rFonts w:ascii="Arial" w:hAnsi="Arial"/>
          <w:sz w:val="22"/>
          <w:szCs w:val="22"/>
        </w:rPr>
        <w:t>) and organisations (</w:t>
      </w:r>
      <w:r w:rsidR="00A123C1" w:rsidRPr="00FC6E89">
        <w:rPr>
          <w:rFonts w:ascii="Arial" w:hAnsi="Arial"/>
          <w:sz w:val="22"/>
          <w:szCs w:val="22"/>
        </w:rPr>
        <w:t>2</w:t>
      </w:r>
      <w:r w:rsidR="00BB7EC3" w:rsidRPr="00FC6E89">
        <w:rPr>
          <w:rFonts w:ascii="Arial" w:hAnsi="Arial"/>
          <w:sz w:val="22"/>
          <w:szCs w:val="22"/>
        </w:rPr>
        <w:t xml:space="preserve">) via the Consumer Comments facility on the PBS website.  The comments described a range of benefits of treatment with </w:t>
      </w:r>
      <w:proofErr w:type="spellStart"/>
      <w:r w:rsidR="00312E49" w:rsidRPr="00FC6E89">
        <w:rPr>
          <w:rFonts w:ascii="Arial" w:hAnsi="Arial"/>
          <w:sz w:val="22"/>
          <w:szCs w:val="22"/>
        </w:rPr>
        <w:t>l</w:t>
      </w:r>
      <w:r w:rsidR="003376C9" w:rsidRPr="00FC6E89">
        <w:rPr>
          <w:rFonts w:ascii="Arial" w:hAnsi="Arial"/>
          <w:sz w:val="22"/>
          <w:szCs w:val="22"/>
        </w:rPr>
        <w:t>isdexamf</w:t>
      </w:r>
      <w:r w:rsidR="0096633A" w:rsidRPr="00FC6E89">
        <w:rPr>
          <w:rFonts w:ascii="Arial" w:hAnsi="Arial"/>
          <w:sz w:val="22"/>
          <w:szCs w:val="22"/>
        </w:rPr>
        <w:t>e</w:t>
      </w:r>
      <w:r w:rsidR="00A123C1" w:rsidRPr="00FC6E89">
        <w:rPr>
          <w:rFonts w:ascii="Arial" w:hAnsi="Arial"/>
          <w:sz w:val="22"/>
          <w:szCs w:val="22"/>
        </w:rPr>
        <w:t>tamine</w:t>
      </w:r>
      <w:proofErr w:type="spellEnd"/>
      <w:r w:rsidR="00A123C1" w:rsidRPr="00FC6E89">
        <w:rPr>
          <w:rFonts w:ascii="Arial" w:hAnsi="Arial"/>
          <w:sz w:val="22"/>
          <w:szCs w:val="22"/>
        </w:rPr>
        <w:t>, including a significant improvement in children’s overall behaviour</w:t>
      </w:r>
      <w:r w:rsidR="00187B1E" w:rsidRPr="00FC6E89">
        <w:rPr>
          <w:rFonts w:ascii="Arial" w:hAnsi="Arial"/>
          <w:sz w:val="22"/>
          <w:szCs w:val="22"/>
        </w:rPr>
        <w:t>, an</w:t>
      </w:r>
      <w:r w:rsidR="00550174" w:rsidRPr="00FC6E89">
        <w:rPr>
          <w:rFonts w:ascii="Arial" w:hAnsi="Arial"/>
          <w:sz w:val="22"/>
          <w:szCs w:val="22"/>
        </w:rPr>
        <w:t xml:space="preserve"> increased</w:t>
      </w:r>
      <w:r w:rsidR="00187B1E" w:rsidRPr="00FC6E89">
        <w:rPr>
          <w:rFonts w:ascii="Arial" w:hAnsi="Arial"/>
          <w:sz w:val="22"/>
          <w:szCs w:val="22"/>
        </w:rPr>
        <w:t xml:space="preserve"> ability to complete work, a more convenient a</w:t>
      </w:r>
      <w:r w:rsidR="00550174" w:rsidRPr="00FC6E89">
        <w:rPr>
          <w:rFonts w:ascii="Arial" w:hAnsi="Arial"/>
          <w:sz w:val="22"/>
          <w:szCs w:val="22"/>
        </w:rPr>
        <w:t>nd manageable treatment regimen with</w:t>
      </w:r>
      <w:r w:rsidR="00187B1E" w:rsidRPr="00FC6E89">
        <w:rPr>
          <w:rFonts w:ascii="Arial" w:hAnsi="Arial"/>
          <w:sz w:val="22"/>
          <w:szCs w:val="22"/>
        </w:rPr>
        <w:t xml:space="preserve"> fewer</w:t>
      </w:r>
      <w:r w:rsidR="00550174" w:rsidRPr="00FC6E89">
        <w:rPr>
          <w:rFonts w:ascii="Arial" w:hAnsi="Arial"/>
          <w:sz w:val="22"/>
          <w:szCs w:val="22"/>
        </w:rPr>
        <w:t xml:space="preserve"> and</w:t>
      </w:r>
      <w:r w:rsidR="00187B1E" w:rsidRPr="00FC6E89">
        <w:rPr>
          <w:rFonts w:ascii="Arial" w:hAnsi="Arial"/>
          <w:sz w:val="22"/>
          <w:szCs w:val="22"/>
        </w:rPr>
        <w:t xml:space="preserve"> more manageable side effects. The PBAC also noted</w:t>
      </w:r>
      <w:r w:rsidR="00312E49" w:rsidRPr="00FC6E89">
        <w:rPr>
          <w:rFonts w:ascii="Arial" w:hAnsi="Arial"/>
          <w:sz w:val="22"/>
          <w:szCs w:val="22"/>
        </w:rPr>
        <w:t xml:space="preserve"> public concern</w:t>
      </w:r>
      <w:r w:rsidR="00187B1E" w:rsidRPr="00FC6E89">
        <w:rPr>
          <w:rFonts w:ascii="Arial" w:hAnsi="Arial"/>
          <w:sz w:val="22"/>
          <w:szCs w:val="22"/>
        </w:rPr>
        <w:t xml:space="preserve"> that currently </w:t>
      </w:r>
      <w:r w:rsidR="00CD3703" w:rsidRPr="00FC6E89">
        <w:rPr>
          <w:rFonts w:ascii="Arial" w:hAnsi="Arial"/>
          <w:sz w:val="22"/>
          <w:szCs w:val="22"/>
        </w:rPr>
        <w:t xml:space="preserve">using </w:t>
      </w:r>
      <w:r w:rsidR="00187B1E" w:rsidRPr="00FC6E89">
        <w:rPr>
          <w:rFonts w:ascii="Arial" w:hAnsi="Arial"/>
          <w:sz w:val="22"/>
          <w:szCs w:val="22"/>
        </w:rPr>
        <w:t>the medi</w:t>
      </w:r>
      <w:r w:rsidR="00A45AF1" w:rsidRPr="00FC6E89">
        <w:rPr>
          <w:rFonts w:ascii="Arial" w:hAnsi="Arial"/>
          <w:sz w:val="22"/>
          <w:szCs w:val="22"/>
        </w:rPr>
        <w:t>c</w:t>
      </w:r>
      <w:r w:rsidR="00187B1E" w:rsidRPr="00FC6E89">
        <w:rPr>
          <w:rFonts w:ascii="Arial" w:hAnsi="Arial"/>
          <w:sz w:val="22"/>
          <w:szCs w:val="22"/>
        </w:rPr>
        <w:t xml:space="preserve">ation imposes a significant financial strain on families </w:t>
      </w:r>
      <w:r w:rsidR="00312E49" w:rsidRPr="00FC6E89">
        <w:rPr>
          <w:rFonts w:ascii="Arial" w:hAnsi="Arial"/>
          <w:sz w:val="22"/>
          <w:szCs w:val="22"/>
        </w:rPr>
        <w:t xml:space="preserve">accessing it through the private market, </w:t>
      </w:r>
      <w:r w:rsidR="00187B1E" w:rsidRPr="00FC6E89">
        <w:rPr>
          <w:rFonts w:ascii="Arial" w:hAnsi="Arial"/>
          <w:sz w:val="22"/>
          <w:szCs w:val="22"/>
        </w:rPr>
        <w:t>and that the age of diagnosis</w:t>
      </w:r>
      <w:r w:rsidR="00A45AF1" w:rsidRPr="00FC6E89">
        <w:rPr>
          <w:rFonts w:ascii="Arial" w:hAnsi="Arial"/>
          <w:sz w:val="22"/>
          <w:szCs w:val="22"/>
        </w:rPr>
        <w:t xml:space="preserve"> </w:t>
      </w:r>
      <w:r w:rsidR="00550174" w:rsidRPr="00FC6E89">
        <w:rPr>
          <w:rFonts w:ascii="Arial" w:hAnsi="Arial"/>
          <w:sz w:val="22"/>
          <w:szCs w:val="22"/>
        </w:rPr>
        <w:t xml:space="preserve">potentially discriminates </w:t>
      </w:r>
      <w:r w:rsidR="00187B1E" w:rsidRPr="00FC6E89">
        <w:rPr>
          <w:rFonts w:ascii="Arial" w:hAnsi="Arial"/>
          <w:sz w:val="22"/>
          <w:szCs w:val="22"/>
        </w:rPr>
        <w:t xml:space="preserve">against those who fail to get </w:t>
      </w:r>
      <w:r w:rsidR="00312E49" w:rsidRPr="00FC6E89">
        <w:rPr>
          <w:rFonts w:ascii="Arial" w:hAnsi="Arial"/>
          <w:sz w:val="22"/>
          <w:szCs w:val="22"/>
        </w:rPr>
        <w:t>appropriately</w:t>
      </w:r>
      <w:r w:rsidR="00187B1E" w:rsidRPr="00FC6E89">
        <w:rPr>
          <w:rFonts w:ascii="Arial" w:hAnsi="Arial"/>
          <w:sz w:val="22"/>
          <w:szCs w:val="22"/>
        </w:rPr>
        <w:t xml:space="preserve"> diagnos</w:t>
      </w:r>
      <w:r w:rsidR="00312E49" w:rsidRPr="00FC6E89">
        <w:rPr>
          <w:rFonts w:ascii="Arial" w:hAnsi="Arial"/>
          <w:sz w:val="22"/>
          <w:szCs w:val="22"/>
        </w:rPr>
        <w:t>ed</w:t>
      </w:r>
      <w:r w:rsidR="00187B1E" w:rsidRPr="00FC6E89">
        <w:rPr>
          <w:rFonts w:ascii="Arial" w:hAnsi="Arial"/>
          <w:sz w:val="22"/>
          <w:szCs w:val="22"/>
        </w:rPr>
        <w:t xml:space="preserve"> in the required timeframe. </w:t>
      </w:r>
      <w:r w:rsidRPr="00FC6E89">
        <w:rPr>
          <w:rFonts w:ascii="Arial" w:hAnsi="Arial"/>
          <w:sz w:val="22"/>
          <w:szCs w:val="22"/>
        </w:rPr>
        <w:t>This medication was also noted as not easily able to be diverted to others and therefore is less attractive to recreational drug users.</w:t>
      </w:r>
    </w:p>
    <w:p w:rsidR="002B30C3" w:rsidRDefault="002B30C3" w:rsidP="002B30C3">
      <w:pPr>
        <w:pStyle w:val="ListParagraph"/>
        <w:ind w:left="709"/>
        <w:jc w:val="both"/>
        <w:rPr>
          <w:rFonts w:ascii="Arial" w:hAnsi="Arial"/>
          <w:sz w:val="22"/>
          <w:szCs w:val="22"/>
        </w:rPr>
      </w:pPr>
    </w:p>
    <w:p w:rsidR="002948C0" w:rsidRPr="00FC6E89" w:rsidRDefault="002948C0" w:rsidP="002948C0">
      <w:pPr>
        <w:ind w:firstLine="709"/>
        <w:jc w:val="both"/>
        <w:rPr>
          <w:rFonts w:ascii="Arial" w:hAnsi="Arial"/>
          <w:i/>
          <w:sz w:val="22"/>
          <w:szCs w:val="22"/>
        </w:rPr>
      </w:pPr>
      <w:r w:rsidRPr="00FC6E89">
        <w:rPr>
          <w:rFonts w:ascii="Arial" w:hAnsi="Arial"/>
          <w:i/>
          <w:sz w:val="22"/>
          <w:szCs w:val="22"/>
        </w:rPr>
        <w:t>For more detail on PBAC’s view, see section 7 “PBAC outcome”</w:t>
      </w:r>
    </w:p>
    <w:p w:rsidR="002948C0" w:rsidRDefault="002948C0" w:rsidP="002948C0">
      <w:pPr>
        <w:jc w:val="both"/>
        <w:rPr>
          <w:rFonts w:ascii="Arial" w:hAnsi="Arial"/>
          <w:b/>
          <w:i/>
          <w:sz w:val="22"/>
          <w:szCs w:val="22"/>
        </w:rPr>
      </w:pPr>
    </w:p>
    <w:p w:rsidR="007C5C6B" w:rsidRPr="00FC6E89" w:rsidRDefault="007C5C6B" w:rsidP="002948C0">
      <w:pPr>
        <w:jc w:val="both"/>
        <w:rPr>
          <w:rFonts w:ascii="Arial" w:hAnsi="Arial"/>
          <w:b/>
          <w:i/>
          <w:sz w:val="22"/>
          <w:szCs w:val="22"/>
        </w:rPr>
      </w:pPr>
    </w:p>
    <w:p w:rsidR="002948C0" w:rsidRPr="00FC6E89" w:rsidRDefault="002948C0" w:rsidP="002948C0">
      <w:pPr>
        <w:jc w:val="both"/>
        <w:rPr>
          <w:rFonts w:ascii="Arial" w:hAnsi="Arial"/>
          <w:b/>
          <w:i/>
          <w:sz w:val="22"/>
          <w:szCs w:val="22"/>
        </w:rPr>
      </w:pPr>
      <w:r w:rsidRPr="00FC6E89">
        <w:rPr>
          <w:rFonts w:ascii="Arial" w:hAnsi="Arial"/>
          <w:b/>
          <w:i/>
          <w:sz w:val="22"/>
          <w:szCs w:val="22"/>
        </w:rPr>
        <w:t>Clinical trials</w:t>
      </w:r>
    </w:p>
    <w:p w:rsidR="00A8400E" w:rsidRPr="00FC6E89" w:rsidRDefault="00A8400E" w:rsidP="00A8400E">
      <w:pPr>
        <w:pStyle w:val="ListParagraph"/>
        <w:ind w:left="709"/>
        <w:jc w:val="both"/>
        <w:rPr>
          <w:rFonts w:ascii="Arial" w:hAnsi="Arial"/>
          <w:sz w:val="22"/>
          <w:szCs w:val="22"/>
        </w:rPr>
      </w:pPr>
    </w:p>
    <w:p w:rsidR="00A8400E" w:rsidRPr="00FC6E89" w:rsidRDefault="00CD3703" w:rsidP="00243655">
      <w:pPr>
        <w:pStyle w:val="ListParagraph"/>
        <w:numPr>
          <w:ilvl w:val="1"/>
          <w:numId w:val="25"/>
        </w:numPr>
        <w:ind w:left="709" w:hanging="709"/>
        <w:jc w:val="both"/>
        <w:rPr>
          <w:rFonts w:ascii="Arial" w:hAnsi="Arial"/>
          <w:sz w:val="22"/>
          <w:szCs w:val="22"/>
        </w:rPr>
      </w:pPr>
      <w:r w:rsidRPr="00FC6E89">
        <w:rPr>
          <w:rFonts w:ascii="Arial" w:hAnsi="Arial" w:cs="Arial"/>
          <w:sz w:val="22"/>
          <w:szCs w:val="22"/>
        </w:rPr>
        <w:t>The trials included in the submission are listed below</w:t>
      </w:r>
      <w:r w:rsidR="00A8400E" w:rsidRPr="00FC6E89">
        <w:rPr>
          <w:rFonts w:ascii="Arial" w:hAnsi="Arial" w:cs="Arial"/>
          <w:sz w:val="22"/>
          <w:szCs w:val="22"/>
        </w:rPr>
        <w:t>:</w:t>
      </w:r>
      <w:r w:rsidR="00E17643" w:rsidRPr="00FC6E89">
        <w:rPr>
          <w:rFonts w:ascii="Arial" w:hAnsi="Arial" w:cs="Arial"/>
          <w:b/>
          <w:sz w:val="20"/>
          <w:szCs w:val="20"/>
        </w:rPr>
        <w:t xml:space="preserve"> </w:t>
      </w:r>
    </w:p>
    <w:p w:rsidR="007C5C6B" w:rsidRDefault="007C5C6B" w:rsidP="00FC6E89">
      <w:pPr>
        <w:tabs>
          <w:tab w:val="left" w:pos="1860"/>
        </w:tabs>
        <w:rPr>
          <w:rFonts w:ascii="Arial Narrow" w:hAnsi="Arial Narrow" w:cs="Arial"/>
          <w:b/>
          <w:sz w:val="20"/>
          <w:szCs w:val="20"/>
        </w:rPr>
      </w:pPr>
    </w:p>
    <w:p w:rsidR="00A738DA" w:rsidRDefault="00A738DA" w:rsidP="00FC6E89">
      <w:pPr>
        <w:tabs>
          <w:tab w:val="left" w:pos="1860"/>
        </w:tabs>
        <w:rPr>
          <w:rFonts w:ascii="Arial Narrow" w:hAnsi="Arial Narrow" w:cs="Arial"/>
          <w:b/>
          <w:sz w:val="20"/>
          <w:szCs w:val="20"/>
        </w:rPr>
      </w:pPr>
    </w:p>
    <w:tbl>
      <w:tblPr>
        <w:tblW w:w="836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Description w:val="trials included in the submission"/>
      </w:tblPr>
      <w:tblGrid>
        <w:gridCol w:w="1276"/>
        <w:gridCol w:w="5103"/>
        <w:gridCol w:w="1985"/>
      </w:tblGrid>
      <w:tr w:rsidR="00A8400E" w:rsidRPr="004D3474" w:rsidTr="00BE5144">
        <w:tc>
          <w:tcPr>
            <w:tcW w:w="1276" w:type="dxa"/>
          </w:tcPr>
          <w:p w:rsidR="00A8400E" w:rsidRPr="004D3474" w:rsidRDefault="00A8400E" w:rsidP="009061DF">
            <w:pPr>
              <w:rPr>
                <w:rFonts w:ascii="Arial Narrow" w:hAnsi="Arial Narrow" w:cs="Arial"/>
                <w:b/>
                <w:sz w:val="20"/>
                <w:szCs w:val="20"/>
              </w:rPr>
            </w:pPr>
            <w:r w:rsidRPr="004D3474">
              <w:rPr>
                <w:rFonts w:ascii="Arial Narrow" w:hAnsi="Arial Narrow" w:cs="Arial"/>
                <w:b/>
                <w:sz w:val="20"/>
                <w:szCs w:val="20"/>
              </w:rPr>
              <w:t>Trial</w:t>
            </w:r>
          </w:p>
        </w:tc>
        <w:tc>
          <w:tcPr>
            <w:tcW w:w="5103" w:type="dxa"/>
          </w:tcPr>
          <w:p w:rsidR="00A8400E" w:rsidRPr="004D3474" w:rsidRDefault="00A8400E" w:rsidP="009061DF">
            <w:pPr>
              <w:jc w:val="center"/>
              <w:rPr>
                <w:rFonts w:ascii="Arial Narrow" w:hAnsi="Arial Narrow" w:cs="Arial"/>
                <w:b/>
                <w:sz w:val="20"/>
                <w:szCs w:val="20"/>
              </w:rPr>
            </w:pPr>
            <w:r w:rsidRPr="004D3474">
              <w:rPr>
                <w:rFonts w:ascii="Arial Narrow" w:hAnsi="Arial Narrow" w:cs="Arial"/>
                <w:b/>
                <w:sz w:val="20"/>
                <w:szCs w:val="20"/>
              </w:rPr>
              <w:t>Protocol title/ Publication title</w:t>
            </w:r>
          </w:p>
        </w:tc>
        <w:tc>
          <w:tcPr>
            <w:tcW w:w="1985" w:type="dxa"/>
          </w:tcPr>
          <w:p w:rsidR="00A8400E" w:rsidRPr="004D3474" w:rsidRDefault="00A8400E" w:rsidP="009061DF">
            <w:pPr>
              <w:jc w:val="center"/>
              <w:rPr>
                <w:rFonts w:ascii="Arial Narrow" w:hAnsi="Arial Narrow" w:cs="Arial"/>
                <w:b/>
                <w:sz w:val="20"/>
                <w:szCs w:val="20"/>
              </w:rPr>
            </w:pPr>
            <w:r w:rsidRPr="004D3474">
              <w:rPr>
                <w:rFonts w:ascii="Arial Narrow" w:hAnsi="Arial Narrow" w:cs="Arial"/>
                <w:b/>
                <w:sz w:val="20"/>
                <w:szCs w:val="20"/>
              </w:rPr>
              <w:t>Publication citation</w:t>
            </w:r>
          </w:p>
        </w:tc>
      </w:tr>
      <w:tr w:rsidR="00A8400E" w:rsidRPr="004D3474" w:rsidTr="00BE5144">
        <w:tc>
          <w:tcPr>
            <w:tcW w:w="8364" w:type="dxa"/>
            <w:gridSpan w:val="3"/>
          </w:tcPr>
          <w:p w:rsidR="00A8400E" w:rsidRPr="004D3474" w:rsidRDefault="00A8400E" w:rsidP="009061DF">
            <w:pPr>
              <w:rPr>
                <w:rFonts w:ascii="Arial Narrow" w:hAnsi="Arial Narrow" w:cs="Arial"/>
                <w:b/>
                <w:sz w:val="20"/>
                <w:szCs w:val="20"/>
              </w:rPr>
            </w:pPr>
            <w:r w:rsidRPr="004D3474">
              <w:rPr>
                <w:rFonts w:ascii="Arial Narrow" w:hAnsi="Arial Narrow" w:cs="Arial"/>
                <w:b/>
                <w:sz w:val="20"/>
                <w:szCs w:val="20"/>
              </w:rPr>
              <w:t>Direct randomised trials</w:t>
            </w:r>
          </w:p>
          <w:p w:rsidR="00A8400E" w:rsidRPr="004D3474" w:rsidRDefault="00A8400E" w:rsidP="009061DF">
            <w:pPr>
              <w:rPr>
                <w:rFonts w:ascii="Arial Narrow" w:hAnsi="Arial Narrow" w:cs="Arial"/>
                <w:b/>
                <w:sz w:val="20"/>
                <w:szCs w:val="20"/>
              </w:rPr>
            </w:pPr>
            <w:r w:rsidRPr="004D3474">
              <w:rPr>
                <w:rFonts w:ascii="Arial Narrow" w:hAnsi="Arial Narrow" w:cs="Arial"/>
                <w:b/>
                <w:sz w:val="20"/>
                <w:szCs w:val="20"/>
              </w:rPr>
              <w:t>LDX vs MPH-OROS (main comparison)</w:t>
            </w:r>
          </w:p>
        </w:tc>
      </w:tr>
      <w:tr w:rsidR="00A8400E" w:rsidRPr="004D3474" w:rsidTr="00BE5144">
        <w:trPr>
          <w:trHeight w:val="270"/>
        </w:trPr>
        <w:tc>
          <w:tcPr>
            <w:tcW w:w="1276" w:type="dxa"/>
            <w:tcBorders>
              <w:bottom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b/>
                <w:sz w:val="20"/>
                <w:szCs w:val="20"/>
              </w:rPr>
              <w:t>SPD489-325</w:t>
            </w:r>
          </w:p>
        </w:tc>
        <w:tc>
          <w:tcPr>
            <w:tcW w:w="5103" w:type="dxa"/>
            <w:tcBorders>
              <w:bottom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 xml:space="preserve">A Phase III, Randomised, Double-Blind, Multicentre, Parallel-Group, Placebo- and Active-Controlled, Dose-Optimisation Safety and </w:t>
            </w:r>
            <w:r w:rsidRPr="004D3474">
              <w:rPr>
                <w:rFonts w:ascii="Arial Narrow" w:hAnsi="Arial Narrow" w:cs="Arial"/>
                <w:sz w:val="20"/>
                <w:szCs w:val="20"/>
              </w:rPr>
              <w:lastRenderedPageBreak/>
              <w:t xml:space="preserve">Efficacy Study of </w:t>
            </w:r>
            <w:proofErr w:type="spellStart"/>
            <w:r w:rsidRPr="004D3474">
              <w:rPr>
                <w:rFonts w:ascii="Arial Narrow" w:hAnsi="Arial Narrow" w:cs="Arial"/>
                <w:sz w:val="20"/>
                <w:szCs w:val="20"/>
              </w:rPr>
              <w:t>Lisdexamfetamine</w:t>
            </w:r>
            <w:proofErr w:type="spellEnd"/>
            <w:r w:rsidRPr="004D3474">
              <w:rPr>
                <w:rFonts w:ascii="Arial Narrow" w:hAnsi="Arial Narrow" w:cs="Arial"/>
                <w:sz w:val="20"/>
                <w:szCs w:val="20"/>
              </w:rPr>
              <w:t xml:space="preserve"> </w:t>
            </w:r>
            <w:proofErr w:type="spellStart"/>
            <w:r w:rsidRPr="004D3474">
              <w:rPr>
                <w:rFonts w:ascii="Arial Narrow" w:hAnsi="Arial Narrow" w:cs="Arial"/>
                <w:sz w:val="20"/>
                <w:szCs w:val="20"/>
              </w:rPr>
              <w:t>Dimesylate</w:t>
            </w:r>
            <w:proofErr w:type="spellEnd"/>
            <w:r w:rsidRPr="004D3474">
              <w:rPr>
                <w:rFonts w:ascii="Arial Narrow" w:hAnsi="Arial Narrow" w:cs="Arial"/>
                <w:sz w:val="20"/>
                <w:szCs w:val="20"/>
              </w:rPr>
              <w:t xml:space="preserve"> (LDX) in Children and Adolescents Aged 6-17 With Attention-Deficit/Hyperactivity Disorder (ADHD)</w:t>
            </w:r>
          </w:p>
        </w:tc>
        <w:tc>
          <w:tcPr>
            <w:tcW w:w="1985" w:type="dxa"/>
            <w:tcBorders>
              <w:bottom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lastRenderedPageBreak/>
              <w:t>19 August 2011</w:t>
            </w:r>
          </w:p>
        </w:tc>
      </w:tr>
      <w:tr w:rsidR="00A8400E" w:rsidRPr="004D3474" w:rsidTr="00BE5144">
        <w:trPr>
          <w:trHeight w:val="874"/>
        </w:trPr>
        <w:tc>
          <w:tcPr>
            <w:tcW w:w="1276" w:type="dxa"/>
            <w:tcBorders>
              <w:top w:val="dotted" w:sz="4" w:space="0" w:color="auto"/>
              <w:bottom w:val="dotted" w:sz="4" w:space="0" w:color="auto"/>
            </w:tcBorders>
          </w:tcPr>
          <w:p w:rsidR="00A8400E" w:rsidRPr="004D3474" w:rsidRDefault="00A8400E" w:rsidP="009061DF">
            <w:pPr>
              <w:rPr>
                <w:rFonts w:ascii="Arial Narrow" w:hAnsi="Arial Narrow" w:cs="Arial"/>
                <w:b/>
                <w:sz w:val="20"/>
                <w:szCs w:val="20"/>
              </w:rPr>
            </w:pPr>
            <w:proofErr w:type="spellStart"/>
            <w:r w:rsidRPr="004D3474">
              <w:rPr>
                <w:rFonts w:ascii="Arial Narrow" w:hAnsi="Arial Narrow" w:cs="Arial"/>
                <w:sz w:val="20"/>
                <w:szCs w:val="20"/>
              </w:rPr>
              <w:lastRenderedPageBreak/>
              <w:t>Coghill</w:t>
            </w:r>
            <w:proofErr w:type="spellEnd"/>
            <w:r w:rsidRPr="004D3474">
              <w:rPr>
                <w:rFonts w:ascii="Arial Narrow" w:hAnsi="Arial Narrow" w:cs="Arial"/>
                <w:sz w:val="20"/>
                <w:szCs w:val="20"/>
              </w:rPr>
              <w:t xml:space="preserve"> et al </w:t>
            </w:r>
          </w:p>
        </w:tc>
        <w:tc>
          <w:tcPr>
            <w:tcW w:w="5103" w:type="dxa"/>
            <w:tcBorders>
              <w:top w:val="dotted" w:sz="4" w:space="0" w:color="auto"/>
              <w:bottom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 xml:space="preserve">European, randomized, phase 3 study of </w:t>
            </w:r>
            <w:proofErr w:type="spellStart"/>
            <w:r w:rsidRPr="004D3474">
              <w:rPr>
                <w:rFonts w:ascii="Arial Narrow" w:hAnsi="Arial Narrow" w:cs="Arial"/>
                <w:sz w:val="20"/>
                <w:szCs w:val="20"/>
              </w:rPr>
              <w:t>Lisdexamfetamine</w:t>
            </w:r>
            <w:proofErr w:type="spellEnd"/>
            <w:r w:rsidRPr="004D3474">
              <w:rPr>
                <w:rFonts w:ascii="Arial Narrow" w:hAnsi="Arial Narrow" w:cs="Arial"/>
                <w:sz w:val="20"/>
                <w:szCs w:val="20"/>
              </w:rPr>
              <w:t xml:space="preserve"> </w:t>
            </w:r>
            <w:proofErr w:type="spellStart"/>
            <w:r w:rsidRPr="004D3474">
              <w:rPr>
                <w:rFonts w:ascii="Arial Narrow" w:hAnsi="Arial Narrow" w:cs="Arial"/>
                <w:sz w:val="20"/>
                <w:szCs w:val="20"/>
              </w:rPr>
              <w:t>dimesylate</w:t>
            </w:r>
            <w:proofErr w:type="spellEnd"/>
            <w:r w:rsidRPr="004D3474">
              <w:rPr>
                <w:rFonts w:ascii="Arial Narrow" w:hAnsi="Arial Narrow" w:cs="Arial"/>
                <w:sz w:val="20"/>
                <w:szCs w:val="20"/>
              </w:rPr>
              <w:t xml:space="preserve"> in children and adolescents with attention-deficit/hyperactivity disorder.</w:t>
            </w:r>
          </w:p>
        </w:tc>
        <w:tc>
          <w:tcPr>
            <w:tcW w:w="1985" w:type="dxa"/>
            <w:tcBorders>
              <w:top w:val="dotted" w:sz="4" w:space="0" w:color="auto"/>
              <w:bottom w:val="dotted" w:sz="4" w:space="0" w:color="auto"/>
            </w:tcBorders>
          </w:tcPr>
          <w:p w:rsidR="00A213C4" w:rsidRDefault="00A8400E" w:rsidP="00A213C4">
            <w:pPr>
              <w:pStyle w:val="CommentText"/>
            </w:pPr>
            <w:r w:rsidRPr="004D3474">
              <w:rPr>
                <w:rFonts w:ascii="Arial Narrow" w:hAnsi="Arial Narrow" w:cs="Arial"/>
              </w:rPr>
              <w:t xml:space="preserve">European </w:t>
            </w:r>
            <w:proofErr w:type="spellStart"/>
            <w:r w:rsidRPr="004D3474">
              <w:rPr>
                <w:rFonts w:ascii="Arial Narrow" w:hAnsi="Arial Narrow" w:cs="Arial"/>
              </w:rPr>
              <w:t>Neuropsychopharmacology</w:t>
            </w:r>
            <w:proofErr w:type="spellEnd"/>
            <w:r w:rsidRPr="004D3474">
              <w:rPr>
                <w:rFonts w:ascii="Arial Narrow" w:hAnsi="Arial Narrow" w:cs="Arial"/>
              </w:rPr>
              <w:t>, 2013</w:t>
            </w:r>
            <w:r w:rsidR="00A213C4">
              <w:rPr>
                <w:rFonts w:ascii="Arial Narrow" w:hAnsi="Arial Narrow" w:cs="Arial"/>
              </w:rPr>
              <w:t xml:space="preserve">; </w:t>
            </w:r>
            <w:r w:rsidR="00A213C4">
              <w:t>23(10):1208-18.</w:t>
            </w:r>
          </w:p>
          <w:p w:rsidR="00A8400E" w:rsidRPr="00136DB8" w:rsidRDefault="00136DB8" w:rsidP="00A213C4">
            <w:pPr>
              <w:rPr>
                <w:rFonts w:ascii="Arial Narrow" w:hAnsi="Arial Narrow" w:cs="Arial"/>
                <w:sz w:val="20"/>
                <w:szCs w:val="20"/>
                <w:highlight w:val="black"/>
              </w:rPr>
            </w:pPr>
            <w:r>
              <w:rPr>
                <w:rFonts w:ascii="Arial Narrow" w:hAnsi="Arial Narrow" w:cs="Arial"/>
                <w:noProof/>
                <w:color w:val="000000"/>
                <w:sz w:val="20"/>
                <w:szCs w:val="20"/>
                <w:highlight w:val="black"/>
              </w:rPr>
              <w:t>'''''''''''''''''''''''''''''''''''''''''''''''''''''''''''''''''''''''''''''''''''''''''''''''''''''''''''''' '''''' '''''''''''''''' '''''''' '''''''''''''''''''''''''''</w:t>
            </w:r>
          </w:p>
        </w:tc>
      </w:tr>
      <w:tr w:rsidR="00A8400E" w:rsidRPr="004D3474" w:rsidTr="00BE5144">
        <w:trPr>
          <w:trHeight w:val="874"/>
        </w:trPr>
        <w:tc>
          <w:tcPr>
            <w:tcW w:w="1276" w:type="dxa"/>
            <w:tcBorders>
              <w:top w:val="dotted" w:sz="4" w:space="0" w:color="auto"/>
              <w:bottom w:val="dotted" w:sz="4" w:space="0" w:color="auto"/>
            </w:tcBorders>
          </w:tcPr>
          <w:p w:rsidR="00A8400E" w:rsidRPr="004D3474" w:rsidRDefault="00A8400E" w:rsidP="009061DF">
            <w:pPr>
              <w:rPr>
                <w:rFonts w:ascii="Arial Narrow" w:hAnsi="Arial Narrow" w:cs="Arial"/>
                <w:sz w:val="20"/>
                <w:szCs w:val="20"/>
              </w:rPr>
            </w:pPr>
            <w:proofErr w:type="spellStart"/>
            <w:r w:rsidRPr="004D3474">
              <w:rPr>
                <w:rFonts w:ascii="Arial Narrow" w:hAnsi="Arial Narrow" w:cs="Arial"/>
                <w:sz w:val="20"/>
                <w:szCs w:val="20"/>
              </w:rPr>
              <w:t>Coghill</w:t>
            </w:r>
            <w:proofErr w:type="spellEnd"/>
            <w:r w:rsidRPr="004D3474">
              <w:rPr>
                <w:rFonts w:ascii="Arial Narrow" w:hAnsi="Arial Narrow" w:cs="Arial"/>
                <w:sz w:val="20"/>
                <w:szCs w:val="20"/>
              </w:rPr>
              <w:t xml:space="preserve"> et al </w:t>
            </w:r>
          </w:p>
        </w:tc>
        <w:tc>
          <w:tcPr>
            <w:tcW w:w="5103" w:type="dxa"/>
            <w:tcBorders>
              <w:top w:val="dotted" w:sz="4" w:space="0" w:color="auto"/>
              <w:bottom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 xml:space="preserve">Post hoc comparison of the efficacy of </w:t>
            </w:r>
            <w:proofErr w:type="spellStart"/>
            <w:r w:rsidRPr="004D3474">
              <w:rPr>
                <w:rFonts w:ascii="Arial Narrow" w:hAnsi="Arial Narrow" w:cs="Arial"/>
                <w:sz w:val="20"/>
                <w:szCs w:val="20"/>
              </w:rPr>
              <w:t>lisdexamfetamine</w:t>
            </w:r>
            <w:proofErr w:type="spellEnd"/>
            <w:r w:rsidRPr="004D3474">
              <w:rPr>
                <w:rFonts w:ascii="Arial Narrow" w:hAnsi="Arial Narrow" w:cs="Arial"/>
                <w:sz w:val="20"/>
                <w:szCs w:val="20"/>
              </w:rPr>
              <w:t xml:space="preserve"> </w:t>
            </w:r>
            <w:proofErr w:type="spellStart"/>
            <w:r w:rsidRPr="004D3474">
              <w:rPr>
                <w:rFonts w:ascii="Arial Narrow" w:hAnsi="Arial Narrow" w:cs="Arial"/>
                <w:sz w:val="20"/>
                <w:szCs w:val="20"/>
              </w:rPr>
              <w:t>dimesylate</w:t>
            </w:r>
            <w:proofErr w:type="spellEnd"/>
            <w:r w:rsidRPr="004D3474">
              <w:rPr>
                <w:rFonts w:ascii="Arial Narrow" w:hAnsi="Arial Narrow" w:cs="Arial"/>
                <w:sz w:val="20"/>
                <w:szCs w:val="20"/>
              </w:rPr>
              <w:t xml:space="preserve"> and osmotic release oral system </w:t>
            </w:r>
            <w:proofErr w:type="spellStart"/>
            <w:r w:rsidRPr="004D3474">
              <w:rPr>
                <w:rFonts w:ascii="Arial Narrow" w:hAnsi="Arial Narrow" w:cs="Arial"/>
                <w:sz w:val="20"/>
                <w:szCs w:val="20"/>
              </w:rPr>
              <w:t>methlyphenidate</w:t>
            </w:r>
            <w:proofErr w:type="spellEnd"/>
            <w:r w:rsidRPr="004D3474">
              <w:rPr>
                <w:rFonts w:ascii="Arial Narrow" w:hAnsi="Arial Narrow" w:cs="Arial"/>
                <w:sz w:val="20"/>
                <w:szCs w:val="20"/>
              </w:rPr>
              <w:t xml:space="preserve"> in children and adolescents with ADHD. </w:t>
            </w:r>
          </w:p>
        </w:tc>
        <w:tc>
          <w:tcPr>
            <w:tcW w:w="1985" w:type="dxa"/>
            <w:tcBorders>
              <w:top w:val="dotted" w:sz="4" w:space="0" w:color="auto"/>
              <w:bottom w:val="dotted" w:sz="4" w:space="0" w:color="auto"/>
            </w:tcBorders>
          </w:tcPr>
          <w:p w:rsidR="00A8400E" w:rsidRPr="004D3474" w:rsidRDefault="00A8400E" w:rsidP="009061DF">
            <w:pPr>
              <w:rPr>
                <w:rFonts w:ascii="Arial Narrow" w:hAnsi="Arial Narrow" w:cs="Arial"/>
                <w:sz w:val="20"/>
                <w:szCs w:val="20"/>
              </w:rPr>
            </w:pPr>
            <w:proofErr w:type="spellStart"/>
            <w:r w:rsidRPr="004D3474">
              <w:rPr>
                <w:rFonts w:ascii="Arial Narrow" w:hAnsi="Arial Narrow" w:cs="Arial"/>
                <w:sz w:val="20"/>
                <w:szCs w:val="20"/>
              </w:rPr>
              <w:t>Eur</w:t>
            </w:r>
            <w:proofErr w:type="spellEnd"/>
            <w:r w:rsidRPr="004D3474">
              <w:rPr>
                <w:rFonts w:ascii="Arial Narrow" w:hAnsi="Arial Narrow" w:cs="Arial"/>
                <w:sz w:val="20"/>
                <w:szCs w:val="20"/>
              </w:rPr>
              <w:t xml:space="preserve"> Psychiatry 2013c</w:t>
            </w:r>
            <w:proofErr w:type="gramStart"/>
            <w:r w:rsidRPr="004D3474">
              <w:rPr>
                <w:rFonts w:ascii="Arial Narrow" w:hAnsi="Arial Narrow" w:cs="Arial"/>
                <w:sz w:val="20"/>
                <w:szCs w:val="20"/>
              </w:rPr>
              <w:t>;28</w:t>
            </w:r>
            <w:proofErr w:type="gramEnd"/>
            <w:r w:rsidRPr="004D3474">
              <w:rPr>
                <w:rFonts w:ascii="Arial Narrow" w:hAnsi="Arial Narrow" w:cs="Arial"/>
                <w:sz w:val="20"/>
                <w:szCs w:val="20"/>
              </w:rPr>
              <w:t>.</w:t>
            </w:r>
          </w:p>
        </w:tc>
      </w:tr>
      <w:tr w:rsidR="00A8400E" w:rsidRPr="004D3474" w:rsidTr="00BE5144">
        <w:tc>
          <w:tcPr>
            <w:tcW w:w="1276" w:type="dxa"/>
            <w:tcBorders>
              <w:top w:val="dotted" w:sz="4" w:space="0" w:color="auto"/>
            </w:tcBorders>
          </w:tcPr>
          <w:p w:rsidR="00A8400E" w:rsidRPr="004D3474" w:rsidRDefault="00A8400E" w:rsidP="009061DF">
            <w:pPr>
              <w:rPr>
                <w:rFonts w:ascii="Arial Narrow" w:hAnsi="Arial Narrow" w:cs="Arial"/>
                <w:sz w:val="20"/>
                <w:szCs w:val="20"/>
              </w:rPr>
            </w:pPr>
            <w:proofErr w:type="spellStart"/>
            <w:r w:rsidRPr="004D3474">
              <w:rPr>
                <w:rFonts w:ascii="Arial Narrow" w:hAnsi="Arial Narrow" w:cs="Arial"/>
                <w:sz w:val="20"/>
                <w:szCs w:val="20"/>
              </w:rPr>
              <w:t>Zuddas</w:t>
            </w:r>
            <w:proofErr w:type="spellEnd"/>
            <w:r w:rsidRPr="004D3474">
              <w:rPr>
                <w:rFonts w:ascii="Arial Narrow" w:hAnsi="Arial Narrow" w:cs="Arial"/>
                <w:sz w:val="20"/>
                <w:szCs w:val="20"/>
              </w:rPr>
              <w:t xml:space="preserve"> et al</w:t>
            </w:r>
          </w:p>
        </w:tc>
        <w:tc>
          <w:tcPr>
            <w:tcW w:w="5103" w:type="dxa"/>
            <w:tcBorders>
              <w:top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 xml:space="preserve">Clinical efficacy of </w:t>
            </w:r>
            <w:proofErr w:type="spellStart"/>
            <w:r w:rsidRPr="004D3474">
              <w:rPr>
                <w:rFonts w:ascii="Arial Narrow" w:hAnsi="Arial Narrow" w:cs="Arial"/>
                <w:sz w:val="20"/>
                <w:szCs w:val="20"/>
              </w:rPr>
              <w:t>lisdexamfetamine</w:t>
            </w:r>
            <w:proofErr w:type="spellEnd"/>
            <w:r w:rsidRPr="004D3474">
              <w:rPr>
                <w:rFonts w:ascii="Arial Narrow" w:hAnsi="Arial Narrow" w:cs="Arial"/>
                <w:sz w:val="20"/>
                <w:szCs w:val="20"/>
              </w:rPr>
              <w:t xml:space="preserve"> </w:t>
            </w:r>
            <w:proofErr w:type="spellStart"/>
            <w:r w:rsidRPr="004D3474">
              <w:rPr>
                <w:rFonts w:ascii="Arial Narrow" w:hAnsi="Arial Narrow" w:cs="Arial"/>
                <w:sz w:val="20"/>
                <w:szCs w:val="20"/>
              </w:rPr>
              <w:t>dimesylate</w:t>
            </w:r>
            <w:proofErr w:type="spellEnd"/>
            <w:r w:rsidRPr="004D3474">
              <w:rPr>
                <w:rFonts w:ascii="Arial Narrow" w:hAnsi="Arial Narrow" w:cs="Arial"/>
                <w:sz w:val="20"/>
                <w:szCs w:val="20"/>
              </w:rPr>
              <w:t xml:space="preserve"> in children and adolescents with ADHD: A post-hoc analysis.</w:t>
            </w:r>
          </w:p>
        </w:tc>
        <w:tc>
          <w:tcPr>
            <w:tcW w:w="1985" w:type="dxa"/>
            <w:tcBorders>
              <w:top w:val="dotted" w:sz="4" w:space="0" w:color="auto"/>
            </w:tcBorders>
          </w:tcPr>
          <w:p w:rsidR="00A8400E" w:rsidRPr="004D3474" w:rsidRDefault="00A8400E" w:rsidP="009061DF">
            <w:pPr>
              <w:rPr>
                <w:rFonts w:ascii="Arial Narrow" w:hAnsi="Arial Narrow" w:cs="Arial"/>
                <w:sz w:val="20"/>
                <w:szCs w:val="20"/>
              </w:rPr>
            </w:pPr>
            <w:proofErr w:type="spellStart"/>
            <w:r w:rsidRPr="004D3474">
              <w:rPr>
                <w:rFonts w:ascii="Arial Narrow" w:hAnsi="Arial Narrow" w:cs="Arial"/>
                <w:sz w:val="20"/>
                <w:szCs w:val="20"/>
              </w:rPr>
              <w:t>Neuropsychopharmacol</w:t>
            </w:r>
            <w:proofErr w:type="spellEnd"/>
            <w:r w:rsidRPr="004D3474">
              <w:rPr>
                <w:rFonts w:ascii="Arial Narrow" w:hAnsi="Arial Narrow" w:cs="Arial"/>
                <w:sz w:val="20"/>
                <w:szCs w:val="20"/>
              </w:rPr>
              <w:t xml:space="preserve"> 2012;22:S431</w:t>
            </w:r>
          </w:p>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(conference abstract)</w:t>
            </w:r>
          </w:p>
        </w:tc>
      </w:tr>
      <w:tr w:rsidR="00A8400E" w:rsidRPr="004D3474" w:rsidTr="00BE5144">
        <w:tc>
          <w:tcPr>
            <w:tcW w:w="1276" w:type="dxa"/>
            <w:tcBorders>
              <w:top w:val="dotted" w:sz="4" w:space="0" w:color="auto"/>
            </w:tcBorders>
          </w:tcPr>
          <w:p w:rsidR="00A8400E" w:rsidRPr="004D3474" w:rsidRDefault="00A8400E" w:rsidP="009061DF">
            <w:pPr>
              <w:rPr>
                <w:rFonts w:ascii="Arial Narrow" w:hAnsi="Arial Narrow" w:cs="Arial"/>
                <w:sz w:val="20"/>
                <w:szCs w:val="20"/>
              </w:rPr>
            </w:pPr>
            <w:proofErr w:type="spellStart"/>
            <w:r w:rsidRPr="004D3474">
              <w:rPr>
                <w:rFonts w:ascii="Arial Narrow" w:hAnsi="Arial Narrow" w:cs="Arial"/>
                <w:sz w:val="20"/>
                <w:szCs w:val="20"/>
              </w:rPr>
              <w:t>Soutullo</w:t>
            </w:r>
            <w:proofErr w:type="spellEnd"/>
            <w:r w:rsidRPr="004D3474">
              <w:rPr>
                <w:rFonts w:ascii="Arial Narrow" w:hAnsi="Arial Narrow" w:cs="Arial"/>
                <w:sz w:val="20"/>
                <w:szCs w:val="20"/>
              </w:rPr>
              <w:t xml:space="preserve"> et al</w:t>
            </w:r>
          </w:p>
        </w:tc>
        <w:tc>
          <w:tcPr>
            <w:tcW w:w="5103" w:type="dxa"/>
            <w:tcBorders>
              <w:top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 xml:space="preserve">Effect of </w:t>
            </w:r>
            <w:proofErr w:type="spellStart"/>
            <w:r w:rsidRPr="004D3474">
              <w:rPr>
                <w:rFonts w:ascii="Arial Narrow" w:hAnsi="Arial Narrow" w:cs="Arial"/>
                <w:sz w:val="20"/>
                <w:szCs w:val="20"/>
              </w:rPr>
              <w:t>lisdexamfetamine</w:t>
            </w:r>
            <w:proofErr w:type="spellEnd"/>
            <w:r w:rsidRPr="004D3474">
              <w:rPr>
                <w:rFonts w:ascii="Arial Narrow" w:hAnsi="Arial Narrow" w:cs="Arial"/>
                <w:sz w:val="20"/>
                <w:szCs w:val="20"/>
              </w:rPr>
              <w:t xml:space="preserve"> </w:t>
            </w:r>
            <w:proofErr w:type="spellStart"/>
            <w:r w:rsidRPr="004D3474">
              <w:rPr>
                <w:rFonts w:ascii="Arial Narrow" w:hAnsi="Arial Narrow" w:cs="Arial"/>
                <w:sz w:val="20"/>
                <w:szCs w:val="20"/>
              </w:rPr>
              <w:t>dimesylate</w:t>
            </w:r>
            <w:proofErr w:type="spellEnd"/>
            <w:r w:rsidRPr="004D3474">
              <w:rPr>
                <w:rFonts w:ascii="Arial Narrow" w:hAnsi="Arial Narrow" w:cs="Arial"/>
                <w:sz w:val="20"/>
                <w:szCs w:val="20"/>
              </w:rPr>
              <w:t xml:space="preserve"> on functional impairment in children and adolescents with attention-deficit/hyperactivity disorder</w:t>
            </w:r>
          </w:p>
        </w:tc>
        <w:tc>
          <w:tcPr>
            <w:tcW w:w="1985" w:type="dxa"/>
            <w:tcBorders>
              <w:top w:val="dotted" w:sz="4" w:space="0" w:color="auto"/>
            </w:tcBorders>
          </w:tcPr>
          <w:p w:rsidR="00A8400E" w:rsidRPr="004D3474" w:rsidRDefault="00A8400E" w:rsidP="009061DF">
            <w:pPr>
              <w:rPr>
                <w:rFonts w:ascii="Arial Narrow" w:hAnsi="Arial Narrow" w:cs="Arial"/>
                <w:sz w:val="20"/>
                <w:szCs w:val="20"/>
              </w:rPr>
            </w:pPr>
            <w:proofErr w:type="spellStart"/>
            <w:r w:rsidRPr="004D3474">
              <w:rPr>
                <w:rFonts w:ascii="Arial Narrow" w:hAnsi="Arial Narrow" w:cs="Arial"/>
                <w:sz w:val="20"/>
                <w:szCs w:val="20"/>
              </w:rPr>
              <w:t>Eur</w:t>
            </w:r>
            <w:proofErr w:type="spellEnd"/>
            <w:r w:rsidRPr="004D3474">
              <w:rPr>
                <w:rFonts w:ascii="Arial Narrow" w:hAnsi="Arial Narrow" w:cs="Arial"/>
                <w:sz w:val="20"/>
                <w:szCs w:val="20"/>
              </w:rPr>
              <w:t xml:space="preserve"> Psychiatry 2012</w:t>
            </w:r>
            <w:proofErr w:type="gramStart"/>
            <w:r w:rsidRPr="004D3474">
              <w:rPr>
                <w:rFonts w:ascii="Arial Narrow" w:hAnsi="Arial Narrow" w:cs="Arial"/>
                <w:sz w:val="20"/>
                <w:szCs w:val="20"/>
              </w:rPr>
              <w:t>;27</w:t>
            </w:r>
            <w:proofErr w:type="gramEnd"/>
            <w:r w:rsidRPr="004D3474">
              <w:rPr>
                <w:rFonts w:ascii="Arial Narrow" w:hAnsi="Arial Narrow" w:cs="Arial"/>
                <w:sz w:val="20"/>
                <w:szCs w:val="20"/>
              </w:rPr>
              <w:t>. (conference abstract)</w:t>
            </w:r>
          </w:p>
        </w:tc>
      </w:tr>
      <w:tr w:rsidR="00A8400E" w:rsidRPr="004D3474" w:rsidTr="00BE5144">
        <w:tc>
          <w:tcPr>
            <w:tcW w:w="1276" w:type="dxa"/>
            <w:tcBorders>
              <w:top w:val="dotted" w:sz="4" w:space="0" w:color="auto"/>
            </w:tcBorders>
          </w:tcPr>
          <w:p w:rsidR="00A8400E" w:rsidRPr="004D3474" w:rsidRDefault="00A8400E" w:rsidP="009061DF">
            <w:pPr>
              <w:rPr>
                <w:rFonts w:ascii="Arial Narrow" w:hAnsi="Arial Narrow" w:cs="Arial"/>
                <w:sz w:val="20"/>
                <w:szCs w:val="20"/>
              </w:rPr>
            </w:pPr>
            <w:proofErr w:type="spellStart"/>
            <w:r w:rsidRPr="004D3474">
              <w:rPr>
                <w:rFonts w:ascii="Arial Narrow" w:hAnsi="Arial Narrow" w:cs="Arial"/>
                <w:sz w:val="20"/>
                <w:szCs w:val="20"/>
              </w:rPr>
              <w:t>Setyawan</w:t>
            </w:r>
            <w:proofErr w:type="spellEnd"/>
            <w:r w:rsidRPr="004D3474">
              <w:rPr>
                <w:rFonts w:ascii="Arial Narrow" w:hAnsi="Arial Narrow" w:cs="Arial"/>
                <w:sz w:val="20"/>
                <w:szCs w:val="20"/>
              </w:rPr>
              <w:t xml:space="preserve"> et al</w:t>
            </w:r>
          </w:p>
        </w:tc>
        <w:tc>
          <w:tcPr>
            <w:tcW w:w="5103" w:type="dxa"/>
            <w:tcBorders>
              <w:top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Health utility scores in children and adolescents with attention-deficit/hyperactivity disorder: Response to stimulant treatment.</w:t>
            </w:r>
          </w:p>
        </w:tc>
        <w:tc>
          <w:tcPr>
            <w:tcW w:w="1985" w:type="dxa"/>
            <w:tcBorders>
              <w:top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Value Health 2012</w:t>
            </w:r>
            <w:proofErr w:type="gramStart"/>
            <w:r w:rsidRPr="004D3474">
              <w:rPr>
                <w:rFonts w:ascii="Arial Narrow" w:hAnsi="Arial Narrow" w:cs="Arial"/>
                <w:sz w:val="20"/>
                <w:szCs w:val="20"/>
              </w:rPr>
              <w:t>;15:A284</w:t>
            </w:r>
            <w:proofErr w:type="gramEnd"/>
            <w:r w:rsidRPr="004D3474">
              <w:rPr>
                <w:rFonts w:ascii="Arial Narrow" w:hAnsi="Arial Narrow" w:cs="Arial"/>
                <w:sz w:val="20"/>
                <w:szCs w:val="20"/>
              </w:rPr>
              <w:t>. (conference abstract)</w:t>
            </w:r>
          </w:p>
        </w:tc>
      </w:tr>
      <w:tr w:rsidR="00A8400E" w:rsidRPr="004D3474" w:rsidTr="00BE5144">
        <w:tc>
          <w:tcPr>
            <w:tcW w:w="1276" w:type="dxa"/>
            <w:tcBorders>
              <w:top w:val="dotted" w:sz="4" w:space="0" w:color="auto"/>
            </w:tcBorders>
          </w:tcPr>
          <w:p w:rsidR="00A8400E" w:rsidRPr="004D3474" w:rsidRDefault="00A8400E" w:rsidP="009061DF">
            <w:pPr>
              <w:rPr>
                <w:rFonts w:ascii="Arial Narrow" w:hAnsi="Arial Narrow" w:cs="Arial"/>
                <w:sz w:val="20"/>
                <w:szCs w:val="20"/>
              </w:rPr>
            </w:pPr>
            <w:proofErr w:type="spellStart"/>
            <w:r w:rsidRPr="004D3474">
              <w:rPr>
                <w:rFonts w:ascii="Arial Narrow" w:hAnsi="Arial Narrow" w:cs="Arial"/>
                <w:sz w:val="20"/>
                <w:szCs w:val="20"/>
              </w:rPr>
              <w:t>Hodgkins</w:t>
            </w:r>
            <w:proofErr w:type="spellEnd"/>
            <w:r w:rsidRPr="004D3474">
              <w:rPr>
                <w:rFonts w:ascii="Arial Narrow" w:hAnsi="Arial Narrow" w:cs="Arial"/>
                <w:sz w:val="20"/>
                <w:szCs w:val="20"/>
              </w:rPr>
              <w:t xml:space="preserve"> et al</w:t>
            </w:r>
          </w:p>
        </w:tc>
        <w:tc>
          <w:tcPr>
            <w:tcW w:w="5103" w:type="dxa"/>
            <w:tcBorders>
              <w:top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 xml:space="preserve">Effect of </w:t>
            </w:r>
            <w:proofErr w:type="spellStart"/>
            <w:r w:rsidRPr="004D3474">
              <w:rPr>
                <w:rFonts w:ascii="Arial Narrow" w:hAnsi="Arial Narrow" w:cs="Arial"/>
                <w:sz w:val="20"/>
                <w:szCs w:val="20"/>
              </w:rPr>
              <w:t>lisdexamfetamine</w:t>
            </w:r>
            <w:proofErr w:type="spellEnd"/>
            <w:r w:rsidRPr="004D3474">
              <w:rPr>
                <w:rFonts w:ascii="Arial Narrow" w:hAnsi="Arial Narrow" w:cs="Arial"/>
                <w:sz w:val="20"/>
                <w:szCs w:val="20"/>
              </w:rPr>
              <w:t xml:space="preserve"> </w:t>
            </w:r>
            <w:proofErr w:type="spellStart"/>
            <w:r w:rsidRPr="004D3474">
              <w:rPr>
                <w:rFonts w:ascii="Arial Narrow" w:hAnsi="Arial Narrow" w:cs="Arial"/>
                <w:sz w:val="20"/>
                <w:szCs w:val="20"/>
              </w:rPr>
              <w:t>dimesylate</w:t>
            </w:r>
            <w:proofErr w:type="spellEnd"/>
            <w:r w:rsidRPr="004D3474">
              <w:rPr>
                <w:rFonts w:ascii="Arial Narrow" w:hAnsi="Arial Narrow" w:cs="Arial"/>
                <w:sz w:val="20"/>
                <w:szCs w:val="20"/>
              </w:rPr>
              <w:t xml:space="preserve"> on functional impairment in children and adolescents with attention-deficit/hyperactivity disorder.</w:t>
            </w:r>
          </w:p>
        </w:tc>
        <w:tc>
          <w:tcPr>
            <w:tcW w:w="1985" w:type="dxa"/>
            <w:tcBorders>
              <w:top w:val="dotted" w:sz="4" w:space="0" w:color="auto"/>
            </w:tcBorders>
          </w:tcPr>
          <w:p w:rsidR="00A8400E" w:rsidRPr="004D3474" w:rsidRDefault="00A8400E" w:rsidP="009061DF">
            <w:pPr>
              <w:rPr>
                <w:rFonts w:ascii="Arial Narrow" w:hAnsi="Arial Narrow" w:cs="Arial"/>
                <w:sz w:val="20"/>
                <w:szCs w:val="20"/>
              </w:rPr>
            </w:pPr>
            <w:proofErr w:type="spellStart"/>
            <w:r w:rsidRPr="004D3474">
              <w:rPr>
                <w:rFonts w:ascii="Arial Narrow" w:hAnsi="Arial Narrow" w:cs="Arial"/>
                <w:sz w:val="20"/>
                <w:szCs w:val="20"/>
              </w:rPr>
              <w:t>Acta</w:t>
            </w:r>
            <w:proofErr w:type="spellEnd"/>
            <w:r w:rsidRPr="004D3474">
              <w:rPr>
                <w:rFonts w:ascii="Arial Narrow" w:hAnsi="Arial Narrow" w:cs="Arial"/>
                <w:sz w:val="20"/>
                <w:szCs w:val="20"/>
              </w:rPr>
              <w:t xml:space="preserve"> </w:t>
            </w:r>
            <w:proofErr w:type="spellStart"/>
            <w:r w:rsidRPr="004D3474">
              <w:rPr>
                <w:rFonts w:ascii="Arial Narrow" w:hAnsi="Arial Narrow" w:cs="Arial"/>
                <w:sz w:val="20"/>
                <w:szCs w:val="20"/>
              </w:rPr>
              <w:t>Neuropsychiatr</w:t>
            </w:r>
            <w:proofErr w:type="spellEnd"/>
            <w:r w:rsidRPr="004D3474">
              <w:rPr>
                <w:rFonts w:ascii="Arial Narrow" w:hAnsi="Arial Narrow" w:cs="Arial"/>
                <w:sz w:val="20"/>
                <w:szCs w:val="20"/>
              </w:rPr>
              <w:t xml:space="preserve"> 2012;24:27-28 (conference abstract)</w:t>
            </w:r>
          </w:p>
        </w:tc>
      </w:tr>
      <w:tr w:rsidR="00A8400E" w:rsidRPr="004D3474" w:rsidTr="00BE5144">
        <w:tc>
          <w:tcPr>
            <w:tcW w:w="1276" w:type="dxa"/>
            <w:tcBorders>
              <w:top w:val="dotted" w:sz="4" w:space="0" w:color="auto"/>
            </w:tcBorders>
          </w:tcPr>
          <w:p w:rsidR="00A8400E" w:rsidRPr="004D3474" w:rsidRDefault="00A8400E" w:rsidP="009061DF">
            <w:pPr>
              <w:rPr>
                <w:rFonts w:ascii="Arial Narrow" w:hAnsi="Arial Narrow" w:cs="Arial"/>
                <w:sz w:val="20"/>
                <w:szCs w:val="20"/>
              </w:rPr>
            </w:pPr>
            <w:proofErr w:type="spellStart"/>
            <w:r w:rsidRPr="004D3474">
              <w:rPr>
                <w:rFonts w:ascii="Arial Narrow" w:hAnsi="Arial Narrow" w:cs="Arial"/>
                <w:sz w:val="20"/>
                <w:szCs w:val="20"/>
              </w:rPr>
              <w:t>Gasior</w:t>
            </w:r>
            <w:proofErr w:type="spellEnd"/>
            <w:r w:rsidRPr="004D3474">
              <w:rPr>
                <w:rFonts w:ascii="Arial Narrow" w:hAnsi="Arial Narrow" w:cs="Arial"/>
                <w:sz w:val="20"/>
                <w:szCs w:val="20"/>
              </w:rPr>
              <w:t xml:space="preserve"> et al</w:t>
            </w:r>
          </w:p>
        </w:tc>
        <w:tc>
          <w:tcPr>
            <w:tcW w:w="5103" w:type="dxa"/>
            <w:tcBorders>
              <w:top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 xml:space="preserve">Efficacy and safety of </w:t>
            </w:r>
            <w:proofErr w:type="spellStart"/>
            <w:r w:rsidRPr="004D3474">
              <w:rPr>
                <w:rFonts w:ascii="Arial Narrow" w:hAnsi="Arial Narrow" w:cs="Arial"/>
                <w:sz w:val="20"/>
                <w:szCs w:val="20"/>
              </w:rPr>
              <w:t>lisdexamfetamine</w:t>
            </w:r>
            <w:proofErr w:type="spellEnd"/>
            <w:r w:rsidRPr="004D3474">
              <w:rPr>
                <w:rFonts w:ascii="Arial Narrow" w:hAnsi="Arial Narrow" w:cs="Arial"/>
                <w:sz w:val="20"/>
                <w:szCs w:val="20"/>
              </w:rPr>
              <w:t xml:space="preserve"> </w:t>
            </w:r>
            <w:proofErr w:type="spellStart"/>
            <w:r w:rsidRPr="004D3474">
              <w:rPr>
                <w:rFonts w:ascii="Arial Narrow" w:hAnsi="Arial Narrow" w:cs="Arial"/>
                <w:sz w:val="20"/>
                <w:szCs w:val="20"/>
              </w:rPr>
              <w:t>dimesylate</w:t>
            </w:r>
            <w:proofErr w:type="spellEnd"/>
            <w:r w:rsidRPr="004D3474">
              <w:rPr>
                <w:rFonts w:ascii="Arial Narrow" w:hAnsi="Arial Narrow" w:cs="Arial"/>
                <w:sz w:val="20"/>
                <w:szCs w:val="20"/>
              </w:rPr>
              <w:t xml:space="preserve"> in children and adolescents with ADHD: A phase 3, randomized, double-blind, </w:t>
            </w:r>
            <w:proofErr w:type="spellStart"/>
            <w:r w:rsidRPr="004D3474">
              <w:rPr>
                <w:rFonts w:ascii="Arial Narrow" w:hAnsi="Arial Narrow" w:cs="Arial"/>
                <w:sz w:val="20"/>
                <w:szCs w:val="20"/>
              </w:rPr>
              <w:t>multicenter</w:t>
            </w:r>
            <w:proofErr w:type="spellEnd"/>
            <w:r w:rsidRPr="004D3474">
              <w:rPr>
                <w:rFonts w:ascii="Arial Narrow" w:hAnsi="Arial Narrow" w:cs="Arial"/>
                <w:sz w:val="20"/>
                <w:szCs w:val="20"/>
              </w:rPr>
              <w:t>, parallel-group, placebo-and active-controlled, dose-optimized study in Europe</w:t>
            </w:r>
          </w:p>
        </w:tc>
        <w:tc>
          <w:tcPr>
            <w:tcW w:w="1985" w:type="dxa"/>
            <w:tcBorders>
              <w:top w:val="dotted" w:sz="4" w:space="0" w:color="auto"/>
            </w:tcBorders>
          </w:tcPr>
          <w:p w:rsidR="00A8400E" w:rsidRPr="004D3474" w:rsidRDefault="00A8400E" w:rsidP="009061DF">
            <w:pPr>
              <w:rPr>
                <w:rFonts w:ascii="Arial Narrow" w:hAnsi="Arial Narrow" w:cs="Arial"/>
                <w:sz w:val="20"/>
                <w:szCs w:val="20"/>
              </w:rPr>
            </w:pPr>
            <w:proofErr w:type="spellStart"/>
            <w:r w:rsidRPr="004D3474">
              <w:rPr>
                <w:rFonts w:ascii="Arial Narrow" w:hAnsi="Arial Narrow" w:cs="Arial"/>
                <w:sz w:val="20"/>
                <w:szCs w:val="20"/>
              </w:rPr>
              <w:t>Acta</w:t>
            </w:r>
            <w:proofErr w:type="spellEnd"/>
            <w:r w:rsidRPr="004D3474">
              <w:rPr>
                <w:rFonts w:ascii="Arial Narrow" w:hAnsi="Arial Narrow" w:cs="Arial"/>
                <w:sz w:val="20"/>
                <w:szCs w:val="20"/>
              </w:rPr>
              <w:t xml:space="preserve"> </w:t>
            </w:r>
            <w:proofErr w:type="spellStart"/>
            <w:r w:rsidRPr="004D3474">
              <w:rPr>
                <w:rFonts w:ascii="Arial Narrow" w:hAnsi="Arial Narrow" w:cs="Arial"/>
                <w:sz w:val="20"/>
                <w:szCs w:val="20"/>
              </w:rPr>
              <w:t>Neuropsychiatr</w:t>
            </w:r>
            <w:proofErr w:type="spellEnd"/>
            <w:r w:rsidRPr="004D3474">
              <w:rPr>
                <w:rFonts w:ascii="Arial Narrow" w:hAnsi="Arial Narrow" w:cs="Arial"/>
                <w:sz w:val="20"/>
                <w:szCs w:val="20"/>
              </w:rPr>
              <w:t xml:space="preserve"> 2012</w:t>
            </w:r>
            <w:proofErr w:type="gramStart"/>
            <w:r w:rsidRPr="004D3474">
              <w:rPr>
                <w:rFonts w:ascii="Arial Narrow" w:hAnsi="Arial Narrow" w:cs="Arial"/>
                <w:sz w:val="20"/>
                <w:szCs w:val="20"/>
              </w:rPr>
              <w:t>;24:24</w:t>
            </w:r>
            <w:proofErr w:type="gramEnd"/>
            <w:r w:rsidRPr="004D3474">
              <w:rPr>
                <w:rFonts w:ascii="Arial Narrow" w:hAnsi="Arial Narrow" w:cs="Arial"/>
                <w:sz w:val="20"/>
                <w:szCs w:val="20"/>
              </w:rPr>
              <w:t xml:space="preserve"> (conference abstract).</w:t>
            </w:r>
          </w:p>
        </w:tc>
      </w:tr>
      <w:tr w:rsidR="00A8400E" w:rsidRPr="004D3474" w:rsidTr="00BE5144">
        <w:tc>
          <w:tcPr>
            <w:tcW w:w="1276" w:type="dxa"/>
            <w:tcBorders>
              <w:top w:val="dotted" w:sz="4" w:space="0" w:color="auto"/>
            </w:tcBorders>
          </w:tcPr>
          <w:p w:rsidR="00A8400E" w:rsidRPr="004D3474" w:rsidRDefault="00A8400E" w:rsidP="009061DF">
            <w:pPr>
              <w:rPr>
                <w:rFonts w:ascii="Arial Narrow" w:hAnsi="Arial Narrow" w:cs="Arial"/>
                <w:sz w:val="20"/>
                <w:szCs w:val="20"/>
              </w:rPr>
            </w:pPr>
            <w:proofErr w:type="spellStart"/>
            <w:r w:rsidRPr="004D3474">
              <w:rPr>
                <w:rFonts w:ascii="Arial Narrow" w:hAnsi="Arial Narrow" w:cs="Arial"/>
                <w:sz w:val="20"/>
                <w:szCs w:val="20"/>
              </w:rPr>
              <w:t>Lecendreux</w:t>
            </w:r>
            <w:proofErr w:type="spellEnd"/>
            <w:r w:rsidRPr="004D3474">
              <w:rPr>
                <w:rFonts w:ascii="Arial Narrow" w:hAnsi="Arial Narrow" w:cs="Arial"/>
                <w:sz w:val="20"/>
                <w:szCs w:val="20"/>
              </w:rPr>
              <w:t xml:space="preserve"> et al </w:t>
            </w:r>
          </w:p>
        </w:tc>
        <w:tc>
          <w:tcPr>
            <w:tcW w:w="5103" w:type="dxa"/>
            <w:tcBorders>
              <w:top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 xml:space="preserve">Efficacy of </w:t>
            </w:r>
            <w:proofErr w:type="spellStart"/>
            <w:r w:rsidRPr="004D3474">
              <w:rPr>
                <w:rFonts w:ascii="Arial Narrow" w:hAnsi="Arial Narrow" w:cs="Arial"/>
                <w:sz w:val="20"/>
                <w:szCs w:val="20"/>
              </w:rPr>
              <w:t>lisdexamfetamine</w:t>
            </w:r>
            <w:proofErr w:type="spellEnd"/>
            <w:r w:rsidRPr="004D3474">
              <w:rPr>
                <w:rFonts w:ascii="Arial Narrow" w:hAnsi="Arial Narrow" w:cs="Arial"/>
                <w:sz w:val="20"/>
                <w:szCs w:val="20"/>
              </w:rPr>
              <w:t xml:space="preserve"> </w:t>
            </w:r>
            <w:proofErr w:type="spellStart"/>
            <w:r w:rsidRPr="004D3474">
              <w:rPr>
                <w:rFonts w:ascii="Arial Narrow" w:hAnsi="Arial Narrow" w:cs="Arial"/>
                <w:sz w:val="20"/>
                <w:szCs w:val="20"/>
              </w:rPr>
              <w:t>dimesylate</w:t>
            </w:r>
            <w:proofErr w:type="spellEnd"/>
            <w:r w:rsidRPr="004D3474">
              <w:rPr>
                <w:rFonts w:ascii="Arial Narrow" w:hAnsi="Arial Narrow" w:cs="Arial"/>
                <w:sz w:val="20"/>
                <w:szCs w:val="20"/>
              </w:rPr>
              <w:t xml:space="preserve"> in children and adolescents with attention-deficit/hyperactivity disorder: Effect of age, sex and baseline disease severity. </w:t>
            </w:r>
          </w:p>
        </w:tc>
        <w:tc>
          <w:tcPr>
            <w:tcW w:w="1985" w:type="dxa"/>
            <w:tcBorders>
              <w:top w:val="dotted" w:sz="4" w:space="0" w:color="auto"/>
            </w:tcBorders>
          </w:tcPr>
          <w:p w:rsidR="00A8400E" w:rsidRPr="004D3474" w:rsidRDefault="00A8400E" w:rsidP="009061DF">
            <w:pPr>
              <w:rPr>
                <w:rFonts w:ascii="Arial Narrow" w:hAnsi="Arial Narrow" w:cs="Arial"/>
                <w:sz w:val="20"/>
                <w:szCs w:val="20"/>
              </w:rPr>
            </w:pPr>
            <w:proofErr w:type="spellStart"/>
            <w:r w:rsidRPr="004D3474">
              <w:rPr>
                <w:rFonts w:ascii="Arial Narrow" w:hAnsi="Arial Narrow" w:cs="Arial"/>
                <w:sz w:val="20"/>
                <w:szCs w:val="20"/>
              </w:rPr>
              <w:t>Eur</w:t>
            </w:r>
            <w:proofErr w:type="spellEnd"/>
            <w:r w:rsidRPr="004D3474">
              <w:rPr>
                <w:rFonts w:ascii="Arial Narrow" w:hAnsi="Arial Narrow" w:cs="Arial"/>
                <w:sz w:val="20"/>
                <w:szCs w:val="20"/>
              </w:rPr>
              <w:t xml:space="preserve"> Psychiatry 2013a</w:t>
            </w:r>
            <w:proofErr w:type="gramStart"/>
            <w:r w:rsidRPr="004D3474">
              <w:rPr>
                <w:rFonts w:ascii="Arial Narrow" w:hAnsi="Arial Narrow" w:cs="Arial"/>
                <w:sz w:val="20"/>
                <w:szCs w:val="20"/>
              </w:rPr>
              <w:t>;28</w:t>
            </w:r>
            <w:proofErr w:type="gramEnd"/>
            <w:r w:rsidRPr="004D3474">
              <w:rPr>
                <w:rFonts w:ascii="Arial Narrow" w:hAnsi="Arial Narrow" w:cs="Arial"/>
                <w:sz w:val="20"/>
                <w:szCs w:val="20"/>
              </w:rPr>
              <w:t>.</w:t>
            </w:r>
          </w:p>
        </w:tc>
      </w:tr>
      <w:tr w:rsidR="00A8400E" w:rsidRPr="004D3474" w:rsidTr="00BE5144">
        <w:tc>
          <w:tcPr>
            <w:tcW w:w="1276" w:type="dxa"/>
            <w:tcBorders>
              <w:top w:val="dotted" w:sz="4" w:space="0" w:color="auto"/>
            </w:tcBorders>
          </w:tcPr>
          <w:p w:rsidR="00A8400E" w:rsidRPr="004D3474" w:rsidRDefault="00A8400E" w:rsidP="009061DF">
            <w:pPr>
              <w:rPr>
                <w:rFonts w:ascii="Arial Narrow" w:hAnsi="Arial Narrow" w:cs="Arial"/>
                <w:sz w:val="20"/>
                <w:szCs w:val="20"/>
              </w:rPr>
            </w:pPr>
            <w:proofErr w:type="spellStart"/>
            <w:r w:rsidRPr="004D3474">
              <w:rPr>
                <w:rFonts w:ascii="Arial Narrow" w:hAnsi="Arial Narrow" w:cs="Arial"/>
                <w:sz w:val="20"/>
                <w:szCs w:val="20"/>
              </w:rPr>
              <w:t>Soutullo</w:t>
            </w:r>
            <w:proofErr w:type="spellEnd"/>
            <w:r w:rsidRPr="004D3474">
              <w:rPr>
                <w:rFonts w:ascii="Arial Narrow" w:hAnsi="Arial Narrow" w:cs="Arial"/>
                <w:sz w:val="20"/>
                <w:szCs w:val="20"/>
              </w:rPr>
              <w:t xml:space="preserve"> et al</w:t>
            </w:r>
          </w:p>
        </w:tc>
        <w:tc>
          <w:tcPr>
            <w:tcW w:w="5103" w:type="dxa"/>
            <w:tcBorders>
              <w:top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 xml:space="preserve">A post hoc comparison of the effects of </w:t>
            </w:r>
            <w:proofErr w:type="spellStart"/>
            <w:r w:rsidRPr="004D3474">
              <w:rPr>
                <w:rFonts w:ascii="Arial Narrow" w:hAnsi="Arial Narrow" w:cs="Arial"/>
                <w:sz w:val="20"/>
                <w:szCs w:val="20"/>
              </w:rPr>
              <w:t>lisdexamfetamine</w:t>
            </w:r>
            <w:proofErr w:type="spellEnd"/>
            <w:r w:rsidRPr="004D3474">
              <w:rPr>
                <w:rFonts w:ascii="Arial Narrow" w:hAnsi="Arial Narrow" w:cs="Arial"/>
                <w:sz w:val="20"/>
                <w:szCs w:val="20"/>
              </w:rPr>
              <w:t xml:space="preserve"> </w:t>
            </w:r>
            <w:proofErr w:type="spellStart"/>
            <w:r w:rsidRPr="004D3474">
              <w:rPr>
                <w:rFonts w:ascii="Arial Narrow" w:hAnsi="Arial Narrow" w:cs="Arial"/>
                <w:sz w:val="20"/>
                <w:szCs w:val="20"/>
              </w:rPr>
              <w:t>dimesylate</w:t>
            </w:r>
            <w:proofErr w:type="spellEnd"/>
            <w:r w:rsidRPr="004D3474">
              <w:rPr>
                <w:rFonts w:ascii="Arial Narrow" w:hAnsi="Arial Narrow" w:cs="Arial"/>
                <w:sz w:val="20"/>
                <w:szCs w:val="20"/>
              </w:rPr>
              <w:t xml:space="preserve"> and osmotic release oral system-methylphenidate on symptoms of attention-deficit hyperactivity disorder in children and adolescents. </w:t>
            </w:r>
          </w:p>
        </w:tc>
        <w:tc>
          <w:tcPr>
            <w:tcW w:w="1985" w:type="dxa"/>
            <w:tcBorders>
              <w:top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CNS Drugs 2013</w:t>
            </w:r>
            <w:proofErr w:type="gramStart"/>
            <w:r w:rsidRPr="004D3474">
              <w:rPr>
                <w:rFonts w:ascii="Arial Narrow" w:hAnsi="Arial Narrow" w:cs="Arial"/>
                <w:sz w:val="20"/>
                <w:szCs w:val="20"/>
              </w:rPr>
              <w:t>;27</w:t>
            </w:r>
            <w:proofErr w:type="gramEnd"/>
            <w:r w:rsidRPr="004D3474">
              <w:rPr>
                <w:rFonts w:ascii="Arial Narrow" w:hAnsi="Arial Narrow" w:cs="Arial"/>
                <w:sz w:val="20"/>
                <w:szCs w:val="20"/>
              </w:rPr>
              <w:t>(9):743-51.</w:t>
            </w:r>
          </w:p>
        </w:tc>
      </w:tr>
      <w:tr w:rsidR="00A8400E" w:rsidRPr="004D3474" w:rsidTr="00BE5144">
        <w:tc>
          <w:tcPr>
            <w:tcW w:w="1276" w:type="dxa"/>
            <w:tcBorders>
              <w:top w:val="dotted" w:sz="4" w:space="0" w:color="auto"/>
            </w:tcBorders>
          </w:tcPr>
          <w:p w:rsidR="00A8400E" w:rsidRPr="004D3474" w:rsidRDefault="00A8400E" w:rsidP="009061DF">
            <w:pPr>
              <w:rPr>
                <w:rFonts w:ascii="Arial Narrow" w:hAnsi="Arial Narrow" w:cs="Arial"/>
                <w:sz w:val="20"/>
                <w:szCs w:val="20"/>
              </w:rPr>
            </w:pPr>
            <w:proofErr w:type="spellStart"/>
            <w:r w:rsidRPr="004D3474">
              <w:rPr>
                <w:rFonts w:ascii="Arial Narrow" w:hAnsi="Arial Narrow" w:cs="Arial"/>
                <w:sz w:val="20"/>
                <w:szCs w:val="20"/>
              </w:rPr>
              <w:t>Banaschewski</w:t>
            </w:r>
            <w:proofErr w:type="spellEnd"/>
            <w:r w:rsidRPr="004D3474">
              <w:rPr>
                <w:rFonts w:ascii="Arial Narrow" w:hAnsi="Arial Narrow" w:cs="Arial"/>
                <w:sz w:val="20"/>
                <w:szCs w:val="20"/>
              </w:rPr>
              <w:t xml:space="preserve">  et al</w:t>
            </w:r>
          </w:p>
        </w:tc>
        <w:tc>
          <w:tcPr>
            <w:tcW w:w="5103" w:type="dxa"/>
            <w:tcBorders>
              <w:top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 xml:space="preserve">Health-related quality of life and functional outcomes from a randomized, controlled study of </w:t>
            </w:r>
            <w:proofErr w:type="spellStart"/>
            <w:r w:rsidRPr="004D3474">
              <w:rPr>
                <w:rFonts w:ascii="Arial Narrow" w:hAnsi="Arial Narrow" w:cs="Arial"/>
                <w:sz w:val="20"/>
                <w:szCs w:val="20"/>
              </w:rPr>
              <w:t>lisdexamfetamine</w:t>
            </w:r>
            <w:proofErr w:type="spellEnd"/>
            <w:r w:rsidRPr="004D3474">
              <w:rPr>
                <w:rFonts w:ascii="Arial Narrow" w:hAnsi="Arial Narrow" w:cs="Arial"/>
                <w:sz w:val="20"/>
                <w:szCs w:val="20"/>
              </w:rPr>
              <w:t xml:space="preserve"> </w:t>
            </w:r>
            <w:proofErr w:type="spellStart"/>
            <w:r w:rsidRPr="004D3474">
              <w:rPr>
                <w:rFonts w:ascii="Arial Narrow" w:hAnsi="Arial Narrow" w:cs="Arial"/>
                <w:sz w:val="20"/>
                <w:szCs w:val="20"/>
              </w:rPr>
              <w:t>dimesylate</w:t>
            </w:r>
            <w:proofErr w:type="spellEnd"/>
            <w:r w:rsidRPr="004D3474">
              <w:rPr>
                <w:rFonts w:ascii="Arial Narrow" w:hAnsi="Arial Narrow" w:cs="Arial"/>
                <w:sz w:val="20"/>
                <w:szCs w:val="20"/>
              </w:rPr>
              <w:t xml:space="preserve"> in children and adolescents with attention deficit hyperactivity disorder. </w:t>
            </w:r>
          </w:p>
        </w:tc>
        <w:tc>
          <w:tcPr>
            <w:tcW w:w="1985" w:type="dxa"/>
            <w:tcBorders>
              <w:top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CNS Drugs 2013</w:t>
            </w:r>
            <w:proofErr w:type="gramStart"/>
            <w:r w:rsidRPr="004D3474">
              <w:rPr>
                <w:rFonts w:ascii="Arial Narrow" w:hAnsi="Arial Narrow" w:cs="Arial"/>
                <w:sz w:val="20"/>
                <w:szCs w:val="20"/>
              </w:rPr>
              <w:t>;27</w:t>
            </w:r>
            <w:proofErr w:type="gramEnd"/>
            <w:r w:rsidRPr="004D3474">
              <w:rPr>
                <w:rFonts w:ascii="Arial Narrow" w:hAnsi="Arial Narrow" w:cs="Arial"/>
                <w:sz w:val="20"/>
                <w:szCs w:val="20"/>
              </w:rPr>
              <w:t>(10):829-40.</w:t>
            </w:r>
          </w:p>
        </w:tc>
      </w:tr>
      <w:tr w:rsidR="00A8400E" w:rsidRPr="004D3474" w:rsidTr="00BE5144">
        <w:tc>
          <w:tcPr>
            <w:tcW w:w="1276" w:type="dxa"/>
            <w:tcBorders>
              <w:top w:val="dotted" w:sz="4" w:space="0" w:color="auto"/>
            </w:tcBorders>
          </w:tcPr>
          <w:p w:rsidR="00A8400E" w:rsidRPr="004D3474" w:rsidRDefault="00A8400E" w:rsidP="009061DF">
            <w:pPr>
              <w:rPr>
                <w:rFonts w:ascii="Arial Narrow" w:hAnsi="Arial Narrow" w:cs="Arial"/>
                <w:sz w:val="20"/>
                <w:szCs w:val="20"/>
              </w:rPr>
            </w:pPr>
            <w:proofErr w:type="spellStart"/>
            <w:r w:rsidRPr="004D3474">
              <w:rPr>
                <w:rFonts w:ascii="Arial Narrow" w:hAnsi="Arial Narrow" w:cs="Arial"/>
                <w:sz w:val="20"/>
                <w:szCs w:val="20"/>
              </w:rPr>
              <w:t>Banaschewski</w:t>
            </w:r>
            <w:proofErr w:type="spellEnd"/>
            <w:r w:rsidRPr="004D3474">
              <w:rPr>
                <w:rFonts w:ascii="Arial Narrow" w:hAnsi="Arial Narrow" w:cs="Arial"/>
                <w:sz w:val="20"/>
                <w:szCs w:val="20"/>
              </w:rPr>
              <w:t xml:space="preserve">  et al</w:t>
            </w:r>
          </w:p>
        </w:tc>
        <w:tc>
          <w:tcPr>
            <w:tcW w:w="5103" w:type="dxa"/>
            <w:tcBorders>
              <w:top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 xml:space="preserve">The child health and illness profile as a measure of health-related quality of life in stimulant-treated children and adolescents with ADHD. </w:t>
            </w:r>
          </w:p>
        </w:tc>
        <w:tc>
          <w:tcPr>
            <w:tcW w:w="1985" w:type="dxa"/>
            <w:tcBorders>
              <w:top w:val="dotted" w:sz="4" w:space="0" w:color="auto"/>
            </w:tcBorders>
          </w:tcPr>
          <w:p w:rsidR="00A8400E" w:rsidRPr="004D3474" w:rsidRDefault="00A8400E" w:rsidP="009061DF">
            <w:pPr>
              <w:rPr>
                <w:rFonts w:ascii="Arial Narrow" w:hAnsi="Arial Narrow" w:cs="Arial"/>
                <w:sz w:val="20"/>
                <w:szCs w:val="20"/>
              </w:rPr>
            </w:pPr>
            <w:proofErr w:type="spellStart"/>
            <w:r w:rsidRPr="004D3474">
              <w:rPr>
                <w:rFonts w:ascii="Arial Narrow" w:hAnsi="Arial Narrow" w:cs="Arial"/>
                <w:sz w:val="20"/>
                <w:szCs w:val="20"/>
              </w:rPr>
              <w:t>Eur</w:t>
            </w:r>
            <w:proofErr w:type="spellEnd"/>
            <w:r w:rsidRPr="004D3474">
              <w:rPr>
                <w:rFonts w:ascii="Arial Narrow" w:hAnsi="Arial Narrow" w:cs="Arial"/>
                <w:sz w:val="20"/>
                <w:szCs w:val="20"/>
              </w:rPr>
              <w:t xml:space="preserve"> Child </w:t>
            </w:r>
            <w:proofErr w:type="spellStart"/>
            <w:r w:rsidRPr="004D3474">
              <w:rPr>
                <w:rFonts w:ascii="Arial Narrow" w:hAnsi="Arial Narrow" w:cs="Arial"/>
                <w:sz w:val="20"/>
                <w:szCs w:val="20"/>
              </w:rPr>
              <w:t>Adolesc</w:t>
            </w:r>
            <w:proofErr w:type="spellEnd"/>
            <w:r w:rsidRPr="004D3474">
              <w:rPr>
                <w:rFonts w:ascii="Arial Narrow" w:hAnsi="Arial Narrow" w:cs="Arial"/>
                <w:sz w:val="20"/>
                <w:szCs w:val="20"/>
              </w:rPr>
              <w:t xml:space="preserve"> Psychiatry 2013</w:t>
            </w:r>
            <w:proofErr w:type="gramStart"/>
            <w:r w:rsidRPr="004D3474">
              <w:rPr>
                <w:rFonts w:ascii="Arial Narrow" w:hAnsi="Arial Narrow" w:cs="Arial"/>
                <w:sz w:val="20"/>
                <w:szCs w:val="20"/>
              </w:rPr>
              <w:t>;22</w:t>
            </w:r>
            <w:proofErr w:type="gramEnd"/>
            <w:r w:rsidRPr="004D3474">
              <w:rPr>
                <w:rFonts w:ascii="Arial Narrow" w:hAnsi="Arial Narrow" w:cs="Arial"/>
                <w:sz w:val="20"/>
                <w:szCs w:val="20"/>
              </w:rPr>
              <w:t>(2):S125-S126.</w:t>
            </w:r>
          </w:p>
        </w:tc>
      </w:tr>
      <w:tr w:rsidR="00A8400E" w:rsidRPr="004D3474" w:rsidTr="00BE5144">
        <w:tc>
          <w:tcPr>
            <w:tcW w:w="1276" w:type="dxa"/>
            <w:tcBorders>
              <w:top w:val="dotted" w:sz="4" w:space="0" w:color="auto"/>
            </w:tcBorders>
          </w:tcPr>
          <w:p w:rsidR="00A8400E" w:rsidRPr="004D3474" w:rsidRDefault="00A8400E" w:rsidP="009061DF">
            <w:pPr>
              <w:rPr>
                <w:rFonts w:ascii="Arial Narrow" w:hAnsi="Arial Narrow" w:cs="Arial"/>
                <w:sz w:val="20"/>
                <w:szCs w:val="20"/>
              </w:rPr>
            </w:pPr>
            <w:proofErr w:type="spellStart"/>
            <w:r w:rsidRPr="004D3474">
              <w:rPr>
                <w:rFonts w:ascii="Arial Narrow" w:hAnsi="Arial Narrow" w:cs="Arial"/>
                <w:sz w:val="20"/>
                <w:szCs w:val="20"/>
              </w:rPr>
              <w:t>Coghill</w:t>
            </w:r>
            <w:proofErr w:type="spellEnd"/>
            <w:r w:rsidRPr="004D3474">
              <w:rPr>
                <w:rFonts w:ascii="Arial Narrow" w:hAnsi="Arial Narrow" w:cs="Arial"/>
                <w:sz w:val="20"/>
                <w:szCs w:val="20"/>
              </w:rPr>
              <w:t xml:space="preserve"> et al </w:t>
            </w:r>
          </w:p>
        </w:tc>
        <w:tc>
          <w:tcPr>
            <w:tcW w:w="5103" w:type="dxa"/>
            <w:tcBorders>
              <w:top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 xml:space="preserve">Impact of previous ADHD medication on the efficacy of </w:t>
            </w:r>
            <w:proofErr w:type="spellStart"/>
            <w:r w:rsidRPr="004D3474">
              <w:rPr>
                <w:rFonts w:ascii="Arial Narrow" w:hAnsi="Arial Narrow" w:cs="Arial"/>
                <w:sz w:val="20"/>
                <w:szCs w:val="20"/>
              </w:rPr>
              <w:t>lisdexamfetamine</w:t>
            </w:r>
            <w:proofErr w:type="spellEnd"/>
            <w:r w:rsidRPr="004D3474">
              <w:rPr>
                <w:rFonts w:ascii="Arial Narrow" w:hAnsi="Arial Narrow" w:cs="Arial"/>
                <w:sz w:val="20"/>
                <w:szCs w:val="20"/>
              </w:rPr>
              <w:t xml:space="preserve"> </w:t>
            </w:r>
            <w:proofErr w:type="spellStart"/>
            <w:r w:rsidRPr="004D3474">
              <w:rPr>
                <w:rFonts w:ascii="Arial Narrow" w:hAnsi="Arial Narrow" w:cs="Arial"/>
                <w:sz w:val="20"/>
                <w:szCs w:val="20"/>
              </w:rPr>
              <w:t>dimesylate</w:t>
            </w:r>
            <w:proofErr w:type="spellEnd"/>
            <w:r w:rsidRPr="004D3474">
              <w:rPr>
                <w:rFonts w:ascii="Arial Narrow" w:hAnsi="Arial Narrow" w:cs="Arial"/>
                <w:sz w:val="20"/>
                <w:szCs w:val="20"/>
              </w:rPr>
              <w:t xml:space="preserve"> in the treatment of ADHD: Post hoc analyses.</w:t>
            </w:r>
          </w:p>
        </w:tc>
        <w:tc>
          <w:tcPr>
            <w:tcW w:w="1985" w:type="dxa"/>
            <w:tcBorders>
              <w:top w:val="dotted" w:sz="4" w:space="0" w:color="auto"/>
            </w:tcBorders>
          </w:tcPr>
          <w:p w:rsidR="00A8400E" w:rsidRPr="004D3474" w:rsidRDefault="00A8400E" w:rsidP="009061DF">
            <w:pPr>
              <w:rPr>
                <w:rFonts w:ascii="Arial Narrow" w:hAnsi="Arial Narrow" w:cs="Arial"/>
                <w:sz w:val="20"/>
                <w:szCs w:val="20"/>
              </w:rPr>
            </w:pPr>
            <w:proofErr w:type="spellStart"/>
            <w:r w:rsidRPr="004D3474">
              <w:rPr>
                <w:rFonts w:ascii="Arial Narrow" w:hAnsi="Arial Narrow" w:cs="Arial"/>
                <w:sz w:val="20"/>
                <w:szCs w:val="20"/>
              </w:rPr>
              <w:t>Eur</w:t>
            </w:r>
            <w:proofErr w:type="spellEnd"/>
            <w:r w:rsidRPr="004D3474">
              <w:rPr>
                <w:rFonts w:ascii="Arial Narrow" w:hAnsi="Arial Narrow" w:cs="Arial"/>
                <w:sz w:val="20"/>
                <w:szCs w:val="20"/>
              </w:rPr>
              <w:t xml:space="preserve"> </w:t>
            </w:r>
            <w:proofErr w:type="spellStart"/>
            <w:r w:rsidRPr="004D3474">
              <w:rPr>
                <w:rFonts w:ascii="Arial Narrow" w:hAnsi="Arial Narrow" w:cs="Arial"/>
                <w:sz w:val="20"/>
                <w:szCs w:val="20"/>
              </w:rPr>
              <w:t>Neuropsychopharmacol</w:t>
            </w:r>
            <w:proofErr w:type="spellEnd"/>
            <w:r w:rsidRPr="004D3474">
              <w:rPr>
                <w:rFonts w:ascii="Arial Narrow" w:hAnsi="Arial Narrow" w:cs="Arial"/>
                <w:sz w:val="20"/>
                <w:szCs w:val="20"/>
              </w:rPr>
              <w:t xml:space="preserve"> 2013b;23:S599-S600</w:t>
            </w:r>
          </w:p>
        </w:tc>
      </w:tr>
      <w:tr w:rsidR="00A8400E" w:rsidRPr="004D3474" w:rsidTr="00BE5144">
        <w:tc>
          <w:tcPr>
            <w:tcW w:w="1276" w:type="dxa"/>
            <w:tcBorders>
              <w:top w:val="dotted" w:sz="4" w:space="0" w:color="auto"/>
            </w:tcBorders>
          </w:tcPr>
          <w:p w:rsidR="00A8400E" w:rsidRPr="004D3474" w:rsidRDefault="00A8400E" w:rsidP="009061DF">
            <w:pPr>
              <w:rPr>
                <w:rFonts w:ascii="Arial Narrow" w:hAnsi="Arial Narrow" w:cs="Arial"/>
                <w:sz w:val="20"/>
                <w:szCs w:val="20"/>
              </w:rPr>
            </w:pPr>
            <w:proofErr w:type="spellStart"/>
            <w:r w:rsidRPr="004D3474">
              <w:rPr>
                <w:rFonts w:ascii="Arial Narrow" w:hAnsi="Arial Narrow" w:cs="Arial"/>
                <w:sz w:val="20"/>
                <w:szCs w:val="20"/>
              </w:rPr>
              <w:t>Coghill</w:t>
            </w:r>
            <w:proofErr w:type="spellEnd"/>
            <w:r w:rsidRPr="004D3474">
              <w:rPr>
                <w:rFonts w:ascii="Arial Narrow" w:hAnsi="Arial Narrow" w:cs="Arial"/>
                <w:sz w:val="20"/>
                <w:szCs w:val="20"/>
              </w:rPr>
              <w:t xml:space="preserve"> et al</w:t>
            </w:r>
          </w:p>
        </w:tc>
        <w:tc>
          <w:tcPr>
            <w:tcW w:w="5103" w:type="dxa"/>
            <w:tcBorders>
              <w:top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 xml:space="preserve">The first European studies of </w:t>
            </w:r>
            <w:proofErr w:type="spellStart"/>
            <w:r w:rsidRPr="004D3474">
              <w:rPr>
                <w:rFonts w:ascii="Arial Narrow" w:hAnsi="Arial Narrow" w:cs="Arial"/>
                <w:sz w:val="20"/>
                <w:szCs w:val="20"/>
              </w:rPr>
              <w:t>lisdexamfetamine</w:t>
            </w:r>
            <w:proofErr w:type="spellEnd"/>
            <w:r w:rsidRPr="004D3474">
              <w:rPr>
                <w:rFonts w:ascii="Arial Narrow" w:hAnsi="Arial Narrow" w:cs="Arial"/>
                <w:sz w:val="20"/>
                <w:szCs w:val="20"/>
              </w:rPr>
              <w:t xml:space="preserve"> </w:t>
            </w:r>
            <w:proofErr w:type="spellStart"/>
            <w:r w:rsidRPr="004D3474">
              <w:rPr>
                <w:rFonts w:ascii="Arial Narrow" w:hAnsi="Arial Narrow" w:cs="Arial"/>
                <w:sz w:val="20"/>
                <w:szCs w:val="20"/>
              </w:rPr>
              <w:t>dimesylate</w:t>
            </w:r>
            <w:proofErr w:type="spellEnd"/>
            <w:r w:rsidRPr="004D3474">
              <w:rPr>
                <w:rFonts w:ascii="Arial Narrow" w:hAnsi="Arial Narrow" w:cs="Arial"/>
                <w:sz w:val="20"/>
                <w:szCs w:val="20"/>
              </w:rPr>
              <w:t xml:space="preserve"> in children and adolescents with attention-deficit/hyperactivity disorder. </w:t>
            </w:r>
          </w:p>
        </w:tc>
        <w:tc>
          <w:tcPr>
            <w:tcW w:w="1985" w:type="dxa"/>
            <w:tcBorders>
              <w:top w:val="dotted" w:sz="4" w:space="0" w:color="auto"/>
            </w:tcBorders>
          </w:tcPr>
          <w:p w:rsidR="00A8400E" w:rsidRPr="004D3474" w:rsidRDefault="00A8400E" w:rsidP="009061DF">
            <w:pPr>
              <w:rPr>
                <w:rFonts w:ascii="Arial Narrow" w:hAnsi="Arial Narrow" w:cs="Arial"/>
                <w:sz w:val="20"/>
                <w:szCs w:val="20"/>
              </w:rPr>
            </w:pPr>
            <w:proofErr w:type="spellStart"/>
            <w:r w:rsidRPr="004D3474">
              <w:rPr>
                <w:rFonts w:ascii="Arial Narrow" w:hAnsi="Arial Narrow" w:cs="Arial"/>
                <w:sz w:val="20"/>
                <w:szCs w:val="20"/>
              </w:rPr>
              <w:t>Eur</w:t>
            </w:r>
            <w:proofErr w:type="spellEnd"/>
            <w:r w:rsidRPr="004D3474">
              <w:rPr>
                <w:rFonts w:ascii="Arial Narrow" w:hAnsi="Arial Narrow" w:cs="Arial"/>
                <w:sz w:val="20"/>
                <w:szCs w:val="20"/>
              </w:rPr>
              <w:t xml:space="preserve"> Child </w:t>
            </w:r>
            <w:proofErr w:type="spellStart"/>
            <w:r w:rsidRPr="004D3474">
              <w:rPr>
                <w:rFonts w:ascii="Arial Narrow" w:hAnsi="Arial Narrow" w:cs="Arial"/>
                <w:sz w:val="20"/>
                <w:szCs w:val="20"/>
              </w:rPr>
              <w:t>Adolesc</w:t>
            </w:r>
            <w:proofErr w:type="spellEnd"/>
            <w:r w:rsidRPr="004D3474">
              <w:rPr>
                <w:rFonts w:ascii="Arial Narrow" w:hAnsi="Arial Narrow" w:cs="Arial"/>
                <w:sz w:val="20"/>
                <w:szCs w:val="20"/>
              </w:rPr>
              <w:t xml:space="preserve"> Psychiatry 2013d</w:t>
            </w:r>
            <w:proofErr w:type="gramStart"/>
            <w:r w:rsidRPr="004D3474">
              <w:rPr>
                <w:rFonts w:ascii="Arial Narrow" w:hAnsi="Arial Narrow" w:cs="Arial"/>
                <w:sz w:val="20"/>
                <w:szCs w:val="20"/>
              </w:rPr>
              <w:t>;22</w:t>
            </w:r>
            <w:proofErr w:type="gramEnd"/>
            <w:r w:rsidRPr="004D3474">
              <w:rPr>
                <w:rFonts w:ascii="Arial Narrow" w:hAnsi="Arial Narrow" w:cs="Arial"/>
                <w:sz w:val="20"/>
                <w:szCs w:val="20"/>
              </w:rPr>
              <w:t>(2):S125.</w:t>
            </w:r>
          </w:p>
        </w:tc>
      </w:tr>
      <w:tr w:rsidR="00A8400E" w:rsidRPr="004D3474" w:rsidTr="00BE5144">
        <w:tc>
          <w:tcPr>
            <w:tcW w:w="1276" w:type="dxa"/>
            <w:tcBorders>
              <w:top w:val="dotted" w:sz="4" w:space="0" w:color="auto"/>
            </w:tcBorders>
          </w:tcPr>
          <w:p w:rsidR="00A8400E" w:rsidRPr="004D3474" w:rsidRDefault="00A8400E" w:rsidP="009061DF">
            <w:pPr>
              <w:rPr>
                <w:rFonts w:ascii="Arial Narrow" w:hAnsi="Arial Narrow" w:cs="Arial"/>
                <w:sz w:val="20"/>
                <w:szCs w:val="20"/>
              </w:rPr>
            </w:pPr>
            <w:proofErr w:type="spellStart"/>
            <w:r w:rsidRPr="004D3474">
              <w:rPr>
                <w:rFonts w:ascii="Arial Narrow" w:hAnsi="Arial Narrow" w:cs="Arial"/>
                <w:sz w:val="20"/>
                <w:szCs w:val="20"/>
              </w:rPr>
              <w:t>Hodgkins</w:t>
            </w:r>
            <w:proofErr w:type="spellEnd"/>
            <w:r w:rsidRPr="004D3474">
              <w:rPr>
                <w:rFonts w:ascii="Arial Narrow" w:hAnsi="Arial Narrow" w:cs="Arial"/>
                <w:sz w:val="20"/>
                <w:szCs w:val="20"/>
              </w:rPr>
              <w:t xml:space="preserve"> et al</w:t>
            </w:r>
          </w:p>
        </w:tc>
        <w:tc>
          <w:tcPr>
            <w:tcW w:w="5103" w:type="dxa"/>
            <w:tcBorders>
              <w:top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 xml:space="preserve">Health utility scores in children and adolescents with attention-deficit/hyperactivity disorder: Response to stimulant treatment. </w:t>
            </w:r>
          </w:p>
        </w:tc>
        <w:tc>
          <w:tcPr>
            <w:tcW w:w="1985" w:type="dxa"/>
            <w:tcBorders>
              <w:top w:val="dotted" w:sz="4" w:space="0" w:color="auto"/>
            </w:tcBorders>
          </w:tcPr>
          <w:p w:rsidR="00A8400E" w:rsidRPr="004D3474" w:rsidRDefault="00A8400E" w:rsidP="009061DF">
            <w:pPr>
              <w:rPr>
                <w:rFonts w:ascii="Arial Narrow" w:hAnsi="Arial Narrow" w:cs="Arial"/>
                <w:sz w:val="20"/>
                <w:szCs w:val="20"/>
              </w:rPr>
            </w:pPr>
            <w:proofErr w:type="spellStart"/>
            <w:r w:rsidRPr="004D3474">
              <w:rPr>
                <w:rFonts w:ascii="Arial Narrow" w:hAnsi="Arial Narrow" w:cs="Arial"/>
                <w:sz w:val="20"/>
                <w:szCs w:val="20"/>
              </w:rPr>
              <w:t>Eur</w:t>
            </w:r>
            <w:proofErr w:type="spellEnd"/>
            <w:r w:rsidRPr="004D3474">
              <w:rPr>
                <w:rFonts w:ascii="Arial Narrow" w:hAnsi="Arial Narrow" w:cs="Arial"/>
                <w:sz w:val="20"/>
                <w:szCs w:val="20"/>
              </w:rPr>
              <w:t xml:space="preserve"> Child </w:t>
            </w:r>
            <w:proofErr w:type="spellStart"/>
            <w:r w:rsidRPr="004D3474">
              <w:rPr>
                <w:rFonts w:ascii="Arial Narrow" w:hAnsi="Arial Narrow" w:cs="Arial"/>
                <w:sz w:val="20"/>
                <w:szCs w:val="20"/>
              </w:rPr>
              <w:t>Adolesc</w:t>
            </w:r>
            <w:proofErr w:type="spellEnd"/>
            <w:r w:rsidRPr="004D3474">
              <w:rPr>
                <w:rFonts w:ascii="Arial Narrow" w:hAnsi="Arial Narrow" w:cs="Arial"/>
                <w:sz w:val="20"/>
                <w:szCs w:val="20"/>
              </w:rPr>
              <w:t xml:space="preserve"> Psychiatry 2013</w:t>
            </w:r>
            <w:proofErr w:type="gramStart"/>
            <w:r w:rsidRPr="004D3474">
              <w:rPr>
                <w:rFonts w:ascii="Arial Narrow" w:hAnsi="Arial Narrow" w:cs="Arial"/>
                <w:sz w:val="20"/>
                <w:szCs w:val="20"/>
              </w:rPr>
              <w:t>;22</w:t>
            </w:r>
            <w:proofErr w:type="gramEnd"/>
            <w:r w:rsidRPr="004D3474">
              <w:rPr>
                <w:rFonts w:ascii="Arial Narrow" w:hAnsi="Arial Narrow" w:cs="Arial"/>
                <w:sz w:val="20"/>
                <w:szCs w:val="20"/>
              </w:rPr>
              <w:t>(2):S127.</w:t>
            </w:r>
          </w:p>
        </w:tc>
      </w:tr>
      <w:tr w:rsidR="00A8400E" w:rsidRPr="004D3474" w:rsidTr="00BE5144">
        <w:tc>
          <w:tcPr>
            <w:tcW w:w="1276" w:type="dxa"/>
            <w:tcBorders>
              <w:top w:val="dotted" w:sz="4" w:space="0" w:color="auto"/>
            </w:tcBorders>
          </w:tcPr>
          <w:p w:rsidR="00A8400E" w:rsidRPr="004D3474" w:rsidRDefault="00A8400E" w:rsidP="009061DF">
            <w:pPr>
              <w:rPr>
                <w:rFonts w:ascii="Arial Narrow" w:hAnsi="Arial Narrow" w:cs="Arial"/>
                <w:sz w:val="20"/>
                <w:szCs w:val="20"/>
              </w:rPr>
            </w:pPr>
            <w:proofErr w:type="spellStart"/>
            <w:r w:rsidRPr="004D3474">
              <w:rPr>
                <w:rFonts w:ascii="Arial Narrow" w:hAnsi="Arial Narrow" w:cs="Arial"/>
                <w:sz w:val="20"/>
                <w:szCs w:val="20"/>
              </w:rPr>
              <w:t>Lecendreux</w:t>
            </w:r>
            <w:proofErr w:type="spellEnd"/>
            <w:r w:rsidRPr="004D3474">
              <w:rPr>
                <w:rFonts w:ascii="Arial Narrow" w:hAnsi="Arial Narrow" w:cs="Arial"/>
                <w:sz w:val="20"/>
                <w:szCs w:val="20"/>
              </w:rPr>
              <w:t xml:space="preserve"> et al.</w:t>
            </w:r>
          </w:p>
        </w:tc>
        <w:tc>
          <w:tcPr>
            <w:tcW w:w="5103" w:type="dxa"/>
            <w:tcBorders>
              <w:top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 xml:space="preserve">Weight related safety outcomes of </w:t>
            </w:r>
            <w:proofErr w:type="spellStart"/>
            <w:r w:rsidRPr="004D3474">
              <w:rPr>
                <w:rFonts w:ascii="Arial Narrow" w:hAnsi="Arial Narrow" w:cs="Arial"/>
                <w:sz w:val="20"/>
                <w:szCs w:val="20"/>
              </w:rPr>
              <w:t>lisdexamfetamine</w:t>
            </w:r>
            <w:proofErr w:type="spellEnd"/>
            <w:r w:rsidRPr="004D3474">
              <w:rPr>
                <w:rFonts w:ascii="Arial Narrow" w:hAnsi="Arial Narrow" w:cs="Arial"/>
                <w:sz w:val="20"/>
                <w:szCs w:val="20"/>
              </w:rPr>
              <w:t xml:space="preserve"> </w:t>
            </w:r>
            <w:proofErr w:type="spellStart"/>
            <w:r w:rsidRPr="004D3474">
              <w:rPr>
                <w:rFonts w:ascii="Arial Narrow" w:hAnsi="Arial Narrow" w:cs="Arial"/>
                <w:sz w:val="20"/>
                <w:szCs w:val="20"/>
              </w:rPr>
              <w:t>dimesylate</w:t>
            </w:r>
            <w:proofErr w:type="spellEnd"/>
            <w:r w:rsidRPr="004D3474">
              <w:rPr>
                <w:rFonts w:ascii="Arial Narrow" w:hAnsi="Arial Narrow" w:cs="Arial"/>
                <w:sz w:val="20"/>
                <w:szCs w:val="20"/>
              </w:rPr>
              <w:t xml:space="preserve"> in children and adolescents with attention-deficit/hyperactivity disorder. </w:t>
            </w:r>
          </w:p>
        </w:tc>
        <w:tc>
          <w:tcPr>
            <w:tcW w:w="1985" w:type="dxa"/>
            <w:tcBorders>
              <w:top w:val="dotted" w:sz="4" w:space="0" w:color="auto"/>
            </w:tcBorders>
          </w:tcPr>
          <w:p w:rsidR="00A8400E" w:rsidRPr="004D3474" w:rsidRDefault="00A8400E" w:rsidP="009061DF">
            <w:pPr>
              <w:rPr>
                <w:rFonts w:ascii="Arial Narrow" w:hAnsi="Arial Narrow" w:cs="Arial"/>
                <w:sz w:val="20"/>
                <w:szCs w:val="20"/>
              </w:rPr>
            </w:pPr>
            <w:proofErr w:type="spellStart"/>
            <w:r w:rsidRPr="004D3474">
              <w:rPr>
                <w:rFonts w:ascii="Arial Narrow" w:hAnsi="Arial Narrow" w:cs="Arial"/>
                <w:sz w:val="20"/>
                <w:szCs w:val="20"/>
              </w:rPr>
              <w:t>Eur</w:t>
            </w:r>
            <w:proofErr w:type="spellEnd"/>
            <w:r w:rsidRPr="004D3474">
              <w:rPr>
                <w:rFonts w:ascii="Arial Narrow" w:hAnsi="Arial Narrow" w:cs="Arial"/>
                <w:sz w:val="20"/>
                <w:szCs w:val="20"/>
              </w:rPr>
              <w:t xml:space="preserve"> Child </w:t>
            </w:r>
            <w:proofErr w:type="spellStart"/>
            <w:r w:rsidRPr="004D3474">
              <w:rPr>
                <w:rFonts w:ascii="Arial Narrow" w:hAnsi="Arial Narrow" w:cs="Arial"/>
                <w:sz w:val="20"/>
                <w:szCs w:val="20"/>
              </w:rPr>
              <w:t>Adolesc</w:t>
            </w:r>
            <w:proofErr w:type="spellEnd"/>
            <w:r w:rsidRPr="004D3474">
              <w:rPr>
                <w:rFonts w:ascii="Arial Narrow" w:hAnsi="Arial Narrow" w:cs="Arial"/>
                <w:sz w:val="20"/>
                <w:szCs w:val="20"/>
              </w:rPr>
              <w:t xml:space="preserve"> Psychiatry 2013;22(2):S223b.</w:t>
            </w:r>
          </w:p>
        </w:tc>
      </w:tr>
      <w:tr w:rsidR="00A8400E" w:rsidRPr="004D3474" w:rsidTr="00BE5144">
        <w:tc>
          <w:tcPr>
            <w:tcW w:w="8364" w:type="dxa"/>
            <w:gridSpan w:val="3"/>
          </w:tcPr>
          <w:p w:rsidR="00A8400E" w:rsidRPr="004D3474" w:rsidRDefault="00A8400E" w:rsidP="009061DF">
            <w:pPr>
              <w:rPr>
                <w:rFonts w:ascii="Arial Narrow" w:hAnsi="Arial Narrow" w:cs="Arial"/>
                <w:b/>
                <w:sz w:val="20"/>
                <w:szCs w:val="20"/>
              </w:rPr>
            </w:pPr>
            <w:r w:rsidRPr="004D3474">
              <w:rPr>
                <w:rFonts w:ascii="Arial Narrow" w:hAnsi="Arial Narrow" w:cs="Arial"/>
                <w:b/>
                <w:sz w:val="20"/>
                <w:szCs w:val="20"/>
              </w:rPr>
              <w:t>LDX versus placebo</w:t>
            </w:r>
          </w:p>
        </w:tc>
      </w:tr>
      <w:tr w:rsidR="00A8400E" w:rsidRPr="004D3474" w:rsidTr="00BE5144">
        <w:tc>
          <w:tcPr>
            <w:tcW w:w="1276" w:type="dxa"/>
            <w:tcBorders>
              <w:bottom w:val="dotted" w:sz="4" w:space="0" w:color="auto"/>
            </w:tcBorders>
          </w:tcPr>
          <w:p w:rsidR="00A8400E" w:rsidRPr="004D3474" w:rsidRDefault="00A8400E" w:rsidP="009061DF">
            <w:pPr>
              <w:rPr>
                <w:rFonts w:ascii="Arial Narrow" w:hAnsi="Arial Narrow" w:cs="Arial"/>
                <w:b/>
                <w:sz w:val="20"/>
                <w:szCs w:val="20"/>
              </w:rPr>
            </w:pPr>
            <w:r w:rsidRPr="004D3474">
              <w:rPr>
                <w:rFonts w:ascii="Arial Narrow" w:hAnsi="Arial Narrow" w:cs="Arial"/>
                <w:b/>
                <w:sz w:val="20"/>
                <w:szCs w:val="20"/>
              </w:rPr>
              <w:t>SPD489-301</w:t>
            </w:r>
          </w:p>
        </w:tc>
        <w:tc>
          <w:tcPr>
            <w:tcW w:w="5103" w:type="dxa"/>
            <w:tcBorders>
              <w:bottom w:val="dotted" w:sz="4" w:space="0" w:color="auto"/>
            </w:tcBorders>
          </w:tcPr>
          <w:p w:rsidR="00A8400E" w:rsidRPr="004D3474" w:rsidRDefault="00A8400E" w:rsidP="009061DF">
            <w:pPr>
              <w:rPr>
                <w:rFonts w:ascii="Arial Narrow" w:hAnsi="Arial Narrow" w:cs="Arial"/>
                <w:b/>
                <w:sz w:val="20"/>
                <w:szCs w:val="20"/>
              </w:rPr>
            </w:pPr>
            <w:r w:rsidRPr="004D3474">
              <w:rPr>
                <w:rFonts w:ascii="Arial Narrow" w:hAnsi="Arial Narrow" w:cs="Arial"/>
                <w:sz w:val="20"/>
                <w:szCs w:val="20"/>
              </w:rPr>
              <w:t>Phase 3 Randomized Double-Blind Placebo-Controlled Study of NRP104 in Children Aged 6-12 With ADHD</w:t>
            </w:r>
          </w:p>
        </w:tc>
        <w:tc>
          <w:tcPr>
            <w:tcW w:w="1985" w:type="dxa"/>
            <w:tcBorders>
              <w:bottom w:val="dotted" w:sz="4" w:space="0" w:color="auto"/>
            </w:tcBorders>
          </w:tcPr>
          <w:p w:rsidR="00A8400E" w:rsidRPr="004D3474" w:rsidRDefault="00A8400E" w:rsidP="009061DF">
            <w:pPr>
              <w:rPr>
                <w:rFonts w:ascii="Arial Narrow" w:hAnsi="Arial Narrow" w:cs="Arial"/>
                <w:b/>
                <w:sz w:val="20"/>
                <w:szCs w:val="20"/>
              </w:rPr>
            </w:pPr>
            <w:r w:rsidRPr="004D3474">
              <w:rPr>
                <w:rFonts w:ascii="Arial Narrow" w:hAnsi="Arial Narrow" w:cs="Arial"/>
                <w:sz w:val="20"/>
                <w:szCs w:val="20"/>
              </w:rPr>
              <w:t>2 November 2005</w:t>
            </w:r>
          </w:p>
        </w:tc>
      </w:tr>
      <w:tr w:rsidR="00A8400E" w:rsidRPr="004D3474" w:rsidTr="00BE5144">
        <w:tc>
          <w:tcPr>
            <w:tcW w:w="1276" w:type="dxa"/>
            <w:tcBorders>
              <w:top w:val="dotted" w:sz="4" w:space="0" w:color="auto"/>
              <w:bottom w:val="dotted" w:sz="4" w:space="0" w:color="auto"/>
            </w:tcBorders>
          </w:tcPr>
          <w:p w:rsidR="00A8400E" w:rsidRPr="004D3474" w:rsidRDefault="00A8400E" w:rsidP="009061DF">
            <w:pPr>
              <w:rPr>
                <w:rFonts w:ascii="Arial Narrow" w:hAnsi="Arial Narrow" w:cs="Arial"/>
                <w:sz w:val="20"/>
                <w:szCs w:val="20"/>
              </w:rPr>
            </w:pPr>
            <w:proofErr w:type="spellStart"/>
            <w:r w:rsidRPr="004D3474">
              <w:rPr>
                <w:rFonts w:ascii="Arial Narrow" w:hAnsi="Arial Narrow" w:cs="Arial"/>
                <w:sz w:val="20"/>
                <w:szCs w:val="20"/>
              </w:rPr>
              <w:t>Biederman</w:t>
            </w:r>
            <w:proofErr w:type="spellEnd"/>
            <w:r w:rsidRPr="004D3474">
              <w:rPr>
                <w:rFonts w:ascii="Arial Narrow" w:hAnsi="Arial Narrow" w:cs="Arial"/>
                <w:sz w:val="20"/>
                <w:szCs w:val="20"/>
              </w:rPr>
              <w:t xml:space="preserve"> et al </w:t>
            </w:r>
          </w:p>
        </w:tc>
        <w:tc>
          <w:tcPr>
            <w:tcW w:w="5103" w:type="dxa"/>
            <w:tcBorders>
              <w:top w:val="dotted" w:sz="4" w:space="0" w:color="auto"/>
              <w:bottom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 xml:space="preserve">Efficacy and Tolerability of </w:t>
            </w:r>
            <w:proofErr w:type="spellStart"/>
            <w:r w:rsidRPr="004D3474">
              <w:rPr>
                <w:rFonts w:ascii="Arial Narrow" w:hAnsi="Arial Narrow" w:cs="Arial"/>
                <w:sz w:val="20"/>
                <w:szCs w:val="20"/>
              </w:rPr>
              <w:t>Lisdexamfetamine</w:t>
            </w:r>
            <w:proofErr w:type="spellEnd"/>
            <w:r w:rsidRPr="004D3474">
              <w:rPr>
                <w:rFonts w:ascii="Arial Narrow" w:hAnsi="Arial Narrow" w:cs="Arial"/>
                <w:sz w:val="20"/>
                <w:szCs w:val="20"/>
              </w:rPr>
              <w:t xml:space="preserve"> </w:t>
            </w:r>
            <w:proofErr w:type="spellStart"/>
            <w:r w:rsidRPr="004D3474">
              <w:rPr>
                <w:rFonts w:ascii="Arial Narrow" w:hAnsi="Arial Narrow" w:cs="Arial"/>
                <w:sz w:val="20"/>
                <w:szCs w:val="20"/>
              </w:rPr>
              <w:t>Dimesylate</w:t>
            </w:r>
            <w:proofErr w:type="spellEnd"/>
            <w:r w:rsidRPr="004D3474">
              <w:rPr>
                <w:rFonts w:ascii="Arial Narrow" w:hAnsi="Arial Narrow" w:cs="Arial"/>
                <w:sz w:val="20"/>
                <w:szCs w:val="20"/>
              </w:rPr>
              <w:t xml:space="preserve"> (NRP-104) in Children with Attention-Deficit/Hyperactivity Disorder: A Phase </w:t>
            </w:r>
            <w:proofErr w:type="spellStart"/>
            <w:r w:rsidRPr="004D3474">
              <w:rPr>
                <w:rFonts w:ascii="Arial Narrow" w:hAnsi="Arial Narrow" w:cs="Arial"/>
                <w:sz w:val="20"/>
                <w:szCs w:val="20"/>
              </w:rPr>
              <w:t>lll</w:t>
            </w:r>
            <w:proofErr w:type="spellEnd"/>
            <w:r w:rsidRPr="004D3474">
              <w:rPr>
                <w:rFonts w:ascii="Arial Narrow" w:hAnsi="Arial Narrow" w:cs="Arial"/>
                <w:sz w:val="20"/>
                <w:szCs w:val="20"/>
              </w:rPr>
              <w:t xml:space="preserve">, </w:t>
            </w:r>
            <w:proofErr w:type="spellStart"/>
            <w:r w:rsidRPr="004D3474">
              <w:rPr>
                <w:rFonts w:ascii="Arial Narrow" w:hAnsi="Arial Narrow" w:cs="Arial"/>
                <w:sz w:val="20"/>
                <w:szCs w:val="20"/>
              </w:rPr>
              <w:t>Multicenter</w:t>
            </w:r>
            <w:proofErr w:type="spellEnd"/>
            <w:r w:rsidRPr="004D3474">
              <w:rPr>
                <w:rFonts w:ascii="Arial Narrow" w:hAnsi="Arial Narrow" w:cs="Arial"/>
                <w:sz w:val="20"/>
                <w:szCs w:val="20"/>
              </w:rPr>
              <w:t>, Randomized, Double- Blind, Forced-Dose, Parallel-Group Study.</w:t>
            </w:r>
          </w:p>
        </w:tc>
        <w:tc>
          <w:tcPr>
            <w:tcW w:w="1985" w:type="dxa"/>
            <w:tcBorders>
              <w:top w:val="dotted" w:sz="4" w:space="0" w:color="auto"/>
              <w:bottom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Clinical Therapeutics, Volume 29, Number 3, 2007</w:t>
            </w:r>
          </w:p>
        </w:tc>
      </w:tr>
      <w:tr w:rsidR="00A8400E" w:rsidRPr="004D3474" w:rsidTr="00BE5144">
        <w:tc>
          <w:tcPr>
            <w:tcW w:w="1276" w:type="dxa"/>
            <w:tcBorders>
              <w:top w:val="dotted" w:sz="4" w:space="0" w:color="auto"/>
              <w:bottom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lastRenderedPageBreak/>
              <w:t xml:space="preserve">Childress et al </w:t>
            </w:r>
          </w:p>
        </w:tc>
        <w:tc>
          <w:tcPr>
            <w:tcW w:w="5103" w:type="dxa"/>
            <w:tcBorders>
              <w:top w:val="dotted" w:sz="4" w:space="0" w:color="auto"/>
              <w:bottom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 xml:space="preserve">The effects of </w:t>
            </w:r>
            <w:proofErr w:type="spellStart"/>
            <w:r w:rsidRPr="004D3474">
              <w:rPr>
                <w:rFonts w:ascii="Arial Narrow" w:hAnsi="Arial Narrow" w:cs="Arial"/>
                <w:sz w:val="20"/>
                <w:szCs w:val="20"/>
              </w:rPr>
              <w:t>lisdexamfetamine</w:t>
            </w:r>
            <w:proofErr w:type="spellEnd"/>
            <w:r w:rsidRPr="004D3474">
              <w:rPr>
                <w:rFonts w:ascii="Arial Narrow" w:hAnsi="Arial Narrow" w:cs="Arial"/>
                <w:sz w:val="20"/>
                <w:szCs w:val="20"/>
              </w:rPr>
              <w:t xml:space="preserve"> </w:t>
            </w:r>
            <w:proofErr w:type="spellStart"/>
            <w:r w:rsidRPr="004D3474">
              <w:rPr>
                <w:rFonts w:ascii="Arial Narrow" w:hAnsi="Arial Narrow" w:cs="Arial"/>
                <w:sz w:val="20"/>
                <w:szCs w:val="20"/>
              </w:rPr>
              <w:t>dimesylate</w:t>
            </w:r>
            <w:proofErr w:type="spellEnd"/>
            <w:r w:rsidRPr="004D3474">
              <w:rPr>
                <w:rFonts w:ascii="Arial Narrow" w:hAnsi="Arial Narrow" w:cs="Arial"/>
                <w:sz w:val="20"/>
                <w:szCs w:val="20"/>
              </w:rPr>
              <w:t xml:space="preserve"> on emotional </w:t>
            </w:r>
            <w:proofErr w:type="spellStart"/>
            <w:r w:rsidRPr="004D3474">
              <w:rPr>
                <w:rFonts w:ascii="Arial Narrow" w:hAnsi="Arial Narrow" w:cs="Arial"/>
                <w:sz w:val="20"/>
                <w:szCs w:val="20"/>
              </w:rPr>
              <w:t>lability</w:t>
            </w:r>
            <w:proofErr w:type="spellEnd"/>
            <w:r w:rsidRPr="004D3474">
              <w:rPr>
                <w:rFonts w:ascii="Arial Narrow" w:hAnsi="Arial Narrow" w:cs="Arial"/>
                <w:sz w:val="20"/>
                <w:szCs w:val="20"/>
              </w:rPr>
              <w:t xml:space="preserve"> in children aged 6-12 years with attention-deficit/hyperactivity disorder in a double-blind, placebo-controlled trial. </w:t>
            </w:r>
          </w:p>
        </w:tc>
        <w:tc>
          <w:tcPr>
            <w:tcW w:w="1985" w:type="dxa"/>
            <w:tcBorders>
              <w:top w:val="dotted" w:sz="4" w:space="0" w:color="auto"/>
              <w:bottom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European Child and Adolescent Psychiatry 2010a, Volume 19, S78</w:t>
            </w:r>
          </w:p>
        </w:tc>
      </w:tr>
      <w:tr w:rsidR="00A8400E" w:rsidRPr="004D3474" w:rsidTr="00BE5144">
        <w:tc>
          <w:tcPr>
            <w:tcW w:w="1276" w:type="dxa"/>
            <w:tcBorders>
              <w:top w:val="dotted" w:sz="4" w:space="0" w:color="auto"/>
              <w:bottom w:val="dotted" w:sz="4" w:space="0" w:color="auto"/>
            </w:tcBorders>
          </w:tcPr>
          <w:p w:rsidR="00A8400E" w:rsidRPr="004D3474" w:rsidRDefault="00A8400E" w:rsidP="009061DF">
            <w:pPr>
              <w:rPr>
                <w:rFonts w:ascii="Arial Narrow" w:hAnsi="Arial Narrow" w:cs="Arial"/>
                <w:sz w:val="20"/>
                <w:szCs w:val="20"/>
              </w:rPr>
            </w:pPr>
            <w:proofErr w:type="spellStart"/>
            <w:r w:rsidRPr="004D3474">
              <w:rPr>
                <w:rFonts w:ascii="Arial Narrow" w:hAnsi="Arial Narrow" w:cs="Arial"/>
                <w:sz w:val="20"/>
                <w:szCs w:val="20"/>
              </w:rPr>
              <w:t>Findling</w:t>
            </w:r>
            <w:proofErr w:type="spellEnd"/>
            <w:r w:rsidRPr="004D3474">
              <w:rPr>
                <w:rFonts w:ascii="Arial Narrow" w:hAnsi="Arial Narrow" w:cs="Arial"/>
                <w:sz w:val="20"/>
                <w:szCs w:val="20"/>
              </w:rPr>
              <w:t xml:space="preserve"> et al</w:t>
            </w:r>
          </w:p>
        </w:tc>
        <w:tc>
          <w:tcPr>
            <w:tcW w:w="5103" w:type="dxa"/>
            <w:tcBorders>
              <w:top w:val="dotted" w:sz="4" w:space="0" w:color="auto"/>
              <w:bottom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 xml:space="preserve">Clinical Response and Symptomatic Remission in Children Treated With </w:t>
            </w:r>
            <w:proofErr w:type="spellStart"/>
            <w:r w:rsidRPr="004D3474">
              <w:rPr>
                <w:rFonts w:ascii="Arial Narrow" w:hAnsi="Arial Narrow" w:cs="Arial"/>
                <w:sz w:val="20"/>
                <w:szCs w:val="20"/>
              </w:rPr>
              <w:t>Lisdexamfetamine</w:t>
            </w:r>
            <w:proofErr w:type="spellEnd"/>
            <w:r w:rsidRPr="004D3474">
              <w:rPr>
                <w:rFonts w:ascii="Arial Narrow" w:hAnsi="Arial Narrow" w:cs="Arial"/>
                <w:sz w:val="20"/>
                <w:szCs w:val="20"/>
              </w:rPr>
              <w:t xml:space="preserve"> </w:t>
            </w:r>
            <w:proofErr w:type="spellStart"/>
            <w:r w:rsidRPr="004D3474">
              <w:rPr>
                <w:rFonts w:ascii="Arial Narrow" w:hAnsi="Arial Narrow" w:cs="Arial"/>
                <w:sz w:val="20"/>
                <w:szCs w:val="20"/>
              </w:rPr>
              <w:t>Dimesylate</w:t>
            </w:r>
            <w:proofErr w:type="spellEnd"/>
            <w:r w:rsidRPr="004D3474">
              <w:rPr>
                <w:rFonts w:ascii="Arial Narrow" w:hAnsi="Arial Narrow" w:cs="Arial"/>
                <w:sz w:val="20"/>
                <w:szCs w:val="20"/>
              </w:rPr>
              <w:t xml:space="preserve"> for Attention-Deficit/Hyperactivity Disorder.</w:t>
            </w:r>
          </w:p>
        </w:tc>
        <w:tc>
          <w:tcPr>
            <w:tcW w:w="1985" w:type="dxa"/>
            <w:tcBorders>
              <w:top w:val="dotted" w:sz="4" w:space="0" w:color="auto"/>
              <w:bottom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 xml:space="preserve">CNS </w:t>
            </w:r>
            <w:proofErr w:type="spellStart"/>
            <w:r w:rsidRPr="004D3474">
              <w:rPr>
                <w:rFonts w:ascii="Arial Narrow" w:hAnsi="Arial Narrow" w:cs="Arial"/>
                <w:sz w:val="20"/>
                <w:szCs w:val="20"/>
              </w:rPr>
              <w:t>Spectr</w:t>
            </w:r>
            <w:proofErr w:type="spellEnd"/>
            <w:r w:rsidRPr="004D3474">
              <w:rPr>
                <w:rFonts w:ascii="Arial Narrow" w:hAnsi="Arial Narrow" w:cs="Arial"/>
                <w:sz w:val="20"/>
                <w:szCs w:val="20"/>
              </w:rPr>
              <w:t xml:space="preserve"> 15:9, September 2010, p559-568.</w:t>
            </w:r>
          </w:p>
        </w:tc>
      </w:tr>
      <w:tr w:rsidR="00A8400E" w:rsidRPr="004D3474" w:rsidTr="00BE5144">
        <w:tc>
          <w:tcPr>
            <w:tcW w:w="1276" w:type="dxa"/>
            <w:tcBorders>
              <w:top w:val="dotted" w:sz="4" w:space="0" w:color="auto"/>
              <w:bottom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Jain et al</w:t>
            </w:r>
          </w:p>
        </w:tc>
        <w:tc>
          <w:tcPr>
            <w:tcW w:w="5103" w:type="dxa"/>
            <w:tcBorders>
              <w:top w:val="dotted" w:sz="4" w:space="0" w:color="auto"/>
              <w:bottom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 xml:space="preserve">Efficacy of </w:t>
            </w:r>
            <w:proofErr w:type="spellStart"/>
            <w:r w:rsidRPr="004D3474">
              <w:rPr>
                <w:rFonts w:ascii="Arial Narrow" w:hAnsi="Arial Narrow" w:cs="Arial"/>
                <w:sz w:val="20"/>
                <w:szCs w:val="20"/>
              </w:rPr>
              <w:t>lisdexamfetamine</w:t>
            </w:r>
            <w:proofErr w:type="spellEnd"/>
            <w:r w:rsidRPr="004D3474">
              <w:rPr>
                <w:rFonts w:ascii="Arial Narrow" w:hAnsi="Arial Narrow" w:cs="Arial"/>
                <w:sz w:val="20"/>
                <w:szCs w:val="20"/>
              </w:rPr>
              <w:t xml:space="preserve"> </w:t>
            </w:r>
            <w:proofErr w:type="spellStart"/>
            <w:r w:rsidRPr="004D3474">
              <w:rPr>
                <w:rFonts w:ascii="Arial Narrow" w:hAnsi="Arial Narrow" w:cs="Arial"/>
                <w:sz w:val="20"/>
                <w:szCs w:val="20"/>
              </w:rPr>
              <w:t>dimesylate</w:t>
            </w:r>
            <w:proofErr w:type="spellEnd"/>
            <w:r w:rsidRPr="004D3474">
              <w:rPr>
                <w:rFonts w:ascii="Arial Narrow" w:hAnsi="Arial Narrow" w:cs="Arial"/>
                <w:sz w:val="20"/>
                <w:szCs w:val="20"/>
              </w:rPr>
              <w:t xml:space="preserve"> in children with attention-deficit/hyperactivity disorder previously treated with methylphenidate: a post hoc analysis.</w:t>
            </w:r>
          </w:p>
        </w:tc>
        <w:tc>
          <w:tcPr>
            <w:tcW w:w="1985" w:type="dxa"/>
            <w:tcBorders>
              <w:top w:val="dotted" w:sz="4" w:space="0" w:color="auto"/>
              <w:bottom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Child and Adolescent Psychiatry and Mental Health 2011, 5:35</w:t>
            </w:r>
          </w:p>
        </w:tc>
      </w:tr>
      <w:tr w:rsidR="00A8400E" w:rsidRPr="004D3474" w:rsidTr="00BE5144">
        <w:tc>
          <w:tcPr>
            <w:tcW w:w="1276" w:type="dxa"/>
            <w:tcBorders>
              <w:top w:val="dotted" w:sz="4" w:space="0" w:color="auto"/>
              <w:bottom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 xml:space="preserve">Lopez et al </w:t>
            </w:r>
          </w:p>
        </w:tc>
        <w:tc>
          <w:tcPr>
            <w:tcW w:w="5103" w:type="dxa"/>
            <w:tcBorders>
              <w:top w:val="dotted" w:sz="4" w:space="0" w:color="auto"/>
              <w:bottom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 xml:space="preserve">Effect of </w:t>
            </w:r>
            <w:proofErr w:type="spellStart"/>
            <w:r w:rsidRPr="004D3474">
              <w:rPr>
                <w:rFonts w:ascii="Arial Narrow" w:hAnsi="Arial Narrow" w:cs="Arial"/>
                <w:sz w:val="20"/>
                <w:szCs w:val="20"/>
              </w:rPr>
              <w:t>lisdexamfetamine</w:t>
            </w:r>
            <w:proofErr w:type="spellEnd"/>
            <w:r w:rsidRPr="004D3474">
              <w:rPr>
                <w:rFonts w:ascii="Arial Narrow" w:hAnsi="Arial Narrow" w:cs="Arial"/>
                <w:sz w:val="20"/>
                <w:szCs w:val="20"/>
              </w:rPr>
              <w:t xml:space="preserve"> </w:t>
            </w:r>
            <w:proofErr w:type="spellStart"/>
            <w:r w:rsidRPr="004D3474">
              <w:rPr>
                <w:rFonts w:ascii="Arial Narrow" w:hAnsi="Arial Narrow" w:cs="Arial"/>
                <w:sz w:val="20"/>
                <w:szCs w:val="20"/>
              </w:rPr>
              <w:t>dimesylate</w:t>
            </w:r>
            <w:proofErr w:type="spellEnd"/>
            <w:r w:rsidRPr="004D3474">
              <w:rPr>
                <w:rFonts w:ascii="Arial Narrow" w:hAnsi="Arial Narrow" w:cs="Arial"/>
                <w:sz w:val="20"/>
                <w:szCs w:val="20"/>
              </w:rPr>
              <w:t xml:space="preserve"> on parent-rated measures in children aged 6 to 12 years with attention-deficit/hyperactivity disorder: A secondary analysis.</w:t>
            </w:r>
          </w:p>
        </w:tc>
        <w:tc>
          <w:tcPr>
            <w:tcW w:w="1985" w:type="dxa"/>
            <w:tcBorders>
              <w:top w:val="dotted" w:sz="4" w:space="0" w:color="auto"/>
              <w:bottom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Postgraduate Medicine, 2008, Volume 120, Issue 3, p89-102.</w:t>
            </w:r>
          </w:p>
        </w:tc>
      </w:tr>
      <w:tr w:rsidR="00A8400E" w:rsidRPr="004D3474" w:rsidTr="00BE5144">
        <w:tc>
          <w:tcPr>
            <w:tcW w:w="1276" w:type="dxa"/>
            <w:tcBorders>
              <w:top w:val="dotted" w:sz="4" w:space="0" w:color="auto"/>
            </w:tcBorders>
          </w:tcPr>
          <w:p w:rsidR="00A8400E" w:rsidRPr="004D3474" w:rsidRDefault="00A8400E" w:rsidP="009061DF">
            <w:pPr>
              <w:rPr>
                <w:rFonts w:ascii="Arial Narrow" w:hAnsi="Arial Narrow" w:cs="Arial"/>
                <w:sz w:val="20"/>
                <w:szCs w:val="20"/>
              </w:rPr>
            </w:pPr>
            <w:proofErr w:type="spellStart"/>
            <w:r w:rsidRPr="004D3474">
              <w:rPr>
                <w:rFonts w:ascii="Arial Narrow" w:hAnsi="Arial Narrow" w:cs="Arial"/>
                <w:sz w:val="20"/>
                <w:szCs w:val="20"/>
              </w:rPr>
              <w:t>Waxmonsky</w:t>
            </w:r>
            <w:proofErr w:type="spellEnd"/>
            <w:r w:rsidRPr="004D3474">
              <w:rPr>
                <w:rFonts w:ascii="Arial Narrow" w:hAnsi="Arial Narrow" w:cs="Arial"/>
                <w:sz w:val="20"/>
                <w:szCs w:val="20"/>
              </w:rPr>
              <w:t xml:space="preserve"> et al</w:t>
            </w:r>
          </w:p>
        </w:tc>
        <w:tc>
          <w:tcPr>
            <w:tcW w:w="5103" w:type="dxa"/>
            <w:tcBorders>
              <w:top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 xml:space="preserve">Prediction of placebo response in 2 clinical trials of </w:t>
            </w:r>
            <w:proofErr w:type="spellStart"/>
            <w:r w:rsidRPr="004D3474">
              <w:rPr>
                <w:rFonts w:ascii="Arial Narrow" w:hAnsi="Arial Narrow" w:cs="Arial"/>
                <w:sz w:val="20"/>
                <w:szCs w:val="20"/>
              </w:rPr>
              <w:t>lisdexamfetamine</w:t>
            </w:r>
            <w:proofErr w:type="spellEnd"/>
            <w:r w:rsidRPr="004D3474">
              <w:rPr>
                <w:rFonts w:ascii="Arial Narrow" w:hAnsi="Arial Narrow" w:cs="Arial"/>
                <w:sz w:val="20"/>
                <w:szCs w:val="20"/>
              </w:rPr>
              <w:t xml:space="preserve"> </w:t>
            </w:r>
            <w:proofErr w:type="spellStart"/>
            <w:r w:rsidRPr="004D3474">
              <w:rPr>
                <w:rFonts w:ascii="Arial Narrow" w:hAnsi="Arial Narrow" w:cs="Arial"/>
                <w:sz w:val="20"/>
                <w:szCs w:val="20"/>
              </w:rPr>
              <w:t>dimesylate</w:t>
            </w:r>
            <w:proofErr w:type="spellEnd"/>
            <w:r w:rsidRPr="004D3474">
              <w:rPr>
                <w:rFonts w:ascii="Arial Narrow" w:hAnsi="Arial Narrow" w:cs="Arial"/>
                <w:sz w:val="20"/>
                <w:szCs w:val="20"/>
              </w:rPr>
              <w:t xml:space="preserve"> for the treatment of ADHD</w:t>
            </w:r>
          </w:p>
        </w:tc>
        <w:tc>
          <w:tcPr>
            <w:tcW w:w="1985" w:type="dxa"/>
            <w:tcBorders>
              <w:top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Journal of Clinical Psychiatry, 2011, Volume 72, Issue 10, p1366-1375.</w:t>
            </w:r>
          </w:p>
        </w:tc>
      </w:tr>
      <w:tr w:rsidR="00A8400E" w:rsidRPr="004D3474" w:rsidTr="00BE5144">
        <w:tc>
          <w:tcPr>
            <w:tcW w:w="1276" w:type="dxa"/>
            <w:tcBorders>
              <w:bottom w:val="dotted" w:sz="4" w:space="0" w:color="auto"/>
            </w:tcBorders>
          </w:tcPr>
          <w:p w:rsidR="00A8400E" w:rsidRPr="004D3474" w:rsidRDefault="00A8400E" w:rsidP="009061DF">
            <w:pPr>
              <w:rPr>
                <w:rFonts w:ascii="Arial Narrow" w:hAnsi="Arial Narrow" w:cs="Arial"/>
                <w:b/>
                <w:sz w:val="20"/>
                <w:szCs w:val="20"/>
              </w:rPr>
            </w:pPr>
            <w:r w:rsidRPr="004D3474">
              <w:rPr>
                <w:rFonts w:ascii="Arial Narrow" w:hAnsi="Arial Narrow" w:cs="Arial"/>
                <w:b/>
                <w:sz w:val="20"/>
                <w:szCs w:val="20"/>
              </w:rPr>
              <w:t>SPD489-305</w:t>
            </w:r>
          </w:p>
        </w:tc>
        <w:tc>
          <w:tcPr>
            <w:tcW w:w="5103" w:type="dxa"/>
            <w:tcBorders>
              <w:bottom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 xml:space="preserve">Efficacy and Safety of </w:t>
            </w:r>
            <w:proofErr w:type="spellStart"/>
            <w:r w:rsidRPr="004D3474">
              <w:rPr>
                <w:rFonts w:ascii="Arial Narrow" w:hAnsi="Arial Narrow" w:cs="Arial"/>
                <w:sz w:val="20"/>
                <w:szCs w:val="20"/>
              </w:rPr>
              <w:t>Lisdexamfetamine</w:t>
            </w:r>
            <w:proofErr w:type="spellEnd"/>
            <w:r w:rsidRPr="004D3474">
              <w:rPr>
                <w:rFonts w:ascii="Arial Narrow" w:hAnsi="Arial Narrow" w:cs="Arial"/>
                <w:sz w:val="20"/>
                <w:szCs w:val="20"/>
              </w:rPr>
              <w:t xml:space="preserve"> </w:t>
            </w:r>
            <w:proofErr w:type="spellStart"/>
            <w:r w:rsidRPr="004D3474">
              <w:rPr>
                <w:rFonts w:ascii="Arial Narrow" w:hAnsi="Arial Narrow" w:cs="Arial"/>
                <w:sz w:val="20"/>
                <w:szCs w:val="20"/>
              </w:rPr>
              <w:t>Dimesilate</w:t>
            </w:r>
            <w:proofErr w:type="spellEnd"/>
            <w:r w:rsidRPr="004D3474">
              <w:rPr>
                <w:rFonts w:ascii="Arial Narrow" w:hAnsi="Arial Narrow" w:cs="Arial"/>
                <w:sz w:val="20"/>
                <w:szCs w:val="20"/>
              </w:rPr>
              <w:t xml:space="preserve"> (LDX) in Adolescents With Attention-Deficit/Hyperactivity Disorder (ADHD)</w:t>
            </w:r>
          </w:p>
        </w:tc>
        <w:tc>
          <w:tcPr>
            <w:tcW w:w="1985" w:type="dxa"/>
            <w:tcBorders>
              <w:bottom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17 August 2009</w:t>
            </w:r>
          </w:p>
        </w:tc>
      </w:tr>
      <w:tr w:rsidR="00A8400E" w:rsidRPr="004D3474" w:rsidTr="00BE5144">
        <w:tc>
          <w:tcPr>
            <w:tcW w:w="1276" w:type="dxa"/>
            <w:tcBorders>
              <w:top w:val="dotted" w:sz="4" w:space="0" w:color="auto"/>
              <w:bottom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 xml:space="preserve">Childress et al </w:t>
            </w:r>
          </w:p>
        </w:tc>
        <w:tc>
          <w:tcPr>
            <w:tcW w:w="5103" w:type="dxa"/>
            <w:tcBorders>
              <w:top w:val="dotted" w:sz="4" w:space="0" w:color="auto"/>
              <w:bottom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 xml:space="preserve">Double-blind, placebo-controlled efficacy and safety study of </w:t>
            </w:r>
            <w:proofErr w:type="spellStart"/>
            <w:r w:rsidRPr="004D3474">
              <w:rPr>
                <w:rFonts w:ascii="Arial Narrow" w:hAnsi="Arial Narrow" w:cs="Arial"/>
                <w:sz w:val="20"/>
                <w:szCs w:val="20"/>
              </w:rPr>
              <w:t>lisdexamfetamine</w:t>
            </w:r>
            <w:proofErr w:type="spellEnd"/>
            <w:r w:rsidRPr="004D3474">
              <w:rPr>
                <w:rFonts w:ascii="Arial Narrow" w:hAnsi="Arial Narrow" w:cs="Arial"/>
                <w:sz w:val="20"/>
                <w:szCs w:val="20"/>
              </w:rPr>
              <w:t xml:space="preserve"> </w:t>
            </w:r>
            <w:proofErr w:type="spellStart"/>
            <w:r w:rsidRPr="004D3474">
              <w:rPr>
                <w:rFonts w:ascii="Arial Narrow" w:hAnsi="Arial Narrow" w:cs="Arial"/>
                <w:sz w:val="20"/>
                <w:szCs w:val="20"/>
              </w:rPr>
              <w:t>dimesylate</w:t>
            </w:r>
            <w:proofErr w:type="spellEnd"/>
            <w:r w:rsidRPr="004D3474">
              <w:rPr>
                <w:rFonts w:ascii="Arial Narrow" w:hAnsi="Arial Narrow" w:cs="Arial"/>
                <w:sz w:val="20"/>
                <w:szCs w:val="20"/>
              </w:rPr>
              <w:t xml:space="preserve"> in adolescents with Attention Deficit Hyperactivity Disorder (ADHD).</w:t>
            </w:r>
          </w:p>
        </w:tc>
        <w:tc>
          <w:tcPr>
            <w:tcW w:w="1985" w:type="dxa"/>
            <w:tcBorders>
              <w:top w:val="dotted" w:sz="4" w:space="0" w:color="auto"/>
              <w:bottom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Journal of Child and Adolescent Psychopharmacology, 2010b, Volume 20, Issue 6, p533.  (conference abstract)</w:t>
            </w:r>
          </w:p>
        </w:tc>
      </w:tr>
      <w:tr w:rsidR="00A8400E" w:rsidRPr="004D3474" w:rsidTr="00BE5144">
        <w:tc>
          <w:tcPr>
            <w:tcW w:w="1276" w:type="dxa"/>
            <w:tcBorders>
              <w:top w:val="dotted" w:sz="4" w:space="0" w:color="auto"/>
              <w:bottom w:val="dotted" w:sz="4" w:space="0" w:color="auto"/>
            </w:tcBorders>
          </w:tcPr>
          <w:p w:rsidR="00A8400E" w:rsidRPr="004D3474" w:rsidRDefault="00A8400E" w:rsidP="009061DF">
            <w:pPr>
              <w:rPr>
                <w:rFonts w:ascii="Arial Narrow" w:hAnsi="Arial Narrow" w:cs="Arial"/>
                <w:sz w:val="20"/>
                <w:szCs w:val="20"/>
              </w:rPr>
            </w:pPr>
            <w:proofErr w:type="spellStart"/>
            <w:r w:rsidRPr="004D3474">
              <w:rPr>
                <w:rFonts w:ascii="Arial Narrow" w:hAnsi="Arial Narrow" w:cs="Arial"/>
                <w:sz w:val="20"/>
                <w:szCs w:val="20"/>
              </w:rPr>
              <w:t>Findling</w:t>
            </w:r>
            <w:proofErr w:type="spellEnd"/>
            <w:r w:rsidRPr="004D3474">
              <w:rPr>
                <w:rFonts w:ascii="Arial Narrow" w:hAnsi="Arial Narrow" w:cs="Arial"/>
                <w:sz w:val="20"/>
                <w:szCs w:val="20"/>
              </w:rPr>
              <w:t xml:space="preserve"> et al </w:t>
            </w:r>
          </w:p>
        </w:tc>
        <w:tc>
          <w:tcPr>
            <w:tcW w:w="5103" w:type="dxa"/>
            <w:tcBorders>
              <w:top w:val="dotted" w:sz="4" w:space="0" w:color="auto"/>
              <w:bottom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 xml:space="preserve">Efficacy and safety of </w:t>
            </w:r>
            <w:proofErr w:type="spellStart"/>
            <w:r w:rsidRPr="004D3474">
              <w:rPr>
                <w:rFonts w:ascii="Arial Narrow" w:hAnsi="Arial Narrow" w:cs="Arial"/>
                <w:sz w:val="20"/>
                <w:szCs w:val="20"/>
              </w:rPr>
              <w:t>lisdexamfetamine</w:t>
            </w:r>
            <w:proofErr w:type="spellEnd"/>
            <w:r w:rsidRPr="004D3474">
              <w:rPr>
                <w:rFonts w:ascii="Arial Narrow" w:hAnsi="Arial Narrow" w:cs="Arial"/>
                <w:sz w:val="20"/>
                <w:szCs w:val="20"/>
              </w:rPr>
              <w:t xml:space="preserve"> </w:t>
            </w:r>
            <w:proofErr w:type="spellStart"/>
            <w:r w:rsidRPr="004D3474">
              <w:rPr>
                <w:rFonts w:ascii="Arial Narrow" w:hAnsi="Arial Narrow" w:cs="Arial"/>
                <w:sz w:val="20"/>
                <w:szCs w:val="20"/>
              </w:rPr>
              <w:t>dimesylate</w:t>
            </w:r>
            <w:proofErr w:type="spellEnd"/>
            <w:r w:rsidRPr="004D3474">
              <w:rPr>
                <w:rFonts w:ascii="Arial Narrow" w:hAnsi="Arial Narrow" w:cs="Arial"/>
                <w:sz w:val="20"/>
                <w:szCs w:val="20"/>
              </w:rPr>
              <w:t xml:space="preserve"> in adolescents with attention-deficit/hyperactivity disorder. </w:t>
            </w:r>
          </w:p>
        </w:tc>
        <w:tc>
          <w:tcPr>
            <w:tcW w:w="1985" w:type="dxa"/>
            <w:tcBorders>
              <w:top w:val="dotted" w:sz="4" w:space="0" w:color="auto"/>
              <w:bottom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Journal of the American Academy of Child and Adolescent Psychiatry, 2011a, Volume 50, Issue 5, p395-405</w:t>
            </w:r>
          </w:p>
        </w:tc>
      </w:tr>
      <w:tr w:rsidR="00A8400E" w:rsidRPr="004D3474" w:rsidTr="00BE5144">
        <w:tc>
          <w:tcPr>
            <w:tcW w:w="1276" w:type="dxa"/>
            <w:tcBorders>
              <w:top w:val="dotted" w:sz="4" w:space="0" w:color="auto"/>
              <w:bottom w:val="dotted" w:sz="4" w:space="0" w:color="auto"/>
            </w:tcBorders>
          </w:tcPr>
          <w:p w:rsidR="00A8400E" w:rsidRPr="004D3474" w:rsidRDefault="00A8400E" w:rsidP="009061DF">
            <w:pPr>
              <w:rPr>
                <w:rFonts w:ascii="Arial Narrow" w:hAnsi="Arial Narrow" w:cs="Arial"/>
                <w:sz w:val="20"/>
                <w:szCs w:val="20"/>
              </w:rPr>
            </w:pPr>
            <w:proofErr w:type="spellStart"/>
            <w:r w:rsidRPr="004D3474">
              <w:rPr>
                <w:rFonts w:ascii="Arial Narrow" w:hAnsi="Arial Narrow" w:cs="Arial"/>
                <w:sz w:val="20"/>
                <w:szCs w:val="20"/>
              </w:rPr>
              <w:t>Findling</w:t>
            </w:r>
            <w:proofErr w:type="spellEnd"/>
            <w:r w:rsidRPr="004D3474">
              <w:rPr>
                <w:rFonts w:ascii="Arial Narrow" w:hAnsi="Arial Narrow" w:cs="Arial"/>
                <w:sz w:val="20"/>
                <w:szCs w:val="20"/>
              </w:rPr>
              <w:t xml:space="preserve"> et al</w:t>
            </w:r>
          </w:p>
        </w:tc>
        <w:tc>
          <w:tcPr>
            <w:tcW w:w="5103" w:type="dxa"/>
            <w:tcBorders>
              <w:top w:val="dotted" w:sz="4" w:space="0" w:color="auto"/>
              <w:bottom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 xml:space="preserve">Long-term safety of </w:t>
            </w:r>
            <w:proofErr w:type="spellStart"/>
            <w:r w:rsidRPr="004D3474">
              <w:rPr>
                <w:rFonts w:ascii="Arial Narrow" w:hAnsi="Arial Narrow" w:cs="Arial"/>
                <w:sz w:val="20"/>
                <w:szCs w:val="20"/>
              </w:rPr>
              <w:t>lisdexamfetamine</w:t>
            </w:r>
            <w:proofErr w:type="spellEnd"/>
            <w:r w:rsidRPr="004D3474">
              <w:rPr>
                <w:rFonts w:ascii="Arial Narrow" w:hAnsi="Arial Narrow" w:cs="Arial"/>
                <w:sz w:val="20"/>
                <w:szCs w:val="20"/>
              </w:rPr>
              <w:t xml:space="preserve"> </w:t>
            </w:r>
            <w:proofErr w:type="spellStart"/>
            <w:r w:rsidRPr="004D3474">
              <w:rPr>
                <w:rFonts w:ascii="Arial Narrow" w:hAnsi="Arial Narrow" w:cs="Arial"/>
                <w:sz w:val="20"/>
                <w:szCs w:val="20"/>
              </w:rPr>
              <w:t>dimesylate</w:t>
            </w:r>
            <w:proofErr w:type="spellEnd"/>
            <w:r w:rsidRPr="004D3474">
              <w:rPr>
                <w:rFonts w:ascii="Arial Narrow" w:hAnsi="Arial Narrow" w:cs="Arial"/>
                <w:sz w:val="20"/>
                <w:szCs w:val="20"/>
              </w:rPr>
              <w:t xml:space="preserve"> (LDX) in adolescents with attention-deficit/hyperactivity disorder.</w:t>
            </w:r>
          </w:p>
        </w:tc>
        <w:tc>
          <w:tcPr>
            <w:tcW w:w="1985" w:type="dxa"/>
            <w:tcBorders>
              <w:top w:val="dotted" w:sz="4" w:space="0" w:color="auto"/>
              <w:bottom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European Child and Adolescent Psychiatry, 2011b, Volume 20, S117-S118 (conference abstract)</w:t>
            </w:r>
          </w:p>
        </w:tc>
      </w:tr>
      <w:tr w:rsidR="00A8400E" w:rsidRPr="004D3474" w:rsidTr="00BE5144">
        <w:tc>
          <w:tcPr>
            <w:tcW w:w="1276" w:type="dxa"/>
            <w:tcBorders>
              <w:top w:val="dotted" w:sz="4" w:space="0" w:color="auto"/>
            </w:tcBorders>
          </w:tcPr>
          <w:p w:rsidR="00A8400E" w:rsidRPr="004D3474" w:rsidRDefault="00A8400E" w:rsidP="009061DF">
            <w:pPr>
              <w:rPr>
                <w:rFonts w:ascii="Arial Narrow" w:hAnsi="Arial Narrow" w:cs="Arial"/>
                <w:sz w:val="20"/>
                <w:szCs w:val="20"/>
              </w:rPr>
            </w:pPr>
            <w:proofErr w:type="spellStart"/>
            <w:r w:rsidRPr="004D3474">
              <w:rPr>
                <w:rFonts w:ascii="Arial Narrow" w:hAnsi="Arial Narrow" w:cs="Arial"/>
                <w:sz w:val="20"/>
                <w:szCs w:val="20"/>
              </w:rPr>
              <w:t>Gasior</w:t>
            </w:r>
            <w:proofErr w:type="spellEnd"/>
            <w:r w:rsidRPr="004D3474">
              <w:rPr>
                <w:rFonts w:ascii="Arial Narrow" w:hAnsi="Arial Narrow" w:cs="Arial"/>
                <w:sz w:val="20"/>
                <w:szCs w:val="20"/>
              </w:rPr>
              <w:t xml:space="preserve"> et al</w:t>
            </w:r>
          </w:p>
        </w:tc>
        <w:tc>
          <w:tcPr>
            <w:tcW w:w="5103" w:type="dxa"/>
            <w:tcBorders>
              <w:top w:val="dotted" w:sz="4" w:space="0" w:color="auto"/>
            </w:tcBorders>
          </w:tcPr>
          <w:p w:rsidR="00A8400E" w:rsidRPr="004D3474" w:rsidRDefault="00A8400E" w:rsidP="009061DF">
            <w:pPr>
              <w:rPr>
                <w:rFonts w:ascii="Arial Narrow" w:hAnsi="Arial Narrow" w:cs="Arial"/>
                <w:sz w:val="20"/>
                <w:szCs w:val="20"/>
              </w:rPr>
            </w:pPr>
            <w:r w:rsidRPr="004D3474">
              <w:rPr>
                <w:rFonts w:ascii="Arial Narrow" w:hAnsi="Arial Narrow" w:cs="Arial"/>
                <w:sz w:val="20"/>
                <w:szCs w:val="20"/>
              </w:rPr>
              <w:t xml:space="preserve">Double-blind, placebo-controlled efficacy and safety study of </w:t>
            </w:r>
            <w:proofErr w:type="spellStart"/>
            <w:r w:rsidRPr="004D3474">
              <w:rPr>
                <w:rFonts w:ascii="Arial Narrow" w:hAnsi="Arial Narrow" w:cs="Arial"/>
                <w:sz w:val="20"/>
                <w:szCs w:val="20"/>
              </w:rPr>
              <w:t>lisdexamfetamine</w:t>
            </w:r>
            <w:proofErr w:type="spellEnd"/>
            <w:r w:rsidRPr="004D3474">
              <w:rPr>
                <w:rFonts w:ascii="Arial Narrow" w:hAnsi="Arial Narrow" w:cs="Arial"/>
                <w:sz w:val="20"/>
                <w:szCs w:val="20"/>
              </w:rPr>
              <w:t xml:space="preserve"> </w:t>
            </w:r>
            <w:proofErr w:type="spellStart"/>
            <w:r w:rsidRPr="004D3474">
              <w:rPr>
                <w:rFonts w:ascii="Arial Narrow" w:hAnsi="Arial Narrow" w:cs="Arial"/>
                <w:sz w:val="20"/>
                <w:szCs w:val="20"/>
              </w:rPr>
              <w:t>dimesylate</w:t>
            </w:r>
            <w:proofErr w:type="spellEnd"/>
            <w:r w:rsidRPr="004D3474">
              <w:rPr>
                <w:rFonts w:ascii="Arial Narrow" w:hAnsi="Arial Narrow" w:cs="Arial"/>
                <w:sz w:val="20"/>
                <w:szCs w:val="20"/>
              </w:rPr>
              <w:t xml:space="preserve"> in adolescents with attention-deficit/ hyperactivity disorder.</w:t>
            </w:r>
          </w:p>
        </w:tc>
        <w:tc>
          <w:tcPr>
            <w:tcW w:w="1985" w:type="dxa"/>
            <w:tcBorders>
              <w:top w:val="dotted" w:sz="4" w:space="0" w:color="auto"/>
            </w:tcBorders>
          </w:tcPr>
          <w:p w:rsidR="00A8400E" w:rsidRPr="004D3474" w:rsidRDefault="00A8400E" w:rsidP="009061DF">
            <w:pPr>
              <w:rPr>
                <w:rFonts w:ascii="Arial Narrow" w:hAnsi="Arial Narrow" w:cs="Arial"/>
                <w:sz w:val="20"/>
                <w:szCs w:val="20"/>
              </w:rPr>
            </w:pPr>
            <w:proofErr w:type="spellStart"/>
            <w:r w:rsidRPr="004D3474">
              <w:rPr>
                <w:rFonts w:ascii="Arial Narrow" w:hAnsi="Arial Narrow" w:cs="Arial"/>
                <w:sz w:val="20"/>
                <w:szCs w:val="20"/>
              </w:rPr>
              <w:t>Neuropsychopharmacology</w:t>
            </w:r>
            <w:proofErr w:type="spellEnd"/>
            <w:r w:rsidRPr="004D3474">
              <w:rPr>
                <w:rFonts w:ascii="Arial Narrow" w:hAnsi="Arial Narrow" w:cs="Arial"/>
                <w:sz w:val="20"/>
                <w:szCs w:val="20"/>
              </w:rPr>
              <w:t>, 2010, Volume 35, S103-S104</w:t>
            </w:r>
          </w:p>
        </w:tc>
      </w:tr>
    </w:tbl>
    <w:p w:rsidR="00A8400E" w:rsidRPr="004D3474" w:rsidRDefault="00A8400E" w:rsidP="00BE5144">
      <w:pPr>
        <w:ind w:firstLine="720"/>
        <w:jc w:val="both"/>
        <w:rPr>
          <w:rFonts w:ascii="Arial Narrow" w:hAnsi="Arial Narrow"/>
          <w:sz w:val="20"/>
          <w:szCs w:val="20"/>
        </w:rPr>
      </w:pPr>
      <w:r w:rsidRPr="004D3474">
        <w:rPr>
          <w:rFonts w:ascii="Arial Narrow" w:hAnsi="Arial Narrow" w:cs="Arial"/>
          <w:sz w:val="20"/>
          <w:szCs w:val="20"/>
        </w:rPr>
        <w:t>Source: Table 22, pp90-91 of the main body and Table 3, of Appendix A.2 of the resubmission</w:t>
      </w:r>
      <w:r w:rsidRPr="004D3474">
        <w:rPr>
          <w:rFonts w:ascii="Arial Narrow" w:hAnsi="Arial Narrow"/>
          <w:sz w:val="20"/>
          <w:szCs w:val="20"/>
        </w:rPr>
        <w:t xml:space="preserve">. </w:t>
      </w:r>
    </w:p>
    <w:p w:rsidR="00D30656" w:rsidRDefault="00D30656" w:rsidP="00A8400E">
      <w:pPr>
        <w:pStyle w:val="ListParagraph"/>
        <w:ind w:left="709" w:hanging="709"/>
        <w:jc w:val="both"/>
        <w:rPr>
          <w:rFonts w:ascii="Arial" w:hAnsi="Arial"/>
          <w:sz w:val="22"/>
          <w:szCs w:val="22"/>
          <w:highlight w:val="lightGray"/>
        </w:rPr>
      </w:pPr>
    </w:p>
    <w:p w:rsidR="00C14A6A" w:rsidRPr="00FC6E89" w:rsidRDefault="002948C0" w:rsidP="00401BC1">
      <w:pPr>
        <w:pStyle w:val="ListParagraph"/>
        <w:numPr>
          <w:ilvl w:val="1"/>
          <w:numId w:val="25"/>
        </w:numPr>
        <w:ind w:left="720"/>
        <w:jc w:val="both"/>
        <w:rPr>
          <w:rFonts w:ascii="Arial" w:hAnsi="Arial"/>
          <w:sz w:val="22"/>
          <w:szCs w:val="22"/>
        </w:rPr>
      </w:pPr>
      <w:r w:rsidRPr="00FC6E89">
        <w:rPr>
          <w:rFonts w:ascii="Arial" w:hAnsi="Arial"/>
          <w:sz w:val="22"/>
          <w:szCs w:val="22"/>
        </w:rPr>
        <w:t xml:space="preserve">A summary of the </w:t>
      </w:r>
      <w:r w:rsidR="00E17643" w:rsidRPr="00FC6E89">
        <w:rPr>
          <w:rFonts w:ascii="Arial" w:hAnsi="Arial"/>
          <w:sz w:val="22"/>
          <w:szCs w:val="22"/>
        </w:rPr>
        <w:t xml:space="preserve">key features of the </w:t>
      </w:r>
      <w:r w:rsidRPr="00FC6E89">
        <w:rPr>
          <w:rFonts w:ascii="Arial" w:hAnsi="Arial"/>
          <w:sz w:val="22"/>
          <w:szCs w:val="22"/>
        </w:rPr>
        <w:t>trials presented in the submission are presented in the table below.</w:t>
      </w:r>
    </w:p>
    <w:p w:rsidR="00E17643" w:rsidRPr="004D3474" w:rsidRDefault="00E17643" w:rsidP="00E17643">
      <w:pPr>
        <w:pStyle w:val="ListParagraph"/>
        <w:ind w:left="709" w:hanging="709"/>
        <w:jc w:val="both"/>
        <w:rPr>
          <w:rStyle w:val="CommentReference"/>
          <w:rFonts w:ascii="Arial Narrow" w:hAnsi="Arial Narrow" w:cs="Arial"/>
          <w:b/>
          <w:sz w:val="20"/>
          <w:szCs w:val="20"/>
        </w:rPr>
      </w:pP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Description w:val="trials included in the submission"/>
      </w:tblPr>
      <w:tblGrid>
        <w:gridCol w:w="722"/>
        <w:gridCol w:w="1076"/>
        <w:gridCol w:w="1047"/>
        <w:gridCol w:w="807"/>
        <w:gridCol w:w="1658"/>
        <w:gridCol w:w="2083"/>
        <w:gridCol w:w="953"/>
      </w:tblGrid>
      <w:tr w:rsidR="00C14A6A" w:rsidRPr="004D3474" w:rsidTr="00BE5144">
        <w:tc>
          <w:tcPr>
            <w:tcW w:w="431" w:type="pct"/>
            <w:shd w:val="clear" w:color="auto" w:fill="auto"/>
            <w:vAlign w:val="center"/>
          </w:tcPr>
          <w:p w:rsidR="00C14A6A" w:rsidRPr="004D3474" w:rsidRDefault="00C14A6A" w:rsidP="008F275C">
            <w:pPr>
              <w:rPr>
                <w:rFonts w:ascii="Arial Narrow" w:hAnsi="Arial Narrow" w:cs="Arial"/>
                <w:b/>
                <w:sz w:val="20"/>
                <w:szCs w:val="20"/>
                <w:lang w:val="en-US"/>
              </w:rPr>
            </w:pPr>
            <w:r w:rsidRPr="004D3474">
              <w:rPr>
                <w:rFonts w:ascii="Arial Narrow" w:hAnsi="Arial Narrow" w:cs="Arial"/>
                <w:b/>
                <w:sz w:val="20"/>
                <w:szCs w:val="20"/>
                <w:lang w:val="en-US"/>
              </w:rPr>
              <w:t>Trial</w:t>
            </w:r>
          </w:p>
        </w:tc>
        <w:tc>
          <w:tcPr>
            <w:tcW w:w="645" w:type="pct"/>
            <w:shd w:val="clear" w:color="auto" w:fill="auto"/>
            <w:vAlign w:val="center"/>
          </w:tcPr>
          <w:p w:rsidR="00C14A6A" w:rsidRPr="004D3474" w:rsidRDefault="00C14A6A" w:rsidP="008F275C">
            <w:pPr>
              <w:jc w:val="center"/>
              <w:rPr>
                <w:rFonts w:ascii="Arial Narrow" w:hAnsi="Arial Narrow" w:cs="Arial"/>
                <w:b/>
                <w:sz w:val="20"/>
                <w:szCs w:val="20"/>
                <w:lang w:val="en-US"/>
              </w:rPr>
            </w:pPr>
            <w:r w:rsidRPr="004D3474">
              <w:rPr>
                <w:rFonts w:ascii="Arial Narrow" w:hAnsi="Arial Narrow" w:cs="Arial"/>
                <w:b/>
                <w:sz w:val="20"/>
                <w:szCs w:val="20"/>
                <w:lang w:val="en-US"/>
              </w:rPr>
              <w:t>N</w:t>
            </w:r>
          </w:p>
        </w:tc>
        <w:tc>
          <w:tcPr>
            <w:tcW w:w="628" w:type="pct"/>
            <w:shd w:val="clear" w:color="auto" w:fill="auto"/>
            <w:vAlign w:val="center"/>
          </w:tcPr>
          <w:p w:rsidR="00C14A6A" w:rsidRPr="004D3474" w:rsidRDefault="00C14A6A" w:rsidP="008F275C">
            <w:pPr>
              <w:jc w:val="center"/>
              <w:rPr>
                <w:rFonts w:ascii="Arial Narrow" w:hAnsi="Arial Narrow" w:cs="Arial"/>
                <w:b/>
                <w:sz w:val="20"/>
                <w:szCs w:val="20"/>
                <w:lang w:val="en-US"/>
              </w:rPr>
            </w:pPr>
            <w:r w:rsidRPr="004D3474">
              <w:rPr>
                <w:rFonts w:ascii="Arial Narrow" w:hAnsi="Arial Narrow" w:cs="Arial"/>
                <w:b/>
                <w:sz w:val="20"/>
                <w:szCs w:val="20"/>
                <w:lang w:val="en-US"/>
              </w:rPr>
              <w:t>Design/ duration</w:t>
            </w:r>
          </w:p>
        </w:tc>
        <w:tc>
          <w:tcPr>
            <w:tcW w:w="484" w:type="pct"/>
            <w:shd w:val="clear" w:color="auto" w:fill="auto"/>
            <w:vAlign w:val="center"/>
          </w:tcPr>
          <w:p w:rsidR="00C14A6A" w:rsidRPr="004D3474" w:rsidRDefault="00C14A6A" w:rsidP="008F275C">
            <w:pPr>
              <w:jc w:val="center"/>
              <w:rPr>
                <w:rFonts w:ascii="Arial Narrow" w:hAnsi="Arial Narrow" w:cs="Arial"/>
                <w:b/>
                <w:sz w:val="20"/>
                <w:szCs w:val="20"/>
                <w:lang w:val="en-US"/>
              </w:rPr>
            </w:pPr>
            <w:r w:rsidRPr="004D3474">
              <w:rPr>
                <w:rFonts w:ascii="Arial Narrow" w:hAnsi="Arial Narrow" w:cs="Arial"/>
                <w:b/>
                <w:sz w:val="20"/>
                <w:szCs w:val="20"/>
                <w:lang w:val="en-US"/>
              </w:rPr>
              <w:t>Risk of bias</w:t>
            </w:r>
          </w:p>
        </w:tc>
        <w:tc>
          <w:tcPr>
            <w:tcW w:w="993" w:type="pct"/>
            <w:shd w:val="clear" w:color="auto" w:fill="auto"/>
            <w:vAlign w:val="center"/>
          </w:tcPr>
          <w:p w:rsidR="00C14A6A" w:rsidRPr="004D3474" w:rsidRDefault="00C14A6A" w:rsidP="008F275C">
            <w:pPr>
              <w:jc w:val="center"/>
              <w:rPr>
                <w:rFonts w:ascii="Arial Narrow" w:hAnsi="Arial Narrow" w:cs="Arial"/>
                <w:b/>
                <w:sz w:val="20"/>
                <w:szCs w:val="20"/>
                <w:lang w:val="en-US"/>
              </w:rPr>
            </w:pPr>
            <w:r w:rsidRPr="004D3474">
              <w:rPr>
                <w:rFonts w:ascii="Arial Narrow" w:hAnsi="Arial Narrow" w:cs="Arial"/>
                <w:b/>
                <w:sz w:val="20"/>
                <w:szCs w:val="20"/>
                <w:lang w:val="en-US"/>
              </w:rPr>
              <w:t>Patient population</w:t>
            </w:r>
          </w:p>
        </w:tc>
        <w:tc>
          <w:tcPr>
            <w:tcW w:w="1248" w:type="pct"/>
            <w:shd w:val="clear" w:color="auto" w:fill="auto"/>
            <w:vAlign w:val="center"/>
          </w:tcPr>
          <w:p w:rsidR="00C14A6A" w:rsidRPr="004D3474" w:rsidRDefault="00C14A6A" w:rsidP="008F275C">
            <w:pPr>
              <w:jc w:val="center"/>
              <w:rPr>
                <w:rFonts w:ascii="Arial Narrow" w:hAnsi="Arial Narrow" w:cs="Arial"/>
                <w:b/>
                <w:sz w:val="20"/>
                <w:szCs w:val="20"/>
                <w:lang w:val="en-US"/>
              </w:rPr>
            </w:pPr>
            <w:r w:rsidRPr="004D3474">
              <w:rPr>
                <w:rFonts w:ascii="Arial Narrow" w:hAnsi="Arial Narrow" w:cs="Arial"/>
                <w:b/>
                <w:sz w:val="20"/>
                <w:szCs w:val="20"/>
                <w:lang w:val="en-US"/>
              </w:rPr>
              <w:t>Outcomes</w:t>
            </w:r>
          </w:p>
        </w:tc>
        <w:tc>
          <w:tcPr>
            <w:tcW w:w="572" w:type="pct"/>
            <w:shd w:val="clear" w:color="auto" w:fill="auto"/>
            <w:vAlign w:val="center"/>
          </w:tcPr>
          <w:p w:rsidR="00C14A6A" w:rsidRPr="004D3474" w:rsidRDefault="00C14A6A" w:rsidP="008F275C">
            <w:pPr>
              <w:jc w:val="center"/>
              <w:rPr>
                <w:rFonts w:ascii="Arial Narrow" w:hAnsi="Arial Narrow" w:cs="Arial"/>
                <w:b/>
                <w:sz w:val="20"/>
                <w:szCs w:val="20"/>
                <w:lang w:val="en-US"/>
              </w:rPr>
            </w:pPr>
            <w:r w:rsidRPr="004D3474">
              <w:rPr>
                <w:rFonts w:ascii="Arial Narrow" w:hAnsi="Arial Narrow" w:cs="Arial"/>
                <w:b/>
                <w:sz w:val="20"/>
                <w:szCs w:val="20"/>
                <w:lang w:val="en-US"/>
              </w:rPr>
              <w:t>Use in modelled evaluation</w:t>
            </w:r>
          </w:p>
        </w:tc>
      </w:tr>
      <w:tr w:rsidR="00C14A6A" w:rsidRPr="004D3474" w:rsidTr="00BE5144">
        <w:tc>
          <w:tcPr>
            <w:tcW w:w="5000" w:type="pct"/>
            <w:gridSpan w:val="7"/>
            <w:shd w:val="clear" w:color="auto" w:fill="auto"/>
            <w:vAlign w:val="center"/>
          </w:tcPr>
          <w:p w:rsidR="00C14A6A" w:rsidRPr="004D3474" w:rsidRDefault="00C14A6A" w:rsidP="008F275C">
            <w:pPr>
              <w:rPr>
                <w:rFonts w:ascii="Arial Narrow" w:hAnsi="Arial Narrow" w:cs="Arial"/>
                <w:b/>
                <w:sz w:val="20"/>
                <w:szCs w:val="20"/>
                <w:lang w:val="en-US"/>
              </w:rPr>
            </w:pPr>
            <w:r w:rsidRPr="004D3474">
              <w:rPr>
                <w:rFonts w:ascii="Arial Narrow" w:hAnsi="Arial Narrow" w:cs="Arial"/>
                <w:b/>
                <w:sz w:val="20"/>
                <w:szCs w:val="20"/>
                <w:lang w:val="en-US"/>
              </w:rPr>
              <w:t>LDX versus MPH-OROS and LDX versus placebo</w:t>
            </w:r>
          </w:p>
        </w:tc>
      </w:tr>
      <w:tr w:rsidR="00C14A6A" w:rsidRPr="004D3474" w:rsidTr="00BE5144">
        <w:tc>
          <w:tcPr>
            <w:tcW w:w="431" w:type="pct"/>
            <w:shd w:val="clear" w:color="auto" w:fill="auto"/>
            <w:vAlign w:val="center"/>
          </w:tcPr>
          <w:p w:rsidR="00C14A6A" w:rsidRPr="004D3474" w:rsidRDefault="00C14A6A" w:rsidP="008F275C">
            <w:pPr>
              <w:rPr>
                <w:rFonts w:ascii="Arial Narrow" w:hAnsi="Arial Narrow" w:cs="Arial"/>
                <w:sz w:val="20"/>
                <w:szCs w:val="20"/>
                <w:lang w:val="en-US"/>
              </w:rPr>
            </w:pPr>
            <w:r w:rsidRPr="004D3474">
              <w:rPr>
                <w:rFonts w:ascii="Arial Narrow" w:hAnsi="Arial Narrow" w:cs="Arial"/>
                <w:sz w:val="20"/>
                <w:szCs w:val="20"/>
                <w:lang w:val="en-US"/>
              </w:rPr>
              <w:t>SPD489-325</w:t>
            </w:r>
          </w:p>
        </w:tc>
        <w:tc>
          <w:tcPr>
            <w:tcW w:w="645" w:type="pct"/>
            <w:shd w:val="clear" w:color="auto" w:fill="auto"/>
            <w:vAlign w:val="center"/>
          </w:tcPr>
          <w:p w:rsidR="00C14A6A" w:rsidRPr="004D3474" w:rsidRDefault="00C14A6A" w:rsidP="008F275C">
            <w:pPr>
              <w:jc w:val="center"/>
              <w:rPr>
                <w:rFonts w:ascii="Arial Narrow" w:hAnsi="Arial Narrow" w:cs="Arial"/>
                <w:sz w:val="20"/>
                <w:szCs w:val="20"/>
                <w:lang w:val="en-US"/>
              </w:rPr>
            </w:pPr>
            <w:r w:rsidRPr="004D3474">
              <w:rPr>
                <w:rFonts w:ascii="Arial Narrow" w:hAnsi="Arial Narrow" w:cs="Arial"/>
                <w:sz w:val="20"/>
                <w:szCs w:val="20"/>
                <w:lang w:val="en-US"/>
              </w:rPr>
              <w:t>332</w:t>
            </w:r>
          </w:p>
          <w:p w:rsidR="00C14A6A" w:rsidRPr="004D3474" w:rsidRDefault="00C14A6A" w:rsidP="008F275C">
            <w:pPr>
              <w:jc w:val="center"/>
              <w:rPr>
                <w:rFonts w:ascii="Arial Narrow" w:hAnsi="Arial Narrow" w:cs="Arial"/>
                <w:sz w:val="20"/>
                <w:szCs w:val="20"/>
                <w:lang w:val="en-US"/>
              </w:rPr>
            </w:pPr>
            <w:r w:rsidRPr="004D3474">
              <w:rPr>
                <w:rFonts w:ascii="Arial Narrow" w:hAnsi="Arial Narrow" w:cs="Arial"/>
                <w:sz w:val="20"/>
                <w:szCs w:val="20"/>
                <w:lang w:val="en-US"/>
              </w:rPr>
              <w:t>(3 arms</w:t>
            </w:r>
          </w:p>
          <w:p w:rsidR="00C14A6A" w:rsidRPr="004D3474" w:rsidRDefault="00C14A6A" w:rsidP="008F275C">
            <w:pPr>
              <w:jc w:val="center"/>
              <w:rPr>
                <w:rFonts w:ascii="Arial Narrow" w:hAnsi="Arial Narrow" w:cs="Arial"/>
                <w:sz w:val="20"/>
                <w:szCs w:val="20"/>
                <w:lang w:val="en-US"/>
              </w:rPr>
            </w:pPr>
            <w:r w:rsidRPr="004D3474">
              <w:rPr>
                <w:rFonts w:ascii="Arial Narrow" w:hAnsi="Arial Narrow" w:cs="Arial"/>
                <w:sz w:val="20"/>
                <w:szCs w:val="20"/>
                <w:lang w:val="en-US"/>
              </w:rPr>
              <w:t>LDX, PBO and MPH-OROS^)</w:t>
            </w:r>
          </w:p>
        </w:tc>
        <w:tc>
          <w:tcPr>
            <w:tcW w:w="628" w:type="pct"/>
            <w:shd w:val="clear" w:color="auto" w:fill="auto"/>
            <w:vAlign w:val="center"/>
          </w:tcPr>
          <w:p w:rsidR="00C14A6A" w:rsidRPr="004D3474" w:rsidRDefault="00C14A6A" w:rsidP="008F275C">
            <w:pPr>
              <w:jc w:val="center"/>
              <w:rPr>
                <w:rFonts w:ascii="Arial Narrow" w:hAnsi="Arial Narrow" w:cs="Arial"/>
                <w:sz w:val="20"/>
                <w:szCs w:val="20"/>
                <w:lang w:val="en-US"/>
              </w:rPr>
            </w:pPr>
            <w:r w:rsidRPr="004D3474">
              <w:rPr>
                <w:rFonts w:ascii="Arial Narrow" w:hAnsi="Arial Narrow" w:cs="Arial"/>
                <w:sz w:val="20"/>
                <w:szCs w:val="20"/>
                <w:lang w:val="en-US"/>
              </w:rPr>
              <w:t>R, DB, MC, PC</w:t>
            </w:r>
          </w:p>
          <w:p w:rsidR="00C14A6A" w:rsidRPr="004D3474" w:rsidRDefault="00C14A6A" w:rsidP="008F275C">
            <w:pPr>
              <w:jc w:val="center"/>
              <w:rPr>
                <w:rFonts w:ascii="Arial Narrow" w:hAnsi="Arial Narrow" w:cs="Arial"/>
                <w:sz w:val="20"/>
                <w:szCs w:val="20"/>
                <w:lang w:val="en-US"/>
              </w:rPr>
            </w:pPr>
            <w:r w:rsidRPr="004D3474">
              <w:rPr>
                <w:rFonts w:ascii="Arial Narrow" w:hAnsi="Arial Narrow" w:cs="Arial"/>
                <w:sz w:val="20"/>
                <w:szCs w:val="20"/>
                <w:lang w:val="en-US"/>
              </w:rPr>
              <w:t>7 weeks screening and washout</w:t>
            </w:r>
          </w:p>
          <w:p w:rsidR="00C14A6A" w:rsidRPr="004D3474" w:rsidRDefault="00C14A6A" w:rsidP="008F275C">
            <w:pPr>
              <w:jc w:val="center"/>
              <w:rPr>
                <w:rFonts w:ascii="Arial Narrow" w:hAnsi="Arial Narrow" w:cs="Arial"/>
                <w:sz w:val="20"/>
                <w:szCs w:val="20"/>
                <w:lang w:val="en-US"/>
              </w:rPr>
            </w:pPr>
            <w:r w:rsidRPr="004D3474">
              <w:rPr>
                <w:rFonts w:ascii="Arial Narrow" w:hAnsi="Arial Narrow" w:cs="Arial"/>
                <w:sz w:val="20"/>
                <w:szCs w:val="20"/>
                <w:lang w:val="en-US"/>
              </w:rPr>
              <w:t>7 weeks treatment period</w:t>
            </w:r>
          </w:p>
        </w:tc>
        <w:tc>
          <w:tcPr>
            <w:tcW w:w="484" w:type="pct"/>
            <w:shd w:val="clear" w:color="auto" w:fill="auto"/>
            <w:vAlign w:val="center"/>
          </w:tcPr>
          <w:p w:rsidR="00C14A6A" w:rsidRPr="004D3474" w:rsidRDefault="00C14A6A" w:rsidP="008F275C">
            <w:pPr>
              <w:jc w:val="center"/>
              <w:rPr>
                <w:rFonts w:ascii="Arial Narrow" w:hAnsi="Arial Narrow" w:cs="Arial"/>
                <w:sz w:val="20"/>
                <w:szCs w:val="20"/>
                <w:lang w:val="en-US"/>
              </w:rPr>
            </w:pPr>
            <w:r w:rsidRPr="004D3474">
              <w:rPr>
                <w:rFonts w:ascii="Arial Narrow" w:hAnsi="Arial Narrow" w:cs="Arial"/>
                <w:sz w:val="20"/>
                <w:szCs w:val="20"/>
                <w:lang w:val="en-US"/>
              </w:rPr>
              <w:t>High</w:t>
            </w:r>
          </w:p>
          <w:p w:rsidR="00C14A6A" w:rsidRPr="004D3474" w:rsidRDefault="00C14A6A" w:rsidP="008F275C">
            <w:pPr>
              <w:jc w:val="center"/>
              <w:rPr>
                <w:rFonts w:ascii="Arial Narrow" w:hAnsi="Arial Narrow" w:cs="Arial"/>
                <w:sz w:val="20"/>
                <w:szCs w:val="20"/>
                <w:lang w:val="en-US"/>
              </w:rPr>
            </w:pPr>
            <w:r w:rsidRPr="004D3474">
              <w:rPr>
                <w:rFonts w:ascii="Arial Narrow" w:hAnsi="Arial Narrow" w:cs="Arial"/>
                <w:sz w:val="20"/>
                <w:szCs w:val="20"/>
                <w:lang w:val="en-US"/>
              </w:rPr>
              <w:t xml:space="preserve">(potential treatment </w:t>
            </w:r>
            <w:proofErr w:type="spellStart"/>
            <w:r w:rsidRPr="004D3474">
              <w:rPr>
                <w:rFonts w:ascii="Arial Narrow" w:hAnsi="Arial Narrow" w:cs="Arial"/>
                <w:sz w:val="20"/>
                <w:szCs w:val="20"/>
                <w:lang w:val="en-US"/>
              </w:rPr>
              <w:t>unblind</w:t>
            </w:r>
            <w:proofErr w:type="spellEnd"/>
            <w:r w:rsidRPr="004D3474">
              <w:rPr>
                <w:rFonts w:ascii="Arial Narrow" w:hAnsi="Arial Narrow" w:cs="Arial"/>
                <w:sz w:val="20"/>
                <w:szCs w:val="20"/>
                <w:lang w:val="en-US"/>
              </w:rPr>
              <w:t>)</w:t>
            </w:r>
          </w:p>
        </w:tc>
        <w:tc>
          <w:tcPr>
            <w:tcW w:w="993" w:type="pct"/>
            <w:shd w:val="clear" w:color="auto" w:fill="auto"/>
            <w:vAlign w:val="center"/>
          </w:tcPr>
          <w:p w:rsidR="00C14A6A" w:rsidRPr="004D3474" w:rsidRDefault="00C14A6A" w:rsidP="008F275C">
            <w:pPr>
              <w:jc w:val="center"/>
              <w:rPr>
                <w:rFonts w:ascii="Arial Narrow" w:hAnsi="Arial Narrow" w:cs="Arial"/>
                <w:sz w:val="20"/>
                <w:szCs w:val="20"/>
                <w:lang w:val="en-US"/>
              </w:rPr>
            </w:pPr>
            <w:r w:rsidRPr="004D3474">
              <w:rPr>
                <w:rFonts w:ascii="Arial Narrow" w:hAnsi="Arial Narrow" w:cs="Arial"/>
                <w:sz w:val="20"/>
                <w:szCs w:val="20"/>
                <w:lang w:val="en-US"/>
              </w:rPr>
              <w:t xml:space="preserve">Children and adolescents (6-17yrs) with ADHD* </w:t>
            </w:r>
            <w:r w:rsidRPr="004D3474">
              <w:rPr>
                <w:rFonts w:ascii="Arial Narrow" w:hAnsi="Arial Narrow" w:cs="Arial"/>
                <w:sz w:val="20"/>
                <w:szCs w:val="20"/>
                <w:u w:val="single"/>
                <w:lang w:val="en-US"/>
              </w:rPr>
              <w:t xml:space="preserve">Excluded: </w:t>
            </w:r>
            <w:r w:rsidRPr="004D3474">
              <w:rPr>
                <w:rFonts w:ascii="Arial Narrow" w:hAnsi="Arial Narrow" w:cs="Arial"/>
                <w:sz w:val="20"/>
                <w:szCs w:val="20"/>
                <w:lang w:val="en-US"/>
              </w:rPr>
              <w:t xml:space="preserve">Patients well controlled on current ADHD medications and patients who do not fully respond to MPH-OROS.  ≈50% of subjects </w:t>
            </w:r>
            <w:proofErr w:type="gramStart"/>
            <w:r w:rsidRPr="004D3474">
              <w:rPr>
                <w:rFonts w:ascii="Arial Narrow" w:hAnsi="Arial Narrow" w:cs="Arial"/>
                <w:sz w:val="20"/>
                <w:szCs w:val="20"/>
                <w:lang w:val="en-US"/>
              </w:rPr>
              <w:t>were</w:t>
            </w:r>
            <w:proofErr w:type="gramEnd"/>
            <w:r w:rsidRPr="004D3474">
              <w:rPr>
                <w:rFonts w:ascii="Arial Narrow" w:hAnsi="Arial Narrow" w:cs="Arial"/>
                <w:sz w:val="20"/>
                <w:szCs w:val="20"/>
                <w:lang w:val="en-US"/>
              </w:rPr>
              <w:t xml:space="preserve"> MPH naïve.</w:t>
            </w:r>
          </w:p>
        </w:tc>
        <w:tc>
          <w:tcPr>
            <w:tcW w:w="1248" w:type="pct"/>
            <w:shd w:val="clear" w:color="auto" w:fill="auto"/>
            <w:vAlign w:val="center"/>
          </w:tcPr>
          <w:p w:rsidR="00C14A6A" w:rsidRPr="004D3474" w:rsidRDefault="00C14A6A" w:rsidP="008F275C">
            <w:pPr>
              <w:rPr>
                <w:rFonts w:ascii="Arial Narrow" w:hAnsi="Arial Narrow" w:cs="Arial"/>
                <w:sz w:val="20"/>
                <w:szCs w:val="20"/>
                <w:lang w:val="en-US"/>
              </w:rPr>
            </w:pPr>
            <w:r w:rsidRPr="004D3474">
              <w:rPr>
                <w:rFonts w:ascii="Arial Narrow" w:hAnsi="Arial Narrow" w:cs="Arial"/>
                <w:sz w:val="20"/>
                <w:szCs w:val="20"/>
                <w:lang w:val="en-US"/>
              </w:rPr>
              <w:t>Change from baseline: in ADHD symptoms measured by (ADHD-RS-IV total score+, hyperactivity/impulsivity and inattentiveness subscales,</w:t>
            </w:r>
          </w:p>
          <w:p w:rsidR="00C14A6A" w:rsidRPr="004D3474" w:rsidRDefault="00C14A6A" w:rsidP="008F275C">
            <w:pPr>
              <w:jc w:val="center"/>
              <w:rPr>
                <w:rFonts w:ascii="Arial Narrow" w:hAnsi="Arial Narrow" w:cs="Arial"/>
                <w:sz w:val="20"/>
                <w:szCs w:val="20"/>
                <w:lang w:val="en-US"/>
              </w:rPr>
            </w:pPr>
            <w:r w:rsidRPr="004D3474">
              <w:rPr>
                <w:rFonts w:ascii="Arial Narrow" w:hAnsi="Arial Narrow" w:cs="Arial"/>
                <w:sz w:val="20"/>
                <w:szCs w:val="20"/>
                <w:lang w:val="en-US"/>
              </w:rPr>
              <w:t>CGI– S; CGI-I,</w:t>
            </w:r>
          </w:p>
          <w:p w:rsidR="00C14A6A" w:rsidRPr="004D3474" w:rsidRDefault="00C14A6A" w:rsidP="008F275C">
            <w:pPr>
              <w:jc w:val="center"/>
              <w:rPr>
                <w:rFonts w:ascii="Arial Narrow" w:hAnsi="Arial Narrow" w:cs="Arial"/>
                <w:sz w:val="20"/>
                <w:szCs w:val="20"/>
                <w:lang w:val="en-US"/>
              </w:rPr>
            </w:pPr>
            <w:r w:rsidRPr="004D3474">
              <w:rPr>
                <w:rFonts w:ascii="Arial Narrow" w:hAnsi="Arial Narrow" w:cs="Arial"/>
                <w:sz w:val="20"/>
                <w:szCs w:val="20"/>
                <w:lang w:val="en-US"/>
              </w:rPr>
              <w:t>CPRS-R)</w:t>
            </w:r>
          </w:p>
          <w:p w:rsidR="00C14A6A" w:rsidRPr="004D3474" w:rsidRDefault="00C14A6A" w:rsidP="008F275C">
            <w:pPr>
              <w:jc w:val="center"/>
              <w:rPr>
                <w:rFonts w:ascii="Arial Narrow" w:hAnsi="Arial Narrow" w:cs="Arial"/>
                <w:sz w:val="20"/>
                <w:szCs w:val="20"/>
                <w:lang w:val="en-US"/>
              </w:rPr>
            </w:pPr>
            <w:proofErr w:type="spellStart"/>
            <w:r w:rsidRPr="004D3474">
              <w:rPr>
                <w:rFonts w:ascii="Arial Narrow" w:hAnsi="Arial Narrow" w:cs="Arial"/>
                <w:sz w:val="20"/>
                <w:szCs w:val="20"/>
                <w:lang w:val="en-US"/>
              </w:rPr>
              <w:t>Qol</w:t>
            </w:r>
            <w:proofErr w:type="spellEnd"/>
            <w:r w:rsidRPr="004D3474">
              <w:rPr>
                <w:rFonts w:ascii="Arial Narrow" w:hAnsi="Arial Narrow" w:cs="Arial"/>
                <w:sz w:val="20"/>
                <w:szCs w:val="20"/>
                <w:lang w:val="en-US"/>
              </w:rPr>
              <w:t xml:space="preserve">/health utility (CHIP:CE </w:t>
            </w:r>
            <w:proofErr w:type="spellStart"/>
            <w:r w:rsidRPr="004D3474">
              <w:rPr>
                <w:rFonts w:ascii="Arial Narrow" w:hAnsi="Arial Narrow" w:cs="Arial"/>
                <w:sz w:val="20"/>
                <w:szCs w:val="20"/>
                <w:lang w:val="en-US"/>
              </w:rPr>
              <w:t>PRFl</w:t>
            </w:r>
            <w:proofErr w:type="spellEnd"/>
            <w:r w:rsidRPr="004D3474">
              <w:rPr>
                <w:rFonts w:ascii="Arial Narrow" w:hAnsi="Arial Narrow" w:cs="Arial"/>
                <w:sz w:val="20"/>
                <w:szCs w:val="20"/>
                <w:lang w:val="en-US"/>
              </w:rPr>
              <w:t xml:space="preserve">; WFIRS-P; HUI-2 parent or </w:t>
            </w:r>
            <w:proofErr w:type="spellStart"/>
            <w:r w:rsidRPr="004D3474">
              <w:rPr>
                <w:rFonts w:ascii="Arial Narrow" w:hAnsi="Arial Narrow" w:cs="Arial"/>
                <w:sz w:val="20"/>
                <w:szCs w:val="20"/>
                <w:lang w:val="en-US"/>
              </w:rPr>
              <w:t>carer</w:t>
            </w:r>
            <w:proofErr w:type="spellEnd"/>
            <w:r w:rsidRPr="004D3474">
              <w:rPr>
                <w:rFonts w:ascii="Arial Narrow" w:hAnsi="Arial Narrow" w:cs="Arial"/>
                <w:sz w:val="20"/>
                <w:szCs w:val="20"/>
                <w:lang w:val="en-US"/>
              </w:rPr>
              <w:t xml:space="preserve"> as proxy)</w:t>
            </w:r>
          </w:p>
        </w:tc>
        <w:tc>
          <w:tcPr>
            <w:tcW w:w="572" w:type="pct"/>
            <w:shd w:val="clear" w:color="auto" w:fill="auto"/>
            <w:vAlign w:val="center"/>
          </w:tcPr>
          <w:p w:rsidR="00C14A6A" w:rsidRPr="004D3474" w:rsidRDefault="00C14A6A" w:rsidP="008F275C">
            <w:pPr>
              <w:jc w:val="center"/>
              <w:rPr>
                <w:rFonts w:ascii="Arial Narrow" w:hAnsi="Arial Narrow" w:cs="Arial"/>
                <w:sz w:val="20"/>
                <w:szCs w:val="20"/>
                <w:lang w:val="en-US"/>
              </w:rPr>
            </w:pPr>
            <w:r w:rsidRPr="004D3474">
              <w:rPr>
                <w:rFonts w:ascii="Arial Narrow" w:hAnsi="Arial Narrow" w:cs="Arial"/>
                <w:sz w:val="20"/>
                <w:szCs w:val="20"/>
                <w:lang w:val="en-US"/>
              </w:rPr>
              <w:t>Yes</w:t>
            </w:r>
          </w:p>
        </w:tc>
      </w:tr>
      <w:tr w:rsidR="00C14A6A" w:rsidRPr="004D3474" w:rsidTr="00BE5144">
        <w:tc>
          <w:tcPr>
            <w:tcW w:w="5000" w:type="pct"/>
            <w:gridSpan w:val="7"/>
            <w:shd w:val="clear" w:color="auto" w:fill="auto"/>
            <w:vAlign w:val="center"/>
          </w:tcPr>
          <w:p w:rsidR="00C14A6A" w:rsidRPr="004D3474" w:rsidRDefault="00C14A6A" w:rsidP="008F275C">
            <w:pPr>
              <w:rPr>
                <w:rFonts w:ascii="Arial Narrow" w:hAnsi="Arial Narrow" w:cs="Arial"/>
                <w:b/>
                <w:sz w:val="20"/>
                <w:szCs w:val="20"/>
                <w:lang w:val="en-US"/>
              </w:rPr>
            </w:pPr>
            <w:r w:rsidRPr="004D3474">
              <w:rPr>
                <w:rFonts w:ascii="Arial Narrow" w:hAnsi="Arial Narrow" w:cs="Arial"/>
                <w:b/>
                <w:sz w:val="20"/>
                <w:szCs w:val="20"/>
                <w:lang w:val="en-US"/>
              </w:rPr>
              <w:t xml:space="preserve">LDX versus placebo </w:t>
            </w:r>
          </w:p>
        </w:tc>
      </w:tr>
      <w:tr w:rsidR="00C14A6A" w:rsidRPr="004D3474" w:rsidTr="00BE5144">
        <w:tc>
          <w:tcPr>
            <w:tcW w:w="431" w:type="pct"/>
            <w:shd w:val="clear" w:color="auto" w:fill="auto"/>
            <w:vAlign w:val="center"/>
          </w:tcPr>
          <w:p w:rsidR="00C14A6A" w:rsidRPr="004D3474" w:rsidRDefault="00C14A6A" w:rsidP="008F275C">
            <w:pPr>
              <w:rPr>
                <w:rFonts w:ascii="Arial Narrow" w:hAnsi="Arial Narrow" w:cs="Arial"/>
                <w:sz w:val="20"/>
                <w:szCs w:val="20"/>
                <w:lang w:val="en-US"/>
              </w:rPr>
            </w:pPr>
            <w:r w:rsidRPr="004D3474">
              <w:rPr>
                <w:rFonts w:ascii="Arial Narrow" w:hAnsi="Arial Narrow" w:cs="Arial"/>
                <w:sz w:val="20"/>
                <w:szCs w:val="20"/>
                <w:lang w:val="en-US"/>
              </w:rPr>
              <w:t>SPD489-</w:t>
            </w:r>
            <w:r w:rsidRPr="004D3474">
              <w:rPr>
                <w:rFonts w:ascii="Arial Narrow" w:hAnsi="Arial Narrow" w:cs="Arial"/>
                <w:sz w:val="20"/>
                <w:szCs w:val="20"/>
                <w:lang w:val="en-US"/>
              </w:rPr>
              <w:lastRenderedPageBreak/>
              <w:t>301</w:t>
            </w:r>
          </w:p>
        </w:tc>
        <w:tc>
          <w:tcPr>
            <w:tcW w:w="645" w:type="pct"/>
            <w:shd w:val="clear" w:color="auto" w:fill="auto"/>
            <w:vAlign w:val="center"/>
          </w:tcPr>
          <w:p w:rsidR="00C14A6A" w:rsidRPr="004D3474" w:rsidRDefault="00C14A6A" w:rsidP="008F275C">
            <w:pPr>
              <w:jc w:val="center"/>
              <w:rPr>
                <w:rFonts w:ascii="Arial Narrow" w:hAnsi="Arial Narrow" w:cs="Arial"/>
                <w:sz w:val="20"/>
                <w:szCs w:val="20"/>
                <w:lang w:val="en-US"/>
              </w:rPr>
            </w:pPr>
            <w:r w:rsidRPr="004D3474">
              <w:rPr>
                <w:rFonts w:ascii="Arial Narrow" w:hAnsi="Arial Narrow" w:cs="Arial"/>
                <w:sz w:val="20"/>
                <w:szCs w:val="20"/>
                <w:lang w:val="en-US"/>
              </w:rPr>
              <w:lastRenderedPageBreak/>
              <w:t>290</w:t>
            </w:r>
          </w:p>
          <w:p w:rsidR="00C14A6A" w:rsidRPr="004D3474" w:rsidRDefault="00C14A6A" w:rsidP="008F275C">
            <w:pPr>
              <w:jc w:val="center"/>
              <w:rPr>
                <w:rFonts w:ascii="Arial Narrow" w:hAnsi="Arial Narrow" w:cs="Arial"/>
                <w:sz w:val="20"/>
                <w:szCs w:val="20"/>
                <w:lang w:val="en-US"/>
              </w:rPr>
            </w:pPr>
            <w:r w:rsidRPr="004D3474">
              <w:rPr>
                <w:rFonts w:ascii="Arial Narrow" w:hAnsi="Arial Narrow" w:cs="Arial"/>
                <w:sz w:val="20"/>
                <w:szCs w:val="20"/>
                <w:lang w:val="en-US"/>
              </w:rPr>
              <w:lastRenderedPageBreak/>
              <w:t>(4 arms: PBO, LDX30, 50 &amp; 70mg fixed dose arms)</w:t>
            </w:r>
          </w:p>
        </w:tc>
        <w:tc>
          <w:tcPr>
            <w:tcW w:w="628" w:type="pct"/>
            <w:shd w:val="clear" w:color="auto" w:fill="auto"/>
            <w:vAlign w:val="center"/>
          </w:tcPr>
          <w:p w:rsidR="00C14A6A" w:rsidRPr="004D3474" w:rsidRDefault="00C14A6A" w:rsidP="008F275C">
            <w:pPr>
              <w:jc w:val="center"/>
              <w:rPr>
                <w:rFonts w:ascii="Arial Narrow" w:hAnsi="Arial Narrow" w:cs="Arial"/>
                <w:sz w:val="20"/>
                <w:szCs w:val="20"/>
                <w:lang w:val="en-US"/>
              </w:rPr>
            </w:pPr>
            <w:r w:rsidRPr="004D3474">
              <w:rPr>
                <w:rFonts w:ascii="Arial Narrow" w:hAnsi="Arial Narrow" w:cs="Arial"/>
                <w:sz w:val="20"/>
                <w:szCs w:val="20"/>
                <w:lang w:val="en-US"/>
              </w:rPr>
              <w:lastRenderedPageBreak/>
              <w:t xml:space="preserve">R, DB, MC, </w:t>
            </w:r>
            <w:r w:rsidRPr="004D3474">
              <w:rPr>
                <w:rFonts w:ascii="Arial Narrow" w:hAnsi="Arial Narrow" w:cs="Arial"/>
                <w:sz w:val="20"/>
                <w:szCs w:val="20"/>
                <w:lang w:val="en-US"/>
              </w:rPr>
              <w:lastRenderedPageBreak/>
              <w:t>PC</w:t>
            </w:r>
          </w:p>
          <w:p w:rsidR="00C14A6A" w:rsidRPr="004D3474" w:rsidRDefault="00C14A6A" w:rsidP="008F275C">
            <w:pPr>
              <w:jc w:val="center"/>
              <w:rPr>
                <w:rFonts w:ascii="Arial Narrow" w:hAnsi="Arial Narrow" w:cs="Arial"/>
                <w:sz w:val="20"/>
                <w:szCs w:val="20"/>
                <w:lang w:val="en-US"/>
              </w:rPr>
            </w:pPr>
            <w:r w:rsidRPr="004D3474">
              <w:rPr>
                <w:rFonts w:ascii="Arial Narrow" w:hAnsi="Arial Narrow" w:cs="Arial"/>
                <w:sz w:val="20"/>
                <w:szCs w:val="20"/>
                <w:lang w:val="en-US"/>
              </w:rPr>
              <w:t>4 weeks treatment period</w:t>
            </w:r>
          </w:p>
        </w:tc>
        <w:tc>
          <w:tcPr>
            <w:tcW w:w="484" w:type="pct"/>
            <w:shd w:val="clear" w:color="auto" w:fill="auto"/>
            <w:vAlign w:val="center"/>
          </w:tcPr>
          <w:p w:rsidR="00C14A6A" w:rsidRPr="004D3474" w:rsidRDefault="00C14A6A" w:rsidP="008F275C">
            <w:pPr>
              <w:jc w:val="center"/>
              <w:rPr>
                <w:rFonts w:ascii="Arial Narrow" w:hAnsi="Arial Narrow" w:cs="Arial"/>
                <w:sz w:val="20"/>
                <w:szCs w:val="20"/>
                <w:lang w:val="en-US"/>
              </w:rPr>
            </w:pPr>
            <w:r w:rsidRPr="004D3474">
              <w:rPr>
                <w:rFonts w:ascii="Arial Narrow" w:hAnsi="Arial Narrow" w:cs="Arial"/>
                <w:sz w:val="20"/>
                <w:szCs w:val="20"/>
                <w:lang w:val="en-US"/>
              </w:rPr>
              <w:lastRenderedPageBreak/>
              <w:t>Low</w:t>
            </w:r>
          </w:p>
        </w:tc>
        <w:tc>
          <w:tcPr>
            <w:tcW w:w="993" w:type="pct"/>
            <w:shd w:val="clear" w:color="auto" w:fill="auto"/>
            <w:vAlign w:val="center"/>
          </w:tcPr>
          <w:p w:rsidR="00C14A6A" w:rsidRPr="004D3474" w:rsidRDefault="00C14A6A" w:rsidP="008F275C">
            <w:pPr>
              <w:jc w:val="center"/>
              <w:rPr>
                <w:rFonts w:ascii="Arial Narrow" w:hAnsi="Arial Narrow" w:cs="Arial"/>
                <w:sz w:val="20"/>
                <w:szCs w:val="20"/>
                <w:lang w:val="en-US"/>
              </w:rPr>
            </w:pPr>
            <w:r w:rsidRPr="004D3474">
              <w:rPr>
                <w:rFonts w:ascii="Arial Narrow" w:hAnsi="Arial Narrow" w:cs="Arial"/>
                <w:sz w:val="20"/>
                <w:szCs w:val="20"/>
                <w:lang w:val="en-US"/>
              </w:rPr>
              <w:t xml:space="preserve">Children (6-12 years) </w:t>
            </w:r>
            <w:r w:rsidRPr="004D3474">
              <w:rPr>
                <w:rFonts w:ascii="Arial Narrow" w:hAnsi="Arial Narrow" w:cs="Arial"/>
                <w:sz w:val="20"/>
                <w:szCs w:val="20"/>
                <w:lang w:val="en-US"/>
              </w:rPr>
              <w:lastRenderedPageBreak/>
              <w:t>with ADHD* (combined subtype or the predominantly hyperactive-impulsive subtype)</w:t>
            </w:r>
          </w:p>
        </w:tc>
        <w:tc>
          <w:tcPr>
            <w:tcW w:w="1248" w:type="pct"/>
            <w:vMerge w:val="restart"/>
            <w:shd w:val="clear" w:color="auto" w:fill="auto"/>
            <w:vAlign w:val="center"/>
          </w:tcPr>
          <w:p w:rsidR="00C14A6A" w:rsidRPr="004D3474" w:rsidRDefault="00C14A6A" w:rsidP="008F275C">
            <w:pPr>
              <w:jc w:val="center"/>
              <w:rPr>
                <w:rFonts w:ascii="Arial Narrow" w:hAnsi="Arial Narrow" w:cs="Arial"/>
                <w:sz w:val="20"/>
                <w:szCs w:val="20"/>
                <w:lang w:val="en-US"/>
              </w:rPr>
            </w:pPr>
            <w:r w:rsidRPr="004D3474">
              <w:rPr>
                <w:rFonts w:ascii="Arial Narrow" w:hAnsi="Arial Narrow" w:cs="Arial"/>
                <w:sz w:val="20"/>
                <w:szCs w:val="20"/>
                <w:lang w:val="en-US"/>
              </w:rPr>
              <w:lastRenderedPageBreak/>
              <w:t xml:space="preserve">Rating scales measuring </w:t>
            </w:r>
            <w:r w:rsidRPr="004D3474">
              <w:rPr>
                <w:rFonts w:ascii="Arial Narrow" w:hAnsi="Arial Narrow" w:cs="Arial"/>
                <w:sz w:val="20"/>
                <w:szCs w:val="20"/>
                <w:lang w:val="en-US"/>
              </w:rPr>
              <w:lastRenderedPageBreak/>
              <w:t xml:space="preserve">improvements in ADHD symptoms (ADHD-RS-IV total score+, hyperactivity/impulsivity subscale and inattentiveness subscales), </w:t>
            </w:r>
          </w:p>
          <w:p w:rsidR="00C14A6A" w:rsidRPr="004D3474" w:rsidRDefault="00C14A6A" w:rsidP="008F275C">
            <w:pPr>
              <w:jc w:val="center"/>
              <w:rPr>
                <w:rFonts w:ascii="Arial Narrow" w:hAnsi="Arial Narrow" w:cs="Arial"/>
                <w:sz w:val="20"/>
                <w:szCs w:val="20"/>
                <w:lang w:val="en-US"/>
              </w:rPr>
            </w:pPr>
            <w:r w:rsidRPr="004D3474">
              <w:rPr>
                <w:rFonts w:ascii="Arial Narrow" w:hAnsi="Arial Narrow" w:cs="Arial"/>
                <w:sz w:val="20"/>
                <w:szCs w:val="20"/>
                <w:lang w:val="en-US"/>
              </w:rPr>
              <w:t>CGI– S; CGI-I,</w:t>
            </w:r>
          </w:p>
          <w:p w:rsidR="00C14A6A" w:rsidRPr="004D3474" w:rsidRDefault="00C14A6A" w:rsidP="008F275C">
            <w:pPr>
              <w:jc w:val="center"/>
              <w:rPr>
                <w:rFonts w:ascii="Arial Narrow" w:hAnsi="Arial Narrow" w:cs="Arial"/>
                <w:sz w:val="20"/>
                <w:szCs w:val="20"/>
                <w:lang w:val="en-US"/>
              </w:rPr>
            </w:pPr>
            <w:r w:rsidRPr="004D3474">
              <w:rPr>
                <w:rFonts w:ascii="Arial Narrow" w:hAnsi="Arial Narrow" w:cs="Arial"/>
                <w:sz w:val="20"/>
                <w:szCs w:val="20"/>
                <w:lang w:val="en-US"/>
              </w:rPr>
              <w:t>CPRS-R)</w:t>
            </w:r>
          </w:p>
        </w:tc>
        <w:tc>
          <w:tcPr>
            <w:tcW w:w="572" w:type="pct"/>
            <w:shd w:val="clear" w:color="auto" w:fill="auto"/>
            <w:vAlign w:val="center"/>
          </w:tcPr>
          <w:p w:rsidR="00C14A6A" w:rsidRPr="004D3474" w:rsidRDefault="00C14A6A" w:rsidP="008F275C">
            <w:pPr>
              <w:jc w:val="center"/>
              <w:rPr>
                <w:rFonts w:ascii="Arial Narrow" w:hAnsi="Arial Narrow" w:cs="Arial"/>
                <w:sz w:val="20"/>
                <w:szCs w:val="20"/>
                <w:lang w:val="en-US"/>
              </w:rPr>
            </w:pPr>
            <w:r w:rsidRPr="004D3474">
              <w:rPr>
                <w:rFonts w:ascii="Arial Narrow" w:hAnsi="Arial Narrow" w:cs="Arial"/>
                <w:sz w:val="20"/>
                <w:szCs w:val="20"/>
                <w:lang w:val="en-US"/>
              </w:rPr>
              <w:lastRenderedPageBreak/>
              <w:t>NO</w:t>
            </w:r>
          </w:p>
        </w:tc>
      </w:tr>
      <w:tr w:rsidR="00C14A6A" w:rsidRPr="004D3474" w:rsidTr="00BE5144">
        <w:tc>
          <w:tcPr>
            <w:tcW w:w="431" w:type="pct"/>
            <w:shd w:val="clear" w:color="auto" w:fill="auto"/>
            <w:vAlign w:val="center"/>
          </w:tcPr>
          <w:p w:rsidR="00C14A6A" w:rsidRPr="004D3474" w:rsidRDefault="00C14A6A" w:rsidP="008F275C">
            <w:pPr>
              <w:rPr>
                <w:rFonts w:ascii="Arial Narrow" w:hAnsi="Arial Narrow" w:cs="Arial"/>
                <w:sz w:val="20"/>
                <w:szCs w:val="20"/>
                <w:lang w:val="en-US"/>
              </w:rPr>
            </w:pPr>
            <w:r w:rsidRPr="004D3474">
              <w:rPr>
                <w:rFonts w:ascii="Arial Narrow" w:hAnsi="Arial Narrow" w:cs="Arial"/>
                <w:sz w:val="20"/>
                <w:szCs w:val="20"/>
                <w:lang w:val="en-US"/>
              </w:rPr>
              <w:lastRenderedPageBreak/>
              <w:t>SPD489-305</w:t>
            </w:r>
          </w:p>
        </w:tc>
        <w:tc>
          <w:tcPr>
            <w:tcW w:w="645" w:type="pct"/>
            <w:shd w:val="clear" w:color="auto" w:fill="auto"/>
            <w:vAlign w:val="center"/>
          </w:tcPr>
          <w:p w:rsidR="00C14A6A" w:rsidRPr="004D3474" w:rsidRDefault="00C14A6A" w:rsidP="008F275C">
            <w:pPr>
              <w:jc w:val="center"/>
              <w:rPr>
                <w:rFonts w:ascii="Arial Narrow" w:hAnsi="Arial Narrow" w:cs="Arial"/>
                <w:sz w:val="20"/>
                <w:szCs w:val="20"/>
                <w:lang w:val="en-US"/>
              </w:rPr>
            </w:pPr>
            <w:r w:rsidRPr="004D3474">
              <w:rPr>
                <w:rFonts w:ascii="Arial Narrow" w:hAnsi="Arial Narrow" w:cs="Arial"/>
                <w:sz w:val="20"/>
                <w:szCs w:val="20"/>
                <w:lang w:val="en-US"/>
              </w:rPr>
              <w:t>314</w:t>
            </w:r>
          </w:p>
          <w:p w:rsidR="00C14A6A" w:rsidRPr="004D3474" w:rsidRDefault="00C14A6A" w:rsidP="008F275C">
            <w:pPr>
              <w:jc w:val="center"/>
              <w:rPr>
                <w:rFonts w:ascii="Arial Narrow" w:hAnsi="Arial Narrow" w:cs="Arial"/>
                <w:sz w:val="20"/>
                <w:szCs w:val="20"/>
                <w:lang w:val="en-US"/>
              </w:rPr>
            </w:pPr>
            <w:r w:rsidRPr="004D3474">
              <w:rPr>
                <w:rFonts w:ascii="Arial Narrow" w:hAnsi="Arial Narrow" w:cs="Arial"/>
                <w:sz w:val="20"/>
                <w:szCs w:val="20"/>
                <w:lang w:val="en-US"/>
              </w:rPr>
              <w:t>(4 arms: PBO, LDX30, 50,&amp;70mg fixed dose arms)</w:t>
            </w:r>
          </w:p>
        </w:tc>
        <w:tc>
          <w:tcPr>
            <w:tcW w:w="628" w:type="pct"/>
            <w:shd w:val="clear" w:color="auto" w:fill="auto"/>
            <w:vAlign w:val="center"/>
          </w:tcPr>
          <w:p w:rsidR="00C14A6A" w:rsidRPr="004D3474" w:rsidRDefault="00C14A6A" w:rsidP="008F275C">
            <w:pPr>
              <w:jc w:val="center"/>
              <w:rPr>
                <w:rFonts w:ascii="Arial Narrow" w:hAnsi="Arial Narrow" w:cs="Arial"/>
                <w:sz w:val="20"/>
                <w:szCs w:val="20"/>
                <w:lang w:val="en-US"/>
              </w:rPr>
            </w:pPr>
            <w:r w:rsidRPr="004D3474">
              <w:rPr>
                <w:rFonts w:ascii="Arial Narrow" w:hAnsi="Arial Narrow" w:cs="Arial"/>
                <w:sz w:val="20"/>
                <w:szCs w:val="20"/>
                <w:lang w:val="en-US"/>
              </w:rPr>
              <w:t>R, DB, MC, PC</w:t>
            </w:r>
          </w:p>
          <w:p w:rsidR="00C14A6A" w:rsidRPr="004D3474" w:rsidRDefault="00C14A6A" w:rsidP="008F275C">
            <w:pPr>
              <w:jc w:val="center"/>
              <w:rPr>
                <w:rFonts w:ascii="Arial Narrow" w:hAnsi="Arial Narrow" w:cs="Arial"/>
                <w:sz w:val="20"/>
                <w:szCs w:val="20"/>
                <w:lang w:val="en-US"/>
              </w:rPr>
            </w:pPr>
            <w:r w:rsidRPr="004D3474">
              <w:rPr>
                <w:rFonts w:ascii="Arial Narrow" w:hAnsi="Arial Narrow" w:cs="Arial"/>
                <w:sz w:val="20"/>
                <w:szCs w:val="20"/>
                <w:lang w:val="en-US"/>
              </w:rPr>
              <w:t>4 weeks treatment period</w:t>
            </w:r>
          </w:p>
        </w:tc>
        <w:tc>
          <w:tcPr>
            <w:tcW w:w="484" w:type="pct"/>
            <w:shd w:val="clear" w:color="auto" w:fill="auto"/>
            <w:vAlign w:val="center"/>
          </w:tcPr>
          <w:p w:rsidR="00C14A6A" w:rsidRPr="004D3474" w:rsidRDefault="00C14A6A" w:rsidP="008F275C">
            <w:pPr>
              <w:jc w:val="center"/>
              <w:rPr>
                <w:rFonts w:ascii="Arial Narrow" w:hAnsi="Arial Narrow" w:cs="Arial"/>
                <w:sz w:val="20"/>
                <w:szCs w:val="20"/>
                <w:lang w:val="en-US"/>
              </w:rPr>
            </w:pPr>
            <w:r w:rsidRPr="004D3474">
              <w:rPr>
                <w:rFonts w:ascii="Arial Narrow" w:hAnsi="Arial Narrow" w:cs="Arial"/>
                <w:sz w:val="20"/>
                <w:szCs w:val="20"/>
                <w:lang w:val="en-US"/>
              </w:rPr>
              <w:t xml:space="preserve">Low </w:t>
            </w:r>
          </w:p>
        </w:tc>
        <w:tc>
          <w:tcPr>
            <w:tcW w:w="993" w:type="pct"/>
            <w:shd w:val="clear" w:color="auto" w:fill="auto"/>
            <w:vAlign w:val="center"/>
          </w:tcPr>
          <w:p w:rsidR="00C14A6A" w:rsidRPr="004D3474" w:rsidRDefault="00C14A6A" w:rsidP="008F275C">
            <w:pPr>
              <w:jc w:val="center"/>
              <w:rPr>
                <w:rFonts w:ascii="Arial Narrow" w:hAnsi="Arial Narrow" w:cs="Arial"/>
                <w:sz w:val="20"/>
                <w:szCs w:val="20"/>
                <w:lang w:val="en-US"/>
              </w:rPr>
            </w:pPr>
            <w:r w:rsidRPr="004D3474">
              <w:rPr>
                <w:rFonts w:ascii="Arial Narrow" w:hAnsi="Arial Narrow" w:cs="Arial"/>
                <w:sz w:val="20"/>
                <w:szCs w:val="20"/>
                <w:lang w:val="en-US"/>
              </w:rPr>
              <w:t>Adolescents (13-17 years) with ADHD*</w:t>
            </w:r>
          </w:p>
        </w:tc>
        <w:tc>
          <w:tcPr>
            <w:tcW w:w="1248" w:type="pct"/>
            <w:vMerge/>
            <w:shd w:val="clear" w:color="auto" w:fill="auto"/>
            <w:vAlign w:val="center"/>
          </w:tcPr>
          <w:p w:rsidR="00C14A6A" w:rsidRPr="004D3474" w:rsidRDefault="00C14A6A" w:rsidP="008F275C">
            <w:pPr>
              <w:jc w:val="center"/>
              <w:rPr>
                <w:rFonts w:ascii="Arial Narrow" w:hAnsi="Arial Narrow" w:cs="Arial"/>
                <w:sz w:val="20"/>
                <w:szCs w:val="20"/>
                <w:lang w:val="en-US"/>
              </w:rPr>
            </w:pPr>
          </w:p>
        </w:tc>
        <w:tc>
          <w:tcPr>
            <w:tcW w:w="572" w:type="pct"/>
            <w:shd w:val="clear" w:color="auto" w:fill="auto"/>
            <w:vAlign w:val="center"/>
          </w:tcPr>
          <w:p w:rsidR="00C14A6A" w:rsidRPr="004D3474" w:rsidRDefault="00C14A6A" w:rsidP="008F275C">
            <w:pPr>
              <w:jc w:val="center"/>
              <w:rPr>
                <w:rFonts w:ascii="Arial Narrow" w:hAnsi="Arial Narrow" w:cs="Arial"/>
                <w:sz w:val="20"/>
                <w:szCs w:val="20"/>
                <w:lang w:val="en-US"/>
              </w:rPr>
            </w:pPr>
            <w:r w:rsidRPr="004D3474">
              <w:rPr>
                <w:rFonts w:ascii="Arial Narrow" w:hAnsi="Arial Narrow" w:cs="Arial"/>
                <w:sz w:val="20"/>
                <w:szCs w:val="20"/>
                <w:lang w:val="en-US"/>
              </w:rPr>
              <w:t>NO</w:t>
            </w:r>
          </w:p>
        </w:tc>
      </w:tr>
    </w:tbl>
    <w:p w:rsidR="00C14A6A" w:rsidRPr="004D3474" w:rsidRDefault="00C14A6A" w:rsidP="00BE5144">
      <w:pPr>
        <w:pStyle w:val="TableFooter"/>
        <w:ind w:left="720"/>
        <w:rPr>
          <w:sz w:val="20"/>
        </w:rPr>
      </w:pPr>
      <w:r w:rsidRPr="004D3474">
        <w:rPr>
          <w:sz w:val="20"/>
        </w:rPr>
        <w:t xml:space="preserve">DB=double blind; MC=multi-centre; OL=open label; R=randomised. PC, placebo controlled; PG, parallel group; WFIRS-P, Weiss Functional Impairment Rating Scale – Parent – Severity of Illness; CHIP-CE: PRF, Child Health and Illness Profile, Child Edition: Parent Report Form; CPRS-R, Connors’ Parent Rating Scale – Revised; d, daily; DB, double-blind; DD, double dummy; DSM-IV, Diagnostic and Statistical Manual of Mental Disorders, Fourth Edition; HUI-2, Health Utilities Index – Mark 2; LDX, </w:t>
      </w:r>
      <w:proofErr w:type="spellStart"/>
      <w:r w:rsidRPr="004D3474">
        <w:rPr>
          <w:sz w:val="20"/>
        </w:rPr>
        <w:t>lisdexamfetamine</w:t>
      </w:r>
      <w:proofErr w:type="spellEnd"/>
      <w:r w:rsidRPr="004D3474">
        <w:rPr>
          <w:sz w:val="20"/>
        </w:rPr>
        <w:t xml:space="preserve">; PBO, placebo; </w:t>
      </w:r>
    </w:p>
    <w:p w:rsidR="00C14A6A" w:rsidRPr="004D3474" w:rsidRDefault="007504A5" w:rsidP="00BE5144">
      <w:pPr>
        <w:pStyle w:val="TableFooter"/>
        <w:ind w:left="720"/>
        <w:rPr>
          <w:sz w:val="20"/>
        </w:rPr>
      </w:pPr>
      <w:r w:rsidRPr="004D3474">
        <w:rPr>
          <w:sz w:val="20"/>
        </w:rPr>
        <w:t>^</w:t>
      </w:r>
      <w:r w:rsidR="00C14A6A" w:rsidRPr="004D3474">
        <w:rPr>
          <w:sz w:val="20"/>
        </w:rPr>
        <w:t>the comparison of LDX versus MPH-OROS was a post hoc analysis. The primary comparison is LDX versus placebo.</w:t>
      </w:r>
    </w:p>
    <w:p w:rsidR="00C14A6A" w:rsidRPr="004D3474" w:rsidRDefault="007504A5" w:rsidP="00BE5144">
      <w:pPr>
        <w:pStyle w:val="TableFooter"/>
        <w:ind w:firstLine="720"/>
        <w:rPr>
          <w:sz w:val="20"/>
          <w:lang w:val="en-US"/>
        </w:rPr>
      </w:pPr>
      <w:r w:rsidRPr="004D3474">
        <w:rPr>
          <w:sz w:val="20"/>
          <w:lang w:val="en-US"/>
        </w:rPr>
        <w:t>*</w:t>
      </w:r>
      <w:r w:rsidR="00C14A6A" w:rsidRPr="004D3474">
        <w:rPr>
          <w:sz w:val="20"/>
          <w:lang w:val="en-US"/>
        </w:rPr>
        <w:t>ADHD diagnosis as per DSM-IV, with baseline ADHD-RS-IV total score ≥28</w:t>
      </w:r>
    </w:p>
    <w:p w:rsidR="00C14A6A" w:rsidRPr="004D3474" w:rsidRDefault="007504A5" w:rsidP="00BE5144">
      <w:pPr>
        <w:pStyle w:val="TableFooter"/>
        <w:ind w:firstLine="720"/>
        <w:rPr>
          <w:sz w:val="20"/>
        </w:rPr>
      </w:pPr>
      <w:r w:rsidRPr="004D3474">
        <w:rPr>
          <w:sz w:val="20"/>
          <w:lang w:val="en-US"/>
        </w:rPr>
        <w:t>+</w:t>
      </w:r>
      <w:r w:rsidR="00C14A6A" w:rsidRPr="004D3474">
        <w:rPr>
          <w:sz w:val="20"/>
          <w:lang w:val="en-US"/>
        </w:rPr>
        <w:t>primary outcome of the trial</w:t>
      </w:r>
    </w:p>
    <w:p w:rsidR="000E07D1" w:rsidRPr="00D17F4B" w:rsidRDefault="00C14A6A" w:rsidP="00BE5144">
      <w:pPr>
        <w:pStyle w:val="TableFooter"/>
        <w:ind w:firstLine="720"/>
        <w:rPr>
          <w:sz w:val="20"/>
        </w:rPr>
      </w:pPr>
      <w:r w:rsidRPr="004D3474">
        <w:rPr>
          <w:sz w:val="20"/>
        </w:rPr>
        <w:t xml:space="preserve">Source: </w:t>
      </w:r>
      <w:r w:rsidR="00A45AF1" w:rsidRPr="004D3474">
        <w:rPr>
          <w:sz w:val="20"/>
        </w:rPr>
        <w:t>Table 1 7.3.COM.3</w:t>
      </w:r>
    </w:p>
    <w:p w:rsidR="000E07D1" w:rsidRDefault="000E07D1" w:rsidP="00C14A6A">
      <w:pPr>
        <w:pStyle w:val="TableFooter"/>
        <w:rPr>
          <w:rFonts w:ascii="Arial" w:hAnsi="Arial"/>
          <w:b/>
          <w:i/>
          <w:sz w:val="22"/>
          <w:szCs w:val="22"/>
          <w:highlight w:val="lightGray"/>
        </w:rPr>
      </w:pPr>
    </w:p>
    <w:p w:rsidR="00C14A6A" w:rsidRPr="00FC6E89" w:rsidRDefault="00D26F4A" w:rsidP="00C14A6A">
      <w:pPr>
        <w:pStyle w:val="TableFooter"/>
        <w:rPr>
          <w:rFonts w:ascii="Arial" w:hAnsi="Arial"/>
          <w:b/>
          <w:i/>
          <w:sz w:val="22"/>
          <w:szCs w:val="22"/>
        </w:rPr>
      </w:pPr>
      <w:r w:rsidRPr="00FC6E89">
        <w:rPr>
          <w:rFonts w:ascii="Arial" w:hAnsi="Arial"/>
          <w:b/>
          <w:i/>
          <w:sz w:val="22"/>
          <w:szCs w:val="22"/>
        </w:rPr>
        <w:t>Sub-group analysis in clinical trials</w:t>
      </w:r>
    </w:p>
    <w:p w:rsidR="00D26F4A" w:rsidRPr="00FC6E89" w:rsidRDefault="00D26F4A" w:rsidP="00C14A6A">
      <w:pPr>
        <w:pStyle w:val="TableFooter"/>
        <w:rPr>
          <w:rFonts w:ascii="Arial" w:hAnsi="Arial"/>
          <w:sz w:val="20"/>
        </w:rPr>
      </w:pPr>
    </w:p>
    <w:p w:rsidR="00D30656" w:rsidRPr="00FC6E89" w:rsidRDefault="00C14A6A" w:rsidP="00243655">
      <w:pPr>
        <w:pStyle w:val="ListParagraph"/>
        <w:numPr>
          <w:ilvl w:val="1"/>
          <w:numId w:val="25"/>
        </w:numPr>
        <w:ind w:left="709" w:hanging="709"/>
        <w:jc w:val="both"/>
        <w:rPr>
          <w:rFonts w:ascii="Arial" w:hAnsi="Arial"/>
          <w:sz w:val="22"/>
          <w:szCs w:val="22"/>
        </w:rPr>
      </w:pPr>
      <w:r w:rsidRPr="00FC6E89">
        <w:rPr>
          <w:rFonts w:ascii="Arial" w:hAnsi="Arial" w:cs="Arial"/>
          <w:sz w:val="22"/>
          <w:szCs w:val="22"/>
        </w:rPr>
        <w:t xml:space="preserve">To support Option 1 listing: the efficacy and safety outcomes from SPD489-325 comparing LDX and MPH-OROS are presented </w:t>
      </w:r>
      <w:r w:rsidR="00CD3703" w:rsidRPr="00FC6E89">
        <w:rPr>
          <w:rFonts w:ascii="Arial" w:hAnsi="Arial" w:cs="Arial"/>
          <w:sz w:val="22"/>
          <w:szCs w:val="22"/>
        </w:rPr>
        <w:t>as</w:t>
      </w:r>
      <w:r w:rsidRPr="00FC6E89">
        <w:rPr>
          <w:rFonts w:ascii="Arial" w:hAnsi="Arial" w:cs="Arial"/>
          <w:sz w:val="22"/>
          <w:szCs w:val="22"/>
        </w:rPr>
        <w:t xml:space="preserve"> subgroups </w:t>
      </w:r>
      <w:r w:rsidR="00CD3703" w:rsidRPr="00FC6E89">
        <w:rPr>
          <w:rFonts w:ascii="Arial" w:hAnsi="Arial" w:cs="Arial"/>
          <w:sz w:val="22"/>
          <w:szCs w:val="22"/>
        </w:rPr>
        <w:t xml:space="preserve">by age: </w:t>
      </w:r>
      <w:r w:rsidRPr="00FC6E89">
        <w:rPr>
          <w:rFonts w:ascii="Arial" w:hAnsi="Arial" w:cs="Arial"/>
          <w:sz w:val="22"/>
          <w:szCs w:val="22"/>
        </w:rPr>
        <w:t xml:space="preserve">adolescents (13-17 years) and children (6-12 years).  </w:t>
      </w:r>
    </w:p>
    <w:p w:rsidR="00D30656" w:rsidRPr="00FC6E89" w:rsidRDefault="00FC6E89" w:rsidP="00FC6E89">
      <w:pPr>
        <w:pStyle w:val="ListParagraph"/>
        <w:tabs>
          <w:tab w:val="left" w:pos="1200"/>
        </w:tabs>
        <w:ind w:left="709"/>
        <w:jc w:val="both"/>
        <w:rPr>
          <w:rFonts w:ascii="Arial" w:hAnsi="Arial" w:cs="Arial"/>
          <w:sz w:val="22"/>
          <w:szCs w:val="22"/>
        </w:rPr>
      </w:pPr>
      <w:r w:rsidRPr="00FC6E89">
        <w:rPr>
          <w:rFonts w:ascii="Arial" w:hAnsi="Arial" w:cs="Arial"/>
          <w:sz w:val="22"/>
          <w:szCs w:val="22"/>
        </w:rPr>
        <w:tab/>
      </w:r>
    </w:p>
    <w:p w:rsidR="0077767A" w:rsidRPr="00FC6E89" w:rsidRDefault="00C14A6A" w:rsidP="00243655">
      <w:pPr>
        <w:pStyle w:val="ListParagraph"/>
        <w:numPr>
          <w:ilvl w:val="1"/>
          <w:numId w:val="25"/>
        </w:numPr>
        <w:ind w:left="709" w:hanging="709"/>
        <w:jc w:val="both"/>
        <w:rPr>
          <w:rFonts w:ascii="Arial" w:hAnsi="Arial"/>
          <w:sz w:val="22"/>
          <w:szCs w:val="22"/>
        </w:rPr>
      </w:pPr>
      <w:r w:rsidRPr="00FC6E89">
        <w:rPr>
          <w:rFonts w:ascii="Arial" w:hAnsi="Arial" w:cs="Arial"/>
          <w:sz w:val="22"/>
          <w:szCs w:val="22"/>
        </w:rPr>
        <w:t xml:space="preserve">To support Option 2 listing: the results of trials SPD489-325, -301 and -305 comparing LDX and placebo are summarised in Appendix A.2 of the </w:t>
      </w:r>
      <w:r w:rsidR="00312E49" w:rsidRPr="00FC6E89">
        <w:rPr>
          <w:rFonts w:ascii="Arial" w:hAnsi="Arial" w:cs="Arial"/>
          <w:sz w:val="22"/>
          <w:szCs w:val="22"/>
        </w:rPr>
        <w:t>re</w:t>
      </w:r>
      <w:r w:rsidR="00392CD7" w:rsidRPr="00FC6E89">
        <w:rPr>
          <w:rFonts w:ascii="Arial" w:hAnsi="Arial" w:cs="Arial"/>
          <w:sz w:val="22"/>
          <w:szCs w:val="22"/>
        </w:rPr>
        <w:t>submission</w:t>
      </w:r>
      <w:r w:rsidR="0077767A" w:rsidRPr="00FC6E89">
        <w:rPr>
          <w:rFonts w:ascii="Arial" w:hAnsi="Arial" w:cs="Arial"/>
          <w:sz w:val="22"/>
          <w:szCs w:val="22"/>
        </w:rPr>
        <w:t>,</w:t>
      </w:r>
      <w:r w:rsidRPr="00FC6E89">
        <w:rPr>
          <w:rFonts w:ascii="Arial" w:hAnsi="Arial" w:cs="Arial"/>
          <w:sz w:val="22"/>
          <w:szCs w:val="22"/>
        </w:rPr>
        <w:t xml:space="preserve"> </w:t>
      </w:r>
      <w:bookmarkStart w:id="0" w:name="_Toc387929525"/>
      <w:r w:rsidR="0077767A" w:rsidRPr="00FC6E89">
        <w:rPr>
          <w:rFonts w:ascii="Arial" w:hAnsi="Arial" w:cs="Arial"/>
          <w:sz w:val="22"/>
          <w:szCs w:val="22"/>
        </w:rPr>
        <w:t>although</w:t>
      </w:r>
      <w:r w:rsidR="00D30656" w:rsidRPr="00FC6E89">
        <w:rPr>
          <w:rFonts w:ascii="Arial" w:hAnsi="Arial" w:cs="Arial"/>
          <w:sz w:val="22"/>
          <w:szCs w:val="22"/>
        </w:rPr>
        <w:t xml:space="preserve"> only the results of the full analysis set </w:t>
      </w:r>
      <w:r w:rsidR="00A35A00" w:rsidRPr="00FC6E89">
        <w:rPr>
          <w:rFonts w:ascii="Arial" w:hAnsi="Arial" w:cs="Arial"/>
          <w:sz w:val="22"/>
          <w:szCs w:val="22"/>
        </w:rPr>
        <w:t xml:space="preserve">(FAS) </w:t>
      </w:r>
      <w:r w:rsidR="00D30656" w:rsidRPr="00FC6E89">
        <w:rPr>
          <w:rFonts w:ascii="Arial" w:hAnsi="Arial" w:cs="Arial"/>
          <w:sz w:val="22"/>
          <w:szCs w:val="22"/>
        </w:rPr>
        <w:t xml:space="preserve">from Trial SPD489-325 are used in the model.  </w:t>
      </w:r>
    </w:p>
    <w:p w:rsidR="0077767A" w:rsidRPr="00D3575F" w:rsidRDefault="0077767A" w:rsidP="00D3575F">
      <w:pPr>
        <w:pStyle w:val="ListParagraph"/>
        <w:rPr>
          <w:rFonts w:ascii="Arial" w:hAnsi="Arial" w:cs="Arial"/>
          <w:sz w:val="22"/>
          <w:szCs w:val="22"/>
          <w:highlight w:val="lightGray"/>
        </w:rPr>
      </w:pPr>
    </w:p>
    <w:p w:rsidR="00A35A00" w:rsidRPr="00FC6E89" w:rsidRDefault="00D30656" w:rsidP="00243655">
      <w:pPr>
        <w:pStyle w:val="ListParagraph"/>
        <w:numPr>
          <w:ilvl w:val="1"/>
          <w:numId w:val="25"/>
        </w:numPr>
        <w:ind w:left="709" w:hanging="709"/>
        <w:jc w:val="both"/>
        <w:rPr>
          <w:rFonts w:ascii="Arial" w:hAnsi="Arial"/>
          <w:sz w:val="22"/>
          <w:szCs w:val="22"/>
        </w:rPr>
      </w:pPr>
      <w:r w:rsidRPr="00FC6E89">
        <w:rPr>
          <w:rFonts w:ascii="Arial" w:hAnsi="Arial" w:cs="Arial"/>
          <w:sz w:val="22"/>
          <w:szCs w:val="22"/>
        </w:rPr>
        <w:t>Trial SPD489-325 enrolled both children and adolescents</w:t>
      </w:r>
      <w:r w:rsidR="00B57CF9" w:rsidRPr="00FC6E89">
        <w:rPr>
          <w:rFonts w:ascii="Arial" w:hAnsi="Arial" w:cs="Arial"/>
          <w:sz w:val="22"/>
          <w:szCs w:val="22"/>
        </w:rPr>
        <w:t>,</w:t>
      </w:r>
      <w:r w:rsidRPr="00FC6E89">
        <w:rPr>
          <w:rFonts w:ascii="Arial" w:hAnsi="Arial" w:cs="Arial"/>
          <w:sz w:val="22"/>
          <w:szCs w:val="22"/>
        </w:rPr>
        <w:t xml:space="preserve"> and provided a head-to-head comparison of LDX and MPH-OROS (albeit post hoc)</w:t>
      </w:r>
      <w:r w:rsidR="00A35A00" w:rsidRPr="00FC6E89">
        <w:rPr>
          <w:rFonts w:ascii="Arial" w:hAnsi="Arial" w:cs="Arial"/>
          <w:sz w:val="22"/>
          <w:szCs w:val="22"/>
        </w:rPr>
        <w:t>. The ESC considered that</w:t>
      </w:r>
      <w:r w:rsidRPr="00FC6E89">
        <w:rPr>
          <w:rFonts w:ascii="Arial" w:hAnsi="Arial" w:cs="Arial"/>
          <w:sz w:val="22"/>
          <w:szCs w:val="22"/>
        </w:rPr>
        <w:t xml:space="preserve"> the resubmission’s approach to performing sub-group analyses </w:t>
      </w:r>
      <w:r w:rsidR="00A35A00" w:rsidRPr="00FC6E89">
        <w:rPr>
          <w:rFonts w:ascii="Arial" w:hAnsi="Arial" w:cs="Arial"/>
          <w:sz w:val="22"/>
          <w:szCs w:val="22"/>
        </w:rPr>
        <w:t>was</w:t>
      </w:r>
      <w:r w:rsidRPr="00FC6E89">
        <w:rPr>
          <w:rFonts w:ascii="Arial" w:hAnsi="Arial" w:cs="Arial"/>
          <w:sz w:val="22"/>
          <w:szCs w:val="22"/>
        </w:rPr>
        <w:t xml:space="preserve"> inappropriate</w:t>
      </w:r>
      <w:r w:rsidR="00A35A00" w:rsidRPr="00FC6E89">
        <w:rPr>
          <w:rFonts w:ascii="Arial" w:hAnsi="Arial" w:cs="Arial"/>
          <w:sz w:val="22"/>
          <w:szCs w:val="22"/>
        </w:rPr>
        <w:t xml:space="preserve"> as it lacked scientific rigour</w:t>
      </w:r>
      <w:r w:rsidR="008F4549" w:rsidRPr="00FC6E89">
        <w:rPr>
          <w:rFonts w:ascii="Arial" w:hAnsi="Arial" w:cs="Arial"/>
          <w:sz w:val="22"/>
          <w:szCs w:val="22"/>
        </w:rPr>
        <w:t xml:space="preserve">, was confounded due to </w:t>
      </w:r>
      <w:proofErr w:type="spellStart"/>
      <w:r w:rsidR="00B57CF9" w:rsidRPr="00FC6E89">
        <w:rPr>
          <w:rFonts w:ascii="Arial" w:hAnsi="Arial" w:cs="Arial"/>
          <w:sz w:val="22"/>
          <w:szCs w:val="22"/>
        </w:rPr>
        <w:t>unblinding</w:t>
      </w:r>
      <w:proofErr w:type="spellEnd"/>
      <w:r w:rsidR="0062377D">
        <w:rPr>
          <w:rFonts w:ascii="Arial" w:hAnsi="Arial" w:cs="Arial"/>
          <w:sz w:val="22"/>
          <w:szCs w:val="22"/>
        </w:rPr>
        <w:t xml:space="preserve"> of the trial</w:t>
      </w:r>
      <w:r w:rsidR="00B57CF9" w:rsidRPr="00FC6E89">
        <w:rPr>
          <w:rFonts w:ascii="Arial" w:hAnsi="Arial" w:cs="Arial"/>
          <w:sz w:val="22"/>
          <w:szCs w:val="22"/>
        </w:rPr>
        <w:t>,</w:t>
      </w:r>
      <w:r w:rsidR="00A35A00" w:rsidRPr="00FC6E89">
        <w:rPr>
          <w:rFonts w:ascii="Arial" w:hAnsi="Arial" w:cs="Arial"/>
          <w:sz w:val="22"/>
          <w:szCs w:val="22"/>
        </w:rPr>
        <w:t xml:space="preserve"> and was not supported by consistent results from other trials.</w:t>
      </w:r>
      <w:r w:rsidRPr="00FC6E89">
        <w:rPr>
          <w:rFonts w:ascii="Arial" w:hAnsi="Arial" w:cs="Arial"/>
          <w:sz w:val="22"/>
          <w:szCs w:val="22"/>
        </w:rPr>
        <w:t xml:space="preserve"> </w:t>
      </w:r>
    </w:p>
    <w:p w:rsidR="00D30656" w:rsidRPr="00FC6E89" w:rsidRDefault="00D30656" w:rsidP="00D3575F"/>
    <w:p w:rsidR="00DB3EB9" w:rsidRPr="00FC6E89" w:rsidRDefault="00B57CF9" w:rsidP="00243655">
      <w:pPr>
        <w:pStyle w:val="ListParagraph"/>
        <w:numPr>
          <w:ilvl w:val="1"/>
          <w:numId w:val="25"/>
        </w:numPr>
        <w:ind w:left="709" w:hanging="709"/>
        <w:jc w:val="both"/>
        <w:rPr>
          <w:rFonts w:ascii="Arial" w:hAnsi="Arial"/>
          <w:sz w:val="22"/>
          <w:szCs w:val="22"/>
        </w:rPr>
      </w:pPr>
      <w:r w:rsidRPr="00FC6E89">
        <w:rPr>
          <w:rFonts w:ascii="Arial" w:hAnsi="Arial" w:cs="Arial"/>
          <w:sz w:val="22"/>
          <w:szCs w:val="22"/>
        </w:rPr>
        <w:t xml:space="preserve">ESC did not </w:t>
      </w:r>
      <w:r w:rsidR="00D30656" w:rsidRPr="00FC6E89">
        <w:rPr>
          <w:rFonts w:ascii="Arial" w:hAnsi="Arial" w:cs="Arial"/>
          <w:sz w:val="22"/>
          <w:szCs w:val="22"/>
        </w:rPr>
        <w:t>believe that a</w:t>
      </w:r>
      <w:r w:rsidRPr="00FC6E89">
        <w:rPr>
          <w:rFonts w:ascii="Arial" w:hAnsi="Arial" w:cs="Arial"/>
          <w:sz w:val="22"/>
          <w:szCs w:val="22"/>
        </w:rPr>
        <w:t xml:space="preserve"> post-hoc</w:t>
      </w:r>
      <w:r w:rsidR="00D30656" w:rsidRPr="00FC6E89">
        <w:rPr>
          <w:rFonts w:ascii="Arial" w:hAnsi="Arial" w:cs="Arial"/>
          <w:sz w:val="22"/>
          <w:szCs w:val="22"/>
        </w:rPr>
        <w:t xml:space="preserve"> sub group analysis was PBAC’s intended guidance when it stated in the July 2013 Minutes: “The PBAC further advised that to maintain a higher price, the sponsor would need to reconstruct the comparator and identify a patient population where superiority can be justified.  The sponsor would also need to identify a patient population where height/weight is not an issue.” (</w:t>
      </w:r>
      <w:proofErr w:type="gramStart"/>
      <w:r w:rsidR="00D30656" w:rsidRPr="00FC6E89">
        <w:rPr>
          <w:rFonts w:ascii="Arial" w:hAnsi="Arial" w:cs="Arial"/>
          <w:sz w:val="22"/>
          <w:szCs w:val="22"/>
        </w:rPr>
        <w:t>para</w:t>
      </w:r>
      <w:proofErr w:type="gramEnd"/>
      <w:r w:rsidR="00D30656" w:rsidRPr="00FC6E89">
        <w:rPr>
          <w:rFonts w:ascii="Arial" w:hAnsi="Arial" w:cs="Arial"/>
          <w:sz w:val="22"/>
          <w:szCs w:val="22"/>
        </w:rPr>
        <w:t xml:space="preserve"> 7.6, July 2013 PBAC Minutes).</w:t>
      </w:r>
      <w:r w:rsidR="00C14A6A" w:rsidRPr="00FC6E89">
        <w:rPr>
          <w:rFonts w:ascii="Arial" w:hAnsi="Arial" w:cs="Arial"/>
          <w:sz w:val="22"/>
          <w:szCs w:val="22"/>
        </w:rPr>
        <w:t xml:space="preserve"> </w:t>
      </w:r>
      <w:r w:rsidRPr="00FC6E89">
        <w:rPr>
          <w:rFonts w:ascii="Arial" w:hAnsi="Arial" w:cs="Arial"/>
          <w:sz w:val="22"/>
          <w:szCs w:val="22"/>
        </w:rPr>
        <w:t>T</w:t>
      </w:r>
      <w:r w:rsidR="00DB3EB9" w:rsidRPr="00FC6E89">
        <w:rPr>
          <w:rFonts w:ascii="Arial" w:hAnsi="Arial" w:cs="Arial"/>
          <w:sz w:val="22"/>
          <w:szCs w:val="22"/>
        </w:rPr>
        <w:t xml:space="preserve">he ESC also noted that differences in </w:t>
      </w:r>
      <w:r w:rsidR="00D93F9F" w:rsidRPr="00FC6E89">
        <w:rPr>
          <w:rFonts w:ascii="Arial" w:hAnsi="Arial" w:cs="Arial"/>
          <w:sz w:val="22"/>
          <w:szCs w:val="22"/>
        </w:rPr>
        <w:t>LDX efficacy</w:t>
      </w:r>
      <w:r w:rsidR="008F4549" w:rsidRPr="00FC6E89">
        <w:rPr>
          <w:rFonts w:ascii="Arial" w:hAnsi="Arial" w:cs="Arial"/>
          <w:sz w:val="22"/>
          <w:szCs w:val="22"/>
        </w:rPr>
        <w:t xml:space="preserve"> w</w:t>
      </w:r>
      <w:r w:rsidR="00513BF0" w:rsidRPr="00FC6E89">
        <w:rPr>
          <w:rFonts w:ascii="Arial" w:hAnsi="Arial" w:cs="Arial"/>
          <w:sz w:val="22"/>
          <w:szCs w:val="22"/>
        </w:rPr>
        <w:t>ere</w:t>
      </w:r>
      <w:r w:rsidR="00DB3EB9" w:rsidRPr="00FC6E89">
        <w:rPr>
          <w:rFonts w:ascii="Arial" w:hAnsi="Arial" w:cs="Arial"/>
          <w:sz w:val="22"/>
          <w:szCs w:val="22"/>
        </w:rPr>
        <w:t xml:space="preserve"> observed when stratifications other than age were applied </w:t>
      </w:r>
      <w:r w:rsidRPr="00FC6E89">
        <w:rPr>
          <w:rFonts w:ascii="Arial" w:hAnsi="Arial" w:cs="Arial"/>
          <w:sz w:val="22"/>
          <w:szCs w:val="22"/>
        </w:rPr>
        <w:t>in</w:t>
      </w:r>
      <w:r w:rsidR="00DB3EB9" w:rsidRPr="00FC6E89">
        <w:rPr>
          <w:rFonts w:ascii="Arial" w:hAnsi="Arial" w:cs="Arial"/>
          <w:sz w:val="22"/>
          <w:szCs w:val="22"/>
        </w:rPr>
        <w:t xml:space="preserve"> post-hoc </w:t>
      </w:r>
      <w:r w:rsidRPr="00FC6E89">
        <w:rPr>
          <w:rFonts w:ascii="Arial" w:hAnsi="Arial" w:cs="Arial"/>
          <w:sz w:val="22"/>
          <w:szCs w:val="22"/>
        </w:rPr>
        <w:t>sub group analyse</w:t>
      </w:r>
      <w:r w:rsidR="00DB3EB9" w:rsidRPr="00FC6E89">
        <w:rPr>
          <w:rFonts w:ascii="Arial" w:hAnsi="Arial" w:cs="Arial"/>
          <w:sz w:val="22"/>
          <w:szCs w:val="22"/>
        </w:rPr>
        <w:t>s (e.g. differing severities of disease), casting further doubt on the legitimacy of applying post hoc sub-stratifications</w:t>
      </w:r>
      <w:r w:rsidRPr="00FC6E89">
        <w:rPr>
          <w:rFonts w:ascii="Arial" w:hAnsi="Arial" w:cs="Arial"/>
          <w:sz w:val="22"/>
          <w:szCs w:val="22"/>
        </w:rPr>
        <w:t>.</w:t>
      </w:r>
    </w:p>
    <w:p w:rsidR="002948C0" w:rsidRPr="00D17F4B" w:rsidRDefault="00FD0FB7" w:rsidP="00D17F4B">
      <w:pPr>
        <w:pStyle w:val="ListParagraph"/>
        <w:ind w:left="709"/>
        <w:jc w:val="both"/>
      </w:pPr>
      <w:r w:rsidRPr="00FC6E89">
        <w:rPr>
          <w:rFonts w:ascii="Arial" w:hAnsi="Arial" w:cs="Arial"/>
          <w:sz w:val="22"/>
          <w:szCs w:val="22"/>
        </w:rPr>
        <w:t xml:space="preserve"> </w:t>
      </w:r>
      <w:bookmarkEnd w:id="0"/>
    </w:p>
    <w:p w:rsidR="002948C0" w:rsidRPr="00FC6E89" w:rsidRDefault="002948C0" w:rsidP="002948C0">
      <w:pPr>
        <w:jc w:val="both"/>
        <w:rPr>
          <w:rFonts w:ascii="Arial" w:hAnsi="Arial"/>
          <w:b/>
          <w:i/>
          <w:sz w:val="22"/>
          <w:szCs w:val="22"/>
        </w:rPr>
      </w:pPr>
      <w:r w:rsidRPr="00FC6E89">
        <w:rPr>
          <w:rFonts w:ascii="Arial" w:hAnsi="Arial"/>
          <w:b/>
          <w:i/>
          <w:sz w:val="22"/>
          <w:szCs w:val="22"/>
        </w:rPr>
        <w:t>Comparative effectiveness</w:t>
      </w:r>
    </w:p>
    <w:p w:rsidR="002948C0" w:rsidRPr="00FC6E89" w:rsidRDefault="002948C0" w:rsidP="002948C0">
      <w:pPr>
        <w:pStyle w:val="ListParagraph"/>
        <w:rPr>
          <w:rFonts w:ascii="Arial" w:hAnsi="Arial" w:cs="Arial"/>
          <w:sz w:val="22"/>
          <w:szCs w:val="22"/>
        </w:rPr>
      </w:pPr>
    </w:p>
    <w:p w:rsidR="002948C0" w:rsidRPr="00FC6E89" w:rsidRDefault="002948C0" w:rsidP="00243655">
      <w:pPr>
        <w:pStyle w:val="ListParagraph"/>
        <w:numPr>
          <w:ilvl w:val="1"/>
          <w:numId w:val="25"/>
        </w:numPr>
        <w:ind w:left="709" w:hanging="709"/>
        <w:jc w:val="both"/>
        <w:rPr>
          <w:rFonts w:ascii="Arial" w:hAnsi="Arial"/>
          <w:sz w:val="22"/>
          <w:szCs w:val="22"/>
        </w:rPr>
      </w:pPr>
      <w:r w:rsidRPr="00FC6E89">
        <w:rPr>
          <w:rFonts w:ascii="Arial" w:hAnsi="Arial"/>
          <w:sz w:val="22"/>
          <w:szCs w:val="22"/>
        </w:rPr>
        <w:t>A summary of the relevant trial results used to demonstrate comparative effectiveness shown below:</w:t>
      </w:r>
      <w:r w:rsidR="00C16D64" w:rsidRPr="00FC6E89">
        <w:rPr>
          <w:rFonts w:ascii="Arial" w:hAnsi="Arial"/>
          <w:sz w:val="22"/>
          <w:szCs w:val="22"/>
        </w:rPr>
        <w:t xml:space="preserve"> </w:t>
      </w:r>
    </w:p>
    <w:p w:rsidR="002948C0" w:rsidRPr="00FC6E89" w:rsidRDefault="002948C0" w:rsidP="00C16D64">
      <w:pPr>
        <w:pStyle w:val="ListParagraph"/>
        <w:ind w:left="709"/>
        <w:jc w:val="both"/>
        <w:rPr>
          <w:rFonts w:ascii="Arial" w:hAnsi="Arial" w:cs="Arial"/>
          <w:sz w:val="22"/>
          <w:szCs w:val="22"/>
        </w:rPr>
      </w:pPr>
    </w:p>
    <w:p w:rsidR="002948C0" w:rsidRPr="00893FAF" w:rsidRDefault="002948C0" w:rsidP="00BE5144">
      <w:pPr>
        <w:ind w:firstLine="709"/>
        <w:rPr>
          <w:rFonts w:ascii="Arial Narrow" w:hAnsi="Arial Narrow" w:cs="Arial"/>
          <w:b/>
          <w:sz w:val="20"/>
          <w:szCs w:val="20"/>
        </w:rPr>
      </w:pPr>
      <w:r w:rsidRPr="00893FAF">
        <w:rPr>
          <w:rFonts w:ascii="Arial Narrow" w:hAnsi="Arial Narrow" w:cs="Arial"/>
          <w:b/>
          <w:sz w:val="20"/>
          <w:szCs w:val="20"/>
        </w:rPr>
        <w:t xml:space="preserve">Results of patient-relevant outcomes across SPD489-325 trial –Continuous outcomes </w:t>
      </w:r>
    </w:p>
    <w:tbl>
      <w:tblPr>
        <w:tblStyle w:val="TableGrid"/>
        <w:tblW w:w="8363" w:type="dxa"/>
        <w:tblInd w:w="737" w:type="dxa"/>
        <w:tblCellMar>
          <w:left w:w="28" w:type="dxa"/>
          <w:right w:w="28" w:type="dxa"/>
        </w:tblCellMar>
        <w:tblLook w:val="04A0" w:firstRow="1" w:lastRow="0" w:firstColumn="1" w:lastColumn="0" w:noHBand="0" w:noVBand="1"/>
        <w:tblDescription w:val="Results of patient-relevant outcomes across SPD489-325 trial –Continuous outcomes"/>
      </w:tblPr>
      <w:tblGrid>
        <w:gridCol w:w="1498"/>
        <w:gridCol w:w="841"/>
        <w:gridCol w:w="824"/>
        <w:gridCol w:w="877"/>
        <w:gridCol w:w="775"/>
        <w:gridCol w:w="852"/>
        <w:gridCol w:w="1070"/>
        <w:gridCol w:w="1626"/>
      </w:tblGrid>
      <w:tr w:rsidR="002948C0" w:rsidRPr="00893FAF" w:rsidTr="0004516B">
        <w:trPr>
          <w:tblHeader/>
        </w:trPr>
        <w:tc>
          <w:tcPr>
            <w:tcW w:w="1498" w:type="dxa"/>
            <w:vMerge w:val="restart"/>
          </w:tcPr>
          <w:p w:rsidR="002948C0" w:rsidRPr="00893FAF" w:rsidRDefault="002948C0" w:rsidP="002B30C3">
            <w:pPr>
              <w:rPr>
                <w:rFonts w:ascii="Arial Narrow" w:hAnsi="Arial Narrow" w:cs="Arial"/>
                <w:b/>
                <w:sz w:val="20"/>
                <w:szCs w:val="20"/>
              </w:rPr>
            </w:pPr>
            <w:r w:rsidRPr="00893FAF">
              <w:rPr>
                <w:rFonts w:ascii="Arial Narrow" w:hAnsi="Arial Narrow" w:cs="Arial"/>
                <w:b/>
                <w:sz w:val="20"/>
                <w:szCs w:val="20"/>
              </w:rPr>
              <w:t xml:space="preserve">Mean change </w:t>
            </w:r>
            <w:r w:rsidRPr="00893FAF">
              <w:rPr>
                <w:rFonts w:ascii="Arial Narrow" w:hAnsi="Arial Narrow" w:cs="Arial"/>
                <w:b/>
                <w:sz w:val="20"/>
                <w:szCs w:val="20"/>
              </w:rPr>
              <w:lastRenderedPageBreak/>
              <w:t>from baseline to endpoint  +</w:t>
            </w:r>
          </w:p>
        </w:tc>
        <w:tc>
          <w:tcPr>
            <w:tcW w:w="2542" w:type="dxa"/>
            <w:gridSpan w:val="3"/>
            <w:vAlign w:val="center"/>
          </w:tcPr>
          <w:p w:rsidR="002948C0" w:rsidRPr="00893FAF" w:rsidRDefault="002948C0" w:rsidP="002B30C3">
            <w:pPr>
              <w:jc w:val="center"/>
              <w:rPr>
                <w:rFonts w:ascii="Arial Narrow" w:hAnsi="Arial Narrow" w:cs="Arial"/>
                <w:b/>
                <w:sz w:val="20"/>
                <w:szCs w:val="20"/>
              </w:rPr>
            </w:pPr>
            <w:r w:rsidRPr="00893FAF">
              <w:rPr>
                <w:rFonts w:ascii="Arial Narrow" w:hAnsi="Arial Narrow" w:cs="Arial"/>
                <w:b/>
                <w:sz w:val="20"/>
                <w:szCs w:val="20"/>
              </w:rPr>
              <w:lastRenderedPageBreak/>
              <w:t>Mean change (SD)</w:t>
            </w:r>
          </w:p>
        </w:tc>
        <w:tc>
          <w:tcPr>
            <w:tcW w:w="4323" w:type="dxa"/>
            <w:gridSpan w:val="4"/>
            <w:vAlign w:val="center"/>
          </w:tcPr>
          <w:p w:rsidR="002948C0" w:rsidRPr="00893FAF" w:rsidRDefault="002948C0" w:rsidP="002B30C3">
            <w:pPr>
              <w:keepNext/>
              <w:keepLines/>
              <w:jc w:val="center"/>
              <w:rPr>
                <w:rFonts w:ascii="Arial Narrow" w:hAnsi="Arial Narrow" w:cs="Arial"/>
                <w:b/>
                <w:sz w:val="20"/>
                <w:szCs w:val="20"/>
              </w:rPr>
            </w:pPr>
            <w:r w:rsidRPr="00893FAF">
              <w:rPr>
                <w:rFonts w:ascii="Arial Narrow" w:hAnsi="Arial Narrow" w:cs="Arial"/>
                <w:b/>
                <w:sz w:val="20"/>
                <w:szCs w:val="20"/>
              </w:rPr>
              <w:t>Mean difference across treatments (95%CI)</w:t>
            </w:r>
          </w:p>
        </w:tc>
      </w:tr>
      <w:tr w:rsidR="00C16D64" w:rsidRPr="00893FAF" w:rsidTr="0004516B">
        <w:trPr>
          <w:tblHeader/>
        </w:trPr>
        <w:tc>
          <w:tcPr>
            <w:tcW w:w="1498" w:type="dxa"/>
            <w:vMerge/>
          </w:tcPr>
          <w:p w:rsidR="002948C0" w:rsidRPr="00893FAF" w:rsidRDefault="002948C0" w:rsidP="002B30C3">
            <w:pPr>
              <w:rPr>
                <w:rFonts w:ascii="Arial Narrow" w:hAnsi="Arial Narrow" w:cs="Arial"/>
                <w:b/>
                <w:sz w:val="20"/>
                <w:szCs w:val="20"/>
              </w:rPr>
            </w:pPr>
          </w:p>
        </w:tc>
        <w:tc>
          <w:tcPr>
            <w:tcW w:w="841" w:type="dxa"/>
            <w:vAlign w:val="center"/>
          </w:tcPr>
          <w:p w:rsidR="002948C0" w:rsidRPr="00893FAF" w:rsidRDefault="002948C0" w:rsidP="002B30C3">
            <w:pPr>
              <w:keepNext/>
              <w:keepLines/>
              <w:jc w:val="center"/>
              <w:rPr>
                <w:rFonts w:ascii="Arial Narrow" w:hAnsi="Arial Narrow" w:cs="Arial"/>
                <w:b/>
                <w:sz w:val="20"/>
                <w:szCs w:val="20"/>
              </w:rPr>
            </w:pPr>
            <w:r w:rsidRPr="00893FAF">
              <w:rPr>
                <w:rFonts w:ascii="Arial Narrow" w:hAnsi="Arial Narrow" w:cs="Arial"/>
                <w:b/>
                <w:sz w:val="20"/>
                <w:szCs w:val="20"/>
              </w:rPr>
              <w:t>LDX</w:t>
            </w:r>
          </w:p>
        </w:tc>
        <w:tc>
          <w:tcPr>
            <w:tcW w:w="824" w:type="dxa"/>
            <w:vAlign w:val="center"/>
          </w:tcPr>
          <w:p w:rsidR="002948C0" w:rsidRPr="00893FAF" w:rsidRDefault="002948C0" w:rsidP="002B30C3">
            <w:pPr>
              <w:keepNext/>
              <w:keepLines/>
              <w:jc w:val="center"/>
              <w:rPr>
                <w:rFonts w:ascii="Arial Narrow" w:hAnsi="Arial Narrow" w:cs="Arial"/>
                <w:b/>
                <w:sz w:val="20"/>
                <w:szCs w:val="20"/>
              </w:rPr>
            </w:pPr>
            <w:r w:rsidRPr="00893FAF">
              <w:rPr>
                <w:rFonts w:ascii="Arial Narrow" w:hAnsi="Arial Narrow" w:cs="Arial"/>
                <w:b/>
                <w:sz w:val="20"/>
                <w:szCs w:val="20"/>
              </w:rPr>
              <w:t>PBO</w:t>
            </w:r>
          </w:p>
        </w:tc>
        <w:tc>
          <w:tcPr>
            <w:tcW w:w="877" w:type="dxa"/>
            <w:vAlign w:val="center"/>
          </w:tcPr>
          <w:p w:rsidR="002948C0" w:rsidRPr="00893FAF" w:rsidRDefault="002948C0" w:rsidP="002B30C3">
            <w:pPr>
              <w:keepNext/>
              <w:keepLines/>
              <w:jc w:val="center"/>
              <w:rPr>
                <w:rFonts w:ascii="Arial Narrow" w:hAnsi="Arial Narrow" w:cs="Arial"/>
                <w:b/>
                <w:sz w:val="20"/>
                <w:szCs w:val="20"/>
              </w:rPr>
            </w:pPr>
            <w:r w:rsidRPr="00893FAF">
              <w:rPr>
                <w:rFonts w:ascii="Arial Narrow" w:hAnsi="Arial Narrow" w:cs="Arial"/>
                <w:b/>
                <w:sz w:val="20"/>
                <w:szCs w:val="20"/>
              </w:rPr>
              <w:t>MPH-OROS</w:t>
            </w:r>
          </w:p>
        </w:tc>
        <w:tc>
          <w:tcPr>
            <w:tcW w:w="775" w:type="dxa"/>
            <w:vAlign w:val="center"/>
          </w:tcPr>
          <w:p w:rsidR="002948C0" w:rsidRPr="00893FAF" w:rsidRDefault="002948C0" w:rsidP="002B30C3">
            <w:pPr>
              <w:keepNext/>
              <w:keepLines/>
              <w:jc w:val="center"/>
              <w:rPr>
                <w:rFonts w:ascii="Arial Narrow" w:hAnsi="Arial Narrow" w:cs="Arial"/>
                <w:b/>
                <w:sz w:val="20"/>
                <w:szCs w:val="20"/>
              </w:rPr>
            </w:pPr>
            <w:r w:rsidRPr="00893FAF">
              <w:rPr>
                <w:rFonts w:ascii="Arial Narrow" w:hAnsi="Arial Narrow" w:cs="Arial"/>
                <w:b/>
                <w:sz w:val="20"/>
                <w:szCs w:val="20"/>
              </w:rPr>
              <w:t>LDX v</w:t>
            </w:r>
          </w:p>
          <w:p w:rsidR="002948C0" w:rsidRPr="00893FAF" w:rsidRDefault="002948C0" w:rsidP="002B30C3">
            <w:pPr>
              <w:jc w:val="center"/>
              <w:rPr>
                <w:rFonts w:ascii="Arial Narrow" w:hAnsi="Arial Narrow" w:cs="Arial"/>
                <w:b/>
                <w:sz w:val="20"/>
                <w:szCs w:val="20"/>
              </w:rPr>
            </w:pPr>
            <w:r w:rsidRPr="00893FAF">
              <w:rPr>
                <w:rFonts w:ascii="Arial Narrow" w:hAnsi="Arial Narrow" w:cs="Arial"/>
                <w:b/>
                <w:sz w:val="20"/>
                <w:szCs w:val="20"/>
              </w:rPr>
              <w:t>PBO</w:t>
            </w:r>
          </w:p>
        </w:tc>
        <w:tc>
          <w:tcPr>
            <w:tcW w:w="852" w:type="dxa"/>
            <w:vAlign w:val="center"/>
          </w:tcPr>
          <w:p w:rsidR="002948C0" w:rsidRPr="00893FAF" w:rsidRDefault="002948C0" w:rsidP="002B30C3">
            <w:pPr>
              <w:jc w:val="center"/>
              <w:rPr>
                <w:rFonts w:ascii="Arial Narrow" w:hAnsi="Arial Narrow" w:cs="Arial"/>
                <w:b/>
                <w:sz w:val="20"/>
                <w:szCs w:val="20"/>
              </w:rPr>
            </w:pPr>
            <w:r w:rsidRPr="00893FAF">
              <w:rPr>
                <w:rFonts w:ascii="Arial Narrow" w:hAnsi="Arial Narrow" w:cs="Arial"/>
                <w:b/>
                <w:sz w:val="20"/>
                <w:szCs w:val="20"/>
              </w:rPr>
              <w:t>MPH-OROS v PBO</w:t>
            </w:r>
          </w:p>
        </w:tc>
        <w:tc>
          <w:tcPr>
            <w:tcW w:w="1070" w:type="dxa"/>
            <w:vAlign w:val="center"/>
          </w:tcPr>
          <w:p w:rsidR="002948C0" w:rsidRPr="00893FAF" w:rsidRDefault="002948C0" w:rsidP="002B30C3">
            <w:pPr>
              <w:keepNext/>
              <w:keepLines/>
              <w:jc w:val="center"/>
              <w:rPr>
                <w:rFonts w:ascii="Arial Narrow" w:hAnsi="Arial Narrow" w:cs="Arial"/>
                <w:b/>
                <w:sz w:val="20"/>
                <w:szCs w:val="20"/>
              </w:rPr>
            </w:pPr>
            <w:r w:rsidRPr="00893FAF">
              <w:rPr>
                <w:rFonts w:ascii="Arial Narrow" w:hAnsi="Arial Narrow" w:cs="Arial"/>
                <w:b/>
                <w:sz w:val="20"/>
                <w:szCs w:val="20"/>
              </w:rPr>
              <w:t>LDX v</w:t>
            </w:r>
          </w:p>
          <w:p w:rsidR="002948C0" w:rsidRPr="00893FAF" w:rsidRDefault="002948C0" w:rsidP="002B30C3">
            <w:pPr>
              <w:jc w:val="center"/>
              <w:rPr>
                <w:rFonts w:ascii="Arial Narrow" w:hAnsi="Arial Narrow" w:cs="Arial"/>
                <w:b/>
                <w:sz w:val="20"/>
                <w:szCs w:val="20"/>
              </w:rPr>
            </w:pPr>
            <w:r w:rsidRPr="00893FAF">
              <w:rPr>
                <w:rFonts w:ascii="Arial Narrow" w:hAnsi="Arial Narrow" w:cs="Arial"/>
                <w:b/>
                <w:sz w:val="20"/>
                <w:szCs w:val="20"/>
              </w:rPr>
              <w:t>MPH-OROS</w:t>
            </w:r>
          </w:p>
        </w:tc>
        <w:tc>
          <w:tcPr>
            <w:tcW w:w="1626" w:type="dxa"/>
            <w:vAlign w:val="center"/>
          </w:tcPr>
          <w:p w:rsidR="002948C0" w:rsidRPr="00893FAF" w:rsidRDefault="002948C0" w:rsidP="002B30C3">
            <w:pPr>
              <w:keepNext/>
              <w:keepLines/>
              <w:jc w:val="center"/>
              <w:rPr>
                <w:rFonts w:ascii="Arial Narrow" w:hAnsi="Arial Narrow" w:cs="Arial"/>
                <w:b/>
                <w:i/>
                <w:sz w:val="20"/>
                <w:szCs w:val="20"/>
              </w:rPr>
            </w:pPr>
            <w:r w:rsidRPr="00893FAF">
              <w:rPr>
                <w:rFonts w:ascii="Arial Narrow" w:hAnsi="Arial Narrow" w:cs="Arial"/>
                <w:b/>
                <w:i/>
                <w:sz w:val="20"/>
                <w:szCs w:val="20"/>
              </w:rPr>
              <w:t xml:space="preserve">Exceeds </w:t>
            </w:r>
            <w:proofErr w:type="spellStart"/>
            <w:proofErr w:type="gramStart"/>
            <w:r w:rsidRPr="00893FAF">
              <w:rPr>
                <w:rFonts w:ascii="Arial Narrow" w:hAnsi="Arial Narrow" w:cs="Arial"/>
                <w:b/>
                <w:i/>
                <w:sz w:val="20"/>
                <w:szCs w:val="20"/>
              </w:rPr>
              <w:t>MCID</w:t>
            </w:r>
            <w:r w:rsidRPr="00893FAF">
              <w:rPr>
                <w:rFonts w:ascii="Arial Narrow" w:hAnsi="Arial Narrow" w:cs="Arial"/>
                <w:b/>
                <w:i/>
                <w:sz w:val="20"/>
                <w:szCs w:val="20"/>
                <w:vertAlign w:val="superscript"/>
              </w:rPr>
              <w:t>b</w:t>
            </w:r>
            <w:proofErr w:type="spellEnd"/>
            <w:r w:rsidRPr="00893FAF">
              <w:rPr>
                <w:rFonts w:ascii="Arial Narrow" w:hAnsi="Arial Narrow" w:cs="Arial"/>
                <w:b/>
                <w:i/>
                <w:sz w:val="20"/>
                <w:szCs w:val="20"/>
              </w:rPr>
              <w:t>(</w:t>
            </w:r>
            <w:proofErr w:type="gramEnd"/>
            <w:r w:rsidRPr="00893FAF">
              <w:rPr>
                <w:rFonts w:ascii="Arial Narrow" w:hAnsi="Arial Narrow" w:cs="Arial"/>
                <w:b/>
                <w:i/>
                <w:sz w:val="20"/>
                <w:szCs w:val="20"/>
              </w:rPr>
              <w:t>LDX vs MPH-OROS)?</w:t>
            </w:r>
          </w:p>
        </w:tc>
      </w:tr>
      <w:tr w:rsidR="002948C0" w:rsidRPr="00893FAF" w:rsidTr="00BE5144">
        <w:tc>
          <w:tcPr>
            <w:tcW w:w="8363" w:type="dxa"/>
            <w:gridSpan w:val="8"/>
            <w:shd w:val="clear" w:color="auto" w:fill="DBE5F1" w:themeFill="accent1" w:themeFillTint="33"/>
            <w:vAlign w:val="center"/>
          </w:tcPr>
          <w:p w:rsidR="002948C0" w:rsidRPr="00893FAF" w:rsidRDefault="002948C0" w:rsidP="002B30C3">
            <w:pPr>
              <w:rPr>
                <w:rFonts w:ascii="Arial Narrow" w:hAnsi="Arial Narrow" w:cs="Arial"/>
                <w:b/>
                <w:smallCaps/>
                <w:sz w:val="20"/>
                <w:szCs w:val="20"/>
              </w:rPr>
            </w:pPr>
            <w:r w:rsidRPr="00893FAF">
              <w:rPr>
                <w:rFonts w:ascii="Arial Narrow" w:hAnsi="Arial Narrow" w:cs="Arial"/>
                <w:b/>
                <w:smallCaps/>
                <w:sz w:val="20"/>
                <w:szCs w:val="20"/>
              </w:rPr>
              <w:lastRenderedPageBreak/>
              <w:t>Efficacy outcomes (a negative change indicates improvement)</w:t>
            </w:r>
          </w:p>
        </w:tc>
      </w:tr>
      <w:tr w:rsidR="002948C0" w:rsidRPr="00893FAF" w:rsidTr="00BE5144">
        <w:tc>
          <w:tcPr>
            <w:tcW w:w="8363" w:type="dxa"/>
            <w:gridSpan w:val="8"/>
          </w:tcPr>
          <w:p w:rsidR="002948C0" w:rsidRPr="00893FAF" w:rsidRDefault="002948C0" w:rsidP="002B30C3">
            <w:pPr>
              <w:rPr>
                <w:rFonts w:ascii="Arial Narrow" w:hAnsi="Arial Narrow" w:cs="Arial"/>
                <w:b/>
                <w:sz w:val="20"/>
                <w:szCs w:val="20"/>
              </w:rPr>
            </w:pPr>
            <w:r w:rsidRPr="00893FAF">
              <w:rPr>
                <w:rFonts w:ascii="Arial Narrow" w:hAnsi="Arial Narrow" w:cs="Arial"/>
                <w:b/>
                <w:sz w:val="20"/>
                <w:szCs w:val="20"/>
              </w:rPr>
              <w:t>Attention Deficit Hyperactivity Disorder rating scale IV (ADHD-RS-IV) Total score</w:t>
            </w:r>
            <w:r w:rsidRPr="00893FAF">
              <w:rPr>
                <w:rFonts w:ascii="Arial Narrow" w:hAnsi="Arial Narrow" w:cs="Arial"/>
                <w:b/>
                <w:sz w:val="20"/>
                <w:szCs w:val="20"/>
                <w:vertAlign w:val="superscript"/>
              </w:rPr>
              <w:t xml:space="preserve"> </w:t>
            </w:r>
            <w:r w:rsidRPr="00893FAF">
              <w:rPr>
                <w:rFonts w:ascii="Arial Narrow" w:hAnsi="Arial Narrow" w:cs="Arial"/>
                <w:b/>
                <w:sz w:val="20"/>
                <w:szCs w:val="20"/>
              </w:rPr>
              <w:t>(primary outcome)</w:t>
            </w:r>
          </w:p>
        </w:tc>
      </w:tr>
      <w:tr w:rsidR="00C16D64" w:rsidRPr="00893FAF" w:rsidTr="00BE5144">
        <w:tc>
          <w:tcPr>
            <w:tcW w:w="1498" w:type="dxa"/>
            <w:vAlign w:val="center"/>
          </w:tcPr>
          <w:p w:rsidR="002948C0" w:rsidRPr="00893FAF" w:rsidRDefault="002948C0" w:rsidP="002B30C3">
            <w:pPr>
              <w:rPr>
                <w:rFonts w:ascii="Arial Narrow" w:hAnsi="Arial Narrow" w:cs="Arial"/>
                <w:b/>
                <w:sz w:val="20"/>
                <w:szCs w:val="20"/>
              </w:rPr>
            </w:pPr>
            <w:r w:rsidRPr="00893FAF">
              <w:rPr>
                <w:rFonts w:ascii="Arial Narrow" w:hAnsi="Arial Narrow" w:cs="Arial"/>
                <w:sz w:val="20"/>
                <w:szCs w:val="20"/>
              </w:rPr>
              <w:t>FAS(6-17 y</w:t>
            </w:r>
            <w:r w:rsidR="00893FAF" w:rsidRPr="00893FAF">
              <w:rPr>
                <w:rFonts w:ascii="Arial Narrow" w:hAnsi="Arial Narrow" w:cs="Arial"/>
                <w:sz w:val="20"/>
                <w:szCs w:val="20"/>
              </w:rPr>
              <w:t>ea</w:t>
            </w:r>
            <w:r w:rsidRPr="00893FAF">
              <w:rPr>
                <w:rFonts w:ascii="Arial Narrow" w:hAnsi="Arial Narrow" w:cs="Arial"/>
                <w:sz w:val="20"/>
                <w:szCs w:val="20"/>
              </w:rPr>
              <w:t>rs)</w:t>
            </w:r>
          </w:p>
        </w:tc>
        <w:tc>
          <w:tcPr>
            <w:tcW w:w="841" w:type="dxa"/>
            <w:vAlign w:val="center"/>
          </w:tcPr>
          <w:p w:rsidR="002948C0" w:rsidRPr="00893FAF" w:rsidRDefault="002948C0" w:rsidP="002B30C3">
            <w:pPr>
              <w:keepNext/>
              <w:keepLines/>
              <w:jc w:val="center"/>
              <w:rPr>
                <w:rFonts w:ascii="Arial Narrow" w:hAnsi="Arial Narrow" w:cs="Arial"/>
                <w:sz w:val="20"/>
                <w:szCs w:val="20"/>
              </w:rPr>
            </w:pPr>
            <w:r w:rsidRPr="00893FAF">
              <w:rPr>
                <w:rFonts w:ascii="Arial Narrow" w:hAnsi="Arial Narrow" w:cs="Arial"/>
                <w:sz w:val="20"/>
                <w:szCs w:val="20"/>
              </w:rPr>
              <w:t>n=104</w:t>
            </w:r>
          </w:p>
          <w:p w:rsidR="002948C0" w:rsidRPr="00893FAF" w:rsidRDefault="002948C0" w:rsidP="002B30C3">
            <w:pPr>
              <w:keepNext/>
              <w:keepLines/>
              <w:jc w:val="center"/>
              <w:rPr>
                <w:rFonts w:ascii="Arial Narrow" w:hAnsi="Arial Narrow" w:cs="Arial"/>
                <w:sz w:val="20"/>
                <w:szCs w:val="20"/>
              </w:rPr>
            </w:pPr>
            <w:r w:rsidRPr="00893FAF">
              <w:rPr>
                <w:rFonts w:ascii="Arial Narrow" w:hAnsi="Arial Narrow" w:cs="Arial"/>
                <w:sz w:val="20"/>
                <w:szCs w:val="20"/>
              </w:rPr>
              <w:t>-24.7</w:t>
            </w:r>
          </w:p>
          <w:p w:rsidR="002948C0" w:rsidRPr="00893FAF" w:rsidRDefault="002948C0" w:rsidP="002B30C3">
            <w:pPr>
              <w:jc w:val="center"/>
              <w:rPr>
                <w:rFonts w:ascii="Arial Narrow" w:hAnsi="Arial Narrow" w:cs="Arial"/>
                <w:b/>
                <w:sz w:val="20"/>
                <w:szCs w:val="20"/>
              </w:rPr>
            </w:pPr>
            <w:r w:rsidRPr="00893FAF">
              <w:rPr>
                <w:rFonts w:ascii="Arial Narrow" w:hAnsi="Arial Narrow" w:cs="Arial"/>
                <w:sz w:val="20"/>
                <w:szCs w:val="20"/>
              </w:rPr>
              <w:t>(10.15)</w:t>
            </w:r>
          </w:p>
        </w:tc>
        <w:tc>
          <w:tcPr>
            <w:tcW w:w="824" w:type="dxa"/>
            <w:vAlign w:val="center"/>
          </w:tcPr>
          <w:p w:rsidR="002948C0" w:rsidRPr="00893FAF" w:rsidRDefault="002948C0" w:rsidP="002B30C3">
            <w:pPr>
              <w:keepNext/>
              <w:keepLines/>
              <w:jc w:val="center"/>
              <w:rPr>
                <w:rFonts w:ascii="Arial Narrow" w:hAnsi="Arial Narrow" w:cs="Arial"/>
                <w:sz w:val="20"/>
                <w:szCs w:val="20"/>
              </w:rPr>
            </w:pPr>
            <w:r w:rsidRPr="00893FAF">
              <w:rPr>
                <w:rFonts w:ascii="Arial Narrow" w:hAnsi="Arial Narrow" w:cs="Arial"/>
                <w:sz w:val="20"/>
                <w:szCs w:val="20"/>
              </w:rPr>
              <w:t>n=106</w:t>
            </w:r>
          </w:p>
          <w:p w:rsidR="002948C0" w:rsidRPr="00893FAF" w:rsidRDefault="002948C0" w:rsidP="002B30C3">
            <w:pPr>
              <w:keepNext/>
              <w:keepLines/>
              <w:jc w:val="center"/>
              <w:rPr>
                <w:rFonts w:ascii="Arial Narrow" w:hAnsi="Arial Narrow" w:cs="Arial"/>
                <w:sz w:val="20"/>
                <w:szCs w:val="20"/>
              </w:rPr>
            </w:pPr>
            <w:r w:rsidRPr="00893FAF">
              <w:rPr>
                <w:rFonts w:ascii="Arial Narrow" w:hAnsi="Arial Narrow" w:cs="Arial"/>
                <w:sz w:val="20"/>
                <w:szCs w:val="20"/>
              </w:rPr>
              <w:t>-6.3</w:t>
            </w:r>
          </w:p>
          <w:p w:rsidR="002948C0" w:rsidRPr="00893FAF" w:rsidRDefault="002948C0" w:rsidP="002B30C3">
            <w:pPr>
              <w:jc w:val="center"/>
              <w:rPr>
                <w:rFonts w:ascii="Arial Narrow" w:hAnsi="Arial Narrow" w:cs="Arial"/>
                <w:b/>
                <w:sz w:val="20"/>
                <w:szCs w:val="20"/>
              </w:rPr>
            </w:pPr>
            <w:r w:rsidRPr="00893FAF">
              <w:rPr>
                <w:rFonts w:ascii="Arial Narrow" w:hAnsi="Arial Narrow" w:cs="Arial"/>
                <w:sz w:val="20"/>
                <w:szCs w:val="20"/>
              </w:rPr>
              <w:t>(10.02)</w:t>
            </w:r>
          </w:p>
        </w:tc>
        <w:tc>
          <w:tcPr>
            <w:tcW w:w="877" w:type="dxa"/>
            <w:vAlign w:val="center"/>
          </w:tcPr>
          <w:p w:rsidR="002948C0" w:rsidRPr="00893FAF" w:rsidRDefault="002948C0" w:rsidP="002B30C3">
            <w:pPr>
              <w:keepNext/>
              <w:keepLines/>
              <w:jc w:val="center"/>
              <w:rPr>
                <w:rFonts w:ascii="Arial Narrow" w:hAnsi="Arial Narrow" w:cs="Arial"/>
                <w:sz w:val="20"/>
                <w:szCs w:val="20"/>
              </w:rPr>
            </w:pPr>
            <w:r w:rsidRPr="00893FAF">
              <w:rPr>
                <w:rFonts w:ascii="Arial Narrow" w:hAnsi="Arial Narrow" w:cs="Arial"/>
                <w:sz w:val="20"/>
                <w:szCs w:val="20"/>
              </w:rPr>
              <w:t>n=107</w:t>
            </w:r>
          </w:p>
          <w:p w:rsidR="002948C0" w:rsidRPr="00893FAF" w:rsidRDefault="002948C0" w:rsidP="002B30C3">
            <w:pPr>
              <w:keepNext/>
              <w:keepLines/>
              <w:jc w:val="center"/>
              <w:rPr>
                <w:rFonts w:ascii="Arial Narrow" w:hAnsi="Arial Narrow" w:cs="Arial"/>
                <w:sz w:val="20"/>
                <w:szCs w:val="20"/>
              </w:rPr>
            </w:pPr>
            <w:r w:rsidRPr="00893FAF">
              <w:rPr>
                <w:rFonts w:ascii="Arial Narrow" w:hAnsi="Arial Narrow" w:cs="Arial"/>
                <w:sz w:val="20"/>
                <w:szCs w:val="20"/>
              </w:rPr>
              <w:t>-18.9</w:t>
            </w:r>
          </w:p>
          <w:p w:rsidR="002948C0" w:rsidRPr="00893FAF" w:rsidRDefault="002948C0" w:rsidP="002B30C3">
            <w:pPr>
              <w:jc w:val="center"/>
              <w:rPr>
                <w:rFonts w:ascii="Arial Narrow" w:hAnsi="Arial Narrow" w:cs="Arial"/>
                <w:b/>
                <w:sz w:val="20"/>
                <w:szCs w:val="20"/>
              </w:rPr>
            </w:pPr>
            <w:r w:rsidRPr="00893FAF">
              <w:rPr>
                <w:rFonts w:ascii="Arial Narrow" w:hAnsi="Arial Narrow" w:cs="Arial"/>
                <w:sz w:val="20"/>
                <w:szCs w:val="20"/>
              </w:rPr>
              <w:t>(12.92)</w:t>
            </w:r>
          </w:p>
        </w:tc>
        <w:tc>
          <w:tcPr>
            <w:tcW w:w="775" w:type="dxa"/>
            <w:vAlign w:val="center"/>
          </w:tcPr>
          <w:p w:rsidR="002948C0" w:rsidRPr="00893FAF" w:rsidRDefault="002948C0" w:rsidP="002B30C3">
            <w:pPr>
              <w:keepNext/>
              <w:keepLines/>
              <w:jc w:val="center"/>
              <w:rPr>
                <w:rFonts w:ascii="Arial Narrow" w:hAnsi="Arial Narrow" w:cs="Arial"/>
                <w:b/>
                <w:sz w:val="20"/>
                <w:szCs w:val="20"/>
              </w:rPr>
            </w:pPr>
            <w:r w:rsidRPr="00893FAF">
              <w:rPr>
                <w:rFonts w:ascii="Arial Narrow" w:hAnsi="Arial Narrow" w:cs="Arial"/>
                <w:b/>
                <w:sz w:val="20"/>
                <w:szCs w:val="20"/>
              </w:rPr>
              <w:t>-18.6</w:t>
            </w:r>
          </w:p>
          <w:p w:rsidR="002948C0" w:rsidRPr="00893FAF" w:rsidRDefault="002948C0" w:rsidP="002B30C3">
            <w:pPr>
              <w:jc w:val="center"/>
              <w:rPr>
                <w:rFonts w:ascii="Arial Narrow" w:hAnsi="Arial Narrow" w:cs="Arial"/>
                <w:b/>
                <w:sz w:val="20"/>
                <w:szCs w:val="20"/>
              </w:rPr>
            </w:pPr>
            <w:r w:rsidRPr="00893FAF">
              <w:rPr>
                <w:rFonts w:ascii="Arial Narrow" w:hAnsi="Arial Narrow" w:cs="Arial"/>
                <w:b/>
                <w:sz w:val="20"/>
                <w:szCs w:val="20"/>
              </w:rPr>
              <w:t>(-21.5, -15.7)</w:t>
            </w:r>
          </w:p>
        </w:tc>
        <w:tc>
          <w:tcPr>
            <w:tcW w:w="852" w:type="dxa"/>
            <w:vAlign w:val="center"/>
          </w:tcPr>
          <w:p w:rsidR="002948C0" w:rsidRPr="00893FAF" w:rsidRDefault="002948C0" w:rsidP="002B30C3">
            <w:pPr>
              <w:keepNext/>
              <w:keepLines/>
              <w:jc w:val="center"/>
              <w:rPr>
                <w:rFonts w:ascii="Arial Narrow" w:hAnsi="Arial Narrow" w:cs="Arial"/>
                <w:b/>
                <w:sz w:val="20"/>
                <w:szCs w:val="20"/>
              </w:rPr>
            </w:pPr>
            <w:r w:rsidRPr="00893FAF">
              <w:rPr>
                <w:rFonts w:ascii="Arial Narrow" w:hAnsi="Arial Narrow" w:cs="Arial"/>
                <w:b/>
                <w:sz w:val="20"/>
                <w:szCs w:val="20"/>
              </w:rPr>
              <w:t>-13.0</w:t>
            </w:r>
          </w:p>
          <w:p w:rsidR="002948C0" w:rsidRPr="00893FAF" w:rsidRDefault="002948C0" w:rsidP="002B30C3">
            <w:pPr>
              <w:jc w:val="center"/>
              <w:rPr>
                <w:rFonts w:ascii="Arial Narrow" w:hAnsi="Arial Narrow" w:cs="Arial"/>
                <w:b/>
                <w:sz w:val="20"/>
                <w:szCs w:val="20"/>
              </w:rPr>
            </w:pPr>
            <w:r w:rsidRPr="00893FAF">
              <w:rPr>
                <w:rFonts w:ascii="Arial Narrow" w:hAnsi="Arial Narrow" w:cs="Arial"/>
                <w:b/>
                <w:sz w:val="20"/>
                <w:szCs w:val="20"/>
              </w:rPr>
              <w:t>(-15.9, -10.2)</w:t>
            </w:r>
          </w:p>
        </w:tc>
        <w:tc>
          <w:tcPr>
            <w:tcW w:w="1070" w:type="dxa"/>
            <w:vAlign w:val="center"/>
          </w:tcPr>
          <w:p w:rsidR="002948C0" w:rsidRPr="00893FAF" w:rsidRDefault="002948C0" w:rsidP="002B30C3">
            <w:pPr>
              <w:keepNext/>
              <w:keepLines/>
              <w:jc w:val="center"/>
              <w:rPr>
                <w:rFonts w:ascii="Arial Narrow" w:hAnsi="Arial Narrow" w:cs="Arial"/>
                <w:b/>
                <w:sz w:val="20"/>
                <w:szCs w:val="20"/>
              </w:rPr>
            </w:pPr>
            <w:r w:rsidRPr="00893FAF">
              <w:rPr>
                <w:rFonts w:ascii="Arial Narrow" w:hAnsi="Arial Narrow" w:cs="Arial"/>
                <w:b/>
                <w:sz w:val="20"/>
                <w:szCs w:val="20"/>
              </w:rPr>
              <w:t>-5.8(-9.0, -2.6)</w:t>
            </w:r>
          </w:p>
          <w:p w:rsidR="002948C0" w:rsidRPr="00893FAF" w:rsidRDefault="002948C0" w:rsidP="002B30C3">
            <w:pPr>
              <w:jc w:val="center"/>
              <w:rPr>
                <w:rFonts w:ascii="Arial Narrow" w:hAnsi="Arial Narrow" w:cs="Arial"/>
                <w:b/>
                <w:sz w:val="20"/>
                <w:szCs w:val="20"/>
              </w:rPr>
            </w:pPr>
            <w:r w:rsidRPr="00893FAF">
              <w:rPr>
                <w:rFonts w:ascii="Arial Narrow" w:hAnsi="Arial Narrow" w:cs="Arial"/>
                <w:b/>
                <w:sz w:val="20"/>
                <w:szCs w:val="20"/>
              </w:rPr>
              <w:t>P&lt;0.001</w:t>
            </w:r>
          </w:p>
        </w:tc>
        <w:tc>
          <w:tcPr>
            <w:tcW w:w="1626" w:type="dxa"/>
            <w:vAlign w:val="center"/>
          </w:tcPr>
          <w:p w:rsidR="002948C0" w:rsidRPr="00893FAF" w:rsidRDefault="002948C0" w:rsidP="002B30C3">
            <w:pPr>
              <w:keepNext/>
              <w:keepLines/>
              <w:jc w:val="center"/>
              <w:rPr>
                <w:rFonts w:ascii="Arial Narrow" w:hAnsi="Arial Narrow" w:cs="Arial"/>
                <w:i/>
                <w:sz w:val="20"/>
                <w:szCs w:val="20"/>
                <w:vertAlign w:val="superscript"/>
              </w:rPr>
            </w:pPr>
            <w:r w:rsidRPr="00893FAF">
              <w:rPr>
                <w:rFonts w:ascii="Arial Narrow" w:hAnsi="Arial Narrow" w:cs="Arial"/>
                <w:i/>
                <w:sz w:val="20"/>
                <w:szCs w:val="20"/>
              </w:rPr>
              <w:t>NO</w:t>
            </w:r>
          </w:p>
          <w:p w:rsidR="002948C0" w:rsidRPr="00893FAF" w:rsidRDefault="002948C0" w:rsidP="002B30C3">
            <w:pPr>
              <w:jc w:val="center"/>
              <w:rPr>
                <w:rFonts w:ascii="Arial Narrow" w:hAnsi="Arial Narrow" w:cs="Arial"/>
                <w:b/>
                <w:sz w:val="20"/>
                <w:szCs w:val="20"/>
              </w:rPr>
            </w:pPr>
            <w:r w:rsidRPr="00893FAF">
              <w:rPr>
                <w:rFonts w:ascii="Arial Narrow" w:hAnsi="Arial Narrow" w:cs="Arial"/>
                <w:i/>
                <w:sz w:val="20"/>
                <w:szCs w:val="20"/>
              </w:rPr>
              <w:t>(6.6 or 7.6)</w:t>
            </w:r>
          </w:p>
        </w:tc>
      </w:tr>
      <w:tr w:rsidR="00C16D64" w:rsidRPr="00893FAF" w:rsidTr="00BE5144">
        <w:tc>
          <w:tcPr>
            <w:tcW w:w="1498" w:type="dxa"/>
            <w:vAlign w:val="center"/>
          </w:tcPr>
          <w:p w:rsidR="002948C0" w:rsidRPr="00893FAF" w:rsidRDefault="002948C0" w:rsidP="002B30C3">
            <w:pPr>
              <w:rPr>
                <w:rFonts w:ascii="Arial Narrow" w:hAnsi="Arial Narrow" w:cs="Arial"/>
                <w:b/>
                <w:sz w:val="20"/>
                <w:szCs w:val="20"/>
              </w:rPr>
            </w:pPr>
            <w:r w:rsidRPr="00893FAF">
              <w:rPr>
                <w:rFonts w:ascii="Arial Narrow" w:hAnsi="Arial Narrow" w:cs="Arial"/>
                <w:sz w:val="20"/>
                <w:szCs w:val="20"/>
              </w:rPr>
              <w:t>13-17 years</w:t>
            </w:r>
          </w:p>
        </w:tc>
        <w:tc>
          <w:tcPr>
            <w:tcW w:w="841" w:type="dxa"/>
            <w:vAlign w:val="center"/>
          </w:tcPr>
          <w:p w:rsidR="002948C0" w:rsidRPr="00136DB8" w:rsidRDefault="00136DB8" w:rsidP="002B30C3">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p w:rsidR="002948C0" w:rsidRPr="00136DB8" w:rsidRDefault="00136DB8" w:rsidP="002B30C3">
            <w:pPr>
              <w:jc w:val="center"/>
              <w:rPr>
                <w:rFonts w:ascii="Arial Narrow" w:hAnsi="Arial Narrow" w:cs="Arial"/>
                <w:b/>
                <w:sz w:val="20"/>
                <w:szCs w:val="20"/>
                <w:highlight w:val="black"/>
              </w:rPr>
            </w:pPr>
            <w:r>
              <w:rPr>
                <w:rFonts w:ascii="Arial Narrow" w:hAnsi="Arial Narrow" w:cs="Arial"/>
                <w:noProof/>
                <w:color w:val="000000"/>
                <w:sz w:val="20"/>
                <w:szCs w:val="20"/>
                <w:highlight w:val="black"/>
              </w:rPr>
              <w:t>''''''''''' ''''''''''''''''</w:t>
            </w:r>
          </w:p>
        </w:tc>
        <w:tc>
          <w:tcPr>
            <w:tcW w:w="824" w:type="dxa"/>
            <w:vAlign w:val="center"/>
          </w:tcPr>
          <w:p w:rsidR="002948C0" w:rsidRPr="00136DB8" w:rsidRDefault="00136DB8" w:rsidP="002B30C3">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p w:rsidR="002948C0" w:rsidRPr="00136DB8" w:rsidRDefault="00136DB8" w:rsidP="002B30C3">
            <w:pPr>
              <w:jc w:val="center"/>
              <w:rPr>
                <w:rFonts w:ascii="Arial Narrow" w:hAnsi="Arial Narrow" w:cs="Arial"/>
                <w:b/>
                <w:sz w:val="20"/>
                <w:szCs w:val="20"/>
                <w:highlight w:val="black"/>
              </w:rPr>
            </w:pPr>
            <w:r>
              <w:rPr>
                <w:rFonts w:ascii="Arial Narrow" w:hAnsi="Arial Narrow" w:cs="Arial"/>
                <w:noProof/>
                <w:color w:val="000000"/>
                <w:sz w:val="20"/>
                <w:szCs w:val="20"/>
                <w:highlight w:val="black"/>
              </w:rPr>
              <w:t>''''''''' '''''''''''''''</w:t>
            </w:r>
          </w:p>
        </w:tc>
        <w:tc>
          <w:tcPr>
            <w:tcW w:w="877" w:type="dxa"/>
            <w:vAlign w:val="center"/>
          </w:tcPr>
          <w:p w:rsidR="002948C0" w:rsidRPr="00136DB8" w:rsidRDefault="00136DB8" w:rsidP="002B30C3">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p w:rsidR="002948C0" w:rsidRPr="00136DB8" w:rsidRDefault="00136DB8" w:rsidP="002B30C3">
            <w:pPr>
              <w:jc w:val="center"/>
              <w:rPr>
                <w:rFonts w:ascii="Arial Narrow" w:hAnsi="Arial Narrow" w:cs="Arial"/>
                <w:b/>
                <w:sz w:val="20"/>
                <w:szCs w:val="20"/>
                <w:highlight w:val="black"/>
              </w:rPr>
            </w:pPr>
            <w:r>
              <w:rPr>
                <w:rFonts w:ascii="Arial Narrow" w:hAnsi="Arial Narrow" w:cs="Arial"/>
                <w:noProof/>
                <w:color w:val="000000"/>
                <w:sz w:val="20"/>
                <w:szCs w:val="20"/>
                <w:highlight w:val="black"/>
              </w:rPr>
              <w:t>'''''''''''''' '''''''''''''''''</w:t>
            </w:r>
          </w:p>
        </w:tc>
        <w:tc>
          <w:tcPr>
            <w:tcW w:w="775" w:type="dxa"/>
            <w:vAlign w:val="center"/>
          </w:tcPr>
          <w:p w:rsidR="002948C0" w:rsidRPr="00136DB8" w:rsidRDefault="00136DB8" w:rsidP="002B30C3">
            <w:pPr>
              <w:jc w:val="center"/>
              <w:rPr>
                <w:rFonts w:ascii="Arial Narrow" w:hAnsi="Arial Narrow" w:cs="Arial"/>
                <w:b/>
                <w:i/>
                <w:sz w:val="20"/>
                <w:szCs w:val="20"/>
                <w:highlight w:val="black"/>
              </w:rPr>
            </w:pPr>
            <w:r>
              <w:rPr>
                <w:rFonts w:ascii="Arial Narrow" w:hAnsi="Arial Narrow" w:cs="Arial"/>
                <w:b/>
                <w:i/>
                <w:noProof/>
                <w:color w:val="000000"/>
                <w:sz w:val="20"/>
                <w:szCs w:val="20"/>
                <w:highlight w:val="black"/>
              </w:rPr>
              <w:t>''''''''''</w:t>
            </w:r>
          </w:p>
          <w:p w:rsidR="002948C0" w:rsidRPr="00136DB8" w:rsidRDefault="00136DB8" w:rsidP="002B30C3">
            <w:pPr>
              <w:jc w:val="center"/>
              <w:rPr>
                <w:rFonts w:ascii="Arial Narrow" w:hAnsi="Arial Narrow" w:cs="Arial"/>
                <w:b/>
                <w:i/>
                <w:sz w:val="20"/>
                <w:szCs w:val="20"/>
                <w:highlight w:val="black"/>
              </w:rPr>
            </w:pPr>
            <w:r>
              <w:rPr>
                <w:rFonts w:ascii="Arial Narrow" w:hAnsi="Arial Narrow" w:cs="Arial"/>
                <w:b/>
                <w:i/>
                <w:noProof/>
                <w:color w:val="000000"/>
                <w:sz w:val="20"/>
                <w:szCs w:val="20"/>
                <w:highlight w:val="black"/>
              </w:rPr>
              <w:t>'''''''''''' ''''''''''</w:t>
            </w:r>
          </w:p>
        </w:tc>
        <w:tc>
          <w:tcPr>
            <w:tcW w:w="852" w:type="dxa"/>
            <w:vAlign w:val="center"/>
          </w:tcPr>
          <w:p w:rsidR="002948C0" w:rsidRPr="00136DB8" w:rsidRDefault="00136DB8" w:rsidP="002B30C3">
            <w:pPr>
              <w:jc w:val="center"/>
              <w:rPr>
                <w:rFonts w:ascii="Arial Narrow" w:hAnsi="Arial Narrow" w:cs="Arial"/>
                <w:b/>
                <w:i/>
                <w:sz w:val="20"/>
                <w:szCs w:val="20"/>
                <w:highlight w:val="black"/>
              </w:rPr>
            </w:pPr>
            <w:r>
              <w:rPr>
                <w:rFonts w:ascii="Arial Narrow" w:hAnsi="Arial Narrow" w:cs="Arial"/>
                <w:b/>
                <w:i/>
                <w:noProof/>
                <w:color w:val="000000"/>
                <w:sz w:val="20"/>
                <w:szCs w:val="20"/>
                <w:highlight w:val="black"/>
              </w:rPr>
              <w:t>''''''''</w:t>
            </w:r>
          </w:p>
          <w:p w:rsidR="002948C0" w:rsidRPr="00136DB8" w:rsidRDefault="00136DB8" w:rsidP="002B30C3">
            <w:pPr>
              <w:jc w:val="center"/>
              <w:rPr>
                <w:rFonts w:ascii="Arial Narrow" w:hAnsi="Arial Narrow" w:cs="Arial"/>
                <w:b/>
                <w:i/>
                <w:sz w:val="20"/>
                <w:szCs w:val="20"/>
                <w:highlight w:val="black"/>
              </w:rPr>
            </w:pPr>
            <w:r>
              <w:rPr>
                <w:rFonts w:ascii="Arial Narrow" w:hAnsi="Arial Narrow" w:cs="Arial"/>
                <w:b/>
                <w:i/>
                <w:noProof/>
                <w:color w:val="000000"/>
                <w:sz w:val="20"/>
                <w:szCs w:val="20"/>
                <w:highlight w:val="black"/>
              </w:rPr>
              <w:t>'''''''''''' '''''''''</w:t>
            </w:r>
          </w:p>
        </w:tc>
        <w:tc>
          <w:tcPr>
            <w:tcW w:w="1070" w:type="dxa"/>
            <w:vAlign w:val="center"/>
          </w:tcPr>
          <w:p w:rsidR="002948C0" w:rsidRPr="00136DB8" w:rsidRDefault="00136DB8" w:rsidP="002B30C3">
            <w:pPr>
              <w:keepNext/>
              <w:keepLines/>
              <w:jc w:val="center"/>
              <w:rPr>
                <w:rFonts w:ascii="Arial Narrow" w:hAnsi="Arial Narrow" w:cs="Arial"/>
                <w:b/>
                <w:sz w:val="20"/>
                <w:szCs w:val="20"/>
                <w:highlight w:val="black"/>
              </w:rPr>
            </w:pPr>
            <w:r>
              <w:rPr>
                <w:rFonts w:ascii="Arial Narrow" w:hAnsi="Arial Narrow" w:cs="Arial"/>
                <w:b/>
                <w:noProof/>
                <w:color w:val="000000"/>
                <w:sz w:val="20"/>
                <w:szCs w:val="20"/>
                <w:highlight w:val="black"/>
              </w:rPr>
              <w:t>'''''''''''''''''''''''' ''''''''''</w:t>
            </w:r>
          </w:p>
          <w:p w:rsidR="002948C0" w:rsidRPr="00136DB8" w:rsidRDefault="00136DB8" w:rsidP="002B30C3">
            <w:pPr>
              <w:jc w:val="center"/>
              <w:rPr>
                <w:rFonts w:ascii="Arial Narrow" w:hAnsi="Arial Narrow" w:cs="Arial"/>
                <w:b/>
                <w:sz w:val="20"/>
                <w:szCs w:val="20"/>
                <w:highlight w:val="black"/>
              </w:rPr>
            </w:pPr>
            <w:r>
              <w:rPr>
                <w:rFonts w:ascii="Arial Narrow" w:hAnsi="Arial Narrow" w:cs="Arial"/>
                <w:b/>
                <w:noProof/>
                <w:color w:val="000000"/>
                <w:sz w:val="20"/>
                <w:szCs w:val="20"/>
                <w:highlight w:val="black"/>
              </w:rPr>
              <w:t>'''''''''''''''</w:t>
            </w:r>
          </w:p>
        </w:tc>
        <w:tc>
          <w:tcPr>
            <w:tcW w:w="1626" w:type="dxa"/>
            <w:vAlign w:val="center"/>
          </w:tcPr>
          <w:p w:rsidR="002948C0" w:rsidRPr="00893FAF" w:rsidRDefault="002948C0" w:rsidP="002B30C3">
            <w:pPr>
              <w:jc w:val="center"/>
              <w:rPr>
                <w:rFonts w:ascii="Arial Narrow" w:hAnsi="Arial Narrow" w:cs="Arial"/>
                <w:i/>
                <w:sz w:val="20"/>
                <w:szCs w:val="20"/>
              </w:rPr>
            </w:pPr>
            <w:r w:rsidRPr="00893FAF">
              <w:rPr>
                <w:rFonts w:ascii="Arial Narrow" w:hAnsi="Arial Narrow" w:cs="Arial"/>
                <w:i/>
                <w:sz w:val="20"/>
                <w:szCs w:val="20"/>
              </w:rPr>
              <w:t>YES</w:t>
            </w:r>
          </w:p>
          <w:p w:rsidR="002948C0" w:rsidRPr="00893FAF" w:rsidRDefault="002948C0" w:rsidP="002B30C3">
            <w:pPr>
              <w:jc w:val="center"/>
              <w:rPr>
                <w:rFonts w:ascii="Arial Narrow" w:hAnsi="Arial Narrow" w:cs="Arial"/>
                <w:sz w:val="20"/>
                <w:szCs w:val="20"/>
              </w:rPr>
            </w:pPr>
            <w:r w:rsidRPr="00893FAF">
              <w:rPr>
                <w:rFonts w:ascii="Arial Narrow" w:hAnsi="Arial Narrow" w:cs="Arial"/>
                <w:i/>
                <w:sz w:val="20"/>
                <w:szCs w:val="20"/>
              </w:rPr>
              <w:t>(6.6 or 7.6</w:t>
            </w:r>
            <w:r w:rsidRPr="00893FAF">
              <w:rPr>
                <w:rFonts w:ascii="Arial Narrow" w:hAnsi="Arial Narrow" w:cs="Arial"/>
                <w:sz w:val="20"/>
                <w:szCs w:val="20"/>
              </w:rPr>
              <w:t>)</w:t>
            </w:r>
          </w:p>
        </w:tc>
      </w:tr>
      <w:tr w:rsidR="00C16D64" w:rsidRPr="00893FAF" w:rsidTr="00BE5144">
        <w:tc>
          <w:tcPr>
            <w:tcW w:w="1498" w:type="dxa"/>
            <w:vAlign w:val="center"/>
          </w:tcPr>
          <w:p w:rsidR="002948C0" w:rsidRPr="00893FAF" w:rsidRDefault="002948C0" w:rsidP="002B30C3">
            <w:pPr>
              <w:rPr>
                <w:rFonts w:ascii="Arial Narrow" w:hAnsi="Arial Narrow" w:cs="Arial"/>
                <w:b/>
                <w:sz w:val="20"/>
                <w:szCs w:val="20"/>
              </w:rPr>
            </w:pPr>
            <w:r w:rsidRPr="00893FAF">
              <w:rPr>
                <w:rFonts w:ascii="Arial Narrow" w:hAnsi="Arial Narrow" w:cs="Arial"/>
                <w:sz w:val="20"/>
                <w:szCs w:val="20"/>
              </w:rPr>
              <w:t>6-12 years</w:t>
            </w:r>
          </w:p>
        </w:tc>
        <w:tc>
          <w:tcPr>
            <w:tcW w:w="841" w:type="dxa"/>
            <w:vAlign w:val="center"/>
          </w:tcPr>
          <w:p w:rsidR="002948C0" w:rsidRPr="00136DB8" w:rsidRDefault="00136DB8" w:rsidP="002B30C3">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p w:rsidR="002948C0" w:rsidRPr="00136DB8" w:rsidRDefault="00136DB8" w:rsidP="002B30C3">
            <w:pPr>
              <w:jc w:val="center"/>
              <w:rPr>
                <w:rFonts w:ascii="Arial Narrow" w:hAnsi="Arial Narrow" w:cs="Arial"/>
                <w:b/>
                <w:sz w:val="20"/>
                <w:szCs w:val="20"/>
                <w:highlight w:val="black"/>
              </w:rPr>
            </w:pPr>
            <w:r>
              <w:rPr>
                <w:rFonts w:ascii="Arial Narrow" w:hAnsi="Arial Narrow" w:cs="Arial"/>
                <w:noProof/>
                <w:color w:val="000000"/>
                <w:sz w:val="20"/>
                <w:szCs w:val="20"/>
                <w:highlight w:val="black"/>
              </w:rPr>
              <w:t>''''''''''''' ''''''''''''''''''</w:t>
            </w:r>
          </w:p>
        </w:tc>
        <w:tc>
          <w:tcPr>
            <w:tcW w:w="824" w:type="dxa"/>
            <w:vAlign w:val="center"/>
          </w:tcPr>
          <w:p w:rsidR="002948C0" w:rsidRPr="00136DB8" w:rsidRDefault="00136DB8" w:rsidP="002B30C3">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p w:rsidR="002948C0" w:rsidRPr="00136DB8" w:rsidRDefault="00136DB8" w:rsidP="002B30C3">
            <w:pPr>
              <w:jc w:val="center"/>
              <w:rPr>
                <w:rFonts w:ascii="Arial Narrow" w:hAnsi="Arial Narrow" w:cs="Arial"/>
                <w:b/>
                <w:sz w:val="20"/>
                <w:szCs w:val="20"/>
                <w:highlight w:val="black"/>
              </w:rPr>
            </w:pPr>
            <w:r>
              <w:rPr>
                <w:rFonts w:ascii="Arial Narrow" w:hAnsi="Arial Narrow" w:cs="Arial"/>
                <w:noProof/>
                <w:color w:val="000000"/>
                <w:sz w:val="20"/>
                <w:szCs w:val="20"/>
                <w:highlight w:val="black"/>
              </w:rPr>
              <w:t>'''''''''' ''''''''''''''''''</w:t>
            </w:r>
          </w:p>
        </w:tc>
        <w:tc>
          <w:tcPr>
            <w:tcW w:w="877" w:type="dxa"/>
            <w:vAlign w:val="center"/>
          </w:tcPr>
          <w:p w:rsidR="002948C0" w:rsidRPr="00136DB8" w:rsidRDefault="00136DB8" w:rsidP="002B30C3">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p w:rsidR="002948C0" w:rsidRPr="00136DB8" w:rsidRDefault="00136DB8" w:rsidP="002B30C3">
            <w:pPr>
              <w:jc w:val="center"/>
              <w:rPr>
                <w:rFonts w:ascii="Arial Narrow" w:hAnsi="Arial Narrow" w:cs="Arial"/>
                <w:b/>
                <w:sz w:val="20"/>
                <w:szCs w:val="20"/>
                <w:highlight w:val="black"/>
              </w:rPr>
            </w:pPr>
            <w:r>
              <w:rPr>
                <w:rFonts w:ascii="Arial Narrow" w:hAnsi="Arial Narrow" w:cs="Arial"/>
                <w:noProof/>
                <w:color w:val="000000"/>
                <w:sz w:val="20"/>
                <w:szCs w:val="20"/>
                <w:highlight w:val="black"/>
              </w:rPr>
              <w:t>''''''''''''' ''''''''''''''''</w:t>
            </w:r>
          </w:p>
        </w:tc>
        <w:tc>
          <w:tcPr>
            <w:tcW w:w="775" w:type="dxa"/>
            <w:vAlign w:val="center"/>
          </w:tcPr>
          <w:p w:rsidR="002948C0" w:rsidRPr="00136DB8" w:rsidRDefault="00136DB8" w:rsidP="002B30C3">
            <w:pPr>
              <w:jc w:val="center"/>
              <w:rPr>
                <w:rFonts w:ascii="Arial Narrow" w:hAnsi="Arial Narrow" w:cs="Arial"/>
                <w:b/>
                <w:i/>
                <w:sz w:val="20"/>
                <w:szCs w:val="20"/>
                <w:highlight w:val="black"/>
              </w:rPr>
            </w:pPr>
            <w:r>
              <w:rPr>
                <w:rFonts w:ascii="Arial Narrow" w:hAnsi="Arial Narrow" w:cs="Arial"/>
                <w:b/>
                <w:i/>
                <w:noProof/>
                <w:color w:val="000000"/>
                <w:sz w:val="20"/>
                <w:szCs w:val="20"/>
                <w:highlight w:val="black"/>
              </w:rPr>
              <w:t>'''''''''</w:t>
            </w:r>
          </w:p>
          <w:p w:rsidR="002948C0" w:rsidRPr="00136DB8" w:rsidRDefault="00136DB8" w:rsidP="002B30C3">
            <w:pPr>
              <w:jc w:val="center"/>
              <w:rPr>
                <w:rFonts w:ascii="Arial Narrow" w:hAnsi="Arial Narrow" w:cs="Arial"/>
                <w:b/>
                <w:i/>
                <w:sz w:val="20"/>
                <w:szCs w:val="20"/>
                <w:highlight w:val="black"/>
              </w:rPr>
            </w:pPr>
            <w:r>
              <w:rPr>
                <w:rFonts w:ascii="Arial Narrow" w:hAnsi="Arial Narrow" w:cs="Arial"/>
                <w:b/>
                <w:i/>
                <w:noProof/>
                <w:color w:val="000000"/>
                <w:sz w:val="20"/>
                <w:szCs w:val="20"/>
                <w:highlight w:val="black"/>
              </w:rPr>
              <w:t>''''''''''''' ''''''''''''</w:t>
            </w:r>
          </w:p>
        </w:tc>
        <w:tc>
          <w:tcPr>
            <w:tcW w:w="852" w:type="dxa"/>
            <w:vAlign w:val="center"/>
          </w:tcPr>
          <w:p w:rsidR="002948C0" w:rsidRPr="00136DB8" w:rsidRDefault="00136DB8" w:rsidP="002B30C3">
            <w:pPr>
              <w:jc w:val="center"/>
              <w:rPr>
                <w:rFonts w:ascii="Arial Narrow" w:hAnsi="Arial Narrow" w:cs="Arial"/>
                <w:b/>
                <w:i/>
                <w:sz w:val="20"/>
                <w:szCs w:val="20"/>
                <w:highlight w:val="black"/>
              </w:rPr>
            </w:pPr>
            <w:r>
              <w:rPr>
                <w:rFonts w:ascii="Arial Narrow" w:hAnsi="Arial Narrow" w:cs="Arial"/>
                <w:b/>
                <w:i/>
                <w:noProof/>
                <w:color w:val="000000"/>
                <w:sz w:val="20"/>
                <w:szCs w:val="20"/>
                <w:highlight w:val="black"/>
              </w:rPr>
              <w:t>''''''''''''</w:t>
            </w:r>
          </w:p>
          <w:p w:rsidR="002948C0" w:rsidRPr="00136DB8" w:rsidRDefault="00136DB8" w:rsidP="002B30C3">
            <w:pPr>
              <w:jc w:val="center"/>
              <w:rPr>
                <w:rFonts w:ascii="Arial Narrow" w:hAnsi="Arial Narrow" w:cs="Arial"/>
                <w:b/>
                <w:i/>
                <w:sz w:val="20"/>
                <w:szCs w:val="20"/>
                <w:highlight w:val="black"/>
              </w:rPr>
            </w:pPr>
            <w:r>
              <w:rPr>
                <w:rFonts w:ascii="Arial Narrow" w:hAnsi="Arial Narrow" w:cs="Arial"/>
                <w:b/>
                <w:i/>
                <w:noProof/>
                <w:color w:val="000000"/>
                <w:sz w:val="20"/>
                <w:szCs w:val="20"/>
                <w:highlight w:val="black"/>
              </w:rPr>
              <w:t>'''''''''''' ''''''''''''</w:t>
            </w:r>
          </w:p>
        </w:tc>
        <w:tc>
          <w:tcPr>
            <w:tcW w:w="1070" w:type="dxa"/>
            <w:vAlign w:val="center"/>
          </w:tcPr>
          <w:p w:rsidR="002948C0" w:rsidRPr="00136DB8" w:rsidRDefault="00136DB8" w:rsidP="002B30C3">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 ''''''''''''' ''''''''''</w:t>
            </w:r>
          </w:p>
          <w:p w:rsidR="002948C0" w:rsidRPr="00136DB8" w:rsidRDefault="00136DB8" w:rsidP="002B30C3">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626" w:type="dxa"/>
            <w:vAlign w:val="center"/>
          </w:tcPr>
          <w:p w:rsidR="002948C0" w:rsidRPr="00893FAF" w:rsidRDefault="002948C0" w:rsidP="002B30C3">
            <w:pPr>
              <w:keepNext/>
              <w:keepLines/>
              <w:jc w:val="center"/>
              <w:rPr>
                <w:rFonts w:ascii="Arial Narrow" w:hAnsi="Arial Narrow" w:cs="Arial"/>
                <w:i/>
                <w:sz w:val="20"/>
                <w:szCs w:val="20"/>
                <w:vertAlign w:val="superscript"/>
              </w:rPr>
            </w:pPr>
            <w:r w:rsidRPr="00893FAF">
              <w:rPr>
                <w:rFonts w:ascii="Arial Narrow" w:hAnsi="Arial Narrow" w:cs="Arial"/>
                <w:i/>
                <w:sz w:val="20"/>
                <w:szCs w:val="20"/>
              </w:rPr>
              <w:t>NO</w:t>
            </w:r>
          </w:p>
          <w:p w:rsidR="002948C0" w:rsidRPr="00893FAF" w:rsidRDefault="002948C0" w:rsidP="002B30C3">
            <w:pPr>
              <w:jc w:val="center"/>
              <w:rPr>
                <w:rFonts w:ascii="Arial Narrow" w:hAnsi="Arial Narrow" w:cs="Arial"/>
                <w:i/>
                <w:sz w:val="20"/>
                <w:szCs w:val="20"/>
              </w:rPr>
            </w:pPr>
            <w:r w:rsidRPr="00893FAF">
              <w:rPr>
                <w:rFonts w:ascii="Arial Narrow" w:hAnsi="Arial Narrow" w:cs="Arial"/>
                <w:i/>
                <w:sz w:val="20"/>
                <w:szCs w:val="20"/>
              </w:rPr>
              <w:t>(6.6 or 7.6)</w:t>
            </w:r>
          </w:p>
        </w:tc>
      </w:tr>
    </w:tbl>
    <w:p w:rsidR="002948C0" w:rsidRPr="00893FAF" w:rsidRDefault="002948C0" w:rsidP="00BE5144">
      <w:pPr>
        <w:ind w:left="720"/>
        <w:rPr>
          <w:rFonts w:ascii="Arial Narrow" w:hAnsi="Arial Narrow" w:cs="Arial"/>
          <w:sz w:val="20"/>
          <w:szCs w:val="20"/>
        </w:rPr>
      </w:pPr>
      <w:r w:rsidRPr="00893FAF">
        <w:rPr>
          <w:rFonts w:ascii="Arial Narrow" w:hAnsi="Arial Narrow" w:cs="Arial"/>
          <w:sz w:val="20"/>
          <w:szCs w:val="20"/>
        </w:rPr>
        <w:t xml:space="preserve">Note: Bold typography indicate statistically significant results, italics indicate results extracted and/or estimated during the evaluation, mean differences were estimated in </w:t>
      </w:r>
      <w:proofErr w:type="spellStart"/>
      <w:r w:rsidRPr="00893FAF">
        <w:rPr>
          <w:rFonts w:ascii="Arial Narrow" w:hAnsi="Arial Narrow" w:cs="Arial"/>
          <w:sz w:val="20"/>
          <w:szCs w:val="20"/>
        </w:rPr>
        <w:t>RevMan</w:t>
      </w:r>
      <w:proofErr w:type="spellEnd"/>
      <w:r w:rsidRPr="00893FAF">
        <w:rPr>
          <w:rFonts w:ascii="Arial Narrow" w:hAnsi="Arial Narrow" w:cs="Arial"/>
          <w:sz w:val="20"/>
          <w:szCs w:val="20"/>
        </w:rPr>
        <w:t xml:space="preserve"> 5.2.</w:t>
      </w:r>
    </w:p>
    <w:p w:rsidR="002948C0" w:rsidRPr="00893FAF" w:rsidRDefault="002948C0" w:rsidP="00BE5144">
      <w:pPr>
        <w:ind w:firstLine="720"/>
        <w:rPr>
          <w:rFonts w:ascii="Arial Narrow" w:hAnsi="Arial Narrow" w:cs="Arial"/>
          <w:sz w:val="20"/>
          <w:szCs w:val="20"/>
        </w:rPr>
      </w:pPr>
      <w:r w:rsidRPr="00893FAF">
        <w:rPr>
          <w:rFonts w:ascii="Arial Narrow" w:hAnsi="Arial Narrow" w:cs="Arial"/>
          <w:sz w:val="20"/>
          <w:szCs w:val="20"/>
        </w:rPr>
        <w:t>+Definitions of the rating scales used are summarised in Attachment B.5 of the Commentary.</w:t>
      </w:r>
    </w:p>
    <w:p w:rsidR="002948C0" w:rsidRPr="00893FAF" w:rsidRDefault="002948C0" w:rsidP="00BE5144">
      <w:pPr>
        <w:ind w:left="720"/>
        <w:rPr>
          <w:rFonts w:ascii="Arial Narrow" w:hAnsi="Arial Narrow" w:cs="Arial"/>
          <w:sz w:val="20"/>
          <w:szCs w:val="20"/>
        </w:rPr>
      </w:pPr>
      <w:proofErr w:type="gramStart"/>
      <w:r w:rsidRPr="00893FAF">
        <w:rPr>
          <w:rFonts w:ascii="Arial Narrow" w:hAnsi="Arial Narrow" w:cs="Arial"/>
          <w:sz w:val="20"/>
          <w:szCs w:val="20"/>
          <w:vertAlign w:val="superscript"/>
        </w:rPr>
        <w:t>b</w:t>
      </w:r>
      <w:proofErr w:type="gramEnd"/>
      <w:r w:rsidRPr="00893FAF">
        <w:rPr>
          <w:rFonts w:ascii="Arial Narrow" w:hAnsi="Arial Narrow" w:cs="Arial"/>
          <w:sz w:val="20"/>
          <w:szCs w:val="20"/>
        </w:rPr>
        <w:t xml:space="preserve"> Need to exceed the minimal clinically important difference (MCID) target to claim superiority, if the mean difference is within the MCID specified, then can only claim non-inferiority.  See Table B.5.1 of Attachment B of the commentary.</w:t>
      </w:r>
    </w:p>
    <w:p w:rsidR="002948C0" w:rsidRDefault="002948C0" w:rsidP="00BE5144">
      <w:pPr>
        <w:ind w:left="720"/>
        <w:rPr>
          <w:rFonts w:ascii="Arial Narrow" w:hAnsi="Arial Narrow" w:cs="Arial"/>
          <w:sz w:val="20"/>
          <w:szCs w:val="20"/>
        </w:rPr>
      </w:pPr>
      <w:r w:rsidRPr="00893FAF">
        <w:rPr>
          <w:rFonts w:ascii="Arial Narrow" w:hAnsi="Arial Narrow" w:cs="Arial"/>
          <w:sz w:val="20"/>
          <w:szCs w:val="20"/>
        </w:rPr>
        <w:t>Source: Table B.6.1 of the July 2013 Commentary; Tables 25, 27, 30, 31, 32 of the main body and Attachment 4 of the resubmission.</w:t>
      </w:r>
    </w:p>
    <w:p w:rsidR="00A74DFA" w:rsidRPr="00893FAF" w:rsidRDefault="00A74DFA" w:rsidP="00BE5144">
      <w:pPr>
        <w:ind w:left="720"/>
        <w:rPr>
          <w:rFonts w:ascii="Arial Narrow" w:hAnsi="Arial Narrow" w:cs="Arial"/>
          <w:sz w:val="20"/>
          <w:szCs w:val="20"/>
        </w:rPr>
      </w:pPr>
    </w:p>
    <w:p w:rsidR="002948C0" w:rsidRPr="00893FAF" w:rsidRDefault="002948C0" w:rsidP="002948C0">
      <w:pPr>
        <w:rPr>
          <w:rFonts w:ascii="Arial Narrow" w:hAnsi="Arial Narrow" w:cs="Arial"/>
          <w:b/>
          <w:sz w:val="20"/>
          <w:szCs w:val="20"/>
        </w:rPr>
      </w:pPr>
      <w:r w:rsidRPr="00893FAF">
        <w:rPr>
          <w:rFonts w:ascii="Arial Narrow" w:hAnsi="Arial Narrow" w:cs="Arial"/>
          <w:b/>
          <w:sz w:val="20"/>
          <w:szCs w:val="20"/>
        </w:rPr>
        <w:t>Results of patient-relevant outcomes across the SPD489-325 trial–dichotomous outcomes</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Description w:val="Results of patient-relevant outcomes across the SPD489-325 trial–dichotomous outcomes"/>
      </w:tblPr>
      <w:tblGrid>
        <w:gridCol w:w="954"/>
        <w:gridCol w:w="775"/>
        <w:gridCol w:w="850"/>
        <w:gridCol w:w="851"/>
        <w:gridCol w:w="992"/>
        <w:gridCol w:w="992"/>
        <w:gridCol w:w="1418"/>
        <w:gridCol w:w="1134"/>
        <w:gridCol w:w="1276"/>
      </w:tblGrid>
      <w:tr w:rsidR="002948C0" w:rsidRPr="00BE5144" w:rsidTr="00BE5144">
        <w:tc>
          <w:tcPr>
            <w:tcW w:w="954" w:type="dxa"/>
            <w:vMerge w:val="restart"/>
          </w:tcPr>
          <w:p w:rsidR="002948C0" w:rsidRPr="00BE5144" w:rsidRDefault="002948C0" w:rsidP="002B30C3">
            <w:pPr>
              <w:jc w:val="center"/>
              <w:rPr>
                <w:rFonts w:ascii="Arial Narrow" w:hAnsi="Arial Narrow" w:cs="Arial"/>
                <w:b/>
                <w:sz w:val="18"/>
                <w:szCs w:val="18"/>
              </w:rPr>
            </w:pPr>
          </w:p>
        </w:tc>
        <w:tc>
          <w:tcPr>
            <w:tcW w:w="775" w:type="dxa"/>
            <w:vMerge w:val="restart"/>
            <w:vAlign w:val="center"/>
          </w:tcPr>
          <w:p w:rsidR="002948C0" w:rsidRPr="00BE5144" w:rsidRDefault="002948C0" w:rsidP="002B30C3">
            <w:pPr>
              <w:jc w:val="center"/>
              <w:rPr>
                <w:rFonts w:ascii="Arial Narrow" w:hAnsi="Arial Narrow" w:cs="Arial"/>
                <w:b/>
                <w:sz w:val="18"/>
                <w:szCs w:val="18"/>
              </w:rPr>
            </w:pPr>
            <w:r w:rsidRPr="00BE5144">
              <w:rPr>
                <w:rFonts w:ascii="Arial Narrow" w:hAnsi="Arial Narrow" w:cs="Arial"/>
                <w:b/>
                <w:sz w:val="18"/>
                <w:szCs w:val="18"/>
              </w:rPr>
              <w:t>LDX</w:t>
            </w:r>
          </w:p>
          <w:p w:rsidR="002948C0" w:rsidRPr="00BE5144" w:rsidRDefault="002948C0" w:rsidP="002B30C3">
            <w:pPr>
              <w:jc w:val="center"/>
              <w:rPr>
                <w:rFonts w:ascii="Arial Narrow" w:hAnsi="Arial Narrow" w:cs="Arial"/>
                <w:b/>
                <w:sz w:val="18"/>
                <w:szCs w:val="18"/>
              </w:rPr>
            </w:pPr>
            <w:r w:rsidRPr="00BE5144">
              <w:rPr>
                <w:rFonts w:ascii="Arial Narrow" w:hAnsi="Arial Narrow" w:cs="Arial"/>
                <w:b/>
                <w:sz w:val="18"/>
                <w:szCs w:val="18"/>
              </w:rPr>
              <w:t>N=104</w:t>
            </w:r>
          </w:p>
          <w:p w:rsidR="002948C0" w:rsidRPr="00BE5144" w:rsidRDefault="002948C0" w:rsidP="002B30C3">
            <w:pPr>
              <w:ind w:right="-108"/>
              <w:jc w:val="center"/>
              <w:rPr>
                <w:rFonts w:ascii="Arial Narrow" w:hAnsi="Arial Narrow" w:cs="Arial"/>
                <w:sz w:val="18"/>
                <w:szCs w:val="18"/>
              </w:rPr>
            </w:pPr>
            <w:proofErr w:type="gramStart"/>
            <w:r w:rsidRPr="00BE5144">
              <w:rPr>
                <w:rFonts w:ascii="Arial Narrow" w:hAnsi="Arial Narrow" w:cs="Arial"/>
                <w:b/>
                <w:sz w:val="18"/>
                <w:szCs w:val="18"/>
              </w:rPr>
              <w:t>n</w:t>
            </w:r>
            <w:proofErr w:type="gramEnd"/>
            <w:r w:rsidRPr="00BE5144">
              <w:rPr>
                <w:rFonts w:ascii="Arial Narrow" w:hAnsi="Arial Narrow" w:cs="Arial"/>
                <w:b/>
                <w:sz w:val="18"/>
                <w:szCs w:val="18"/>
              </w:rPr>
              <w:t xml:space="preserve"> /N^ (%))</w:t>
            </w:r>
          </w:p>
        </w:tc>
        <w:tc>
          <w:tcPr>
            <w:tcW w:w="850" w:type="dxa"/>
            <w:vMerge w:val="restart"/>
            <w:vAlign w:val="center"/>
          </w:tcPr>
          <w:p w:rsidR="002948C0" w:rsidRPr="00BE5144" w:rsidRDefault="002948C0" w:rsidP="002B30C3">
            <w:pPr>
              <w:jc w:val="center"/>
              <w:rPr>
                <w:rFonts w:ascii="Arial Narrow" w:hAnsi="Arial Narrow" w:cs="Arial"/>
                <w:b/>
                <w:sz w:val="18"/>
                <w:szCs w:val="18"/>
              </w:rPr>
            </w:pPr>
            <w:r w:rsidRPr="00BE5144">
              <w:rPr>
                <w:rFonts w:ascii="Arial Narrow" w:hAnsi="Arial Narrow" w:cs="Arial"/>
                <w:b/>
                <w:sz w:val="18"/>
                <w:szCs w:val="18"/>
              </w:rPr>
              <w:t>PBO</w:t>
            </w:r>
          </w:p>
          <w:p w:rsidR="002948C0" w:rsidRPr="00BE5144" w:rsidRDefault="002948C0" w:rsidP="002B30C3">
            <w:pPr>
              <w:jc w:val="center"/>
              <w:rPr>
                <w:rFonts w:ascii="Arial Narrow" w:hAnsi="Arial Narrow" w:cs="Arial"/>
                <w:b/>
                <w:sz w:val="18"/>
                <w:szCs w:val="18"/>
              </w:rPr>
            </w:pPr>
            <w:r w:rsidRPr="00BE5144">
              <w:rPr>
                <w:rFonts w:ascii="Arial Narrow" w:hAnsi="Arial Narrow" w:cs="Arial"/>
                <w:b/>
                <w:sz w:val="18"/>
                <w:szCs w:val="18"/>
              </w:rPr>
              <w:t>N=106</w:t>
            </w:r>
          </w:p>
          <w:p w:rsidR="002948C0" w:rsidRPr="00BE5144" w:rsidRDefault="002948C0" w:rsidP="002B30C3">
            <w:pPr>
              <w:jc w:val="center"/>
              <w:rPr>
                <w:rFonts w:ascii="Arial Narrow" w:hAnsi="Arial Narrow" w:cs="Arial"/>
                <w:sz w:val="18"/>
                <w:szCs w:val="18"/>
              </w:rPr>
            </w:pPr>
            <w:proofErr w:type="gramStart"/>
            <w:r w:rsidRPr="00BE5144">
              <w:rPr>
                <w:rFonts w:ascii="Arial Narrow" w:hAnsi="Arial Narrow" w:cs="Arial"/>
                <w:b/>
                <w:sz w:val="18"/>
                <w:szCs w:val="18"/>
              </w:rPr>
              <w:t>n</w:t>
            </w:r>
            <w:proofErr w:type="gramEnd"/>
            <w:r w:rsidRPr="00BE5144">
              <w:rPr>
                <w:rFonts w:ascii="Arial Narrow" w:hAnsi="Arial Narrow" w:cs="Arial"/>
                <w:b/>
                <w:sz w:val="18"/>
                <w:szCs w:val="18"/>
              </w:rPr>
              <w:t xml:space="preserve"> /N^ (%)</w:t>
            </w:r>
          </w:p>
        </w:tc>
        <w:tc>
          <w:tcPr>
            <w:tcW w:w="851" w:type="dxa"/>
            <w:vMerge w:val="restart"/>
            <w:vAlign w:val="center"/>
          </w:tcPr>
          <w:p w:rsidR="002948C0" w:rsidRPr="00BE5144" w:rsidRDefault="002948C0" w:rsidP="002B30C3">
            <w:pPr>
              <w:jc w:val="center"/>
              <w:rPr>
                <w:rFonts w:ascii="Arial Narrow" w:hAnsi="Arial Narrow" w:cs="Arial"/>
                <w:b/>
                <w:sz w:val="18"/>
                <w:szCs w:val="18"/>
              </w:rPr>
            </w:pPr>
            <w:r w:rsidRPr="00BE5144">
              <w:rPr>
                <w:rFonts w:ascii="Arial Narrow" w:hAnsi="Arial Narrow" w:cs="Arial"/>
                <w:b/>
                <w:sz w:val="18"/>
                <w:szCs w:val="18"/>
              </w:rPr>
              <w:t>MPH-OROS</w:t>
            </w:r>
          </w:p>
          <w:p w:rsidR="002948C0" w:rsidRPr="00BE5144" w:rsidRDefault="002948C0" w:rsidP="002B30C3">
            <w:pPr>
              <w:jc w:val="center"/>
              <w:rPr>
                <w:rFonts w:ascii="Arial Narrow" w:hAnsi="Arial Narrow" w:cs="Arial"/>
                <w:b/>
                <w:sz w:val="18"/>
                <w:szCs w:val="18"/>
              </w:rPr>
            </w:pPr>
            <w:r w:rsidRPr="00BE5144">
              <w:rPr>
                <w:rFonts w:ascii="Arial Narrow" w:hAnsi="Arial Narrow" w:cs="Arial"/>
                <w:b/>
                <w:sz w:val="18"/>
                <w:szCs w:val="18"/>
              </w:rPr>
              <w:t>N=107</w:t>
            </w:r>
          </w:p>
          <w:p w:rsidR="002948C0" w:rsidRPr="00BE5144" w:rsidRDefault="002948C0" w:rsidP="002B30C3">
            <w:pPr>
              <w:jc w:val="center"/>
              <w:rPr>
                <w:rFonts w:ascii="Arial Narrow" w:hAnsi="Arial Narrow" w:cs="Arial"/>
                <w:b/>
                <w:sz w:val="18"/>
                <w:szCs w:val="18"/>
              </w:rPr>
            </w:pPr>
            <w:proofErr w:type="gramStart"/>
            <w:r w:rsidRPr="00BE5144">
              <w:rPr>
                <w:rFonts w:ascii="Arial Narrow" w:hAnsi="Arial Narrow" w:cs="Arial"/>
                <w:b/>
                <w:sz w:val="18"/>
                <w:szCs w:val="18"/>
              </w:rPr>
              <w:t>n</w:t>
            </w:r>
            <w:proofErr w:type="gramEnd"/>
            <w:r w:rsidRPr="00BE5144">
              <w:rPr>
                <w:rFonts w:ascii="Arial Narrow" w:hAnsi="Arial Narrow" w:cs="Arial"/>
                <w:b/>
                <w:sz w:val="18"/>
                <w:szCs w:val="18"/>
              </w:rPr>
              <w:t xml:space="preserve"> /N^ (%)</w:t>
            </w:r>
          </w:p>
        </w:tc>
        <w:tc>
          <w:tcPr>
            <w:tcW w:w="1984" w:type="dxa"/>
            <w:gridSpan w:val="2"/>
            <w:vAlign w:val="center"/>
          </w:tcPr>
          <w:p w:rsidR="002948C0" w:rsidRPr="00BE5144" w:rsidRDefault="002948C0" w:rsidP="002B30C3">
            <w:pPr>
              <w:jc w:val="center"/>
              <w:rPr>
                <w:rFonts w:ascii="Arial Narrow" w:hAnsi="Arial Narrow" w:cs="Arial"/>
                <w:b/>
                <w:sz w:val="18"/>
                <w:szCs w:val="18"/>
              </w:rPr>
            </w:pPr>
            <w:r w:rsidRPr="00BE5144">
              <w:rPr>
                <w:rFonts w:ascii="Arial Narrow" w:hAnsi="Arial Narrow" w:cs="Arial"/>
                <w:b/>
                <w:sz w:val="18"/>
                <w:szCs w:val="18"/>
              </w:rPr>
              <w:t>RD (95%CI)</w:t>
            </w:r>
          </w:p>
        </w:tc>
        <w:tc>
          <w:tcPr>
            <w:tcW w:w="3828" w:type="dxa"/>
            <w:gridSpan w:val="3"/>
            <w:shd w:val="clear" w:color="auto" w:fill="EEECE1"/>
          </w:tcPr>
          <w:p w:rsidR="002948C0" w:rsidRPr="00BE5144" w:rsidRDefault="002948C0" w:rsidP="002B30C3">
            <w:pPr>
              <w:jc w:val="center"/>
              <w:rPr>
                <w:rFonts w:ascii="Arial Narrow" w:hAnsi="Arial Narrow" w:cs="Arial"/>
                <w:b/>
                <w:sz w:val="18"/>
                <w:szCs w:val="18"/>
              </w:rPr>
            </w:pPr>
            <w:r w:rsidRPr="00BE5144">
              <w:rPr>
                <w:rFonts w:ascii="Arial Narrow" w:hAnsi="Arial Narrow" w:cs="Arial"/>
                <w:b/>
                <w:sz w:val="18"/>
                <w:szCs w:val="18"/>
              </w:rPr>
              <w:t>LDX versus MPH-OROS</w:t>
            </w:r>
          </w:p>
        </w:tc>
      </w:tr>
      <w:tr w:rsidR="002948C0" w:rsidRPr="00BE5144" w:rsidTr="00BE5144">
        <w:tc>
          <w:tcPr>
            <w:tcW w:w="954" w:type="dxa"/>
            <w:vMerge/>
          </w:tcPr>
          <w:p w:rsidR="002948C0" w:rsidRPr="00BE5144" w:rsidRDefault="002948C0" w:rsidP="002B30C3">
            <w:pPr>
              <w:jc w:val="center"/>
              <w:rPr>
                <w:rFonts w:ascii="Arial Narrow" w:hAnsi="Arial Narrow" w:cs="Arial"/>
                <w:b/>
                <w:sz w:val="18"/>
                <w:szCs w:val="18"/>
              </w:rPr>
            </w:pPr>
          </w:p>
        </w:tc>
        <w:tc>
          <w:tcPr>
            <w:tcW w:w="775" w:type="dxa"/>
            <w:vMerge/>
            <w:vAlign w:val="center"/>
          </w:tcPr>
          <w:p w:rsidR="002948C0" w:rsidRPr="00BE5144" w:rsidRDefault="002948C0" w:rsidP="002B30C3">
            <w:pPr>
              <w:jc w:val="center"/>
              <w:rPr>
                <w:rFonts w:ascii="Arial Narrow" w:hAnsi="Arial Narrow" w:cs="Arial"/>
                <w:b/>
                <w:sz w:val="18"/>
                <w:szCs w:val="18"/>
              </w:rPr>
            </w:pPr>
          </w:p>
        </w:tc>
        <w:tc>
          <w:tcPr>
            <w:tcW w:w="850" w:type="dxa"/>
            <w:vMerge/>
            <w:vAlign w:val="center"/>
          </w:tcPr>
          <w:p w:rsidR="002948C0" w:rsidRPr="00BE5144" w:rsidRDefault="002948C0" w:rsidP="002B30C3">
            <w:pPr>
              <w:jc w:val="center"/>
              <w:rPr>
                <w:rFonts w:ascii="Arial Narrow" w:hAnsi="Arial Narrow" w:cs="Arial"/>
                <w:b/>
                <w:sz w:val="18"/>
                <w:szCs w:val="18"/>
              </w:rPr>
            </w:pPr>
          </w:p>
        </w:tc>
        <w:tc>
          <w:tcPr>
            <w:tcW w:w="851" w:type="dxa"/>
            <w:vMerge/>
            <w:vAlign w:val="center"/>
          </w:tcPr>
          <w:p w:rsidR="002948C0" w:rsidRPr="00BE5144" w:rsidRDefault="002948C0" w:rsidP="002B30C3">
            <w:pPr>
              <w:jc w:val="center"/>
              <w:rPr>
                <w:rFonts w:ascii="Arial Narrow" w:hAnsi="Arial Narrow" w:cs="Arial"/>
                <w:b/>
                <w:sz w:val="18"/>
                <w:szCs w:val="18"/>
              </w:rPr>
            </w:pPr>
          </w:p>
        </w:tc>
        <w:tc>
          <w:tcPr>
            <w:tcW w:w="992" w:type="dxa"/>
            <w:vAlign w:val="center"/>
          </w:tcPr>
          <w:p w:rsidR="002948C0" w:rsidRPr="00BE5144" w:rsidRDefault="002948C0" w:rsidP="002B30C3">
            <w:pPr>
              <w:jc w:val="center"/>
              <w:rPr>
                <w:rFonts w:ascii="Arial Narrow" w:hAnsi="Arial Narrow" w:cs="Arial"/>
                <w:b/>
                <w:sz w:val="18"/>
                <w:szCs w:val="18"/>
              </w:rPr>
            </w:pPr>
            <w:r w:rsidRPr="00BE5144">
              <w:rPr>
                <w:rFonts w:ascii="Arial Narrow" w:hAnsi="Arial Narrow" w:cs="Arial"/>
                <w:b/>
                <w:sz w:val="18"/>
                <w:szCs w:val="18"/>
              </w:rPr>
              <w:t>LDX vs PBO</w:t>
            </w:r>
          </w:p>
        </w:tc>
        <w:tc>
          <w:tcPr>
            <w:tcW w:w="992" w:type="dxa"/>
            <w:vAlign w:val="center"/>
          </w:tcPr>
          <w:p w:rsidR="002948C0" w:rsidRPr="00BE5144" w:rsidRDefault="002948C0" w:rsidP="002B30C3">
            <w:pPr>
              <w:jc w:val="center"/>
              <w:rPr>
                <w:rFonts w:ascii="Arial Narrow" w:hAnsi="Arial Narrow" w:cs="Arial"/>
                <w:b/>
                <w:sz w:val="18"/>
                <w:szCs w:val="18"/>
              </w:rPr>
            </w:pPr>
            <w:r w:rsidRPr="00BE5144">
              <w:rPr>
                <w:rFonts w:ascii="Arial Narrow" w:hAnsi="Arial Narrow" w:cs="Arial"/>
                <w:b/>
                <w:sz w:val="18"/>
                <w:szCs w:val="18"/>
              </w:rPr>
              <w:t>MPH-OROS vs PBO</w:t>
            </w:r>
          </w:p>
        </w:tc>
        <w:tc>
          <w:tcPr>
            <w:tcW w:w="1418" w:type="dxa"/>
            <w:shd w:val="clear" w:color="auto" w:fill="EEECE1"/>
            <w:vAlign w:val="center"/>
          </w:tcPr>
          <w:p w:rsidR="002948C0" w:rsidRPr="00BE5144" w:rsidRDefault="002948C0" w:rsidP="002B30C3">
            <w:pPr>
              <w:jc w:val="center"/>
              <w:rPr>
                <w:rFonts w:ascii="Arial Narrow" w:hAnsi="Arial Narrow" w:cs="Arial"/>
                <w:b/>
                <w:sz w:val="18"/>
                <w:szCs w:val="18"/>
              </w:rPr>
            </w:pPr>
            <w:r w:rsidRPr="00BE5144">
              <w:rPr>
                <w:rFonts w:ascii="Arial Narrow" w:hAnsi="Arial Narrow" w:cs="Arial"/>
                <w:b/>
                <w:sz w:val="18"/>
                <w:szCs w:val="18"/>
              </w:rPr>
              <w:t>RD (95%CI)</w:t>
            </w:r>
          </w:p>
          <w:p w:rsidR="002948C0" w:rsidRPr="00BE5144" w:rsidRDefault="002948C0" w:rsidP="002B30C3">
            <w:pPr>
              <w:jc w:val="center"/>
              <w:rPr>
                <w:rFonts w:ascii="Arial Narrow" w:hAnsi="Arial Narrow" w:cs="Arial"/>
                <w:b/>
                <w:sz w:val="18"/>
                <w:szCs w:val="18"/>
              </w:rPr>
            </w:pPr>
            <w:r w:rsidRPr="00BE5144">
              <w:rPr>
                <w:rFonts w:ascii="Arial Narrow" w:hAnsi="Arial Narrow" w:cs="Arial"/>
                <w:b/>
                <w:sz w:val="18"/>
                <w:szCs w:val="18"/>
              </w:rPr>
              <w:t>p-value</w:t>
            </w:r>
          </w:p>
          <w:p w:rsidR="002948C0" w:rsidRPr="00BE5144" w:rsidRDefault="002948C0" w:rsidP="002B30C3">
            <w:pPr>
              <w:jc w:val="center"/>
              <w:rPr>
                <w:rFonts w:ascii="Arial Narrow" w:hAnsi="Arial Narrow" w:cs="Arial"/>
                <w:b/>
                <w:sz w:val="18"/>
                <w:szCs w:val="18"/>
              </w:rPr>
            </w:pPr>
            <w:r w:rsidRPr="00BE5144">
              <w:rPr>
                <w:rFonts w:ascii="Arial Narrow" w:hAnsi="Arial Narrow" w:cs="Arial"/>
                <w:b/>
                <w:sz w:val="18"/>
                <w:szCs w:val="18"/>
              </w:rPr>
              <w:t>NNT[95%C])</w:t>
            </w:r>
          </w:p>
        </w:tc>
        <w:tc>
          <w:tcPr>
            <w:tcW w:w="1134" w:type="dxa"/>
            <w:shd w:val="clear" w:color="auto" w:fill="EEECE1"/>
            <w:vAlign w:val="center"/>
          </w:tcPr>
          <w:p w:rsidR="002948C0" w:rsidRPr="00BE5144" w:rsidRDefault="002948C0" w:rsidP="002B30C3">
            <w:pPr>
              <w:jc w:val="center"/>
              <w:rPr>
                <w:rFonts w:ascii="Arial Narrow" w:hAnsi="Arial Narrow" w:cs="Arial"/>
                <w:b/>
                <w:sz w:val="18"/>
                <w:szCs w:val="18"/>
              </w:rPr>
            </w:pPr>
            <w:r w:rsidRPr="00BE5144">
              <w:rPr>
                <w:rFonts w:ascii="Arial Narrow" w:hAnsi="Arial Narrow" w:cs="Arial"/>
                <w:b/>
                <w:sz w:val="18"/>
                <w:szCs w:val="18"/>
              </w:rPr>
              <w:t>OR</w:t>
            </w:r>
          </w:p>
          <w:p w:rsidR="002948C0" w:rsidRPr="00BE5144" w:rsidRDefault="002948C0" w:rsidP="002B30C3">
            <w:pPr>
              <w:jc w:val="center"/>
              <w:rPr>
                <w:rFonts w:ascii="Arial Narrow" w:hAnsi="Arial Narrow" w:cs="Arial"/>
                <w:b/>
                <w:sz w:val="18"/>
                <w:szCs w:val="18"/>
              </w:rPr>
            </w:pPr>
            <w:r w:rsidRPr="00BE5144">
              <w:rPr>
                <w:rFonts w:ascii="Arial Narrow" w:hAnsi="Arial Narrow" w:cs="Arial"/>
                <w:b/>
                <w:sz w:val="18"/>
                <w:szCs w:val="18"/>
              </w:rPr>
              <w:t>(95%CI)</w:t>
            </w:r>
          </w:p>
          <w:p w:rsidR="002948C0" w:rsidRPr="00BE5144" w:rsidRDefault="002948C0" w:rsidP="002B30C3">
            <w:pPr>
              <w:jc w:val="center"/>
              <w:rPr>
                <w:rFonts w:ascii="Arial Narrow" w:hAnsi="Arial Narrow" w:cs="Arial"/>
                <w:b/>
                <w:sz w:val="18"/>
                <w:szCs w:val="18"/>
              </w:rPr>
            </w:pPr>
            <w:r w:rsidRPr="00BE5144">
              <w:rPr>
                <w:rFonts w:ascii="Arial Narrow" w:hAnsi="Arial Narrow" w:cs="Arial"/>
                <w:b/>
                <w:sz w:val="18"/>
                <w:szCs w:val="18"/>
              </w:rPr>
              <w:t>p-value</w:t>
            </w:r>
          </w:p>
        </w:tc>
        <w:tc>
          <w:tcPr>
            <w:tcW w:w="1276" w:type="dxa"/>
            <w:shd w:val="clear" w:color="auto" w:fill="EEECE1"/>
            <w:vAlign w:val="center"/>
          </w:tcPr>
          <w:p w:rsidR="002948C0" w:rsidRPr="00BE5144" w:rsidRDefault="002948C0" w:rsidP="002B30C3">
            <w:pPr>
              <w:jc w:val="center"/>
              <w:rPr>
                <w:rFonts w:ascii="Arial Narrow" w:hAnsi="Arial Narrow" w:cs="Arial"/>
                <w:b/>
                <w:sz w:val="18"/>
                <w:szCs w:val="18"/>
              </w:rPr>
            </w:pPr>
            <w:r w:rsidRPr="00BE5144">
              <w:rPr>
                <w:rFonts w:ascii="Arial Narrow" w:hAnsi="Arial Narrow" w:cs="Arial"/>
                <w:b/>
                <w:sz w:val="18"/>
                <w:szCs w:val="18"/>
              </w:rPr>
              <w:t xml:space="preserve">RR </w:t>
            </w:r>
          </w:p>
          <w:p w:rsidR="002948C0" w:rsidRPr="00BE5144" w:rsidRDefault="002948C0" w:rsidP="002B30C3">
            <w:pPr>
              <w:jc w:val="center"/>
              <w:rPr>
                <w:rFonts w:ascii="Arial Narrow" w:hAnsi="Arial Narrow" w:cs="Arial"/>
                <w:b/>
                <w:sz w:val="18"/>
                <w:szCs w:val="18"/>
              </w:rPr>
            </w:pPr>
            <w:r w:rsidRPr="00BE5144">
              <w:rPr>
                <w:rFonts w:ascii="Arial Narrow" w:hAnsi="Arial Narrow" w:cs="Arial"/>
                <w:b/>
                <w:sz w:val="18"/>
                <w:szCs w:val="18"/>
              </w:rPr>
              <w:t>(95%CI)</w:t>
            </w:r>
          </w:p>
          <w:p w:rsidR="002948C0" w:rsidRPr="00BE5144" w:rsidRDefault="002948C0" w:rsidP="002B30C3">
            <w:pPr>
              <w:jc w:val="center"/>
              <w:rPr>
                <w:rFonts w:ascii="Arial Narrow" w:hAnsi="Arial Narrow" w:cs="Arial"/>
                <w:b/>
                <w:sz w:val="18"/>
                <w:szCs w:val="18"/>
              </w:rPr>
            </w:pPr>
            <w:r w:rsidRPr="00BE5144">
              <w:rPr>
                <w:rFonts w:ascii="Arial Narrow" w:hAnsi="Arial Narrow" w:cs="Arial"/>
                <w:b/>
                <w:sz w:val="18"/>
                <w:szCs w:val="18"/>
              </w:rPr>
              <w:t>p-value</w:t>
            </w:r>
          </w:p>
        </w:tc>
      </w:tr>
      <w:tr w:rsidR="002948C0" w:rsidRPr="00BE5144" w:rsidTr="00BE5144">
        <w:tc>
          <w:tcPr>
            <w:tcW w:w="9242" w:type="dxa"/>
            <w:gridSpan w:val="9"/>
          </w:tcPr>
          <w:p w:rsidR="002948C0" w:rsidRPr="00BE5144" w:rsidRDefault="002948C0" w:rsidP="002B30C3">
            <w:pPr>
              <w:rPr>
                <w:rFonts w:ascii="Arial Narrow" w:hAnsi="Arial Narrow" w:cs="Arial"/>
                <w:sz w:val="18"/>
                <w:szCs w:val="18"/>
                <w:vertAlign w:val="superscript"/>
              </w:rPr>
            </w:pPr>
            <w:r w:rsidRPr="00BE5144">
              <w:rPr>
                <w:rFonts w:ascii="Arial Narrow" w:hAnsi="Arial Narrow" w:cs="Arial"/>
                <w:b/>
                <w:sz w:val="18"/>
                <w:szCs w:val="18"/>
              </w:rPr>
              <w:t xml:space="preserve">Proportions of patients defined as responders </w:t>
            </w:r>
            <w:r w:rsidRPr="00BE5144">
              <w:rPr>
                <w:rFonts w:ascii="Arial Narrow" w:hAnsi="Arial Narrow" w:cs="Arial"/>
                <w:b/>
                <w:sz w:val="18"/>
                <w:szCs w:val="18"/>
                <w:vertAlign w:val="superscript"/>
              </w:rPr>
              <w:t>a</w:t>
            </w:r>
          </w:p>
        </w:tc>
      </w:tr>
      <w:tr w:rsidR="002948C0" w:rsidRPr="00BE5144" w:rsidTr="00BE5144">
        <w:trPr>
          <w:trHeight w:val="489"/>
        </w:trPr>
        <w:tc>
          <w:tcPr>
            <w:tcW w:w="954" w:type="dxa"/>
            <w:vAlign w:val="center"/>
          </w:tcPr>
          <w:p w:rsidR="002948C0" w:rsidRPr="00BE5144" w:rsidRDefault="002948C0" w:rsidP="002B30C3">
            <w:pPr>
              <w:rPr>
                <w:rFonts w:ascii="Arial Narrow" w:hAnsi="Arial Narrow" w:cs="Arial"/>
                <w:sz w:val="18"/>
                <w:szCs w:val="18"/>
              </w:rPr>
            </w:pPr>
            <w:r w:rsidRPr="00BE5144">
              <w:rPr>
                <w:rFonts w:ascii="Arial Narrow" w:hAnsi="Arial Narrow" w:cs="Arial"/>
                <w:sz w:val="18"/>
                <w:szCs w:val="18"/>
              </w:rPr>
              <w:t>FAS</w:t>
            </w:r>
          </w:p>
          <w:p w:rsidR="002948C0" w:rsidRPr="00BE5144" w:rsidRDefault="002948C0" w:rsidP="002B30C3">
            <w:pPr>
              <w:rPr>
                <w:rFonts w:ascii="Arial Narrow" w:hAnsi="Arial Narrow" w:cs="Arial"/>
                <w:sz w:val="18"/>
                <w:szCs w:val="18"/>
              </w:rPr>
            </w:pPr>
            <w:r w:rsidRPr="00BE5144">
              <w:rPr>
                <w:rFonts w:ascii="Arial Narrow" w:hAnsi="Arial Narrow" w:cs="Arial"/>
                <w:sz w:val="18"/>
                <w:szCs w:val="18"/>
              </w:rPr>
              <w:t>(6-17 y</w:t>
            </w:r>
            <w:r w:rsidR="00893FAF" w:rsidRPr="00BE5144">
              <w:rPr>
                <w:rFonts w:ascii="Arial Narrow" w:hAnsi="Arial Narrow" w:cs="Arial"/>
                <w:sz w:val="18"/>
                <w:szCs w:val="18"/>
              </w:rPr>
              <w:t>ea</w:t>
            </w:r>
            <w:r w:rsidRPr="00BE5144">
              <w:rPr>
                <w:rFonts w:ascii="Arial Narrow" w:hAnsi="Arial Narrow" w:cs="Arial"/>
                <w:sz w:val="18"/>
                <w:szCs w:val="18"/>
              </w:rPr>
              <w:t>rs)</w:t>
            </w:r>
          </w:p>
        </w:tc>
        <w:tc>
          <w:tcPr>
            <w:tcW w:w="775" w:type="dxa"/>
            <w:vAlign w:val="center"/>
          </w:tcPr>
          <w:p w:rsidR="002948C0" w:rsidRPr="00BE5144" w:rsidRDefault="002948C0" w:rsidP="002B30C3">
            <w:pPr>
              <w:jc w:val="center"/>
              <w:rPr>
                <w:rFonts w:ascii="Arial Narrow" w:hAnsi="Arial Narrow" w:cs="Arial"/>
                <w:sz w:val="18"/>
                <w:szCs w:val="18"/>
              </w:rPr>
            </w:pPr>
            <w:r w:rsidRPr="00BE5144">
              <w:rPr>
                <w:rFonts w:ascii="Arial Narrow" w:hAnsi="Arial Narrow" w:cs="Arial"/>
                <w:sz w:val="18"/>
                <w:szCs w:val="18"/>
              </w:rPr>
              <w:t>72/97 (74.2%)</w:t>
            </w:r>
          </w:p>
        </w:tc>
        <w:tc>
          <w:tcPr>
            <w:tcW w:w="850" w:type="dxa"/>
            <w:vAlign w:val="center"/>
          </w:tcPr>
          <w:p w:rsidR="002948C0" w:rsidRPr="00BE5144" w:rsidRDefault="002948C0" w:rsidP="002B30C3">
            <w:pPr>
              <w:jc w:val="center"/>
              <w:rPr>
                <w:rFonts w:ascii="Arial Narrow" w:hAnsi="Arial Narrow" w:cs="Arial"/>
                <w:sz w:val="18"/>
                <w:szCs w:val="18"/>
              </w:rPr>
            </w:pPr>
            <w:r w:rsidRPr="00BE5144">
              <w:rPr>
                <w:rFonts w:ascii="Arial Narrow" w:hAnsi="Arial Narrow" w:cs="Arial"/>
                <w:sz w:val="18"/>
                <w:szCs w:val="18"/>
              </w:rPr>
              <w:t>11/103 (10.7%)</w:t>
            </w:r>
          </w:p>
        </w:tc>
        <w:tc>
          <w:tcPr>
            <w:tcW w:w="851" w:type="dxa"/>
            <w:vAlign w:val="center"/>
          </w:tcPr>
          <w:p w:rsidR="002948C0" w:rsidRPr="00BE5144" w:rsidRDefault="002948C0" w:rsidP="002B30C3">
            <w:pPr>
              <w:jc w:val="center"/>
              <w:rPr>
                <w:rFonts w:ascii="Arial Narrow" w:hAnsi="Arial Narrow" w:cs="Arial"/>
                <w:sz w:val="18"/>
                <w:szCs w:val="18"/>
              </w:rPr>
            </w:pPr>
            <w:r w:rsidRPr="00BE5144">
              <w:rPr>
                <w:rFonts w:ascii="Arial Narrow" w:hAnsi="Arial Narrow" w:cs="Arial"/>
                <w:sz w:val="18"/>
                <w:szCs w:val="18"/>
              </w:rPr>
              <w:t>57/102</w:t>
            </w:r>
          </w:p>
          <w:p w:rsidR="002948C0" w:rsidRPr="00BE5144" w:rsidRDefault="002948C0" w:rsidP="002B30C3">
            <w:pPr>
              <w:jc w:val="center"/>
              <w:rPr>
                <w:rFonts w:ascii="Arial Narrow" w:hAnsi="Arial Narrow" w:cs="Arial"/>
                <w:sz w:val="18"/>
                <w:szCs w:val="18"/>
              </w:rPr>
            </w:pPr>
            <w:r w:rsidRPr="00BE5144">
              <w:rPr>
                <w:rFonts w:ascii="Arial Narrow" w:hAnsi="Arial Narrow" w:cs="Arial"/>
                <w:sz w:val="18"/>
                <w:szCs w:val="18"/>
              </w:rPr>
              <w:t>(55.9%)</w:t>
            </w:r>
          </w:p>
        </w:tc>
        <w:tc>
          <w:tcPr>
            <w:tcW w:w="992" w:type="dxa"/>
            <w:vAlign w:val="center"/>
          </w:tcPr>
          <w:p w:rsidR="002948C0" w:rsidRPr="00BE5144" w:rsidRDefault="002948C0" w:rsidP="002B30C3">
            <w:pPr>
              <w:jc w:val="center"/>
              <w:rPr>
                <w:rFonts w:ascii="Arial Narrow" w:hAnsi="Arial Narrow" w:cs="Arial"/>
                <w:b/>
                <w:sz w:val="18"/>
                <w:szCs w:val="18"/>
              </w:rPr>
            </w:pPr>
            <w:r w:rsidRPr="00BE5144">
              <w:rPr>
                <w:rFonts w:ascii="Arial Narrow" w:hAnsi="Arial Narrow" w:cs="Arial"/>
                <w:b/>
                <w:sz w:val="18"/>
                <w:szCs w:val="18"/>
              </w:rPr>
              <w:t>0.64</w:t>
            </w:r>
          </w:p>
          <w:p w:rsidR="002948C0" w:rsidRPr="00BE5144" w:rsidRDefault="002948C0" w:rsidP="002B30C3">
            <w:pPr>
              <w:jc w:val="center"/>
              <w:rPr>
                <w:rFonts w:ascii="Arial Narrow" w:hAnsi="Arial Narrow" w:cs="Arial"/>
                <w:b/>
                <w:sz w:val="18"/>
                <w:szCs w:val="18"/>
              </w:rPr>
            </w:pPr>
            <w:r w:rsidRPr="00BE5144">
              <w:rPr>
                <w:rFonts w:ascii="Arial Narrow" w:hAnsi="Arial Narrow" w:cs="Arial"/>
                <w:b/>
                <w:sz w:val="18"/>
                <w:szCs w:val="18"/>
              </w:rPr>
              <w:t>(0.53, 0.74)</w:t>
            </w:r>
          </w:p>
        </w:tc>
        <w:tc>
          <w:tcPr>
            <w:tcW w:w="992" w:type="dxa"/>
            <w:vAlign w:val="center"/>
          </w:tcPr>
          <w:p w:rsidR="002948C0" w:rsidRPr="00BE5144" w:rsidRDefault="002948C0" w:rsidP="002B30C3">
            <w:pPr>
              <w:jc w:val="center"/>
              <w:rPr>
                <w:rFonts w:ascii="Arial Narrow" w:hAnsi="Arial Narrow" w:cs="Arial"/>
                <w:b/>
                <w:sz w:val="18"/>
                <w:szCs w:val="18"/>
              </w:rPr>
            </w:pPr>
            <w:r w:rsidRPr="00BE5144">
              <w:rPr>
                <w:rFonts w:ascii="Arial Narrow" w:hAnsi="Arial Narrow" w:cs="Arial"/>
                <w:b/>
                <w:sz w:val="18"/>
                <w:szCs w:val="18"/>
              </w:rPr>
              <w:t>0.54</w:t>
            </w:r>
          </w:p>
          <w:p w:rsidR="002948C0" w:rsidRPr="00BE5144" w:rsidRDefault="002948C0" w:rsidP="002B30C3">
            <w:pPr>
              <w:jc w:val="center"/>
              <w:rPr>
                <w:rFonts w:ascii="Arial Narrow" w:hAnsi="Arial Narrow" w:cs="Arial"/>
                <w:b/>
                <w:sz w:val="18"/>
                <w:szCs w:val="18"/>
              </w:rPr>
            </w:pPr>
            <w:r w:rsidRPr="00BE5144">
              <w:rPr>
                <w:rFonts w:ascii="Arial Narrow" w:hAnsi="Arial Narrow" w:cs="Arial"/>
                <w:b/>
                <w:sz w:val="18"/>
                <w:szCs w:val="18"/>
              </w:rPr>
              <w:t>(0.34, 0.57)</w:t>
            </w:r>
          </w:p>
        </w:tc>
        <w:tc>
          <w:tcPr>
            <w:tcW w:w="1418" w:type="dxa"/>
            <w:shd w:val="clear" w:color="auto" w:fill="EEECE1"/>
          </w:tcPr>
          <w:p w:rsidR="002948C0" w:rsidRPr="00BE5144" w:rsidRDefault="002948C0" w:rsidP="002B30C3">
            <w:pPr>
              <w:jc w:val="center"/>
              <w:rPr>
                <w:rFonts w:ascii="Arial Narrow" w:hAnsi="Arial Narrow" w:cs="Arial"/>
                <w:b/>
                <w:sz w:val="18"/>
                <w:szCs w:val="18"/>
              </w:rPr>
            </w:pPr>
            <w:r w:rsidRPr="00BE5144">
              <w:rPr>
                <w:rFonts w:ascii="Arial Narrow" w:hAnsi="Arial Narrow" w:cs="Arial"/>
                <w:b/>
                <w:sz w:val="18"/>
                <w:szCs w:val="18"/>
              </w:rPr>
              <w:t>0.18 (0.05, 0.31)</w:t>
            </w:r>
          </w:p>
          <w:p w:rsidR="002948C0" w:rsidRPr="00BE5144" w:rsidRDefault="002948C0" w:rsidP="002B30C3">
            <w:pPr>
              <w:jc w:val="center"/>
              <w:rPr>
                <w:rFonts w:ascii="Arial Narrow" w:hAnsi="Arial Narrow" w:cs="Arial"/>
                <w:b/>
                <w:sz w:val="18"/>
                <w:szCs w:val="18"/>
              </w:rPr>
            </w:pPr>
            <w:r w:rsidRPr="00BE5144">
              <w:rPr>
                <w:rFonts w:ascii="Arial Narrow" w:hAnsi="Arial Narrow" w:cs="Arial"/>
                <w:b/>
                <w:sz w:val="18"/>
                <w:szCs w:val="18"/>
              </w:rPr>
              <w:t>P=0.006</w:t>
            </w:r>
          </w:p>
          <w:p w:rsidR="002948C0" w:rsidRPr="00BE5144" w:rsidRDefault="002948C0" w:rsidP="002B30C3">
            <w:pPr>
              <w:jc w:val="center"/>
              <w:rPr>
                <w:rFonts w:ascii="Arial Narrow" w:hAnsi="Arial Narrow" w:cs="Arial"/>
                <w:b/>
                <w:sz w:val="18"/>
                <w:szCs w:val="18"/>
              </w:rPr>
            </w:pPr>
            <w:r w:rsidRPr="00BE5144">
              <w:rPr>
                <w:rFonts w:ascii="Arial Narrow" w:hAnsi="Arial Narrow" w:cs="Arial"/>
                <w:b/>
                <w:sz w:val="18"/>
                <w:szCs w:val="18"/>
              </w:rPr>
              <w:t>NNT: 6[3-20]</w:t>
            </w:r>
          </w:p>
        </w:tc>
        <w:tc>
          <w:tcPr>
            <w:tcW w:w="1134" w:type="dxa"/>
            <w:shd w:val="clear" w:color="auto" w:fill="EEECE1"/>
            <w:vAlign w:val="center"/>
          </w:tcPr>
          <w:p w:rsidR="002948C0" w:rsidRPr="00BE5144" w:rsidRDefault="002948C0" w:rsidP="002B30C3">
            <w:pPr>
              <w:jc w:val="center"/>
              <w:rPr>
                <w:rFonts w:ascii="Arial Narrow" w:hAnsi="Arial Narrow" w:cs="Arial"/>
                <w:b/>
                <w:sz w:val="18"/>
                <w:szCs w:val="18"/>
              </w:rPr>
            </w:pPr>
            <w:r w:rsidRPr="00BE5144">
              <w:rPr>
                <w:rFonts w:ascii="Arial Narrow" w:hAnsi="Arial Narrow" w:cs="Arial"/>
                <w:b/>
                <w:sz w:val="18"/>
                <w:szCs w:val="18"/>
              </w:rPr>
              <w:t>2.27</w:t>
            </w:r>
          </w:p>
          <w:p w:rsidR="002948C0" w:rsidRPr="00BE5144" w:rsidRDefault="002948C0" w:rsidP="002B30C3">
            <w:pPr>
              <w:jc w:val="center"/>
              <w:rPr>
                <w:rFonts w:ascii="Arial Narrow" w:hAnsi="Arial Narrow" w:cs="Arial"/>
                <w:b/>
                <w:sz w:val="18"/>
                <w:szCs w:val="18"/>
              </w:rPr>
            </w:pPr>
            <w:r w:rsidRPr="00BE5144">
              <w:rPr>
                <w:rFonts w:ascii="Arial Narrow" w:hAnsi="Arial Narrow" w:cs="Arial"/>
                <w:b/>
                <w:sz w:val="18"/>
                <w:szCs w:val="18"/>
              </w:rPr>
              <w:t>(1.25, 4.14)</w:t>
            </w:r>
          </w:p>
          <w:p w:rsidR="002948C0" w:rsidRPr="00BE5144" w:rsidRDefault="002948C0" w:rsidP="002B30C3">
            <w:pPr>
              <w:jc w:val="center"/>
              <w:rPr>
                <w:rFonts w:ascii="Arial Narrow" w:hAnsi="Arial Narrow" w:cs="Arial"/>
                <w:b/>
                <w:sz w:val="18"/>
                <w:szCs w:val="18"/>
              </w:rPr>
            </w:pPr>
            <w:r w:rsidRPr="00BE5144">
              <w:rPr>
                <w:rFonts w:ascii="Arial Narrow" w:hAnsi="Arial Narrow" w:cs="Arial"/>
                <w:b/>
                <w:sz w:val="18"/>
                <w:szCs w:val="18"/>
              </w:rPr>
              <w:t>P=0.0007</w:t>
            </w:r>
          </w:p>
        </w:tc>
        <w:tc>
          <w:tcPr>
            <w:tcW w:w="1276" w:type="dxa"/>
            <w:shd w:val="clear" w:color="auto" w:fill="EEECE1"/>
            <w:vAlign w:val="center"/>
          </w:tcPr>
          <w:p w:rsidR="002948C0" w:rsidRPr="00BE5144" w:rsidRDefault="002948C0" w:rsidP="002B30C3">
            <w:pPr>
              <w:jc w:val="center"/>
              <w:rPr>
                <w:rFonts w:ascii="Arial Narrow" w:hAnsi="Arial Narrow" w:cs="Arial"/>
                <w:b/>
                <w:sz w:val="18"/>
                <w:szCs w:val="18"/>
              </w:rPr>
            </w:pPr>
            <w:r w:rsidRPr="00BE5144">
              <w:rPr>
                <w:rFonts w:ascii="Arial Narrow" w:hAnsi="Arial Narrow" w:cs="Arial"/>
                <w:b/>
                <w:sz w:val="18"/>
                <w:szCs w:val="18"/>
              </w:rPr>
              <w:t>1.33</w:t>
            </w:r>
          </w:p>
          <w:p w:rsidR="002948C0" w:rsidRPr="00BE5144" w:rsidRDefault="002948C0" w:rsidP="002B30C3">
            <w:pPr>
              <w:jc w:val="center"/>
              <w:rPr>
                <w:rFonts w:ascii="Arial Narrow" w:hAnsi="Arial Narrow" w:cs="Arial"/>
                <w:b/>
                <w:sz w:val="18"/>
                <w:szCs w:val="18"/>
              </w:rPr>
            </w:pPr>
            <w:r w:rsidRPr="00BE5144">
              <w:rPr>
                <w:rFonts w:ascii="Arial Narrow" w:hAnsi="Arial Narrow" w:cs="Arial"/>
                <w:b/>
                <w:sz w:val="18"/>
                <w:szCs w:val="18"/>
              </w:rPr>
              <w:t>(1.08, 1.64)</w:t>
            </w:r>
          </w:p>
          <w:p w:rsidR="002948C0" w:rsidRPr="00BE5144" w:rsidRDefault="002948C0" w:rsidP="002B30C3">
            <w:pPr>
              <w:jc w:val="center"/>
              <w:rPr>
                <w:rFonts w:ascii="Arial Narrow" w:hAnsi="Arial Narrow" w:cs="Arial"/>
                <w:b/>
                <w:sz w:val="18"/>
                <w:szCs w:val="18"/>
              </w:rPr>
            </w:pPr>
            <w:r w:rsidRPr="00BE5144">
              <w:rPr>
                <w:rFonts w:ascii="Arial Narrow" w:hAnsi="Arial Narrow" w:cs="Arial"/>
                <w:b/>
                <w:sz w:val="18"/>
                <w:szCs w:val="18"/>
              </w:rPr>
              <w:t>P=0.008</w:t>
            </w:r>
          </w:p>
        </w:tc>
      </w:tr>
      <w:tr w:rsidR="002948C0" w:rsidRPr="00BE5144" w:rsidTr="00BE5144">
        <w:trPr>
          <w:trHeight w:val="489"/>
        </w:trPr>
        <w:tc>
          <w:tcPr>
            <w:tcW w:w="954" w:type="dxa"/>
            <w:vAlign w:val="center"/>
          </w:tcPr>
          <w:p w:rsidR="002948C0" w:rsidRPr="00BE5144" w:rsidRDefault="002948C0" w:rsidP="002B30C3">
            <w:pPr>
              <w:rPr>
                <w:rFonts w:ascii="Arial Narrow" w:hAnsi="Arial Narrow" w:cs="Arial"/>
                <w:sz w:val="18"/>
                <w:szCs w:val="18"/>
              </w:rPr>
            </w:pPr>
            <w:r w:rsidRPr="00BE5144">
              <w:rPr>
                <w:rFonts w:ascii="Arial Narrow" w:hAnsi="Arial Narrow" w:cs="Arial"/>
                <w:sz w:val="18"/>
                <w:szCs w:val="18"/>
              </w:rPr>
              <w:t>13-17 year</w:t>
            </w:r>
            <w:r w:rsidR="00893FAF" w:rsidRPr="00BE5144">
              <w:rPr>
                <w:rFonts w:ascii="Arial Narrow" w:hAnsi="Arial Narrow" w:cs="Arial"/>
                <w:sz w:val="18"/>
                <w:szCs w:val="18"/>
              </w:rPr>
              <w:t>s</w:t>
            </w:r>
          </w:p>
        </w:tc>
        <w:tc>
          <w:tcPr>
            <w:tcW w:w="775" w:type="dxa"/>
            <w:vAlign w:val="center"/>
          </w:tcPr>
          <w:p w:rsidR="002948C0" w:rsidRPr="00136DB8" w:rsidRDefault="00136DB8" w:rsidP="002B30C3">
            <w:pPr>
              <w:jc w:val="center"/>
              <w:rPr>
                <w:rFonts w:ascii="Arial Narrow" w:hAnsi="Arial Narrow" w:cs="Arial"/>
                <w:sz w:val="18"/>
                <w:szCs w:val="18"/>
                <w:highlight w:val="black"/>
              </w:rPr>
            </w:pPr>
            <w:r>
              <w:rPr>
                <w:rFonts w:ascii="Arial Narrow" w:hAnsi="Arial Narrow" w:cs="Arial"/>
                <w:noProof/>
                <w:color w:val="000000"/>
                <w:sz w:val="18"/>
                <w:szCs w:val="18"/>
                <w:highlight w:val="black"/>
              </w:rPr>
              <w:t>'''''''''''''</w:t>
            </w:r>
          </w:p>
          <w:p w:rsidR="002948C0" w:rsidRPr="00136DB8" w:rsidRDefault="00136DB8" w:rsidP="002B30C3">
            <w:pPr>
              <w:jc w:val="center"/>
              <w:rPr>
                <w:rFonts w:ascii="Arial Narrow" w:hAnsi="Arial Narrow" w:cs="Arial"/>
                <w:sz w:val="18"/>
                <w:szCs w:val="18"/>
                <w:highlight w:val="black"/>
              </w:rPr>
            </w:pPr>
            <w:r>
              <w:rPr>
                <w:rFonts w:ascii="Arial Narrow" w:hAnsi="Arial Narrow" w:cs="Arial"/>
                <w:noProof/>
                <w:color w:val="000000"/>
                <w:sz w:val="18"/>
                <w:szCs w:val="18"/>
                <w:highlight w:val="black"/>
              </w:rPr>
              <w:t>''''''''''''''''''''</w:t>
            </w:r>
          </w:p>
        </w:tc>
        <w:tc>
          <w:tcPr>
            <w:tcW w:w="850" w:type="dxa"/>
            <w:vAlign w:val="center"/>
          </w:tcPr>
          <w:p w:rsidR="002948C0" w:rsidRPr="00136DB8" w:rsidRDefault="00136DB8" w:rsidP="002B30C3">
            <w:pPr>
              <w:jc w:val="center"/>
              <w:rPr>
                <w:rFonts w:ascii="Arial Narrow" w:hAnsi="Arial Narrow" w:cs="Arial"/>
                <w:sz w:val="18"/>
                <w:szCs w:val="18"/>
                <w:highlight w:val="black"/>
              </w:rPr>
            </w:pPr>
            <w:r>
              <w:rPr>
                <w:rFonts w:ascii="Arial Narrow" w:hAnsi="Arial Narrow" w:cs="Arial"/>
                <w:noProof/>
                <w:color w:val="000000"/>
                <w:sz w:val="18"/>
                <w:szCs w:val="18"/>
                <w:highlight w:val="black"/>
              </w:rPr>
              <w:t>'''''''''' ''''''''''''''''''</w:t>
            </w:r>
          </w:p>
        </w:tc>
        <w:tc>
          <w:tcPr>
            <w:tcW w:w="851" w:type="dxa"/>
            <w:vAlign w:val="center"/>
          </w:tcPr>
          <w:p w:rsidR="002948C0" w:rsidRPr="00136DB8" w:rsidRDefault="00136DB8" w:rsidP="002B30C3">
            <w:pPr>
              <w:jc w:val="center"/>
              <w:rPr>
                <w:rFonts w:ascii="Arial Narrow" w:hAnsi="Arial Narrow" w:cs="Arial"/>
                <w:sz w:val="18"/>
                <w:szCs w:val="18"/>
                <w:highlight w:val="black"/>
              </w:rPr>
            </w:pPr>
            <w:r>
              <w:rPr>
                <w:rFonts w:ascii="Arial Narrow" w:hAnsi="Arial Narrow" w:cs="Arial"/>
                <w:noProof/>
                <w:color w:val="000000"/>
                <w:sz w:val="18"/>
                <w:szCs w:val="18"/>
                <w:highlight w:val="black"/>
              </w:rPr>
              <w:t>''''''''''''' ''''''''''''''''''''</w:t>
            </w:r>
          </w:p>
        </w:tc>
        <w:tc>
          <w:tcPr>
            <w:tcW w:w="992" w:type="dxa"/>
            <w:vAlign w:val="center"/>
          </w:tcPr>
          <w:p w:rsidR="002948C0" w:rsidRPr="00136DB8" w:rsidRDefault="00136DB8" w:rsidP="002B30C3">
            <w:pPr>
              <w:jc w:val="center"/>
              <w:rPr>
                <w:rFonts w:ascii="Arial Narrow" w:hAnsi="Arial Narrow" w:cs="Arial"/>
                <w:b/>
                <w:i/>
                <w:sz w:val="18"/>
                <w:szCs w:val="18"/>
                <w:highlight w:val="black"/>
              </w:rPr>
            </w:pPr>
            <w:r>
              <w:rPr>
                <w:rFonts w:ascii="Arial Narrow" w:hAnsi="Arial Narrow" w:cs="Arial"/>
                <w:b/>
                <w:i/>
                <w:noProof/>
                <w:color w:val="000000"/>
                <w:sz w:val="18"/>
                <w:szCs w:val="18"/>
                <w:highlight w:val="black"/>
              </w:rPr>
              <w:t>''''''''</w:t>
            </w:r>
          </w:p>
          <w:p w:rsidR="002948C0" w:rsidRPr="00136DB8" w:rsidRDefault="00136DB8" w:rsidP="002B30C3">
            <w:pPr>
              <w:jc w:val="center"/>
              <w:rPr>
                <w:rFonts w:ascii="Arial Narrow" w:hAnsi="Arial Narrow" w:cs="Arial"/>
                <w:b/>
                <w:i/>
                <w:sz w:val="18"/>
                <w:szCs w:val="18"/>
                <w:highlight w:val="black"/>
              </w:rPr>
            </w:pPr>
            <w:r>
              <w:rPr>
                <w:rFonts w:ascii="Arial Narrow" w:hAnsi="Arial Narrow" w:cs="Arial"/>
                <w:b/>
                <w:i/>
                <w:noProof/>
                <w:color w:val="000000"/>
                <w:sz w:val="18"/>
                <w:szCs w:val="18"/>
                <w:highlight w:val="black"/>
              </w:rPr>
              <w:t>''''''''''' '''''''''''</w:t>
            </w:r>
          </w:p>
        </w:tc>
        <w:tc>
          <w:tcPr>
            <w:tcW w:w="992" w:type="dxa"/>
            <w:vAlign w:val="center"/>
          </w:tcPr>
          <w:p w:rsidR="002948C0" w:rsidRPr="00136DB8" w:rsidRDefault="00136DB8" w:rsidP="002B30C3">
            <w:pPr>
              <w:jc w:val="center"/>
              <w:rPr>
                <w:rFonts w:ascii="Arial Narrow" w:hAnsi="Arial Narrow" w:cs="Arial"/>
                <w:b/>
                <w:i/>
                <w:sz w:val="18"/>
                <w:szCs w:val="18"/>
                <w:highlight w:val="black"/>
              </w:rPr>
            </w:pPr>
            <w:r>
              <w:rPr>
                <w:rFonts w:ascii="Arial Narrow" w:hAnsi="Arial Narrow" w:cs="Arial"/>
                <w:b/>
                <w:i/>
                <w:noProof/>
                <w:color w:val="000000"/>
                <w:sz w:val="18"/>
                <w:szCs w:val="18"/>
                <w:highlight w:val="black"/>
              </w:rPr>
              <w:t>''''''''</w:t>
            </w:r>
          </w:p>
          <w:p w:rsidR="002948C0" w:rsidRPr="00136DB8" w:rsidRDefault="00136DB8" w:rsidP="002B30C3">
            <w:pPr>
              <w:jc w:val="center"/>
              <w:rPr>
                <w:rFonts w:ascii="Arial Narrow" w:hAnsi="Arial Narrow" w:cs="Arial"/>
                <w:b/>
                <w:i/>
                <w:sz w:val="18"/>
                <w:szCs w:val="18"/>
                <w:highlight w:val="black"/>
              </w:rPr>
            </w:pPr>
            <w:r>
              <w:rPr>
                <w:rFonts w:ascii="Arial Narrow" w:hAnsi="Arial Narrow" w:cs="Arial"/>
                <w:b/>
                <w:i/>
                <w:noProof/>
                <w:color w:val="000000"/>
                <w:sz w:val="18"/>
                <w:szCs w:val="18"/>
                <w:highlight w:val="black"/>
              </w:rPr>
              <w:t>'''''''''' ''''''''''</w:t>
            </w:r>
          </w:p>
        </w:tc>
        <w:tc>
          <w:tcPr>
            <w:tcW w:w="1418" w:type="dxa"/>
            <w:shd w:val="clear" w:color="auto" w:fill="EEECE1"/>
          </w:tcPr>
          <w:p w:rsidR="002948C0" w:rsidRPr="00136DB8" w:rsidRDefault="00136DB8" w:rsidP="002B30C3">
            <w:pPr>
              <w:jc w:val="center"/>
              <w:rPr>
                <w:rFonts w:ascii="Arial Narrow" w:hAnsi="Arial Narrow" w:cs="Arial"/>
                <w:b/>
                <w:sz w:val="18"/>
                <w:szCs w:val="18"/>
                <w:highlight w:val="black"/>
              </w:rPr>
            </w:pPr>
            <w:r>
              <w:rPr>
                <w:rFonts w:ascii="Arial Narrow" w:hAnsi="Arial Narrow" w:cs="Arial"/>
                <w:b/>
                <w:noProof/>
                <w:color w:val="000000"/>
                <w:sz w:val="18"/>
                <w:szCs w:val="18"/>
                <w:highlight w:val="black"/>
              </w:rPr>
              <w:t>'''''''' '''''''''''' '''''''''''</w:t>
            </w:r>
          </w:p>
          <w:p w:rsidR="002948C0" w:rsidRPr="00136DB8" w:rsidRDefault="00136DB8" w:rsidP="002B30C3">
            <w:pPr>
              <w:jc w:val="center"/>
              <w:rPr>
                <w:rFonts w:ascii="Arial Narrow" w:hAnsi="Arial Narrow" w:cs="Arial"/>
                <w:b/>
                <w:sz w:val="18"/>
                <w:szCs w:val="18"/>
                <w:highlight w:val="black"/>
              </w:rPr>
            </w:pPr>
            <w:r>
              <w:rPr>
                <w:rFonts w:ascii="Arial Narrow" w:hAnsi="Arial Narrow" w:cs="Arial"/>
                <w:b/>
                <w:noProof/>
                <w:color w:val="000000"/>
                <w:sz w:val="18"/>
                <w:szCs w:val="18"/>
                <w:highlight w:val="black"/>
              </w:rPr>
              <w:t>'''''''''''''''''''</w:t>
            </w:r>
          </w:p>
          <w:p w:rsidR="002948C0" w:rsidRPr="00136DB8" w:rsidRDefault="00136DB8" w:rsidP="002B30C3">
            <w:pPr>
              <w:jc w:val="center"/>
              <w:rPr>
                <w:rFonts w:ascii="Arial Narrow" w:hAnsi="Arial Narrow" w:cs="Arial"/>
                <w:b/>
                <w:sz w:val="18"/>
                <w:szCs w:val="18"/>
                <w:highlight w:val="black"/>
              </w:rPr>
            </w:pPr>
            <w:r>
              <w:rPr>
                <w:rFonts w:ascii="Arial Narrow" w:hAnsi="Arial Narrow" w:cs="Arial"/>
                <w:b/>
                <w:noProof/>
                <w:color w:val="000000"/>
                <w:sz w:val="18"/>
                <w:szCs w:val="18"/>
                <w:highlight w:val="black"/>
              </w:rPr>
              <w:t>'''''''''' ''' ''''''''''</w:t>
            </w:r>
          </w:p>
        </w:tc>
        <w:tc>
          <w:tcPr>
            <w:tcW w:w="1134" w:type="dxa"/>
            <w:shd w:val="clear" w:color="auto" w:fill="EEECE1"/>
            <w:vAlign w:val="center"/>
          </w:tcPr>
          <w:p w:rsidR="002948C0" w:rsidRPr="00136DB8" w:rsidRDefault="00136DB8" w:rsidP="002B30C3">
            <w:pPr>
              <w:jc w:val="center"/>
              <w:rPr>
                <w:rFonts w:ascii="Arial Narrow" w:hAnsi="Arial Narrow" w:cs="Arial"/>
                <w:b/>
                <w:sz w:val="18"/>
                <w:szCs w:val="18"/>
                <w:highlight w:val="black"/>
              </w:rPr>
            </w:pPr>
            <w:r>
              <w:rPr>
                <w:rFonts w:ascii="Arial Narrow" w:hAnsi="Arial Narrow" w:cs="Arial"/>
                <w:b/>
                <w:noProof/>
                <w:color w:val="000000"/>
                <w:sz w:val="18"/>
                <w:szCs w:val="18"/>
                <w:highlight w:val="black"/>
              </w:rPr>
              <w:t>''''''''</w:t>
            </w:r>
          </w:p>
          <w:p w:rsidR="002948C0" w:rsidRPr="00136DB8" w:rsidRDefault="00136DB8" w:rsidP="002B30C3">
            <w:pPr>
              <w:jc w:val="center"/>
              <w:rPr>
                <w:rFonts w:ascii="Arial Narrow" w:hAnsi="Arial Narrow" w:cs="Arial"/>
                <w:b/>
                <w:sz w:val="18"/>
                <w:szCs w:val="18"/>
                <w:highlight w:val="black"/>
              </w:rPr>
            </w:pPr>
            <w:r>
              <w:rPr>
                <w:rFonts w:ascii="Arial Narrow" w:hAnsi="Arial Narrow" w:cs="Arial"/>
                <w:b/>
                <w:noProof/>
                <w:color w:val="000000"/>
                <w:sz w:val="18"/>
                <w:szCs w:val="18"/>
                <w:highlight w:val="black"/>
              </w:rPr>
              <w:t>''''''''''' ''''''''''''</w:t>
            </w:r>
          </w:p>
          <w:p w:rsidR="002948C0" w:rsidRPr="00136DB8" w:rsidRDefault="00136DB8" w:rsidP="002B30C3">
            <w:pPr>
              <w:jc w:val="center"/>
              <w:rPr>
                <w:rFonts w:ascii="Arial Narrow" w:hAnsi="Arial Narrow" w:cs="Arial"/>
                <w:b/>
                <w:sz w:val="18"/>
                <w:szCs w:val="18"/>
                <w:highlight w:val="black"/>
              </w:rPr>
            </w:pPr>
            <w:r>
              <w:rPr>
                <w:rFonts w:ascii="Arial Narrow" w:hAnsi="Arial Narrow" w:cs="Arial"/>
                <w:b/>
                <w:noProof/>
                <w:color w:val="000000"/>
                <w:sz w:val="18"/>
                <w:szCs w:val="18"/>
                <w:highlight w:val="black"/>
              </w:rPr>
              <w:t>''''''''''''''''''''</w:t>
            </w:r>
          </w:p>
        </w:tc>
        <w:tc>
          <w:tcPr>
            <w:tcW w:w="1276" w:type="dxa"/>
            <w:shd w:val="clear" w:color="auto" w:fill="EEECE1"/>
            <w:vAlign w:val="center"/>
          </w:tcPr>
          <w:p w:rsidR="002948C0" w:rsidRPr="00136DB8" w:rsidRDefault="00136DB8" w:rsidP="002B30C3">
            <w:pPr>
              <w:jc w:val="center"/>
              <w:rPr>
                <w:rFonts w:ascii="Arial Narrow" w:hAnsi="Arial Narrow" w:cs="Arial"/>
                <w:b/>
                <w:sz w:val="18"/>
                <w:szCs w:val="18"/>
                <w:highlight w:val="black"/>
              </w:rPr>
            </w:pPr>
            <w:r>
              <w:rPr>
                <w:rFonts w:ascii="Arial Narrow" w:hAnsi="Arial Narrow" w:cs="Arial"/>
                <w:b/>
                <w:noProof/>
                <w:color w:val="000000"/>
                <w:sz w:val="18"/>
                <w:szCs w:val="18"/>
                <w:highlight w:val="black"/>
              </w:rPr>
              <w:t>''''''''</w:t>
            </w:r>
          </w:p>
          <w:p w:rsidR="002948C0" w:rsidRPr="00136DB8" w:rsidRDefault="00136DB8" w:rsidP="002B30C3">
            <w:pPr>
              <w:jc w:val="center"/>
              <w:rPr>
                <w:rFonts w:ascii="Arial Narrow" w:hAnsi="Arial Narrow" w:cs="Arial"/>
                <w:b/>
                <w:sz w:val="18"/>
                <w:szCs w:val="18"/>
                <w:highlight w:val="black"/>
              </w:rPr>
            </w:pPr>
            <w:r>
              <w:rPr>
                <w:rFonts w:ascii="Arial Narrow" w:hAnsi="Arial Narrow" w:cs="Arial"/>
                <w:b/>
                <w:noProof/>
                <w:color w:val="000000"/>
                <w:sz w:val="18"/>
                <w:szCs w:val="18"/>
                <w:highlight w:val="black"/>
              </w:rPr>
              <w:t>'''''''''''' '''''''''''</w:t>
            </w:r>
          </w:p>
          <w:p w:rsidR="002948C0" w:rsidRPr="00136DB8" w:rsidRDefault="00136DB8" w:rsidP="002B30C3">
            <w:pPr>
              <w:jc w:val="center"/>
              <w:rPr>
                <w:rFonts w:ascii="Arial Narrow" w:hAnsi="Arial Narrow" w:cs="Arial"/>
                <w:b/>
                <w:sz w:val="18"/>
                <w:szCs w:val="18"/>
                <w:highlight w:val="black"/>
              </w:rPr>
            </w:pPr>
            <w:r>
              <w:rPr>
                <w:rFonts w:ascii="Arial Narrow" w:hAnsi="Arial Narrow" w:cs="Arial"/>
                <w:b/>
                <w:noProof/>
                <w:color w:val="000000"/>
                <w:sz w:val="18"/>
                <w:szCs w:val="18"/>
                <w:highlight w:val="black"/>
              </w:rPr>
              <w:t>'''''''''''''''''</w:t>
            </w:r>
          </w:p>
        </w:tc>
      </w:tr>
      <w:tr w:rsidR="002948C0" w:rsidRPr="00BE5144" w:rsidTr="00BE5144">
        <w:trPr>
          <w:trHeight w:val="489"/>
        </w:trPr>
        <w:tc>
          <w:tcPr>
            <w:tcW w:w="954" w:type="dxa"/>
            <w:vAlign w:val="center"/>
          </w:tcPr>
          <w:p w:rsidR="002948C0" w:rsidRPr="00BE5144" w:rsidRDefault="002948C0" w:rsidP="002B30C3">
            <w:pPr>
              <w:rPr>
                <w:rFonts w:ascii="Arial Narrow" w:hAnsi="Arial Narrow" w:cs="Arial"/>
                <w:sz w:val="18"/>
                <w:szCs w:val="18"/>
              </w:rPr>
            </w:pPr>
            <w:r w:rsidRPr="00BE5144">
              <w:rPr>
                <w:rFonts w:ascii="Arial Narrow" w:hAnsi="Arial Narrow" w:cs="Arial"/>
                <w:sz w:val="18"/>
                <w:szCs w:val="18"/>
              </w:rPr>
              <w:t>6-12 years</w:t>
            </w:r>
          </w:p>
        </w:tc>
        <w:tc>
          <w:tcPr>
            <w:tcW w:w="775" w:type="dxa"/>
            <w:vAlign w:val="center"/>
          </w:tcPr>
          <w:p w:rsidR="002948C0" w:rsidRPr="00136DB8" w:rsidRDefault="00136DB8" w:rsidP="002B30C3">
            <w:pPr>
              <w:jc w:val="center"/>
              <w:rPr>
                <w:rFonts w:ascii="Arial Narrow" w:hAnsi="Arial Narrow" w:cs="Arial"/>
                <w:sz w:val="18"/>
                <w:szCs w:val="18"/>
                <w:highlight w:val="black"/>
              </w:rPr>
            </w:pPr>
            <w:r>
              <w:rPr>
                <w:rFonts w:ascii="Arial Narrow" w:hAnsi="Arial Narrow" w:cs="Arial"/>
                <w:noProof/>
                <w:color w:val="000000"/>
                <w:sz w:val="18"/>
                <w:szCs w:val="18"/>
                <w:highlight w:val="black"/>
              </w:rPr>
              <w:t>'''''''''''''</w:t>
            </w:r>
          </w:p>
          <w:p w:rsidR="002948C0" w:rsidRPr="00136DB8" w:rsidRDefault="00136DB8" w:rsidP="002B30C3">
            <w:pPr>
              <w:jc w:val="center"/>
              <w:rPr>
                <w:rFonts w:ascii="Arial Narrow" w:hAnsi="Arial Narrow" w:cs="Arial"/>
                <w:sz w:val="18"/>
                <w:szCs w:val="18"/>
                <w:highlight w:val="black"/>
              </w:rPr>
            </w:pPr>
            <w:r>
              <w:rPr>
                <w:rFonts w:ascii="Arial Narrow" w:hAnsi="Arial Narrow" w:cs="Arial"/>
                <w:noProof/>
                <w:color w:val="000000"/>
                <w:sz w:val="18"/>
                <w:szCs w:val="18"/>
                <w:highlight w:val="black"/>
              </w:rPr>
              <w:t>''''''''''''''</w:t>
            </w:r>
          </w:p>
        </w:tc>
        <w:tc>
          <w:tcPr>
            <w:tcW w:w="850" w:type="dxa"/>
            <w:vAlign w:val="center"/>
          </w:tcPr>
          <w:p w:rsidR="002948C0" w:rsidRPr="00136DB8" w:rsidRDefault="00136DB8" w:rsidP="002B30C3">
            <w:pPr>
              <w:jc w:val="center"/>
              <w:rPr>
                <w:rFonts w:ascii="Arial Narrow" w:hAnsi="Arial Narrow" w:cs="Arial"/>
                <w:sz w:val="18"/>
                <w:szCs w:val="18"/>
                <w:highlight w:val="black"/>
              </w:rPr>
            </w:pPr>
            <w:r>
              <w:rPr>
                <w:rFonts w:ascii="Arial Narrow" w:hAnsi="Arial Narrow" w:cs="Arial"/>
                <w:noProof/>
                <w:color w:val="000000"/>
                <w:sz w:val="18"/>
                <w:szCs w:val="18"/>
                <w:highlight w:val="black"/>
              </w:rPr>
              <w:t>''''''''''</w:t>
            </w:r>
          </w:p>
          <w:p w:rsidR="002948C0" w:rsidRPr="00136DB8" w:rsidRDefault="00136DB8" w:rsidP="002B30C3">
            <w:pPr>
              <w:jc w:val="center"/>
              <w:rPr>
                <w:rFonts w:ascii="Arial Narrow" w:hAnsi="Arial Narrow" w:cs="Arial"/>
                <w:sz w:val="18"/>
                <w:szCs w:val="18"/>
                <w:highlight w:val="black"/>
              </w:rPr>
            </w:pPr>
            <w:r>
              <w:rPr>
                <w:rFonts w:ascii="Arial Narrow" w:hAnsi="Arial Narrow" w:cs="Arial"/>
                <w:noProof/>
                <w:color w:val="000000"/>
                <w:sz w:val="18"/>
                <w:szCs w:val="18"/>
                <w:highlight w:val="black"/>
              </w:rPr>
              <w:t>''''''''''''''''</w:t>
            </w:r>
          </w:p>
        </w:tc>
        <w:tc>
          <w:tcPr>
            <w:tcW w:w="851" w:type="dxa"/>
            <w:vAlign w:val="center"/>
          </w:tcPr>
          <w:p w:rsidR="002948C0" w:rsidRPr="00136DB8" w:rsidRDefault="00136DB8" w:rsidP="002B30C3">
            <w:pPr>
              <w:jc w:val="center"/>
              <w:rPr>
                <w:rFonts w:ascii="Arial Narrow" w:hAnsi="Arial Narrow" w:cs="Arial"/>
                <w:sz w:val="18"/>
                <w:szCs w:val="18"/>
                <w:highlight w:val="black"/>
              </w:rPr>
            </w:pPr>
            <w:r>
              <w:rPr>
                <w:rFonts w:ascii="Arial Narrow" w:hAnsi="Arial Narrow" w:cs="Arial"/>
                <w:noProof/>
                <w:color w:val="000000"/>
                <w:sz w:val="18"/>
                <w:szCs w:val="18"/>
                <w:highlight w:val="black"/>
              </w:rPr>
              <w:t>''''''''''''</w:t>
            </w:r>
          </w:p>
          <w:p w:rsidR="002948C0" w:rsidRPr="00136DB8" w:rsidRDefault="00136DB8" w:rsidP="002B30C3">
            <w:pPr>
              <w:jc w:val="center"/>
              <w:rPr>
                <w:rFonts w:ascii="Arial Narrow" w:hAnsi="Arial Narrow" w:cs="Arial"/>
                <w:sz w:val="18"/>
                <w:szCs w:val="18"/>
                <w:highlight w:val="black"/>
              </w:rPr>
            </w:pPr>
            <w:r>
              <w:rPr>
                <w:rFonts w:ascii="Arial Narrow" w:hAnsi="Arial Narrow" w:cs="Arial"/>
                <w:noProof/>
                <w:color w:val="000000"/>
                <w:sz w:val="18"/>
                <w:szCs w:val="18"/>
                <w:highlight w:val="black"/>
              </w:rPr>
              <w:t>''''''''''''''''''</w:t>
            </w:r>
          </w:p>
        </w:tc>
        <w:tc>
          <w:tcPr>
            <w:tcW w:w="992" w:type="dxa"/>
            <w:vAlign w:val="center"/>
          </w:tcPr>
          <w:p w:rsidR="002948C0" w:rsidRPr="00136DB8" w:rsidRDefault="00136DB8" w:rsidP="002B30C3">
            <w:pPr>
              <w:jc w:val="center"/>
              <w:rPr>
                <w:rFonts w:ascii="Arial Narrow" w:hAnsi="Arial Narrow" w:cs="Arial"/>
                <w:b/>
                <w:i/>
                <w:sz w:val="18"/>
                <w:szCs w:val="18"/>
                <w:highlight w:val="black"/>
              </w:rPr>
            </w:pPr>
            <w:r>
              <w:rPr>
                <w:rFonts w:ascii="Arial Narrow" w:hAnsi="Arial Narrow" w:cs="Arial"/>
                <w:b/>
                <w:i/>
                <w:noProof/>
                <w:color w:val="000000"/>
                <w:sz w:val="18"/>
                <w:szCs w:val="18"/>
                <w:highlight w:val="black"/>
              </w:rPr>
              <w:t>''''''''</w:t>
            </w:r>
          </w:p>
          <w:p w:rsidR="002948C0" w:rsidRPr="00136DB8" w:rsidRDefault="00136DB8" w:rsidP="002B30C3">
            <w:pPr>
              <w:jc w:val="center"/>
              <w:rPr>
                <w:rFonts w:ascii="Arial Narrow" w:hAnsi="Arial Narrow" w:cs="Arial"/>
                <w:b/>
                <w:i/>
                <w:sz w:val="18"/>
                <w:szCs w:val="18"/>
                <w:highlight w:val="black"/>
              </w:rPr>
            </w:pPr>
            <w:r>
              <w:rPr>
                <w:rFonts w:ascii="Arial Narrow" w:hAnsi="Arial Narrow" w:cs="Arial"/>
                <w:b/>
                <w:i/>
                <w:noProof/>
                <w:color w:val="000000"/>
                <w:sz w:val="18"/>
                <w:szCs w:val="18"/>
                <w:highlight w:val="black"/>
              </w:rPr>
              <w:t>''''''''''' ''''''''''</w:t>
            </w:r>
          </w:p>
        </w:tc>
        <w:tc>
          <w:tcPr>
            <w:tcW w:w="992" w:type="dxa"/>
            <w:vAlign w:val="center"/>
          </w:tcPr>
          <w:p w:rsidR="002948C0" w:rsidRPr="00136DB8" w:rsidRDefault="00136DB8" w:rsidP="002B30C3">
            <w:pPr>
              <w:jc w:val="center"/>
              <w:rPr>
                <w:rFonts w:ascii="Arial Narrow" w:hAnsi="Arial Narrow" w:cs="Arial"/>
                <w:b/>
                <w:i/>
                <w:sz w:val="18"/>
                <w:szCs w:val="18"/>
                <w:highlight w:val="black"/>
              </w:rPr>
            </w:pPr>
            <w:r>
              <w:rPr>
                <w:rFonts w:ascii="Arial Narrow" w:hAnsi="Arial Narrow" w:cs="Arial"/>
                <w:b/>
                <w:i/>
                <w:noProof/>
                <w:color w:val="000000"/>
                <w:sz w:val="18"/>
                <w:szCs w:val="18"/>
                <w:highlight w:val="black"/>
              </w:rPr>
              <w:t>''''''''</w:t>
            </w:r>
          </w:p>
          <w:p w:rsidR="002948C0" w:rsidRPr="00136DB8" w:rsidRDefault="00136DB8" w:rsidP="002B30C3">
            <w:pPr>
              <w:jc w:val="center"/>
              <w:rPr>
                <w:rFonts w:ascii="Arial Narrow" w:hAnsi="Arial Narrow" w:cs="Arial"/>
                <w:b/>
                <w:i/>
                <w:sz w:val="18"/>
                <w:szCs w:val="18"/>
                <w:highlight w:val="black"/>
              </w:rPr>
            </w:pPr>
            <w:r>
              <w:rPr>
                <w:rFonts w:ascii="Arial Narrow" w:hAnsi="Arial Narrow" w:cs="Arial"/>
                <w:b/>
                <w:i/>
                <w:noProof/>
                <w:color w:val="000000"/>
                <w:sz w:val="18"/>
                <w:szCs w:val="18"/>
                <w:highlight w:val="black"/>
              </w:rPr>
              <w:t>''''''''''' ''''''''''</w:t>
            </w:r>
          </w:p>
        </w:tc>
        <w:tc>
          <w:tcPr>
            <w:tcW w:w="1418" w:type="dxa"/>
            <w:shd w:val="clear" w:color="auto" w:fill="EEECE1"/>
            <w:vAlign w:val="center"/>
          </w:tcPr>
          <w:p w:rsidR="002948C0" w:rsidRPr="00136DB8" w:rsidRDefault="00136DB8" w:rsidP="002B30C3">
            <w:pPr>
              <w:jc w:val="center"/>
              <w:rPr>
                <w:rFonts w:ascii="Arial Narrow" w:hAnsi="Arial Narrow" w:cs="Arial"/>
                <w:b/>
                <w:sz w:val="18"/>
                <w:szCs w:val="18"/>
                <w:highlight w:val="black"/>
              </w:rPr>
            </w:pPr>
            <w:r>
              <w:rPr>
                <w:rFonts w:ascii="Arial Narrow" w:hAnsi="Arial Narrow" w:cs="Arial"/>
                <w:noProof/>
                <w:color w:val="000000"/>
                <w:sz w:val="18"/>
                <w:szCs w:val="18"/>
                <w:highlight w:val="black"/>
              </w:rPr>
              <w:t>''''''''' ''''''''''''''' ''''''''''''' '''''''''''''''''''''''</w:t>
            </w:r>
          </w:p>
        </w:tc>
        <w:tc>
          <w:tcPr>
            <w:tcW w:w="1134" w:type="dxa"/>
            <w:shd w:val="clear" w:color="auto" w:fill="EEECE1"/>
            <w:vAlign w:val="center"/>
          </w:tcPr>
          <w:p w:rsidR="002948C0" w:rsidRPr="00136DB8" w:rsidRDefault="00136DB8" w:rsidP="002B30C3">
            <w:pPr>
              <w:jc w:val="center"/>
              <w:rPr>
                <w:rFonts w:ascii="Arial Narrow" w:hAnsi="Arial Narrow" w:cs="Arial"/>
                <w:sz w:val="18"/>
                <w:szCs w:val="18"/>
                <w:highlight w:val="black"/>
              </w:rPr>
            </w:pPr>
            <w:r>
              <w:rPr>
                <w:rFonts w:ascii="Arial Narrow" w:hAnsi="Arial Narrow" w:cs="Arial"/>
                <w:noProof/>
                <w:color w:val="000000"/>
                <w:sz w:val="18"/>
                <w:szCs w:val="18"/>
                <w:highlight w:val="black"/>
              </w:rPr>
              <w:t xml:space="preserve">'''''''''' </w:t>
            </w:r>
          </w:p>
          <w:p w:rsidR="002948C0" w:rsidRPr="00136DB8" w:rsidRDefault="00136DB8" w:rsidP="002B30C3">
            <w:pPr>
              <w:jc w:val="center"/>
              <w:rPr>
                <w:rFonts w:ascii="Arial Narrow" w:hAnsi="Arial Narrow" w:cs="Arial"/>
                <w:sz w:val="18"/>
                <w:szCs w:val="18"/>
                <w:highlight w:val="black"/>
              </w:rPr>
            </w:pPr>
            <w:r>
              <w:rPr>
                <w:rFonts w:ascii="Arial Narrow" w:hAnsi="Arial Narrow" w:cs="Arial"/>
                <w:noProof/>
                <w:color w:val="000000"/>
                <w:sz w:val="18"/>
                <w:szCs w:val="18"/>
                <w:highlight w:val="black"/>
              </w:rPr>
              <w:t>'''''''''''''' ''''''''''''</w:t>
            </w:r>
          </w:p>
          <w:p w:rsidR="002948C0" w:rsidRPr="00136DB8" w:rsidRDefault="00136DB8" w:rsidP="002B30C3">
            <w:pPr>
              <w:jc w:val="center"/>
              <w:rPr>
                <w:rFonts w:ascii="Arial Narrow" w:hAnsi="Arial Narrow" w:cs="Arial"/>
                <w:b/>
                <w:sz w:val="18"/>
                <w:szCs w:val="18"/>
                <w:highlight w:val="black"/>
              </w:rPr>
            </w:pPr>
            <w:r>
              <w:rPr>
                <w:rFonts w:ascii="Arial Narrow" w:hAnsi="Arial Narrow" w:cs="Arial"/>
                <w:noProof/>
                <w:color w:val="000000"/>
                <w:sz w:val="18"/>
                <w:szCs w:val="18"/>
                <w:highlight w:val="black"/>
              </w:rPr>
              <w:t>''''''''''''''''''''</w:t>
            </w:r>
          </w:p>
        </w:tc>
        <w:tc>
          <w:tcPr>
            <w:tcW w:w="1276" w:type="dxa"/>
            <w:shd w:val="clear" w:color="auto" w:fill="EEECE1"/>
            <w:vAlign w:val="center"/>
          </w:tcPr>
          <w:p w:rsidR="002948C0" w:rsidRPr="00136DB8" w:rsidRDefault="00136DB8" w:rsidP="002B30C3">
            <w:pPr>
              <w:jc w:val="center"/>
              <w:rPr>
                <w:rFonts w:ascii="Arial Narrow" w:hAnsi="Arial Narrow" w:cs="Arial"/>
                <w:sz w:val="18"/>
                <w:szCs w:val="18"/>
                <w:highlight w:val="black"/>
              </w:rPr>
            </w:pPr>
            <w:r>
              <w:rPr>
                <w:rFonts w:ascii="Arial Narrow" w:hAnsi="Arial Narrow" w:cs="Arial"/>
                <w:noProof/>
                <w:color w:val="000000"/>
                <w:sz w:val="18"/>
                <w:szCs w:val="18"/>
                <w:highlight w:val="black"/>
              </w:rPr>
              <w:t xml:space="preserve">''''''''''' </w:t>
            </w:r>
          </w:p>
          <w:p w:rsidR="002948C0" w:rsidRPr="00136DB8" w:rsidRDefault="00136DB8" w:rsidP="002B30C3">
            <w:pPr>
              <w:jc w:val="center"/>
              <w:rPr>
                <w:rFonts w:ascii="Arial Narrow" w:hAnsi="Arial Narrow" w:cs="Arial"/>
                <w:b/>
                <w:sz w:val="18"/>
                <w:szCs w:val="18"/>
                <w:highlight w:val="black"/>
              </w:rPr>
            </w:pPr>
            <w:r>
              <w:rPr>
                <w:rFonts w:ascii="Arial Narrow" w:hAnsi="Arial Narrow" w:cs="Arial"/>
                <w:noProof/>
                <w:color w:val="000000"/>
                <w:sz w:val="18"/>
                <w:szCs w:val="18"/>
                <w:highlight w:val="black"/>
              </w:rPr>
              <w:t>''''''''''''' ''''''''''''' ''''''''''''''''''''</w:t>
            </w:r>
          </w:p>
        </w:tc>
      </w:tr>
    </w:tbl>
    <w:p w:rsidR="00C16D64" w:rsidRPr="00893FAF" w:rsidRDefault="002948C0" w:rsidP="00300BE1">
      <w:pPr>
        <w:rPr>
          <w:rFonts w:ascii="Arial Narrow" w:hAnsi="Arial Narrow" w:cs="Arial"/>
          <w:sz w:val="20"/>
          <w:szCs w:val="20"/>
        </w:rPr>
      </w:pPr>
      <w:r w:rsidRPr="00893FAF">
        <w:rPr>
          <w:rFonts w:ascii="Arial Narrow" w:hAnsi="Arial Narrow" w:cs="Arial"/>
          <w:sz w:val="20"/>
          <w:szCs w:val="20"/>
        </w:rPr>
        <w:t xml:space="preserve">Note: Bold typography indicates statistically significant results; italics indicate results estimated during the evaluation using </w:t>
      </w:r>
      <w:proofErr w:type="spellStart"/>
      <w:r w:rsidRPr="00893FAF">
        <w:rPr>
          <w:rFonts w:ascii="Arial Narrow" w:hAnsi="Arial Narrow" w:cs="Arial"/>
          <w:sz w:val="20"/>
          <w:szCs w:val="20"/>
        </w:rPr>
        <w:t>RevMan</w:t>
      </w:r>
      <w:proofErr w:type="spellEnd"/>
      <w:r w:rsidRPr="00893FAF">
        <w:rPr>
          <w:rFonts w:ascii="Arial Narrow" w:hAnsi="Arial Narrow" w:cs="Arial"/>
          <w:sz w:val="20"/>
          <w:szCs w:val="20"/>
        </w:rPr>
        <w:t xml:space="preserve"> Version 5.2. </w:t>
      </w:r>
      <w:proofErr w:type="gramStart"/>
      <w:r w:rsidRPr="00893FAF">
        <w:rPr>
          <w:rFonts w:ascii="Arial Narrow" w:hAnsi="Arial Narrow" w:cs="Arial"/>
          <w:sz w:val="20"/>
          <w:szCs w:val="20"/>
        </w:rPr>
        <w:t>^number of patients for whom results are available.</w:t>
      </w:r>
      <w:proofErr w:type="gramEnd"/>
      <w:r w:rsidRPr="00893FAF">
        <w:rPr>
          <w:rFonts w:ascii="Arial Narrow" w:hAnsi="Arial Narrow" w:cs="Arial"/>
          <w:sz w:val="20"/>
          <w:szCs w:val="20"/>
        </w:rPr>
        <w:t xml:space="preserve"> </w:t>
      </w:r>
    </w:p>
    <w:p w:rsidR="002948C0" w:rsidRPr="00893FAF" w:rsidRDefault="002948C0" w:rsidP="00300BE1">
      <w:pPr>
        <w:rPr>
          <w:rFonts w:ascii="Arial Narrow" w:hAnsi="Arial Narrow" w:cs="Arial"/>
          <w:sz w:val="20"/>
          <w:szCs w:val="20"/>
        </w:rPr>
      </w:pPr>
      <w:proofErr w:type="spellStart"/>
      <w:proofErr w:type="gramStart"/>
      <w:r w:rsidRPr="00893FAF">
        <w:rPr>
          <w:rFonts w:ascii="Arial Narrow" w:hAnsi="Arial Narrow" w:cs="Arial"/>
          <w:sz w:val="20"/>
          <w:szCs w:val="20"/>
          <w:vertAlign w:val="superscript"/>
        </w:rPr>
        <w:t>a</w:t>
      </w:r>
      <w:r w:rsidRPr="00893FAF">
        <w:rPr>
          <w:rFonts w:ascii="Arial Narrow" w:hAnsi="Arial Narrow" w:cs="Arial"/>
          <w:sz w:val="20"/>
          <w:szCs w:val="20"/>
        </w:rPr>
        <w:t>response</w:t>
      </w:r>
      <w:proofErr w:type="spellEnd"/>
      <w:proofErr w:type="gramEnd"/>
      <w:r w:rsidRPr="00893FAF">
        <w:rPr>
          <w:rFonts w:ascii="Arial Narrow" w:hAnsi="Arial Narrow" w:cs="Arial"/>
          <w:sz w:val="20"/>
          <w:szCs w:val="20"/>
        </w:rPr>
        <w:t xml:space="preserve"> is defined as proportion of subjects achieving at least 30% change from baseline ADHD-RS-IV AND a CGI-I score of 1 or 2 at endpoint.  Source: Table B.6.2 of the July 2013 Commentary, Tables 28 and 29 of the main body and Attachment 4 of the resubmission.</w:t>
      </w:r>
    </w:p>
    <w:p w:rsidR="002948C0" w:rsidRPr="00FC6E89" w:rsidRDefault="002948C0" w:rsidP="00300BE1">
      <w:pPr>
        <w:jc w:val="both"/>
        <w:rPr>
          <w:rFonts w:ascii="Arial" w:hAnsi="Arial" w:cs="Arial"/>
          <w:sz w:val="22"/>
          <w:szCs w:val="22"/>
        </w:rPr>
      </w:pPr>
    </w:p>
    <w:p w:rsidR="00C16D64" w:rsidRPr="00FC6E89" w:rsidRDefault="00C16D64" w:rsidP="00C16D64">
      <w:pPr>
        <w:rPr>
          <w:rFonts w:ascii="Arial Narrow" w:hAnsi="Arial Narrow" w:cs="Arial"/>
          <w:b/>
          <w:sz w:val="20"/>
          <w:szCs w:val="20"/>
        </w:rPr>
      </w:pPr>
      <w:r w:rsidRPr="00FC6E89">
        <w:rPr>
          <w:rFonts w:ascii="Arial Narrow" w:hAnsi="Arial Narrow" w:cs="Arial"/>
          <w:b/>
          <w:sz w:val="20"/>
          <w:szCs w:val="20"/>
        </w:rPr>
        <w:t>Summary of results of commonly reported outcomes for Trials SPD489-301 (children), -305 (adolescents) and -325 (children and adolescents)</w:t>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Description w:val="Summary of results of commonly reported outcomes for Trials SPD489-301 (children), -305 (adolescents) and -325 "/>
      </w:tblPr>
      <w:tblGrid>
        <w:gridCol w:w="1446"/>
        <w:gridCol w:w="992"/>
        <w:gridCol w:w="1418"/>
        <w:gridCol w:w="1417"/>
        <w:gridCol w:w="1418"/>
        <w:gridCol w:w="1417"/>
        <w:gridCol w:w="1136"/>
      </w:tblGrid>
      <w:tr w:rsidR="00C16D64" w:rsidRPr="00FC6E89" w:rsidTr="009061DF">
        <w:tc>
          <w:tcPr>
            <w:tcW w:w="1446" w:type="dxa"/>
            <w:vMerge w:val="restart"/>
            <w:shd w:val="clear" w:color="auto" w:fill="auto"/>
            <w:vAlign w:val="center"/>
          </w:tcPr>
          <w:p w:rsidR="00C16D64" w:rsidRPr="00FC6E89" w:rsidRDefault="00C16D64" w:rsidP="009061DF">
            <w:pPr>
              <w:keepNext/>
              <w:keepLines/>
              <w:rPr>
                <w:rFonts w:ascii="Arial Narrow" w:hAnsi="Arial Narrow" w:cs="Arial"/>
                <w:b/>
                <w:sz w:val="20"/>
                <w:szCs w:val="20"/>
              </w:rPr>
            </w:pPr>
            <w:r w:rsidRPr="00FC6E89">
              <w:rPr>
                <w:rFonts w:ascii="Arial Narrow" w:hAnsi="Arial Narrow" w:cs="Arial"/>
                <w:b/>
                <w:sz w:val="20"/>
                <w:szCs w:val="20"/>
              </w:rPr>
              <w:lastRenderedPageBreak/>
              <w:t xml:space="preserve">Trials </w:t>
            </w:r>
          </w:p>
        </w:tc>
        <w:tc>
          <w:tcPr>
            <w:tcW w:w="992" w:type="dxa"/>
            <w:vMerge w:val="restart"/>
            <w:shd w:val="clear" w:color="auto" w:fill="auto"/>
            <w:vAlign w:val="center"/>
          </w:tcPr>
          <w:p w:rsidR="00C16D64" w:rsidRPr="00FC6E89" w:rsidRDefault="00C16D64" w:rsidP="009061DF">
            <w:pPr>
              <w:keepNext/>
              <w:keepLines/>
              <w:jc w:val="center"/>
              <w:rPr>
                <w:rFonts w:ascii="Arial Narrow" w:hAnsi="Arial Narrow" w:cs="Arial"/>
                <w:b/>
                <w:sz w:val="20"/>
                <w:szCs w:val="20"/>
              </w:rPr>
            </w:pPr>
            <w:r w:rsidRPr="00FC6E89">
              <w:rPr>
                <w:rFonts w:ascii="Arial Narrow" w:hAnsi="Arial Narrow" w:cs="Arial"/>
                <w:b/>
                <w:sz w:val="20"/>
                <w:szCs w:val="20"/>
              </w:rPr>
              <w:t>Outcomes</w:t>
            </w:r>
          </w:p>
        </w:tc>
        <w:tc>
          <w:tcPr>
            <w:tcW w:w="4253" w:type="dxa"/>
            <w:gridSpan w:val="3"/>
            <w:shd w:val="clear" w:color="auto" w:fill="auto"/>
            <w:vAlign w:val="center"/>
          </w:tcPr>
          <w:p w:rsidR="00C16D64" w:rsidRPr="00FC6E89" w:rsidRDefault="00C16D64" w:rsidP="009061DF">
            <w:pPr>
              <w:keepNext/>
              <w:keepLines/>
              <w:jc w:val="center"/>
              <w:rPr>
                <w:rFonts w:ascii="Arial Narrow" w:hAnsi="Arial Narrow" w:cs="Arial"/>
                <w:b/>
                <w:sz w:val="20"/>
                <w:szCs w:val="20"/>
              </w:rPr>
            </w:pPr>
            <w:r w:rsidRPr="00FC6E89">
              <w:rPr>
                <w:rFonts w:ascii="Arial Narrow" w:hAnsi="Arial Narrow" w:cs="Arial"/>
                <w:b/>
                <w:sz w:val="20"/>
                <w:szCs w:val="20"/>
              </w:rPr>
              <w:t>LDX versus placebo</w:t>
            </w:r>
          </w:p>
        </w:tc>
        <w:tc>
          <w:tcPr>
            <w:tcW w:w="1417" w:type="dxa"/>
            <w:vMerge w:val="restart"/>
            <w:shd w:val="clear" w:color="auto" w:fill="auto"/>
            <w:vAlign w:val="center"/>
          </w:tcPr>
          <w:p w:rsidR="00C16D64" w:rsidRPr="00FC6E89" w:rsidRDefault="00C16D64" w:rsidP="009061DF">
            <w:pPr>
              <w:keepNext/>
              <w:keepLines/>
              <w:jc w:val="center"/>
              <w:rPr>
                <w:rFonts w:ascii="Arial Narrow" w:hAnsi="Arial Narrow" w:cs="Arial"/>
                <w:b/>
                <w:sz w:val="20"/>
                <w:szCs w:val="20"/>
              </w:rPr>
            </w:pPr>
            <w:r w:rsidRPr="00FC6E89">
              <w:rPr>
                <w:rFonts w:ascii="Arial Narrow" w:hAnsi="Arial Narrow" w:cs="Arial"/>
                <w:b/>
                <w:sz w:val="20"/>
                <w:szCs w:val="20"/>
              </w:rPr>
              <w:t>LDX</w:t>
            </w:r>
          </w:p>
          <w:p w:rsidR="00C16D64" w:rsidRPr="00FC6E89" w:rsidRDefault="00C16D64" w:rsidP="009061DF">
            <w:pPr>
              <w:keepNext/>
              <w:keepLines/>
              <w:jc w:val="center"/>
              <w:rPr>
                <w:rFonts w:ascii="Arial Narrow" w:hAnsi="Arial Narrow" w:cs="Arial"/>
                <w:b/>
                <w:sz w:val="20"/>
                <w:szCs w:val="20"/>
              </w:rPr>
            </w:pPr>
            <w:r w:rsidRPr="00FC6E89">
              <w:rPr>
                <w:rFonts w:ascii="Arial Narrow" w:hAnsi="Arial Narrow" w:cs="Arial"/>
                <w:b/>
                <w:sz w:val="20"/>
                <w:szCs w:val="20"/>
              </w:rPr>
              <w:t>v. MPH-OROS</w:t>
            </w:r>
          </w:p>
          <w:p w:rsidR="00C16D64" w:rsidRPr="00FC6E89" w:rsidRDefault="00C16D64" w:rsidP="009061DF">
            <w:pPr>
              <w:keepNext/>
              <w:keepLines/>
              <w:jc w:val="center"/>
              <w:rPr>
                <w:rFonts w:ascii="Arial Narrow" w:hAnsi="Arial Narrow" w:cs="Arial"/>
                <w:b/>
                <w:sz w:val="20"/>
                <w:szCs w:val="20"/>
              </w:rPr>
            </w:pPr>
            <w:r w:rsidRPr="00FC6E89">
              <w:rPr>
                <w:rFonts w:ascii="Arial Narrow" w:hAnsi="Arial Narrow" w:cs="Arial"/>
                <w:b/>
                <w:sz w:val="20"/>
                <w:szCs w:val="20"/>
              </w:rPr>
              <w:t>(Tables B.6.1, B.6.2)</w:t>
            </w:r>
          </w:p>
        </w:tc>
        <w:tc>
          <w:tcPr>
            <w:tcW w:w="1136" w:type="dxa"/>
            <w:vMerge w:val="restart"/>
            <w:shd w:val="clear" w:color="auto" w:fill="auto"/>
            <w:vAlign w:val="center"/>
          </w:tcPr>
          <w:p w:rsidR="00C16D64" w:rsidRPr="00FC6E89" w:rsidRDefault="00C16D64" w:rsidP="009061DF">
            <w:pPr>
              <w:keepNext/>
              <w:keepLines/>
              <w:jc w:val="center"/>
              <w:rPr>
                <w:rFonts w:ascii="Arial Narrow" w:hAnsi="Arial Narrow" w:cs="Arial"/>
                <w:b/>
                <w:sz w:val="20"/>
                <w:szCs w:val="20"/>
              </w:rPr>
            </w:pPr>
            <w:r w:rsidRPr="00FC6E89">
              <w:rPr>
                <w:rFonts w:ascii="Arial Narrow" w:hAnsi="Arial Narrow" w:cs="Arial"/>
                <w:b/>
                <w:sz w:val="20"/>
                <w:szCs w:val="20"/>
              </w:rPr>
              <w:t>Exceeds MCID*</w:t>
            </w:r>
            <w:r w:rsidRPr="00FC6E89">
              <w:rPr>
                <w:rFonts w:ascii="Arial Narrow" w:hAnsi="Arial Narrow" w:cs="Arial"/>
                <w:b/>
                <w:sz w:val="20"/>
                <w:szCs w:val="20"/>
                <w:vertAlign w:val="superscript"/>
              </w:rPr>
              <w:t xml:space="preserve"> </w:t>
            </w:r>
            <w:r w:rsidRPr="00FC6E89">
              <w:rPr>
                <w:rFonts w:ascii="Arial Narrow" w:hAnsi="Arial Narrow" w:cs="Arial"/>
                <w:b/>
                <w:sz w:val="20"/>
                <w:szCs w:val="20"/>
              </w:rPr>
              <w:t>versus placebo?</w:t>
            </w:r>
          </w:p>
          <w:p w:rsidR="00C16D64" w:rsidRPr="00FC6E89" w:rsidRDefault="00C16D64" w:rsidP="009061DF">
            <w:pPr>
              <w:keepNext/>
              <w:keepLines/>
              <w:jc w:val="center"/>
              <w:rPr>
                <w:rFonts w:ascii="Arial Narrow" w:hAnsi="Arial Narrow" w:cs="Arial"/>
                <w:b/>
                <w:sz w:val="20"/>
                <w:szCs w:val="20"/>
              </w:rPr>
            </w:pPr>
            <w:r w:rsidRPr="00FC6E89">
              <w:rPr>
                <w:rFonts w:ascii="Arial Narrow" w:hAnsi="Arial Narrow" w:cs="Arial"/>
                <w:b/>
                <w:sz w:val="20"/>
                <w:szCs w:val="20"/>
              </w:rPr>
              <w:t>(Target)</w:t>
            </w:r>
          </w:p>
        </w:tc>
      </w:tr>
      <w:tr w:rsidR="00C16D64" w:rsidRPr="00FC6E89" w:rsidTr="009061DF">
        <w:tc>
          <w:tcPr>
            <w:tcW w:w="1446" w:type="dxa"/>
            <w:vMerge/>
            <w:shd w:val="clear" w:color="auto" w:fill="auto"/>
            <w:vAlign w:val="center"/>
          </w:tcPr>
          <w:p w:rsidR="00C16D64" w:rsidRPr="00FC6E89" w:rsidRDefault="00C16D64" w:rsidP="009061DF">
            <w:pPr>
              <w:keepNext/>
              <w:keepLines/>
              <w:jc w:val="center"/>
              <w:rPr>
                <w:rFonts w:ascii="Arial Narrow" w:hAnsi="Arial Narrow" w:cs="Arial"/>
                <w:sz w:val="20"/>
                <w:szCs w:val="20"/>
              </w:rPr>
            </w:pPr>
          </w:p>
        </w:tc>
        <w:tc>
          <w:tcPr>
            <w:tcW w:w="992" w:type="dxa"/>
            <w:vMerge/>
            <w:shd w:val="clear" w:color="auto" w:fill="auto"/>
          </w:tcPr>
          <w:p w:rsidR="00C16D64" w:rsidRPr="00FC6E89" w:rsidRDefault="00C16D64" w:rsidP="009061DF">
            <w:pPr>
              <w:keepNext/>
              <w:keepLines/>
              <w:jc w:val="center"/>
              <w:rPr>
                <w:rFonts w:ascii="Arial Narrow" w:hAnsi="Arial Narrow" w:cs="Arial"/>
                <w:b/>
                <w:sz w:val="20"/>
                <w:szCs w:val="20"/>
              </w:rPr>
            </w:pPr>
          </w:p>
        </w:tc>
        <w:tc>
          <w:tcPr>
            <w:tcW w:w="1418" w:type="dxa"/>
            <w:shd w:val="clear" w:color="auto" w:fill="auto"/>
            <w:vAlign w:val="center"/>
          </w:tcPr>
          <w:p w:rsidR="00C16D64" w:rsidRPr="00FC6E89" w:rsidRDefault="00C16D64" w:rsidP="009061DF">
            <w:pPr>
              <w:keepNext/>
              <w:keepLines/>
              <w:jc w:val="center"/>
              <w:rPr>
                <w:rFonts w:ascii="Arial Narrow" w:hAnsi="Arial Narrow" w:cs="Arial"/>
                <w:b/>
                <w:sz w:val="20"/>
                <w:szCs w:val="20"/>
              </w:rPr>
            </w:pPr>
            <w:r w:rsidRPr="00FC6E89">
              <w:rPr>
                <w:rFonts w:ascii="Arial Narrow" w:hAnsi="Arial Narrow" w:cs="Arial"/>
                <w:b/>
                <w:sz w:val="20"/>
                <w:szCs w:val="20"/>
              </w:rPr>
              <w:t>LDX 30mg v</w:t>
            </w:r>
          </w:p>
          <w:p w:rsidR="00C16D64" w:rsidRPr="00FC6E89" w:rsidRDefault="00C16D64" w:rsidP="009061DF">
            <w:pPr>
              <w:keepNext/>
              <w:keepLines/>
              <w:jc w:val="center"/>
              <w:rPr>
                <w:rFonts w:ascii="Arial Narrow" w:hAnsi="Arial Narrow" w:cs="Arial"/>
                <w:b/>
                <w:sz w:val="20"/>
                <w:szCs w:val="20"/>
              </w:rPr>
            </w:pPr>
            <w:r w:rsidRPr="00FC6E89">
              <w:rPr>
                <w:rFonts w:ascii="Arial Narrow" w:hAnsi="Arial Narrow" w:cs="Arial"/>
                <w:b/>
                <w:sz w:val="20"/>
                <w:szCs w:val="20"/>
              </w:rPr>
              <w:t>PBO</w:t>
            </w:r>
          </w:p>
        </w:tc>
        <w:tc>
          <w:tcPr>
            <w:tcW w:w="1417" w:type="dxa"/>
            <w:shd w:val="clear" w:color="auto" w:fill="auto"/>
            <w:vAlign w:val="center"/>
          </w:tcPr>
          <w:p w:rsidR="00C16D64" w:rsidRPr="00FC6E89" w:rsidRDefault="00C16D64" w:rsidP="009061DF">
            <w:pPr>
              <w:keepNext/>
              <w:keepLines/>
              <w:jc w:val="center"/>
              <w:rPr>
                <w:rFonts w:ascii="Arial Narrow" w:hAnsi="Arial Narrow" w:cs="Arial"/>
                <w:b/>
                <w:sz w:val="20"/>
                <w:szCs w:val="20"/>
              </w:rPr>
            </w:pPr>
            <w:r w:rsidRPr="00FC6E89">
              <w:rPr>
                <w:rFonts w:ascii="Arial Narrow" w:hAnsi="Arial Narrow" w:cs="Arial"/>
                <w:b/>
                <w:sz w:val="20"/>
                <w:szCs w:val="20"/>
              </w:rPr>
              <w:t>LDX 50mg v PBO</w:t>
            </w:r>
          </w:p>
        </w:tc>
        <w:tc>
          <w:tcPr>
            <w:tcW w:w="1418" w:type="dxa"/>
            <w:shd w:val="clear" w:color="auto" w:fill="auto"/>
            <w:vAlign w:val="center"/>
          </w:tcPr>
          <w:p w:rsidR="00C16D64" w:rsidRPr="00FC6E89" w:rsidRDefault="00C16D64" w:rsidP="009061DF">
            <w:pPr>
              <w:keepNext/>
              <w:keepLines/>
              <w:jc w:val="center"/>
              <w:rPr>
                <w:rFonts w:ascii="Arial Narrow" w:hAnsi="Arial Narrow" w:cs="Arial"/>
                <w:b/>
                <w:sz w:val="20"/>
                <w:szCs w:val="20"/>
              </w:rPr>
            </w:pPr>
            <w:r w:rsidRPr="00FC6E89">
              <w:rPr>
                <w:rFonts w:ascii="Arial Narrow" w:hAnsi="Arial Narrow" w:cs="Arial"/>
                <w:b/>
                <w:sz w:val="20"/>
                <w:szCs w:val="20"/>
              </w:rPr>
              <w:t>LDX 70mg v</w:t>
            </w:r>
          </w:p>
          <w:p w:rsidR="00C16D64" w:rsidRPr="00FC6E89" w:rsidRDefault="00C16D64" w:rsidP="009061DF">
            <w:pPr>
              <w:keepNext/>
              <w:keepLines/>
              <w:jc w:val="center"/>
              <w:rPr>
                <w:rFonts w:ascii="Arial Narrow" w:hAnsi="Arial Narrow" w:cs="Arial"/>
                <w:b/>
                <w:sz w:val="20"/>
                <w:szCs w:val="20"/>
              </w:rPr>
            </w:pPr>
            <w:r w:rsidRPr="00FC6E89">
              <w:rPr>
                <w:rFonts w:ascii="Arial Narrow" w:hAnsi="Arial Narrow" w:cs="Arial"/>
                <w:b/>
                <w:sz w:val="20"/>
                <w:szCs w:val="20"/>
              </w:rPr>
              <w:t>PBO</w:t>
            </w:r>
          </w:p>
        </w:tc>
        <w:tc>
          <w:tcPr>
            <w:tcW w:w="1417" w:type="dxa"/>
            <w:vMerge/>
            <w:shd w:val="clear" w:color="auto" w:fill="auto"/>
          </w:tcPr>
          <w:p w:rsidR="00C16D64" w:rsidRPr="00FC6E89" w:rsidRDefault="00C16D64" w:rsidP="009061DF">
            <w:pPr>
              <w:keepNext/>
              <w:keepLines/>
              <w:jc w:val="center"/>
              <w:rPr>
                <w:rFonts w:ascii="Arial Narrow" w:hAnsi="Arial Narrow" w:cs="Arial"/>
                <w:b/>
                <w:sz w:val="20"/>
                <w:szCs w:val="20"/>
              </w:rPr>
            </w:pPr>
          </w:p>
        </w:tc>
        <w:tc>
          <w:tcPr>
            <w:tcW w:w="1136" w:type="dxa"/>
            <w:vMerge/>
            <w:shd w:val="clear" w:color="auto" w:fill="auto"/>
          </w:tcPr>
          <w:p w:rsidR="00C16D64" w:rsidRPr="00FC6E89" w:rsidRDefault="00C16D64" w:rsidP="009061DF">
            <w:pPr>
              <w:keepNext/>
              <w:keepLines/>
              <w:jc w:val="center"/>
              <w:rPr>
                <w:rFonts w:ascii="Arial Narrow" w:hAnsi="Arial Narrow" w:cs="Arial"/>
                <w:b/>
                <w:sz w:val="20"/>
                <w:szCs w:val="20"/>
              </w:rPr>
            </w:pPr>
          </w:p>
        </w:tc>
      </w:tr>
      <w:tr w:rsidR="00C16D64" w:rsidRPr="00FC6E89" w:rsidTr="009061DF">
        <w:tc>
          <w:tcPr>
            <w:tcW w:w="9244" w:type="dxa"/>
            <w:gridSpan w:val="7"/>
            <w:shd w:val="clear" w:color="auto" w:fill="auto"/>
            <w:vAlign w:val="center"/>
          </w:tcPr>
          <w:p w:rsidR="00C16D64" w:rsidRPr="00FC6E89" w:rsidRDefault="00C16D64" w:rsidP="009061DF">
            <w:pPr>
              <w:keepNext/>
              <w:keepLines/>
              <w:rPr>
                <w:rFonts w:ascii="Arial Narrow" w:hAnsi="Arial Narrow" w:cs="Arial"/>
                <w:b/>
                <w:sz w:val="20"/>
                <w:szCs w:val="20"/>
              </w:rPr>
            </w:pPr>
            <w:r w:rsidRPr="00FC6E89">
              <w:rPr>
                <w:rFonts w:ascii="Arial Narrow" w:hAnsi="Arial Narrow" w:cs="Arial"/>
                <w:b/>
                <w:sz w:val="20"/>
                <w:szCs w:val="20"/>
              </w:rPr>
              <w:t>ADHD-RS-IV total score mean change (SD) from baseline to endpoint</w:t>
            </w:r>
          </w:p>
        </w:tc>
      </w:tr>
      <w:tr w:rsidR="00C16D64" w:rsidRPr="00FC6E89" w:rsidTr="009061DF">
        <w:tc>
          <w:tcPr>
            <w:tcW w:w="1446" w:type="dxa"/>
            <w:shd w:val="clear" w:color="auto" w:fill="FFFFFF" w:themeFill="background1"/>
            <w:vAlign w:val="center"/>
          </w:tcPr>
          <w:p w:rsidR="00C16D64" w:rsidRPr="00FC6E89" w:rsidRDefault="00C16D64" w:rsidP="009061DF">
            <w:pPr>
              <w:keepNext/>
              <w:keepLines/>
              <w:ind w:left="142"/>
              <w:rPr>
                <w:rFonts w:ascii="Arial Narrow" w:hAnsi="Arial Narrow" w:cs="Arial"/>
                <w:sz w:val="20"/>
                <w:szCs w:val="20"/>
              </w:rPr>
            </w:pPr>
            <w:r w:rsidRPr="00FC6E89">
              <w:rPr>
                <w:rFonts w:ascii="Arial Narrow" w:hAnsi="Arial Narrow" w:cs="Arial"/>
                <w:sz w:val="20"/>
                <w:szCs w:val="20"/>
              </w:rPr>
              <w:t>325 (6-17yrs)</w:t>
            </w:r>
          </w:p>
        </w:tc>
        <w:tc>
          <w:tcPr>
            <w:tcW w:w="992" w:type="dxa"/>
            <w:shd w:val="clear" w:color="auto" w:fill="FFFFFF" w:themeFill="background1"/>
            <w:vAlign w:val="center"/>
          </w:tcPr>
          <w:p w:rsidR="00C16D64" w:rsidRPr="00FC6E89" w:rsidRDefault="00C16D64" w:rsidP="009061DF">
            <w:pPr>
              <w:keepNext/>
              <w:keepLines/>
              <w:jc w:val="center"/>
              <w:rPr>
                <w:rFonts w:ascii="Arial Narrow" w:hAnsi="Arial Narrow" w:cs="Arial"/>
                <w:sz w:val="20"/>
                <w:szCs w:val="20"/>
              </w:rPr>
            </w:pPr>
            <w:r w:rsidRPr="00FC6E89">
              <w:rPr>
                <w:rFonts w:ascii="Arial Narrow" w:hAnsi="Arial Narrow" w:cs="Arial"/>
                <w:sz w:val="20"/>
                <w:szCs w:val="20"/>
              </w:rPr>
              <w:t>Mean Diff</w:t>
            </w:r>
            <w:r w:rsidRPr="00FC6E89">
              <w:rPr>
                <w:rFonts w:ascii="Arial Narrow" w:hAnsi="Arial Narrow" w:cs="Arial"/>
                <w:sz w:val="20"/>
                <w:szCs w:val="20"/>
                <w:vertAlign w:val="superscript"/>
              </w:rPr>
              <w:t>#</w:t>
            </w:r>
          </w:p>
        </w:tc>
        <w:tc>
          <w:tcPr>
            <w:tcW w:w="4253" w:type="dxa"/>
            <w:gridSpan w:val="3"/>
            <w:shd w:val="clear" w:color="auto" w:fill="FFFFFF" w:themeFill="background1"/>
            <w:vAlign w:val="center"/>
          </w:tcPr>
          <w:p w:rsidR="00C16D64" w:rsidRPr="00FC6E89" w:rsidRDefault="00C16D64" w:rsidP="009061DF">
            <w:pPr>
              <w:keepNext/>
              <w:keepLines/>
              <w:jc w:val="center"/>
              <w:rPr>
                <w:rFonts w:ascii="Arial Narrow" w:hAnsi="Arial Narrow" w:cs="Arial"/>
                <w:b/>
                <w:sz w:val="20"/>
                <w:szCs w:val="20"/>
              </w:rPr>
            </w:pPr>
            <w:r w:rsidRPr="00FC6E89">
              <w:rPr>
                <w:rFonts w:ascii="Arial Narrow" w:hAnsi="Arial Narrow" w:cs="Arial"/>
                <w:b/>
                <w:sz w:val="20"/>
                <w:szCs w:val="20"/>
              </w:rPr>
              <w:t xml:space="preserve">-18.6 (-21.5, -15.7) </w:t>
            </w:r>
          </w:p>
        </w:tc>
        <w:tc>
          <w:tcPr>
            <w:tcW w:w="1417" w:type="dxa"/>
            <w:shd w:val="clear" w:color="auto" w:fill="FFFFFF" w:themeFill="background1"/>
            <w:vAlign w:val="center"/>
          </w:tcPr>
          <w:p w:rsidR="00C16D64" w:rsidRPr="00FC6E89" w:rsidRDefault="00C16D64" w:rsidP="009061DF">
            <w:pPr>
              <w:keepNext/>
              <w:keepLines/>
              <w:jc w:val="center"/>
              <w:rPr>
                <w:rFonts w:ascii="Arial Narrow" w:hAnsi="Arial Narrow" w:cs="Arial"/>
                <w:sz w:val="20"/>
                <w:szCs w:val="20"/>
              </w:rPr>
            </w:pPr>
            <w:r w:rsidRPr="00FC6E89">
              <w:rPr>
                <w:rFonts w:ascii="Arial Narrow" w:hAnsi="Arial Narrow" w:cs="Arial"/>
                <w:b/>
                <w:sz w:val="20"/>
                <w:szCs w:val="20"/>
              </w:rPr>
              <w:t>-5.8 (-9.0, -2.6)</w:t>
            </w:r>
          </w:p>
        </w:tc>
        <w:tc>
          <w:tcPr>
            <w:tcW w:w="1136" w:type="dxa"/>
            <w:shd w:val="clear" w:color="auto" w:fill="FFFFFF" w:themeFill="background1"/>
            <w:vAlign w:val="center"/>
          </w:tcPr>
          <w:p w:rsidR="00C16D64" w:rsidRPr="00FC6E89" w:rsidRDefault="00C16D64" w:rsidP="009061DF">
            <w:pPr>
              <w:keepNext/>
              <w:keepLines/>
              <w:jc w:val="center"/>
              <w:rPr>
                <w:rFonts w:ascii="Arial Narrow" w:hAnsi="Arial Narrow" w:cs="Arial"/>
                <w:sz w:val="20"/>
                <w:szCs w:val="20"/>
              </w:rPr>
            </w:pPr>
            <w:r w:rsidRPr="00FC6E89">
              <w:rPr>
                <w:rFonts w:ascii="Arial Narrow" w:hAnsi="Arial Narrow" w:cs="Arial"/>
                <w:sz w:val="20"/>
                <w:szCs w:val="20"/>
              </w:rPr>
              <w:t>Yes (10-15)</w:t>
            </w:r>
          </w:p>
        </w:tc>
      </w:tr>
      <w:tr w:rsidR="00C16D64" w:rsidRPr="00FC6E89" w:rsidTr="009061DF">
        <w:tc>
          <w:tcPr>
            <w:tcW w:w="1446" w:type="dxa"/>
            <w:shd w:val="clear" w:color="auto" w:fill="FFFFFF" w:themeFill="background1"/>
            <w:vAlign w:val="center"/>
          </w:tcPr>
          <w:p w:rsidR="00C16D64" w:rsidRPr="00FC6E89" w:rsidRDefault="00C16D64" w:rsidP="009061DF">
            <w:pPr>
              <w:keepNext/>
              <w:keepLines/>
              <w:ind w:left="142"/>
              <w:rPr>
                <w:rFonts w:ascii="Arial Narrow" w:hAnsi="Arial Narrow" w:cs="Arial"/>
                <w:sz w:val="20"/>
                <w:szCs w:val="20"/>
              </w:rPr>
            </w:pPr>
            <w:r w:rsidRPr="00FC6E89">
              <w:rPr>
                <w:rFonts w:ascii="Arial Narrow" w:hAnsi="Arial Narrow" w:cs="Arial"/>
                <w:sz w:val="20"/>
                <w:szCs w:val="20"/>
              </w:rPr>
              <w:t xml:space="preserve">325 (6-12 </w:t>
            </w:r>
            <w:proofErr w:type="spellStart"/>
            <w:r w:rsidRPr="00FC6E89">
              <w:rPr>
                <w:rFonts w:ascii="Arial Narrow" w:hAnsi="Arial Narrow" w:cs="Arial"/>
                <w:sz w:val="20"/>
                <w:szCs w:val="20"/>
              </w:rPr>
              <w:t>yrs</w:t>
            </w:r>
            <w:proofErr w:type="spellEnd"/>
            <w:r w:rsidRPr="00FC6E89">
              <w:rPr>
                <w:rFonts w:ascii="Arial Narrow" w:hAnsi="Arial Narrow" w:cs="Arial"/>
                <w:sz w:val="20"/>
                <w:szCs w:val="20"/>
              </w:rPr>
              <w:t>)</w:t>
            </w:r>
          </w:p>
        </w:tc>
        <w:tc>
          <w:tcPr>
            <w:tcW w:w="992" w:type="dxa"/>
            <w:shd w:val="clear" w:color="auto" w:fill="FFFFFF" w:themeFill="background1"/>
            <w:vAlign w:val="center"/>
          </w:tcPr>
          <w:p w:rsidR="00C16D64" w:rsidRPr="00FC6E89" w:rsidRDefault="00C16D64" w:rsidP="009061DF">
            <w:pPr>
              <w:keepNext/>
              <w:keepLines/>
              <w:jc w:val="center"/>
              <w:rPr>
                <w:rFonts w:ascii="Arial Narrow" w:hAnsi="Arial Narrow" w:cs="Arial"/>
                <w:sz w:val="20"/>
                <w:szCs w:val="20"/>
              </w:rPr>
            </w:pPr>
            <w:r w:rsidRPr="00FC6E89">
              <w:rPr>
                <w:rFonts w:ascii="Arial Narrow" w:hAnsi="Arial Narrow" w:cs="Arial"/>
                <w:sz w:val="20"/>
                <w:szCs w:val="20"/>
              </w:rPr>
              <w:t>Mean Diff</w:t>
            </w:r>
            <w:r w:rsidRPr="00FC6E89">
              <w:rPr>
                <w:rFonts w:ascii="Arial Narrow" w:hAnsi="Arial Narrow" w:cs="Arial"/>
                <w:sz w:val="20"/>
                <w:szCs w:val="20"/>
                <w:vertAlign w:val="superscript"/>
              </w:rPr>
              <w:t>#</w:t>
            </w:r>
          </w:p>
        </w:tc>
        <w:tc>
          <w:tcPr>
            <w:tcW w:w="4253" w:type="dxa"/>
            <w:gridSpan w:val="3"/>
            <w:shd w:val="clear" w:color="auto" w:fill="FFFFFF" w:themeFill="background1"/>
            <w:vAlign w:val="center"/>
          </w:tcPr>
          <w:p w:rsidR="00C16D64" w:rsidRPr="00136DB8" w:rsidRDefault="00136DB8" w:rsidP="009061DF">
            <w:pPr>
              <w:jc w:val="center"/>
              <w:rPr>
                <w:rFonts w:ascii="Arial Narrow" w:hAnsi="Arial Narrow" w:cs="Arial"/>
                <w:b/>
                <w:sz w:val="20"/>
                <w:szCs w:val="20"/>
                <w:highlight w:val="black"/>
              </w:rPr>
            </w:pPr>
            <w:r>
              <w:rPr>
                <w:rFonts w:ascii="Arial Narrow" w:hAnsi="Arial Narrow" w:cs="Arial"/>
                <w:b/>
                <w:noProof/>
                <w:color w:val="000000"/>
                <w:sz w:val="20"/>
                <w:szCs w:val="20"/>
                <w:highlight w:val="black"/>
              </w:rPr>
              <w:t>''''''''''' '''''''''''' '''''''''''</w:t>
            </w:r>
          </w:p>
        </w:tc>
        <w:tc>
          <w:tcPr>
            <w:tcW w:w="1417" w:type="dxa"/>
            <w:shd w:val="clear" w:color="auto" w:fill="FFFFFF" w:themeFill="background1"/>
            <w:vAlign w:val="center"/>
          </w:tcPr>
          <w:p w:rsidR="00C16D64" w:rsidRPr="00136DB8" w:rsidRDefault="00136DB8" w:rsidP="009061DF">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 '''''''''''' '''''''''</w:t>
            </w:r>
          </w:p>
        </w:tc>
        <w:tc>
          <w:tcPr>
            <w:tcW w:w="1136" w:type="dxa"/>
            <w:shd w:val="clear" w:color="auto" w:fill="FFFFFF" w:themeFill="background1"/>
            <w:vAlign w:val="center"/>
          </w:tcPr>
          <w:p w:rsidR="00C16D64" w:rsidRPr="00FC6E89" w:rsidRDefault="00C16D64" w:rsidP="009061DF">
            <w:pPr>
              <w:keepNext/>
              <w:keepLines/>
              <w:jc w:val="center"/>
              <w:rPr>
                <w:rFonts w:ascii="Arial Narrow" w:hAnsi="Arial Narrow" w:cs="Arial"/>
                <w:sz w:val="20"/>
                <w:szCs w:val="20"/>
              </w:rPr>
            </w:pPr>
            <w:r w:rsidRPr="00FC6E89">
              <w:rPr>
                <w:rFonts w:ascii="Arial Narrow" w:hAnsi="Arial Narrow" w:cs="Arial"/>
                <w:sz w:val="20"/>
                <w:szCs w:val="20"/>
              </w:rPr>
              <w:t>Yes (10-15)</w:t>
            </w:r>
          </w:p>
        </w:tc>
      </w:tr>
      <w:tr w:rsidR="00C16D64" w:rsidRPr="00FC6E89" w:rsidTr="009061DF">
        <w:tc>
          <w:tcPr>
            <w:tcW w:w="1446" w:type="dxa"/>
            <w:shd w:val="clear" w:color="auto" w:fill="FFFFFF" w:themeFill="background1"/>
            <w:vAlign w:val="center"/>
          </w:tcPr>
          <w:p w:rsidR="00C16D64" w:rsidRPr="00FC6E89" w:rsidRDefault="00C16D64" w:rsidP="009061DF">
            <w:pPr>
              <w:keepNext/>
              <w:keepLines/>
              <w:ind w:left="142"/>
              <w:rPr>
                <w:rFonts w:ascii="Arial Narrow" w:hAnsi="Arial Narrow" w:cs="Arial"/>
                <w:sz w:val="20"/>
                <w:szCs w:val="20"/>
              </w:rPr>
            </w:pPr>
            <w:r w:rsidRPr="00FC6E89">
              <w:rPr>
                <w:rFonts w:ascii="Arial Narrow" w:hAnsi="Arial Narrow" w:cs="Arial"/>
                <w:sz w:val="20"/>
                <w:szCs w:val="20"/>
              </w:rPr>
              <w:t xml:space="preserve">301 (6-12 </w:t>
            </w:r>
            <w:proofErr w:type="spellStart"/>
            <w:r w:rsidRPr="00FC6E89">
              <w:rPr>
                <w:rFonts w:ascii="Arial Narrow" w:hAnsi="Arial Narrow" w:cs="Arial"/>
                <w:sz w:val="20"/>
                <w:szCs w:val="20"/>
              </w:rPr>
              <w:t>yrs</w:t>
            </w:r>
            <w:proofErr w:type="spellEnd"/>
            <w:r w:rsidRPr="00FC6E89">
              <w:rPr>
                <w:rFonts w:ascii="Arial Narrow" w:hAnsi="Arial Narrow" w:cs="Arial"/>
                <w:sz w:val="20"/>
                <w:szCs w:val="20"/>
              </w:rPr>
              <w:t>)</w:t>
            </w:r>
          </w:p>
        </w:tc>
        <w:tc>
          <w:tcPr>
            <w:tcW w:w="992" w:type="dxa"/>
            <w:shd w:val="clear" w:color="auto" w:fill="FFFFFF" w:themeFill="background1"/>
            <w:vAlign w:val="center"/>
          </w:tcPr>
          <w:p w:rsidR="00C16D64" w:rsidRPr="00FC6E89" w:rsidRDefault="00C16D64" w:rsidP="009061DF">
            <w:pPr>
              <w:keepNext/>
              <w:keepLines/>
              <w:jc w:val="center"/>
              <w:rPr>
                <w:rFonts w:ascii="Arial Narrow" w:hAnsi="Arial Narrow" w:cs="Arial"/>
                <w:sz w:val="20"/>
                <w:szCs w:val="20"/>
              </w:rPr>
            </w:pPr>
            <w:r w:rsidRPr="00FC6E89">
              <w:rPr>
                <w:rFonts w:ascii="Arial Narrow" w:hAnsi="Arial Narrow" w:cs="Arial"/>
                <w:sz w:val="20"/>
                <w:szCs w:val="20"/>
              </w:rPr>
              <w:t>Mean Diff</w:t>
            </w:r>
            <w:r w:rsidRPr="00FC6E89">
              <w:rPr>
                <w:rFonts w:ascii="Arial Narrow" w:hAnsi="Arial Narrow" w:cs="Arial"/>
                <w:sz w:val="20"/>
                <w:szCs w:val="20"/>
                <w:vertAlign w:val="superscript"/>
              </w:rPr>
              <w:t>#</w:t>
            </w:r>
          </w:p>
        </w:tc>
        <w:tc>
          <w:tcPr>
            <w:tcW w:w="1418" w:type="dxa"/>
            <w:shd w:val="clear" w:color="auto" w:fill="FFFFFF" w:themeFill="background1"/>
            <w:vAlign w:val="center"/>
          </w:tcPr>
          <w:p w:rsidR="00C16D64" w:rsidRPr="00FC6E89" w:rsidRDefault="00C16D64" w:rsidP="009061DF">
            <w:pPr>
              <w:keepNext/>
              <w:keepLines/>
              <w:jc w:val="center"/>
              <w:rPr>
                <w:rFonts w:ascii="Arial Narrow" w:hAnsi="Arial Narrow" w:cs="Arial"/>
                <w:b/>
                <w:sz w:val="20"/>
                <w:szCs w:val="20"/>
              </w:rPr>
            </w:pPr>
            <w:r w:rsidRPr="00FC6E89">
              <w:rPr>
                <w:rFonts w:ascii="Arial Narrow" w:hAnsi="Arial Narrow" w:cs="Arial"/>
                <w:b/>
                <w:sz w:val="20"/>
                <w:szCs w:val="20"/>
              </w:rPr>
              <w:t>-15.6(-19.4, -11.7)</w:t>
            </w:r>
          </w:p>
        </w:tc>
        <w:tc>
          <w:tcPr>
            <w:tcW w:w="1417" w:type="dxa"/>
            <w:shd w:val="clear" w:color="auto" w:fill="FFFFFF" w:themeFill="background1"/>
            <w:vAlign w:val="center"/>
          </w:tcPr>
          <w:p w:rsidR="00C16D64" w:rsidRPr="00FC6E89" w:rsidRDefault="00C16D64" w:rsidP="009061DF">
            <w:pPr>
              <w:keepNext/>
              <w:keepLines/>
              <w:jc w:val="center"/>
              <w:rPr>
                <w:rFonts w:ascii="Arial Narrow" w:hAnsi="Arial Narrow" w:cs="Arial"/>
                <w:b/>
                <w:sz w:val="20"/>
                <w:szCs w:val="20"/>
              </w:rPr>
            </w:pPr>
            <w:r w:rsidRPr="00FC6E89">
              <w:rPr>
                <w:rFonts w:ascii="Arial Narrow" w:hAnsi="Arial Narrow" w:cs="Arial"/>
                <w:b/>
                <w:sz w:val="20"/>
                <w:szCs w:val="20"/>
              </w:rPr>
              <w:t>-17.2(-21.3, -13.1)</w:t>
            </w:r>
          </w:p>
        </w:tc>
        <w:tc>
          <w:tcPr>
            <w:tcW w:w="1418" w:type="dxa"/>
            <w:shd w:val="clear" w:color="auto" w:fill="FFFFFF" w:themeFill="background1"/>
            <w:vAlign w:val="center"/>
          </w:tcPr>
          <w:p w:rsidR="00C16D64" w:rsidRPr="00FC6E89" w:rsidRDefault="00C16D64" w:rsidP="009061DF">
            <w:pPr>
              <w:keepNext/>
              <w:keepLines/>
              <w:jc w:val="center"/>
              <w:rPr>
                <w:rFonts w:ascii="Arial Narrow" w:hAnsi="Arial Narrow" w:cs="Arial"/>
                <w:b/>
                <w:sz w:val="20"/>
                <w:szCs w:val="20"/>
              </w:rPr>
            </w:pPr>
            <w:r w:rsidRPr="00FC6E89">
              <w:rPr>
                <w:rFonts w:ascii="Arial Narrow" w:hAnsi="Arial Narrow" w:cs="Arial"/>
                <w:b/>
                <w:sz w:val="20"/>
                <w:szCs w:val="20"/>
              </w:rPr>
              <w:t>-20.5(-24.5, -16.5)</w:t>
            </w:r>
          </w:p>
        </w:tc>
        <w:tc>
          <w:tcPr>
            <w:tcW w:w="1417" w:type="dxa"/>
            <w:shd w:val="clear" w:color="auto" w:fill="FFFFFF" w:themeFill="background1"/>
            <w:vAlign w:val="center"/>
          </w:tcPr>
          <w:p w:rsidR="00C16D64" w:rsidRPr="00FC6E89" w:rsidRDefault="00C16D64" w:rsidP="009061DF">
            <w:pPr>
              <w:keepNext/>
              <w:keepLines/>
              <w:jc w:val="center"/>
              <w:rPr>
                <w:rFonts w:ascii="Arial Narrow" w:hAnsi="Arial Narrow" w:cs="Arial"/>
                <w:sz w:val="20"/>
                <w:szCs w:val="20"/>
              </w:rPr>
            </w:pPr>
            <w:r w:rsidRPr="00FC6E89">
              <w:rPr>
                <w:rFonts w:ascii="Arial Narrow" w:hAnsi="Arial Narrow" w:cs="Arial"/>
                <w:sz w:val="20"/>
                <w:szCs w:val="20"/>
              </w:rPr>
              <w:t>-</w:t>
            </w:r>
          </w:p>
        </w:tc>
        <w:tc>
          <w:tcPr>
            <w:tcW w:w="1136" w:type="dxa"/>
            <w:shd w:val="clear" w:color="auto" w:fill="FFFFFF" w:themeFill="background1"/>
            <w:vAlign w:val="center"/>
          </w:tcPr>
          <w:p w:rsidR="00C16D64" w:rsidRPr="00FC6E89" w:rsidRDefault="00C16D64" w:rsidP="009061DF">
            <w:pPr>
              <w:keepNext/>
              <w:keepLines/>
              <w:jc w:val="center"/>
              <w:rPr>
                <w:rFonts w:ascii="Arial Narrow" w:hAnsi="Arial Narrow" w:cs="Arial"/>
                <w:sz w:val="20"/>
                <w:szCs w:val="20"/>
              </w:rPr>
            </w:pPr>
            <w:r w:rsidRPr="00FC6E89">
              <w:rPr>
                <w:rFonts w:ascii="Arial Narrow" w:hAnsi="Arial Narrow" w:cs="Arial"/>
                <w:sz w:val="20"/>
                <w:szCs w:val="20"/>
              </w:rPr>
              <w:t>Yes (10-15)</w:t>
            </w:r>
          </w:p>
        </w:tc>
      </w:tr>
      <w:tr w:rsidR="00C16D64" w:rsidRPr="00FC6E89" w:rsidTr="009061DF">
        <w:tc>
          <w:tcPr>
            <w:tcW w:w="1446" w:type="dxa"/>
            <w:shd w:val="clear" w:color="auto" w:fill="FFFFFF" w:themeFill="background1"/>
            <w:vAlign w:val="center"/>
          </w:tcPr>
          <w:p w:rsidR="00C16D64" w:rsidRPr="00FC6E89" w:rsidRDefault="00C16D64" w:rsidP="009061DF">
            <w:pPr>
              <w:keepNext/>
              <w:keepLines/>
              <w:ind w:left="142"/>
              <w:rPr>
                <w:rFonts w:ascii="Arial Narrow" w:hAnsi="Arial Narrow" w:cs="Arial"/>
                <w:sz w:val="20"/>
                <w:szCs w:val="20"/>
              </w:rPr>
            </w:pPr>
            <w:r w:rsidRPr="00FC6E89">
              <w:rPr>
                <w:rFonts w:ascii="Arial Narrow" w:hAnsi="Arial Narrow" w:cs="Arial"/>
                <w:sz w:val="20"/>
                <w:szCs w:val="20"/>
              </w:rPr>
              <w:t xml:space="preserve">325 (13-17 </w:t>
            </w:r>
            <w:proofErr w:type="spellStart"/>
            <w:r w:rsidRPr="00FC6E89">
              <w:rPr>
                <w:rFonts w:ascii="Arial Narrow" w:hAnsi="Arial Narrow" w:cs="Arial"/>
                <w:sz w:val="20"/>
                <w:szCs w:val="20"/>
              </w:rPr>
              <w:t>yrs</w:t>
            </w:r>
            <w:proofErr w:type="spellEnd"/>
            <w:r w:rsidRPr="00FC6E89">
              <w:rPr>
                <w:rFonts w:ascii="Arial Narrow" w:hAnsi="Arial Narrow" w:cs="Arial"/>
                <w:sz w:val="20"/>
                <w:szCs w:val="20"/>
              </w:rPr>
              <w:t>)</w:t>
            </w:r>
          </w:p>
        </w:tc>
        <w:tc>
          <w:tcPr>
            <w:tcW w:w="992" w:type="dxa"/>
            <w:shd w:val="clear" w:color="auto" w:fill="FFFFFF" w:themeFill="background1"/>
            <w:vAlign w:val="center"/>
          </w:tcPr>
          <w:p w:rsidR="00C16D64" w:rsidRPr="00FC6E89" w:rsidRDefault="00C16D64" w:rsidP="009061DF">
            <w:pPr>
              <w:keepNext/>
              <w:keepLines/>
              <w:jc w:val="center"/>
              <w:rPr>
                <w:rFonts w:ascii="Arial Narrow" w:hAnsi="Arial Narrow" w:cs="Arial"/>
                <w:sz w:val="20"/>
                <w:szCs w:val="20"/>
              </w:rPr>
            </w:pPr>
            <w:r w:rsidRPr="00FC6E89">
              <w:rPr>
                <w:rFonts w:ascii="Arial Narrow" w:hAnsi="Arial Narrow" w:cs="Arial"/>
                <w:sz w:val="20"/>
                <w:szCs w:val="20"/>
              </w:rPr>
              <w:t>Mean Diff</w:t>
            </w:r>
            <w:r w:rsidRPr="00FC6E89">
              <w:rPr>
                <w:rFonts w:ascii="Arial Narrow" w:hAnsi="Arial Narrow" w:cs="Arial"/>
                <w:sz w:val="20"/>
                <w:szCs w:val="20"/>
                <w:vertAlign w:val="superscript"/>
              </w:rPr>
              <w:t>#</w:t>
            </w:r>
          </w:p>
        </w:tc>
        <w:tc>
          <w:tcPr>
            <w:tcW w:w="4253" w:type="dxa"/>
            <w:gridSpan w:val="3"/>
            <w:shd w:val="clear" w:color="auto" w:fill="FFFFFF" w:themeFill="background1"/>
            <w:vAlign w:val="center"/>
          </w:tcPr>
          <w:p w:rsidR="00C16D64" w:rsidRPr="00136DB8" w:rsidRDefault="00136DB8" w:rsidP="009061DF">
            <w:pPr>
              <w:jc w:val="center"/>
              <w:rPr>
                <w:rFonts w:ascii="Arial Narrow" w:hAnsi="Arial Narrow" w:cs="Arial"/>
                <w:b/>
                <w:sz w:val="20"/>
                <w:szCs w:val="20"/>
                <w:highlight w:val="black"/>
              </w:rPr>
            </w:pPr>
            <w:r>
              <w:rPr>
                <w:rFonts w:ascii="Arial Narrow" w:hAnsi="Arial Narrow" w:cs="Arial"/>
                <w:b/>
                <w:noProof/>
                <w:color w:val="000000"/>
                <w:sz w:val="20"/>
                <w:szCs w:val="20"/>
                <w:highlight w:val="black"/>
              </w:rPr>
              <w:t>'''''''''' ''''''''''''' ''''''''''''</w:t>
            </w:r>
          </w:p>
        </w:tc>
        <w:tc>
          <w:tcPr>
            <w:tcW w:w="1417" w:type="dxa"/>
            <w:shd w:val="clear" w:color="auto" w:fill="FFFFFF" w:themeFill="background1"/>
            <w:vAlign w:val="center"/>
          </w:tcPr>
          <w:p w:rsidR="00C16D64" w:rsidRPr="00136DB8" w:rsidRDefault="00136DB8" w:rsidP="009061DF">
            <w:pPr>
              <w:keepNext/>
              <w:keepLines/>
              <w:jc w:val="center"/>
              <w:rPr>
                <w:rFonts w:ascii="Arial Narrow" w:hAnsi="Arial Narrow" w:cs="Arial"/>
                <w:b/>
                <w:sz w:val="20"/>
                <w:szCs w:val="20"/>
                <w:highlight w:val="black"/>
              </w:rPr>
            </w:pPr>
            <w:r>
              <w:rPr>
                <w:rFonts w:ascii="Arial Narrow" w:hAnsi="Arial Narrow" w:cs="Arial"/>
                <w:b/>
                <w:noProof/>
                <w:color w:val="000000"/>
                <w:sz w:val="20"/>
                <w:szCs w:val="20"/>
                <w:highlight w:val="black"/>
              </w:rPr>
              <w:t>'''''''''' '''''''''''' '''''''''</w:t>
            </w:r>
          </w:p>
        </w:tc>
        <w:tc>
          <w:tcPr>
            <w:tcW w:w="1136" w:type="dxa"/>
            <w:shd w:val="clear" w:color="auto" w:fill="FFFFFF" w:themeFill="background1"/>
            <w:vAlign w:val="center"/>
          </w:tcPr>
          <w:p w:rsidR="00C16D64" w:rsidRPr="00FC6E89" w:rsidRDefault="00C16D64" w:rsidP="009061DF">
            <w:pPr>
              <w:keepNext/>
              <w:keepLines/>
              <w:jc w:val="center"/>
              <w:rPr>
                <w:rFonts w:ascii="Arial Narrow" w:hAnsi="Arial Narrow" w:cs="Arial"/>
                <w:sz w:val="20"/>
                <w:szCs w:val="20"/>
              </w:rPr>
            </w:pPr>
            <w:r w:rsidRPr="00FC6E89">
              <w:rPr>
                <w:rFonts w:ascii="Arial Narrow" w:hAnsi="Arial Narrow" w:cs="Arial"/>
                <w:sz w:val="20"/>
                <w:szCs w:val="20"/>
              </w:rPr>
              <w:t>Yes (10-15)</w:t>
            </w:r>
          </w:p>
        </w:tc>
      </w:tr>
      <w:tr w:rsidR="00C16D64" w:rsidRPr="00FC6E89" w:rsidTr="009061DF">
        <w:tc>
          <w:tcPr>
            <w:tcW w:w="1446" w:type="dxa"/>
            <w:shd w:val="clear" w:color="auto" w:fill="FFFFFF" w:themeFill="background1"/>
            <w:vAlign w:val="center"/>
          </w:tcPr>
          <w:p w:rsidR="00C16D64" w:rsidRPr="00FC6E89" w:rsidRDefault="00C16D64" w:rsidP="009061DF">
            <w:pPr>
              <w:keepNext/>
              <w:keepLines/>
              <w:ind w:left="142"/>
              <w:rPr>
                <w:rFonts w:ascii="Arial Narrow" w:hAnsi="Arial Narrow" w:cs="Arial"/>
                <w:sz w:val="20"/>
                <w:szCs w:val="20"/>
              </w:rPr>
            </w:pPr>
            <w:r w:rsidRPr="00FC6E89">
              <w:rPr>
                <w:rFonts w:ascii="Arial Narrow" w:hAnsi="Arial Narrow" w:cs="Arial"/>
                <w:sz w:val="20"/>
                <w:szCs w:val="20"/>
              </w:rPr>
              <w:t>305 (13-17yrs)</w:t>
            </w:r>
          </w:p>
        </w:tc>
        <w:tc>
          <w:tcPr>
            <w:tcW w:w="992" w:type="dxa"/>
            <w:shd w:val="clear" w:color="auto" w:fill="FFFFFF" w:themeFill="background1"/>
            <w:vAlign w:val="center"/>
          </w:tcPr>
          <w:p w:rsidR="00C16D64" w:rsidRPr="00FC6E89" w:rsidRDefault="00C16D64" w:rsidP="009061DF">
            <w:pPr>
              <w:keepNext/>
              <w:keepLines/>
              <w:jc w:val="center"/>
              <w:rPr>
                <w:rFonts w:ascii="Arial Narrow" w:hAnsi="Arial Narrow" w:cs="Arial"/>
                <w:sz w:val="20"/>
                <w:szCs w:val="20"/>
              </w:rPr>
            </w:pPr>
            <w:r w:rsidRPr="00FC6E89">
              <w:rPr>
                <w:rFonts w:ascii="Arial Narrow" w:hAnsi="Arial Narrow" w:cs="Arial"/>
                <w:sz w:val="20"/>
                <w:szCs w:val="20"/>
              </w:rPr>
              <w:t>Mean Diff</w:t>
            </w:r>
            <w:r w:rsidRPr="00FC6E89">
              <w:rPr>
                <w:rFonts w:ascii="Arial Narrow" w:hAnsi="Arial Narrow" w:cs="Arial"/>
                <w:sz w:val="20"/>
                <w:szCs w:val="20"/>
                <w:vertAlign w:val="superscript"/>
              </w:rPr>
              <w:t>#</w:t>
            </w:r>
          </w:p>
        </w:tc>
        <w:tc>
          <w:tcPr>
            <w:tcW w:w="1418" w:type="dxa"/>
            <w:shd w:val="clear" w:color="auto" w:fill="FFFFFF" w:themeFill="background1"/>
            <w:vAlign w:val="center"/>
          </w:tcPr>
          <w:p w:rsidR="00C16D64" w:rsidRPr="00FC6E89" w:rsidRDefault="00C16D64" w:rsidP="009061DF">
            <w:pPr>
              <w:keepNext/>
              <w:keepLines/>
              <w:jc w:val="center"/>
              <w:rPr>
                <w:rFonts w:ascii="Arial Narrow" w:hAnsi="Arial Narrow" w:cs="Arial"/>
                <w:b/>
                <w:sz w:val="20"/>
                <w:szCs w:val="20"/>
              </w:rPr>
            </w:pPr>
            <w:r w:rsidRPr="00FC6E89">
              <w:rPr>
                <w:rFonts w:ascii="Arial Narrow" w:hAnsi="Arial Narrow" w:cs="Arial"/>
                <w:b/>
                <w:sz w:val="20"/>
                <w:szCs w:val="20"/>
              </w:rPr>
              <w:t>-5.60(-9.41, -1.79)</w:t>
            </w:r>
          </w:p>
        </w:tc>
        <w:tc>
          <w:tcPr>
            <w:tcW w:w="1417" w:type="dxa"/>
            <w:shd w:val="clear" w:color="auto" w:fill="FFFFFF" w:themeFill="background1"/>
            <w:vAlign w:val="center"/>
          </w:tcPr>
          <w:p w:rsidR="00C16D64" w:rsidRPr="00FC6E89" w:rsidRDefault="00C16D64" w:rsidP="009061DF">
            <w:pPr>
              <w:keepNext/>
              <w:keepLines/>
              <w:jc w:val="center"/>
              <w:rPr>
                <w:rFonts w:ascii="Arial Narrow" w:hAnsi="Arial Narrow" w:cs="Arial"/>
                <w:b/>
                <w:sz w:val="20"/>
                <w:szCs w:val="20"/>
              </w:rPr>
            </w:pPr>
            <w:r w:rsidRPr="00FC6E89">
              <w:rPr>
                <w:rFonts w:ascii="Arial Narrow" w:hAnsi="Arial Narrow" w:cs="Arial"/>
                <w:b/>
                <w:sz w:val="20"/>
                <w:szCs w:val="20"/>
              </w:rPr>
              <w:t xml:space="preserve">-7.9(-11.3, -4.6) </w:t>
            </w:r>
          </w:p>
        </w:tc>
        <w:tc>
          <w:tcPr>
            <w:tcW w:w="1418" w:type="dxa"/>
            <w:shd w:val="clear" w:color="auto" w:fill="FFFFFF" w:themeFill="background1"/>
            <w:vAlign w:val="center"/>
          </w:tcPr>
          <w:p w:rsidR="00C16D64" w:rsidRPr="00FC6E89" w:rsidRDefault="00C16D64" w:rsidP="009061DF">
            <w:pPr>
              <w:keepNext/>
              <w:keepLines/>
              <w:jc w:val="center"/>
              <w:rPr>
                <w:rFonts w:ascii="Arial Narrow" w:hAnsi="Arial Narrow" w:cs="Arial"/>
                <w:b/>
                <w:sz w:val="20"/>
                <w:szCs w:val="20"/>
              </w:rPr>
            </w:pPr>
            <w:r w:rsidRPr="00FC6E89">
              <w:rPr>
                <w:rFonts w:ascii="Arial Narrow" w:hAnsi="Arial Narrow" w:cs="Arial"/>
                <w:b/>
                <w:sz w:val="20"/>
                <w:szCs w:val="20"/>
              </w:rPr>
              <w:t>-7.4(-10.8, -4.0))</w:t>
            </w:r>
          </w:p>
        </w:tc>
        <w:tc>
          <w:tcPr>
            <w:tcW w:w="1417" w:type="dxa"/>
            <w:shd w:val="clear" w:color="auto" w:fill="FFFFFF" w:themeFill="background1"/>
            <w:vAlign w:val="center"/>
          </w:tcPr>
          <w:p w:rsidR="00C16D64" w:rsidRPr="00FC6E89" w:rsidRDefault="00C16D64" w:rsidP="009061DF">
            <w:pPr>
              <w:keepNext/>
              <w:keepLines/>
              <w:jc w:val="center"/>
              <w:rPr>
                <w:rFonts w:ascii="Arial Narrow" w:hAnsi="Arial Narrow" w:cs="Arial"/>
                <w:sz w:val="20"/>
                <w:szCs w:val="20"/>
              </w:rPr>
            </w:pPr>
            <w:r w:rsidRPr="00FC6E89">
              <w:rPr>
                <w:rFonts w:ascii="Arial Narrow" w:hAnsi="Arial Narrow" w:cs="Arial"/>
                <w:sz w:val="20"/>
                <w:szCs w:val="20"/>
              </w:rPr>
              <w:t>-</w:t>
            </w:r>
          </w:p>
        </w:tc>
        <w:tc>
          <w:tcPr>
            <w:tcW w:w="1136" w:type="dxa"/>
            <w:shd w:val="clear" w:color="auto" w:fill="FFFFFF" w:themeFill="background1"/>
            <w:vAlign w:val="center"/>
          </w:tcPr>
          <w:p w:rsidR="00C16D64" w:rsidRPr="00FC6E89" w:rsidRDefault="00C16D64" w:rsidP="009061DF">
            <w:pPr>
              <w:keepNext/>
              <w:keepLines/>
              <w:jc w:val="center"/>
              <w:rPr>
                <w:rFonts w:ascii="Arial Narrow" w:hAnsi="Arial Narrow" w:cs="Arial"/>
                <w:b/>
                <w:sz w:val="20"/>
                <w:szCs w:val="20"/>
              </w:rPr>
            </w:pPr>
            <w:r w:rsidRPr="00FC6E89">
              <w:rPr>
                <w:rFonts w:ascii="Arial Narrow" w:hAnsi="Arial Narrow" w:cs="Arial"/>
                <w:b/>
                <w:sz w:val="20"/>
                <w:szCs w:val="20"/>
              </w:rPr>
              <w:t>No (10-15)</w:t>
            </w:r>
          </w:p>
        </w:tc>
      </w:tr>
      <w:tr w:rsidR="00C16D64" w:rsidRPr="00FC6E89" w:rsidTr="009061DF">
        <w:tc>
          <w:tcPr>
            <w:tcW w:w="9244" w:type="dxa"/>
            <w:gridSpan w:val="7"/>
            <w:shd w:val="clear" w:color="auto" w:fill="FFFFFF" w:themeFill="background1"/>
            <w:vAlign w:val="center"/>
          </w:tcPr>
          <w:p w:rsidR="00C16D64" w:rsidRPr="00FC6E89" w:rsidRDefault="00C16D64" w:rsidP="009061DF">
            <w:pPr>
              <w:keepNext/>
              <w:keepLines/>
              <w:rPr>
                <w:rFonts w:ascii="Arial Narrow" w:hAnsi="Arial Narrow" w:cs="Arial"/>
                <w:sz w:val="20"/>
                <w:szCs w:val="20"/>
              </w:rPr>
            </w:pPr>
            <w:r w:rsidRPr="00FC6E89">
              <w:rPr>
                <w:rFonts w:ascii="Arial Narrow" w:hAnsi="Arial Narrow" w:cs="Arial"/>
                <w:b/>
                <w:sz w:val="20"/>
                <w:szCs w:val="20"/>
              </w:rPr>
              <w:t>CGI-I improvement^</w:t>
            </w:r>
          </w:p>
        </w:tc>
      </w:tr>
      <w:tr w:rsidR="00C16D64" w:rsidRPr="00FC6E89" w:rsidTr="009061DF">
        <w:tc>
          <w:tcPr>
            <w:tcW w:w="1446" w:type="dxa"/>
            <w:vMerge w:val="restart"/>
            <w:shd w:val="clear" w:color="auto" w:fill="FFFFFF" w:themeFill="background1"/>
            <w:vAlign w:val="center"/>
          </w:tcPr>
          <w:p w:rsidR="00C16D64" w:rsidRPr="00FC6E89" w:rsidRDefault="00C16D64" w:rsidP="009061DF">
            <w:pPr>
              <w:keepNext/>
              <w:keepLines/>
              <w:ind w:left="142"/>
              <w:rPr>
                <w:rFonts w:ascii="Arial Narrow" w:hAnsi="Arial Narrow" w:cs="Arial"/>
                <w:sz w:val="20"/>
                <w:szCs w:val="20"/>
              </w:rPr>
            </w:pPr>
            <w:r w:rsidRPr="00FC6E89">
              <w:rPr>
                <w:rFonts w:ascii="Arial Narrow" w:hAnsi="Arial Narrow" w:cs="Arial"/>
                <w:sz w:val="20"/>
                <w:szCs w:val="20"/>
              </w:rPr>
              <w:t xml:space="preserve">325 (6-17 </w:t>
            </w:r>
            <w:proofErr w:type="spellStart"/>
            <w:r w:rsidRPr="00FC6E89">
              <w:rPr>
                <w:rFonts w:ascii="Arial Narrow" w:hAnsi="Arial Narrow" w:cs="Arial"/>
                <w:sz w:val="20"/>
                <w:szCs w:val="20"/>
              </w:rPr>
              <w:t>yrs</w:t>
            </w:r>
            <w:proofErr w:type="spellEnd"/>
            <w:r w:rsidRPr="00FC6E89">
              <w:rPr>
                <w:rFonts w:ascii="Arial Narrow" w:hAnsi="Arial Narrow" w:cs="Arial"/>
                <w:sz w:val="20"/>
                <w:szCs w:val="20"/>
              </w:rPr>
              <w:t>)</w:t>
            </w:r>
          </w:p>
        </w:tc>
        <w:tc>
          <w:tcPr>
            <w:tcW w:w="992" w:type="dxa"/>
            <w:tcBorders>
              <w:bottom w:val="dashSmallGap" w:sz="4" w:space="0" w:color="auto"/>
            </w:tcBorders>
            <w:shd w:val="clear" w:color="auto" w:fill="FFFFFF" w:themeFill="background1"/>
            <w:vAlign w:val="center"/>
          </w:tcPr>
          <w:p w:rsidR="00C16D64" w:rsidRPr="00FC6E89" w:rsidRDefault="00C16D64" w:rsidP="009061DF">
            <w:pPr>
              <w:keepNext/>
              <w:keepLines/>
              <w:jc w:val="center"/>
              <w:rPr>
                <w:rFonts w:ascii="Arial Narrow" w:hAnsi="Arial Narrow" w:cs="Arial"/>
                <w:sz w:val="20"/>
                <w:szCs w:val="20"/>
              </w:rPr>
            </w:pPr>
            <w:r w:rsidRPr="00FC6E89">
              <w:rPr>
                <w:rFonts w:ascii="Arial Narrow" w:hAnsi="Arial Narrow" w:cs="Arial"/>
                <w:sz w:val="20"/>
                <w:szCs w:val="20"/>
              </w:rPr>
              <w:t>RD</w:t>
            </w:r>
          </w:p>
        </w:tc>
        <w:tc>
          <w:tcPr>
            <w:tcW w:w="4253" w:type="dxa"/>
            <w:gridSpan w:val="3"/>
            <w:tcBorders>
              <w:bottom w:val="dashSmallGap" w:sz="4" w:space="0" w:color="auto"/>
            </w:tcBorders>
            <w:shd w:val="clear" w:color="auto" w:fill="FFFFFF" w:themeFill="background1"/>
            <w:vAlign w:val="center"/>
          </w:tcPr>
          <w:p w:rsidR="00C16D64" w:rsidRPr="00FC6E89" w:rsidRDefault="00C16D64" w:rsidP="009061DF">
            <w:pPr>
              <w:keepNext/>
              <w:keepLines/>
              <w:jc w:val="center"/>
              <w:rPr>
                <w:rFonts w:ascii="Arial Narrow" w:hAnsi="Arial Narrow" w:cs="Arial"/>
                <w:b/>
                <w:sz w:val="20"/>
                <w:szCs w:val="20"/>
              </w:rPr>
            </w:pPr>
            <w:r w:rsidRPr="00FC6E89">
              <w:rPr>
                <w:rFonts w:ascii="Arial Narrow" w:hAnsi="Arial Narrow" w:cs="Arial"/>
                <w:b/>
                <w:sz w:val="20"/>
                <w:szCs w:val="20"/>
              </w:rPr>
              <w:t>0.64 (0.53, 0.74)</w:t>
            </w:r>
          </w:p>
        </w:tc>
        <w:tc>
          <w:tcPr>
            <w:tcW w:w="1417" w:type="dxa"/>
            <w:shd w:val="clear" w:color="auto" w:fill="FFFFFF" w:themeFill="background1"/>
          </w:tcPr>
          <w:p w:rsidR="00C16D64" w:rsidRPr="00FC6E89" w:rsidRDefault="00C16D64" w:rsidP="009061DF">
            <w:pPr>
              <w:keepNext/>
              <w:keepLines/>
              <w:jc w:val="center"/>
              <w:rPr>
                <w:rFonts w:ascii="Arial Narrow" w:hAnsi="Arial Narrow" w:cs="Arial"/>
                <w:b/>
                <w:sz w:val="20"/>
                <w:szCs w:val="20"/>
              </w:rPr>
            </w:pPr>
            <w:r w:rsidRPr="00FC6E89">
              <w:rPr>
                <w:rFonts w:ascii="Arial Narrow" w:hAnsi="Arial Narrow" w:cs="Arial"/>
                <w:b/>
                <w:sz w:val="20"/>
                <w:szCs w:val="20"/>
              </w:rPr>
              <w:t>0.17 (0.05, 0.3)</w:t>
            </w:r>
          </w:p>
        </w:tc>
        <w:tc>
          <w:tcPr>
            <w:tcW w:w="1136" w:type="dxa"/>
            <w:vMerge w:val="restart"/>
            <w:shd w:val="clear" w:color="auto" w:fill="FFFFFF" w:themeFill="background1"/>
            <w:vAlign w:val="center"/>
          </w:tcPr>
          <w:p w:rsidR="00C16D64" w:rsidRPr="00FC6E89" w:rsidRDefault="00C16D64" w:rsidP="009061DF">
            <w:pPr>
              <w:keepNext/>
              <w:keepLines/>
              <w:jc w:val="center"/>
              <w:rPr>
                <w:rFonts w:ascii="Arial Narrow" w:hAnsi="Arial Narrow" w:cs="Arial"/>
                <w:sz w:val="20"/>
                <w:szCs w:val="20"/>
              </w:rPr>
            </w:pPr>
            <w:r w:rsidRPr="00FC6E89">
              <w:rPr>
                <w:rFonts w:ascii="Arial Narrow" w:hAnsi="Arial Narrow" w:cs="Arial"/>
                <w:sz w:val="20"/>
                <w:szCs w:val="20"/>
              </w:rPr>
              <w:t>NR</w:t>
            </w:r>
          </w:p>
        </w:tc>
      </w:tr>
      <w:tr w:rsidR="00C16D64" w:rsidRPr="00FC6E89" w:rsidTr="009061DF">
        <w:tc>
          <w:tcPr>
            <w:tcW w:w="1446" w:type="dxa"/>
            <w:vMerge/>
            <w:shd w:val="clear" w:color="auto" w:fill="FFFFFF" w:themeFill="background1"/>
            <w:vAlign w:val="center"/>
          </w:tcPr>
          <w:p w:rsidR="00C16D64" w:rsidRPr="00FC6E89" w:rsidRDefault="00C16D64" w:rsidP="009061DF">
            <w:pPr>
              <w:keepNext/>
              <w:keepLines/>
              <w:ind w:left="142"/>
              <w:rPr>
                <w:rFonts w:ascii="Arial Narrow" w:hAnsi="Arial Narrow" w:cs="Arial"/>
                <w:sz w:val="20"/>
                <w:szCs w:val="20"/>
              </w:rPr>
            </w:pPr>
          </w:p>
        </w:tc>
        <w:tc>
          <w:tcPr>
            <w:tcW w:w="992" w:type="dxa"/>
            <w:tcBorders>
              <w:top w:val="dashSmallGap" w:sz="4" w:space="0" w:color="auto"/>
            </w:tcBorders>
            <w:shd w:val="clear" w:color="auto" w:fill="FFFFFF" w:themeFill="background1"/>
            <w:vAlign w:val="center"/>
          </w:tcPr>
          <w:p w:rsidR="00C16D64" w:rsidRPr="00FC6E89" w:rsidRDefault="00C16D64" w:rsidP="009061DF">
            <w:pPr>
              <w:keepNext/>
              <w:keepLines/>
              <w:jc w:val="center"/>
              <w:rPr>
                <w:rFonts w:ascii="Arial Narrow" w:hAnsi="Arial Narrow" w:cs="Arial"/>
                <w:sz w:val="20"/>
                <w:szCs w:val="20"/>
              </w:rPr>
            </w:pPr>
            <w:r w:rsidRPr="00FC6E89">
              <w:rPr>
                <w:rFonts w:ascii="Arial Narrow" w:hAnsi="Arial Narrow" w:cs="Arial"/>
                <w:sz w:val="20"/>
                <w:szCs w:val="20"/>
              </w:rPr>
              <w:t>RR</w:t>
            </w:r>
          </w:p>
        </w:tc>
        <w:tc>
          <w:tcPr>
            <w:tcW w:w="4253" w:type="dxa"/>
            <w:gridSpan w:val="3"/>
            <w:tcBorders>
              <w:top w:val="dashSmallGap" w:sz="4" w:space="0" w:color="auto"/>
            </w:tcBorders>
            <w:shd w:val="clear" w:color="auto" w:fill="FFFFFF" w:themeFill="background1"/>
            <w:vAlign w:val="center"/>
          </w:tcPr>
          <w:p w:rsidR="00C16D64" w:rsidRPr="00FC6E89" w:rsidRDefault="00C16D64" w:rsidP="009061DF">
            <w:pPr>
              <w:keepNext/>
              <w:keepLines/>
              <w:jc w:val="center"/>
              <w:rPr>
                <w:rFonts w:ascii="Arial Narrow" w:hAnsi="Arial Narrow" w:cs="Arial"/>
                <w:b/>
                <w:sz w:val="20"/>
                <w:szCs w:val="20"/>
              </w:rPr>
            </w:pPr>
            <w:r w:rsidRPr="00FC6E89">
              <w:rPr>
                <w:rFonts w:ascii="Arial Narrow" w:hAnsi="Arial Narrow" w:cs="Arial"/>
                <w:b/>
                <w:sz w:val="20"/>
                <w:szCs w:val="20"/>
              </w:rPr>
              <w:t>5.41 (3.34, 8.73)</w:t>
            </w:r>
          </w:p>
        </w:tc>
        <w:tc>
          <w:tcPr>
            <w:tcW w:w="1417" w:type="dxa"/>
            <w:shd w:val="clear" w:color="auto" w:fill="FFFFFF" w:themeFill="background1"/>
          </w:tcPr>
          <w:p w:rsidR="00C16D64" w:rsidRPr="00FC6E89" w:rsidRDefault="00C16D64" w:rsidP="009061DF">
            <w:pPr>
              <w:keepNext/>
              <w:keepLines/>
              <w:jc w:val="center"/>
              <w:rPr>
                <w:rFonts w:ascii="Arial Narrow" w:hAnsi="Arial Narrow" w:cs="Arial"/>
                <w:b/>
                <w:sz w:val="20"/>
                <w:szCs w:val="20"/>
              </w:rPr>
            </w:pPr>
            <w:r w:rsidRPr="00FC6E89">
              <w:rPr>
                <w:rFonts w:ascii="Arial Narrow" w:hAnsi="Arial Narrow" w:cs="Arial"/>
                <w:b/>
                <w:sz w:val="20"/>
                <w:szCs w:val="20"/>
              </w:rPr>
              <w:t>1.29 (1.07, 1.55)</w:t>
            </w:r>
          </w:p>
        </w:tc>
        <w:tc>
          <w:tcPr>
            <w:tcW w:w="1136" w:type="dxa"/>
            <w:vMerge/>
            <w:shd w:val="clear" w:color="auto" w:fill="FFFFFF" w:themeFill="background1"/>
            <w:vAlign w:val="center"/>
          </w:tcPr>
          <w:p w:rsidR="00C16D64" w:rsidRPr="00FC6E89" w:rsidRDefault="00C16D64" w:rsidP="009061DF">
            <w:pPr>
              <w:keepNext/>
              <w:keepLines/>
              <w:jc w:val="center"/>
              <w:rPr>
                <w:rFonts w:ascii="Arial Narrow" w:hAnsi="Arial Narrow" w:cs="Arial"/>
                <w:sz w:val="20"/>
                <w:szCs w:val="20"/>
              </w:rPr>
            </w:pPr>
          </w:p>
        </w:tc>
      </w:tr>
      <w:tr w:rsidR="00C16D64" w:rsidRPr="00FC6E89" w:rsidTr="009061DF">
        <w:tc>
          <w:tcPr>
            <w:tcW w:w="1446" w:type="dxa"/>
            <w:vMerge w:val="restart"/>
            <w:shd w:val="clear" w:color="auto" w:fill="FFFFFF" w:themeFill="background1"/>
            <w:vAlign w:val="center"/>
          </w:tcPr>
          <w:p w:rsidR="00C16D64" w:rsidRPr="00FC6E89" w:rsidRDefault="00C16D64" w:rsidP="009061DF">
            <w:pPr>
              <w:keepNext/>
              <w:keepLines/>
              <w:ind w:left="142"/>
              <w:rPr>
                <w:rFonts w:ascii="Arial Narrow" w:hAnsi="Arial Narrow" w:cs="Arial"/>
                <w:sz w:val="20"/>
                <w:szCs w:val="20"/>
              </w:rPr>
            </w:pPr>
            <w:r w:rsidRPr="00FC6E89">
              <w:rPr>
                <w:rFonts w:ascii="Arial Narrow" w:hAnsi="Arial Narrow" w:cs="Arial"/>
                <w:sz w:val="20"/>
                <w:szCs w:val="20"/>
              </w:rPr>
              <w:t xml:space="preserve">325 (6-12 </w:t>
            </w:r>
            <w:proofErr w:type="spellStart"/>
            <w:r w:rsidRPr="00FC6E89">
              <w:rPr>
                <w:rFonts w:ascii="Arial Narrow" w:hAnsi="Arial Narrow" w:cs="Arial"/>
                <w:sz w:val="20"/>
                <w:szCs w:val="20"/>
              </w:rPr>
              <w:t>yrs</w:t>
            </w:r>
            <w:proofErr w:type="spellEnd"/>
            <w:r w:rsidRPr="00FC6E89">
              <w:rPr>
                <w:rFonts w:ascii="Arial Narrow" w:hAnsi="Arial Narrow" w:cs="Arial"/>
                <w:sz w:val="20"/>
                <w:szCs w:val="20"/>
              </w:rPr>
              <w:t>)</w:t>
            </w:r>
          </w:p>
        </w:tc>
        <w:tc>
          <w:tcPr>
            <w:tcW w:w="992" w:type="dxa"/>
            <w:tcBorders>
              <w:top w:val="single" w:sz="4" w:space="0" w:color="auto"/>
            </w:tcBorders>
            <w:shd w:val="clear" w:color="auto" w:fill="FFFFFF" w:themeFill="background1"/>
            <w:vAlign w:val="center"/>
          </w:tcPr>
          <w:p w:rsidR="00C16D64" w:rsidRPr="00FC6E89" w:rsidRDefault="00C16D64" w:rsidP="009061DF">
            <w:pPr>
              <w:keepNext/>
              <w:keepLines/>
              <w:jc w:val="center"/>
              <w:rPr>
                <w:rFonts w:ascii="Arial Narrow" w:hAnsi="Arial Narrow" w:cs="Arial"/>
                <w:sz w:val="20"/>
                <w:szCs w:val="20"/>
              </w:rPr>
            </w:pPr>
            <w:r w:rsidRPr="00FC6E89">
              <w:rPr>
                <w:rFonts w:ascii="Arial Narrow" w:hAnsi="Arial Narrow" w:cs="Arial"/>
                <w:sz w:val="20"/>
                <w:szCs w:val="20"/>
              </w:rPr>
              <w:t>RD</w:t>
            </w:r>
          </w:p>
        </w:tc>
        <w:tc>
          <w:tcPr>
            <w:tcW w:w="4253" w:type="dxa"/>
            <w:gridSpan w:val="3"/>
            <w:tcBorders>
              <w:top w:val="single" w:sz="4" w:space="0" w:color="auto"/>
            </w:tcBorders>
            <w:shd w:val="clear" w:color="auto" w:fill="FFFFFF" w:themeFill="background1"/>
            <w:vAlign w:val="center"/>
          </w:tcPr>
          <w:p w:rsidR="00C16D64" w:rsidRPr="00136DB8" w:rsidRDefault="00136DB8" w:rsidP="009061DF">
            <w:pPr>
              <w:jc w:val="center"/>
              <w:rPr>
                <w:rFonts w:ascii="Arial Narrow" w:hAnsi="Arial Narrow" w:cs="Arial"/>
                <w:b/>
                <w:sz w:val="20"/>
                <w:szCs w:val="20"/>
                <w:highlight w:val="black"/>
              </w:rPr>
            </w:pPr>
            <w:r>
              <w:rPr>
                <w:rFonts w:ascii="Arial Narrow" w:hAnsi="Arial Narrow" w:cs="Arial"/>
                <w:b/>
                <w:noProof/>
                <w:color w:val="000000"/>
                <w:sz w:val="20"/>
                <w:szCs w:val="20"/>
                <w:highlight w:val="black"/>
              </w:rPr>
              <w:t>''''''''' ''''''''''' '''''''''</w:t>
            </w:r>
          </w:p>
        </w:tc>
        <w:tc>
          <w:tcPr>
            <w:tcW w:w="1417" w:type="dxa"/>
            <w:shd w:val="clear" w:color="auto" w:fill="FFFFFF" w:themeFill="background1"/>
          </w:tcPr>
          <w:p w:rsidR="00C16D64" w:rsidRPr="00136DB8" w:rsidRDefault="00136DB8" w:rsidP="009061DF">
            <w:pPr>
              <w:jc w:val="center"/>
              <w:rPr>
                <w:rFonts w:ascii="Arial Narrow" w:hAnsi="Arial Narrow" w:cs="Arial"/>
                <w:b/>
                <w:sz w:val="20"/>
                <w:szCs w:val="20"/>
                <w:highlight w:val="black"/>
              </w:rPr>
            </w:pPr>
            <w:r>
              <w:rPr>
                <w:rFonts w:ascii="Arial Narrow" w:hAnsi="Arial Narrow" w:cs="Arial"/>
                <w:noProof/>
                <w:color w:val="000000"/>
                <w:sz w:val="20"/>
                <w:szCs w:val="20"/>
                <w:highlight w:val="black"/>
              </w:rPr>
              <w:t>''''''''''' '''''''''''''' ''''''''''''''</w:t>
            </w:r>
          </w:p>
        </w:tc>
        <w:tc>
          <w:tcPr>
            <w:tcW w:w="1136" w:type="dxa"/>
            <w:vMerge/>
            <w:shd w:val="clear" w:color="auto" w:fill="FFFFFF" w:themeFill="background1"/>
            <w:vAlign w:val="center"/>
          </w:tcPr>
          <w:p w:rsidR="00C16D64" w:rsidRPr="00FC6E89" w:rsidRDefault="00C16D64" w:rsidP="009061DF">
            <w:pPr>
              <w:keepNext/>
              <w:keepLines/>
              <w:jc w:val="center"/>
              <w:rPr>
                <w:rFonts w:ascii="Arial Narrow" w:hAnsi="Arial Narrow" w:cs="Arial"/>
                <w:sz w:val="20"/>
                <w:szCs w:val="20"/>
              </w:rPr>
            </w:pPr>
          </w:p>
        </w:tc>
      </w:tr>
      <w:tr w:rsidR="00C16D64" w:rsidRPr="00FC6E89" w:rsidTr="009061DF">
        <w:tc>
          <w:tcPr>
            <w:tcW w:w="1446" w:type="dxa"/>
            <w:vMerge/>
            <w:shd w:val="clear" w:color="auto" w:fill="FFFFFF" w:themeFill="background1"/>
            <w:vAlign w:val="center"/>
          </w:tcPr>
          <w:p w:rsidR="00C16D64" w:rsidRPr="00FC6E89" w:rsidRDefault="00C16D64" w:rsidP="009061DF">
            <w:pPr>
              <w:keepNext/>
              <w:keepLines/>
              <w:ind w:left="142"/>
              <w:rPr>
                <w:rFonts w:ascii="Arial Narrow" w:hAnsi="Arial Narrow" w:cs="Arial"/>
                <w:sz w:val="20"/>
                <w:szCs w:val="20"/>
              </w:rPr>
            </w:pPr>
          </w:p>
        </w:tc>
        <w:tc>
          <w:tcPr>
            <w:tcW w:w="992" w:type="dxa"/>
            <w:tcBorders>
              <w:top w:val="dashSmallGap" w:sz="4" w:space="0" w:color="auto"/>
            </w:tcBorders>
            <w:shd w:val="clear" w:color="auto" w:fill="FFFFFF" w:themeFill="background1"/>
            <w:vAlign w:val="center"/>
          </w:tcPr>
          <w:p w:rsidR="00C16D64" w:rsidRPr="00FC6E89" w:rsidRDefault="00C16D64" w:rsidP="009061DF">
            <w:pPr>
              <w:keepNext/>
              <w:keepLines/>
              <w:jc w:val="center"/>
              <w:rPr>
                <w:rFonts w:ascii="Arial Narrow" w:hAnsi="Arial Narrow" w:cs="Arial"/>
                <w:sz w:val="20"/>
                <w:szCs w:val="20"/>
              </w:rPr>
            </w:pPr>
            <w:r w:rsidRPr="00FC6E89">
              <w:rPr>
                <w:rFonts w:ascii="Arial Narrow" w:hAnsi="Arial Narrow" w:cs="Arial"/>
                <w:sz w:val="20"/>
                <w:szCs w:val="20"/>
              </w:rPr>
              <w:t>RR</w:t>
            </w:r>
          </w:p>
        </w:tc>
        <w:tc>
          <w:tcPr>
            <w:tcW w:w="4253" w:type="dxa"/>
            <w:gridSpan w:val="3"/>
            <w:tcBorders>
              <w:top w:val="dashSmallGap" w:sz="4" w:space="0" w:color="auto"/>
            </w:tcBorders>
            <w:shd w:val="clear" w:color="auto" w:fill="FFFFFF" w:themeFill="background1"/>
            <w:vAlign w:val="center"/>
          </w:tcPr>
          <w:p w:rsidR="00C16D64" w:rsidRPr="00136DB8" w:rsidRDefault="00136DB8" w:rsidP="009061DF">
            <w:pPr>
              <w:keepNext/>
              <w:keepLines/>
              <w:jc w:val="center"/>
              <w:rPr>
                <w:rFonts w:ascii="Arial Narrow" w:hAnsi="Arial Narrow" w:cs="Arial"/>
                <w:b/>
                <w:sz w:val="20"/>
                <w:szCs w:val="20"/>
                <w:highlight w:val="black"/>
              </w:rPr>
            </w:pPr>
            <w:r>
              <w:rPr>
                <w:rFonts w:ascii="Arial Narrow" w:hAnsi="Arial Narrow" w:cs="Arial"/>
                <w:b/>
                <w:noProof/>
                <w:color w:val="000000"/>
                <w:sz w:val="20"/>
                <w:szCs w:val="20"/>
                <w:highlight w:val="black"/>
              </w:rPr>
              <w:t>'''''''' '''''''''''' '''''''''''''</w:t>
            </w:r>
          </w:p>
        </w:tc>
        <w:tc>
          <w:tcPr>
            <w:tcW w:w="1417" w:type="dxa"/>
            <w:shd w:val="clear" w:color="auto" w:fill="FFFFFF" w:themeFill="background1"/>
          </w:tcPr>
          <w:p w:rsidR="00C16D64" w:rsidRPr="00136DB8" w:rsidRDefault="00136DB8" w:rsidP="009061DF">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 ''''''''''''''' ''''''''''''</w:t>
            </w:r>
          </w:p>
        </w:tc>
        <w:tc>
          <w:tcPr>
            <w:tcW w:w="1136" w:type="dxa"/>
            <w:vMerge/>
            <w:shd w:val="clear" w:color="auto" w:fill="FFFFFF" w:themeFill="background1"/>
            <w:vAlign w:val="center"/>
          </w:tcPr>
          <w:p w:rsidR="00C16D64" w:rsidRPr="00FC6E89" w:rsidRDefault="00C16D64" w:rsidP="009061DF">
            <w:pPr>
              <w:keepNext/>
              <w:keepLines/>
              <w:jc w:val="center"/>
              <w:rPr>
                <w:rFonts w:ascii="Arial Narrow" w:hAnsi="Arial Narrow" w:cs="Arial"/>
                <w:sz w:val="20"/>
                <w:szCs w:val="20"/>
              </w:rPr>
            </w:pPr>
          </w:p>
        </w:tc>
      </w:tr>
      <w:tr w:rsidR="00C16D64" w:rsidRPr="00FC6E89" w:rsidTr="009061DF">
        <w:tc>
          <w:tcPr>
            <w:tcW w:w="1446" w:type="dxa"/>
            <w:vMerge w:val="restart"/>
            <w:shd w:val="clear" w:color="auto" w:fill="FFFFFF" w:themeFill="background1"/>
            <w:vAlign w:val="center"/>
          </w:tcPr>
          <w:p w:rsidR="00C16D64" w:rsidRPr="00FC6E89" w:rsidRDefault="00C16D64" w:rsidP="009061DF">
            <w:pPr>
              <w:keepNext/>
              <w:keepLines/>
              <w:ind w:left="142"/>
              <w:rPr>
                <w:rFonts w:ascii="Arial Narrow" w:hAnsi="Arial Narrow" w:cs="Arial"/>
                <w:sz w:val="20"/>
                <w:szCs w:val="20"/>
              </w:rPr>
            </w:pPr>
            <w:r w:rsidRPr="00FC6E89">
              <w:rPr>
                <w:rFonts w:ascii="Arial Narrow" w:hAnsi="Arial Narrow" w:cs="Arial"/>
                <w:sz w:val="20"/>
                <w:szCs w:val="20"/>
              </w:rPr>
              <w:t xml:space="preserve">301 (6-12 </w:t>
            </w:r>
            <w:proofErr w:type="spellStart"/>
            <w:r w:rsidRPr="00FC6E89">
              <w:rPr>
                <w:rFonts w:ascii="Arial Narrow" w:hAnsi="Arial Narrow" w:cs="Arial"/>
                <w:sz w:val="20"/>
                <w:szCs w:val="20"/>
              </w:rPr>
              <w:t>yrs</w:t>
            </w:r>
            <w:proofErr w:type="spellEnd"/>
            <w:r w:rsidRPr="00FC6E89">
              <w:rPr>
                <w:rFonts w:ascii="Arial Narrow" w:hAnsi="Arial Narrow" w:cs="Arial"/>
                <w:sz w:val="20"/>
                <w:szCs w:val="20"/>
              </w:rPr>
              <w:t>)</w:t>
            </w:r>
          </w:p>
        </w:tc>
        <w:tc>
          <w:tcPr>
            <w:tcW w:w="992" w:type="dxa"/>
            <w:tcBorders>
              <w:bottom w:val="dashSmallGap" w:sz="4" w:space="0" w:color="auto"/>
            </w:tcBorders>
            <w:shd w:val="clear" w:color="auto" w:fill="FFFFFF" w:themeFill="background1"/>
            <w:vAlign w:val="center"/>
          </w:tcPr>
          <w:p w:rsidR="00C16D64" w:rsidRPr="00FC6E89" w:rsidRDefault="00C16D64" w:rsidP="009061DF">
            <w:pPr>
              <w:keepNext/>
              <w:keepLines/>
              <w:jc w:val="center"/>
              <w:rPr>
                <w:rFonts w:ascii="Arial Narrow" w:hAnsi="Arial Narrow" w:cs="Arial"/>
                <w:sz w:val="20"/>
                <w:szCs w:val="20"/>
              </w:rPr>
            </w:pPr>
            <w:r w:rsidRPr="00FC6E89">
              <w:rPr>
                <w:rFonts w:ascii="Arial Narrow" w:hAnsi="Arial Narrow" w:cs="Arial"/>
                <w:sz w:val="20"/>
                <w:szCs w:val="20"/>
              </w:rPr>
              <w:t>RD:</w:t>
            </w:r>
          </w:p>
        </w:tc>
        <w:tc>
          <w:tcPr>
            <w:tcW w:w="1418" w:type="dxa"/>
            <w:tcBorders>
              <w:bottom w:val="dashSmallGap" w:sz="4" w:space="0" w:color="auto"/>
            </w:tcBorders>
            <w:shd w:val="clear" w:color="auto" w:fill="FFFFFF" w:themeFill="background1"/>
            <w:vAlign w:val="center"/>
          </w:tcPr>
          <w:p w:rsidR="00C16D64" w:rsidRPr="00FC6E89" w:rsidRDefault="00C16D64" w:rsidP="009061DF">
            <w:pPr>
              <w:keepNext/>
              <w:keepLines/>
              <w:jc w:val="center"/>
              <w:rPr>
                <w:rFonts w:ascii="Arial Narrow" w:hAnsi="Arial Narrow" w:cs="Arial"/>
                <w:b/>
                <w:sz w:val="20"/>
                <w:szCs w:val="20"/>
              </w:rPr>
            </w:pPr>
            <w:r w:rsidRPr="00FC6E89">
              <w:rPr>
                <w:rFonts w:ascii="Arial Narrow" w:hAnsi="Arial Narrow" w:cs="Arial"/>
                <w:b/>
                <w:sz w:val="20"/>
                <w:szCs w:val="20"/>
              </w:rPr>
              <w:t>0.52 (0.37, 0.66)</w:t>
            </w:r>
          </w:p>
        </w:tc>
        <w:tc>
          <w:tcPr>
            <w:tcW w:w="1417" w:type="dxa"/>
            <w:tcBorders>
              <w:bottom w:val="dashSmallGap" w:sz="4" w:space="0" w:color="auto"/>
            </w:tcBorders>
            <w:shd w:val="clear" w:color="auto" w:fill="FFFFFF" w:themeFill="background1"/>
            <w:vAlign w:val="center"/>
          </w:tcPr>
          <w:p w:rsidR="00C16D64" w:rsidRPr="00FC6E89" w:rsidRDefault="00C16D64" w:rsidP="009061DF">
            <w:pPr>
              <w:keepNext/>
              <w:keepLines/>
              <w:jc w:val="center"/>
              <w:rPr>
                <w:rFonts w:ascii="Arial Narrow" w:hAnsi="Arial Narrow" w:cs="Arial"/>
                <w:b/>
                <w:sz w:val="20"/>
                <w:szCs w:val="20"/>
              </w:rPr>
            </w:pPr>
            <w:r w:rsidRPr="00FC6E89">
              <w:rPr>
                <w:rFonts w:ascii="Arial Narrow" w:hAnsi="Arial Narrow" w:cs="Arial"/>
                <w:b/>
                <w:sz w:val="20"/>
                <w:szCs w:val="20"/>
              </w:rPr>
              <w:t>0.52 (0.39, 0.66)</w:t>
            </w:r>
          </w:p>
        </w:tc>
        <w:tc>
          <w:tcPr>
            <w:tcW w:w="1418" w:type="dxa"/>
            <w:tcBorders>
              <w:bottom w:val="dashSmallGap" w:sz="4" w:space="0" w:color="auto"/>
            </w:tcBorders>
            <w:shd w:val="clear" w:color="auto" w:fill="FFFFFF" w:themeFill="background1"/>
            <w:vAlign w:val="center"/>
          </w:tcPr>
          <w:p w:rsidR="00C16D64" w:rsidRPr="00FC6E89" w:rsidRDefault="00C16D64" w:rsidP="009061DF">
            <w:pPr>
              <w:keepNext/>
              <w:keepLines/>
              <w:jc w:val="center"/>
              <w:rPr>
                <w:rFonts w:ascii="Arial Narrow" w:hAnsi="Arial Narrow" w:cs="Arial"/>
                <w:sz w:val="20"/>
                <w:szCs w:val="20"/>
              </w:rPr>
            </w:pPr>
            <w:r w:rsidRPr="00FC6E89">
              <w:rPr>
                <w:rFonts w:ascii="Arial Narrow" w:hAnsi="Arial Narrow" w:cs="Arial"/>
                <w:b/>
                <w:sz w:val="20"/>
                <w:szCs w:val="20"/>
              </w:rPr>
              <w:t>0.59 (0.46, 0.72)</w:t>
            </w:r>
          </w:p>
        </w:tc>
        <w:tc>
          <w:tcPr>
            <w:tcW w:w="1417" w:type="dxa"/>
            <w:tcBorders>
              <w:bottom w:val="dashSmallGap" w:sz="4" w:space="0" w:color="auto"/>
            </w:tcBorders>
            <w:shd w:val="clear" w:color="auto" w:fill="FFFFFF" w:themeFill="background1"/>
            <w:vAlign w:val="center"/>
          </w:tcPr>
          <w:p w:rsidR="00C16D64" w:rsidRPr="00FC6E89" w:rsidRDefault="00C16D64" w:rsidP="009061DF">
            <w:pPr>
              <w:keepNext/>
              <w:keepLines/>
              <w:jc w:val="center"/>
              <w:rPr>
                <w:rFonts w:ascii="Arial Narrow" w:hAnsi="Arial Narrow" w:cs="Arial"/>
                <w:sz w:val="20"/>
                <w:szCs w:val="20"/>
              </w:rPr>
            </w:pPr>
            <w:r w:rsidRPr="00FC6E89">
              <w:rPr>
                <w:rFonts w:ascii="Arial Narrow" w:hAnsi="Arial Narrow" w:cs="Arial"/>
                <w:sz w:val="20"/>
                <w:szCs w:val="20"/>
              </w:rPr>
              <w:t>-</w:t>
            </w:r>
          </w:p>
        </w:tc>
        <w:tc>
          <w:tcPr>
            <w:tcW w:w="1136" w:type="dxa"/>
            <w:vMerge/>
            <w:shd w:val="clear" w:color="auto" w:fill="FFFFFF" w:themeFill="background1"/>
            <w:vAlign w:val="center"/>
          </w:tcPr>
          <w:p w:rsidR="00C16D64" w:rsidRPr="00FC6E89" w:rsidRDefault="00C16D64" w:rsidP="009061DF">
            <w:pPr>
              <w:keepNext/>
              <w:keepLines/>
              <w:jc w:val="center"/>
              <w:rPr>
                <w:rFonts w:ascii="Arial Narrow" w:hAnsi="Arial Narrow" w:cs="Arial"/>
                <w:sz w:val="20"/>
                <w:szCs w:val="20"/>
              </w:rPr>
            </w:pPr>
          </w:p>
        </w:tc>
      </w:tr>
      <w:tr w:rsidR="00C16D64" w:rsidRPr="00FC6E89" w:rsidTr="009061DF">
        <w:tc>
          <w:tcPr>
            <w:tcW w:w="1446" w:type="dxa"/>
            <w:vMerge/>
            <w:shd w:val="clear" w:color="auto" w:fill="FFFFFF" w:themeFill="background1"/>
            <w:vAlign w:val="center"/>
          </w:tcPr>
          <w:p w:rsidR="00C16D64" w:rsidRPr="00FC6E89" w:rsidRDefault="00C16D64" w:rsidP="009061DF">
            <w:pPr>
              <w:keepNext/>
              <w:keepLines/>
              <w:ind w:left="142"/>
              <w:rPr>
                <w:rFonts w:ascii="Arial Narrow" w:hAnsi="Arial Narrow" w:cs="Arial"/>
                <w:sz w:val="20"/>
                <w:szCs w:val="20"/>
              </w:rPr>
            </w:pPr>
          </w:p>
        </w:tc>
        <w:tc>
          <w:tcPr>
            <w:tcW w:w="992" w:type="dxa"/>
            <w:tcBorders>
              <w:top w:val="dashSmallGap" w:sz="4" w:space="0" w:color="auto"/>
            </w:tcBorders>
            <w:shd w:val="clear" w:color="auto" w:fill="FFFFFF" w:themeFill="background1"/>
            <w:vAlign w:val="center"/>
          </w:tcPr>
          <w:p w:rsidR="00C16D64" w:rsidRPr="00FC6E89" w:rsidRDefault="00C16D64" w:rsidP="009061DF">
            <w:pPr>
              <w:keepNext/>
              <w:keepLines/>
              <w:jc w:val="center"/>
              <w:rPr>
                <w:rFonts w:ascii="Arial Narrow" w:hAnsi="Arial Narrow" w:cs="Arial"/>
                <w:sz w:val="20"/>
                <w:szCs w:val="20"/>
              </w:rPr>
            </w:pPr>
            <w:r w:rsidRPr="00FC6E89">
              <w:rPr>
                <w:rFonts w:ascii="Arial Narrow" w:hAnsi="Arial Narrow" w:cs="Arial"/>
                <w:sz w:val="20"/>
                <w:szCs w:val="20"/>
              </w:rPr>
              <w:t>RR:</w:t>
            </w:r>
          </w:p>
        </w:tc>
        <w:tc>
          <w:tcPr>
            <w:tcW w:w="1418" w:type="dxa"/>
            <w:tcBorders>
              <w:top w:val="dashSmallGap" w:sz="4" w:space="0" w:color="auto"/>
            </w:tcBorders>
            <w:shd w:val="clear" w:color="auto" w:fill="FFFFFF" w:themeFill="background1"/>
            <w:vAlign w:val="center"/>
          </w:tcPr>
          <w:p w:rsidR="00C16D64" w:rsidRPr="00FC6E89" w:rsidRDefault="00C16D64" w:rsidP="009061DF">
            <w:pPr>
              <w:keepNext/>
              <w:keepLines/>
              <w:jc w:val="center"/>
              <w:rPr>
                <w:rFonts w:ascii="Arial Narrow" w:hAnsi="Arial Narrow" w:cs="Arial"/>
                <w:b/>
                <w:sz w:val="20"/>
                <w:szCs w:val="20"/>
              </w:rPr>
            </w:pPr>
            <w:r w:rsidRPr="00FC6E89">
              <w:rPr>
                <w:rFonts w:ascii="Arial Narrow" w:hAnsi="Arial Narrow" w:cs="Arial"/>
                <w:b/>
                <w:sz w:val="20"/>
                <w:szCs w:val="20"/>
              </w:rPr>
              <w:t>3.85 (2.30, 6.46)</w:t>
            </w:r>
          </w:p>
        </w:tc>
        <w:tc>
          <w:tcPr>
            <w:tcW w:w="1417" w:type="dxa"/>
            <w:tcBorders>
              <w:top w:val="dashSmallGap" w:sz="4" w:space="0" w:color="auto"/>
            </w:tcBorders>
            <w:shd w:val="clear" w:color="auto" w:fill="FFFFFF" w:themeFill="background1"/>
            <w:vAlign w:val="center"/>
          </w:tcPr>
          <w:p w:rsidR="00C16D64" w:rsidRPr="00FC6E89" w:rsidRDefault="00C16D64" w:rsidP="009061DF">
            <w:pPr>
              <w:keepNext/>
              <w:keepLines/>
              <w:jc w:val="center"/>
              <w:rPr>
                <w:rFonts w:ascii="Arial Narrow" w:hAnsi="Arial Narrow" w:cs="Arial"/>
                <w:b/>
                <w:sz w:val="20"/>
                <w:szCs w:val="20"/>
              </w:rPr>
            </w:pPr>
            <w:r w:rsidRPr="00FC6E89">
              <w:rPr>
                <w:rFonts w:ascii="Arial Narrow" w:hAnsi="Arial Narrow" w:cs="Arial"/>
                <w:b/>
                <w:sz w:val="20"/>
                <w:szCs w:val="20"/>
              </w:rPr>
              <w:t>3.90 (2.33, 6.53)</w:t>
            </w:r>
          </w:p>
        </w:tc>
        <w:tc>
          <w:tcPr>
            <w:tcW w:w="1418" w:type="dxa"/>
            <w:tcBorders>
              <w:top w:val="dashSmallGap" w:sz="4" w:space="0" w:color="auto"/>
            </w:tcBorders>
            <w:shd w:val="clear" w:color="auto" w:fill="FFFFFF" w:themeFill="background1"/>
            <w:vAlign w:val="center"/>
          </w:tcPr>
          <w:p w:rsidR="00C16D64" w:rsidRPr="00FC6E89" w:rsidRDefault="00C16D64" w:rsidP="009061DF">
            <w:pPr>
              <w:keepNext/>
              <w:keepLines/>
              <w:jc w:val="center"/>
              <w:rPr>
                <w:rFonts w:ascii="Arial Narrow" w:hAnsi="Arial Narrow" w:cs="Arial"/>
                <w:b/>
                <w:sz w:val="20"/>
                <w:szCs w:val="20"/>
              </w:rPr>
            </w:pPr>
            <w:r w:rsidRPr="00FC6E89">
              <w:rPr>
                <w:rFonts w:ascii="Arial Narrow" w:hAnsi="Arial Narrow" w:cs="Arial"/>
                <w:b/>
                <w:sz w:val="20"/>
                <w:szCs w:val="20"/>
              </w:rPr>
              <w:t>4.25 (2.56, 7.06)</w:t>
            </w:r>
          </w:p>
        </w:tc>
        <w:tc>
          <w:tcPr>
            <w:tcW w:w="1417" w:type="dxa"/>
            <w:tcBorders>
              <w:top w:val="dashSmallGap" w:sz="4" w:space="0" w:color="auto"/>
            </w:tcBorders>
            <w:shd w:val="clear" w:color="auto" w:fill="FFFFFF" w:themeFill="background1"/>
            <w:vAlign w:val="center"/>
          </w:tcPr>
          <w:p w:rsidR="00C16D64" w:rsidRPr="00FC6E89" w:rsidRDefault="00C16D64" w:rsidP="009061DF">
            <w:pPr>
              <w:keepNext/>
              <w:keepLines/>
              <w:jc w:val="center"/>
              <w:rPr>
                <w:rFonts w:ascii="Arial Narrow" w:hAnsi="Arial Narrow" w:cs="Arial"/>
                <w:sz w:val="20"/>
                <w:szCs w:val="20"/>
              </w:rPr>
            </w:pPr>
            <w:r w:rsidRPr="00FC6E89">
              <w:rPr>
                <w:rFonts w:ascii="Arial Narrow" w:hAnsi="Arial Narrow" w:cs="Arial"/>
                <w:sz w:val="20"/>
                <w:szCs w:val="20"/>
              </w:rPr>
              <w:t>-</w:t>
            </w:r>
          </w:p>
        </w:tc>
        <w:tc>
          <w:tcPr>
            <w:tcW w:w="1136" w:type="dxa"/>
            <w:vMerge/>
            <w:shd w:val="clear" w:color="auto" w:fill="FFFFFF" w:themeFill="background1"/>
            <w:vAlign w:val="center"/>
          </w:tcPr>
          <w:p w:rsidR="00C16D64" w:rsidRPr="00FC6E89" w:rsidRDefault="00C16D64" w:rsidP="009061DF">
            <w:pPr>
              <w:keepNext/>
              <w:keepLines/>
              <w:jc w:val="center"/>
              <w:rPr>
                <w:rFonts w:ascii="Arial Narrow" w:hAnsi="Arial Narrow" w:cs="Arial"/>
                <w:sz w:val="20"/>
                <w:szCs w:val="20"/>
              </w:rPr>
            </w:pPr>
          </w:p>
        </w:tc>
      </w:tr>
      <w:tr w:rsidR="00C16D64" w:rsidRPr="00FC6E89" w:rsidTr="009061DF">
        <w:tc>
          <w:tcPr>
            <w:tcW w:w="1446" w:type="dxa"/>
            <w:vMerge w:val="restart"/>
            <w:shd w:val="clear" w:color="auto" w:fill="FFFFFF" w:themeFill="background1"/>
            <w:vAlign w:val="center"/>
          </w:tcPr>
          <w:p w:rsidR="00C16D64" w:rsidRPr="00FC6E89" w:rsidRDefault="00C16D64" w:rsidP="009061DF">
            <w:pPr>
              <w:keepNext/>
              <w:keepLines/>
              <w:ind w:left="142"/>
              <w:rPr>
                <w:rFonts w:ascii="Arial Narrow" w:hAnsi="Arial Narrow" w:cs="Arial"/>
                <w:sz w:val="20"/>
                <w:szCs w:val="20"/>
              </w:rPr>
            </w:pPr>
            <w:r w:rsidRPr="00FC6E89">
              <w:rPr>
                <w:rFonts w:ascii="Arial Narrow" w:hAnsi="Arial Narrow" w:cs="Arial"/>
                <w:sz w:val="20"/>
                <w:szCs w:val="20"/>
              </w:rPr>
              <w:t xml:space="preserve">325 (13-17 </w:t>
            </w:r>
            <w:proofErr w:type="spellStart"/>
            <w:r w:rsidRPr="00FC6E89">
              <w:rPr>
                <w:rFonts w:ascii="Arial Narrow" w:hAnsi="Arial Narrow" w:cs="Arial"/>
                <w:sz w:val="20"/>
                <w:szCs w:val="20"/>
              </w:rPr>
              <w:t>yrs</w:t>
            </w:r>
            <w:proofErr w:type="spellEnd"/>
            <w:r w:rsidRPr="00FC6E89">
              <w:rPr>
                <w:rFonts w:ascii="Arial Narrow" w:hAnsi="Arial Narrow" w:cs="Arial"/>
                <w:sz w:val="20"/>
                <w:szCs w:val="20"/>
              </w:rPr>
              <w:t>)</w:t>
            </w:r>
          </w:p>
        </w:tc>
        <w:tc>
          <w:tcPr>
            <w:tcW w:w="992" w:type="dxa"/>
            <w:tcBorders>
              <w:top w:val="single" w:sz="4" w:space="0" w:color="auto"/>
            </w:tcBorders>
            <w:shd w:val="clear" w:color="auto" w:fill="FFFFFF" w:themeFill="background1"/>
            <w:vAlign w:val="center"/>
          </w:tcPr>
          <w:p w:rsidR="00C16D64" w:rsidRPr="00FC6E89" w:rsidRDefault="00C16D64" w:rsidP="009061DF">
            <w:pPr>
              <w:keepNext/>
              <w:keepLines/>
              <w:jc w:val="center"/>
              <w:rPr>
                <w:rFonts w:ascii="Arial Narrow" w:hAnsi="Arial Narrow" w:cs="Arial"/>
                <w:sz w:val="20"/>
                <w:szCs w:val="20"/>
              </w:rPr>
            </w:pPr>
            <w:r w:rsidRPr="00FC6E89">
              <w:rPr>
                <w:rFonts w:ascii="Arial Narrow" w:hAnsi="Arial Narrow" w:cs="Arial"/>
                <w:sz w:val="20"/>
                <w:szCs w:val="20"/>
              </w:rPr>
              <w:t>RD</w:t>
            </w:r>
          </w:p>
        </w:tc>
        <w:tc>
          <w:tcPr>
            <w:tcW w:w="4253" w:type="dxa"/>
            <w:gridSpan w:val="3"/>
            <w:tcBorders>
              <w:top w:val="dashSmallGap" w:sz="4" w:space="0" w:color="auto"/>
            </w:tcBorders>
            <w:shd w:val="clear" w:color="auto" w:fill="FFFFFF" w:themeFill="background1"/>
            <w:vAlign w:val="center"/>
          </w:tcPr>
          <w:p w:rsidR="00C16D64" w:rsidRPr="00136DB8" w:rsidRDefault="00136DB8" w:rsidP="009061DF">
            <w:pPr>
              <w:keepNext/>
              <w:keepLines/>
              <w:jc w:val="center"/>
              <w:rPr>
                <w:rFonts w:ascii="Arial Narrow" w:hAnsi="Arial Narrow" w:cs="Arial"/>
                <w:b/>
                <w:sz w:val="20"/>
                <w:szCs w:val="20"/>
                <w:highlight w:val="black"/>
              </w:rPr>
            </w:pPr>
            <w:r>
              <w:rPr>
                <w:rFonts w:ascii="Arial Narrow" w:hAnsi="Arial Narrow" w:cs="Arial"/>
                <w:b/>
                <w:noProof/>
                <w:color w:val="000000"/>
                <w:sz w:val="20"/>
                <w:szCs w:val="20"/>
                <w:highlight w:val="black"/>
              </w:rPr>
              <w:t>'''''''' ''''''''''' ''''''''''</w:t>
            </w:r>
          </w:p>
        </w:tc>
        <w:tc>
          <w:tcPr>
            <w:tcW w:w="1417" w:type="dxa"/>
            <w:tcBorders>
              <w:top w:val="single" w:sz="4" w:space="0" w:color="auto"/>
            </w:tcBorders>
            <w:shd w:val="clear" w:color="auto" w:fill="FFFFFF" w:themeFill="background1"/>
            <w:vAlign w:val="center"/>
          </w:tcPr>
          <w:p w:rsidR="00C16D64" w:rsidRPr="00136DB8" w:rsidRDefault="00136DB8" w:rsidP="009061DF">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 ''''''''''''''' ''''''''''''</w:t>
            </w:r>
          </w:p>
        </w:tc>
        <w:tc>
          <w:tcPr>
            <w:tcW w:w="1136" w:type="dxa"/>
            <w:vMerge/>
            <w:shd w:val="clear" w:color="auto" w:fill="FFFFFF" w:themeFill="background1"/>
            <w:vAlign w:val="center"/>
          </w:tcPr>
          <w:p w:rsidR="00C16D64" w:rsidRPr="00FC6E89" w:rsidRDefault="00C16D64" w:rsidP="009061DF">
            <w:pPr>
              <w:keepNext/>
              <w:keepLines/>
              <w:jc w:val="center"/>
              <w:rPr>
                <w:rFonts w:ascii="Arial Narrow" w:hAnsi="Arial Narrow" w:cs="Arial"/>
                <w:sz w:val="20"/>
                <w:szCs w:val="20"/>
              </w:rPr>
            </w:pPr>
          </w:p>
        </w:tc>
      </w:tr>
      <w:tr w:rsidR="00C16D64" w:rsidRPr="00FC6E89" w:rsidTr="009061DF">
        <w:tc>
          <w:tcPr>
            <w:tcW w:w="1446" w:type="dxa"/>
            <w:vMerge/>
            <w:shd w:val="clear" w:color="auto" w:fill="FFFFFF" w:themeFill="background1"/>
            <w:vAlign w:val="center"/>
          </w:tcPr>
          <w:p w:rsidR="00C16D64" w:rsidRPr="00FC6E89" w:rsidRDefault="00C16D64" w:rsidP="009061DF">
            <w:pPr>
              <w:keepNext/>
              <w:keepLines/>
              <w:ind w:left="142"/>
              <w:rPr>
                <w:rFonts w:ascii="Arial Narrow" w:hAnsi="Arial Narrow" w:cs="Arial"/>
                <w:sz w:val="20"/>
                <w:szCs w:val="20"/>
              </w:rPr>
            </w:pPr>
          </w:p>
        </w:tc>
        <w:tc>
          <w:tcPr>
            <w:tcW w:w="992" w:type="dxa"/>
            <w:tcBorders>
              <w:top w:val="dashSmallGap" w:sz="4" w:space="0" w:color="auto"/>
            </w:tcBorders>
            <w:shd w:val="clear" w:color="auto" w:fill="FFFFFF" w:themeFill="background1"/>
            <w:vAlign w:val="center"/>
          </w:tcPr>
          <w:p w:rsidR="00C16D64" w:rsidRPr="00FC6E89" w:rsidRDefault="00C16D64" w:rsidP="009061DF">
            <w:pPr>
              <w:keepNext/>
              <w:keepLines/>
              <w:jc w:val="center"/>
              <w:rPr>
                <w:rFonts w:ascii="Arial Narrow" w:hAnsi="Arial Narrow" w:cs="Arial"/>
                <w:sz w:val="20"/>
                <w:szCs w:val="20"/>
              </w:rPr>
            </w:pPr>
            <w:r w:rsidRPr="00FC6E89">
              <w:rPr>
                <w:rFonts w:ascii="Arial Narrow" w:hAnsi="Arial Narrow" w:cs="Arial"/>
                <w:sz w:val="20"/>
                <w:szCs w:val="20"/>
              </w:rPr>
              <w:t>RR</w:t>
            </w:r>
          </w:p>
        </w:tc>
        <w:tc>
          <w:tcPr>
            <w:tcW w:w="4253" w:type="dxa"/>
            <w:gridSpan w:val="3"/>
            <w:tcBorders>
              <w:top w:val="dashSmallGap" w:sz="4" w:space="0" w:color="auto"/>
            </w:tcBorders>
            <w:shd w:val="clear" w:color="auto" w:fill="FFFFFF" w:themeFill="background1"/>
            <w:vAlign w:val="center"/>
          </w:tcPr>
          <w:p w:rsidR="00C16D64" w:rsidRPr="00136DB8" w:rsidRDefault="00136DB8" w:rsidP="009061DF">
            <w:pPr>
              <w:keepNext/>
              <w:keepLines/>
              <w:jc w:val="center"/>
              <w:rPr>
                <w:rFonts w:ascii="Arial Narrow" w:hAnsi="Arial Narrow" w:cs="Arial"/>
                <w:b/>
                <w:sz w:val="20"/>
                <w:szCs w:val="20"/>
                <w:highlight w:val="black"/>
              </w:rPr>
            </w:pPr>
            <w:r>
              <w:rPr>
                <w:rFonts w:ascii="Arial Narrow" w:hAnsi="Arial Narrow" w:cs="Arial"/>
                <w:b/>
                <w:noProof/>
                <w:color w:val="000000"/>
                <w:sz w:val="20"/>
                <w:szCs w:val="20"/>
                <w:highlight w:val="black"/>
              </w:rPr>
              <w:t>'''''''' '''''''''''' '''''''''</w:t>
            </w:r>
          </w:p>
        </w:tc>
        <w:tc>
          <w:tcPr>
            <w:tcW w:w="1417" w:type="dxa"/>
            <w:tcBorders>
              <w:top w:val="dashSmallGap" w:sz="4" w:space="0" w:color="auto"/>
            </w:tcBorders>
            <w:shd w:val="clear" w:color="auto" w:fill="FFFFFF" w:themeFill="background1"/>
            <w:vAlign w:val="center"/>
          </w:tcPr>
          <w:p w:rsidR="00C16D64" w:rsidRPr="00136DB8" w:rsidRDefault="00136DB8" w:rsidP="009061DF">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 ''''''''''''' '''''''''''</w:t>
            </w:r>
          </w:p>
        </w:tc>
        <w:tc>
          <w:tcPr>
            <w:tcW w:w="1136" w:type="dxa"/>
            <w:vMerge/>
            <w:shd w:val="clear" w:color="auto" w:fill="FFFFFF" w:themeFill="background1"/>
            <w:vAlign w:val="center"/>
          </w:tcPr>
          <w:p w:rsidR="00C16D64" w:rsidRPr="00FC6E89" w:rsidRDefault="00C16D64" w:rsidP="009061DF">
            <w:pPr>
              <w:keepNext/>
              <w:keepLines/>
              <w:jc w:val="center"/>
              <w:rPr>
                <w:rFonts w:ascii="Arial Narrow" w:hAnsi="Arial Narrow" w:cs="Arial"/>
                <w:sz w:val="20"/>
                <w:szCs w:val="20"/>
              </w:rPr>
            </w:pPr>
          </w:p>
        </w:tc>
      </w:tr>
      <w:tr w:rsidR="00C16D64" w:rsidRPr="00FC6E89" w:rsidTr="009061DF">
        <w:tc>
          <w:tcPr>
            <w:tcW w:w="1446" w:type="dxa"/>
            <w:vMerge w:val="restart"/>
            <w:shd w:val="clear" w:color="auto" w:fill="FFFFFF" w:themeFill="background1"/>
            <w:vAlign w:val="center"/>
          </w:tcPr>
          <w:p w:rsidR="00C16D64" w:rsidRPr="00FC6E89" w:rsidRDefault="00C16D64" w:rsidP="009061DF">
            <w:pPr>
              <w:keepNext/>
              <w:keepLines/>
              <w:ind w:left="142"/>
              <w:rPr>
                <w:rFonts w:ascii="Arial Narrow" w:hAnsi="Arial Narrow" w:cs="Arial"/>
                <w:sz w:val="20"/>
                <w:szCs w:val="20"/>
              </w:rPr>
            </w:pPr>
            <w:r w:rsidRPr="00FC6E89">
              <w:rPr>
                <w:rFonts w:ascii="Arial Narrow" w:hAnsi="Arial Narrow" w:cs="Arial"/>
                <w:sz w:val="20"/>
                <w:szCs w:val="20"/>
              </w:rPr>
              <w:t>305 (13-17yrs)</w:t>
            </w:r>
          </w:p>
        </w:tc>
        <w:tc>
          <w:tcPr>
            <w:tcW w:w="992" w:type="dxa"/>
            <w:tcBorders>
              <w:bottom w:val="dashSmallGap" w:sz="4" w:space="0" w:color="auto"/>
            </w:tcBorders>
            <w:shd w:val="clear" w:color="auto" w:fill="FFFFFF" w:themeFill="background1"/>
            <w:vAlign w:val="center"/>
          </w:tcPr>
          <w:p w:rsidR="00C16D64" w:rsidRPr="00FC6E89" w:rsidRDefault="00C16D64" w:rsidP="009061DF">
            <w:pPr>
              <w:keepNext/>
              <w:keepLines/>
              <w:jc w:val="center"/>
              <w:rPr>
                <w:rFonts w:ascii="Arial Narrow" w:hAnsi="Arial Narrow" w:cs="Arial"/>
                <w:sz w:val="20"/>
                <w:szCs w:val="20"/>
              </w:rPr>
            </w:pPr>
            <w:r w:rsidRPr="00FC6E89">
              <w:rPr>
                <w:rFonts w:ascii="Arial Narrow" w:hAnsi="Arial Narrow" w:cs="Arial"/>
                <w:sz w:val="20"/>
                <w:szCs w:val="20"/>
              </w:rPr>
              <w:t>RD</w:t>
            </w:r>
          </w:p>
        </w:tc>
        <w:tc>
          <w:tcPr>
            <w:tcW w:w="1418" w:type="dxa"/>
            <w:tcBorders>
              <w:bottom w:val="dashSmallGap" w:sz="4" w:space="0" w:color="auto"/>
            </w:tcBorders>
            <w:shd w:val="clear" w:color="auto" w:fill="FFFFFF" w:themeFill="background1"/>
            <w:vAlign w:val="center"/>
          </w:tcPr>
          <w:p w:rsidR="00C16D64" w:rsidRPr="00FC6E89" w:rsidRDefault="00C16D64" w:rsidP="009061DF">
            <w:pPr>
              <w:keepNext/>
              <w:keepLines/>
              <w:jc w:val="center"/>
              <w:rPr>
                <w:rFonts w:ascii="Arial Narrow" w:hAnsi="Arial Narrow" w:cs="Arial"/>
                <w:b/>
                <w:sz w:val="20"/>
                <w:szCs w:val="20"/>
              </w:rPr>
            </w:pPr>
            <w:r w:rsidRPr="00FC6E89">
              <w:rPr>
                <w:rFonts w:ascii="Arial Narrow" w:hAnsi="Arial Narrow" w:cs="Arial"/>
                <w:b/>
                <w:sz w:val="20"/>
                <w:szCs w:val="20"/>
              </w:rPr>
              <w:t>0.18 (0.03, 0.34)</w:t>
            </w:r>
          </w:p>
        </w:tc>
        <w:tc>
          <w:tcPr>
            <w:tcW w:w="1417" w:type="dxa"/>
            <w:tcBorders>
              <w:bottom w:val="dashSmallGap" w:sz="4" w:space="0" w:color="auto"/>
            </w:tcBorders>
            <w:shd w:val="clear" w:color="auto" w:fill="FFFFFF" w:themeFill="background1"/>
            <w:vAlign w:val="center"/>
          </w:tcPr>
          <w:p w:rsidR="00C16D64" w:rsidRPr="00FC6E89" w:rsidRDefault="00C16D64" w:rsidP="009061DF">
            <w:pPr>
              <w:keepNext/>
              <w:keepLines/>
              <w:jc w:val="center"/>
              <w:rPr>
                <w:rFonts w:ascii="Arial Narrow" w:hAnsi="Arial Narrow" w:cs="Arial"/>
                <w:b/>
                <w:sz w:val="20"/>
                <w:szCs w:val="20"/>
              </w:rPr>
            </w:pPr>
            <w:r w:rsidRPr="00FC6E89">
              <w:rPr>
                <w:rFonts w:ascii="Arial Narrow" w:hAnsi="Arial Narrow" w:cs="Arial"/>
                <w:b/>
                <w:sz w:val="20"/>
                <w:szCs w:val="20"/>
              </w:rPr>
              <w:t>0.34 (0.19, 0.49)</w:t>
            </w:r>
          </w:p>
        </w:tc>
        <w:tc>
          <w:tcPr>
            <w:tcW w:w="1418" w:type="dxa"/>
            <w:tcBorders>
              <w:bottom w:val="dashSmallGap" w:sz="4" w:space="0" w:color="auto"/>
            </w:tcBorders>
            <w:shd w:val="clear" w:color="auto" w:fill="FFFFFF" w:themeFill="background1"/>
            <w:vAlign w:val="center"/>
          </w:tcPr>
          <w:p w:rsidR="00C16D64" w:rsidRPr="00FC6E89" w:rsidRDefault="00C16D64" w:rsidP="009061DF">
            <w:pPr>
              <w:keepNext/>
              <w:keepLines/>
              <w:jc w:val="center"/>
              <w:rPr>
                <w:rFonts w:ascii="Arial Narrow" w:hAnsi="Arial Narrow" w:cs="Arial"/>
                <w:b/>
                <w:sz w:val="20"/>
                <w:szCs w:val="20"/>
              </w:rPr>
            </w:pPr>
            <w:r w:rsidRPr="00FC6E89">
              <w:rPr>
                <w:rFonts w:ascii="Arial Narrow" w:hAnsi="Arial Narrow" w:cs="Arial"/>
                <w:b/>
                <w:sz w:val="20"/>
                <w:szCs w:val="20"/>
              </w:rPr>
              <w:t>0.37 (0.22, 0.51)</w:t>
            </w:r>
          </w:p>
        </w:tc>
        <w:tc>
          <w:tcPr>
            <w:tcW w:w="1417" w:type="dxa"/>
            <w:tcBorders>
              <w:bottom w:val="dashSmallGap" w:sz="4" w:space="0" w:color="auto"/>
            </w:tcBorders>
            <w:shd w:val="clear" w:color="auto" w:fill="FFFFFF" w:themeFill="background1"/>
            <w:vAlign w:val="center"/>
          </w:tcPr>
          <w:p w:rsidR="00C16D64" w:rsidRPr="00FC6E89" w:rsidRDefault="00C16D64" w:rsidP="009061DF">
            <w:pPr>
              <w:keepNext/>
              <w:keepLines/>
              <w:jc w:val="center"/>
              <w:rPr>
                <w:rFonts w:ascii="Arial Narrow" w:hAnsi="Arial Narrow" w:cs="Arial"/>
                <w:sz w:val="20"/>
                <w:szCs w:val="20"/>
              </w:rPr>
            </w:pPr>
            <w:r w:rsidRPr="00FC6E89">
              <w:rPr>
                <w:rFonts w:ascii="Arial Narrow" w:hAnsi="Arial Narrow" w:cs="Arial"/>
                <w:sz w:val="20"/>
                <w:szCs w:val="20"/>
              </w:rPr>
              <w:t>-</w:t>
            </w:r>
          </w:p>
        </w:tc>
        <w:tc>
          <w:tcPr>
            <w:tcW w:w="1136" w:type="dxa"/>
            <w:vMerge/>
            <w:shd w:val="clear" w:color="auto" w:fill="FFFFFF" w:themeFill="background1"/>
            <w:vAlign w:val="center"/>
          </w:tcPr>
          <w:p w:rsidR="00C16D64" w:rsidRPr="00FC6E89" w:rsidRDefault="00C16D64" w:rsidP="009061DF">
            <w:pPr>
              <w:keepNext/>
              <w:keepLines/>
              <w:jc w:val="center"/>
              <w:rPr>
                <w:rFonts w:ascii="Arial Narrow" w:hAnsi="Arial Narrow" w:cs="Arial"/>
                <w:sz w:val="20"/>
                <w:szCs w:val="20"/>
              </w:rPr>
            </w:pPr>
          </w:p>
        </w:tc>
      </w:tr>
      <w:tr w:rsidR="00C16D64" w:rsidRPr="00FC6E89" w:rsidTr="009061DF">
        <w:tc>
          <w:tcPr>
            <w:tcW w:w="1446" w:type="dxa"/>
            <w:vMerge/>
            <w:shd w:val="clear" w:color="auto" w:fill="FFFFFF" w:themeFill="background1"/>
            <w:vAlign w:val="center"/>
          </w:tcPr>
          <w:p w:rsidR="00C16D64" w:rsidRPr="00FC6E89" w:rsidRDefault="00C16D64" w:rsidP="009061DF">
            <w:pPr>
              <w:keepNext/>
              <w:keepLines/>
              <w:ind w:left="142"/>
              <w:rPr>
                <w:rFonts w:ascii="Arial Narrow" w:hAnsi="Arial Narrow" w:cs="Arial"/>
                <w:sz w:val="20"/>
                <w:szCs w:val="20"/>
              </w:rPr>
            </w:pPr>
          </w:p>
        </w:tc>
        <w:tc>
          <w:tcPr>
            <w:tcW w:w="992" w:type="dxa"/>
            <w:tcBorders>
              <w:top w:val="dashSmallGap" w:sz="4" w:space="0" w:color="auto"/>
            </w:tcBorders>
            <w:shd w:val="clear" w:color="auto" w:fill="FFFFFF" w:themeFill="background1"/>
            <w:vAlign w:val="center"/>
          </w:tcPr>
          <w:p w:rsidR="00C16D64" w:rsidRPr="00FC6E89" w:rsidRDefault="00C16D64" w:rsidP="009061DF">
            <w:pPr>
              <w:keepNext/>
              <w:keepLines/>
              <w:jc w:val="center"/>
              <w:rPr>
                <w:rFonts w:ascii="Arial Narrow" w:hAnsi="Arial Narrow" w:cs="Arial"/>
                <w:sz w:val="20"/>
                <w:szCs w:val="20"/>
              </w:rPr>
            </w:pPr>
            <w:r w:rsidRPr="00FC6E89">
              <w:rPr>
                <w:rFonts w:ascii="Arial Narrow" w:hAnsi="Arial Narrow" w:cs="Arial"/>
                <w:sz w:val="20"/>
                <w:szCs w:val="20"/>
              </w:rPr>
              <w:t>RR</w:t>
            </w:r>
          </w:p>
        </w:tc>
        <w:tc>
          <w:tcPr>
            <w:tcW w:w="1418" w:type="dxa"/>
            <w:tcBorders>
              <w:top w:val="dashSmallGap" w:sz="4" w:space="0" w:color="auto"/>
            </w:tcBorders>
            <w:shd w:val="clear" w:color="auto" w:fill="FFFFFF" w:themeFill="background1"/>
            <w:vAlign w:val="center"/>
          </w:tcPr>
          <w:p w:rsidR="00C16D64" w:rsidRPr="00FC6E89" w:rsidRDefault="00C16D64" w:rsidP="009061DF">
            <w:pPr>
              <w:keepNext/>
              <w:keepLines/>
              <w:jc w:val="center"/>
              <w:rPr>
                <w:rFonts w:ascii="Arial Narrow" w:hAnsi="Arial Narrow" w:cs="Arial"/>
                <w:b/>
                <w:sz w:val="20"/>
                <w:szCs w:val="20"/>
              </w:rPr>
            </w:pPr>
            <w:r w:rsidRPr="00FC6E89">
              <w:rPr>
                <w:rFonts w:ascii="Arial Narrow" w:hAnsi="Arial Narrow" w:cs="Arial"/>
                <w:b/>
                <w:sz w:val="20"/>
                <w:szCs w:val="20"/>
              </w:rPr>
              <w:t>1.47 (1.05, 2.06)</w:t>
            </w:r>
          </w:p>
        </w:tc>
        <w:tc>
          <w:tcPr>
            <w:tcW w:w="1417" w:type="dxa"/>
            <w:tcBorders>
              <w:top w:val="dashSmallGap" w:sz="4" w:space="0" w:color="auto"/>
            </w:tcBorders>
            <w:shd w:val="clear" w:color="auto" w:fill="FFFFFF" w:themeFill="background1"/>
            <w:vAlign w:val="center"/>
          </w:tcPr>
          <w:p w:rsidR="00C16D64" w:rsidRPr="00FC6E89" w:rsidRDefault="00C16D64" w:rsidP="009061DF">
            <w:pPr>
              <w:keepNext/>
              <w:keepLines/>
              <w:jc w:val="center"/>
              <w:rPr>
                <w:rFonts w:ascii="Arial Narrow" w:hAnsi="Arial Narrow" w:cs="Arial"/>
                <w:b/>
                <w:sz w:val="20"/>
                <w:szCs w:val="20"/>
              </w:rPr>
            </w:pPr>
            <w:r w:rsidRPr="00FC6E89">
              <w:rPr>
                <w:rFonts w:ascii="Arial Narrow" w:hAnsi="Arial Narrow" w:cs="Arial"/>
                <w:b/>
                <w:sz w:val="20"/>
                <w:szCs w:val="20"/>
              </w:rPr>
              <w:t>1.86 (1.4, 2.54)</w:t>
            </w:r>
          </w:p>
        </w:tc>
        <w:tc>
          <w:tcPr>
            <w:tcW w:w="1418" w:type="dxa"/>
            <w:tcBorders>
              <w:top w:val="dashSmallGap" w:sz="4" w:space="0" w:color="auto"/>
            </w:tcBorders>
            <w:shd w:val="clear" w:color="auto" w:fill="FFFFFF" w:themeFill="background1"/>
            <w:vAlign w:val="center"/>
          </w:tcPr>
          <w:p w:rsidR="00C16D64" w:rsidRPr="00FC6E89" w:rsidRDefault="00C16D64" w:rsidP="009061DF">
            <w:pPr>
              <w:keepNext/>
              <w:keepLines/>
              <w:jc w:val="center"/>
              <w:rPr>
                <w:rFonts w:ascii="Arial Narrow" w:hAnsi="Arial Narrow" w:cs="Arial"/>
                <w:b/>
                <w:sz w:val="20"/>
                <w:szCs w:val="20"/>
              </w:rPr>
            </w:pPr>
            <w:r w:rsidRPr="00FC6E89">
              <w:rPr>
                <w:rFonts w:ascii="Arial Narrow" w:hAnsi="Arial Narrow" w:cs="Arial"/>
                <w:b/>
                <w:sz w:val="20"/>
                <w:szCs w:val="20"/>
              </w:rPr>
              <w:t>1.93 (1.42, 2.61)</w:t>
            </w:r>
          </w:p>
        </w:tc>
        <w:tc>
          <w:tcPr>
            <w:tcW w:w="1417" w:type="dxa"/>
            <w:tcBorders>
              <w:top w:val="dashSmallGap" w:sz="4" w:space="0" w:color="auto"/>
            </w:tcBorders>
            <w:shd w:val="clear" w:color="auto" w:fill="FFFFFF" w:themeFill="background1"/>
            <w:vAlign w:val="center"/>
          </w:tcPr>
          <w:p w:rsidR="00C16D64" w:rsidRPr="00FC6E89" w:rsidRDefault="00C16D64" w:rsidP="009061DF">
            <w:pPr>
              <w:keepNext/>
              <w:keepLines/>
              <w:jc w:val="center"/>
              <w:rPr>
                <w:rFonts w:ascii="Arial Narrow" w:hAnsi="Arial Narrow" w:cs="Arial"/>
                <w:sz w:val="20"/>
                <w:szCs w:val="20"/>
              </w:rPr>
            </w:pPr>
            <w:r w:rsidRPr="00FC6E89">
              <w:rPr>
                <w:rFonts w:ascii="Arial Narrow" w:hAnsi="Arial Narrow" w:cs="Arial"/>
                <w:sz w:val="20"/>
                <w:szCs w:val="20"/>
              </w:rPr>
              <w:t>-</w:t>
            </w:r>
          </w:p>
        </w:tc>
        <w:tc>
          <w:tcPr>
            <w:tcW w:w="1136" w:type="dxa"/>
            <w:vMerge/>
            <w:shd w:val="clear" w:color="auto" w:fill="FFFFFF" w:themeFill="background1"/>
            <w:vAlign w:val="center"/>
          </w:tcPr>
          <w:p w:rsidR="00C16D64" w:rsidRPr="00FC6E89" w:rsidRDefault="00C16D64" w:rsidP="009061DF">
            <w:pPr>
              <w:keepNext/>
              <w:keepLines/>
              <w:jc w:val="center"/>
              <w:rPr>
                <w:rFonts w:ascii="Arial Narrow" w:hAnsi="Arial Narrow" w:cs="Arial"/>
                <w:sz w:val="20"/>
                <w:szCs w:val="20"/>
              </w:rPr>
            </w:pPr>
          </w:p>
        </w:tc>
      </w:tr>
    </w:tbl>
    <w:p w:rsidR="00C16D64" w:rsidRPr="00FC6E89" w:rsidRDefault="00C16D64" w:rsidP="00C16D64">
      <w:pPr>
        <w:rPr>
          <w:rFonts w:ascii="Arial Narrow" w:hAnsi="Arial Narrow" w:cs="Arial"/>
          <w:sz w:val="20"/>
          <w:szCs w:val="20"/>
        </w:rPr>
      </w:pPr>
      <w:r w:rsidRPr="00FC6E89">
        <w:rPr>
          <w:rFonts w:ascii="Arial Narrow" w:hAnsi="Arial Narrow" w:cs="Arial"/>
          <w:sz w:val="20"/>
          <w:szCs w:val="20"/>
        </w:rPr>
        <w:t>Note: Italics indicate results estimated during the evaluation, bold typography indicates statistically significant differences.</w:t>
      </w:r>
    </w:p>
    <w:p w:rsidR="00C16D64" w:rsidRPr="00FC6E89" w:rsidRDefault="00C16D64" w:rsidP="00C16D64">
      <w:pPr>
        <w:rPr>
          <w:rFonts w:ascii="Arial Narrow" w:hAnsi="Arial Narrow" w:cs="Arial"/>
          <w:sz w:val="20"/>
          <w:szCs w:val="20"/>
        </w:rPr>
      </w:pPr>
      <w:r w:rsidRPr="00FC6E89">
        <w:rPr>
          <w:rFonts w:ascii="Arial Narrow" w:hAnsi="Arial Narrow" w:cs="Arial"/>
          <w:sz w:val="20"/>
          <w:szCs w:val="20"/>
        </w:rPr>
        <w:t>Abbreviations: MPH-OROS; extended release methylphenidate (</w:t>
      </w:r>
      <w:proofErr w:type="spellStart"/>
      <w:r w:rsidRPr="00FC6E89">
        <w:rPr>
          <w:rFonts w:ascii="Arial Narrow" w:hAnsi="Arial Narrow" w:cs="Arial"/>
          <w:sz w:val="20"/>
          <w:szCs w:val="20"/>
        </w:rPr>
        <w:t>Concerta</w:t>
      </w:r>
      <w:proofErr w:type="spellEnd"/>
      <w:r w:rsidRPr="00FC6E89">
        <w:rPr>
          <w:rFonts w:ascii="Arial Narrow" w:hAnsi="Arial Narrow" w:cs="Arial"/>
          <w:sz w:val="20"/>
          <w:szCs w:val="20"/>
          <w:vertAlign w:val="superscript"/>
        </w:rPr>
        <w:t>®</w:t>
      </w:r>
      <w:r w:rsidRPr="00FC6E89">
        <w:rPr>
          <w:rFonts w:ascii="Arial Narrow" w:hAnsi="Arial Narrow" w:cs="Arial"/>
          <w:sz w:val="20"/>
          <w:szCs w:val="20"/>
        </w:rPr>
        <w:t>), PBO; placebo; RD=risk difference, RR=relative risk, ADHD-RS=ADHD rating scale, CGI-I=investigator rated clinical global impression-improvement. NR=not stated, i.e. MCID was not defined by submission.</w:t>
      </w:r>
    </w:p>
    <w:p w:rsidR="00C16D64" w:rsidRPr="00FC6E89" w:rsidRDefault="00C16D64" w:rsidP="00C16D64">
      <w:pPr>
        <w:rPr>
          <w:rFonts w:ascii="Arial Narrow" w:hAnsi="Arial Narrow" w:cs="Arial"/>
          <w:sz w:val="20"/>
          <w:szCs w:val="20"/>
        </w:rPr>
      </w:pPr>
      <w:r w:rsidRPr="00FC6E89">
        <w:rPr>
          <w:rFonts w:ascii="Arial Narrow" w:hAnsi="Arial Narrow" w:cs="Arial"/>
          <w:sz w:val="20"/>
          <w:szCs w:val="20"/>
        </w:rPr>
        <w:t>#</w:t>
      </w:r>
      <w:r w:rsidRPr="00FC6E89">
        <w:rPr>
          <w:rFonts w:ascii="Arial Narrow" w:hAnsi="Arial Narrow" w:cs="Arial"/>
          <w:sz w:val="20"/>
          <w:szCs w:val="20"/>
        </w:rPr>
        <w:tab/>
      </w:r>
      <w:proofErr w:type="gramStart"/>
      <w:r w:rsidRPr="00FC6E89">
        <w:rPr>
          <w:rFonts w:ascii="Arial Narrow" w:hAnsi="Arial Narrow" w:cs="Arial"/>
          <w:sz w:val="20"/>
          <w:szCs w:val="20"/>
        </w:rPr>
        <w:t>mean</w:t>
      </w:r>
      <w:proofErr w:type="gramEnd"/>
      <w:r w:rsidRPr="00FC6E89">
        <w:rPr>
          <w:rFonts w:ascii="Arial Narrow" w:hAnsi="Arial Narrow" w:cs="Arial"/>
          <w:sz w:val="20"/>
          <w:szCs w:val="20"/>
        </w:rPr>
        <w:t xml:space="preserve"> difference in changes from baseline to endpoint</w:t>
      </w:r>
    </w:p>
    <w:p w:rsidR="00C16D64" w:rsidRPr="00FC6E89" w:rsidRDefault="00C16D64" w:rsidP="00C16D64">
      <w:pPr>
        <w:ind w:left="165" w:hanging="165"/>
        <w:rPr>
          <w:rFonts w:ascii="Arial Narrow" w:hAnsi="Arial Narrow" w:cs="Arial"/>
          <w:sz w:val="20"/>
          <w:szCs w:val="20"/>
        </w:rPr>
      </w:pPr>
      <w:r w:rsidRPr="00FC6E89">
        <w:rPr>
          <w:rFonts w:ascii="Arial Narrow" w:hAnsi="Arial Narrow" w:cs="Arial"/>
          <w:sz w:val="20"/>
          <w:szCs w:val="20"/>
        </w:rPr>
        <w:t>^</w:t>
      </w:r>
      <w:r w:rsidRPr="00FC6E89">
        <w:rPr>
          <w:rFonts w:ascii="Arial Narrow" w:hAnsi="Arial Narrow" w:cs="Arial"/>
          <w:sz w:val="20"/>
          <w:szCs w:val="20"/>
        </w:rPr>
        <w:tab/>
        <w:t>Improvement includes CGI-I categories ‘very much improved’ and much improved (no improvement includes all other categories)</w:t>
      </w:r>
    </w:p>
    <w:p w:rsidR="00C16D64" w:rsidRPr="00FC6E89" w:rsidRDefault="00C16D64" w:rsidP="00C16D64">
      <w:pPr>
        <w:ind w:left="165" w:hanging="165"/>
        <w:rPr>
          <w:rFonts w:ascii="Arial Narrow" w:hAnsi="Arial Narrow" w:cs="Arial"/>
          <w:sz w:val="20"/>
          <w:szCs w:val="20"/>
        </w:rPr>
      </w:pPr>
      <w:r w:rsidRPr="00FC6E89">
        <w:rPr>
          <w:rFonts w:ascii="Arial Narrow" w:hAnsi="Arial Narrow" w:cs="Arial"/>
          <w:sz w:val="20"/>
          <w:szCs w:val="20"/>
        </w:rPr>
        <w:t>*</w:t>
      </w:r>
      <w:r w:rsidRPr="00FC6E89">
        <w:rPr>
          <w:rFonts w:ascii="Arial Narrow" w:hAnsi="Arial Narrow" w:cs="Arial"/>
          <w:sz w:val="20"/>
          <w:szCs w:val="20"/>
        </w:rPr>
        <w:tab/>
        <w:t xml:space="preserve"> Need to exceed the MCID target to claim superiority, if the mean difference is within the MCID specified, then can only claim non-inferiority</w:t>
      </w:r>
    </w:p>
    <w:p w:rsidR="00C16D64" w:rsidRPr="00FC6E89" w:rsidRDefault="00C16D64" w:rsidP="00C16D64">
      <w:pPr>
        <w:rPr>
          <w:rFonts w:ascii="Arial Narrow" w:hAnsi="Arial Narrow" w:cs="Arial"/>
          <w:sz w:val="20"/>
          <w:szCs w:val="20"/>
        </w:rPr>
      </w:pPr>
      <w:r w:rsidRPr="00FC6E89">
        <w:rPr>
          <w:rFonts w:ascii="Arial Narrow" w:hAnsi="Arial Narrow" w:cs="Arial"/>
          <w:sz w:val="20"/>
          <w:szCs w:val="20"/>
        </w:rPr>
        <w:t>Source: Table B.6.4 of the July 2013 Commentary, Results form Table B.6.1 above for SPD489-325.</w:t>
      </w:r>
    </w:p>
    <w:p w:rsidR="00C16D64" w:rsidRPr="00F0385B" w:rsidRDefault="00C16D64" w:rsidP="00D3575F">
      <w:pPr>
        <w:ind w:firstLine="720"/>
        <w:rPr>
          <w:highlight w:val="lightGray"/>
        </w:rPr>
      </w:pPr>
    </w:p>
    <w:p w:rsidR="002948C0" w:rsidRPr="0062377D" w:rsidRDefault="00040D9E" w:rsidP="00243655">
      <w:pPr>
        <w:pStyle w:val="ListParagraph"/>
        <w:numPr>
          <w:ilvl w:val="1"/>
          <w:numId w:val="25"/>
        </w:numPr>
        <w:ind w:left="709" w:hanging="709"/>
        <w:jc w:val="both"/>
        <w:rPr>
          <w:rFonts w:ascii="Arial" w:hAnsi="Arial"/>
          <w:sz w:val="22"/>
          <w:szCs w:val="22"/>
        </w:rPr>
      </w:pPr>
      <w:r w:rsidRPr="0062377D">
        <w:rPr>
          <w:rFonts w:ascii="Arial" w:hAnsi="Arial" w:cs="Arial"/>
          <w:sz w:val="22"/>
          <w:szCs w:val="22"/>
        </w:rPr>
        <w:t>While</w:t>
      </w:r>
      <w:r w:rsidR="002948C0" w:rsidRPr="0062377D">
        <w:rPr>
          <w:rFonts w:ascii="Arial" w:hAnsi="Arial" w:cs="Arial"/>
          <w:sz w:val="22"/>
          <w:szCs w:val="22"/>
        </w:rPr>
        <w:t xml:space="preserve"> increased efficacy of LDX versus MPH-OROS </w:t>
      </w:r>
      <w:r w:rsidRPr="0062377D">
        <w:rPr>
          <w:rFonts w:ascii="Arial" w:hAnsi="Arial" w:cs="Arial"/>
          <w:sz w:val="22"/>
          <w:szCs w:val="22"/>
        </w:rPr>
        <w:t xml:space="preserve">was </w:t>
      </w:r>
      <w:r w:rsidR="002948C0" w:rsidRPr="0062377D">
        <w:rPr>
          <w:rFonts w:ascii="Arial" w:hAnsi="Arial" w:cs="Arial"/>
          <w:sz w:val="22"/>
          <w:szCs w:val="22"/>
        </w:rPr>
        <w:t>observed amongst adolescents compared with children in the sub-group analyses conducted for Trial SPD489-325</w:t>
      </w:r>
      <w:r w:rsidRPr="0062377D">
        <w:rPr>
          <w:rFonts w:ascii="Arial" w:hAnsi="Arial" w:cs="Arial"/>
          <w:sz w:val="22"/>
          <w:szCs w:val="22"/>
        </w:rPr>
        <w:t>, this was</w:t>
      </w:r>
      <w:r w:rsidR="002948C0" w:rsidRPr="0062377D">
        <w:rPr>
          <w:rFonts w:ascii="Arial" w:hAnsi="Arial" w:cs="Arial"/>
          <w:sz w:val="22"/>
          <w:szCs w:val="22"/>
        </w:rPr>
        <w:t xml:space="preserve"> not supported by the results of SPD489-301 and -305.  In fact, the results of the SPD489-301 and -305 suggest the opposite, that LDX may be more efficacious in children than adolescents.  While the Pre-Sub-Committee Response (PSCR</w:t>
      </w:r>
      <w:r w:rsidR="00300BE1" w:rsidRPr="0062377D">
        <w:rPr>
          <w:rFonts w:ascii="Arial" w:hAnsi="Arial" w:cs="Arial"/>
          <w:sz w:val="22"/>
          <w:szCs w:val="22"/>
        </w:rPr>
        <w:t xml:space="preserve">, </w:t>
      </w:r>
      <w:r w:rsidR="002948C0" w:rsidRPr="0062377D">
        <w:rPr>
          <w:rFonts w:ascii="Arial" w:hAnsi="Arial" w:cs="Arial"/>
          <w:sz w:val="22"/>
          <w:szCs w:val="22"/>
        </w:rPr>
        <w:t>p2) argued that this finding is an artefact of forced dosing, where the adolescents were under-dosed, the ESC felt that a higher dose in adolescents may not have increased efficacy, and that this is not a reasonable explanation as to why LDX was less efficacious in adolescents in SPD489-301 and -305. Furthermore, no dose response effect was observed from 50</w:t>
      </w:r>
      <w:r w:rsidR="00737946">
        <w:rPr>
          <w:rFonts w:ascii="Arial" w:hAnsi="Arial" w:cs="Arial"/>
          <w:sz w:val="22"/>
          <w:szCs w:val="22"/>
        </w:rPr>
        <w:t xml:space="preserve"> </w:t>
      </w:r>
      <w:r w:rsidR="002948C0" w:rsidRPr="0062377D">
        <w:rPr>
          <w:rFonts w:ascii="Arial" w:hAnsi="Arial" w:cs="Arial"/>
          <w:sz w:val="22"/>
          <w:szCs w:val="22"/>
        </w:rPr>
        <w:t>mg to 70</w:t>
      </w:r>
      <w:r w:rsidR="00737946">
        <w:rPr>
          <w:rFonts w:ascii="Arial" w:hAnsi="Arial" w:cs="Arial"/>
          <w:sz w:val="22"/>
          <w:szCs w:val="22"/>
        </w:rPr>
        <w:t xml:space="preserve"> </w:t>
      </w:r>
      <w:r w:rsidR="002948C0" w:rsidRPr="0062377D">
        <w:rPr>
          <w:rFonts w:ascii="Arial" w:hAnsi="Arial" w:cs="Arial"/>
          <w:sz w:val="22"/>
          <w:szCs w:val="22"/>
        </w:rPr>
        <w:t xml:space="preserve">mg </w:t>
      </w:r>
      <w:proofErr w:type="spellStart"/>
      <w:r w:rsidR="002948C0" w:rsidRPr="0062377D">
        <w:rPr>
          <w:rFonts w:ascii="Arial" w:hAnsi="Arial" w:cs="Arial"/>
          <w:sz w:val="22"/>
          <w:szCs w:val="22"/>
        </w:rPr>
        <w:t>lisdexamf</w:t>
      </w:r>
      <w:r w:rsidR="00300BE1" w:rsidRPr="0062377D">
        <w:rPr>
          <w:rFonts w:ascii="Arial" w:hAnsi="Arial" w:cs="Arial"/>
          <w:sz w:val="22"/>
          <w:szCs w:val="22"/>
        </w:rPr>
        <w:t>e</w:t>
      </w:r>
      <w:r w:rsidR="002948C0" w:rsidRPr="0062377D">
        <w:rPr>
          <w:rFonts w:ascii="Arial" w:hAnsi="Arial" w:cs="Arial"/>
          <w:sz w:val="22"/>
          <w:szCs w:val="22"/>
        </w:rPr>
        <w:t>tamine</w:t>
      </w:r>
      <w:proofErr w:type="spellEnd"/>
      <w:r w:rsidR="002948C0" w:rsidRPr="0062377D">
        <w:rPr>
          <w:rFonts w:ascii="Arial" w:hAnsi="Arial" w:cs="Arial"/>
          <w:sz w:val="22"/>
          <w:szCs w:val="22"/>
        </w:rPr>
        <w:t xml:space="preserve"> compared to placebo amongst adolescents</w:t>
      </w:r>
      <w:r w:rsidRPr="0062377D">
        <w:rPr>
          <w:rFonts w:ascii="Arial" w:hAnsi="Arial" w:cs="Arial"/>
          <w:sz w:val="22"/>
          <w:szCs w:val="22"/>
        </w:rPr>
        <w:t>.</w:t>
      </w:r>
    </w:p>
    <w:p w:rsidR="002B30C3" w:rsidRDefault="002B30C3" w:rsidP="002B30C3">
      <w:pPr>
        <w:pStyle w:val="ListParagraph"/>
        <w:ind w:left="709"/>
        <w:jc w:val="both"/>
        <w:rPr>
          <w:rFonts w:ascii="Arial" w:hAnsi="Arial" w:cs="Arial"/>
          <w:sz w:val="22"/>
          <w:szCs w:val="22"/>
        </w:rPr>
      </w:pPr>
    </w:p>
    <w:p w:rsidR="002B30C3" w:rsidRPr="00BB7EC3" w:rsidRDefault="002B30C3" w:rsidP="002B30C3">
      <w:pPr>
        <w:pStyle w:val="ListParagraph"/>
        <w:ind w:left="360"/>
        <w:jc w:val="both"/>
        <w:rPr>
          <w:rFonts w:ascii="Arial" w:hAnsi="Arial"/>
          <w:i/>
          <w:sz w:val="22"/>
          <w:szCs w:val="22"/>
        </w:rPr>
      </w:pPr>
      <w:r>
        <w:rPr>
          <w:rFonts w:ascii="Arial" w:hAnsi="Arial"/>
          <w:i/>
          <w:sz w:val="22"/>
          <w:szCs w:val="22"/>
        </w:rPr>
        <w:t>For more detail on PBAC’s view, see section 7 “PBAC outcome”</w:t>
      </w:r>
    </w:p>
    <w:p w:rsidR="002B30C3" w:rsidRPr="002B30C3" w:rsidRDefault="002B30C3" w:rsidP="002B30C3">
      <w:pPr>
        <w:pStyle w:val="ListParagraph"/>
        <w:ind w:left="360"/>
        <w:jc w:val="both"/>
        <w:rPr>
          <w:rFonts w:ascii="Arial" w:hAnsi="Arial"/>
          <w:b/>
          <w:i/>
          <w:sz w:val="22"/>
          <w:szCs w:val="22"/>
        </w:rPr>
      </w:pPr>
    </w:p>
    <w:p w:rsidR="002B30C3" w:rsidRPr="00FC6E89" w:rsidRDefault="007C5C6B" w:rsidP="002B30C3">
      <w:pPr>
        <w:jc w:val="both"/>
        <w:rPr>
          <w:rFonts w:ascii="Arial" w:hAnsi="Arial"/>
          <w:b/>
          <w:i/>
          <w:sz w:val="22"/>
          <w:szCs w:val="22"/>
        </w:rPr>
      </w:pPr>
      <w:r>
        <w:rPr>
          <w:rFonts w:ascii="Arial" w:hAnsi="Arial"/>
          <w:b/>
          <w:i/>
          <w:sz w:val="22"/>
          <w:szCs w:val="22"/>
        </w:rPr>
        <w:t>C</w:t>
      </w:r>
      <w:r w:rsidR="002B30C3" w:rsidRPr="00FC6E89">
        <w:rPr>
          <w:rFonts w:ascii="Arial" w:hAnsi="Arial"/>
          <w:b/>
          <w:i/>
          <w:sz w:val="22"/>
          <w:szCs w:val="22"/>
        </w:rPr>
        <w:t>omparative harms</w:t>
      </w:r>
    </w:p>
    <w:p w:rsidR="002B30C3" w:rsidRPr="00FC6E89" w:rsidRDefault="002B30C3" w:rsidP="002B30C3">
      <w:pPr>
        <w:pStyle w:val="ListParagraph"/>
        <w:ind w:left="709"/>
        <w:jc w:val="both"/>
        <w:rPr>
          <w:rFonts w:ascii="Arial" w:hAnsi="Arial" w:cs="Arial"/>
          <w:sz w:val="22"/>
          <w:szCs w:val="22"/>
        </w:rPr>
      </w:pPr>
    </w:p>
    <w:p w:rsidR="002B30C3" w:rsidRPr="00FC6E89" w:rsidRDefault="002B30C3" w:rsidP="00243655">
      <w:pPr>
        <w:pStyle w:val="ListParagraph"/>
        <w:numPr>
          <w:ilvl w:val="1"/>
          <w:numId w:val="25"/>
        </w:numPr>
        <w:ind w:left="709" w:hanging="709"/>
        <w:jc w:val="both"/>
        <w:rPr>
          <w:rFonts w:ascii="Arial" w:hAnsi="Arial"/>
          <w:sz w:val="22"/>
          <w:szCs w:val="22"/>
        </w:rPr>
      </w:pPr>
      <w:r w:rsidRPr="00FC6E89">
        <w:rPr>
          <w:rFonts w:ascii="Arial" w:hAnsi="Arial" w:cs="Arial"/>
          <w:sz w:val="22"/>
          <w:szCs w:val="22"/>
        </w:rPr>
        <w:t xml:space="preserve">The pattern of adverse effects (AEs) in the subgroups is similar to what was observed for the overall population.  No formal statistical comparisons were conducted for the </w:t>
      </w:r>
      <w:r w:rsidR="00893FAF" w:rsidRPr="00FC6E89">
        <w:rPr>
          <w:rFonts w:ascii="Arial" w:hAnsi="Arial" w:cs="Arial"/>
          <w:sz w:val="22"/>
          <w:szCs w:val="22"/>
        </w:rPr>
        <w:t>subgroups;</w:t>
      </w:r>
      <w:r w:rsidRPr="00FC6E89">
        <w:rPr>
          <w:rFonts w:ascii="Arial" w:hAnsi="Arial" w:cs="Arial"/>
          <w:sz w:val="22"/>
          <w:szCs w:val="22"/>
        </w:rPr>
        <w:t xml:space="preserve"> however, given the smaller sample sizes of the subgroups, statistical tests are unlikely to have sufficient power to detect any meaningful differences in AEs.  </w:t>
      </w:r>
    </w:p>
    <w:p w:rsidR="002B30C3" w:rsidRPr="00FC6E89" w:rsidRDefault="002B30C3" w:rsidP="002B30C3">
      <w:pPr>
        <w:pStyle w:val="ListParagraph"/>
        <w:ind w:left="851"/>
        <w:jc w:val="both"/>
        <w:rPr>
          <w:rFonts w:ascii="Arial" w:hAnsi="Arial"/>
          <w:sz w:val="22"/>
          <w:szCs w:val="22"/>
        </w:rPr>
      </w:pPr>
    </w:p>
    <w:p w:rsidR="002B30C3" w:rsidRPr="00FC6E89" w:rsidRDefault="00300BE1" w:rsidP="00243655">
      <w:pPr>
        <w:pStyle w:val="ListParagraph"/>
        <w:numPr>
          <w:ilvl w:val="1"/>
          <w:numId w:val="25"/>
        </w:numPr>
        <w:ind w:left="709" w:hanging="709"/>
        <w:jc w:val="both"/>
        <w:rPr>
          <w:rFonts w:ascii="Arial" w:hAnsi="Arial"/>
          <w:sz w:val="22"/>
          <w:szCs w:val="22"/>
        </w:rPr>
      </w:pPr>
      <w:r w:rsidRPr="00FC6E89">
        <w:rPr>
          <w:rFonts w:ascii="Arial" w:hAnsi="Arial"/>
          <w:bCs/>
          <w:sz w:val="22"/>
        </w:rPr>
        <w:t xml:space="preserve">Given Trial SPD489-325 enrolled both children and adolescents and provided a head-to-head comparison of LDX and MPH-OROS (albeit </w:t>
      </w:r>
      <w:r w:rsidRPr="00FC6E89">
        <w:rPr>
          <w:rFonts w:ascii="Arial" w:hAnsi="Arial"/>
          <w:bCs/>
          <w:iCs/>
          <w:sz w:val="22"/>
        </w:rPr>
        <w:t>post hoc</w:t>
      </w:r>
      <w:r w:rsidRPr="00FC6E89">
        <w:rPr>
          <w:rFonts w:ascii="Arial" w:hAnsi="Arial"/>
          <w:bCs/>
          <w:sz w:val="22"/>
        </w:rPr>
        <w:t xml:space="preserve">), the </w:t>
      </w:r>
      <w:r w:rsidRPr="00FC6E89">
        <w:rPr>
          <w:rFonts w:ascii="Arial" w:hAnsi="Arial"/>
          <w:bCs/>
          <w:sz w:val="22"/>
        </w:rPr>
        <w:lastRenderedPageBreak/>
        <w:t>resubmission’s approach to performing sub-group analyses is considered inappropriate and unnecessary</w:t>
      </w:r>
      <w:proofErr w:type="gramStart"/>
      <w:r w:rsidR="00A22986">
        <w:rPr>
          <w:rFonts w:ascii="Arial" w:hAnsi="Arial"/>
          <w:bCs/>
          <w:sz w:val="22"/>
        </w:rPr>
        <w:t>.</w:t>
      </w:r>
      <w:r w:rsidRPr="00FC6E89">
        <w:rPr>
          <w:rFonts w:ascii="Arial" w:hAnsi="Arial"/>
          <w:bCs/>
          <w:sz w:val="22"/>
        </w:rPr>
        <w:t>.</w:t>
      </w:r>
      <w:proofErr w:type="gramEnd"/>
      <w:r w:rsidRPr="00FC6E89">
        <w:rPr>
          <w:rFonts w:ascii="Arial" w:hAnsi="Arial"/>
          <w:bCs/>
          <w:sz w:val="22"/>
        </w:rPr>
        <w:t xml:space="preserve">   </w:t>
      </w:r>
    </w:p>
    <w:p w:rsidR="002B30C3" w:rsidRPr="00FC6E89" w:rsidRDefault="002B30C3" w:rsidP="002B30C3">
      <w:pPr>
        <w:pStyle w:val="ListParagraph"/>
        <w:ind w:left="709"/>
        <w:jc w:val="both"/>
        <w:rPr>
          <w:rStyle w:val="CommentReference"/>
          <w:rFonts w:ascii="Arial" w:hAnsi="Arial" w:cs="Arial"/>
          <w:sz w:val="22"/>
          <w:szCs w:val="22"/>
        </w:rPr>
      </w:pPr>
    </w:p>
    <w:p w:rsidR="00300BE1" w:rsidRPr="00FC6E89" w:rsidRDefault="00300BE1" w:rsidP="00243655">
      <w:pPr>
        <w:pStyle w:val="ListParagraph"/>
        <w:numPr>
          <w:ilvl w:val="1"/>
          <w:numId w:val="25"/>
        </w:numPr>
        <w:ind w:left="709" w:hanging="709"/>
        <w:jc w:val="both"/>
        <w:rPr>
          <w:rStyle w:val="CommentReference"/>
          <w:rFonts w:ascii="Arial" w:hAnsi="Arial"/>
          <w:sz w:val="22"/>
          <w:szCs w:val="22"/>
        </w:rPr>
      </w:pPr>
      <w:r w:rsidRPr="00FC6E89">
        <w:rPr>
          <w:rStyle w:val="CommentReference"/>
          <w:rFonts w:ascii="Arial" w:hAnsi="Arial" w:cs="Arial"/>
          <w:sz w:val="22"/>
          <w:szCs w:val="22"/>
        </w:rPr>
        <w:t>A summary of comparative benefits and harms for LDX versus MPH-OROS in the FAS of Trial SPD489-325 are shown below:</w:t>
      </w:r>
    </w:p>
    <w:p w:rsidR="00300BE1" w:rsidRPr="001C1976" w:rsidRDefault="00300BE1" w:rsidP="00300BE1">
      <w:pPr>
        <w:pStyle w:val="ListParagraph"/>
        <w:rPr>
          <w:rFonts w:ascii="Arial Narrow" w:hAnsi="Arial Narrow" w:cs="Arial"/>
          <w:sz w:val="20"/>
          <w:szCs w:val="20"/>
        </w:rPr>
      </w:pPr>
    </w:p>
    <w:tbl>
      <w:tblPr>
        <w:tblStyle w:val="TableGrid"/>
        <w:tblW w:w="5000" w:type="pct"/>
        <w:tblCellMar>
          <w:left w:w="28" w:type="dxa"/>
          <w:right w:w="28" w:type="dxa"/>
        </w:tblCellMar>
        <w:tblLook w:val="04A0" w:firstRow="1" w:lastRow="0" w:firstColumn="1" w:lastColumn="0" w:noHBand="0" w:noVBand="1"/>
        <w:tblDescription w:val="summary of comparative benefits and harms for LDX versus MPH-OROS"/>
      </w:tblPr>
      <w:tblGrid>
        <w:gridCol w:w="698"/>
        <w:gridCol w:w="539"/>
        <w:gridCol w:w="725"/>
        <w:gridCol w:w="340"/>
        <w:gridCol w:w="850"/>
        <w:gridCol w:w="1037"/>
        <w:gridCol w:w="603"/>
        <w:gridCol w:w="599"/>
        <w:gridCol w:w="839"/>
        <w:gridCol w:w="1482"/>
        <w:gridCol w:w="1370"/>
      </w:tblGrid>
      <w:tr w:rsidR="00300BE1" w:rsidRPr="00BE5144" w:rsidTr="0004516B">
        <w:trPr>
          <w:trHeight w:val="150"/>
          <w:tblHeader/>
        </w:trPr>
        <w:tc>
          <w:tcPr>
            <w:tcW w:w="384" w:type="pct"/>
            <w:vMerge w:val="restart"/>
            <w:shd w:val="clear" w:color="auto" w:fill="auto"/>
            <w:vAlign w:val="center"/>
          </w:tcPr>
          <w:p w:rsidR="00300BE1" w:rsidRPr="00BE5144" w:rsidRDefault="00300BE1" w:rsidP="002B30C3">
            <w:pPr>
              <w:rPr>
                <w:rFonts w:ascii="Arial Narrow" w:hAnsi="Arial Narrow" w:cs="Arial"/>
                <w:b/>
                <w:color w:val="000000"/>
                <w:sz w:val="20"/>
                <w:szCs w:val="20"/>
              </w:rPr>
            </w:pPr>
            <w:r w:rsidRPr="00BE5144">
              <w:rPr>
                <w:rFonts w:ascii="Arial Narrow" w:hAnsi="Arial Narrow" w:cs="Arial"/>
                <w:b/>
                <w:color w:val="000000"/>
                <w:sz w:val="20"/>
                <w:szCs w:val="20"/>
              </w:rPr>
              <w:t>Trial</w:t>
            </w:r>
          </w:p>
        </w:tc>
        <w:tc>
          <w:tcPr>
            <w:tcW w:w="696" w:type="pct"/>
            <w:gridSpan w:val="2"/>
            <w:vMerge w:val="restart"/>
            <w:vAlign w:val="center"/>
          </w:tcPr>
          <w:p w:rsidR="00300BE1" w:rsidRPr="00BE5144" w:rsidRDefault="00300BE1" w:rsidP="002B30C3">
            <w:pPr>
              <w:jc w:val="center"/>
              <w:rPr>
                <w:rFonts w:ascii="Arial Narrow" w:hAnsi="Arial Narrow" w:cs="Arial"/>
                <w:b/>
                <w:color w:val="000000"/>
                <w:sz w:val="20"/>
                <w:szCs w:val="20"/>
              </w:rPr>
            </w:pPr>
            <w:r w:rsidRPr="00BE5144">
              <w:rPr>
                <w:rFonts w:ascii="Arial Narrow" w:hAnsi="Arial Narrow" w:cs="Arial"/>
                <w:b/>
                <w:color w:val="000000"/>
                <w:sz w:val="20"/>
                <w:szCs w:val="20"/>
              </w:rPr>
              <w:t>LDX</w:t>
            </w:r>
          </w:p>
        </w:tc>
        <w:tc>
          <w:tcPr>
            <w:tcW w:w="655" w:type="pct"/>
            <w:gridSpan w:val="2"/>
            <w:vMerge w:val="restart"/>
            <w:vAlign w:val="center"/>
          </w:tcPr>
          <w:p w:rsidR="00300BE1" w:rsidRPr="00BE5144" w:rsidRDefault="00300BE1" w:rsidP="002B30C3">
            <w:pPr>
              <w:jc w:val="center"/>
              <w:rPr>
                <w:rFonts w:ascii="Arial Narrow" w:hAnsi="Arial Narrow" w:cs="Arial"/>
                <w:b/>
                <w:color w:val="000000"/>
                <w:sz w:val="20"/>
                <w:szCs w:val="20"/>
              </w:rPr>
            </w:pPr>
            <w:r w:rsidRPr="00BE5144">
              <w:rPr>
                <w:rFonts w:ascii="Arial Narrow" w:hAnsi="Arial Narrow" w:cs="Arial"/>
                <w:b/>
                <w:color w:val="000000"/>
                <w:sz w:val="20"/>
                <w:szCs w:val="20"/>
              </w:rPr>
              <w:t>MPH-OROS</w:t>
            </w:r>
          </w:p>
        </w:tc>
        <w:tc>
          <w:tcPr>
            <w:tcW w:w="903" w:type="pct"/>
            <w:gridSpan w:val="2"/>
            <w:vMerge w:val="restart"/>
            <w:vAlign w:val="center"/>
          </w:tcPr>
          <w:p w:rsidR="00300BE1" w:rsidRPr="00BE5144" w:rsidRDefault="00300BE1" w:rsidP="002B30C3">
            <w:pPr>
              <w:jc w:val="center"/>
              <w:rPr>
                <w:rFonts w:ascii="Arial Narrow" w:hAnsi="Arial Narrow" w:cs="Arial"/>
                <w:b/>
                <w:color w:val="000000"/>
                <w:sz w:val="20"/>
                <w:szCs w:val="20"/>
              </w:rPr>
            </w:pPr>
            <w:r w:rsidRPr="00BE5144">
              <w:rPr>
                <w:rFonts w:ascii="Arial Narrow" w:hAnsi="Arial Narrow" w:cs="Arial"/>
                <w:b/>
                <w:color w:val="000000"/>
                <w:sz w:val="20"/>
                <w:szCs w:val="20"/>
              </w:rPr>
              <w:t>RR</w:t>
            </w:r>
          </w:p>
          <w:p w:rsidR="00300BE1" w:rsidRPr="00BE5144" w:rsidRDefault="00300BE1" w:rsidP="002B30C3">
            <w:pPr>
              <w:jc w:val="center"/>
              <w:rPr>
                <w:rFonts w:ascii="Arial Narrow" w:hAnsi="Arial Narrow" w:cs="Arial"/>
                <w:b/>
                <w:color w:val="000000"/>
                <w:sz w:val="20"/>
                <w:szCs w:val="20"/>
              </w:rPr>
            </w:pPr>
            <w:r w:rsidRPr="00BE5144">
              <w:rPr>
                <w:rFonts w:ascii="Arial Narrow" w:hAnsi="Arial Narrow" w:cs="Arial"/>
                <w:b/>
                <w:color w:val="000000"/>
                <w:sz w:val="20"/>
                <w:szCs w:val="20"/>
              </w:rPr>
              <w:t>(95% CI)</w:t>
            </w:r>
          </w:p>
        </w:tc>
        <w:tc>
          <w:tcPr>
            <w:tcW w:w="1608" w:type="pct"/>
            <w:gridSpan w:val="3"/>
            <w:vAlign w:val="center"/>
          </w:tcPr>
          <w:p w:rsidR="00300BE1" w:rsidRPr="00BE5144" w:rsidRDefault="00300BE1" w:rsidP="002B30C3">
            <w:pPr>
              <w:jc w:val="center"/>
              <w:rPr>
                <w:rFonts w:ascii="Arial Narrow" w:hAnsi="Arial Narrow" w:cs="Arial"/>
                <w:b/>
                <w:color w:val="000000"/>
                <w:sz w:val="20"/>
                <w:szCs w:val="20"/>
              </w:rPr>
            </w:pPr>
            <w:r w:rsidRPr="00BE5144">
              <w:rPr>
                <w:rFonts w:ascii="Arial Narrow" w:hAnsi="Arial Narrow" w:cs="Arial"/>
                <w:b/>
                <w:color w:val="000000"/>
                <w:sz w:val="20"/>
                <w:szCs w:val="20"/>
              </w:rPr>
              <w:t xml:space="preserve">Event rate/100 patients* </w:t>
            </w:r>
          </w:p>
        </w:tc>
        <w:tc>
          <w:tcPr>
            <w:tcW w:w="755" w:type="pct"/>
            <w:vMerge w:val="restart"/>
            <w:vAlign w:val="center"/>
          </w:tcPr>
          <w:p w:rsidR="00300BE1" w:rsidRPr="00BE5144" w:rsidRDefault="00300BE1" w:rsidP="002B30C3">
            <w:pPr>
              <w:jc w:val="center"/>
              <w:rPr>
                <w:rFonts w:ascii="Arial Narrow" w:hAnsi="Arial Narrow" w:cs="Arial"/>
                <w:b/>
                <w:color w:val="000000"/>
                <w:sz w:val="20"/>
                <w:szCs w:val="20"/>
              </w:rPr>
            </w:pPr>
            <w:r w:rsidRPr="00BE5144">
              <w:rPr>
                <w:rFonts w:ascii="Arial Narrow" w:hAnsi="Arial Narrow" w:cs="Arial"/>
                <w:b/>
                <w:color w:val="000000"/>
                <w:sz w:val="20"/>
                <w:szCs w:val="20"/>
              </w:rPr>
              <w:t>RD</w:t>
            </w:r>
          </w:p>
          <w:p w:rsidR="00300BE1" w:rsidRPr="00BE5144" w:rsidRDefault="00300BE1" w:rsidP="002B30C3">
            <w:pPr>
              <w:jc w:val="center"/>
              <w:rPr>
                <w:rFonts w:ascii="Arial Narrow" w:hAnsi="Arial Narrow" w:cs="Arial"/>
                <w:b/>
                <w:color w:val="000000"/>
                <w:sz w:val="20"/>
                <w:szCs w:val="20"/>
              </w:rPr>
            </w:pPr>
            <w:r w:rsidRPr="00BE5144">
              <w:rPr>
                <w:rFonts w:ascii="Arial Narrow" w:hAnsi="Arial Narrow" w:cs="Arial"/>
                <w:b/>
                <w:color w:val="000000"/>
                <w:sz w:val="20"/>
                <w:szCs w:val="20"/>
              </w:rPr>
              <w:t>(95% CI)</w:t>
            </w:r>
          </w:p>
        </w:tc>
      </w:tr>
      <w:tr w:rsidR="00300BE1" w:rsidRPr="00BE5144" w:rsidTr="0004516B">
        <w:trPr>
          <w:trHeight w:val="315"/>
          <w:tblHeader/>
        </w:trPr>
        <w:tc>
          <w:tcPr>
            <w:tcW w:w="384" w:type="pct"/>
            <w:vMerge/>
            <w:shd w:val="clear" w:color="auto" w:fill="auto"/>
            <w:vAlign w:val="center"/>
          </w:tcPr>
          <w:p w:rsidR="00300BE1" w:rsidRPr="00BE5144" w:rsidRDefault="00300BE1" w:rsidP="002B30C3">
            <w:pPr>
              <w:rPr>
                <w:rFonts w:ascii="Arial Narrow" w:hAnsi="Arial Narrow" w:cs="Arial"/>
                <w:b/>
                <w:color w:val="000000"/>
                <w:sz w:val="20"/>
                <w:szCs w:val="20"/>
              </w:rPr>
            </w:pPr>
          </w:p>
        </w:tc>
        <w:tc>
          <w:tcPr>
            <w:tcW w:w="696" w:type="pct"/>
            <w:gridSpan w:val="2"/>
            <w:vMerge/>
            <w:vAlign w:val="center"/>
          </w:tcPr>
          <w:p w:rsidR="00300BE1" w:rsidRPr="00BE5144" w:rsidRDefault="00300BE1" w:rsidP="002B30C3">
            <w:pPr>
              <w:jc w:val="center"/>
              <w:rPr>
                <w:rFonts w:ascii="Arial Narrow" w:hAnsi="Arial Narrow" w:cs="Arial"/>
                <w:b/>
                <w:color w:val="000000"/>
                <w:sz w:val="20"/>
                <w:szCs w:val="20"/>
              </w:rPr>
            </w:pPr>
          </w:p>
        </w:tc>
        <w:tc>
          <w:tcPr>
            <w:tcW w:w="655" w:type="pct"/>
            <w:gridSpan w:val="2"/>
            <w:vMerge/>
            <w:vAlign w:val="center"/>
          </w:tcPr>
          <w:p w:rsidR="00300BE1" w:rsidRPr="00BE5144" w:rsidRDefault="00300BE1" w:rsidP="002B30C3">
            <w:pPr>
              <w:jc w:val="center"/>
              <w:rPr>
                <w:rFonts w:ascii="Arial Narrow" w:hAnsi="Arial Narrow" w:cs="Arial"/>
                <w:b/>
                <w:color w:val="000000"/>
                <w:sz w:val="20"/>
                <w:szCs w:val="20"/>
              </w:rPr>
            </w:pPr>
          </w:p>
        </w:tc>
        <w:tc>
          <w:tcPr>
            <w:tcW w:w="903" w:type="pct"/>
            <w:gridSpan w:val="2"/>
            <w:vMerge/>
            <w:vAlign w:val="center"/>
          </w:tcPr>
          <w:p w:rsidR="00300BE1" w:rsidRPr="00BE5144" w:rsidRDefault="00300BE1" w:rsidP="002B30C3">
            <w:pPr>
              <w:jc w:val="center"/>
              <w:rPr>
                <w:rFonts w:ascii="Arial Narrow" w:hAnsi="Arial Narrow" w:cs="Arial"/>
                <w:b/>
                <w:color w:val="000000"/>
                <w:sz w:val="20"/>
                <w:szCs w:val="20"/>
              </w:rPr>
            </w:pPr>
          </w:p>
        </w:tc>
        <w:tc>
          <w:tcPr>
            <w:tcW w:w="792" w:type="pct"/>
            <w:gridSpan w:val="2"/>
            <w:vAlign w:val="center"/>
          </w:tcPr>
          <w:p w:rsidR="00300BE1" w:rsidRPr="00BE5144" w:rsidRDefault="00300BE1" w:rsidP="002B30C3">
            <w:pPr>
              <w:jc w:val="center"/>
              <w:rPr>
                <w:rFonts w:ascii="Arial Narrow" w:hAnsi="Arial Narrow" w:cs="Arial"/>
                <w:b/>
                <w:color w:val="000000"/>
                <w:sz w:val="20"/>
                <w:szCs w:val="20"/>
              </w:rPr>
            </w:pPr>
            <w:r w:rsidRPr="00BE5144">
              <w:rPr>
                <w:rFonts w:ascii="Arial Narrow" w:hAnsi="Arial Narrow" w:cs="Arial"/>
                <w:b/>
                <w:color w:val="000000"/>
                <w:sz w:val="20"/>
                <w:szCs w:val="20"/>
              </w:rPr>
              <w:t>LDX</w:t>
            </w:r>
          </w:p>
        </w:tc>
        <w:tc>
          <w:tcPr>
            <w:tcW w:w="816" w:type="pct"/>
            <w:vAlign w:val="center"/>
          </w:tcPr>
          <w:p w:rsidR="00300BE1" w:rsidRPr="00BE5144" w:rsidRDefault="00300BE1" w:rsidP="002B30C3">
            <w:pPr>
              <w:jc w:val="center"/>
              <w:rPr>
                <w:rFonts w:ascii="Arial Narrow" w:hAnsi="Arial Narrow" w:cs="Arial"/>
                <w:b/>
                <w:color w:val="000000"/>
                <w:sz w:val="20"/>
                <w:szCs w:val="20"/>
              </w:rPr>
            </w:pPr>
            <w:r w:rsidRPr="00BE5144">
              <w:rPr>
                <w:rFonts w:ascii="Arial Narrow" w:hAnsi="Arial Narrow" w:cs="Arial"/>
                <w:b/>
                <w:color w:val="000000"/>
                <w:sz w:val="20"/>
                <w:szCs w:val="20"/>
              </w:rPr>
              <w:t>MPH-OROS</w:t>
            </w:r>
          </w:p>
        </w:tc>
        <w:tc>
          <w:tcPr>
            <w:tcW w:w="755" w:type="pct"/>
            <w:vMerge/>
            <w:vAlign w:val="center"/>
          </w:tcPr>
          <w:p w:rsidR="00300BE1" w:rsidRPr="00BE5144" w:rsidRDefault="00300BE1" w:rsidP="002B30C3">
            <w:pPr>
              <w:jc w:val="center"/>
              <w:rPr>
                <w:rFonts w:ascii="Arial Narrow" w:hAnsi="Arial Narrow" w:cs="Arial"/>
                <w:b/>
                <w:color w:val="000000"/>
                <w:sz w:val="20"/>
                <w:szCs w:val="20"/>
              </w:rPr>
            </w:pPr>
          </w:p>
        </w:tc>
      </w:tr>
      <w:tr w:rsidR="00300BE1" w:rsidRPr="00BE5144" w:rsidTr="002B30C3">
        <w:tc>
          <w:tcPr>
            <w:tcW w:w="5000" w:type="pct"/>
            <w:gridSpan w:val="11"/>
            <w:shd w:val="clear" w:color="auto" w:fill="auto"/>
            <w:vAlign w:val="center"/>
          </w:tcPr>
          <w:p w:rsidR="00300BE1" w:rsidRPr="00BE5144" w:rsidRDefault="00300BE1" w:rsidP="002B30C3">
            <w:pPr>
              <w:rPr>
                <w:rFonts w:ascii="Arial Narrow" w:hAnsi="Arial Narrow" w:cs="Arial"/>
                <w:b/>
                <w:color w:val="000000"/>
                <w:sz w:val="20"/>
                <w:szCs w:val="20"/>
              </w:rPr>
            </w:pPr>
            <w:r w:rsidRPr="00BE5144">
              <w:rPr>
                <w:rFonts w:ascii="Arial Narrow" w:hAnsi="Arial Narrow" w:cs="Arial"/>
                <w:b/>
                <w:color w:val="000000"/>
                <w:sz w:val="20"/>
                <w:szCs w:val="20"/>
              </w:rPr>
              <w:t>Benefits</w:t>
            </w:r>
          </w:p>
        </w:tc>
      </w:tr>
      <w:tr w:rsidR="00300BE1" w:rsidRPr="00BE5144" w:rsidTr="002B30C3">
        <w:tc>
          <w:tcPr>
            <w:tcW w:w="5000" w:type="pct"/>
            <w:gridSpan w:val="11"/>
            <w:shd w:val="clear" w:color="auto" w:fill="auto"/>
            <w:vAlign w:val="center"/>
          </w:tcPr>
          <w:p w:rsidR="00300BE1" w:rsidRPr="00BE5144" w:rsidRDefault="00300BE1" w:rsidP="002B30C3">
            <w:pPr>
              <w:rPr>
                <w:rFonts w:ascii="Arial Narrow" w:hAnsi="Arial Narrow" w:cs="Arial"/>
                <w:b/>
                <w:color w:val="000000"/>
                <w:sz w:val="20"/>
                <w:szCs w:val="20"/>
              </w:rPr>
            </w:pPr>
            <w:r w:rsidRPr="00BE5144">
              <w:rPr>
                <w:rFonts w:ascii="Arial Narrow" w:hAnsi="Arial Narrow" w:cs="Arial"/>
                <w:b/>
                <w:sz w:val="20"/>
                <w:szCs w:val="20"/>
              </w:rPr>
              <w:t xml:space="preserve">Proportions of patients defined as responders </w:t>
            </w:r>
            <w:r w:rsidRPr="00BE5144">
              <w:rPr>
                <w:rFonts w:ascii="Arial Narrow" w:hAnsi="Arial Narrow" w:cs="Arial"/>
                <w:b/>
                <w:sz w:val="20"/>
                <w:szCs w:val="20"/>
                <w:vertAlign w:val="superscript"/>
              </w:rPr>
              <w:t>a</w:t>
            </w:r>
          </w:p>
        </w:tc>
      </w:tr>
      <w:tr w:rsidR="00300BE1" w:rsidRPr="00BE5144" w:rsidTr="002B30C3">
        <w:tc>
          <w:tcPr>
            <w:tcW w:w="384" w:type="pct"/>
            <w:shd w:val="clear" w:color="auto" w:fill="auto"/>
            <w:vAlign w:val="center"/>
          </w:tcPr>
          <w:p w:rsidR="00300BE1" w:rsidRPr="00BE5144" w:rsidRDefault="00300BE1" w:rsidP="002B30C3">
            <w:pPr>
              <w:rPr>
                <w:rFonts w:ascii="Arial Narrow" w:hAnsi="Arial Narrow" w:cs="Arial"/>
                <w:color w:val="000000"/>
                <w:sz w:val="20"/>
                <w:szCs w:val="20"/>
              </w:rPr>
            </w:pPr>
            <w:r w:rsidRPr="00BE5144">
              <w:rPr>
                <w:rFonts w:ascii="Arial Narrow" w:hAnsi="Arial Narrow" w:cs="Arial"/>
                <w:color w:val="000000"/>
                <w:sz w:val="20"/>
                <w:szCs w:val="20"/>
              </w:rPr>
              <w:t>325</w:t>
            </w:r>
          </w:p>
        </w:tc>
        <w:tc>
          <w:tcPr>
            <w:tcW w:w="696" w:type="pct"/>
            <w:gridSpan w:val="2"/>
            <w:vAlign w:val="center"/>
          </w:tcPr>
          <w:p w:rsidR="00300BE1" w:rsidRPr="00BE5144" w:rsidRDefault="00300BE1" w:rsidP="002B30C3">
            <w:pPr>
              <w:jc w:val="center"/>
              <w:rPr>
                <w:rFonts w:ascii="Arial Narrow" w:hAnsi="Arial Narrow" w:cs="Arial"/>
                <w:color w:val="000000"/>
                <w:sz w:val="20"/>
                <w:szCs w:val="20"/>
              </w:rPr>
            </w:pPr>
            <w:r w:rsidRPr="00BE5144">
              <w:rPr>
                <w:rFonts w:ascii="Arial Narrow" w:hAnsi="Arial Narrow" w:cs="Arial"/>
                <w:color w:val="000000"/>
                <w:sz w:val="20"/>
                <w:szCs w:val="20"/>
              </w:rPr>
              <w:t xml:space="preserve">72/97 </w:t>
            </w:r>
          </w:p>
        </w:tc>
        <w:tc>
          <w:tcPr>
            <w:tcW w:w="655" w:type="pct"/>
            <w:gridSpan w:val="2"/>
            <w:vAlign w:val="center"/>
          </w:tcPr>
          <w:p w:rsidR="00300BE1" w:rsidRPr="00BE5144" w:rsidRDefault="00300BE1" w:rsidP="002B30C3">
            <w:pPr>
              <w:jc w:val="center"/>
              <w:rPr>
                <w:rFonts w:ascii="Arial Narrow" w:hAnsi="Arial Narrow" w:cs="Arial"/>
                <w:color w:val="000000"/>
                <w:sz w:val="20"/>
                <w:szCs w:val="20"/>
              </w:rPr>
            </w:pPr>
            <w:r w:rsidRPr="00BE5144">
              <w:rPr>
                <w:rFonts w:ascii="Arial Narrow" w:hAnsi="Arial Narrow" w:cs="Arial"/>
                <w:color w:val="000000"/>
                <w:sz w:val="20"/>
                <w:szCs w:val="20"/>
              </w:rPr>
              <w:t>57/102</w:t>
            </w:r>
          </w:p>
        </w:tc>
        <w:tc>
          <w:tcPr>
            <w:tcW w:w="903" w:type="pct"/>
            <w:gridSpan w:val="2"/>
            <w:vAlign w:val="center"/>
          </w:tcPr>
          <w:p w:rsidR="00300BE1" w:rsidRPr="00BE5144" w:rsidRDefault="00300BE1" w:rsidP="002B30C3">
            <w:pPr>
              <w:jc w:val="center"/>
              <w:rPr>
                <w:rFonts w:ascii="Arial Narrow" w:hAnsi="Arial Narrow" w:cs="Arial"/>
                <w:color w:val="000000"/>
                <w:sz w:val="20"/>
                <w:szCs w:val="20"/>
              </w:rPr>
            </w:pPr>
            <w:r w:rsidRPr="00BE5144">
              <w:rPr>
                <w:rFonts w:ascii="Arial Narrow" w:hAnsi="Arial Narrow" w:cs="Arial"/>
                <w:color w:val="000000"/>
                <w:sz w:val="20"/>
                <w:szCs w:val="20"/>
              </w:rPr>
              <w:t>1.33 (1.08, 1.64)</w:t>
            </w:r>
          </w:p>
        </w:tc>
        <w:tc>
          <w:tcPr>
            <w:tcW w:w="792" w:type="pct"/>
            <w:gridSpan w:val="2"/>
            <w:vAlign w:val="center"/>
          </w:tcPr>
          <w:p w:rsidR="00300BE1" w:rsidRPr="00BE5144" w:rsidRDefault="00300BE1" w:rsidP="002B30C3">
            <w:pPr>
              <w:jc w:val="center"/>
              <w:rPr>
                <w:rFonts w:ascii="Arial Narrow" w:hAnsi="Arial Narrow" w:cs="Arial"/>
                <w:color w:val="000000"/>
                <w:sz w:val="20"/>
                <w:szCs w:val="20"/>
              </w:rPr>
            </w:pPr>
            <w:r w:rsidRPr="00BE5144">
              <w:rPr>
                <w:rFonts w:ascii="Arial Narrow" w:hAnsi="Arial Narrow" w:cs="Arial"/>
                <w:color w:val="000000"/>
                <w:sz w:val="20"/>
                <w:szCs w:val="20"/>
              </w:rPr>
              <w:t>74.2</w:t>
            </w:r>
          </w:p>
        </w:tc>
        <w:tc>
          <w:tcPr>
            <w:tcW w:w="816" w:type="pct"/>
            <w:vAlign w:val="center"/>
          </w:tcPr>
          <w:p w:rsidR="00300BE1" w:rsidRPr="00BE5144" w:rsidRDefault="00300BE1" w:rsidP="002B30C3">
            <w:pPr>
              <w:jc w:val="center"/>
              <w:rPr>
                <w:rFonts w:ascii="Arial Narrow" w:hAnsi="Arial Narrow" w:cs="Arial"/>
                <w:color w:val="000000"/>
                <w:sz w:val="20"/>
                <w:szCs w:val="20"/>
              </w:rPr>
            </w:pPr>
            <w:r w:rsidRPr="00BE5144">
              <w:rPr>
                <w:rFonts w:ascii="Arial Narrow" w:hAnsi="Arial Narrow" w:cs="Arial"/>
                <w:color w:val="000000"/>
                <w:sz w:val="20"/>
                <w:szCs w:val="20"/>
              </w:rPr>
              <w:t>55.9</w:t>
            </w:r>
          </w:p>
        </w:tc>
        <w:tc>
          <w:tcPr>
            <w:tcW w:w="755" w:type="pct"/>
            <w:vAlign w:val="center"/>
          </w:tcPr>
          <w:p w:rsidR="00300BE1" w:rsidRPr="00BE5144" w:rsidRDefault="00300BE1" w:rsidP="002B30C3">
            <w:pPr>
              <w:jc w:val="center"/>
              <w:rPr>
                <w:rFonts w:ascii="Arial Narrow" w:hAnsi="Arial Narrow" w:cs="Arial"/>
                <w:color w:val="000000"/>
                <w:sz w:val="20"/>
                <w:szCs w:val="20"/>
              </w:rPr>
            </w:pPr>
            <w:r w:rsidRPr="00BE5144">
              <w:rPr>
                <w:rFonts w:ascii="Arial Narrow" w:hAnsi="Arial Narrow" w:cs="Arial"/>
                <w:color w:val="000000"/>
                <w:sz w:val="20"/>
                <w:szCs w:val="20"/>
              </w:rPr>
              <w:t>0.18 (0.05, 0.31)</w:t>
            </w:r>
          </w:p>
        </w:tc>
      </w:tr>
      <w:tr w:rsidR="00300BE1" w:rsidRPr="00BE5144" w:rsidTr="002B30C3">
        <w:tc>
          <w:tcPr>
            <w:tcW w:w="5000" w:type="pct"/>
            <w:gridSpan w:val="11"/>
            <w:tcBorders>
              <w:top w:val="double" w:sz="4" w:space="0" w:color="auto"/>
            </w:tcBorders>
            <w:shd w:val="clear" w:color="auto" w:fill="auto"/>
            <w:vAlign w:val="center"/>
          </w:tcPr>
          <w:p w:rsidR="00300BE1" w:rsidRPr="00BE5144" w:rsidRDefault="00300BE1" w:rsidP="002B30C3">
            <w:pPr>
              <w:rPr>
                <w:rFonts w:ascii="Arial Narrow" w:hAnsi="Arial Narrow" w:cs="Arial"/>
                <w:b/>
                <w:color w:val="000000"/>
                <w:sz w:val="20"/>
                <w:szCs w:val="20"/>
              </w:rPr>
            </w:pPr>
            <w:r w:rsidRPr="00BE5144">
              <w:rPr>
                <w:rFonts w:ascii="Arial Narrow" w:hAnsi="Arial Narrow" w:cs="Arial"/>
                <w:b/>
                <w:sz w:val="20"/>
                <w:szCs w:val="20"/>
              </w:rPr>
              <w:t>ADHD-RS-IV  Total score</w:t>
            </w:r>
            <w:r w:rsidRPr="00BE5144">
              <w:rPr>
                <w:rFonts w:ascii="Arial Narrow" w:hAnsi="Arial Narrow" w:cs="Arial"/>
                <w:b/>
                <w:sz w:val="20"/>
                <w:szCs w:val="20"/>
                <w:vertAlign w:val="superscript"/>
              </w:rPr>
              <w:t xml:space="preserve"> </w:t>
            </w:r>
            <w:r w:rsidRPr="00BE5144">
              <w:rPr>
                <w:rFonts w:ascii="Arial Narrow" w:hAnsi="Arial Narrow" w:cs="Arial"/>
                <w:b/>
                <w:sz w:val="20"/>
                <w:szCs w:val="20"/>
              </w:rPr>
              <w:t>(primary outcome) mean change from baseline to endpoint</w:t>
            </w:r>
          </w:p>
        </w:tc>
      </w:tr>
      <w:tr w:rsidR="00300BE1" w:rsidRPr="00BE5144" w:rsidTr="002B30C3">
        <w:trPr>
          <w:trHeight w:val="225"/>
        </w:trPr>
        <w:tc>
          <w:tcPr>
            <w:tcW w:w="384" w:type="pct"/>
            <w:vMerge w:val="restart"/>
            <w:shd w:val="clear" w:color="auto" w:fill="auto"/>
            <w:vAlign w:val="center"/>
          </w:tcPr>
          <w:p w:rsidR="00300BE1" w:rsidRPr="00BE5144" w:rsidRDefault="00300BE1" w:rsidP="002B30C3">
            <w:pPr>
              <w:rPr>
                <w:rFonts w:ascii="Arial Narrow" w:hAnsi="Arial Narrow" w:cs="Arial"/>
                <w:color w:val="000000"/>
                <w:sz w:val="20"/>
                <w:szCs w:val="20"/>
              </w:rPr>
            </w:pPr>
          </w:p>
        </w:tc>
        <w:tc>
          <w:tcPr>
            <w:tcW w:w="1350" w:type="pct"/>
            <w:gridSpan w:val="4"/>
            <w:vAlign w:val="center"/>
          </w:tcPr>
          <w:p w:rsidR="00300BE1" w:rsidRPr="00BE5144" w:rsidRDefault="00300BE1" w:rsidP="002B30C3">
            <w:pPr>
              <w:jc w:val="center"/>
              <w:rPr>
                <w:rFonts w:ascii="Arial Narrow" w:hAnsi="Arial Narrow" w:cs="Arial"/>
                <w:color w:val="000000"/>
                <w:sz w:val="20"/>
                <w:szCs w:val="20"/>
              </w:rPr>
            </w:pPr>
            <w:r w:rsidRPr="00BE5144">
              <w:rPr>
                <w:rFonts w:ascii="Arial Narrow" w:hAnsi="Arial Narrow" w:cs="Arial"/>
                <w:b/>
                <w:color w:val="000000"/>
                <w:sz w:val="20"/>
                <w:szCs w:val="20"/>
              </w:rPr>
              <w:t>LDX</w:t>
            </w:r>
          </w:p>
        </w:tc>
        <w:tc>
          <w:tcPr>
            <w:tcW w:w="1695" w:type="pct"/>
            <w:gridSpan w:val="4"/>
            <w:vAlign w:val="center"/>
          </w:tcPr>
          <w:p w:rsidR="00300BE1" w:rsidRPr="00BE5144" w:rsidRDefault="00300BE1" w:rsidP="002B30C3">
            <w:pPr>
              <w:jc w:val="center"/>
              <w:rPr>
                <w:rFonts w:ascii="Arial Narrow" w:hAnsi="Arial Narrow" w:cs="Arial"/>
                <w:color w:val="000000"/>
                <w:sz w:val="20"/>
                <w:szCs w:val="20"/>
              </w:rPr>
            </w:pPr>
            <w:r w:rsidRPr="00BE5144">
              <w:rPr>
                <w:rFonts w:ascii="Arial Narrow" w:hAnsi="Arial Narrow" w:cs="Arial"/>
                <w:b/>
                <w:color w:val="000000"/>
                <w:sz w:val="20"/>
                <w:szCs w:val="20"/>
              </w:rPr>
              <w:t>MPH-OROS</w:t>
            </w:r>
          </w:p>
        </w:tc>
        <w:tc>
          <w:tcPr>
            <w:tcW w:w="1571" w:type="pct"/>
            <w:gridSpan w:val="2"/>
            <w:vMerge w:val="restart"/>
            <w:vAlign w:val="center"/>
          </w:tcPr>
          <w:p w:rsidR="00300BE1" w:rsidRPr="00BE5144" w:rsidRDefault="00300BE1" w:rsidP="002B30C3">
            <w:pPr>
              <w:jc w:val="center"/>
              <w:rPr>
                <w:rFonts w:ascii="Arial Narrow" w:hAnsi="Arial Narrow" w:cs="Arial"/>
                <w:b/>
                <w:sz w:val="20"/>
                <w:szCs w:val="20"/>
              </w:rPr>
            </w:pPr>
            <w:r w:rsidRPr="00BE5144">
              <w:rPr>
                <w:rFonts w:ascii="Arial Narrow" w:hAnsi="Arial Narrow" w:cs="Arial"/>
                <w:b/>
                <w:sz w:val="20"/>
                <w:szCs w:val="20"/>
              </w:rPr>
              <w:t xml:space="preserve">Mean difference*: </w:t>
            </w:r>
          </w:p>
          <w:p w:rsidR="00300BE1" w:rsidRPr="00BE5144" w:rsidRDefault="00300BE1" w:rsidP="002B30C3">
            <w:pPr>
              <w:jc w:val="center"/>
              <w:rPr>
                <w:rFonts w:ascii="Arial Narrow" w:hAnsi="Arial Narrow" w:cs="Arial"/>
                <w:b/>
                <w:sz w:val="20"/>
                <w:szCs w:val="20"/>
              </w:rPr>
            </w:pPr>
            <w:r w:rsidRPr="00BE5144">
              <w:rPr>
                <w:rFonts w:ascii="Arial Narrow" w:hAnsi="Arial Narrow" w:cs="Arial"/>
                <w:b/>
                <w:sz w:val="20"/>
                <w:szCs w:val="20"/>
              </w:rPr>
              <w:t>LDX vs MPH-OROS (95% CI)</w:t>
            </w:r>
          </w:p>
          <w:p w:rsidR="00300BE1" w:rsidRPr="00BE5144" w:rsidRDefault="00300BE1" w:rsidP="002B30C3">
            <w:pPr>
              <w:jc w:val="center"/>
              <w:rPr>
                <w:rFonts w:ascii="Arial Narrow" w:hAnsi="Arial Narrow" w:cs="Arial"/>
                <w:b/>
                <w:sz w:val="20"/>
                <w:szCs w:val="20"/>
              </w:rPr>
            </w:pPr>
            <w:r w:rsidRPr="00BE5144">
              <w:rPr>
                <w:rFonts w:ascii="Arial Narrow" w:hAnsi="Arial Narrow" w:cs="Arial"/>
                <w:b/>
                <w:sz w:val="20"/>
                <w:szCs w:val="20"/>
              </w:rPr>
              <w:t>MCID (6.6 or 7.6)</w:t>
            </w:r>
          </w:p>
        </w:tc>
      </w:tr>
      <w:tr w:rsidR="00300BE1" w:rsidRPr="00BE5144" w:rsidTr="002B30C3">
        <w:trPr>
          <w:trHeight w:val="225"/>
        </w:trPr>
        <w:tc>
          <w:tcPr>
            <w:tcW w:w="384" w:type="pct"/>
            <w:vMerge/>
            <w:shd w:val="clear" w:color="auto" w:fill="auto"/>
            <w:vAlign w:val="center"/>
          </w:tcPr>
          <w:p w:rsidR="00300BE1" w:rsidRPr="00BE5144" w:rsidRDefault="00300BE1" w:rsidP="002B30C3">
            <w:pPr>
              <w:rPr>
                <w:rFonts w:ascii="Arial Narrow" w:hAnsi="Arial Narrow" w:cs="Arial"/>
                <w:color w:val="000000"/>
                <w:sz w:val="20"/>
                <w:szCs w:val="20"/>
              </w:rPr>
            </w:pPr>
          </w:p>
        </w:tc>
        <w:tc>
          <w:tcPr>
            <w:tcW w:w="297" w:type="pct"/>
            <w:vAlign w:val="center"/>
          </w:tcPr>
          <w:p w:rsidR="00300BE1" w:rsidRPr="00BE5144" w:rsidRDefault="00300BE1" w:rsidP="002B30C3">
            <w:pPr>
              <w:jc w:val="center"/>
              <w:rPr>
                <w:rFonts w:ascii="Arial Narrow" w:hAnsi="Arial Narrow" w:cs="Arial"/>
                <w:b/>
                <w:color w:val="000000"/>
                <w:sz w:val="20"/>
                <w:szCs w:val="20"/>
              </w:rPr>
            </w:pPr>
            <w:r w:rsidRPr="00BE5144">
              <w:rPr>
                <w:rFonts w:ascii="Arial Narrow" w:hAnsi="Arial Narrow" w:cs="Arial"/>
                <w:b/>
                <w:color w:val="000000"/>
                <w:sz w:val="20"/>
                <w:szCs w:val="20"/>
              </w:rPr>
              <w:t>n</w:t>
            </w:r>
          </w:p>
        </w:tc>
        <w:tc>
          <w:tcPr>
            <w:tcW w:w="586" w:type="pct"/>
            <w:gridSpan w:val="2"/>
            <w:vAlign w:val="center"/>
          </w:tcPr>
          <w:p w:rsidR="00300BE1" w:rsidRPr="00BE5144" w:rsidRDefault="00300BE1" w:rsidP="002B30C3">
            <w:pPr>
              <w:jc w:val="center"/>
              <w:rPr>
                <w:rFonts w:ascii="Arial Narrow" w:hAnsi="Arial Narrow" w:cs="Arial"/>
                <w:b/>
                <w:sz w:val="20"/>
                <w:szCs w:val="20"/>
              </w:rPr>
            </w:pPr>
            <w:r w:rsidRPr="00BE5144">
              <w:rPr>
                <w:rFonts w:ascii="Arial Narrow" w:hAnsi="Arial Narrow" w:cs="Arial"/>
                <w:b/>
                <w:sz w:val="20"/>
                <w:szCs w:val="20"/>
              </w:rPr>
              <w:t>Mean ∆</w:t>
            </w:r>
          </w:p>
        </w:tc>
        <w:tc>
          <w:tcPr>
            <w:tcW w:w="467" w:type="pct"/>
            <w:vAlign w:val="center"/>
          </w:tcPr>
          <w:p w:rsidR="00300BE1" w:rsidRPr="00BE5144" w:rsidRDefault="00300BE1" w:rsidP="002B30C3">
            <w:pPr>
              <w:jc w:val="center"/>
              <w:rPr>
                <w:rFonts w:ascii="Arial Narrow" w:hAnsi="Arial Narrow" w:cs="Arial"/>
                <w:b/>
                <w:sz w:val="20"/>
                <w:szCs w:val="20"/>
              </w:rPr>
            </w:pPr>
            <w:r w:rsidRPr="00BE5144">
              <w:rPr>
                <w:rFonts w:ascii="Arial Narrow" w:hAnsi="Arial Narrow" w:cs="Arial"/>
                <w:b/>
                <w:sz w:val="20"/>
                <w:szCs w:val="20"/>
              </w:rPr>
              <w:t>SD</w:t>
            </w:r>
          </w:p>
        </w:tc>
        <w:tc>
          <w:tcPr>
            <w:tcW w:w="571" w:type="pct"/>
            <w:vAlign w:val="center"/>
          </w:tcPr>
          <w:p w:rsidR="00300BE1" w:rsidRPr="00BE5144" w:rsidRDefault="00300BE1" w:rsidP="002B30C3">
            <w:pPr>
              <w:jc w:val="center"/>
              <w:rPr>
                <w:rFonts w:ascii="Arial Narrow" w:hAnsi="Arial Narrow" w:cs="Arial"/>
                <w:b/>
                <w:color w:val="000000"/>
                <w:sz w:val="20"/>
                <w:szCs w:val="20"/>
              </w:rPr>
            </w:pPr>
            <w:r w:rsidRPr="00BE5144">
              <w:rPr>
                <w:rFonts w:ascii="Arial Narrow" w:hAnsi="Arial Narrow" w:cs="Arial"/>
                <w:b/>
                <w:color w:val="000000"/>
                <w:sz w:val="20"/>
                <w:szCs w:val="20"/>
              </w:rPr>
              <w:t>n</w:t>
            </w:r>
          </w:p>
        </w:tc>
        <w:tc>
          <w:tcPr>
            <w:tcW w:w="662" w:type="pct"/>
            <w:gridSpan w:val="2"/>
            <w:vAlign w:val="center"/>
          </w:tcPr>
          <w:p w:rsidR="00300BE1" w:rsidRPr="00BE5144" w:rsidRDefault="00300BE1" w:rsidP="002B30C3">
            <w:pPr>
              <w:jc w:val="center"/>
              <w:rPr>
                <w:rFonts w:ascii="Arial Narrow" w:hAnsi="Arial Narrow" w:cs="Arial"/>
                <w:b/>
                <w:sz w:val="20"/>
                <w:szCs w:val="20"/>
              </w:rPr>
            </w:pPr>
            <w:r w:rsidRPr="00BE5144">
              <w:rPr>
                <w:rFonts w:ascii="Arial Narrow" w:hAnsi="Arial Narrow" w:cs="Arial"/>
                <w:b/>
                <w:sz w:val="20"/>
                <w:szCs w:val="20"/>
              </w:rPr>
              <w:t>Mean ∆</w:t>
            </w:r>
          </w:p>
        </w:tc>
        <w:tc>
          <w:tcPr>
            <w:tcW w:w="462" w:type="pct"/>
            <w:vAlign w:val="center"/>
          </w:tcPr>
          <w:p w:rsidR="00300BE1" w:rsidRPr="00BE5144" w:rsidRDefault="00300BE1" w:rsidP="002B30C3">
            <w:pPr>
              <w:jc w:val="center"/>
              <w:rPr>
                <w:rFonts w:ascii="Arial Narrow" w:hAnsi="Arial Narrow" w:cs="Arial"/>
                <w:b/>
                <w:sz w:val="20"/>
                <w:szCs w:val="20"/>
              </w:rPr>
            </w:pPr>
            <w:r w:rsidRPr="00BE5144">
              <w:rPr>
                <w:rFonts w:ascii="Arial Narrow" w:hAnsi="Arial Narrow" w:cs="Arial"/>
                <w:b/>
                <w:sz w:val="20"/>
                <w:szCs w:val="20"/>
              </w:rPr>
              <w:t>SD</w:t>
            </w:r>
          </w:p>
        </w:tc>
        <w:tc>
          <w:tcPr>
            <w:tcW w:w="1571" w:type="pct"/>
            <w:gridSpan w:val="2"/>
            <w:vMerge/>
            <w:vAlign w:val="center"/>
          </w:tcPr>
          <w:p w:rsidR="00300BE1" w:rsidRPr="00BE5144" w:rsidRDefault="00300BE1" w:rsidP="002B30C3">
            <w:pPr>
              <w:jc w:val="center"/>
              <w:rPr>
                <w:rFonts w:ascii="Arial Narrow" w:hAnsi="Arial Narrow" w:cs="Arial"/>
                <w:b/>
                <w:sz w:val="20"/>
                <w:szCs w:val="20"/>
              </w:rPr>
            </w:pPr>
          </w:p>
        </w:tc>
      </w:tr>
      <w:tr w:rsidR="00300BE1" w:rsidRPr="00BE5144" w:rsidTr="002B30C3">
        <w:tc>
          <w:tcPr>
            <w:tcW w:w="384" w:type="pct"/>
            <w:tcBorders>
              <w:bottom w:val="double" w:sz="4" w:space="0" w:color="auto"/>
            </w:tcBorders>
            <w:shd w:val="clear" w:color="auto" w:fill="auto"/>
            <w:vAlign w:val="center"/>
          </w:tcPr>
          <w:p w:rsidR="00300BE1" w:rsidRPr="00BE5144" w:rsidRDefault="00300BE1" w:rsidP="002B30C3">
            <w:pPr>
              <w:rPr>
                <w:rFonts w:ascii="Arial Narrow" w:hAnsi="Arial Narrow" w:cs="Arial"/>
                <w:color w:val="000000"/>
                <w:sz w:val="20"/>
                <w:szCs w:val="20"/>
              </w:rPr>
            </w:pPr>
            <w:r w:rsidRPr="00BE5144">
              <w:rPr>
                <w:rFonts w:ascii="Arial Narrow" w:hAnsi="Arial Narrow" w:cs="Arial"/>
                <w:color w:val="000000"/>
                <w:sz w:val="20"/>
                <w:szCs w:val="20"/>
              </w:rPr>
              <w:t>325</w:t>
            </w:r>
          </w:p>
        </w:tc>
        <w:tc>
          <w:tcPr>
            <w:tcW w:w="297" w:type="pct"/>
            <w:tcBorders>
              <w:bottom w:val="double" w:sz="4" w:space="0" w:color="auto"/>
            </w:tcBorders>
            <w:vAlign w:val="center"/>
          </w:tcPr>
          <w:p w:rsidR="00300BE1" w:rsidRPr="00BE5144" w:rsidRDefault="00300BE1" w:rsidP="002B30C3">
            <w:pPr>
              <w:jc w:val="center"/>
              <w:rPr>
                <w:rFonts w:ascii="Arial Narrow" w:hAnsi="Arial Narrow" w:cs="Arial"/>
                <w:color w:val="000000"/>
                <w:sz w:val="20"/>
                <w:szCs w:val="20"/>
              </w:rPr>
            </w:pPr>
            <w:r w:rsidRPr="00BE5144">
              <w:rPr>
                <w:rFonts w:ascii="Arial Narrow" w:hAnsi="Arial Narrow" w:cs="Arial"/>
                <w:color w:val="000000"/>
                <w:sz w:val="20"/>
                <w:szCs w:val="20"/>
              </w:rPr>
              <w:t>104</w:t>
            </w:r>
          </w:p>
        </w:tc>
        <w:tc>
          <w:tcPr>
            <w:tcW w:w="586" w:type="pct"/>
            <w:gridSpan w:val="2"/>
            <w:tcBorders>
              <w:bottom w:val="double" w:sz="4" w:space="0" w:color="auto"/>
            </w:tcBorders>
            <w:vAlign w:val="center"/>
          </w:tcPr>
          <w:p w:rsidR="00300BE1" w:rsidRPr="00BE5144" w:rsidRDefault="00300BE1" w:rsidP="002B30C3">
            <w:pPr>
              <w:jc w:val="center"/>
              <w:rPr>
                <w:rFonts w:ascii="Arial Narrow" w:hAnsi="Arial Narrow" w:cs="Arial"/>
                <w:color w:val="000000"/>
                <w:sz w:val="20"/>
                <w:szCs w:val="20"/>
              </w:rPr>
            </w:pPr>
            <w:r w:rsidRPr="00BE5144">
              <w:rPr>
                <w:rFonts w:ascii="Arial Narrow" w:hAnsi="Arial Narrow" w:cs="Arial"/>
                <w:color w:val="000000"/>
                <w:sz w:val="20"/>
                <w:szCs w:val="20"/>
              </w:rPr>
              <w:t>-24.7</w:t>
            </w:r>
          </w:p>
        </w:tc>
        <w:tc>
          <w:tcPr>
            <w:tcW w:w="467" w:type="pct"/>
            <w:tcBorders>
              <w:bottom w:val="double" w:sz="4" w:space="0" w:color="auto"/>
            </w:tcBorders>
            <w:vAlign w:val="center"/>
          </w:tcPr>
          <w:p w:rsidR="00300BE1" w:rsidRPr="00BE5144" w:rsidRDefault="00300BE1" w:rsidP="002B30C3">
            <w:pPr>
              <w:jc w:val="center"/>
              <w:rPr>
                <w:rFonts w:ascii="Arial Narrow" w:hAnsi="Arial Narrow" w:cs="Arial"/>
                <w:color w:val="000000"/>
                <w:sz w:val="20"/>
                <w:szCs w:val="20"/>
              </w:rPr>
            </w:pPr>
            <w:r w:rsidRPr="00BE5144">
              <w:rPr>
                <w:rFonts w:ascii="Arial Narrow" w:hAnsi="Arial Narrow" w:cs="Arial"/>
                <w:color w:val="000000"/>
                <w:sz w:val="20"/>
                <w:szCs w:val="20"/>
              </w:rPr>
              <w:t>10.15</w:t>
            </w:r>
          </w:p>
        </w:tc>
        <w:tc>
          <w:tcPr>
            <w:tcW w:w="571" w:type="pct"/>
            <w:tcBorders>
              <w:bottom w:val="double" w:sz="4" w:space="0" w:color="auto"/>
            </w:tcBorders>
            <w:vAlign w:val="center"/>
          </w:tcPr>
          <w:p w:rsidR="00300BE1" w:rsidRPr="00BE5144" w:rsidRDefault="00300BE1" w:rsidP="002B30C3">
            <w:pPr>
              <w:jc w:val="center"/>
              <w:rPr>
                <w:rFonts w:ascii="Arial Narrow" w:hAnsi="Arial Narrow" w:cs="Arial"/>
                <w:color w:val="000000"/>
                <w:sz w:val="20"/>
                <w:szCs w:val="20"/>
              </w:rPr>
            </w:pPr>
            <w:r w:rsidRPr="00BE5144">
              <w:rPr>
                <w:rFonts w:ascii="Arial Narrow" w:hAnsi="Arial Narrow" w:cs="Arial"/>
                <w:color w:val="000000"/>
                <w:sz w:val="20"/>
                <w:szCs w:val="20"/>
              </w:rPr>
              <w:t>107</w:t>
            </w:r>
          </w:p>
        </w:tc>
        <w:tc>
          <w:tcPr>
            <w:tcW w:w="662" w:type="pct"/>
            <w:gridSpan w:val="2"/>
            <w:tcBorders>
              <w:bottom w:val="double" w:sz="4" w:space="0" w:color="auto"/>
            </w:tcBorders>
            <w:vAlign w:val="center"/>
          </w:tcPr>
          <w:p w:rsidR="00300BE1" w:rsidRPr="00BE5144" w:rsidRDefault="00300BE1" w:rsidP="002B30C3">
            <w:pPr>
              <w:jc w:val="center"/>
              <w:rPr>
                <w:rFonts w:ascii="Arial Narrow" w:hAnsi="Arial Narrow" w:cs="Arial"/>
                <w:color w:val="000000"/>
                <w:sz w:val="20"/>
                <w:szCs w:val="20"/>
              </w:rPr>
            </w:pPr>
            <w:r w:rsidRPr="00BE5144">
              <w:rPr>
                <w:rFonts w:ascii="Arial Narrow" w:hAnsi="Arial Narrow" w:cs="Arial"/>
                <w:color w:val="000000"/>
                <w:sz w:val="20"/>
                <w:szCs w:val="20"/>
              </w:rPr>
              <w:t>-18.9</w:t>
            </w:r>
          </w:p>
        </w:tc>
        <w:tc>
          <w:tcPr>
            <w:tcW w:w="462" w:type="pct"/>
            <w:tcBorders>
              <w:bottom w:val="double" w:sz="4" w:space="0" w:color="auto"/>
            </w:tcBorders>
            <w:vAlign w:val="center"/>
          </w:tcPr>
          <w:p w:rsidR="00300BE1" w:rsidRPr="00BE5144" w:rsidRDefault="00300BE1" w:rsidP="002B30C3">
            <w:pPr>
              <w:jc w:val="center"/>
              <w:rPr>
                <w:rFonts w:ascii="Arial Narrow" w:hAnsi="Arial Narrow" w:cs="Arial"/>
                <w:color w:val="000000"/>
                <w:sz w:val="20"/>
                <w:szCs w:val="20"/>
              </w:rPr>
            </w:pPr>
            <w:r w:rsidRPr="00BE5144">
              <w:rPr>
                <w:rFonts w:ascii="Arial Narrow" w:hAnsi="Arial Narrow" w:cs="Arial"/>
                <w:color w:val="000000"/>
                <w:sz w:val="20"/>
                <w:szCs w:val="20"/>
              </w:rPr>
              <w:t>12.92</w:t>
            </w:r>
          </w:p>
        </w:tc>
        <w:tc>
          <w:tcPr>
            <w:tcW w:w="1571" w:type="pct"/>
            <w:gridSpan w:val="2"/>
            <w:tcBorders>
              <w:bottom w:val="double" w:sz="4" w:space="0" w:color="auto"/>
            </w:tcBorders>
            <w:vAlign w:val="center"/>
          </w:tcPr>
          <w:p w:rsidR="00300BE1" w:rsidRPr="00BE5144" w:rsidRDefault="00300BE1" w:rsidP="002B30C3">
            <w:pPr>
              <w:jc w:val="center"/>
              <w:rPr>
                <w:rFonts w:ascii="Arial Narrow" w:hAnsi="Arial Narrow" w:cs="Arial"/>
                <w:sz w:val="20"/>
                <w:szCs w:val="20"/>
              </w:rPr>
            </w:pPr>
            <w:r w:rsidRPr="00BE5144">
              <w:rPr>
                <w:rFonts w:ascii="Arial Narrow" w:hAnsi="Arial Narrow" w:cs="Arial"/>
                <w:sz w:val="20"/>
                <w:szCs w:val="20"/>
              </w:rPr>
              <w:t>-5.8 (-9.0, -2.6)</w:t>
            </w:r>
          </w:p>
          <w:p w:rsidR="00300BE1" w:rsidRPr="00BE5144" w:rsidRDefault="00300BE1" w:rsidP="002B30C3">
            <w:pPr>
              <w:jc w:val="center"/>
              <w:rPr>
                <w:rFonts w:ascii="Arial Narrow" w:hAnsi="Arial Narrow" w:cs="Arial"/>
                <w:sz w:val="20"/>
                <w:szCs w:val="20"/>
              </w:rPr>
            </w:pPr>
            <w:r w:rsidRPr="00BE5144">
              <w:rPr>
                <w:rFonts w:ascii="Arial Narrow" w:hAnsi="Arial Narrow" w:cs="Arial"/>
                <w:sz w:val="20"/>
                <w:szCs w:val="20"/>
              </w:rPr>
              <w:t>Difference not clinically meaningful based on MCID</w:t>
            </w:r>
          </w:p>
        </w:tc>
      </w:tr>
      <w:tr w:rsidR="00300BE1" w:rsidRPr="00BE5144" w:rsidTr="002B30C3">
        <w:tc>
          <w:tcPr>
            <w:tcW w:w="5000" w:type="pct"/>
            <w:gridSpan w:val="11"/>
            <w:tcBorders>
              <w:top w:val="double" w:sz="4" w:space="0" w:color="auto"/>
            </w:tcBorders>
            <w:shd w:val="clear" w:color="auto" w:fill="auto"/>
            <w:vAlign w:val="center"/>
          </w:tcPr>
          <w:p w:rsidR="00300BE1" w:rsidRPr="00BE5144" w:rsidRDefault="00300BE1" w:rsidP="002B30C3">
            <w:pPr>
              <w:rPr>
                <w:rFonts w:ascii="Arial Narrow" w:hAnsi="Arial Narrow" w:cs="Arial"/>
                <w:b/>
                <w:color w:val="000000"/>
                <w:sz w:val="20"/>
                <w:szCs w:val="20"/>
              </w:rPr>
            </w:pPr>
            <w:r w:rsidRPr="00BE5144">
              <w:rPr>
                <w:rFonts w:ascii="Arial Narrow" w:hAnsi="Arial Narrow" w:cs="Arial"/>
                <w:b/>
                <w:color w:val="000000"/>
                <w:sz w:val="20"/>
                <w:szCs w:val="20"/>
              </w:rPr>
              <w:t xml:space="preserve">Harms </w:t>
            </w:r>
          </w:p>
        </w:tc>
      </w:tr>
      <w:tr w:rsidR="00300BE1" w:rsidRPr="00BE5144" w:rsidTr="002B30C3">
        <w:trPr>
          <w:trHeight w:val="70"/>
        </w:trPr>
        <w:tc>
          <w:tcPr>
            <w:tcW w:w="384" w:type="pct"/>
            <w:vMerge w:val="restart"/>
            <w:shd w:val="clear" w:color="auto" w:fill="auto"/>
            <w:vAlign w:val="center"/>
          </w:tcPr>
          <w:p w:rsidR="00300BE1" w:rsidRPr="00BE5144" w:rsidRDefault="00300BE1" w:rsidP="002B30C3">
            <w:pPr>
              <w:rPr>
                <w:rFonts w:ascii="Arial Narrow" w:hAnsi="Arial Narrow" w:cs="Arial"/>
                <w:b/>
                <w:color w:val="000000"/>
                <w:sz w:val="20"/>
                <w:szCs w:val="20"/>
              </w:rPr>
            </w:pPr>
          </w:p>
        </w:tc>
        <w:tc>
          <w:tcPr>
            <w:tcW w:w="696" w:type="pct"/>
            <w:gridSpan w:val="2"/>
            <w:vMerge w:val="restart"/>
            <w:vAlign w:val="center"/>
          </w:tcPr>
          <w:p w:rsidR="00300BE1" w:rsidRPr="00BE5144" w:rsidRDefault="00300BE1" w:rsidP="002B30C3">
            <w:pPr>
              <w:jc w:val="center"/>
              <w:rPr>
                <w:rFonts w:ascii="Arial Narrow" w:hAnsi="Arial Narrow" w:cs="Arial"/>
                <w:b/>
                <w:color w:val="000000"/>
                <w:sz w:val="20"/>
                <w:szCs w:val="20"/>
              </w:rPr>
            </w:pPr>
            <w:r w:rsidRPr="00BE5144">
              <w:rPr>
                <w:rFonts w:ascii="Arial Narrow" w:hAnsi="Arial Narrow" w:cs="Arial"/>
                <w:b/>
                <w:color w:val="000000"/>
                <w:sz w:val="20"/>
                <w:szCs w:val="20"/>
              </w:rPr>
              <w:t>LDX</w:t>
            </w:r>
          </w:p>
        </w:tc>
        <w:tc>
          <w:tcPr>
            <w:tcW w:w="655" w:type="pct"/>
            <w:gridSpan w:val="2"/>
            <w:vMerge w:val="restart"/>
            <w:vAlign w:val="center"/>
          </w:tcPr>
          <w:p w:rsidR="00300BE1" w:rsidRPr="00BE5144" w:rsidRDefault="00300BE1" w:rsidP="002B30C3">
            <w:pPr>
              <w:jc w:val="center"/>
              <w:rPr>
                <w:rFonts w:ascii="Arial Narrow" w:hAnsi="Arial Narrow" w:cs="Arial"/>
                <w:b/>
                <w:color w:val="000000"/>
                <w:sz w:val="20"/>
                <w:szCs w:val="20"/>
              </w:rPr>
            </w:pPr>
            <w:r w:rsidRPr="00BE5144">
              <w:rPr>
                <w:rFonts w:ascii="Arial Narrow" w:hAnsi="Arial Narrow" w:cs="Arial"/>
                <w:b/>
                <w:color w:val="000000"/>
                <w:sz w:val="20"/>
                <w:szCs w:val="20"/>
              </w:rPr>
              <w:t>MPH-OROS</w:t>
            </w:r>
          </w:p>
        </w:tc>
        <w:tc>
          <w:tcPr>
            <w:tcW w:w="903" w:type="pct"/>
            <w:gridSpan w:val="2"/>
            <w:vMerge w:val="restart"/>
            <w:vAlign w:val="center"/>
          </w:tcPr>
          <w:p w:rsidR="00300BE1" w:rsidRPr="00BE5144" w:rsidRDefault="00300BE1" w:rsidP="002B30C3">
            <w:pPr>
              <w:jc w:val="center"/>
              <w:rPr>
                <w:rFonts w:ascii="Arial Narrow" w:hAnsi="Arial Narrow" w:cs="Arial"/>
                <w:b/>
                <w:color w:val="000000"/>
                <w:sz w:val="20"/>
                <w:szCs w:val="20"/>
              </w:rPr>
            </w:pPr>
            <w:r w:rsidRPr="00BE5144">
              <w:rPr>
                <w:rFonts w:ascii="Arial Narrow" w:hAnsi="Arial Narrow" w:cs="Arial"/>
                <w:b/>
                <w:color w:val="000000"/>
                <w:sz w:val="20"/>
                <w:szCs w:val="20"/>
              </w:rPr>
              <w:t>RR^</w:t>
            </w:r>
          </w:p>
          <w:p w:rsidR="00300BE1" w:rsidRPr="00BE5144" w:rsidRDefault="00300BE1" w:rsidP="002B30C3">
            <w:pPr>
              <w:jc w:val="center"/>
              <w:rPr>
                <w:rFonts w:ascii="Arial Narrow" w:hAnsi="Arial Narrow" w:cs="Arial"/>
                <w:b/>
                <w:color w:val="000000"/>
                <w:sz w:val="20"/>
                <w:szCs w:val="20"/>
              </w:rPr>
            </w:pPr>
            <w:r w:rsidRPr="00BE5144">
              <w:rPr>
                <w:rFonts w:ascii="Arial Narrow" w:hAnsi="Arial Narrow" w:cs="Arial"/>
                <w:b/>
                <w:color w:val="000000"/>
                <w:sz w:val="20"/>
                <w:szCs w:val="20"/>
              </w:rPr>
              <w:t>(95% CI)</w:t>
            </w:r>
          </w:p>
        </w:tc>
        <w:tc>
          <w:tcPr>
            <w:tcW w:w="1608" w:type="pct"/>
            <w:gridSpan w:val="3"/>
            <w:vAlign w:val="center"/>
          </w:tcPr>
          <w:p w:rsidR="00300BE1" w:rsidRPr="00BE5144" w:rsidRDefault="00300BE1" w:rsidP="002B30C3">
            <w:pPr>
              <w:jc w:val="center"/>
              <w:rPr>
                <w:rFonts w:ascii="Arial Narrow" w:hAnsi="Arial Narrow" w:cs="Arial"/>
                <w:b/>
                <w:color w:val="000000"/>
                <w:sz w:val="20"/>
                <w:szCs w:val="20"/>
              </w:rPr>
            </w:pPr>
            <w:r w:rsidRPr="00BE5144">
              <w:rPr>
                <w:rFonts w:ascii="Arial Narrow" w:hAnsi="Arial Narrow" w:cs="Arial"/>
                <w:b/>
                <w:color w:val="000000"/>
                <w:sz w:val="20"/>
                <w:szCs w:val="20"/>
              </w:rPr>
              <w:t xml:space="preserve">Event rate/100 patients* </w:t>
            </w:r>
          </w:p>
        </w:tc>
        <w:tc>
          <w:tcPr>
            <w:tcW w:w="755" w:type="pct"/>
            <w:vMerge w:val="restart"/>
            <w:vAlign w:val="center"/>
          </w:tcPr>
          <w:p w:rsidR="00300BE1" w:rsidRPr="00BE5144" w:rsidRDefault="00300BE1" w:rsidP="002B30C3">
            <w:pPr>
              <w:jc w:val="center"/>
              <w:rPr>
                <w:rFonts w:ascii="Arial Narrow" w:hAnsi="Arial Narrow" w:cs="Arial"/>
                <w:b/>
                <w:color w:val="000000"/>
                <w:sz w:val="20"/>
                <w:szCs w:val="20"/>
              </w:rPr>
            </w:pPr>
            <w:r w:rsidRPr="00BE5144">
              <w:rPr>
                <w:rFonts w:ascii="Arial Narrow" w:hAnsi="Arial Narrow" w:cs="Arial"/>
                <w:b/>
                <w:color w:val="000000"/>
                <w:sz w:val="20"/>
                <w:szCs w:val="20"/>
              </w:rPr>
              <w:t>RD</w:t>
            </w:r>
          </w:p>
          <w:p w:rsidR="00300BE1" w:rsidRPr="00BE5144" w:rsidRDefault="00300BE1" w:rsidP="002B30C3">
            <w:pPr>
              <w:jc w:val="center"/>
              <w:rPr>
                <w:rFonts w:ascii="Arial Narrow" w:hAnsi="Arial Narrow" w:cs="Arial"/>
                <w:b/>
                <w:color w:val="000000"/>
                <w:sz w:val="20"/>
                <w:szCs w:val="20"/>
              </w:rPr>
            </w:pPr>
            <w:r w:rsidRPr="00BE5144">
              <w:rPr>
                <w:rFonts w:ascii="Arial Narrow" w:hAnsi="Arial Narrow" w:cs="Arial"/>
                <w:b/>
                <w:color w:val="000000"/>
                <w:sz w:val="20"/>
                <w:szCs w:val="20"/>
              </w:rPr>
              <w:t>(95% CI)</w:t>
            </w:r>
          </w:p>
        </w:tc>
      </w:tr>
      <w:tr w:rsidR="00300BE1" w:rsidRPr="00BE5144" w:rsidTr="002B30C3">
        <w:trPr>
          <w:trHeight w:val="390"/>
        </w:trPr>
        <w:tc>
          <w:tcPr>
            <w:tcW w:w="384" w:type="pct"/>
            <w:vMerge/>
            <w:shd w:val="clear" w:color="auto" w:fill="auto"/>
            <w:vAlign w:val="center"/>
          </w:tcPr>
          <w:p w:rsidR="00300BE1" w:rsidRPr="00BE5144" w:rsidRDefault="00300BE1" w:rsidP="002B30C3">
            <w:pPr>
              <w:rPr>
                <w:rFonts w:ascii="Arial Narrow" w:hAnsi="Arial Narrow" w:cs="Arial"/>
                <w:b/>
                <w:color w:val="000000"/>
                <w:sz w:val="20"/>
                <w:szCs w:val="20"/>
              </w:rPr>
            </w:pPr>
          </w:p>
        </w:tc>
        <w:tc>
          <w:tcPr>
            <w:tcW w:w="696" w:type="pct"/>
            <w:gridSpan w:val="2"/>
            <w:vMerge/>
            <w:vAlign w:val="center"/>
          </w:tcPr>
          <w:p w:rsidR="00300BE1" w:rsidRPr="00BE5144" w:rsidRDefault="00300BE1" w:rsidP="002B30C3">
            <w:pPr>
              <w:jc w:val="center"/>
              <w:rPr>
                <w:rFonts w:ascii="Arial Narrow" w:hAnsi="Arial Narrow" w:cs="Arial"/>
                <w:b/>
                <w:color w:val="000000"/>
                <w:sz w:val="20"/>
                <w:szCs w:val="20"/>
              </w:rPr>
            </w:pPr>
          </w:p>
        </w:tc>
        <w:tc>
          <w:tcPr>
            <w:tcW w:w="655" w:type="pct"/>
            <w:gridSpan w:val="2"/>
            <w:vMerge/>
            <w:vAlign w:val="center"/>
          </w:tcPr>
          <w:p w:rsidR="00300BE1" w:rsidRPr="00BE5144" w:rsidRDefault="00300BE1" w:rsidP="002B30C3">
            <w:pPr>
              <w:jc w:val="center"/>
              <w:rPr>
                <w:rFonts w:ascii="Arial Narrow" w:hAnsi="Arial Narrow" w:cs="Arial"/>
                <w:b/>
                <w:color w:val="000000"/>
                <w:sz w:val="20"/>
                <w:szCs w:val="20"/>
              </w:rPr>
            </w:pPr>
          </w:p>
        </w:tc>
        <w:tc>
          <w:tcPr>
            <w:tcW w:w="903" w:type="pct"/>
            <w:gridSpan w:val="2"/>
            <w:vMerge/>
            <w:vAlign w:val="center"/>
          </w:tcPr>
          <w:p w:rsidR="00300BE1" w:rsidRPr="00BE5144" w:rsidRDefault="00300BE1" w:rsidP="002B30C3">
            <w:pPr>
              <w:jc w:val="center"/>
              <w:rPr>
                <w:rFonts w:ascii="Arial Narrow" w:hAnsi="Arial Narrow" w:cs="Arial"/>
                <w:b/>
                <w:color w:val="000000"/>
                <w:sz w:val="20"/>
                <w:szCs w:val="20"/>
              </w:rPr>
            </w:pPr>
          </w:p>
        </w:tc>
        <w:tc>
          <w:tcPr>
            <w:tcW w:w="792" w:type="pct"/>
            <w:gridSpan w:val="2"/>
            <w:vAlign w:val="center"/>
          </w:tcPr>
          <w:p w:rsidR="00300BE1" w:rsidRPr="00BE5144" w:rsidRDefault="00300BE1" w:rsidP="002B30C3">
            <w:pPr>
              <w:jc w:val="center"/>
              <w:rPr>
                <w:rFonts w:ascii="Arial Narrow" w:hAnsi="Arial Narrow" w:cs="Arial"/>
                <w:b/>
                <w:color w:val="000000"/>
                <w:sz w:val="20"/>
                <w:szCs w:val="20"/>
              </w:rPr>
            </w:pPr>
            <w:r w:rsidRPr="00BE5144">
              <w:rPr>
                <w:rFonts w:ascii="Arial Narrow" w:hAnsi="Arial Narrow" w:cs="Arial"/>
                <w:b/>
                <w:color w:val="000000"/>
                <w:sz w:val="20"/>
                <w:szCs w:val="20"/>
              </w:rPr>
              <w:t>LDX</w:t>
            </w:r>
          </w:p>
        </w:tc>
        <w:tc>
          <w:tcPr>
            <w:tcW w:w="816" w:type="pct"/>
            <w:vAlign w:val="center"/>
          </w:tcPr>
          <w:p w:rsidR="00300BE1" w:rsidRPr="00BE5144" w:rsidRDefault="00300BE1" w:rsidP="002B30C3">
            <w:pPr>
              <w:jc w:val="center"/>
              <w:rPr>
                <w:rFonts w:ascii="Arial Narrow" w:hAnsi="Arial Narrow" w:cs="Arial"/>
                <w:b/>
                <w:color w:val="000000"/>
                <w:sz w:val="20"/>
                <w:szCs w:val="20"/>
              </w:rPr>
            </w:pPr>
            <w:r w:rsidRPr="00BE5144">
              <w:rPr>
                <w:rFonts w:ascii="Arial Narrow" w:hAnsi="Arial Narrow" w:cs="Arial"/>
                <w:b/>
                <w:color w:val="000000"/>
                <w:sz w:val="20"/>
                <w:szCs w:val="20"/>
              </w:rPr>
              <w:t>MPH-OROS</w:t>
            </w:r>
          </w:p>
        </w:tc>
        <w:tc>
          <w:tcPr>
            <w:tcW w:w="755" w:type="pct"/>
            <w:vMerge/>
            <w:vAlign w:val="center"/>
          </w:tcPr>
          <w:p w:rsidR="00300BE1" w:rsidRPr="00BE5144" w:rsidRDefault="00300BE1" w:rsidP="002B30C3">
            <w:pPr>
              <w:jc w:val="center"/>
              <w:rPr>
                <w:rFonts w:ascii="Arial Narrow" w:hAnsi="Arial Narrow" w:cs="Arial"/>
                <w:b/>
                <w:color w:val="000000"/>
                <w:sz w:val="20"/>
                <w:szCs w:val="20"/>
              </w:rPr>
            </w:pPr>
          </w:p>
        </w:tc>
      </w:tr>
      <w:tr w:rsidR="00300BE1" w:rsidRPr="00BE5144" w:rsidTr="002B30C3">
        <w:tc>
          <w:tcPr>
            <w:tcW w:w="5000" w:type="pct"/>
            <w:gridSpan w:val="11"/>
            <w:shd w:val="clear" w:color="auto" w:fill="auto"/>
            <w:vAlign w:val="center"/>
          </w:tcPr>
          <w:p w:rsidR="00300BE1" w:rsidRPr="00BE5144" w:rsidRDefault="00300BE1" w:rsidP="002B30C3">
            <w:pPr>
              <w:rPr>
                <w:rFonts w:ascii="Arial Narrow" w:hAnsi="Arial Narrow" w:cs="Arial"/>
                <w:b/>
                <w:color w:val="000000"/>
                <w:sz w:val="20"/>
                <w:szCs w:val="20"/>
              </w:rPr>
            </w:pPr>
            <w:r w:rsidRPr="00BE5144">
              <w:rPr>
                <w:rFonts w:ascii="Arial Narrow" w:hAnsi="Arial Narrow" w:cs="Arial"/>
                <w:b/>
                <w:color w:val="000000"/>
                <w:sz w:val="20"/>
                <w:szCs w:val="20"/>
              </w:rPr>
              <w:t>Patients with weight decrease</w:t>
            </w:r>
          </w:p>
        </w:tc>
      </w:tr>
      <w:tr w:rsidR="00300BE1" w:rsidRPr="00BE5144" w:rsidTr="002B30C3">
        <w:tc>
          <w:tcPr>
            <w:tcW w:w="384" w:type="pct"/>
            <w:shd w:val="clear" w:color="auto" w:fill="auto"/>
            <w:vAlign w:val="center"/>
          </w:tcPr>
          <w:p w:rsidR="00300BE1" w:rsidRPr="00BE5144" w:rsidRDefault="00300BE1" w:rsidP="002B30C3">
            <w:pPr>
              <w:rPr>
                <w:rFonts w:ascii="Arial Narrow" w:hAnsi="Arial Narrow" w:cs="Arial"/>
                <w:color w:val="000000"/>
                <w:sz w:val="20"/>
                <w:szCs w:val="20"/>
              </w:rPr>
            </w:pPr>
            <w:r w:rsidRPr="00BE5144">
              <w:rPr>
                <w:rFonts w:ascii="Arial Narrow" w:hAnsi="Arial Narrow" w:cs="Arial"/>
                <w:color w:val="000000"/>
                <w:sz w:val="20"/>
                <w:szCs w:val="20"/>
              </w:rPr>
              <w:t>325</w:t>
            </w:r>
          </w:p>
        </w:tc>
        <w:tc>
          <w:tcPr>
            <w:tcW w:w="696" w:type="pct"/>
            <w:gridSpan w:val="2"/>
            <w:vAlign w:val="center"/>
          </w:tcPr>
          <w:p w:rsidR="00300BE1" w:rsidRPr="00BE5144" w:rsidRDefault="00300BE1" w:rsidP="002B30C3">
            <w:pPr>
              <w:jc w:val="center"/>
              <w:rPr>
                <w:rFonts w:ascii="Arial Narrow" w:hAnsi="Arial Narrow" w:cs="Arial"/>
                <w:color w:val="000000"/>
                <w:sz w:val="20"/>
                <w:szCs w:val="20"/>
              </w:rPr>
            </w:pPr>
            <w:r w:rsidRPr="00BE5144">
              <w:rPr>
                <w:rFonts w:ascii="Arial Narrow" w:hAnsi="Arial Narrow" w:cs="Arial"/>
                <w:color w:val="000000"/>
                <w:sz w:val="20"/>
                <w:szCs w:val="20"/>
              </w:rPr>
              <w:t>15/111</w:t>
            </w:r>
          </w:p>
        </w:tc>
        <w:tc>
          <w:tcPr>
            <w:tcW w:w="655" w:type="pct"/>
            <w:gridSpan w:val="2"/>
            <w:vAlign w:val="center"/>
          </w:tcPr>
          <w:p w:rsidR="00300BE1" w:rsidRPr="00BE5144" w:rsidRDefault="00300BE1" w:rsidP="002B30C3">
            <w:pPr>
              <w:jc w:val="center"/>
              <w:rPr>
                <w:rFonts w:ascii="Arial Narrow" w:hAnsi="Arial Narrow" w:cs="Arial"/>
                <w:color w:val="000000"/>
                <w:sz w:val="20"/>
                <w:szCs w:val="20"/>
              </w:rPr>
            </w:pPr>
            <w:r w:rsidRPr="00BE5144">
              <w:rPr>
                <w:rFonts w:ascii="Arial Narrow" w:hAnsi="Arial Narrow" w:cs="Arial"/>
                <w:color w:val="000000"/>
                <w:sz w:val="20"/>
                <w:szCs w:val="20"/>
              </w:rPr>
              <w:t>5/111</w:t>
            </w:r>
          </w:p>
        </w:tc>
        <w:tc>
          <w:tcPr>
            <w:tcW w:w="903" w:type="pct"/>
            <w:gridSpan w:val="2"/>
            <w:vAlign w:val="center"/>
          </w:tcPr>
          <w:p w:rsidR="00300BE1" w:rsidRPr="00BE5144" w:rsidRDefault="00300BE1" w:rsidP="002B30C3">
            <w:pPr>
              <w:jc w:val="center"/>
              <w:rPr>
                <w:rFonts w:ascii="Arial Narrow" w:hAnsi="Arial Narrow" w:cs="Arial"/>
                <w:color w:val="000000"/>
                <w:sz w:val="20"/>
                <w:szCs w:val="20"/>
              </w:rPr>
            </w:pPr>
            <w:r w:rsidRPr="00BE5144">
              <w:rPr>
                <w:rFonts w:ascii="Arial Narrow" w:hAnsi="Arial Narrow" w:cs="Arial"/>
                <w:color w:val="000000"/>
                <w:sz w:val="20"/>
                <w:szCs w:val="20"/>
              </w:rPr>
              <w:t>3.00 (1.13, 7.97)</w:t>
            </w:r>
          </w:p>
        </w:tc>
        <w:tc>
          <w:tcPr>
            <w:tcW w:w="792" w:type="pct"/>
            <w:gridSpan w:val="2"/>
            <w:vAlign w:val="center"/>
          </w:tcPr>
          <w:p w:rsidR="00300BE1" w:rsidRPr="00BE5144" w:rsidRDefault="00300BE1" w:rsidP="002B30C3">
            <w:pPr>
              <w:jc w:val="center"/>
              <w:rPr>
                <w:rFonts w:ascii="Arial Narrow" w:hAnsi="Arial Narrow" w:cs="Arial"/>
                <w:color w:val="000000"/>
                <w:sz w:val="20"/>
                <w:szCs w:val="20"/>
              </w:rPr>
            </w:pPr>
            <w:r w:rsidRPr="00BE5144">
              <w:rPr>
                <w:rFonts w:ascii="Arial Narrow" w:hAnsi="Arial Narrow" w:cs="Arial"/>
                <w:color w:val="000000"/>
                <w:sz w:val="20"/>
                <w:szCs w:val="20"/>
              </w:rPr>
              <w:t>13.5</w:t>
            </w:r>
          </w:p>
        </w:tc>
        <w:tc>
          <w:tcPr>
            <w:tcW w:w="816" w:type="pct"/>
            <w:vAlign w:val="center"/>
          </w:tcPr>
          <w:p w:rsidR="00300BE1" w:rsidRPr="00BE5144" w:rsidRDefault="00300BE1" w:rsidP="002B30C3">
            <w:pPr>
              <w:jc w:val="center"/>
              <w:rPr>
                <w:rFonts w:ascii="Arial Narrow" w:hAnsi="Arial Narrow" w:cs="Arial"/>
                <w:color w:val="000000"/>
                <w:sz w:val="20"/>
                <w:szCs w:val="20"/>
              </w:rPr>
            </w:pPr>
            <w:r w:rsidRPr="00BE5144">
              <w:rPr>
                <w:rFonts w:ascii="Arial Narrow" w:hAnsi="Arial Narrow" w:cs="Arial"/>
                <w:color w:val="000000"/>
                <w:sz w:val="20"/>
                <w:szCs w:val="20"/>
              </w:rPr>
              <w:t>4.5</w:t>
            </w:r>
          </w:p>
        </w:tc>
        <w:tc>
          <w:tcPr>
            <w:tcW w:w="755" w:type="pct"/>
            <w:vAlign w:val="center"/>
          </w:tcPr>
          <w:p w:rsidR="00300BE1" w:rsidRPr="00BE5144" w:rsidRDefault="00300BE1" w:rsidP="002B30C3">
            <w:pPr>
              <w:jc w:val="center"/>
              <w:rPr>
                <w:rFonts w:ascii="Arial Narrow" w:hAnsi="Arial Narrow" w:cs="Arial"/>
                <w:color w:val="000000"/>
                <w:sz w:val="20"/>
                <w:szCs w:val="20"/>
              </w:rPr>
            </w:pPr>
            <w:r w:rsidRPr="00BE5144">
              <w:rPr>
                <w:rFonts w:ascii="Arial Narrow" w:hAnsi="Arial Narrow" w:cs="Arial"/>
                <w:color w:val="000000"/>
                <w:sz w:val="20"/>
                <w:szCs w:val="20"/>
              </w:rPr>
              <w:t>0.09 (0.02, 0.2)</w:t>
            </w:r>
          </w:p>
        </w:tc>
      </w:tr>
      <w:tr w:rsidR="00300BE1" w:rsidRPr="00BE5144" w:rsidTr="002B30C3">
        <w:tc>
          <w:tcPr>
            <w:tcW w:w="5000" w:type="pct"/>
            <w:gridSpan w:val="11"/>
            <w:shd w:val="clear" w:color="auto" w:fill="auto"/>
            <w:vAlign w:val="center"/>
          </w:tcPr>
          <w:p w:rsidR="00300BE1" w:rsidRPr="00BE5144" w:rsidRDefault="00300BE1" w:rsidP="002B30C3">
            <w:pPr>
              <w:rPr>
                <w:rFonts w:ascii="Arial Narrow" w:hAnsi="Arial Narrow" w:cs="Arial"/>
                <w:b/>
                <w:color w:val="000000"/>
                <w:sz w:val="20"/>
                <w:szCs w:val="20"/>
              </w:rPr>
            </w:pPr>
            <w:r w:rsidRPr="00BE5144">
              <w:rPr>
                <w:rFonts w:ascii="Arial Narrow" w:hAnsi="Arial Narrow" w:cs="Arial"/>
                <w:b/>
                <w:color w:val="000000"/>
                <w:sz w:val="20"/>
                <w:szCs w:val="20"/>
              </w:rPr>
              <w:t>Patients with weight decrease ≥7%</w:t>
            </w:r>
          </w:p>
        </w:tc>
      </w:tr>
      <w:tr w:rsidR="00300BE1" w:rsidRPr="00BE5144" w:rsidTr="002B30C3">
        <w:tc>
          <w:tcPr>
            <w:tcW w:w="384" w:type="pct"/>
            <w:shd w:val="clear" w:color="auto" w:fill="auto"/>
            <w:vAlign w:val="center"/>
          </w:tcPr>
          <w:p w:rsidR="00300BE1" w:rsidRPr="00BE5144" w:rsidRDefault="00300BE1" w:rsidP="002B30C3">
            <w:pPr>
              <w:rPr>
                <w:rFonts w:ascii="Arial Narrow" w:hAnsi="Arial Narrow" w:cs="Arial"/>
                <w:color w:val="000000"/>
                <w:sz w:val="20"/>
                <w:szCs w:val="20"/>
              </w:rPr>
            </w:pPr>
            <w:r w:rsidRPr="00BE5144">
              <w:rPr>
                <w:rFonts w:ascii="Arial Narrow" w:hAnsi="Arial Narrow" w:cs="Arial"/>
                <w:color w:val="000000"/>
                <w:sz w:val="20"/>
                <w:szCs w:val="20"/>
              </w:rPr>
              <w:t>325</w:t>
            </w:r>
          </w:p>
        </w:tc>
        <w:tc>
          <w:tcPr>
            <w:tcW w:w="696" w:type="pct"/>
            <w:gridSpan w:val="2"/>
            <w:vAlign w:val="center"/>
          </w:tcPr>
          <w:p w:rsidR="00300BE1" w:rsidRPr="00BE5144" w:rsidRDefault="00300BE1" w:rsidP="002B30C3">
            <w:pPr>
              <w:jc w:val="center"/>
              <w:rPr>
                <w:rFonts w:ascii="Arial Narrow" w:hAnsi="Arial Narrow" w:cs="Arial"/>
                <w:color w:val="000000"/>
                <w:sz w:val="20"/>
                <w:szCs w:val="20"/>
              </w:rPr>
            </w:pPr>
            <w:r w:rsidRPr="00BE5144">
              <w:rPr>
                <w:rFonts w:ascii="Arial Narrow" w:hAnsi="Arial Narrow" w:cs="Arial"/>
                <w:color w:val="000000"/>
                <w:sz w:val="20"/>
                <w:szCs w:val="20"/>
              </w:rPr>
              <w:t>35/107</w:t>
            </w:r>
          </w:p>
        </w:tc>
        <w:tc>
          <w:tcPr>
            <w:tcW w:w="655" w:type="pct"/>
            <w:gridSpan w:val="2"/>
            <w:vAlign w:val="center"/>
          </w:tcPr>
          <w:p w:rsidR="00300BE1" w:rsidRPr="00BE5144" w:rsidRDefault="00300BE1" w:rsidP="002B30C3">
            <w:pPr>
              <w:jc w:val="center"/>
              <w:rPr>
                <w:rFonts w:ascii="Arial Narrow" w:hAnsi="Arial Narrow" w:cs="Arial"/>
                <w:color w:val="000000"/>
                <w:sz w:val="20"/>
                <w:szCs w:val="20"/>
              </w:rPr>
            </w:pPr>
            <w:r w:rsidRPr="00BE5144">
              <w:rPr>
                <w:rFonts w:ascii="Arial Narrow" w:hAnsi="Arial Narrow" w:cs="Arial"/>
                <w:color w:val="000000"/>
                <w:sz w:val="20"/>
                <w:szCs w:val="20"/>
              </w:rPr>
              <w:t>12/108</w:t>
            </w:r>
          </w:p>
        </w:tc>
        <w:tc>
          <w:tcPr>
            <w:tcW w:w="903" w:type="pct"/>
            <w:gridSpan w:val="2"/>
            <w:vAlign w:val="center"/>
          </w:tcPr>
          <w:p w:rsidR="00300BE1" w:rsidRPr="00BE5144" w:rsidRDefault="00300BE1" w:rsidP="002B30C3">
            <w:pPr>
              <w:jc w:val="center"/>
              <w:rPr>
                <w:rFonts w:ascii="Arial Narrow" w:hAnsi="Arial Narrow" w:cs="Arial"/>
                <w:color w:val="000000"/>
                <w:sz w:val="20"/>
                <w:szCs w:val="20"/>
              </w:rPr>
            </w:pPr>
            <w:r w:rsidRPr="00BE5144">
              <w:rPr>
                <w:rFonts w:ascii="Arial Narrow" w:hAnsi="Arial Narrow" w:cs="Arial"/>
                <w:color w:val="000000"/>
                <w:sz w:val="20"/>
                <w:szCs w:val="20"/>
              </w:rPr>
              <w:t>2.94 (1.62, 5.36)</w:t>
            </w:r>
          </w:p>
        </w:tc>
        <w:tc>
          <w:tcPr>
            <w:tcW w:w="792" w:type="pct"/>
            <w:gridSpan w:val="2"/>
            <w:vAlign w:val="center"/>
          </w:tcPr>
          <w:p w:rsidR="00300BE1" w:rsidRPr="00BE5144" w:rsidRDefault="00300BE1" w:rsidP="002B30C3">
            <w:pPr>
              <w:jc w:val="center"/>
              <w:rPr>
                <w:rFonts w:ascii="Arial Narrow" w:hAnsi="Arial Narrow" w:cs="Arial"/>
                <w:color w:val="000000"/>
                <w:sz w:val="20"/>
                <w:szCs w:val="20"/>
              </w:rPr>
            </w:pPr>
            <w:r w:rsidRPr="00BE5144">
              <w:rPr>
                <w:rFonts w:ascii="Arial Narrow" w:hAnsi="Arial Narrow" w:cs="Arial"/>
                <w:color w:val="000000"/>
                <w:sz w:val="20"/>
                <w:szCs w:val="20"/>
              </w:rPr>
              <w:t>32.7</w:t>
            </w:r>
          </w:p>
        </w:tc>
        <w:tc>
          <w:tcPr>
            <w:tcW w:w="816" w:type="pct"/>
            <w:vAlign w:val="center"/>
          </w:tcPr>
          <w:p w:rsidR="00300BE1" w:rsidRPr="00BE5144" w:rsidRDefault="00300BE1" w:rsidP="002B30C3">
            <w:pPr>
              <w:jc w:val="center"/>
              <w:rPr>
                <w:rFonts w:ascii="Arial Narrow" w:hAnsi="Arial Narrow" w:cs="Arial"/>
                <w:color w:val="000000"/>
                <w:sz w:val="20"/>
                <w:szCs w:val="20"/>
              </w:rPr>
            </w:pPr>
            <w:r w:rsidRPr="00BE5144">
              <w:rPr>
                <w:rFonts w:ascii="Arial Narrow" w:hAnsi="Arial Narrow" w:cs="Arial"/>
                <w:color w:val="000000"/>
                <w:sz w:val="20"/>
                <w:szCs w:val="20"/>
              </w:rPr>
              <w:t>11.1</w:t>
            </w:r>
          </w:p>
        </w:tc>
        <w:tc>
          <w:tcPr>
            <w:tcW w:w="755" w:type="pct"/>
            <w:vAlign w:val="center"/>
          </w:tcPr>
          <w:p w:rsidR="00300BE1" w:rsidRPr="00BE5144" w:rsidRDefault="00300BE1" w:rsidP="002B30C3">
            <w:pPr>
              <w:jc w:val="center"/>
              <w:rPr>
                <w:rFonts w:ascii="Arial Narrow" w:hAnsi="Arial Narrow" w:cs="Arial"/>
                <w:color w:val="000000"/>
                <w:sz w:val="20"/>
                <w:szCs w:val="20"/>
              </w:rPr>
            </w:pPr>
            <w:r w:rsidRPr="00BE5144">
              <w:rPr>
                <w:rFonts w:ascii="Arial Narrow" w:hAnsi="Arial Narrow" w:cs="Arial"/>
                <w:color w:val="000000"/>
                <w:sz w:val="20"/>
                <w:szCs w:val="20"/>
              </w:rPr>
              <w:t>0.22 (0.11, 0.32)</w:t>
            </w:r>
          </w:p>
        </w:tc>
      </w:tr>
    </w:tbl>
    <w:p w:rsidR="00300BE1" w:rsidRPr="001C1976" w:rsidRDefault="00300BE1" w:rsidP="00300BE1">
      <w:pPr>
        <w:pStyle w:val="TableFooter"/>
        <w:rPr>
          <w:sz w:val="20"/>
        </w:rPr>
      </w:pPr>
      <w:r w:rsidRPr="001C1976">
        <w:rPr>
          <w:sz w:val="20"/>
        </w:rPr>
        <w:t>Abbreviations: PBO = placebo; MPH-OROS=methylphenidate OROS, LDX=</w:t>
      </w:r>
      <w:proofErr w:type="spellStart"/>
      <w:r w:rsidRPr="001C1976">
        <w:rPr>
          <w:sz w:val="20"/>
        </w:rPr>
        <w:t>lisdexamfetamine</w:t>
      </w:r>
      <w:proofErr w:type="spellEnd"/>
      <w:r w:rsidRPr="001C1976">
        <w:rPr>
          <w:sz w:val="20"/>
        </w:rPr>
        <w:t>; RD = risk difference; RR = risk ratio; SD=standard deviation; MCID=minimally clinically meaning difference; ADHD-RS-IV =Attention Deficit Hyperactivity Disorder rating scale IV; * Median duration of follow-up: 7 weeks; ^</w:t>
      </w:r>
      <w:r w:rsidR="00F0385B" w:rsidRPr="001C1976">
        <w:rPr>
          <w:sz w:val="20"/>
        </w:rPr>
        <w:t xml:space="preserve"> </w:t>
      </w:r>
      <w:r w:rsidRPr="001C1976">
        <w:rPr>
          <w:sz w:val="20"/>
        </w:rPr>
        <w:t xml:space="preserve">estimated during the evaluation using </w:t>
      </w:r>
      <w:proofErr w:type="spellStart"/>
      <w:r w:rsidRPr="001C1976">
        <w:rPr>
          <w:sz w:val="20"/>
        </w:rPr>
        <w:t>RevMan</w:t>
      </w:r>
      <w:proofErr w:type="spellEnd"/>
      <w:r w:rsidRPr="001C1976">
        <w:rPr>
          <w:sz w:val="20"/>
        </w:rPr>
        <w:t xml:space="preserve"> 5.2; </w:t>
      </w:r>
      <w:r w:rsidRPr="001C1976">
        <w:rPr>
          <w:sz w:val="20"/>
          <w:vertAlign w:val="superscript"/>
        </w:rPr>
        <w:t>a</w:t>
      </w:r>
      <w:r w:rsidRPr="001C1976">
        <w:rPr>
          <w:sz w:val="20"/>
          <w:vertAlign w:val="superscript"/>
        </w:rPr>
        <w:tab/>
      </w:r>
      <w:r w:rsidRPr="001C1976">
        <w:rPr>
          <w:sz w:val="20"/>
        </w:rPr>
        <w:t>response is defined as proportion of subjects achieving at least 30% change from baseline ADHD-RS-IV AND a CGI-I score of 1 or 2 at endpoint.</w:t>
      </w:r>
    </w:p>
    <w:p w:rsidR="00300BE1" w:rsidRPr="001C1976" w:rsidRDefault="00300BE1" w:rsidP="00300BE1">
      <w:pPr>
        <w:pStyle w:val="TableFooter"/>
        <w:rPr>
          <w:sz w:val="20"/>
        </w:rPr>
      </w:pPr>
      <w:r w:rsidRPr="001C1976">
        <w:rPr>
          <w:sz w:val="20"/>
        </w:rPr>
        <w:t>Source: Compiled during the evaluation from Tables B.6.1, B.6.2 of this commentary and Table B.6.5 of the July 2013 commentary.</w:t>
      </w:r>
    </w:p>
    <w:p w:rsidR="00300BE1" w:rsidRPr="007F2159" w:rsidRDefault="00300BE1" w:rsidP="00300BE1">
      <w:pPr>
        <w:rPr>
          <w:rFonts w:ascii="Arial" w:hAnsi="Arial" w:cs="Arial"/>
          <w:sz w:val="22"/>
          <w:szCs w:val="22"/>
          <w:highlight w:val="lightGray"/>
        </w:rPr>
      </w:pPr>
    </w:p>
    <w:p w:rsidR="00300BE1" w:rsidRPr="00FC6E89" w:rsidRDefault="00300BE1" w:rsidP="00243655">
      <w:pPr>
        <w:pStyle w:val="ListParagraph"/>
        <w:numPr>
          <w:ilvl w:val="1"/>
          <w:numId w:val="25"/>
        </w:numPr>
        <w:ind w:left="709" w:hanging="709"/>
        <w:jc w:val="both"/>
        <w:rPr>
          <w:rFonts w:ascii="Arial" w:hAnsi="Arial"/>
          <w:sz w:val="22"/>
          <w:szCs w:val="22"/>
        </w:rPr>
      </w:pPr>
      <w:r w:rsidRPr="00FC6E89">
        <w:rPr>
          <w:rFonts w:ascii="Arial" w:hAnsi="Arial" w:cs="Arial"/>
          <w:sz w:val="22"/>
          <w:szCs w:val="22"/>
        </w:rPr>
        <w:t>On the basis of direct comparative evidence presented by the submission, for every 100 patients treated for a median of 7 weeks with LDX in comparison to MPH-OROS:</w:t>
      </w:r>
    </w:p>
    <w:p w:rsidR="00300BE1" w:rsidRPr="00FC6E89" w:rsidRDefault="00300BE1" w:rsidP="00A14950">
      <w:pPr>
        <w:pStyle w:val="ListParagraph"/>
        <w:numPr>
          <w:ilvl w:val="0"/>
          <w:numId w:val="39"/>
        </w:numPr>
        <w:ind w:left="709" w:hanging="283"/>
        <w:jc w:val="both"/>
        <w:rPr>
          <w:rFonts w:ascii="Arial" w:hAnsi="Arial" w:cs="Arial"/>
          <w:sz w:val="22"/>
          <w:szCs w:val="22"/>
        </w:rPr>
      </w:pPr>
      <w:r w:rsidRPr="00FC6E89">
        <w:rPr>
          <w:rFonts w:ascii="Arial" w:hAnsi="Arial" w:cs="Arial"/>
          <w:sz w:val="22"/>
          <w:szCs w:val="22"/>
        </w:rPr>
        <w:t>Approximately 18 additional patients would meet the definition of a responder (defined as the proportion of subjects achieving at least 30% change from baseline ADHD-RS-IV AND a CGI-I score of 1 or 2 at endpoint).  The clinical meaning of being a responder under this definition is unclear.</w:t>
      </w:r>
    </w:p>
    <w:p w:rsidR="00300BE1" w:rsidRPr="00FC6E89" w:rsidRDefault="00300BE1" w:rsidP="00A14950">
      <w:pPr>
        <w:pStyle w:val="ListParagraph"/>
        <w:widowControl w:val="0"/>
        <w:numPr>
          <w:ilvl w:val="0"/>
          <w:numId w:val="39"/>
        </w:numPr>
        <w:tabs>
          <w:tab w:val="left" w:pos="709"/>
        </w:tabs>
        <w:autoSpaceDE w:val="0"/>
        <w:autoSpaceDN w:val="0"/>
        <w:adjustRightInd w:val="0"/>
        <w:ind w:left="709" w:hanging="283"/>
        <w:jc w:val="both"/>
        <w:rPr>
          <w:rFonts w:ascii="Arial" w:hAnsi="Arial" w:cs="Arial"/>
          <w:sz w:val="22"/>
          <w:szCs w:val="22"/>
          <w:lang w:val="en-US"/>
        </w:rPr>
      </w:pPr>
      <w:r w:rsidRPr="00FC6E89">
        <w:rPr>
          <w:rFonts w:ascii="Arial" w:hAnsi="Arial" w:cs="Arial"/>
          <w:sz w:val="22"/>
          <w:szCs w:val="22"/>
          <w:lang w:val="en-US"/>
        </w:rPr>
        <w:t>There would be an average reduction of 5</w:t>
      </w:r>
      <w:r w:rsidRPr="00FC6E89">
        <w:rPr>
          <w:rFonts w:ascii="Arial" w:hAnsi="Arial" w:cs="Arial"/>
          <w:sz w:val="22"/>
          <w:szCs w:val="22"/>
        </w:rPr>
        <w:t>.8 points in the ADHD-RS-IV Total score</w:t>
      </w:r>
      <w:r w:rsidR="007F2159" w:rsidRPr="00FC6E89">
        <w:rPr>
          <w:rFonts w:ascii="Arial" w:hAnsi="Arial" w:cs="Arial"/>
          <w:sz w:val="22"/>
          <w:szCs w:val="22"/>
          <w:lang w:val="en-US"/>
        </w:rPr>
        <w:t>;</w:t>
      </w:r>
      <w:r w:rsidRPr="00FC6E89">
        <w:rPr>
          <w:rFonts w:ascii="Arial" w:hAnsi="Arial" w:cs="Arial"/>
          <w:sz w:val="22"/>
          <w:szCs w:val="22"/>
          <w:lang w:val="en-US"/>
        </w:rPr>
        <w:t xml:space="preserve"> </w:t>
      </w:r>
      <w:r w:rsidR="007F2159" w:rsidRPr="00FC6E89">
        <w:rPr>
          <w:rFonts w:ascii="Arial" w:hAnsi="Arial" w:cs="Arial"/>
          <w:sz w:val="22"/>
          <w:szCs w:val="22"/>
          <w:lang w:val="en-US"/>
        </w:rPr>
        <w:t>i</w:t>
      </w:r>
      <w:r w:rsidRPr="00FC6E89">
        <w:rPr>
          <w:rFonts w:ascii="Arial" w:hAnsi="Arial" w:cs="Arial"/>
          <w:sz w:val="22"/>
          <w:szCs w:val="22"/>
          <w:lang w:val="en-US"/>
        </w:rPr>
        <w:t>t is considered that a reduction of 6.6 or 7.6 is clinically significant.</w:t>
      </w:r>
    </w:p>
    <w:p w:rsidR="002948C0" w:rsidRPr="00FC6E89" w:rsidRDefault="00300BE1" w:rsidP="00A14950">
      <w:pPr>
        <w:pStyle w:val="ListParagraph"/>
        <w:numPr>
          <w:ilvl w:val="0"/>
          <w:numId w:val="39"/>
        </w:numPr>
        <w:tabs>
          <w:tab w:val="left" w:pos="709"/>
        </w:tabs>
        <w:ind w:left="709" w:hanging="283"/>
        <w:jc w:val="both"/>
      </w:pPr>
      <w:r w:rsidRPr="00FC6E89">
        <w:rPr>
          <w:rFonts w:ascii="Arial" w:hAnsi="Arial" w:cs="Arial"/>
          <w:sz w:val="22"/>
          <w:szCs w:val="22"/>
        </w:rPr>
        <w:t xml:space="preserve">Approximately 22 additional patients would experience clinically significant weight loss of 7% or more. </w:t>
      </w:r>
    </w:p>
    <w:p w:rsidR="00516134" w:rsidRDefault="00516134" w:rsidP="00882085">
      <w:pPr>
        <w:jc w:val="both"/>
        <w:rPr>
          <w:rFonts w:ascii="Arial" w:hAnsi="Arial"/>
          <w:b/>
          <w:i/>
          <w:sz w:val="22"/>
          <w:szCs w:val="22"/>
        </w:rPr>
      </w:pPr>
    </w:p>
    <w:p w:rsidR="005A3173" w:rsidRPr="00FC6E89" w:rsidRDefault="005A3173" w:rsidP="00882085">
      <w:pPr>
        <w:jc w:val="both"/>
        <w:rPr>
          <w:rFonts w:ascii="Arial" w:hAnsi="Arial"/>
          <w:b/>
          <w:i/>
          <w:sz w:val="22"/>
          <w:szCs w:val="22"/>
        </w:rPr>
      </w:pPr>
      <w:r w:rsidRPr="00FC6E89">
        <w:rPr>
          <w:rFonts w:ascii="Arial" w:hAnsi="Arial"/>
          <w:b/>
          <w:i/>
          <w:sz w:val="22"/>
          <w:szCs w:val="22"/>
        </w:rPr>
        <w:t>Clinical claim</w:t>
      </w:r>
    </w:p>
    <w:p w:rsidR="008C4088" w:rsidRPr="00FC6E89" w:rsidRDefault="008C4088" w:rsidP="002B30C3"/>
    <w:p w:rsidR="008C4088" w:rsidRPr="004D3474" w:rsidRDefault="008C4088" w:rsidP="00B675DB">
      <w:pPr>
        <w:pStyle w:val="ListParagraph"/>
        <w:numPr>
          <w:ilvl w:val="1"/>
          <w:numId w:val="25"/>
        </w:numPr>
        <w:ind w:hanging="1004"/>
        <w:jc w:val="both"/>
        <w:rPr>
          <w:rFonts w:ascii="Arial" w:hAnsi="Arial"/>
          <w:sz w:val="22"/>
          <w:szCs w:val="22"/>
        </w:rPr>
      </w:pPr>
      <w:r w:rsidRPr="00FC6E89">
        <w:rPr>
          <w:rStyle w:val="CommentReference"/>
          <w:rFonts w:ascii="Arial" w:hAnsi="Arial" w:cs="Arial"/>
          <w:sz w:val="22"/>
          <w:szCs w:val="22"/>
        </w:rPr>
        <w:t xml:space="preserve">A Summary of clinical claims for LDX by treatment setting are shown below: </w:t>
      </w:r>
    </w:p>
    <w:p w:rsidR="004D3474" w:rsidRPr="00FC6E89" w:rsidRDefault="004D3474" w:rsidP="004D3474">
      <w:pPr>
        <w:pStyle w:val="ListParagraph"/>
        <w:ind w:left="1004"/>
        <w:jc w:val="both"/>
        <w:rPr>
          <w:rStyle w:val="CommentReference"/>
          <w:rFonts w:ascii="Arial" w:hAnsi="Arial"/>
          <w:sz w:val="22"/>
          <w:szCs w:val="22"/>
        </w:rPr>
      </w:pPr>
    </w:p>
    <w:tbl>
      <w:tblPr>
        <w:tblStyle w:val="TableGrid"/>
        <w:tblW w:w="9100" w:type="dxa"/>
        <w:tblCellMar>
          <w:left w:w="28" w:type="dxa"/>
          <w:right w:w="28" w:type="dxa"/>
        </w:tblCellMar>
        <w:tblLook w:val="04A0" w:firstRow="1" w:lastRow="0" w:firstColumn="1" w:lastColumn="0" w:noHBand="0" w:noVBand="1"/>
        <w:tblDescription w:val="Summary of clinical claims for LDX by treatment"/>
      </w:tblPr>
      <w:tblGrid>
        <w:gridCol w:w="1162"/>
        <w:gridCol w:w="1618"/>
        <w:gridCol w:w="1404"/>
        <w:gridCol w:w="2081"/>
        <w:gridCol w:w="1418"/>
        <w:gridCol w:w="1417"/>
      </w:tblGrid>
      <w:tr w:rsidR="008C4088" w:rsidRPr="002F77E1" w:rsidTr="0004516B">
        <w:trPr>
          <w:tblHeader/>
        </w:trPr>
        <w:tc>
          <w:tcPr>
            <w:tcW w:w="1162" w:type="dxa"/>
            <w:vAlign w:val="center"/>
          </w:tcPr>
          <w:p w:rsidR="008C4088" w:rsidRPr="002F77E1" w:rsidRDefault="008C4088" w:rsidP="008F275C">
            <w:pPr>
              <w:rPr>
                <w:rFonts w:ascii="Arial Narrow" w:hAnsi="Arial Narrow" w:cs="Arial"/>
                <w:b/>
                <w:sz w:val="20"/>
                <w:szCs w:val="20"/>
              </w:rPr>
            </w:pPr>
            <w:r w:rsidRPr="002F77E1">
              <w:rPr>
                <w:rFonts w:ascii="Arial Narrow" w:hAnsi="Arial Narrow" w:cs="Arial"/>
                <w:b/>
                <w:sz w:val="20"/>
                <w:szCs w:val="20"/>
              </w:rPr>
              <w:t>Treatment setting</w:t>
            </w:r>
          </w:p>
        </w:tc>
        <w:tc>
          <w:tcPr>
            <w:tcW w:w="1618" w:type="dxa"/>
            <w:vAlign w:val="center"/>
          </w:tcPr>
          <w:p w:rsidR="008C4088" w:rsidRPr="002F77E1" w:rsidRDefault="008C4088" w:rsidP="008F275C">
            <w:pPr>
              <w:jc w:val="center"/>
              <w:rPr>
                <w:rFonts w:ascii="Arial Narrow" w:hAnsi="Arial Narrow" w:cs="Arial"/>
                <w:b/>
                <w:sz w:val="20"/>
                <w:szCs w:val="20"/>
              </w:rPr>
            </w:pPr>
            <w:r w:rsidRPr="002F77E1">
              <w:rPr>
                <w:rFonts w:ascii="Arial Narrow" w:hAnsi="Arial Narrow" w:cs="Arial"/>
                <w:b/>
                <w:sz w:val="20"/>
                <w:szCs w:val="20"/>
              </w:rPr>
              <w:t>Comparisons</w:t>
            </w:r>
          </w:p>
        </w:tc>
        <w:tc>
          <w:tcPr>
            <w:tcW w:w="1404" w:type="dxa"/>
            <w:vAlign w:val="center"/>
          </w:tcPr>
          <w:p w:rsidR="008C4088" w:rsidRPr="002F77E1" w:rsidRDefault="008C4088" w:rsidP="008F275C">
            <w:pPr>
              <w:jc w:val="center"/>
              <w:rPr>
                <w:rFonts w:ascii="Arial Narrow" w:hAnsi="Arial Narrow" w:cs="Arial"/>
                <w:b/>
                <w:sz w:val="20"/>
                <w:szCs w:val="20"/>
              </w:rPr>
            </w:pPr>
            <w:r w:rsidRPr="002F77E1">
              <w:rPr>
                <w:rFonts w:ascii="Arial Narrow" w:hAnsi="Arial Narrow" w:cs="Arial"/>
                <w:b/>
                <w:sz w:val="20"/>
                <w:szCs w:val="20"/>
              </w:rPr>
              <w:t>Patient population</w:t>
            </w:r>
          </w:p>
        </w:tc>
        <w:tc>
          <w:tcPr>
            <w:tcW w:w="2081" w:type="dxa"/>
            <w:vAlign w:val="center"/>
          </w:tcPr>
          <w:p w:rsidR="008C4088" w:rsidRPr="002F77E1" w:rsidRDefault="008C4088" w:rsidP="008F275C">
            <w:pPr>
              <w:jc w:val="center"/>
              <w:rPr>
                <w:rFonts w:ascii="Arial Narrow" w:hAnsi="Arial Narrow" w:cs="Arial"/>
                <w:b/>
                <w:sz w:val="20"/>
                <w:szCs w:val="20"/>
              </w:rPr>
            </w:pPr>
            <w:r w:rsidRPr="002F77E1">
              <w:rPr>
                <w:rFonts w:ascii="Arial Narrow" w:hAnsi="Arial Narrow" w:cs="Arial"/>
                <w:b/>
                <w:sz w:val="20"/>
                <w:szCs w:val="20"/>
              </w:rPr>
              <w:t>Clinical claim</w:t>
            </w:r>
          </w:p>
        </w:tc>
        <w:tc>
          <w:tcPr>
            <w:tcW w:w="1418" w:type="dxa"/>
            <w:vAlign w:val="center"/>
          </w:tcPr>
          <w:p w:rsidR="008C4088" w:rsidRPr="002F77E1" w:rsidRDefault="008C4088" w:rsidP="008F275C">
            <w:pPr>
              <w:jc w:val="center"/>
              <w:rPr>
                <w:rFonts w:ascii="Arial Narrow" w:hAnsi="Arial Narrow" w:cs="Arial"/>
                <w:b/>
                <w:sz w:val="20"/>
                <w:szCs w:val="20"/>
              </w:rPr>
            </w:pPr>
            <w:r w:rsidRPr="002F77E1">
              <w:rPr>
                <w:rFonts w:ascii="Arial Narrow" w:hAnsi="Arial Narrow" w:cs="Arial"/>
                <w:b/>
                <w:sz w:val="20"/>
                <w:szCs w:val="20"/>
              </w:rPr>
              <w:t>Evidence base</w:t>
            </w:r>
          </w:p>
        </w:tc>
        <w:tc>
          <w:tcPr>
            <w:tcW w:w="1417" w:type="dxa"/>
            <w:vAlign w:val="center"/>
          </w:tcPr>
          <w:p w:rsidR="008C4088" w:rsidRPr="002F77E1" w:rsidRDefault="008C4088" w:rsidP="008F275C">
            <w:pPr>
              <w:jc w:val="center"/>
              <w:rPr>
                <w:rFonts w:ascii="Arial Narrow" w:hAnsi="Arial Narrow" w:cs="Arial"/>
                <w:b/>
                <w:sz w:val="20"/>
                <w:szCs w:val="20"/>
              </w:rPr>
            </w:pPr>
            <w:r w:rsidRPr="002F77E1">
              <w:rPr>
                <w:rFonts w:ascii="Arial Narrow" w:hAnsi="Arial Narrow" w:cs="Arial"/>
                <w:b/>
                <w:sz w:val="20"/>
                <w:szCs w:val="20"/>
              </w:rPr>
              <w:t>Economic evaluation proposed</w:t>
            </w:r>
          </w:p>
        </w:tc>
      </w:tr>
      <w:tr w:rsidR="008C4088" w:rsidRPr="002F77E1" w:rsidTr="008F275C">
        <w:tc>
          <w:tcPr>
            <w:tcW w:w="1162" w:type="dxa"/>
            <w:vMerge w:val="restart"/>
            <w:vAlign w:val="center"/>
          </w:tcPr>
          <w:p w:rsidR="008C4088" w:rsidRPr="002F77E1" w:rsidRDefault="008C4088" w:rsidP="008F275C">
            <w:pPr>
              <w:rPr>
                <w:rFonts w:ascii="Arial Narrow" w:hAnsi="Arial Narrow" w:cs="Arial"/>
                <w:sz w:val="20"/>
                <w:szCs w:val="20"/>
              </w:rPr>
            </w:pPr>
            <w:r w:rsidRPr="002F77E1">
              <w:rPr>
                <w:rFonts w:ascii="Arial Narrow" w:hAnsi="Arial Narrow" w:cs="Arial"/>
                <w:sz w:val="20"/>
                <w:szCs w:val="20"/>
              </w:rPr>
              <w:t>“First-line”</w:t>
            </w:r>
          </w:p>
        </w:tc>
        <w:tc>
          <w:tcPr>
            <w:tcW w:w="1618" w:type="dxa"/>
            <w:vMerge w:val="restart"/>
            <w:vAlign w:val="center"/>
          </w:tcPr>
          <w:p w:rsidR="008C4088" w:rsidRPr="002F77E1" w:rsidRDefault="008C4088" w:rsidP="008F275C">
            <w:pPr>
              <w:jc w:val="center"/>
              <w:rPr>
                <w:rFonts w:ascii="Arial Narrow" w:hAnsi="Arial Narrow" w:cs="Arial"/>
                <w:sz w:val="20"/>
                <w:szCs w:val="20"/>
              </w:rPr>
            </w:pPr>
            <w:r w:rsidRPr="002F77E1">
              <w:rPr>
                <w:rFonts w:ascii="Arial Narrow" w:hAnsi="Arial Narrow" w:cs="Arial"/>
                <w:sz w:val="20"/>
                <w:szCs w:val="20"/>
              </w:rPr>
              <w:t>LDX vs MPH-OROS</w:t>
            </w:r>
          </w:p>
        </w:tc>
        <w:tc>
          <w:tcPr>
            <w:tcW w:w="1404" w:type="dxa"/>
            <w:vAlign w:val="center"/>
          </w:tcPr>
          <w:p w:rsidR="008C4088" w:rsidRPr="002F77E1" w:rsidRDefault="008C4088" w:rsidP="008F275C">
            <w:pPr>
              <w:jc w:val="center"/>
              <w:rPr>
                <w:rFonts w:ascii="Arial Narrow" w:hAnsi="Arial Narrow" w:cs="Arial"/>
                <w:sz w:val="20"/>
                <w:szCs w:val="20"/>
              </w:rPr>
            </w:pPr>
            <w:r w:rsidRPr="002F77E1">
              <w:rPr>
                <w:rFonts w:ascii="Arial Narrow" w:hAnsi="Arial Narrow" w:cs="Arial"/>
                <w:sz w:val="20"/>
                <w:szCs w:val="20"/>
              </w:rPr>
              <w:t>Adolescents</w:t>
            </w:r>
          </w:p>
          <w:p w:rsidR="008C4088" w:rsidRPr="002F77E1" w:rsidRDefault="008C4088" w:rsidP="008F275C">
            <w:pPr>
              <w:jc w:val="center"/>
              <w:rPr>
                <w:rFonts w:ascii="Arial Narrow" w:hAnsi="Arial Narrow" w:cs="Arial"/>
                <w:sz w:val="20"/>
                <w:szCs w:val="20"/>
              </w:rPr>
            </w:pPr>
            <w:r w:rsidRPr="002F77E1">
              <w:rPr>
                <w:rFonts w:ascii="Arial Narrow" w:hAnsi="Arial Narrow" w:cs="Arial"/>
                <w:sz w:val="20"/>
                <w:szCs w:val="20"/>
              </w:rPr>
              <w:t>(13-17 years)</w:t>
            </w:r>
          </w:p>
        </w:tc>
        <w:tc>
          <w:tcPr>
            <w:tcW w:w="2081" w:type="dxa"/>
            <w:vAlign w:val="center"/>
          </w:tcPr>
          <w:p w:rsidR="008C4088" w:rsidRPr="002F77E1" w:rsidRDefault="008C4088" w:rsidP="008F275C">
            <w:pPr>
              <w:jc w:val="center"/>
              <w:rPr>
                <w:rFonts w:ascii="Arial Narrow" w:hAnsi="Arial Narrow" w:cs="Arial"/>
                <w:sz w:val="20"/>
                <w:szCs w:val="20"/>
              </w:rPr>
            </w:pPr>
            <w:r w:rsidRPr="002F77E1">
              <w:rPr>
                <w:rFonts w:ascii="Arial Narrow" w:hAnsi="Arial Narrow" w:cs="Arial"/>
                <w:sz w:val="20"/>
                <w:szCs w:val="20"/>
              </w:rPr>
              <w:t>Superior efficacy; Non-inferior safety (caveat for BMI effects)</w:t>
            </w:r>
          </w:p>
        </w:tc>
        <w:tc>
          <w:tcPr>
            <w:tcW w:w="1418" w:type="dxa"/>
            <w:vMerge w:val="restart"/>
            <w:vAlign w:val="center"/>
          </w:tcPr>
          <w:p w:rsidR="008C4088" w:rsidRPr="002F77E1" w:rsidRDefault="008C4088" w:rsidP="008F275C">
            <w:pPr>
              <w:jc w:val="center"/>
              <w:rPr>
                <w:rFonts w:ascii="Arial Narrow" w:hAnsi="Arial Narrow" w:cs="Arial"/>
                <w:sz w:val="20"/>
                <w:szCs w:val="20"/>
              </w:rPr>
            </w:pPr>
            <w:r w:rsidRPr="002F77E1">
              <w:rPr>
                <w:rFonts w:ascii="Arial Narrow" w:hAnsi="Arial Narrow" w:cs="Arial"/>
                <w:sz w:val="20"/>
                <w:szCs w:val="20"/>
              </w:rPr>
              <w:t>SPD489-325</w:t>
            </w:r>
          </w:p>
        </w:tc>
        <w:tc>
          <w:tcPr>
            <w:tcW w:w="1417" w:type="dxa"/>
            <w:vAlign w:val="center"/>
          </w:tcPr>
          <w:p w:rsidR="008C4088" w:rsidRPr="002F77E1" w:rsidRDefault="008C4088" w:rsidP="008F275C">
            <w:pPr>
              <w:jc w:val="center"/>
              <w:rPr>
                <w:rFonts w:ascii="Arial Narrow" w:hAnsi="Arial Narrow" w:cs="Arial"/>
                <w:sz w:val="20"/>
                <w:szCs w:val="20"/>
              </w:rPr>
            </w:pPr>
            <w:r w:rsidRPr="002F77E1">
              <w:rPr>
                <w:rFonts w:ascii="Arial Narrow" w:hAnsi="Arial Narrow" w:cs="Arial"/>
                <w:sz w:val="20"/>
                <w:szCs w:val="20"/>
              </w:rPr>
              <w:t>Cost effectiveness analysis</w:t>
            </w:r>
          </w:p>
        </w:tc>
      </w:tr>
      <w:tr w:rsidR="008C4088" w:rsidRPr="002F77E1" w:rsidTr="008F275C">
        <w:tc>
          <w:tcPr>
            <w:tcW w:w="1162" w:type="dxa"/>
            <w:vMerge/>
            <w:vAlign w:val="center"/>
          </w:tcPr>
          <w:p w:rsidR="008C4088" w:rsidRPr="002F77E1" w:rsidRDefault="008C4088" w:rsidP="008F275C">
            <w:pPr>
              <w:rPr>
                <w:rFonts w:ascii="Arial Narrow" w:hAnsi="Arial Narrow" w:cs="Arial"/>
                <w:sz w:val="20"/>
                <w:szCs w:val="20"/>
              </w:rPr>
            </w:pPr>
          </w:p>
        </w:tc>
        <w:tc>
          <w:tcPr>
            <w:tcW w:w="1618" w:type="dxa"/>
            <w:vMerge/>
            <w:vAlign w:val="center"/>
          </w:tcPr>
          <w:p w:rsidR="008C4088" w:rsidRPr="002F77E1" w:rsidRDefault="008C4088" w:rsidP="008F275C">
            <w:pPr>
              <w:jc w:val="center"/>
              <w:rPr>
                <w:rFonts w:ascii="Arial Narrow" w:hAnsi="Arial Narrow" w:cs="Arial"/>
                <w:sz w:val="20"/>
                <w:szCs w:val="20"/>
              </w:rPr>
            </w:pPr>
          </w:p>
        </w:tc>
        <w:tc>
          <w:tcPr>
            <w:tcW w:w="1404" w:type="dxa"/>
            <w:vAlign w:val="center"/>
          </w:tcPr>
          <w:p w:rsidR="008C4088" w:rsidRPr="002F77E1" w:rsidRDefault="008C4088" w:rsidP="008F275C">
            <w:pPr>
              <w:jc w:val="center"/>
              <w:rPr>
                <w:rFonts w:ascii="Arial Narrow" w:hAnsi="Arial Narrow" w:cs="Arial"/>
                <w:sz w:val="20"/>
                <w:szCs w:val="20"/>
              </w:rPr>
            </w:pPr>
            <w:r w:rsidRPr="002F77E1">
              <w:rPr>
                <w:rFonts w:ascii="Arial Narrow" w:hAnsi="Arial Narrow" w:cs="Arial"/>
                <w:sz w:val="20"/>
                <w:szCs w:val="20"/>
              </w:rPr>
              <w:t>Children</w:t>
            </w:r>
          </w:p>
          <w:p w:rsidR="008C4088" w:rsidRPr="002F77E1" w:rsidRDefault="008C4088" w:rsidP="008F275C">
            <w:pPr>
              <w:jc w:val="center"/>
              <w:rPr>
                <w:rFonts w:ascii="Arial Narrow" w:hAnsi="Arial Narrow" w:cs="Arial"/>
                <w:sz w:val="20"/>
                <w:szCs w:val="20"/>
              </w:rPr>
            </w:pPr>
            <w:r w:rsidRPr="002F77E1">
              <w:rPr>
                <w:rFonts w:ascii="Arial Narrow" w:hAnsi="Arial Narrow" w:cs="Arial"/>
                <w:sz w:val="20"/>
                <w:szCs w:val="20"/>
              </w:rPr>
              <w:t>(6-12 years)</w:t>
            </w:r>
          </w:p>
        </w:tc>
        <w:tc>
          <w:tcPr>
            <w:tcW w:w="2081" w:type="dxa"/>
            <w:vAlign w:val="center"/>
          </w:tcPr>
          <w:p w:rsidR="008C4088" w:rsidRPr="002F77E1" w:rsidRDefault="008C4088" w:rsidP="008F275C">
            <w:pPr>
              <w:jc w:val="center"/>
              <w:rPr>
                <w:rFonts w:ascii="Arial Narrow" w:hAnsi="Arial Narrow" w:cs="Arial"/>
                <w:sz w:val="20"/>
                <w:szCs w:val="20"/>
              </w:rPr>
            </w:pPr>
            <w:r w:rsidRPr="002F77E1">
              <w:rPr>
                <w:rFonts w:ascii="Arial Narrow" w:hAnsi="Arial Narrow" w:cs="Arial"/>
                <w:sz w:val="20"/>
                <w:szCs w:val="20"/>
              </w:rPr>
              <w:t>Non-inferior efficacy; Non-inferior safety</w:t>
            </w:r>
          </w:p>
        </w:tc>
        <w:tc>
          <w:tcPr>
            <w:tcW w:w="1418" w:type="dxa"/>
            <w:vMerge/>
            <w:vAlign w:val="center"/>
          </w:tcPr>
          <w:p w:rsidR="008C4088" w:rsidRPr="002F77E1" w:rsidRDefault="008C4088" w:rsidP="008F275C">
            <w:pPr>
              <w:jc w:val="center"/>
              <w:rPr>
                <w:rFonts w:ascii="Arial Narrow" w:hAnsi="Arial Narrow" w:cs="Arial"/>
                <w:sz w:val="20"/>
                <w:szCs w:val="20"/>
              </w:rPr>
            </w:pPr>
          </w:p>
        </w:tc>
        <w:tc>
          <w:tcPr>
            <w:tcW w:w="1417" w:type="dxa"/>
            <w:vAlign w:val="center"/>
          </w:tcPr>
          <w:p w:rsidR="008C4088" w:rsidRPr="002F77E1" w:rsidRDefault="008C4088" w:rsidP="008F275C">
            <w:pPr>
              <w:jc w:val="center"/>
              <w:rPr>
                <w:rFonts w:ascii="Arial Narrow" w:hAnsi="Arial Narrow" w:cs="Arial"/>
                <w:sz w:val="20"/>
                <w:szCs w:val="20"/>
              </w:rPr>
            </w:pPr>
            <w:r w:rsidRPr="002F77E1">
              <w:rPr>
                <w:rFonts w:ascii="Arial Narrow" w:hAnsi="Arial Narrow" w:cs="Arial"/>
                <w:sz w:val="20"/>
                <w:szCs w:val="20"/>
              </w:rPr>
              <w:t>Cost minimisation analysis</w:t>
            </w:r>
          </w:p>
        </w:tc>
      </w:tr>
      <w:tr w:rsidR="008C4088" w:rsidRPr="002F77E1" w:rsidTr="008F275C">
        <w:tc>
          <w:tcPr>
            <w:tcW w:w="1162" w:type="dxa"/>
            <w:vAlign w:val="center"/>
          </w:tcPr>
          <w:p w:rsidR="008C4088" w:rsidRPr="002F77E1" w:rsidRDefault="008C4088" w:rsidP="008F275C">
            <w:pPr>
              <w:rPr>
                <w:rFonts w:ascii="Arial Narrow" w:hAnsi="Arial Narrow" w:cs="Arial"/>
                <w:sz w:val="20"/>
                <w:szCs w:val="20"/>
              </w:rPr>
            </w:pPr>
            <w:r w:rsidRPr="002F77E1">
              <w:rPr>
                <w:rFonts w:ascii="Arial Narrow" w:hAnsi="Arial Narrow" w:cs="Arial"/>
                <w:sz w:val="20"/>
                <w:szCs w:val="20"/>
              </w:rPr>
              <w:lastRenderedPageBreak/>
              <w:t>“Second-line”</w:t>
            </w:r>
          </w:p>
        </w:tc>
        <w:tc>
          <w:tcPr>
            <w:tcW w:w="1618" w:type="dxa"/>
            <w:vAlign w:val="center"/>
          </w:tcPr>
          <w:p w:rsidR="008C4088" w:rsidRPr="002F77E1" w:rsidRDefault="008C4088" w:rsidP="008F275C">
            <w:pPr>
              <w:jc w:val="center"/>
              <w:rPr>
                <w:rFonts w:ascii="Arial Narrow" w:hAnsi="Arial Narrow" w:cs="Arial"/>
                <w:sz w:val="20"/>
                <w:szCs w:val="20"/>
              </w:rPr>
            </w:pPr>
            <w:r w:rsidRPr="002F77E1">
              <w:rPr>
                <w:rFonts w:ascii="Arial Narrow" w:hAnsi="Arial Narrow" w:cs="Arial"/>
                <w:sz w:val="20"/>
                <w:szCs w:val="20"/>
              </w:rPr>
              <w:t>LDX vs PBO (as proxy for no treatment)</w:t>
            </w:r>
          </w:p>
        </w:tc>
        <w:tc>
          <w:tcPr>
            <w:tcW w:w="1404" w:type="dxa"/>
            <w:vAlign w:val="center"/>
          </w:tcPr>
          <w:p w:rsidR="008C4088" w:rsidRPr="002F77E1" w:rsidRDefault="008C4088" w:rsidP="008F275C">
            <w:pPr>
              <w:jc w:val="center"/>
              <w:rPr>
                <w:rFonts w:ascii="Arial Narrow" w:hAnsi="Arial Narrow" w:cs="Arial"/>
                <w:sz w:val="20"/>
                <w:szCs w:val="20"/>
              </w:rPr>
            </w:pPr>
            <w:r w:rsidRPr="002F77E1">
              <w:rPr>
                <w:rFonts w:ascii="Arial Narrow" w:hAnsi="Arial Narrow" w:cs="Arial"/>
                <w:sz w:val="20"/>
                <w:szCs w:val="20"/>
              </w:rPr>
              <w:t>Patients with inadequate clinical response to MPH</w:t>
            </w:r>
          </w:p>
        </w:tc>
        <w:tc>
          <w:tcPr>
            <w:tcW w:w="2081" w:type="dxa"/>
            <w:vAlign w:val="center"/>
          </w:tcPr>
          <w:p w:rsidR="008C4088" w:rsidRPr="002F77E1" w:rsidRDefault="008C4088" w:rsidP="008F275C">
            <w:pPr>
              <w:jc w:val="center"/>
              <w:rPr>
                <w:rFonts w:ascii="Arial Narrow" w:hAnsi="Arial Narrow" w:cs="Arial"/>
                <w:sz w:val="20"/>
                <w:szCs w:val="20"/>
              </w:rPr>
            </w:pPr>
            <w:r w:rsidRPr="002F77E1">
              <w:rPr>
                <w:rFonts w:ascii="Arial Narrow" w:hAnsi="Arial Narrow" w:cs="Arial"/>
                <w:sz w:val="20"/>
                <w:szCs w:val="20"/>
              </w:rPr>
              <w:t>Superior efficacy; Inferior safety</w:t>
            </w:r>
          </w:p>
        </w:tc>
        <w:tc>
          <w:tcPr>
            <w:tcW w:w="1418" w:type="dxa"/>
            <w:vAlign w:val="center"/>
          </w:tcPr>
          <w:p w:rsidR="008C4088" w:rsidRPr="002F77E1" w:rsidRDefault="008C4088" w:rsidP="008F275C">
            <w:pPr>
              <w:jc w:val="center"/>
              <w:rPr>
                <w:rFonts w:ascii="Arial Narrow" w:hAnsi="Arial Narrow" w:cs="Arial"/>
                <w:sz w:val="20"/>
                <w:szCs w:val="20"/>
              </w:rPr>
            </w:pPr>
            <w:r w:rsidRPr="002F77E1">
              <w:rPr>
                <w:rFonts w:ascii="Arial Narrow" w:hAnsi="Arial Narrow" w:cs="Arial"/>
                <w:sz w:val="20"/>
                <w:szCs w:val="20"/>
              </w:rPr>
              <w:t>SPD489-325</w:t>
            </w:r>
          </w:p>
          <w:p w:rsidR="008C4088" w:rsidRPr="002F77E1" w:rsidRDefault="008C4088" w:rsidP="008F275C">
            <w:pPr>
              <w:jc w:val="center"/>
              <w:rPr>
                <w:rFonts w:ascii="Arial Narrow" w:hAnsi="Arial Narrow" w:cs="Arial"/>
                <w:sz w:val="20"/>
                <w:szCs w:val="20"/>
              </w:rPr>
            </w:pPr>
            <w:r w:rsidRPr="002F77E1">
              <w:rPr>
                <w:rFonts w:ascii="Arial Narrow" w:hAnsi="Arial Narrow" w:cs="Arial"/>
                <w:sz w:val="20"/>
                <w:szCs w:val="20"/>
              </w:rPr>
              <w:t>Supported by SPD489-301; SPD489-305</w:t>
            </w:r>
          </w:p>
        </w:tc>
        <w:tc>
          <w:tcPr>
            <w:tcW w:w="1417" w:type="dxa"/>
            <w:vAlign w:val="center"/>
          </w:tcPr>
          <w:p w:rsidR="008C4088" w:rsidRPr="002F77E1" w:rsidRDefault="008C4088" w:rsidP="008F275C">
            <w:pPr>
              <w:jc w:val="center"/>
              <w:rPr>
                <w:rFonts w:ascii="Arial Narrow" w:hAnsi="Arial Narrow" w:cs="Arial"/>
                <w:sz w:val="20"/>
                <w:szCs w:val="20"/>
              </w:rPr>
            </w:pPr>
            <w:r w:rsidRPr="002F77E1">
              <w:rPr>
                <w:rFonts w:ascii="Arial Narrow" w:hAnsi="Arial Narrow" w:cs="Arial"/>
                <w:sz w:val="20"/>
                <w:szCs w:val="20"/>
              </w:rPr>
              <w:t>Cost effectiveness analysis</w:t>
            </w:r>
          </w:p>
        </w:tc>
      </w:tr>
    </w:tbl>
    <w:p w:rsidR="008C4088" w:rsidRPr="002F77E1" w:rsidRDefault="008C4088" w:rsidP="008C4088">
      <w:pPr>
        <w:rPr>
          <w:rFonts w:ascii="Arial Narrow" w:hAnsi="Arial Narrow" w:cs="Arial"/>
          <w:sz w:val="20"/>
          <w:szCs w:val="20"/>
        </w:rPr>
      </w:pPr>
      <w:r w:rsidRPr="002F77E1">
        <w:rPr>
          <w:rFonts w:ascii="Arial Narrow" w:hAnsi="Arial Narrow" w:cs="Arial"/>
          <w:sz w:val="20"/>
          <w:szCs w:val="20"/>
        </w:rPr>
        <w:t>Source: Table 41, p127 of the resubmission.</w:t>
      </w:r>
    </w:p>
    <w:p w:rsidR="008C4088" w:rsidRPr="00881DF6" w:rsidRDefault="008C4088" w:rsidP="008C4088">
      <w:pPr>
        <w:rPr>
          <w:rFonts w:ascii="Arial" w:hAnsi="Arial" w:cs="Arial"/>
          <w:sz w:val="22"/>
          <w:szCs w:val="22"/>
          <w:highlight w:val="lightGray"/>
        </w:rPr>
      </w:pPr>
    </w:p>
    <w:p w:rsidR="00817912" w:rsidRPr="00DD735A" w:rsidRDefault="008C4088" w:rsidP="00DD735A">
      <w:pPr>
        <w:pStyle w:val="ListParagraph"/>
        <w:numPr>
          <w:ilvl w:val="1"/>
          <w:numId w:val="25"/>
        </w:numPr>
        <w:ind w:left="720"/>
        <w:jc w:val="both"/>
        <w:rPr>
          <w:rFonts w:ascii="Arial" w:hAnsi="Arial"/>
          <w:sz w:val="22"/>
          <w:szCs w:val="22"/>
        </w:rPr>
      </w:pPr>
      <w:r w:rsidRPr="00DD735A">
        <w:rPr>
          <w:rFonts w:ascii="Arial" w:hAnsi="Arial" w:cs="Arial"/>
          <w:sz w:val="22"/>
          <w:szCs w:val="22"/>
        </w:rPr>
        <w:t>The results of the FAS</w:t>
      </w:r>
      <w:r w:rsidR="001319B5" w:rsidRPr="00DD735A">
        <w:rPr>
          <w:rFonts w:ascii="Arial" w:hAnsi="Arial" w:cs="Arial"/>
          <w:sz w:val="22"/>
          <w:szCs w:val="22"/>
        </w:rPr>
        <w:t xml:space="preserve"> were</w:t>
      </w:r>
      <w:r w:rsidRPr="00DD735A">
        <w:rPr>
          <w:rFonts w:ascii="Arial" w:hAnsi="Arial" w:cs="Arial"/>
          <w:sz w:val="22"/>
          <w:szCs w:val="22"/>
        </w:rPr>
        <w:t xml:space="preserve"> considered to be the most relevant</w:t>
      </w:r>
      <w:r w:rsidR="00040D9E" w:rsidRPr="00DD735A">
        <w:rPr>
          <w:rFonts w:ascii="Arial" w:hAnsi="Arial" w:cs="Arial"/>
          <w:sz w:val="22"/>
          <w:szCs w:val="22"/>
        </w:rPr>
        <w:t>,</w:t>
      </w:r>
      <w:r w:rsidRPr="00DD735A">
        <w:rPr>
          <w:rFonts w:ascii="Arial" w:hAnsi="Arial" w:cs="Arial"/>
          <w:sz w:val="22"/>
          <w:szCs w:val="22"/>
        </w:rPr>
        <w:t xml:space="preserve"> given Trial SPD489-325 enrolled both children and adolescents and provided a head-to-head comparison of LDX and MPH-OROS (albeit post hoc).  </w:t>
      </w:r>
      <w:r w:rsidRPr="00DD735A">
        <w:rPr>
          <w:rFonts w:ascii="Arial" w:hAnsi="Arial" w:cs="Arial"/>
          <w:bCs/>
          <w:sz w:val="22"/>
          <w:szCs w:val="22"/>
        </w:rPr>
        <w:t xml:space="preserve">As per the PBAC’s determination in July 2013 and based on the results of the SPD489-325 trial, the data supports a claim that LDX is non-inferior in terms of effectiveness and inferior in terms of safety (given the increased weight loss observed) to MPH-OROS. </w:t>
      </w:r>
    </w:p>
    <w:p w:rsidR="00817912" w:rsidRPr="00881DF6" w:rsidRDefault="00817912" w:rsidP="00300BE1">
      <w:pPr>
        <w:pStyle w:val="ListParagraph"/>
        <w:ind w:left="709"/>
        <w:jc w:val="both"/>
        <w:rPr>
          <w:rFonts w:ascii="Arial" w:hAnsi="Arial"/>
          <w:sz w:val="22"/>
          <w:szCs w:val="22"/>
          <w:highlight w:val="lightGray"/>
        </w:rPr>
      </w:pPr>
    </w:p>
    <w:p w:rsidR="00817912" w:rsidRPr="00DD735A" w:rsidRDefault="00817912" w:rsidP="00DD735A">
      <w:pPr>
        <w:pStyle w:val="ListParagraph"/>
        <w:numPr>
          <w:ilvl w:val="1"/>
          <w:numId w:val="25"/>
        </w:numPr>
        <w:ind w:left="720"/>
        <w:jc w:val="both"/>
        <w:rPr>
          <w:rFonts w:ascii="Arial" w:hAnsi="Arial"/>
          <w:sz w:val="22"/>
          <w:szCs w:val="22"/>
        </w:rPr>
      </w:pPr>
      <w:r w:rsidRPr="00DD735A">
        <w:rPr>
          <w:rFonts w:ascii="Arial" w:hAnsi="Arial" w:cs="Arial"/>
          <w:sz w:val="22"/>
          <w:szCs w:val="22"/>
        </w:rPr>
        <w:t xml:space="preserve">The ESC provided the following summary of the clinical claim and </w:t>
      </w:r>
      <w:r w:rsidR="00B918DB" w:rsidRPr="00DD735A">
        <w:rPr>
          <w:rFonts w:ascii="Arial" w:hAnsi="Arial" w:cs="Arial"/>
          <w:sz w:val="22"/>
          <w:szCs w:val="22"/>
        </w:rPr>
        <w:t>relevant supportive evidence</w:t>
      </w:r>
      <w:r w:rsidRPr="00DD735A">
        <w:rPr>
          <w:rFonts w:ascii="Arial" w:hAnsi="Arial" w:cs="Arial"/>
          <w:sz w:val="22"/>
          <w:szCs w:val="22"/>
        </w:rPr>
        <w:t>:</w:t>
      </w:r>
    </w:p>
    <w:p w:rsidR="00B918DB" w:rsidRPr="00FC6E89" w:rsidRDefault="00B918DB" w:rsidP="00300BE1">
      <w:pPr>
        <w:rPr>
          <w:rStyle w:val="CommentReference"/>
          <w:i/>
        </w:rPr>
      </w:pPr>
    </w:p>
    <w:p w:rsidR="00817912" w:rsidRPr="001C1976" w:rsidRDefault="00817912" w:rsidP="00300BE1">
      <w:pPr>
        <w:rPr>
          <w:rStyle w:val="CommentReference"/>
          <w:rFonts w:ascii="Arial Narrow" w:hAnsi="Arial Narrow" w:cs="Arial"/>
          <w:b/>
          <w:sz w:val="20"/>
          <w:szCs w:val="20"/>
        </w:rPr>
      </w:pPr>
      <w:r w:rsidRPr="001C1976">
        <w:rPr>
          <w:rStyle w:val="CommentReference"/>
          <w:rFonts w:ascii="Arial Narrow" w:hAnsi="Arial Narrow" w:cs="Arial"/>
          <w:b/>
          <w:sz w:val="20"/>
          <w:szCs w:val="20"/>
        </w:rPr>
        <w:t>Summary of clinical claims for LDX by treatment setting – ESC comment</w:t>
      </w:r>
    </w:p>
    <w:tbl>
      <w:tblPr>
        <w:tblStyle w:val="TableGrid"/>
        <w:tblW w:w="9100" w:type="dxa"/>
        <w:tblCellMar>
          <w:left w:w="28" w:type="dxa"/>
          <w:right w:w="28" w:type="dxa"/>
        </w:tblCellMar>
        <w:tblLook w:val="04A0" w:firstRow="1" w:lastRow="0" w:firstColumn="1" w:lastColumn="0" w:noHBand="0" w:noVBand="1"/>
        <w:tblDescription w:val="Summary of clinical claims for LDX by treatment setting – ESC comment"/>
      </w:tblPr>
      <w:tblGrid>
        <w:gridCol w:w="1021"/>
        <w:gridCol w:w="1759"/>
        <w:gridCol w:w="1404"/>
        <w:gridCol w:w="1656"/>
        <w:gridCol w:w="1843"/>
        <w:gridCol w:w="1417"/>
      </w:tblGrid>
      <w:tr w:rsidR="00817912" w:rsidRPr="001C1976" w:rsidTr="0004516B">
        <w:trPr>
          <w:tblHeader/>
        </w:trPr>
        <w:tc>
          <w:tcPr>
            <w:tcW w:w="1021" w:type="dxa"/>
            <w:vAlign w:val="center"/>
          </w:tcPr>
          <w:p w:rsidR="00817912" w:rsidRPr="001C1976" w:rsidRDefault="00817912" w:rsidP="00CD358E">
            <w:pPr>
              <w:rPr>
                <w:rFonts w:ascii="Arial Narrow" w:hAnsi="Arial Narrow" w:cs="Arial"/>
                <w:b/>
                <w:sz w:val="20"/>
                <w:szCs w:val="20"/>
              </w:rPr>
            </w:pPr>
            <w:bookmarkStart w:id="1" w:name="_GoBack" w:colFirst="0" w:colLast="6"/>
            <w:r w:rsidRPr="001C1976">
              <w:rPr>
                <w:rFonts w:ascii="Arial Narrow" w:hAnsi="Arial Narrow" w:cs="Arial"/>
                <w:b/>
                <w:sz w:val="20"/>
                <w:szCs w:val="20"/>
              </w:rPr>
              <w:t>Treatment setting</w:t>
            </w:r>
          </w:p>
        </w:tc>
        <w:tc>
          <w:tcPr>
            <w:tcW w:w="1759" w:type="dxa"/>
            <w:vAlign w:val="center"/>
          </w:tcPr>
          <w:p w:rsidR="00817912" w:rsidRPr="001C1976" w:rsidRDefault="00817912" w:rsidP="00CD358E">
            <w:pPr>
              <w:jc w:val="center"/>
              <w:rPr>
                <w:rFonts w:ascii="Arial Narrow" w:hAnsi="Arial Narrow" w:cs="Arial"/>
                <w:b/>
                <w:sz w:val="20"/>
                <w:szCs w:val="20"/>
              </w:rPr>
            </w:pPr>
            <w:r w:rsidRPr="001C1976">
              <w:rPr>
                <w:rFonts w:ascii="Arial Narrow" w:hAnsi="Arial Narrow" w:cs="Arial"/>
                <w:b/>
                <w:sz w:val="20"/>
                <w:szCs w:val="20"/>
              </w:rPr>
              <w:t>Comparisons</w:t>
            </w:r>
          </w:p>
        </w:tc>
        <w:tc>
          <w:tcPr>
            <w:tcW w:w="1404" w:type="dxa"/>
            <w:vAlign w:val="center"/>
          </w:tcPr>
          <w:p w:rsidR="00817912" w:rsidRPr="001C1976" w:rsidRDefault="00817912" w:rsidP="00CD358E">
            <w:pPr>
              <w:jc w:val="center"/>
              <w:rPr>
                <w:rFonts w:ascii="Arial Narrow" w:hAnsi="Arial Narrow" w:cs="Arial"/>
                <w:b/>
                <w:sz w:val="20"/>
                <w:szCs w:val="20"/>
              </w:rPr>
            </w:pPr>
            <w:r w:rsidRPr="001C1976">
              <w:rPr>
                <w:rFonts w:ascii="Arial Narrow" w:hAnsi="Arial Narrow" w:cs="Arial"/>
                <w:b/>
                <w:sz w:val="20"/>
                <w:szCs w:val="20"/>
              </w:rPr>
              <w:t>Patient population</w:t>
            </w:r>
          </w:p>
        </w:tc>
        <w:tc>
          <w:tcPr>
            <w:tcW w:w="1656" w:type="dxa"/>
            <w:vAlign w:val="center"/>
          </w:tcPr>
          <w:p w:rsidR="00817912" w:rsidRPr="001C1976" w:rsidRDefault="00817912" w:rsidP="00CD358E">
            <w:pPr>
              <w:jc w:val="center"/>
              <w:rPr>
                <w:rFonts w:ascii="Arial Narrow" w:hAnsi="Arial Narrow" w:cs="Arial"/>
                <w:b/>
                <w:sz w:val="20"/>
                <w:szCs w:val="20"/>
              </w:rPr>
            </w:pPr>
            <w:r w:rsidRPr="001C1976">
              <w:rPr>
                <w:rFonts w:ascii="Arial Narrow" w:hAnsi="Arial Narrow" w:cs="Arial"/>
                <w:b/>
                <w:sz w:val="20"/>
                <w:szCs w:val="20"/>
              </w:rPr>
              <w:t>Clinical claim</w:t>
            </w:r>
          </w:p>
        </w:tc>
        <w:tc>
          <w:tcPr>
            <w:tcW w:w="1843" w:type="dxa"/>
          </w:tcPr>
          <w:p w:rsidR="00817912" w:rsidRPr="001C1976" w:rsidRDefault="00817912" w:rsidP="00CD358E">
            <w:pPr>
              <w:jc w:val="center"/>
              <w:rPr>
                <w:rFonts w:ascii="Arial Narrow" w:hAnsi="Arial Narrow" w:cs="Arial"/>
                <w:b/>
                <w:sz w:val="20"/>
                <w:szCs w:val="20"/>
              </w:rPr>
            </w:pPr>
            <w:r w:rsidRPr="001C1976">
              <w:rPr>
                <w:rFonts w:ascii="Arial Narrow" w:eastAsiaTheme="minorEastAsia" w:hAnsi="Arial Narrow" w:cs="Arial"/>
                <w:b/>
                <w:bCs/>
                <w:kern w:val="24"/>
                <w:sz w:val="20"/>
                <w:szCs w:val="20"/>
                <w:lang w:val="en-US"/>
              </w:rPr>
              <w:t>Why not supported</w:t>
            </w:r>
          </w:p>
        </w:tc>
        <w:tc>
          <w:tcPr>
            <w:tcW w:w="1417" w:type="dxa"/>
          </w:tcPr>
          <w:p w:rsidR="00817912" w:rsidRPr="001C1976" w:rsidRDefault="00817912" w:rsidP="00CD358E">
            <w:pPr>
              <w:jc w:val="center"/>
              <w:rPr>
                <w:rFonts w:ascii="Arial Narrow" w:hAnsi="Arial Narrow" w:cs="Arial"/>
                <w:b/>
                <w:sz w:val="20"/>
                <w:szCs w:val="20"/>
              </w:rPr>
            </w:pPr>
            <w:r w:rsidRPr="001C1976">
              <w:rPr>
                <w:rFonts w:ascii="Arial Narrow" w:hAnsi="Arial Narrow" w:cs="Arial"/>
                <w:b/>
                <w:bCs/>
                <w:kern w:val="24"/>
                <w:sz w:val="20"/>
                <w:szCs w:val="20"/>
              </w:rPr>
              <w:t>What data supports</w:t>
            </w:r>
          </w:p>
        </w:tc>
      </w:tr>
      <w:bookmarkEnd w:id="1"/>
      <w:tr w:rsidR="00817912" w:rsidRPr="001C1976" w:rsidTr="00CD358E">
        <w:tc>
          <w:tcPr>
            <w:tcW w:w="1021" w:type="dxa"/>
            <w:vMerge w:val="restart"/>
            <w:vAlign w:val="center"/>
          </w:tcPr>
          <w:p w:rsidR="00817912" w:rsidRPr="001C1976" w:rsidRDefault="00817912" w:rsidP="00CD358E">
            <w:pPr>
              <w:rPr>
                <w:rFonts w:ascii="Arial Narrow" w:hAnsi="Arial Narrow" w:cs="Arial"/>
                <w:sz w:val="20"/>
                <w:szCs w:val="20"/>
              </w:rPr>
            </w:pPr>
            <w:r w:rsidRPr="001C1976">
              <w:rPr>
                <w:rFonts w:ascii="Arial Narrow" w:hAnsi="Arial Narrow" w:cs="Arial"/>
                <w:sz w:val="20"/>
                <w:szCs w:val="20"/>
              </w:rPr>
              <w:t>“First-line”</w:t>
            </w:r>
          </w:p>
        </w:tc>
        <w:tc>
          <w:tcPr>
            <w:tcW w:w="1759" w:type="dxa"/>
            <w:vMerge w:val="restart"/>
            <w:vAlign w:val="center"/>
          </w:tcPr>
          <w:p w:rsidR="00817912" w:rsidRPr="001C1976" w:rsidRDefault="00817912" w:rsidP="00CD358E">
            <w:pPr>
              <w:jc w:val="center"/>
              <w:rPr>
                <w:rFonts w:ascii="Arial Narrow" w:hAnsi="Arial Narrow" w:cs="Arial"/>
                <w:sz w:val="20"/>
                <w:szCs w:val="20"/>
              </w:rPr>
            </w:pPr>
            <w:r w:rsidRPr="001C1976">
              <w:rPr>
                <w:rFonts w:ascii="Arial Narrow" w:hAnsi="Arial Narrow" w:cs="Arial"/>
                <w:sz w:val="20"/>
                <w:szCs w:val="20"/>
              </w:rPr>
              <w:t>LDX vs MPH-OROS</w:t>
            </w:r>
          </w:p>
        </w:tc>
        <w:tc>
          <w:tcPr>
            <w:tcW w:w="1404" w:type="dxa"/>
            <w:vAlign w:val="center"/>
          </w:tcPr>
          <w:p w:rsidR="00817912" w:rsidRPr="001C1976" w:rsidRDefault="00817912" w:rsidP="00CD358E">
            <w:pPr>
              <w:jc w:val="center"/>
              <w:rPr>
                <w:rFonts w:ascii="Arial Narrow" w:hAnsi="Arial Narrow" w:cs="Arial"/>
                <w:sz w:val="20"/>
                <w:szCs w:val="20"/>
              </w:rPr>
            </w:pPr>
            <w:r w:rsidRPr="001C1976">
              <w:rPr>
                <w:rFonts w:ascii="Arial Narrow" w:hAnsi="Arial Narrow" w:cs="Arial"/>
                <w:sz w:val="20"/>
                <w:szCs w:val="20"/>
              </w:rPr>
              <w:t>Adolescents</w:t>
            </w:r>
          </w:p>
          <w:p w:rsidR="00817912" w:rsidRPr="001C1976" w:rsidRDefault="00817912" w:rsidP="00CD358E">
            <w:pPr>
              <w:jc w:val="center"/>
              <w:rPr>
                <w:rFonts w:ascii="Arial Narrow" w:hAnsi="Arial Narrow" w:cs="Arial"/>
                <w:sz w:val="20"/>
                <w:szCs w:val="20"/>
              </w:rPr>
            </w:pPr>
            <w:r w:rsidRPr="001C1976">
              <w:rPr>
                <w:rFonts w:ascii="Arial Narrow" w:hAnsi="Arial Narrow" w:cs="Arial"/>
                <w:sz w:val="20"/>
                <w:szCs w:val="20"/>
              </w:rPr>
              <w:t>(13-17 years)</w:t>
            </w:r>
          </w:p>
        </w:tc>
        <w:tc>
          <w:tcPr>
            <w:tcW w:w="1656" w:type="dxa"/>
            <w:vAlign w:val="center"/>
          </w:tcPr>
          <w:p w:rsidR="00817912" w:rsidRPr="001C1976" w:rsidRDefault="00817912" w:rsidP="00CD358E">
            <w:pPr>
              <w:jc w:val="center"/>
              <w:rPr>
                <w:rFonts w:ascii="Arial Narrow" w:hAnsi="Arial Narrow" w:cs="Arial"/>
                <w:sz w:val="20"/>
                <w:szCs w:val="20"/>
              </w:rPr>
            </w:pPr>
            <w:r w:rsidRPr="001C1976">
              <w:rPr>
                <w:rFonts w:ascii="Arial Narrow" w:hAnsi="Arial Narrow" w:cs="Arial"/>
                <w:sz w:val="20"/>
                <w:szCs w:val="20"/>
              </w:rPr>
              <w:t>Superior efficacy; Non-inferior safety (caveat for BMI effects)</w:t>
            </w:r>
          </w:p>
        </w:tc>
        <w:tc>
          <w:tcPr>
            <w:tcW w:w="1843" w:type="dxa"/>
            <w:vMerge w:val="restart"/>
          </w:tcPr>
          <w:p w:rsidR="00817912" w:rsidRPr="001C1976" w:rsidRDefault="00817912" w:rsidP="00CD358E">
            <w:pPr>
              <w:jc w:val="center"/>
              <w:rPr>
                <w:rFonts w:ascii="Arial Narrow" w:hAnsi="Arial Narrow" w:cs="Arial"/>
                <w:sz w:val="20"/>
                <w:szCs w:val="20"/>
              </w:rPr>
            </w:pPr>
            <w:r w:rsidRPr="001C1976">
              <w:rPr>
                <w:rFonts w:ascii="Arial Narrow" w:eastAsiaTheme="minorEastAsia" w:hAnsi="Arial Narrow" w:cs="Arial"/>
                <w:bCs/>
                <w:kern w:val="24"/>
                <w:sz w:val="20"/>
                <w:szCs w:val="20"/>
              </w:rPr>
              <w:t xml:space="preserve">Subgroup analysis not appropriate and direction of effect with age differs between trials.  </w:t>
            </w:r>
          </w:p>
        </w:tc>
        <w:tc>
          <w:tcPr>
            <w:tcW w:w="1417" w:type="dxa"/>
            <w:vMerge w:val="restart"/>
          </w:tcPr>
          <w:p w:rsidR="00817912" w:rsidRPr="001C1976" w:rsidRDefault="00817912" w:rsidP="00CD358E">
            <w:pPr>
              <w:jc w:val="center"/>
              <w:rPr>
                <w:rFonts w:ascii="Arial Narrow" w:hAnsi="Arial Narrow" w:cs="Arial"/>
                <w:sz w:val="20"/>
                <w:szCs w:val="20"/>
              </w:rPr>
            </w:pPr>
            <w:r w:rsidRPr="001C1976">
              <w:rPr>
                <w:rFonts w:ascii="Arial Narrow" w:hAnsi="Arial Narrow" w:cs="Arial"/>
                <w:bCs/>
                <w:kern w:val="24"/>
                <w:sz w:val="20"/>
                <w:szCs w:val="20"/>
              </w:rPr>
              <w:t>Non-inferior efficacy and inferior safety for 6-17 year olds</w:t>
            </w:r>
          </w:p>
        </w:tc>
      </w:tr>
      <w:tr w:rsidR="00817912" w:rsidRPr="001C1976" w:rsidTr="00CD358E">
        <w:tc>
          <w:tcPr>
            <w:tcW w:w="1021" w:type="dxa"/>
            <w:vMerge/>
            <w:vAlign w:val="center"/>
          </w:tcPr>
          <w:p w:rsidR="00817912" w:rsidRPr="001C1976" w:rsidRDefault="00817912" w:rsidP="00CD358E">
            <w:pPr>
              <w:rPr>
                <w:rFonts w:ascii="Arial Narrow" w:hAnsi="Arial Narrow" w:cs="Arial"/>
                <w:sz w:val="20"/>
                <w:szCs w:val="20"/>
              </w:rPr>
            </w:pPr>
          </w:p>
        </w:tc>
        <w:tc>
          <w:tcPr>
            <w:tcW w:w="1759" w:type="dxa"/>
            <w:vMerge/>
            <w:vAlign w:val="center"/>
          </w:tcPr>
          <w:p w:rsidR="00817912" w:rsidRPr="001C1976" w:rsidRDefault="00817912" w:rsidP="00CD358E">
            <w:pPr>
              <w:jc w:val="center"/>
              <w:rPr>
                <w:rFonts w:ascii="Arial Narrow" w:hAnsi="Arial Narrow" w:cs="Arial"/>
                <w:sz w:val="20"/>
                <w:szCs w:val="20"/>
              </w:rPr>
            </w:pPr>
          </w:p>
        </w:tc>
        <w:tc>
          <w:tcPr>
            <w:tcW w:w="1404" w:type="dxa"/>
            <w:vAlign w:val="center"/>
          </w:tcPr>
          <w:p w:rsidR="00817912" w:rsidRPr="001C1976" w:rsidRDefault="00817912" w:rsidP="00CD358E">
            <w:pPr>
              <w:jc w:val="center"/>
              <w:rPr>
                <w:rFonts w:ascii="Arial Narrow" w:hAnsi="Arial Narrow" w:cs="Arial"/>
                <w:sz w:val="20"/>
                <w:szCs w:val="20"/>
              </w:rPr>
            </w:pPr>
            <w:r w:rsidRPr="001C1976">
              <w:rPr>
                <w:rFonts w:ascii="Arial Narrow" w:hAnsi="Arial Narrow" w:cs="Arial"/>
                <w:sz w:val="20"/>
                <w:szCs w:val="20"/>
              </w:rPr>
              <w:t>Children</w:t>
            </w:r>
          </w:p>
          <w:p w:rsidR="00817912" w:rsidRPr="001C1976" w:rsidRDefault="00817912" w:rsidP="00CD358E">
            <w:pPr>
              <w:jc w:val="center"/>
              <w:rPr>
                <w:rFonts w:ascii="Arial Narrow" w:hAnsi="Arial Narrow" w:cs="Arial"/>
                <w:sz w:val="20"/>
                <w:szCs w:val="20"/>
              </w:rPr>
            </w:pPr>
            <w:r w:rsidRPr="001C1976">
              <w:rPr>
                <w:rFonts w:ascii="Arial Narrow" w:hAnsi="Arial Narrow" w:cs="Arial"/>
                <w:sz w:val="20"/>
                <w:szCs w:val="20"/>
              </w:rPr>
              <w:t>(6-12 years)</w:t>
            </w:r>
          </w:p>
        </w:tc>
        <w:tc>
          <w:tcPr>
            <w:tcW w:w="1656" w:type="dxa"/>
            <w:vAlign w:val="center"/>
          </w:tcPr>
          <w:p w:rsidR="00817912" w:rsidRPr="001C1976" w:rsidRDefault="00817912" w:rsidP="00CD358E">
            <w:pPr>
              <w:jc w:val="center"/>
              <w:rPr>
                <w:rFonts w:ascii="Arial Narrow" w:hAnsi="Arial Narrow" w:cs="Arial"/>
                <w:sz w:val="20"/>
                <w:szCs w:val="20"/>
              </w:rPr>
            </w:pPr>
            <w:r w:rsidRPr="001C1976">
              <w:rPr>
                <w:rFonts w:ascii="Arial Narrow" w:hAnsi="Arial Narrow" w:cs="Arial"/>
                <w:sz w:val="20"/>
                <w:szCs w:val="20"/>
              </w:rPr>
              <w:t>Non-inferior efficacy; Non-inferior safety</w:t>
            </w:r>
          </w:p>
        </w:tc>
        <w:tc>
          <w:tcPr>
            <w:tcW w:w="1843" w:type="dxa"/>
            <w:vMerge/>
            <w:vAlign w:val="center"/>
          </w:tcPr>
          <w:p w:rsidR="00817912" w:rsidRPr="001C1976" w:rsidRDefault="00817912" w:rsidP="00CD358E">
            <w:pPr>
              <w:jc w:val="center"/>
              <w:rPr>
                <w:rFonts w:ascii="Arial Narrow" w:hAnsi="Arial Narrow" w:cs="Arial"/>
                <w:sz w:val="20"/>
                <w:szCs w:val="20"/>
              </w:rPr>
            </w:pPr>
          </w:p>
        </w:tc>
        <w:tc>
          <w:tcPr>
            <w:tcW w:w="1417" w:type="dxa"/>
            <w:vMerge/>
            <w:vAlign w:val="center"/>
          </w:tcPr>
          <w:p w:rsidR="00817912" w:rsidRPr="001C1976" w:rsidRDefault="00817912" w:rsidP="00CD358E">
            <w:pPr>
              <w:jc w:val="center"/>
              <w:rPr>
                <w:rFonts w:ascii="Arial Narrow" w:hAnsi="Arial Narrow" w:cs="Arial"/>
                <w:sz w:val="20"/>
                <w:szCs w:val="20"/>
              </w:rPr>
            </w:pPr>
          </w:p>
        </w:tc>
      </w:tr>
      <w:tr w:rsidR="00817912" w:rsidRPr="001C1976" w:rsidTr="00CD358E">
        <w:tc>
          <w:tcPr>
            <w:tcW w:w="1021" w:type="dxa"/>
            <w:vAlign w:val="center"/>
          </w:tcPr>
          <w:p w:rsidR="00817912" w:rsidRPr="001C1976" w:rsidRDefault="00817912" w:rsidP="00CD358E">
            <w:pPr>
              <w:rPr>
                <w:rFonts w:ascii="Arial Narrow" w:hAnsi="Arial Narrow" w:cs="Arial"/>
                <w:sz w:val="20"/>
                <w:szCs w:val="20"/>
              </w:rPr>
            </w:pPr>
            <w:r w:rsidRPr="001C1976">
              <w:rPr>
                <w:rFonts w:ascii="Arial Narrow" w:hAnsi="Arial Narrow" w:cs="Arial"/>
                <w:sz w:val="20"/>
                <w:szCs w:val="20"/>
              </w:rPr>
              <w:t>“Second-line”</w:t>
            </w:r>
          </w:p>
        </w:tc>
        <w:tc>
          <w:tcPr>
            <w:tcW w:w="1759" w:type="dxa"/>
            <w:vAlign w:val="center"/>
          </w:tcPr>
          <w:p w:rsidR="00817912" w:rsidRPr="001C1976" w:rsidRDefault="00817912" w:rsidP="00CD358E">
            <w:pPr>
              <w:jc w:val="center"/>
              <w:rPr>
                <w:rFonts w:ascii="Arial Narrow" w:hAnsi="Arial Narrow" w:cs="Arial"/>
                <w:sz w:val="20"/>
                <w:szCs w:val="20"/>
              </w:rPr>
            </w:pPr>
            <w:r w:rsidRPr="001C1976">
              <w:rPr>
                <w:rFonts w:ascii="Arial Narrow" w:hAnsi="Arial Narrow" w:cs="Arial"/>
                <w:sz w:val="20"/>
                <w:szCs w:val="20"/>
              </w:rPr>
              <w:t>LDX vs PBO (as proxy for no treatment)</w:t>
            </w:r>
          </w:p>
        </w:tc>
        <w:tc>
          <w:tcPr>
            <w:tcW w:w="1404" w:type="dxa"/>
            <w:vAlign w:val="center"/>
          </w:tcPr>
          <w:p w:rsidR="00817912" w:rsidRPr="001C1976" w:rsidRDefault="00817912" w:rsidP="00CD358E">
            <w:pPr>
              <w:jc w:val="center"/>
              <w:rPr>
                <w:rFonts w:ascii="Arial Narrow" w:hAnsi="Arial Narrow" w:cs="Arial"/>
                <w:sz w:val="20"/>
                <w:szCs w:val="20"/>
              </w:rPr>
            </w:pPr>
            <w:r w:rsidRPr="001C1976">
              <w:rPr>
                <w:rFonts w:ascii="Arial Narrow" w:hAnsi="Arial Narrow" w:cs="Arial"/>
                <w:sz w:val="20"/>
                <w:szCs w:val="20"/>
              </w:rPr>
              <w:t>Patients with inadequate clinical response to MPH</w:t>
            </w:r>
            <w:r w:rsidR="00B918DB" w:rsidRPr="001C1976">
              <w:rPr>
                <w:rFonts w:ascii="Arial Narrow" w:hAnsi="Arial Narrow" w:cs="Arial"/>
                <w:sz w:val="20"/>
                <w:szCs w:val="20"/>
              </w:rPr>
              <w:t>-OROS</w:t>
            </w:r>
          </w:p>
        </w:tc>
        <w:tc>
          <w:tcPr>
            <w:tcW w:w="1656" w:type="dxa"/>
            <w:vAlign w:val="center"/>
          </w:tcPr>
          <w:p w:rsidR="00817912" w:rsidRPr="001C1976" w:rsidRDefault="00817912" w:rsidP="00CD358E">
            <w:pPr>
              <w:jc w:val="center"/>
              <w:rPr>
                <w:rFonts w:ascii="Arial Narrow" w:hAnsi="Arial Narrow" w:cs="Arial"/>
                <w:sz w:val="20"/>
                <w:szCs w:val="20"/>
              </w:rPr>
            </w:pPr>
            <w:r w:rsidRPr="001C1976">
              <w:rPr>
                <w:rFonts w:ascii="Arial Narrow" w:hAnsi="Arial Narrow" w:cs="Arial"/>
                <w:sz w:val="20"/>
                <w:szCs w:val="20"/>
              </w:rPr>
              <w:t>Superior efficacy; Inferior safety</w:t>
            </w:r>
          </w:p>
        </w:tc>
        <w:tc>
          <w:tcPr>
            <w:tcW w:w="1843" w:type="dxa"/>
          </w:tcPr>
          <w:p w:rsidR="00817912" w:rsidRPr="001C1976" w:rsidRDefault="00817912" w:rsidP="00CD358E">
            <w:pPr>
              <w:jc w:val="center"/>
              <w:rPr>
                <w:rFonts w:ascii="Arial Narrow" w:hAnsi="Arial Narrow" w:cs="Arial"/>
                <w:sz w:val="20"/>
                <w:szCs w:val="20"/>
              </w:rPr>
            </w:pPr>
            <w:r w:rsidRPr="001C1976">
              <w:rPr>
                <w:rFonts w:ascii="Arial Narrow" w:hAnsi="Arial Narrow" w:cs="Arial"/>
                <w:bCs/>
                <w:kern w:val="24"/>
                <w:sz w:val="20"/>
                <w:szCs w:val="20"/>
              </w:rPr>
              <w:t xml:space="preserve">Inappropriate comparator.  </w:t>
            </w:r>
          </w:p>
        </w:tc>
        <w:tc>
          <w:tcPr>
            <w:tcW w:w="1417" w:type="dxa"/>
          </w:tcPr>
          <w:p w:rsidR="00817912" w:rsidRPr="001C1976" w:rsidRDefault="00817912" w:rsidP="00CD358E">
            <w:pPr>
              <w:jc w:val="center"/>
              <w:rPr>
                <w:rFonts w:ascii="Arial Narrow" w:hAnsi="Arial Narrow" w:cs="Arial"/>
                <w:sz w:val="20"/>
                <w:szCs w:val="20"/>
              </w:rPr>
            </w:pPr>
            <w:r w:rsidRPr="001C1976">
              <w:rPr>
                <w:rFonts w:ascii="Arial Narrow" w:hAnsi="Arial Narrow" w:cs="Arial"/>
                <w:kern w:val="24"/>
                <w:sz w:val="20"/>
                <w:szCs w:val="20"/>
              </w:rPr>
              <w:t>Comparison with MPH-OROS or DEX</w:t>
            </w:r>
          </w:p>
        </w:tc>
      </w:tr>
    </w:tbl>
    <w:p w:rsidR="008C4088" w:rsidRPr="00FC6E89" w:rsidRDefault="008C4088" w:rsidP="00300BE1">
      <w:pPr>
        <w:jc w:val="both"/>
        <w:rPr>
          <w:rFonts w:ascii="Arial" w:hAnsi="Arial"/>
          <w:sz w:val="22"/>
          <w:szCs w:val="22"/>
        </w:rPr>
      </w:pPr>
    </w:p>
    <w:p w:rsidR="00881DF6" w:rsidRPr="00FC6E89" w:rsidRDefault="00881DF6" w:rsidP="00881DF6">
      <w:pPr>
        <w:pStyle w:val="ListParagraph"/>
        <w:ind w:left="709"/>
        <w:jc w:val="both"/>
        <w:rPr>
          <w:rFonts w:ascii="Arial" w:hAnsi="Arial"/>
          <w:i/>
          <w:sz w:val="22"/>
          <w:szCs w:val="22"/>
        </w:rPr>
      </w:pPr>
      <w:r w:rsidRPr="00FC6E89">
        <w:rPr>
          <w:rFonts w:ascii="Arial" w:hAnsi="Arial"/>
          <w:i/>
          <w:sz w:val="22"/>
          <w:szCs w:val="22"/>
        </w:rPr>
        <w:t>For more detail on PBAC’s view, see section 7 “PBAC outcome”</w:t>
      </w:r>
    </w:p>
    <w:p w:rsidR="00881DF6" w:rsidRPr="00300BE1" w:rsidRDefault="00881DF6" w:rsidP="00300BE1">
      <w:pPr>
        <w:jc w:val="both"/>
        <w:rPr>
          <w:rFonts w:ascii="Arial" w:hAnsi="Arial"/>
          <w:sz w:val="22"/>
          <w:szCs w:val="22"/>
        </w:rPr>
      </w:pPr>
    </w:p>
    <w:p w:rsidR="005A3173" w:rsidRPr="00FC6E89" w:rsidRDefault="005A3173" w:rsidP="00882085">
      <w:pPr>
        <w:ind w:left="720" w:hanging="720"/>
        <w:jc w:val="both"/>
        <w:rPr>
          <w:rFonts w:ascii="Arial" w:hAnsi="Arial"/>
          <w:b/>
          <w:i/>
          <w:sz w:val="22"/>
          <w:szCs w:val="22"/>
        </w:rPr>
      </w:pPr>
      <w:r w:rsidRPr="00FC6E89">
        <w:rPr>
          <w:rFonts w:ascii="Arial" w:hAnsi="Arial"/>
          <w:b/>
          <w:i/>
          <w:sz w:val="22"/>
          <w:szCs w:val="22"/>
        </w:rPr>
        <w:t>Economic analysis</w:t>
      </w:r>
    </w:p>
    <w:p w:rsidR="005A3173" w:rsidRPr="00FC6E89" w:rsidRDefault="005A3173" w:rsidP="00882085">
      <w:pPr>
        <w:ind w:left="720" w:hanging="720"/>
        <w:jc w:val="both"/>
        <w:rPr>
          <w:rFonts w:ascii="Arial" w:hAnsi="Arial"/>
          <w:sz w:val="22"/>
          <w:szCs w:val="22"/>
        </w:rPr>
      </w:pPr>
    </w:p>
    <w:p w:rsidR="004D3474" w:rsidRPr="00DD735A" w:rsidRDefault="008C4088" w:rsidP="00DD735A">
      <w:pPr>
        <w:pStyle w:val="ListParagraph"/>
        <w:numPr>
          <w:ilvl w:val="1"/>
          <w:numId w:val="25"/>
        </w:numPr>
        <w:ind w:left="720"/>
        <w:jc w:val="both"/>
        <w:rPr>
          <w:rFonts w:ascii="Arial" w:hAnsi="Arial"/>
          <w:sz w:val="22"/>
          <w:szCs w:val="22"/>
        </w:rPr>
      </w:pPr>
      <w:r w:rsidRPr="00DD735A">
        <w:rPr>
          <w:rFonts w:ascii="Arial" w:hAnsi="Arial" w:cs="Arial"/>
          <w:sz w:val="22"/>
          <w:szCs w:val="22"/>
        </w:rPr>
        <w:t xml:space="preserve">The resubmission presents the following economic evaluations: </w:t>
      </w:r>
    </w:p>
    <w:p w:rsidR="004D3474" w:rsidRPr="00FC6E89" w:rsidRDefault="004D3474" w:rsidP="00A738DA">
      <w:pPr>
        <w:pStyle w:val="ListParagraph"/>
        <w:widowControl w:val="0"/>
        <w:numPr>
          <w:ilvl w:val="0"/>
          <w:numId w:val="59"/>
        </w:numPr>
        <w:tabs>
          <w:tab w:val="left" w:pos="284"/>
        </w:tabs>
        <w:ind w:left="993" w:hanging="283"/>
        <w:jc w:val="both"/>
        <w:rPr>
          <w:rFonts w:ascii="Arial" w:hAnsi="Arial" w:cs="Arial"/>
          <w:sz w:val="22"/>
          <w:szCs w:val="22"/>
        </w:rPr>
      </w:pPr>
      <w:r w:rsidRPr="00FC6E89">
        <w:rPr>
          <w:rFonts w:ascii="Arial" w:hAnsi="Arial" w:cs="Arial"/>
          <w:sz w:val="22"/>
          <w:szCs w:val="22"/>
        </w:rPr>
        <w:t>Cost minimisation analysis versus MPH-OROS in children aged 6 to 12;</w:t>
      </w:r>
    </w:p>
    <w:p w:rsidR="004D3474" w:rsidRPr="00FC6E89" w:rsidRDefault="004D3474" w:rsidP="00A738DA">
      <w:pPr>
        <w:pStyle w:val="ListParagraph"/>
        <w:widowControl w:val="0"/>
        <w:numPr>
          <w:ilvl w:val="0"/>
          <w:numId w:val="59"/>
        </w:numPr>
        <w:tabs>
          <w:tab w:val="left" w:pos="284"/>
        </w:tabs>
        <w:ind w:left="993" w:hanging="283"/>
        <w:jc w:val="both"/>
        <w:rPr>
          <w:rFonts w:ascii="Arial" w:hAnsi="Arial" w:cs="Arial"/>
          <w:sz w:val="22"/>
          <w:szCs w:val="22"/>
        </w:rPr>
      </w:pPr>
      <w:r w:rsidRPr="00FC6E89">
        <w:rPr>
          <w:rFonts w:ascii="Arial" w:hAnsi="Arial" w:cs="Arial"/>
          <w:sz w:val="22"/>
          <w:szCs w:val="22"/>
        </w:rPr>
        <w:t>Cost-utility analysis versus MPH-OROS in adolescents aged 13 to 17; and</w:t>
      </w:r>
    </w:p>
    <w:p w:rsidR="004D3474" w:rsidRPr="00FC6E89" w:rsidRDefault="004D3474" w:rsidP="00A738DA">
      <w:pPr>
        <w:pStyle w:val="ListParagraph"/>
        <w:widowControl w:val="0"/>
        <w:numPr>
          <w:ilvl w:val="0"/>
          <w:numId w:val="59"/>
        </w:numPr>
        <w:tabs>
          <w:tab w:val="left" w:pos="284"/>
        </w:tabs>
        <w:ind w:left="993" w:hanging="284"/>
        <w:jc w:val="both"/>
        <w:rPr>
          <w:rFonts w:ascii="Arial" w:hAnsi="Arial" w:cs="Arial"/>
          <w:sz w:val="22"/>
          <w:szCs w:val="22"/>
        </w:rPr>
      </w:pPr>
      <w:r w:rsidRPr="00FC6E89">
        <w:rPr>
          <w:rFonts w:ascii="Arial" w:hAnsi="Arial" w:cs="Arial"/>
          <w:sz w:val="22"/>
          <w:szCs w:val="22"/>
        </w:rPr>
        <w:t>Cost-utility analysis versus “no pharmacological treatment” or “placebo” as proxy for standard of care in patients who have failed MPH-OROS.</w:t>
      </w:r>
      <w:r w:rsidRPr="00FC6E89">
        <w:rPr>
          <w:rFonts w:ascii="Arial" w:hAnsi="Arial" w:cs="Arial"/>
          <w:color w:val="FF0000"/>
          <w:sz w:val="22"/>
          <w:szCs w:val="22"/>
        </w:rPr>
        <w:t xml:space="preserve"> </w:t>
      </w:r>
    </w:p>
    <w:p w:rsidR="004D3474" w:rsidRPr="004D3474" w:rsidRDefault="004D3474" w:rsidP="004D3474">
      <w:pPr>
        <w:pStyle w:val="ListParagraph"/>
        <w:ind w:left="709"/>
        <w:jc w:val="both"/>
        <w:rPr>
          <w:rFonts w:ascii="Arial" w:hAnsi="Arial"/>
          <w:sz w:val="22"/>
          <w:szCs w:val="22"/>
        </w:rPr>
      </w:pPr>
    </w:p>
    <w:p w:rsidR="00106B32" w:rsidRPr="00DD735A" w:rsidRDefault="00817386" w:rsidP="00DD735A">
      <w:pPr>
        <w:pStyle w:val="ListParagraph"/>
        <w:numPr>
          <w:ilvl w:val="1"/>
          <w:numId w:val="25"/>
        </w:numPr>
        <w:ind w:left="720"/>
        <w:jc w:val="both"/>
        <w:rPr>
          <w:rFonts w:ascii="Arial" w:hAnsi="Arial"/>
          <w:sz w:val="22"/>
          <w:szCs w:val="22"/>
        </w:rPr>
      </w:pPr>
      <w:r w:rsidRPr="00DD735A">
        <w:rPr>
          <w:rFonts w:ascii="Arial" w:hAnsi="Arial" w:cs="Arial"/>
          <w:sz w:val="22"/>
          <w:szCs w:val="22"/>
        </w:rPr>
        <w:t>The model presented in this resubmission is identical to that presented in July 2013, but with additional pre</w:t>
      </w:r>
      <w:r w:rsidR="00D64E05" w:rsidRPr="00DD735A">
        <w:rPr>
          <w:rFonts w:ascii="Arial" w:hAnsi="Arial" w:cs="Arial"/>
          <w:sz w:val="22"/>
          <w:szCs w:val="22"/>
        </w:rPr>
        <w:t>-</w:t>
      </w:r>
      <w:r w:rsidRPr="00DD735A">
        <w:rPr>
          <w:rFonts w:ascii="Arial" w:hAnsi="Arial" w:cs="Arial"/>
          <w:sz w:val="22"/>
          <w:szCs w:val="22"/>
        </w:rPr>
        <w:t xml:space="preserve">modelling studies to update the model inputs. The ESC noted that </w:t>
      </w:r>
      <w:proofErr w:type="spellStart"/>
      <w:r w:rsidRPr="00DD735A">
        <w:rPr>
          <w:rFonts w:ascii="Arial" w:hAnsi="Arial" w:cs="Arial"/>
          <w:sz w:val="22"/>
          <w:szCs w:val="22"/>
        </w:rPr>
        <w:t>disutilities</w:t>
      </w:r>
      <w:proofErr w:type="spellEnd"/>
      <w:r w:rsidRPr="00DD735A">
        <w:rPr>
          <w:rFonts w:ascii="Arial" w:hAnsi="Arial" w:cs="Arial"/>
          <w:sz w:val="22"/>
          <w:szCs w:val="22"/>
        </w:rPr>
        <w:t xml:space="preserve"> associated with weight loss over time had still not been adequately accounted for, despite the inclusion of drug holidays as a proxy, and that this was a concerning limitation in the model.</w:t>
      </w:r>
      <w:r w:rsidRPr="00DD735A">
        <w:rPr>
          <w:rFonts w:ascii="Arial" w:hAnsi="Arial" w:cs="Arial"/>
          <w:sz w:val="28"/>
          <w:szCs w:val="28"/>
        </w:rPr>
        <w:t xml:space="preserve"> </w:t>
      </w:r>
      <w:r w:rsidR="00544AF7" w:rsidRPr="00DD735A">
        <w:rPr>
          <w:rFonts w:ascii="Arial" w:hAnsi="Arial" w:cs="Arial"/>
          <w:sz w:val="22"/>
          <w:szCs w:val="22"/>
        </w:rPr>
        <w:t xml:space="preserve">With regards to supporting evidence for the extrapolated efficacy of LDX, the ESC noted that the prevalence of ADHD decreases over time, though psychopathology continues to exist. It was also considered that currently there is no clear evidence for the efficacy of </w:t>
      </w:r>
      <w:proofErr w:type="spellStart"/>
      <w:r w:rsidR="00544AF7" w:rsidRPr="00DD735A">
        <w:rPr>
          <w:rFonts w:ascii="Arial" w:hAnsi="Arial" w:cs="Arial"/>
          <w:sz w:val="22"/>
          <w:szCs w:val="22"/>
        </w:rPr>
        <w:t>psychostimulant</w:t>
      </w:r>
      <w:proofErr w:type="spellEnd"/>
      <w:r w:rsidR="00544AF7" w:rsidRPr="00DD735A">
        <w:rPr>
          <w:rFonts w:ascii="Arial" w:hAnsi="Arial" w:cs="Arial"/>
          <w:sz w:val="22"/>
          <w:szCs w:val="22"/>
        </w:rPr>
        <w:t xml:space="preserve"> treatment beyond 3 years (</w:t>
      </w:r>
      <w:proofErr w:type="spellStart"/>
      <w:r w:rsidR="00544AF7" w:rsidRPr="00DD735A">
        <w:rPr>
          <w:rFonts w:ascii="Arial" w:hAnsi="Arial" w:cs="Arial"/>
          <w:sz w:val="22"/>
          <w:szCs w:val="22"/>
        </w:rPr>
        <w:t>Tonge</w:t>
      </w:r>
      <w:proofErr w:type="spellEnd"/>
      <w:r w:rsidR="00544AF7" w:rsidRPr="00DD735A">
        <w:rPr>
          <w:rFonts w:ascii="Arial" w:hAnsi="Arial" w:cs="Arial"/>
          <w:sz w:val="22"/>
          <w:szCs w:val="22"/>
        </w:rPr>
        <w:t xml:space="preserve"> </w:t>
      </w:r>
      <w:proofErr w:type="spellStart"/>
      <w:r w:rsidR="00544AF7" w:rsidRPr="00DD735A">
        <w:rPr>
          <w:rFonts w:ascii="Arial" w:hAnsi="Arial" w:cs="Arial"/>
          <w:sz w:val="22"/>
          <w:szCs w:val="22"/>
        </w:rPr>
        <w:t>Aust</w:t>
      </w:r>
      <w:proofErr w:type="spellEnd"/>
      <w:r w:rsidR="00544AF7" w:rsidRPr="00DD735A">
        <w:rPr>
          <w:rFonts w:ascii="Arial" w:hAnsi="Arial" w:cs="Arial"/>
          <w:sz w:val="22"/>
          <w:szCs w:val="22"/>
        </w:rPr>
        <w:t xml:space="preserve"> </w:t>
      </w:r>
      <w:proofErr w:type="spellStart"/>
      <w:r w:rsidR="00544AF7" w:rsidRPr="00DD735A">
        <w:rPr>
          <w:rFonts w:ascii="Arial" w:hAnsi="Arial" w:cs="Arial"/>
          <w:sz w:val="22"/>
          <w:szCs w:val="22"/>
        </w:rPr>
        <w:t>Presc</w:t>
      </w:r>
      <w:proofErr w:type="spellEnd"/>
      <w:r w:rsidR="00544AF7" w:rsidRPr="00DD735A">
        <w:rPr>
          <w:rFonts w:ascii="Arial" w:hAnsi="Arial" w:cs="Arial"/>
          <w:sz w:val="22"/>
          <w:szCs w:val="22"/>
        </w:rPr>
        <w:t xml:space="preserve"> 2013), compared with behavioural management and a combination of treatment and behavioural management. </w:t>
      </w:r>
    </w:p>
    <w:p w:rsidR="00106B32" w:rsidRPr="00FC6E89" w:rsidRDefault="00106B32" w:rsidP="00300BE1">
      <w:pPr>
        <w:pStyle w:val="ListParagraph"/>
        <w:ind w:left="1070"/>
        <w:jc w:val="both"/>
        <w:rPr>
          <w:rFonts w:ascii="Arial" w:hAnsi="Arial" w:cs="Arial"/>
          <w:sz w:val="22"/>
          <w:szCs w:val="22"/>
        </w:rPr>
      </w:pPr>
    </w:p>
    <w:p w:rsidR="00881DF6" w:rsidRPr="00FC6E89" w:rsidRDefault="003F129E" w:rsidP="00243655">
      <w:pPr>
        <w:pStyle w:val="ListParagraph"/>
        <w:numPr>
          <w:ilvl w:val="1"/>
          <w:numId w:val="25"/>
        </w:numPr>
        <w:ind w:left="709" w:hanging="709"/>
        <w:jc w:val="both"/>
        <w:rPr>
          <w:rFonts w:ascii="Arial" w:hAnsi="Arial"/>
          <w:sz w:val="22"/>
          <w:szCs w:val="22"/>
        </w:rPr>
      </w:pPr>
      <w:r w:rsidRPr="00FC6E89">
        <w:rPr>
          <w:rFonts w:ascii="Arial" w:hAnsi="Arial" w:cs="Arial"/>
          <w:sz w:val="22"/>
          <w:szCs w:val="22"/>
        </w:rPr>
        <w:t>The</w:t>
      </w:r>
      <w:r w:rsidR="00881DF6" w:rsidRPr="00FC6E89">
        <w:rPr>
          <w:rFonts w:ascii="Arial" w:hAnsi="Arial" w:cs="Arial"/>
          <w:sz w:val="22"/>
          <w:szCs w:val="22"/>
        </w:rPr>
        <w:t xml:space="preserve"> only appropriate economic evaluation is a cost minimisation analysis of LDX versus MPH-OROS.  A cost minimisation analyses is presented in Section </w:t>
      </w:r>
      <w:proofErr w:type="gramStart"/>
      <w:r w:rsidR="00881DF6" w:rsidRPr="00FC6E89">
        <w:rPr>
          <w:rFonts w:ascii="Arial" w:hAnsi="Arial" w:cs="Arial"/>
          <w:sz w:val="22"/>
          <w:szCs w:val="22"/>
        </w:rPr>
        <w:t>D(</w:t>
      </w:r>
      <w:proofErr w:type="spellStart"/>
      <w:proofErr w:type="gramEnd"/>
      <w:r w:rsidR="00881DF6" w:rsidRPr="00FC6E89">
        <w:rPr>
          <w:rFonts w:ascii="Arial" w:hAnsi="Arial" w:cs="Arial"/>
          <w:sz w:val="22"/>
          <w:szCs w:val="22"/>
        </w:rPr>
        <w:t>i</w:t>
      </w:r>
      <w:proofErr w:type="spellEnd"/>
      <w:r w:rsidR="00881DF6" w:rsidRPr="00FC6E89">
        <w:rPr>
          <w:rFonts w:ascii="Arial" w:hAnsi="Arial" w:cs="Arial"/>
          <w:sz w:val="22"/>
          <w:szCs w:val="22"/>
        </w:rPr>
        <w:t>)</w:t>
      </w:r>
      <w:r w:rsidR="00D64E05" w:rsidRPr="00FC6E89">
        <w:rPr>
          <w:rFonts w:ascii="Arial" w:hAnsi="Arial" w:cs="Arial"/>
          <w:sz w:val="22"/>
          <w:szCs w:val="22"/>
        </w:rPr>
        <w:t xml:space="preserve">.2 of </w:t>
      </w:r>
      <w:r w:rsidR="00D64E05" w:rsidRPr="00FC6E89">
        <w:rPr>
          <w:rFonts w:ascii="Arial" w:hAnsi="Arial" w:cs="Arial"/>
          <w:sz w:val="22"/>
          <w:szCs w:val="22"/>
        </w:rPr>
        <w:lastRenderedPageBreak/>
        <w:t>the resubmission for children aged 6 – 12; this analysis is relevant for all the populations requested in the listing</w:t>
      </w:r>
      <w:r w:rsidR="00881DF6" w:rsidRPr="00FC6E89">
        <w:rPr>
          <w:rFonts w:ascii="Arial" w:hAnsi="Arial" w:cs="Arial"/>
          <w:sz w:val="22"/>
          <w:szCs w:val="22"/>
        </w:rPr>
        <w:t xml:space="preserve">.  The cost minimisation price of LDX is estimated to be </w:t>
      </w:r>
      <w:r w:rsidR="00136DB8">
        <w:rPr>
          <w:rFonts w:ascii="Arial" w:hAnsi="Arial" w:cs="Arial"/>
          <w:noProof/>
          <w:color w:val="000000"/>
          <w:sz w:val="22"/>
          <w:szCs w:val="22"/>
          <w:highlight w:val="black"/>
        </w:rPr>
        <w:t xml:space="preserve">'''''''''''''''''' ''''''' '''''''''''''''' </w:t>
      </w:r>
      <w:r w:rsidR="00881DF6" w:rsidRPr="00FC6E89">
        <w:rPr>
          <w:rFonts w:ascii="Arial" w:hAnsi="Arial" w:cs="Arial"/>
          <w:sz w:val="22"/>
          <w:szCs w:val="22"/>
        </w:rPr>
        <w:t xml:space="preserve">as a best case (given no cost for AEs have been incorporated).  As a contrast, using the resubmission’s approach the ICER for LDX versus MPH-OROS in adolescents was </w:t>
      </w:r>
      <w:r w:rsidR="00243548">
        <w:rPr>
          <w:rFonts w:ascii="Arial" w:hAnsi="Arial" w:cs="Arial"/>
          <w:sz w:val="22"/>
          <w:szCs w:val="22"/>
        </w:rPr>
        <w:t>in the range of $15,000/QALY - $45,000/QALY</w:t>
      </w:r>
      <w:r w:rsidR="00136DB8">
        <w:rPr>
          <w:rFonts w:ascii="Arial" w:hAnsi="Arial" w:cs="Arial"/>
          <w:noProof/>
          <w:color w:val="000000"/>
          <w:sz w:val="22"/>
          <w:szCs w:val="22"/>
          <w:highlight w:val="black"/>
        </w:rPr>
        <w:t>''''''''''''''''''''''''''''''''''</w:t>
      </w:r>
      <w:r w:rsidR="00881DF6" w:rsidRPr="00FC6E89">
        <w:rPr>
          <w:rFonts w:ascii="Arial" w:hAnsi="Arial" w:cs="Arial"/>
          <w:sz w:val="22"/>
          <w:szCs w:val="22"/>
        </w:rPr>
        <w:t xml:space="preserve"> </w:t>
      </w:r>
      <w:r w:rsidR="00136DB8">
        <w:rPr>
          <w:rFonts w:ascii="Arial" w:hAnsi="Arial" w:cs="Arial"/>
          <w:noProof/>
          <w:color w:val="000000"/>
          <w:sz w:val="22"/>
          <w:szCs w:val="22"/>
          <w:highlight w:val="black"/>
        </w:rPr>
        <w:t xml:space="preserve">'''''''''''''''''''''''' '''' '''''''''''''''' '''''' '''''''''''''''''' '''''''' '''''' ''''''''''''' ''''''''''''' </w:t>
      </w:r>
      <w:r w:rsidR="00881DF6" w:rsidRPr="00737946">
        <w:rPr>
          <w:rFonts w:ascii="Arial" w:hAnsi="Arial" w:cs="Arial"/>
          <w:sz w:val="22"/>
          <w:szCs w:val="22"/>
        </w:rPr>
        <w:t>irrespective of daily dose (due to flat pricing)</w:t>
      </w:r>
      <w:r w:rsidR="00881DF6" w:rsidRPr="00FC6E89">
        <w:rPr>
          <w:rFonts w:ascii="Arial" w:hAnsi="Arial" w:cs="Arial"/>
          <w:sz w:val="22"/>
          <w:szCs w:val="22"/>
        </w:rPr>
        <w:t xml:space="preserve">; when the drug holiday variable was included, the ICER increased to </w:t>
      </w:r>
      <w:r w:rsidR="00243548">
        <w:rPr>
          <w:rFonts w:ascii="Arial" w:hAnsi="Arial" w:cs="Arial"/>
          <w:sz w:val="22"/>
          <w:szCs w:val="22"/>
        </w:rPr>
        <w:t>$15,000/QALY - $45,000/QALY</w:t>
      </w:r>
      <w:r w:rsidR="00136DB8">
        <w:rPr>
          <w:rFonts w:ascii="Arial" w:hAnsi="Arial" w:cs="Arial"/>
          <w:noProof/>
          <w:color w:val="000000"/>
          <w:sz w:val="22"/>
          <w:szCs w:val="22"/>
          <w:highlight w:val="black"/>
        </w:rPr>
        <w:t xml:space="preserve"> '''''''''''''''''''''''''''''''''''''</w:t>
      </w:r>
      <w:r w:rsidR="00881DF6" w:rsidRPr="00FC6E89">
        <w:rPr>
          <w:rFonts w:ascii="Arial" w:hAnsi="Arial" w:cs="Arial"/>
          <w:sz w:val="22"/>
          <w:szCs w:val="22"/>
        </w:rPr>
        <w:t xml:space="preserve">. The ICER of LDX versus placebo was </w:t>
      </w:r>
      <w:r w:rsidR="00243548">
        <w:rPr>
          <w:rFonts w:ascii="Arial" w:hAnsi="Arial" w:cs="Arial"/>
          <w:sz w:val="22"/>
          <w:szCs w:val="22"/>
        </w:rPr>
        <w:t>$15,000/QALY - $45,000/QALY</w:t>
      </w:r>
      <w:r w:rsidR="00243548" w:rsidRPr="00FC6E89">
        <w:rPr>
          <w:rFonts w:ascii="Arial" w:hAnsi="Arial" w:cs="Arial"/>
          <w:sz w:val="22"/>
          <w:szCs w:val="22"/>
        </w:rPr>
        <w:t xml:space="preserve"> </w:t>
      </w:r>
      <w:r w:rsidR="00136DB8">
        <w:rPr>
          <w:rFonts w:ascii="Arial" w:hAnsi="Arial" w:cs="Arial"/>
          <w:noProof/>
          <w:color w:val="000000"/>
          <w:sz w:val="22"/>
          <w:szCs w:val="22"/>
          <w:highlight w:val="black"/>
        </w:rPr>
        <w:t>''''''''''''''''''''</w:t>
      </w:r>
      <w:r w:rsidR="00881DF6" w:rsidRPr="00FC6E89">
        <w:rPr>
          <w:rFonts w:ascii="Arial" w:hAnsi="Arial" w:cs="Arial"/>
          <w:sz w:val="22"/>
          <w:szCs w:val="22"/>
        </w:rPr>
        <w:t xml:space="preserve"> in patients who failed MPH </w:t>
      </w:r>
      <w:r w:rsidR="00136DB8">
        <w:rPr>
          <w:rFonts w:ascii="Arial" w:hAnsi="Arial" w:cs="Arial"/>
          <w:noProof/>
          <w:color w:val="000000"/>
          <w:sz w:val="22"/>
          <w:szCs w:val="22"/>
          <w:highlight w:val="black"/>
        </w:rPr>
        <w:t>'''''''''''''''''''''''''' '''' '''''''''''''''''' ''''' ''''''''''''''''' ''''''' ''''''' '''''''''''''</w:t>
      </w:r>
      <w:r w:rsidR="00881DF6" w:rsidRPr="00FC6E89">
        <w:rPr>
          <w:rFonts w:ascii="Arial" w:hAnsi="Arial" w:cs="Arial"/>
          <w:sz w:val="22"/>
          <w:szCs w:val="22"/>
        </w:rPr>
        <w:t xml:space="preserve">; when the drug holiday variable was included, the ICER changed to </w:t>
      </w:r>
      <w:r w:rsidR="00243548">
        <w:rPr>
          <w:rFonts w:ascii="Arial" w:hAnsi="Arial" w:cs="Arial"/>
          <w:sz w:val="22"/>
          <w:szCs w:val="22"/>
        </w:rPr>
        <w:t>$15,000/QALY - $45,000/QALY</w:t>
      </w:r>
      <w:r w:rsidR="00243548" w:rsidRPr="00FC6E89">
        <w:rPr>
          <w:rFonts w:ascii="Arial" w:hAnsi="Arial" w:cs="Arial"/>
          <w:sz w:val="22"/>
          <w:szCs w:val="22"/>
        </w:rPr>
        <w:t xml:space="preserve"> </w:t>
      </w:r>
      <w:r w:rsidR="00136DB8">
        <w:rPr>
          <w:rFonts w:ascii="Arial" w:hAnsi="Arial" w:cs="Arial"/>
          <w:noProof/>
          <w:color w:val="000000"/>
          <w:sz w:val="22"/>
          <w:szCs w:val="22"/>
          <w:highlight w:val="black"/>
        </w:rPr>
        <w:t>'''''''''''''''''''''''''''''''''''''</w:t>
      </w:r>
      <w:r w:rsidR="00881DF6" w:rsidRPr="00FC6E89">
        <w:rPr>
          <w:rFonts w:ascii="Arial" w:hAnsi="Arial" w:cs="Arial"/>
          <w:sz w:val="22"/>
          <w:szCs w:val="22"/>
        </w:rPr>
        <w:t xml:space="preserve">. The ESC noted that a series of sensitivity analyses demonstrated that the model was mostly sensitive to utilities used and the definition of benefit. </w:t>
      </w:r>
    </w:p>
    <w:p w:rsidR="00FC6333" w:rsidRPr="00FC6E89" w:rsidRDefault="00FC6333" w:rsidP="0069384D">
      <w:pPr>
        <w:rPr>
          <w:rFonts w:ascii="Arial" w:hAnsi="Arial" w:cs="Arial"/>
          <w:sz w:val="22"/>
          <w:szCs w:val="22"/>
        </w:rPr>
      </w:pPr>
    </w:p>
    <w:p w:rsidR="004D3474" w:rsidRPr="004D3474" w:rsidRDefault="00FC6333" w:rsidP="004D3474">
      <w:pPr>
        <w:pStyle w:val="ListParagraph"/>
        <w:numPr>
          <w:ilvl w:val="1"/>
          <w:numId w:val="25"/>
        </w:numPr>
        <w:ind w:left="709" w:hanging="709"/>
        <w:jc w:val="both"/>
        <w:rPr>
          <w:rFonts w:ascii="Arial" w:hAnsi="Arial"/>
          <w:sz w:val="22"/>
          <w:szCs w:val="22"/>
        </w:rPr>
      </w:pPr>
      <w:r w:rsidRPr="00FC6E89">
        <w:rPr>
          <w:rFonts w:ascii="Arial" w:hAnsi="Arial" w:cs="Arial"/>
          <w:sz w:val="22"/>
          <w:szCs w:val="22"/>
        </w:rPr>
        <w:t xml:space="preserve">The price of LDX requested in the submission exceeds that of MPH-OROS, despite the lack of clinical benefit demonstrated in the trials. If the proportion of patients accessing LDX on the PBS differs from what the resubmission assumes, it is likely that LDX will be dominated by MPH-OROS as an alternative medication with a higher cost yet similar or inferior clinical benefit. </w:t>
      </w:r>
    </w:p>
    <w:p w:rsidR="004D3474" w:rsidRPr="004D3474" w:rsidRDefault="004D3474" w:rsidP="004D3474">
      <w:pPr>
        <w:pStyle w:val="ListParagraph"/>
        <w:rPr>
          <w:rStyle w:val="Heading2Char"/>
          <w:rFonts w:ascii="Arial" w:hAnsi="Arial" w:cs="Arial"/>
          <w:sz w:val="22"/>
          <w:szCs w:val="22"/>
        </w:rPr>
      </w:pPr>
    </w:p>
    <w:p w:rsidR="00A442EB" w:rsidRPr="004D3474" w:rsidRDefault="00A442EB" w:rsidP="004D3474">
      <w:pPr>
        <w:pStyle w:val="ListParagraph"/>
        <w:numPr>
          <w:ilvl w:val="1"/>
          <w:numId w:val="25"/>
        </w:numPr>
        <w:ind w:left="709" w:hanging="709"/>
        <w:jc w:val="both"/>
        <w:rPr>
          <w:rFonts w:ascii="Arial" w:hAnsi="Arial"/>
          <w:sz w:val="22"/>
          <w:szCs w:val="22"/>
        </w:rPr>
      </w:pPr>
      <w:r w:rsidRPr="004D3474">
        <w:rPr>
          <w:rStyle w:val="Heading2Char"/>
          <w:rFonts w:ascii="Arial" w:hAnsi="Arial" w:cs="Arial"/>
          <w:sz w:val="22"/>
          <w:szCs w:val="22"/>
        </w:rPr>
        <w:t>The drug cost/patient/year</w:t>
      </w:r>
      <w:r w:rsidRPr="004D3474">
        <w:rPr>
          <w:rFonts w:ascii="Arial" w:hAnsi="Arial" w:cs="Arial"/>
          <w:b/>
          <w:sz w:val="22"/>
          <w:szCs w:val="22"/>
        </w:rPr>
        <w:t xml:space="preserve"> </w:t>
      </w:r>
      <w:r w:rsidRPr="004D3474">
        <w:rPr>
          <w:rFonts w:ascii="Arial" w:hAnsi="Arial" w:cs="Arial"/>
          <w:sz w:val="22"/>
          <w:szCs w:val="22"/>
        </w:rPr>
        <w:t xml:space="preserve">is </w:t>
      </w:r>
      <w:r w:rsidR="00136DB8">
        <w:rPr>
          <w:rFonts w:ascii="Arial" w:hAnsi="Arial" w:cs="Arial"/>
          <w:noProof/>
          <w:color w:val="000000"/>
          <w:sz w:val="22"/>
          <w:szCs w:val="22"/>
          <w:highlight w:val="black"/>
        </w:rPr>
        <w:t>''''''''''''''''''''' ''''''' '''''''' ''''''''''''''''''''' ''''''''''' ''''''' '''''''''' ''''' '''''''''''''''''''''''''''''''''''''''</w:t>
      </w:r>
      <w:r w:rsidRPr="004D3474">
        <w:rPr>
          <w:rFonts w:ascii="Arial" w:hAnsi="Arial" w:cs="Arial"/>
          <w:sz w:val="22"/>
          <w:szCs w:val="22"/>
        </w:rPr>
        <w:t xml:space="preserve">, listing option 1) or </w:t>
      </w:r>
      <w:r w:rsidR="00136DB8">
        <w:rPr>
          <w:rFonts w:ascii="Arial" w:hAnsi="Arial" w:cs="Arial"/>
          <w:noProof/>
          <w:color w:val="000000"/>
          <w:sz w:val="22"/>
          <w:szCs w:val="22"/>
          <w:highlight w:val="black"/>
        </w:rPr>
        <w:t>''''''''''''''''''''''' ''''''' ''''''''' '''''''''''''''''''''''' ''''''''''''' ''''' '''''''''' ''''' '''''''''''''''''''''''</w:t>
      </w:r>
      <w:r w:rsidRPr="004D3474">
        <w:rPr>
          <w:rFonts w:ascii="Arial" w:hAnsi="Arial" w:cs="Arial"/>
          <w:sz w:val="22"/>
          <w:szCs w:val="22"/>
        </w:rPr>
        <w:t xml:space="preserve"> listing option 2), both assuming </w:t>
      </w:r>
      <w:r w:rsidR="00136DB8">
        <w:rPr>
          <w:rFonts w:ascii="Arial" w:hAnsi="Arial" w:cs="Arial"/>
          <w:noProof/>
          <w:color w:val="000000"/>
          <w:sz w:val="22"/>
          <w:szCs w:val="22"/>
          <w:highlight w:val="black"/>
        </w:rPr>
        <w:t>'''''''''''''</w:t>
      </w:r>
      <w:r w:rsidRPr="004D3474">
        <w:rPr>
          <w:rFonts w:ascii="Arial" w:hAnsi="Arial" w:cs="Arial"/>
          <w:sz w:val="22"/>
          <w:szCs w:val="22"/>
        </w:rPr>
        <w:t xml:space="preserve"> compliance and </w:t>
      </w:r>
      <w:r w:rsidR="00136DB8">
        <w:rPr>
          <w:rFonts w:ascii="Arial" w:hAnsi="Arial" w:cs="Arial"/>
          <w:noProof/>
          <w:color w:val="000000"/>
          <w:sz w:val="22"/>
          <w:szCs w:val="22"/>
          <w:highlight w:val="black"/>
        </w:rPr>
        <w:t>'''''''''''''''</w:t>
      </w:r>
      <w:r w:rsidRPr="004D3474">
        <w:rPr>
          <w:rFonts w:ascii="Arial" w:hAnsi="Arial" w:cs="Arial"/>
          <w:sz w:val="22"/>
          <w:szCs w:val="22"/>
        </w:rPr>
        <w:t xml:space="preserve"> scripts per patient year of treatment. </w:t>
      </w:r>
    </w:p>
    <w:p w:rsidR="00B9230B" w:rsidRPr="00B9230B" w:rsidRDefault="00B9230B" w:rsidP="00B9230B">
      <w:pPr>
        <w:pStyle w:val="ListParagraph"/>
        <w:rPr>
          <w:rFonts w:ascii="Arial" w:hAnsi="Arial" w:cs="Arial"/>
          <w:sz w:val="22"/>
          <w:szCs w:val="22"/>
        </w:rPr>
      </w:pPr>
    </w:p>
    <w:p w:rsidR="00B9230B" w:rsidRPr="0069384D" w:rsidRDefault="00B9230B" w:rsidP="00243655">
      <w:pPr>
        <w:pStyle w:val="ListParagraph"/>
        <w:numPr>
          <w:ilvl w:val="1"/>
          <w:numId w:val="25"/>
        </w:numPr>
        <w:ind w:left="709" w:hanging="709"/>
        <w:jc w:val="both"/>
        <w:rPr>
          <w:rFonts w:ascii="Arial" w:hAnsi="Arial"/>
          <w:sz w:val="22"/>
          <w:szCs w:val="22"/>
        </w:rPr>
      </w:pPr>
      <w:r w:rsidRPr="0069384D">
        <w:rPr>
          <w:rFonts w:ascii="Arial" w:hAnsi="Arial" w:cs="Arial"/>
          <w:sz w:val="22"/>
          <w:szCs w:val="22"/>
        </w:rPr>
        <w:t xml:space="preserve">The PBAC did not accept the cost-utility analysis for LDX versus MPH-OROS in </w:t>
      </w:r>
      <w:r w:rsidR="003546A7" w:rsidRPr="0069384D">
        <w:rPr>
          <w:rFonts w:ascii="Arial" w:hAnsi="Arial" w:cs="Arial"/>
          <w:sz w:val="22"/>
          <w:szCs w:val="22"/>
        </w:rPr>
        <w:t>adolescent</w:t>
      </w:r>
      <w:r w:rsidRPr="0069384D">
        <w:rPr>
          <w:rFonts w:ascii="Arial" w:hAnsi="Arial" w:cs="Arial"/>
          <w:sz w:val="22"/>
          <w:szCs w:val="22"/>
        </w:rPr>
        <w:t xml:space="preserve"> patients nor did the Committee accept the cost-utility analysis of LDX versus placebo in patients who have failed MPH-OROS.</w:t>
      </w:r>
      <w:r w:rsidR="0082411D" w:rsidRPr="0069384D">
        <w:rPr>
          <w:rFonts w:ascii="Arial" w:hAnsi="Arial" w:cs="Arial"/>
          <w:sz w:val="22"/>
          <w:szCs w:val="22"/>
        </w:rPr>
        <w:t xml:space="preserve"> The PBAC agreed with the ESC that cost minimisation analysis of LDX versus MPH-OROS is the most appropriate economic analysis.  </w:t>
      </w:r>
    </w:p>
    <w:p w:rsidR="00881DB0" w:rsidRPr="00881DB0" w:rsidRDefault="00881DB0" w:rsidP="00881DB0">
      <w:pPr>
        <w:pStyle w:val="ListParagraph"/>
        <w:rPr>
          <w:rFonts w:ascii="Arial" w:hAnsi="Arial" w:cs="Arial"/>
          <w:sz w:val="22"/>
          <w:szCs w:val="22"/>
        </w:rPr>
      </w:pPr>
    </w:p>
    <w:p w:rsidR="00881DB0" w:rsidRPr="0069384D" w:rsidRDefault="00881DB0" w:rsidP="00243655">
      <w:pPr>
        <w:pStyle w:val="ListParagraph"/>
        <w:numPr>
          <w:ilvl w:val="1"/>
          <w:numId w:val="25"/>
        </w:numPr>
        <w:ind w:left="709" w:hanging="709"/>
        <w:jc w:val="both"/>
        <w:rPr>
          <w:rFonts w:ascii="Arial" w:hAnsi="Arial"/>
          <w:sz w:val="22"/>
          <w:szCs w:val="22"/>
        </w:rPr>
      </w:pPr>
      <w:r w:rsidRPr="0069384D">
        <w:rPr>
          <w:rFonts w:ascii="Arial" w:hAnsi="Arial" w:cs="Arial"/>
          <w:sz w:val="22"/>
          <w:szCs w:val="22"/>
        </w:rPr>
        <w:t xml:space="preserve">The PBAC noted that the sponsor proposed </w:t>
      </w:r>
      <w:r w:rsidRPr="00737946">
        <w:rPr>
          <w:rFonts w:ascii="Arial" w:hAnsi="Arial" w:cs="Arial"/>
          <w:sz w:val="22"/>
          <w:szCs w:val="22"/>
        </w:rPr>
        <w:t xml:space="preserve">a Managed Entry Scheme in their pre-PBAC response based on forthcoming </w:t>
      </w:r>
      <w:r w:rsidR="006634C6" w:rsidRPr="00737946">
        <w:rPr>
          <w:rFonts w:ascii="Arial" w:hAnsi="Arial" w:cs="Arial"/>
          <w:sz w:val="22"/>
          <w:szCs w:val="22"/>
        </w:rPr>
        <w:t>results</w:t>
      </w:r>
      <w:r w:rsidRPr="00737946">
        <w:rPr>
          <w:rFonts w:ascii="Arial" w:hAnsi="Arial" w:cs="Arial"/>
          <w:sz w:val="22"/>
          <w:szCs w:val="22"/>
        </w:rPr>
        <w:t xml:space="preserve"> from a new head to head </w:t>
      </w:r>
      <w:r w:rsidR="006634C6" w:rsidRPr="00737946">
        <w:rPr>
          <w:rFonts w:ascii="Arial" w:hAnsi="Arial" w:cs="Arial"/>
          <w:sz w:val="22"/>
          <w:szCs w:val="22"/>
        </w:rPr>
        <w:t xml:space="preserve">trial of LDX versus MPH-OROS in adolescents </w:t>
      </w:r>
      <w:r w:rsidRPr="00737946">
        <w:rPr>
          <w:rFonts w:ascii="Arial" w:hAnsi="Arial" w:cs="Arial"/>
          <w:sz w:val="22"/>
          <w:szCs w:val="22"/>
        </w:rPr>
        <w:t xml:space="preserve">due </w:t>
      </w:r>
      <w:r w:rsidR="006634C6" w:rsidRPr="00737946">
        <w:rPr>
          <w:rFonts w:ascii="Arial" w:hAnsi="Arial" w:cs="Arial"/>
          <w:sz w:val="22"/>
          <w:szCs w:val="22"/>
        </w:rPr>
        <w:t xml:space="preserve">to report </w:t>
      </w:r>
      <w:r w:rsidRPr="00737946">
        <w:rPr>
          <w:rFonts w:ascii="Arial" w:hAnsi="Arial" w:cs="Arial"/>
          <w:sz w:val="22"/>
          <w:szCs w:val="22"/>
        </w:rPr>
        <w:t xml:space="preserve">in late 2014. The </w:t>
      </w:r>
      <w:r w:rsidR="00122336" w:rsidRPr="00737946">
        <w:rPr>
          <w:rFonts w:ascii="Arial" w:hAnsi="Arial" w:cs="Arial"/>
          <w:sz w:val="22"/>
          <w:szCs w:val="22"/>
        </w:rPr>
        <w:t xml:space="preserve">PBAC </w:t>
      </w:r>
      <w:r w:rsidR="006634C6" w:rsidRPr="00737946">
        <w:rPr>
          <w:rFonts w:ascii="Arial" w:hAnsi="Arial" w:cs="Arial"/>
          <w:sz w:val="22"/>
          <w:szCs w:val="22"/>
        </w:rPr>
        <w:t>considered this</w:t>
      </w:r>
      <w:r w:rsidR="00122336" w:rsidRPr="00737946">
        <w:rPr>
          <w:rFonts w:ascii="Arial" w:hAnsi="Arial" w:cs="Arial"/>
          <w:sz w:val="22"/>
          <w:szCs w:val="22"/>
        </w:rPr>
        <w:t xml:space="preserve"> trial would</w:t>
      </w:r>
      <w:r w:rsidR="006634C6" w:rsidRPr="00737946">
        <w:rPr>
          <w:rFonts w:ascii="Arial" w:hAnsi="Arial" w:cs="Arial"/>
          <w:sz w:val="22"/>
          <w:szCs w:val="22"/>
        </w:rPr>
        <w:t xml:space="preserve"> be relevant to the </w:t>
      </w:r>
      <w:r w:rsidR="00122336" w:rsidRPr="00737946">
        <w:rPr>
          <w:rFonts w:ascii="Arial" w:hAnsi="Arial" w:cs="Arial"/>
          <w:sz w:val="22"/>
          <w:szCs w:val="22"/>
        </w:rPr>
        <w:t>re-</w:t>
      </w:r>
      <w:r w:rsidR="006634C6" w:rsidRPr="00737946">
        <w:rPr>
          <w:rFonts w:ascii="Arial" w:hAnsi="Arial" w:cs="Arial"/>
          <w:sz w:val="22"/>
          <w:szCs w:val="22"/>
        </w:rPr>
        <w:t>submission</w:t>
      </w:r>
      <w:r w:rsidR="00122336" w:rsidRPr="00737946">
        <w:rPr>
          <w:rFonts w:ascii="Arial" w:hAnsi="Arial" w:cs="Arial"/>
          <w:sz w:val="22"/>
          <w:szCs w:val="22"/>
        </w:rPr>
        <w:t>’s</w:t>
      </w:r>
      <w:r w:rsidR="006634C6" w:rsidRPr="00737946">
        <w:rPr>
          <w:rFonts w:ascii="Arial" w:hAnsi="Arial" w:cs="Arial"/>
          <w:sz w:val="22"/>
          <w:szCs w:val="22"/>
        </w:rPr>
        <w:t xml:space="preserve"> </w:t>
      </w:r>
      <w:r w:rsidR="00122336" w:rsidRPr="00737946">
        <w:rPr>
          <w:rFonts w:ascii="Arial" w:hAnsi="Arial" w:cs="Arial"/>
          <w:sz w:val="22"/>
          <w:szCs w:val="22"/>
        </w:rPr>
        <w:t xml:space="preserve">clinical </w:t>
      </w:r>
      <w:r w:rsidR="006634C6" w:rsidRPr="00737946">
        <w:rPr>
          <w:rFonts w:ascii="Arial" w:hAnsi="Arial" w:cs="Arial"/>
          <w:sz w:val="22"/>
          <w:szCs w:val="22"/>
        </w:rPr>
        <w:t>claims</w:t>
      </w:r>
      <w:r w:rsidR="00122336" w:rsidRPr="00737946">
        <w:rPr>
          <w:rFonts w:ascii="Arial" w:hAnsi="Arial" w:cs="Arial"/>
          <w:sz w:val="22"/>
          <w:szCs w:val="22"/>
        </w:rPr>
        <w:t>.</w:t>
      </w:r>
      <w:r w:rsidR="006634C6" w:rsidRPr="0069384D">
        <w:rPr>
          <w:rFonts w:ascii="Arial" w:hAnsi="Arial" w:cs="Arial"/>
          <w:sz w:val="22"/>
          <w:szCs w:val="22"/>
        </w:rPr>
        <w:t xml:space="preserve"> </w:t>
      </w:r>
      <w:r w:rsidR="00332C35" w:rsidRPr="0069384D">
        <w:rPr>
          <w:rFonts w:ascii="Arial" w:hAnsi="Arial" w:cs="Arial"/>
          <w:sz w:val="22"/>
          <w:szCs w:val="22"/>
        </w:rPr>
        <w:t>However, the Committee did not</w:t>
      </w:r>
      <w:r w:rsidR="00122336" w:rsidRPr="0069384D">
        <w:rPr>
          <w:rFonts w:ascii="Arial" w:hAnsi="Arial" w:cs="Arial"/>
          <w:sz w:val="22"/>
          <w:szCs w:val="22"/>
        </w:rPr>
        <w:t xml:space="preserve"> accept the c</w:t>
      </w:r>
      <w:r w:rsidR="00332C35" w:rsidRPr="0069384D">
        <w:rPr>
          <w:rFonts w:ascii="Arial" w:hAnsi="Arial" w:cs="Arial"/>
          <w:sz w:val="22"/>
          <w:szCs w:val="22"/>
        </w:rPr>
        <w:t>urrent price offer for initial</w:t>
      </w:r>
      <w:r w:rsidR="00122336" w:rsidRPr="0069384D">
        <w:rPr>
          <w:rFonts w:ascii="Arial" w:hAnsi="Arial" w:cs="Arial"/>
          <w:sz w:val="22"/>
          <w:szCs w:val="22"/>
        </w:rPr>
        <w:t xml:space="preserve"> PBS listing</w:t>
      </w:r>
      <w:r w:rsidR="00332C35" w:rsidRPr="0069384D">
        <w:rPr>
          <w:rFonts w:ascii="Arial" w:hAnsi="Arial" w:cs="Arial"/>
          <w:sz w:val="22"/>
          <w:szCs w:val="22"/>
        </w:rPr>
        <w:t xml:space="preserve"> as it was not justified on the basis of the evidence presented.</w:t>
      </w:r>
      <w:r w:rsidR="00122336" w:rsidRPr="0069384D">
        <w:rPr>
          <w:rFonts w:ascii="Arial" w:hAnsi="Arial" w:cs="Arial"/>
          <w:sz w:val="22"/>
          <w:szCs w:val="22"/>
        </w:rPr>
        <w:t xml:space="preserve"> </w:t>
      </w:r>
      <w:r w:rsidR="00332C35" w:rsidRPr="0069384D">
        <w:rPr>
          <w:rFonts w:ascii="Arial" w:hAnsi="Arial" w:cs="Arial"/>
          <w:sz w:val="22"/>
          <w:szCs w:val="22"/>
        </w:rPr>
        <w:t>The PBAC recommended</w:t>
      </w:r>
      <w:r w:rsidR="00122336" w:rsidRPr="0069384D">
        <w:rPr>
          <w:rFonts w:ascii="Arial" w:hAnsi="Arial" w:cs="Arial"/>
          <w:sz w:val="22"/>
          <w:szCs w:val="22"/>
        </w:rPr>
        <w:t xml:space="preserve"> that LDX </w:t>
      </w:r>
      <w:r w:rsidR="00332C35" w:rsidRPr="0069384D">
        <w:rPr>
          <w:rFonts w:ascii="Arial" w:hAnsi="Arial" w:cs="Arial"/>
          <w:sz w:val="22"/>
          <w:szCs w:val="22"/>
        </w:rPr>
        <w:t xml:space="preserve">could </w:t>
      </w:r>
      <w:r w:rsidR="00122336" w:rsidRPr="0069384D">
        <w:rPr>
          <w:rFonts w:ascii="Arial" w:hAnsi="Arial" w:cs="Arial"/>
          <w:sz w:val="22"/>
          <w:szCs w:val="22"/>
        </w:rPr>
        <w:t>initially be l</w:t>
      </w:r>
      <w:r w:rsidR="00B93F12" w:rsidRPr="0069384D">
        <w:rPr>
          <w:rFonts w:ascii="Arial" w:hAnsi="Arial" w:cs="Arial"/>
          <w:sz w:val="22"/>
          <w:szCs w:val="22"/>
        </w:rPr>
        <w:t xml:space="preserve">isted at the </w:t>
      </w:r>
      <w:r w:rsidR="00332C35" w:rsidRPr="0069384D">
        <w:rPr>
          <w:rFonts w:ascii="Arial" w:hAnsi="Arial" w:cs="Arial"/>
          <w:sz w:val="22"/>
          <w:szCs w:val="22"/>
        </w:rPr>
        <w:t>price that is cost-minimised to MPH-OROS</w:t>
      </w:r>
      <w:r w:rsidR="00122336" w:rsidRPr="0069384D">
        <w:rPr>
          <w:rFonts w:ascii="Arial" w:hAnsi="Arial" w:cs="Arial"/>
          <w:sz w:val="22"/>
          <w:szCs w:val="22"/>
        </w:rPr>
        <w:t xml:space="preserve">, </w:t>
      </w:r>
      <w:r w:rsidR="00332C35" w:rsidRPr="0069384D">
        <w:rPr>
          <w:rFonts w:ascii="Arial" w:hAnsi="Arial" w:cs="Arial"/>
          <w:sz w:val="22"/>
          <w:szCs w:val="22"/>
        </w:rPr>
        <w:t>and that this price could</w:t>
      </w:r>
      <w:r w:rsidR="00122336" w:rsidRPr="0069384D">
        <w:rPr>
          <w:rFonts w:ascii="Arial" w:hAnsi="Arial" w:cs="Arial"/>
          <w:sz w:val="22"/>
          <w:szCs w:val="22"/>
        </w:rPr>
        <w:t xml:space="preserve"> be re-assessed based on any evidence of superiority presented in a</w:t>
      </w:r>
      <w:r w:rsidR="006634C6" w:rsidRPr="0069384D">
        <w:rPr>
          <w:rFonts w:ascii="Arial" w:hAnsi="Arial" w:cs="Arial"/>
          <w:sz w:val="22"/>
          <w:szCs w:val="22"/>
        </w:rPr>
        <w:t xml:space="preserve"> future submission to PBAC</w:t>
      </w:r>
      <w:r w:rsidR="00122336" w:rsidRPr="0069384D">
        <w:rPr>
          <w:rFonts w:ascii="Arial" w:hAnsi="Arial" w:cs="Arial"/>
          <w:sz w:val="22"/>
          <w:szCs w:val="22"/>
        </w:rPr>
        <w:t>.</w:t>
      </w:r>
      <w:r w:rsidR="006634C6" w:rsidRPr="0069384D">
        <w:rPr>
          <w:rFonts w:ascii="Arial" w:hAnsi="Arial" w:cs="Arial"/>
          <w:sz w:val="22"/>
          <w:szCs w:val="22"/>
        </w:rPr>
        <w:t xml:space="preserve"> </w:t>
      </w:r>
    </w:p>
    <w:p w:rsidR="0046332E" w:rsidRDefault="0046332E" w:rsidP="00FD4728">
      <w:pPr>
        <w:pStyle w:val="ListParagraph"/>
        <w:rPr>
          <w:rFonts w:ascii="Arial" w:hAnsi="Arial" w:cs="Arial"/>
          <w:color w:val="FF0000"/>
          <w:sz w:val="22"/>
          <w:szCs w:val="22"/>
        </w:rPr>
      </w:pPr>
    </w:p>
    <w:p w:rsidR="0046332E" w:rsidRPr="00BB7EC3" w:rsidRDefault="0046332E" w:rsidP="0046332E">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46332E" w:rsidRDefault="0046332E" w:rsidP="0046332E">
      <w:pPr>
        <w:jc w:val="both"/>
        <w:rPr>
          <w:rFonts w:ascii="Arial" w:hAnsi="Arial"/>
          <w:b/>
          <w:i/>
          <w:sz w:val="22"/>
          <w:szCs w:val="22"/>
        </w:rPr>
      </w:pPr>
    </w:p>
    <w:p w:rsidR="0046332E" w:rsidRPr="00882085" w:rsidRDefault="0046332E" w:rsidP="0046332E">
      <w:pPr>
        <w:ind w:left="720" w:hanging="720"/>
        <w:jc w:val="both"/>
        <w:rPr>
          <w:rFonts w:ascii="Arial" w:hAnsi="Arial"/>
          <w:b/>
          <w:i/>
          <w:sz w:val="22"/>
          <w:szCs w:val="22"/>
        </w:rPr>
      </w:pPr>
      <w:r w:rsidRPr="00882085">
        <w:rPr>
          <w:rFonts w:ascii="Arial" w:hAnsi="Arial"/>
          <w:b/>
          <w:i/>
          <w:sz w:val="22"/>
          <w:szCs w:val="22"/>
        </w:rPr>
        <w:t>Estimated PBS usage &amp; financial implications</w:t>
      </w:r>
    </w:p>
    <w:p w:rsidR="0046332E" w:rsidRDefault="0046332E" w:rsidP="0046332E">
      <w:pPr>
        <w:pStyle w:val="ListParagraph"/>
        <w:rPr>
          <w:rFonts w:ascii="Arial" w:hAnsi="Arial" w:cs="Arial"/>
          <w:color w:val="FF0000"/>
          <w:sz w:val="22"/>
          <w:szCs w:val="22"/>
        </w:rPr>
      </w:pPr>
    </w:p>
    <w:p w:rsidR="00E01AB1" w:rsidRPr="00FC6E89" w:rsidRDefault="0046332E" w:rsidP="00243655">
      <w:pPr>
        <w:pStyle w:val="ListParagraph"/>
        <w:numPr>
          <w:ilvl w:val="1"/>
          <w:numId w:val="25"/>
        </w:numPr>
        <w:ind w:left="709" w:hanging="709"/>
        <w:jc w:val="both"/>
        <w:rPr>
          <w:rFonts w:ascii="Arial" w:hAnsi="Arial"/>
          <w:sz w:val="22"/>
          <w:szCs w:val="22"/>
        </w:rPr>
      </w:pPr>
      <w:r w:rsidRPr="00FC6E89">
        <w:rPr>
          <w:rFonts w:ascii="Arial" w:hAnsi="Arial" w:cs="Arial"/>
          <w:sz w:val="22"/>
          <w:szCs w:val="22"/>
        </w:rPr>
        <w:t>This submission was not considered by DUSC.</w:t>
      </w:r>
      <w:r w:rsidRPr="00FC6E89">
        <w:rPr>
          <w:rFonts w:ascii="Arial" w:hAnsi="Arial" w:cs="Arial"/>
          <w:color w:val="FF0000"/>
          <w:sz w:val="22"/>
          <w:szCs w:val="22"/>
        </w:rPr>
        <w:t xml:space="preserve"> </w:t>
      </w:r>
    </w:p>
    <w:p w:rsidR="00E01AB1" w:rsidRPr="00B675DB" w:rsidRDefault="00E01AB1" w:rsidP="00D3575F">
      <w:pPr>
        <w:pStyle w:val="ListParagraph"/>
        <w:ind w:left="709"/>
        <w:jc w:val="both"/>
        <w:rPr>
          <w:rFonts w:ascii="Arial" w:hAnsi="Arial" w:cs="Arial"/>
          <w:sz w:val="22"/>
          <w:szCs w:val="22"/>
          <w:highlight w:val="lightGray"/>
        </w:rPr>
      </w:pPr>
    </w:p>
    <w:p w:rsidR="00911D93" w:rsidRPr="00136DB8" w:rsidRDefault="00136DB8" w:rsidP="00136DB8">
      <w:pPr>
        <w:ind w:left="709" w:hanging="709"/>
        <w:jc w:val="both"/>
        <w:rPr>
          <w:rFonts w:ascii="Arial" w:hAnsi="Arial"/>
          <w:sz w:val="22"/>
          <w:szCs w:val="22"/>
          <w:highlight w:val="black"/>
        </w:rPr>
      </w:pPr>
      <w:r>
        <w:rPr>
          <w:rFonts w:ascii="Arial" w:hAnsi="Arial"/>
          <w:noProof/>
          <w:color w:val="000000"/>
          <w:sz w:val="22"/>
          <w:szCs w:val="22"/>
          <w:highlight w:val="black"/>
        </w:rPr>
        <w:t xml:space="preserve">'''''''''''''''''' ''''''''''''''''''''''' ''''''''' '''''''''' '''''''''''''''''' '''''''''''''''''''''''''''' ''''''''' ''''''''''''''' '''''''''''''''  </w:t>
      </w:r>
    </w:p>
    <w:p w:rsidR="00911D93" w:rsidRPr="00136DB8" w:rsidRDefault="00911D93" w:rsidP="00911D93">
      <w:pPr>
        <w:pStyle w:val="ListParagraph"/>
        <w:ind w:left="709"/>
        <w:jc w:val="both"/>
        <w:rPr>
          <w:rFonts w:ascii="Arial" w:hAnsi="Arial" w:cs="Arial"/>
          <w:sz w:val="22"/>
          <w:szCs w:val="22"/>
        </w:rPr>
      </w:pPr>
    </w:p>
    <w:tbl>
      <w:tblPr>
        <w:tblW w:w="921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35"/>
        <w:gridCol w:w="1276"/>
        <w:gridCol w:w="1276"/>
        <w:gridCol w:w="1276"/>
        <w:gridCol w:w="1275"/>
        <w:gridCol w:w="1272"/>
      </w:tblGrid>
      <w:tr w:rsidR="00911D93" w:rsidRPr="00243548" w:rsidTr="009061DF">
        <w:trPr>
          <w:tblHeader/>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11D93" w:rsidRPr="00136DB8" w:rsidRDefault="00911D93" w:rsidP="009061DF">
            <w:pPr>
              <w:tabs>
                <w:tab w:val="left" w:pos="142"/>
              </w:tabs>
              <w:snapToGrid w:val="0"/>
              <w:rPr>
                <w:rFonts w:ascii="Arial Narrow" w:hAnsi="Arial Narrow" w:cs="Arial"/>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D93" w:rsidRPr="00136DB8" w:rsidRDefault="00136DB8" w:rsidP="009061DF">
            <w:pPr>
              <w:snapToGrid w:val="0"/>
              <w:jc w:val="center"/>
              <w:rPr>
                <w:rFonts w:ascii="Arial Narrow" w:hAnsi="Arial Narrow" w:cs="Arial"/>
                <w:b/>
                <w:sz w:val="20"/>
                <w:szCs w:val="20"/>
                <w:highlight w:val="black"/>
              </w:rPr>
            </w:pPr>
            <w:r>
              <w:rPr>
                <w:rFonts w:ascii="Arial Narrow" w:hAnsi="Arial Narrow" w:cs="Arial"/>
                <w:b/>
                <w:noProof/>
                <w:color w:val="000000"/>
                <w:sz w:val="20"/>
                <w:szCs w:val="20"/>
                <w:highlight w:val="black"/>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D93" w:rsidRPr="00136DB8" w:rsidRDefault="00136DB8" w:rsidP="009061DF">
            <w:pPr>
              <w:snapToGrid w:val="0"/>
              <w:jc w:val="center"/>
              <w:rPr>
                <w:rFonts w:ascii="Arial Narrow" w:hAnsi="Arial Narrow" w:cs="Arial"/>
                <w:b/>
                <w:sz w:val="20"/>
                <w:szCs w:val="20"/>
                <w:highlight w:val="black"/>
              </w:rPr>
            </w:pPr>
            <w:r>
              <w:rPr>
                <w:rFonts w:ascii="Arial Narrow" w:hAnsi="Arial Narrow" w:cs="Arial"/>
                <w:b/>
                <w:noProof/>
                <w:color w:val="000000"/>
                <w:sz w:val="20"/>
                <w:szCs w:val="20"/>
                <w:highlight w:val="black"/>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D93" w:rsidRPr="00136DB8" w:rsidRDefault="00136DB8" w:rsidP="009061DF">
            <w:pPr>
              <w:snapToGrid w:val="0"/>
              <w:jc w:val="center"/>
              <w:rPr>
                <w:rFonts w:ascii="Arial Narrow" w:hAnsi="Arial Narrow" w:cs="Arial"/>
                <w:b/>
                <w:sz w:val="20"/>
                <w:szCs w:val="20"/>
                <w:highlight w:val="black"/>
              </w:rPr>
            </w:pPr>
            <w:r>
              <w:rPr>
                <w:rFonts w:ascii="Arial Narrow" w:hAnsi="Arial Narrow" w:cs="Arial"/>
                <w:b/>
                <w:noProof/>
                <w:color w:val="000000"/>
                <w:sz w:val="20"/>
                <w:szCs w:val="20"/>
                <w:highlight w:val="black"/>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D93" w:rsidRPr="00136DB8" w:rsidRDefault="00136DB8" w:rsidP="009061DF">
            <w:pPr>
              <w:snapToGrid w:val="0"/>
              <w:jc w:val="center"/>
              <w:rPr>
                <w:rFonts w:ascii="Arial Narrow" w:hAnsi="Arial Narrow" w:cs="Arial"/>
                <w:b/>
                <w:sz w:val="20"/>
                <w:szCs w:val="20"/>
                <w:highlight w:val="black"/>
              </w:rPr>
            </w:pPr>
            <w:r>
              <w:rPr>
                <w:rFonts w:ascii="Arial Narrow" w:hAnsi="Arial Narrow" w:cs="Arial"/>
                <w:b/>
                <w:noProof/>
                <w:color w:val="000000"/>
                <w:sz w:val="20"/>
                <w:szCs w:val="20"/>
                <w:highlight w:val="black"/>
              </w:rPr>
              <w:t>'''''''''' '''</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D93" w:rsidRPr="00136DB8" w:rsidRDefault="00136DB8" w:rsidP="009061DF">
            <w:pPr>
              <w:snapToGrid w:val="0"/>
              <w:jc w:val="center"/>
              <w:rPr>
                <w:rFonts w:ascii="Arial Narrow" w:hAnsi="Arial Narrow" w:cs="Arial"/>
                <w:b/>
                <w:sz w:val="20"/>
                <w:szCs w:val="20"/>
                <w:highlight w:val="black"/>
              </w:rPr>
            </w:pPr>
            <w:r>
              <w:rPr>
                <w:rFonts w:ascii="Arial Narrow" w:hAnsi="Arial Narrow" w:cs="Arial"/>
                <w:b/>
                <w:noProof/>
                <w:color w:val="000000"/>
                <w:sz w:val="20"/>
                <w:szCs w:val="20"/>
                <w:highlight w:val="black"/>
              </w:rPr>
              <w:t>'''''''''' '''</w:t>
            </w:r>
          </w:p>
        </w:tc>
      </w:tr>
      <w:tr w:rsidR="00911D93" w:rsidRPr="00243548" w:rsidTr="009061DF">
        <w:tc>
          <w:tcPr>
            <w:tcW w:w="9210" w:type="dxa"/>
            <w:gridSpan w:val="6"/>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11D93" w:rsidRPr="00136DB8" w:rsidRDefault="00136DB8" w:rsidP="009061DF">
            <w:pPr>
              <w:snapToGrid w:val="0"/>
              <w:rPr>
                <w:rFonts w:ascii="Arial Narrow" w:hAnsi="Arial Narrow" w:cs="Arial"/>
                <w:b/>
                <w:bCs/>
                <w:color w:val="000000"/>
                <w:sz w:val="20"/>
                <w:szCs w:val="20"/>
                <w:highlight w:val="black"/>
              </w:rPr>
            </w:pPr>
            <w:r>
              <w:rPr>
                <w:rFonts w:ascii="Arial Narrow" w:hAnsi="Arial Narrow" w:cs="Arial"/>
                <w:b/>
                <w:bCs/>
                <w:noProof/>
                <w:color w:val="000000"/>
                <w:sz w:val="20"/>
                <w:szCs w:val="20"/>
                <w:highlight w:val="black"/>
              </w:rPr>
              <w:t>''''''''''''''''''''''' '''' ''''''' '''''''' '''''''' ''''' ''''''''''</w:t>
            </w:r>
          </w:p>
        </w:tc>
      </w:tr>
      <w:tr w:rsidR="00911D93" w:rsidRPr="00243548" w:rsidTr="009061DF">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11D93" w:rsidRPr="00136DB8" w:rsidRDefault="00136DB8" w:rsidP="009061DF">
            <w:pPr>
              <w:rPr>
                <w:rFonts w:ascii="Arial Narrow" w:hAnsi="Arial Narrow" w:cs="Arial"/>
                <w:b/>
                <w:sz w:val="20"/>
                <w:szCs w:val="20"/>
                <w:highlight w:val="black"/>
              </w:rPr>
            </w:pPr>
            <w:r>
              <w:rPr>
                <w:rFonts w:ascii="Arial Narrow" w:hAnsi="Arial Narrow" w:cs="Arial"/>
                <w:b/>
                <w:noProof/>
                <w:color w:val="000000"/>
                <w:sz w:val="20"/>
                <w:szCs w:val="20"/>
                <w:highlight w:val="black"/>
              </w:rPr>
              <w:t>'''''''''' ''''''''''''''''''''''''''' '''' ''''''''' '''''''''''''''''''' '''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b/>
                <w:sz w:val="20"/>
                <w:szCs w:val="20"/>
                <w:highlight w:val="black"/>
              </w:rPr>
            </w:pPr>
            <w:r>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b/>
                <w:sz w:val="20"/>
                <w:szCs w:val="20"/>
                <w:highlight w:val="black"/>
              </w:rPr>
            </w:pPr>
            <w:r>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b/>
                <w:sz w:val="20"/>
                <w:szCs w:val="20"/>
                <w:highlight w:val="black"/>
              </w:rPr>
            </w:pPr>
            <w:r>
              <w:rPr>
                <w:rFonts w:ascii="Arial Narrow" w:hAnsi="Arial Narrow" w:cs="Arial"/>
                <w:noProof/>
                <w:color w:val="000000"/>
                <w:sz w:val="20"/>
                <w:szCs w:val="20"/>
                <w:highlight w:val="black"/>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b/>
                <w:sz w:val="20"/>
                <w:szCs w:val="20"/>
                <w:highlight w:val="black"/>
              </w:rPr>
            </w:pPr>
            <w:r>
              <w:rPr>
                <w:rFonts w:ascii="Arial Narrow" w:hAnsi="Arial Narrow" w:cs="Arial"/>
                <w:noProof/>
                <w:color w:val="000000"/>
                <w:sz w:val="20"/>
                <w:szCs w:val="20"/>
                <w:highlight w:val="black"/>
              </w:rPr>
              <w:t>''''''''''''''''''''</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b/>
                <w:sz w:val="20"/>
                <w:szCs w:val="20"/>
                <w:highlight w:val="black"/>
              </w:rPr>
            </w:pPr>
            <w:r>
              <w:rPr>
                <w:rFonts w:ascii="Arial Narrow" w:hAnsi="Arial Narrow" w:cs="Arial"/>
                <w:noProof/>
                <w:color w:val="000000"/>
                <w:sz w:val="20"/>
                <w:szCs w:val="20"/>
                <w:highlight w:val="black"/>
              </w:rPr>
              <w:t>''''''''''''''''''''</w:t>
            </w:r>
          </w:p>
        </w:tc>
      </w:tr>
      <w:tr w:rsidR="00911D93" w:rsidRPr="00243548" w:rsidTr="009061DF">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11D93" w:rsidRPr="00136DB8" w:rsidRDefault="00136DB8" w:rsidP="009061DF">
            <w:pPr>
              <w:tabs>
                <w:tab w:val="left" w:pos="142"/>
              </w:tabs>
              <w:snapToGrid w:val="0"/>
              <w:ind w:left="114"/>
              <w:rPr>
                <w:rFonts w:ascii="Arial Narrow" w:hAnsi="Arial Narrow" w:cs="Arial"/>
                <w:sz w:val="20"/>
                <w:szCs w:val="20"/>
                <w:highlight w:val="black"/>
              </w:rPr>
            </w:pPr>
            <w:r>
              <w:rPr>
                <w:rFonts w:ascii="Arial Narrow" w:hAnsi="Arial Narrow" w:cs="Arial"/>
                <w:noProof/>
                <w:color w:val="000000"/>
                <w:sz w:val="20"/>
                <w:szCs w:val="20"/>
                <w:highlight w:val="black"/>
              </w:rPr>
              <w:t>'''''''''''' ''''''''''''''''''''''''''''''' '''' ''''''''''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911D93" w:rsidRPr="00243548" w:rsidTr="009061DF">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11D93" w:rsidRPr="00136DB8" w:rsidRDefault="00136DB8" w:rsidP="009061DF">
            <w:pPr>
              <w:tabs>
                <w:tab w:val="left" w:pos="142"/>
              </w:tabs>
              <w:snapToGrid w:val="0"/>
              <w:ind w:left="114"/>
              <w:rPr>
                <w:rFonts w:ascii="Arial Narrow" w:hAnsi="Arial Narrow" w:cs="Arial"/>
                <w:sz w:val="20"/>
                <w:szCs w:val="20"/>
                <w:highlight w:val="black"/>
                <w:vertAlign w:val="superscript"/>
              </w:rPr>
            </w:pPr>
            <w:r>
              <w:rPr>
                <w:rFonts w:ascii="Arial Narrow" w:hAnsi="Arial Narrow" w:cs="Arial"/>
                <w:noProof/>
                <w:color w:val="000000"/>
                <w:sz w:val="20"/>
                <w:szCs w:val="20"/>
                <w:highlight w:val="black"/>
              </w:rPr>
              <w:lastRenderedPageBreak/>
              <w:t>'''''''''''' ''''''''''''''''''''''''''''''' '''' ''''''''''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911D93" w:rsidRPr="00243548" w:rsidTr="009061DF">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11D93" w:rsidRPr="00136DB8" w:rsidRDefault="00136DB8" w:rsidP="009061DF">
            <w:pPr>
              <w:tabs>
                <w:tab w:val="left" w:pos="142"/>
              </w:tabs>
              <w:snapToGrid w:val="0"/>
              <w:rPr>
                <w:rFonts w:ascii="Arial Narrow" w:hAnsi="Arial Narrow" w:cs="Arial"/>
                <w:sz w:val="20"/>
                <w:szCs w:val="20"/>
                <w:highlight w:val="black"/>
              </w:rPr>
            </w:pPr>
            <w:r>
              <w:rPr>
                <w:rFonts w:ascii="Arial Narrow" w:hAnsi="Arial Narrow" w:cs="Arial"/>
                <w:b/>
                <w:noProof/>
                <w:color w:val="000000"/>
                <w:sz w:val="20"/>
                <w:szCs w:val="20"/>
                <w:highlight w:val="black"/>
              </w:rPr>
              <w:t>'''''''''''' '''''''''' '''''''''' ''''''''''''' '''''''''''''''''''''''' ''''''' '''''''''''''' ''''''''''''''''''''' ''''''''''' '''''''''''''''' '''''''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911D93" w:rsidRPr="00243548" w:rsidTr="009061DF">
        <w:tc>
          <w:tcPr>
            <w:tcW w:w="2835"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tabs>
                <w:tab w:val="left" w:pos="142"/>
              </w:tabs>
              <w:snapToGrid w:val="0"/>
              <w:ind w:left="114"/>
              <w:rPr>
                <w:rFonts w:ascii="Arial Narrow" w:hAnsi="Arial Narrow" w:cs="Arial"/>
                <w:b/>
                <w:sz w:val="20"/>
                <w:szCs w:val="20"/>
                <w:highlight w:val="black"/>
              </w:rPr>
            </w:pPr>
            <w:r>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911D93" w:rsidRPr="00243548" w:rsidTr="009061DF">
        <w:tc>
          <w:tcPr>
            <w:tcW w:w="2835"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tabs>
                <w:tab w:val="left" w:pos="142"/>
              </w:tabs>
              <w:snapToGrid w:val="0"/>
              <w:ind w:left="114"/>
              <w:rPr>
                <w:rFonts w:ascii="Arial Narrow" w:hAnsi="Arial Narrow" w:cs="Arial"/>
                <w:b/>
                <w:sz w:val="20"/>
                <w:szCs w:val="20"/>
                <w:highlight w:val="black"/>
              </w:rPr>
            </w:pPr>
            <w:r>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911D93" w:rsidRPr="00243548" w:rsidTr="009061DF">
        <w:tc>
          <w:tcPr>
            <w:tcW w:w="9210" w:type="dxa"/>
            <w:gridSpan w:val="6"/>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11D93" w:rsidRPr="00136DB8" w:rsidRDefault="00136DB8" w:rsidP="009061DF">
            <w:pPr>
              <w:snapToGrid w:val="0"/>
              <w:rPr>
                <w:rFonts w:ascii="Arial Narrow" w:hAnsi="Arial Narrow" w:cs="Arial"/>
                <w:b/>
                <w:color w:val="000000"/>
                <w:sz w:val="20"/>
                <w:szCs w:val="20"/>
                <w:highlight w:val="black"/>
              </w:rPr>
            </w:pPr>
            <w:r>
              <w:rPr>
                <w:rFonts w:ascii="Arial Narrow" w:hAnsi="Arial Narrow" w:cs="Arial"/>
                <w:b/>
                <w:noProof/>
                <w:color w:val="000000"/>
                <w:sz w:val="20"/>
                <w:szCs w:val="20"/>
                <w:highlight w:val="black"/>
              </w:rPr>
              <w:t>'''''''''''''''''''' '''''' '''''''''' '''' ''''''''''''''''''''''''''''''''</w:t>
            </w:r>
          </w:p>
        </w:tc>
      </w:tr>
      <w:tr w:rsidR="00911D93" w:rsidRPr="00243548" w:rsidTr="009061DF">
        <w:tc>
          <w:tcPr>
            <w:tcW w:w="92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11D93" w:rsidRPr="00136DB8" w:rsidRDefault="00136DB8" w:rsidP="009061DF">
            <w:pPr>
              <w:snapToGrid w:val="0"/>
              <w:rPr>
                <w:rFonts w:ascii="Arial Narrow" w:hAnsi="Arial Narrow" w:cs="Arial"/>
                <w:sz w:val="20"/>
                <w:szCs w:val="20"/>
                <w:highlight w:val="black"/>
              </w:rPr>
            </w:pPr>
            <w:r>
              <w:rPr>
                <w:rFonts w:ascii="Arial Narrow" w:hAnsi="Arial Narrow" w:cs="Arial"/>
                <w:noProof/>
                <w:color w:val="000000"/>
                <w:sz w:val="20"/>
                <w:szCs w:val="20"/>
                <w:highlight w:val="black"/>
              </w:rPr>
              <w:t>'''''''' '''''''''''''''''''' ''''''''''''''' ''''''''' ''''' '''''''''''''''' '''''''''''''''''' ''''''''''' ''''''''''''''''' '''''''''' '''' '''''''' '''''''''''''''''' ''''''''''''''''''''''' ''''''''''''''''' '''''''' ''''''''''''''</w:t>
            </w:r>
          </w:p>
        </w:tc>
      </w:tr>
      <w:tr w:rsidR="00911D93" w:rsidRPr="00243548" w:rsidTr="009061DF">
        <w:tc>
          <w:tcPr>
            <w:tcW w:w="2835"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tabs>
                <w:tab w:val="left" w:pos="142"/>
              </w:tabs>
              <w:snapToGrid w:val="0"/>
              <w:ind w:left="114"/>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911D93" w:rsidRPr="00243548" w:rsidTr="009061DF">
        <w:tc>
          <w:tcPr>
            <w:tcW w:w="2835"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tabs>
                <w:tab w:val="left" w:pos="142"/>
              </w:tabs>
              <w:snapToGrid w:val="0"/>
              <w:ind w:left="114"/>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911D93" w:rsidRPr="00243548" w:rsidTr="009061DF">
        <w:tc>
          <w:tcPr>
            <w:tcW w:w="2835"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tabs>
                <w:tab w:val="left" w:pos="142"/>
              </w:tabs>
              <w:snapToGrid w:val="0"/>
              <w:rPr>
                <w:rFonts w:ascii="Arial Narrow" w:hAnsi="Arial Narrow" w:cs="Arial"/>
                <w:sz w:val="20"/>
                <w:szCs w:val="20"/>
                <w:highlight w:val="black"/>
              </w:rPr>
            </w:pPr>
            <w:r>
              <w:rPr>
                <w:rFonts w:ascii="Arial Narrow" w:hAnsi="Arial Narrow" w:cs="Arial"/>
                <w:noProof/>
                <w:color w:val="000000"/>
                <w:sz w:val="20"/>
                <w:szCs w:val="20"/>
                <w:highlight w:val="black"/>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sz w:val="20"/>
                <w:szCs w:val="20"/>
                <w:highlight w:val="black"/>
              </w:rPr>
            </w:pPr>
            <w:r>
              <w:rPr>
                <w:rFonts w:ascii="Arial Narrow" w:hAnsi="Arial Narrow" w:cs="Arial"/>
                <w:b/>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sz w:val="20"/>
                <w:szCs w:val="20"/>
                <w:highlight w:val="black"/>
              </w:rPr>
            </w:pPr>
            <w:r>
              <w:rPr>
                <w:rFonts w:ascii="Arial Narrow" w:hAnsi="Arial Narrow" w:cs="Arial"/>
                <w:b/>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sz w:val="20"/>
                <w:szCs w:val="20"/>
                <w:highlight w:val="black"/>
              </w:rPr>
            </w:pPr>
            <w:r>
              <w:rPr>
                <w:rFonts w:ascii="Arial Narrow" w:hAnsi="Arial Narrow" w:cs="Arial"/>
                <w:b/>
                <w:noProof/>
                <w:color w:val="000000"/>
                <w:sz w:val="20"/>
                <w:szCs w:val="20"/>
                <w:highlight w:val="black"/>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sz w:val="20"/>
                <w:szCs w:val="20"/>
                <w:highlight w:val="black"/>
              </w:rPr>
            </w:pPr>
            <w:r>
              <w:rPr>
                <w:rFonts w:ascii="Arial Narrow" w:hAnsi="Arial Narrow" w:cs="Arial"/>
                <w:b/>
                <w:noProof/>
                <w:color w:val="000000"/>
                <w:sz w:val="20"/>
                <w:szCs w:val="20"/>
                <w:highlight w:val="black"/>
              </w:rPr>
              <w:t>''''''''''''''''''''''</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911D93" w:rsidRPr="00136DB8" w:rsidRDefault="00136DB8" w:rsidP="009061DF">
            <w:pPr>
              <w:snapToGrid w:val="0"/>
              <w:jc w:val="center"/>
              <w:rPr>
                <w:rFonts w:ascii="Arial Narrow" w:hAnsi="Arial Narrow" w:cs="Arial"/>
                <w:sz w:val="20"/>
                <w:szCs w:val="20"/>
                <w:highlight w:val="black"/>
              </w:rPr>
            </w:pPr>
            <w:r>
              <w:rPr>
                <w:rFonts w:ascii="Arial Narrow" w:hAnsi="Arial Narrow" w:cs="Arial"/>
                <w:b/>
                <w:noProof/>
                <w:color w:val="000000"/>
                <w:sz w:val="20"/>
                <w:szCs w:val="20"/>
                <w:highlight w:val="black"/>
              </w:rPr>
              <w:t>'''''''''''''''''''''''</w:t>
            </w:r>
          </w:p>
        </w:tc>
      </w:tr>
    </w:tbl>
    <w:p w:rsidR="00911D93" w:rsidRPr="00136DB8" w:rsidRDefault="00136DB8" w:rsidP="00911D93">
      <w:pPr>
        <w:pStyle w:val="TableFooter"/>
        <w:rPr>
          <w:sz w:val="20"/>
          <w:highlight w:val="black"/>
        </w:rPr>
      </w:pPr>
      <w:r>
        <w:rPr>
          <w:noProof/>
          <w:color w:val="000000"/>
          <w:sz w:val="20"/>
          <w:highlight w:val="black"/>
          <w:vertAlign w:val="superscript"/>
        </w:rPr>
        <w:t>'''' ''''''''''''''''''''' '''''''''''''' ''''''''' ''''''''''' '''''' '''''''''''''''''''''''' '''''' '''''''' '''''''''''''''''''''''''''''</w:t>
      </w:r>
    </w:p>
    <w:p w:rsidR="00911D93" w:rsidRPr="00136DB8" w:rsidRDefault="00136DB8" w:rsidP="00911D93">
      <w:pPr>
        <w:tabs>
          <w:tab w:val="left" w:pos="180"/>
        </w:tabs>
        <w:rPr>
          <w:rFonts w:ascii="Arial Narrow" w:hAnsi="Arial Narrow"/>
          <w:sz w:val="20"/>
          <w:szCs w:val="20"/>
          <w:highlight w:val="black"/>
        </w:rPr>
      </w:pPr>
      <w:r>
        <w:rPr>
          <w:rFonts w:ascii="Arial Narrow" w:hAnsi="Arial Narrow" w:cs="Arial"/>
          <w:noProof/>
          <w:color w:val="000000"/>
          <w:sz w:val="20"/>
          <w:szCs w:val="20"/>
          <w:highlight w:val="black"/>
        </w:rPr>
        <w:t>'''''''''''''''''''' ''''''''''''''''' '''''''''''''''''''''''' '''' '''''''' '''''''''''''''''''''''''''''</w:t>
      </w:r>
    </w:p>
    <w:p w:rsidR="00911D93" w:rsidRPr="00FC6E89" w:rsidRDefault="00911D93" w:rsidP="00911D93">
      <w:pPr>
        <w:pStyle w:val="ListParagraph"/>
        <w:ind w:left="709"/>
        <w:jc w:val="both"/>
        <w:rPr>
          <w:rFonts w:ascii="Arial" w:hAnsi="Arial" w:cs="Arial"/>
          <w:sz w:val="22"/>
          <w:szCs w:val="22"/>
        </w:rPr>
      </w:pPr>
    </w:p>
    <w:p w:rsidR="0046332E" w:rsidRPr="004D3474" w:rsidRDefault="00911D93" w:rsidP="0046332E">
      <w:pPr>
        <w:pStyle w:val="ListParagraph"/>
        <w:numPr>
          <w:ilvl w:val="1"/>
          <w:numId w:val="25"/>
        </w:numPr>
        <w:ind w:left="709" w:hanging="709"/>
        <w:jc w:val="both"/>
        <w:rPr>
          <w:rStyle w:val="CommentReference"/>
          <w:rFonts w:ascii="Arial" w:hAnsi="Arial"/>
          <w:sz w:val="22"/>
          <w:szCs w:val="22"/>
        </w:rPr>
      </w:pPr>
      <w:r w:rsidRPr="00FC6E89">
        <w:rPr>
          <w:rFonts w:ascii="Arial" w:hAnsi="Arial" w:cs="Arial"/>
          <w:sz w:val="22"/>
          <w:szCs w:val="22"/>
        </w:rPr>
        <w:t xml:space="preserve">The biggest impact on expenditure would be if PBS listing Option 2 is implemented thereby restricting LDX to second-line use only. In this case, the expected uptake of LDX is expected to be reduced by </w:t>
      </w:r>
      <w:r w:rsidR="00136DB8">
        <w:rPr>
          <w:rFonts w:ascii="Arial" w:hAnsi="Arial" w:cs="Arial"/>
          <w:noProof/>
          <w:color w:val="000000"/>
          <w:sz w:val="22"/>
          <w:szCs w:val="22"/>
          <w:highlight w:val="black"/>
        </w:rPr>
        <w:t>'''''' ''''' ''''''''''''</w:t>
      </w:r>
      <w:r w:rsidRPr="00FC6E89">
        <w:rPr>
          <w:rFonts w:ascii="Arial" w:hAnsi="Arial" w:cs="Arial"/>
          <w:sz w:val="22"/>
          <w:szCs w:val="22"/>
        </w:rPr>
        <w:t xml:space="preserve"> because this reflects the proportion of patients who will respond to MPH and therefore not be eligible for LDX on the PBS.  The net financial impact of a PBS of listing for LDX in the second-line setting assuming </w:t>
      </w:r>
      <w:r w:rsidR="00136DB8">
        <w:rPr>
          <w:rFonts w:ascii="Arial" w:hAnsi="Arial" w:cs="Arial"/>
          <w:noProof/>
          <w:color w:val="000000"/>
          <w:sz w:val="22"/>
          <w:szCs w:val="22"/>
          <w:highlight w:val="black"/>
        </w:rPr>
        <w:t>''''''</w:t>
      </w:r>
      <w:r w:rsidRPr="00FC6E89">
        <w:rPr>
          <w:rFonts w:ascii="Arial" w:hAnsi="Arial" w:cs="Arial"/>
          <w:sz w:val="22"/>
          <w:szCs w:val="22"/>
        </w:rPr>
        <w:t xml:space="preserve">% reduction in uptake is </w:t>
      </w:r>
      <w:r w:rsidR="00136DB8">
        <w:rPr>
          <w:rFonts w:ascii="Arial" w:hAnsi="Arial" w:cs="Arial"/>
          <w:noProof/>
          <w:color w:val="000000"/>
          <w:sz w:val="22"/>
          <w:szCs w:val="22"/>
          <w:highlight w:val="black"/>
        </w:rPr>
        <w:t>''''''''''''''</w:t>
      </w:r>
      <w:r w:rsidRPr="00FC6E89">
        <w:rPr>
          <w:rFonts w:ascii="Arial" w:hAnsi="Arial" w:cs="Arial"/>
          <w:sz w:val="22"/>
          <w:szCs w:val="22"/>
        </w:rPr>
        <w:t xml:space="preserve"> by Year 5 of listing.</w:t>
      </w:r>
    </w:p>
    <w:p w:rsidR="0069384D" w:rsidRDefault="0069384D" w:rsidP="0046332E">
      <w:pPr>
        <w:rPr>
          <w:rStyle w:val="CommentReference"/>
          <w:rFonts w:ascii="Arial" w:hAnsi="Arial" w:cs="Arial"/>
          <w:sz w:val="22"/>
          <w:szCs w:val="22"/>
        </w:rPr>
      </w:pPr>
    </w:p>
    <w:p w:rsidR="00BE5144" w:rsidRPr="0046332E" w:rsidRDefault="00BE5144" w:rsidP="0046332E">
      <w:pPr>
        <w:rPr>
          <w:rStyle w:val="CommentReference"/>
          <w:rFonts w:ascii="Arial" w:hAnsi="Arial" w:cs="Arial"/>
          <w:sz w:val="22"/>
          <w:szCs w:val="22"/>
        </w:rPr>
      </w:pPr>
    </w:p>
    <w:p w:rsidR="00326E79" w:rsidRPr="0069384D" w:rsidRDefault="00A62C1A" w:rsidP="0069384D">
      <w:pPr>
        <w:pStyle w:val="ListParagraph"/>
        <w:numPr>
          <w:ilvl w:val="0"/>
          <w:numId w:val="25"/>
        </w:numPr>
        <w:jc w:val="both"/>
        <w:rPr>
          <w:rFonts w:ascii="Arial" w:hAnsi="Arial"/>
          <w:b/>
          <w:sz w:val="22"/>
          <w:szCs w:val="22"/>
        </w:rPr>
      </w:pPr>
      <w:r w:rsidRPr="0069384D">
        <w:rPr>
          <w:rFonts w:ascii="Arial" w:hAnsi="Arial"/>
          <w:b/>
          <w:sz w:val="22"/>
          <w:szCs w:val="22"/>
        </w:rPr>
        <w:t xml:space="preserve">PBAC </w:t>
      </w:r>
      <w:r w:rsidR="00930937" w:rsidRPr="0069384D">
        <w:rPr>
          <w:rFonts w:ascii="Arial" w:hAnsi="Arial"/>
          <w:b/>
          <w:sz w:val="22"/>
          <w:szCs w:val="22"/>
        </w:rPr>
        <w:t>Outcome</w:t>
      </w:r>
      <w:r w:rsidR="00B43E90" w:rsidRPr="0069384D">
        <w:rPr>
          <w:rFonts w:ascii="Arial" w:hAnsi="Arial"/>
          <w:b/>
          <w:sz w:val="22"/>
          <w:szCs w:val="22"/>
        </w:rPr>
        <w:t xml:space="preserve"> </w:t>
      </w:r>
    </w:p>
    <w:p w:rsidR="00752BEF" w:rsidRPr="00575133" w:rsidRDefault="00752BEF" w:rsidP="00575133">
      <w:pPr>
        <w:pStyle w:val="ListParagraph"/>
        <w:rPr>
          <w:rFonts w:ascii="Arial" w:hAnsi="Arial"/>
          <w:sz w:val="22"/>
          <w:szCs w:val="22"/>
        </w:rPr>
      </w:pPr>
    </w:p>
    <w:p w:rsidR="00F60DFF" w:rsidRPr="0069384D" w:rsidRDefault="00214F87" w:rsidP="00243655">
      <w:pPr>
        <w:pStyle w:val="ListParagraph"/>
        <w:numPr>
          <w:ilvl w:val="1"/>
          <w:numId w:val="25"/>
        </w:numPr>
        <w:ind w:left="709" w:hanging="709"/>
        <w:jc w:val="both"/>
        <w:rPr>
          <w:rFonts w:ascii="Arial" w:hAnsi="Arial"/>
          <w:sz w:val="22"/>
          <w:szCs w:val="22"/>
        </w:rPr>
      </w:pPr>
      <w:r w:rsidRPr="0069384D">
        <w:rPr>
          <w:rFonts w:ascii="Arial" w:hAnsi="Arial"/>
          <w:sz w:val="22"/>
          <w:szCs w:val="22"/>
        </w:rPr>
        <w:t xml:space="preserve">The </w:t>
      </w:r>
      <w:r w:rsidR="00B419BA" w:rsidRPr="0069384D">
        <w:rPr>
          <w:rFonts w:ascii="Arial" w:hAnsi="Arial"/>
          <w:sz w:val="22"/>
          <w:szCs w:val="22"/>
        </w:rPr>
        <w:t xml:space="preserve">PBAC </w:t>
      </w:r>
      <w:r w:rsidRPr="0069384D">
        <w:rPr>
          <w:rFonts w:ascii="Arial" w:hAnsi="Arial"/>
          <w:sz w:val="22"/>
          <w:szCs w:val="22"/>
        </w:rPr>
        <w:t xml:space="preserve">recommended the listing of </w:t>
      </w:r>
      <w:proofErr w:type="spellStart"/>
      <w:r w:rsidRPr="0069384D">
        <w:rPr>
          <w:rFonts w:ascii="Arial" w:hAnsi="Arial"/>
          <w:sz w:val="22"/>
          <w:szCs w:val="22"/>
        </w:rPr>
        <w:t>lisdexamfetamine</w:t>
      </w:r>
      <w:proofErr w:type="spellEnd"/>
      <w:r w:rsidRPr="0069384D">
        <w:rPr>
          <w:rFonts w:ascii="Arial" w:hAnsi="Arial"/>
          <w:sz w:val="22"/>
          <w:szCs w:val="22"/>
        </w:rPr>
        <w:t xml:space="preserve"> </w:t>
      </w:r>
      <w:r w:rsidR="00B9230B" w:rsidRPr="0069384D">
        <w:rPr>
          <w:rFonts w:ascii="Arial" w:hAnsi="Arial"/>
          <w:sz w:val="22"/>
          <w:szCs w:val="22"/>
        </w:rPr>
        <w:t>on a cost-minimisation basis with MPH-OROS</w:t>
      </w:r>
      <w:r w:rsidR="00F60DFF" w:rsidRPr="0069384D">
        <w:rPr>
          <w:rFonts w:ascii="Arial" w:hAnsi="Arial" w:cs="Arial"/>
          <w:sz w:val="22"/>
          <w:szCs w:val="22"/>
        </w:rPr>
        <w:t xml:space="preserve"> in both children and adolescents</w:t>
      </w:r>
      <w:r w:rsidR="00B9230B" w:rsidRPr="0069384D">
        <w:rPr>
          <w:rFonts w:ascii="Arial" w:hAnsi="Arial"/>
          <w:sz w:val="22"/>
          <w:szCs w:val="22"/>
        </w:rPr>
        <w:t>.</w:t>
      </w:r>
      <w:r w:rsidR="00F60DFF" w:rsidRPr="0069384D">
        <w:rPr>
          <w:rFonts w:ascii="Arial" w:hAnsi="Arial"/>
          <w:sz w:val="22"/>
          <w:szCs w:val="22"/>
        </w:rPr>
        <w:t xml:space="preserve"> </w:t>
      </w:r>
      <w:r w:rsidR="002D3B3E" w:rsidRPr="0069384D">
        <w:rPr>
          <w:rFonts w:ascii="Arial" w:hAnsi="Arial"/>
          <w:sz w:val="22"/>
          <w:szCs w:val="22"/>
        </w:rPr>
        <w:t>During the m</w:t>
      </w:r>
      <w:r w:rsidR="00D3575F" w:rsidRPr="0069384D">
        <w:rPr>
          <w:rFonts w:ascii="Arial" w:hAnsi="Arial"/>
          <w:sz w:val="22"/>
          <w:szCs w:val="22"/>
        </w:rPr>
        <w:t>aintenance phase of Trial SPD 4</w:t>
      </w:r>
      <w:r w:rsidR="002D3B3E" w:rsidRPr="0069384D">
        <w:rPr>
          <w:rFonts w:ascii="Arial" w:hAnsi="Arial"/>
          <w:sz w:val="22"/>
          <w:szCs w:val="22"/>
        </w:rPr>
        <w:t xml:space="preserve">89-325 (FAS), the average daily doses of MPH-OROS and LDX were </w:t>
      </w:r>
      <w:r w:rsidR="00136DB8">
        <w:rPr>
          <w:rFonts w:ascii="Arial" w:hAnsi="Arial"/>
          <w:noProof/>
          <w:color w:val="000000"/>
          <w:sz w:val="22"/>
          <w:szCs w:val="22"/>
          <w:highlight w:val="black"/>
        </w:rPr>
        <w:t>''''''''''''''</w:t>
      </w:r>
      <w:r w:rsidR="002D3B3E" w:rsidRPr="0069384D">
        <w:rPr>
          <w:rFonts w:ascii="Arial" w:hAnsi="Arial"/>
          <w:sz w:val="22"/>
          <w:szCs w:val="22"/>
        </w:rPr>
        <w:t xml:space="preserve">mg/day and </w:t>
      </w:r>
      <w:r w:rsidR="00136DB8">
        <w:rPr>
          <w:rFonts w:ascii="Arial" w:hAnsi="Arial"/>
          <w:noProof/>
          <w:color w:val="000000"/>
          <w:sz w:val="22"/>
          <w:szCs w:val="22"/>
          <w:highlight w:val="black"/>
        </w:rPr>
        <w:t>''''''''''''''</w:t>
      </w:r>
      <w:r w:rsidR="002D3B3E" w:rsidRPr="0069384D">
        <w:rPr>
          <w:rFonts w:ascii="Arial" w:hAnsi="Arial"/>
          <w:sz w:val="22"/>
          <w:szCs w:val="22"/>
        </w:rPr>
        <w:t>mg/ respectively.</w:t>
      </w:r>
      <w:r w:rsidR="00F60DFF" w:rsidRPr="0069384D">
        <w:rPr>
          <w:rFonts w:ascii="Arial" w:hAnsi="Arial"/>
          <w:sz w:val="22"/>
          <w:szCs w:val="22"/>
        </w:rPr>
        <w:t xml:space="preserve"> </w:t>
      </w:r>
    </w:p>
    <w:p w:rsidR="00582DED" w:rsidRDefault="00582DED" w:rsidP="00582DED">
      <w:pPr>
        <w:pStyle w:val="ListParagraph"/>
        <w:ind w:left="709"/>
        <w:jc w:val="both"/>
        <w:rPr>
          <w:rFonts w:ascii="Arial" w:hAnsi="Arial"/>
          <w:sz w:val="22"/>
          <w:szCs w:val="22"/>
        </w:rPr>
      </w:pPr>
    </w:p>
    <w:p w:rsidR="00582DED" w:rsidRPr="0069384D" w:rsidRDefault="00582DED" w:rsidP="00243655">
      <w:pPr>
        <w:pStyle w:val="ListParagraph"/>
        <w:numPr>
          <w:ilvl w:val="1"/>
          <w:numId w:val="25"/>
        </w:numPr>
        <w:ind w:left="709" w:hanging="709"/>
        <w:jc w:val="both"/>
        <w:rPr>
          <w:rFonts w:ascii="Arial" w:hAnsi="Arial"/>
          <w:sz w:val="22"/>
          <w:szCs w:val="22"/>
        </w:rPr>
      </w:pPr>
      <w:r w:rsidRPr="0069384D">
        <w:rPr>
          <w:rFonts w:ascii="Arial" w:hAnsi="Arial"/>
          <w:sz w:val="22"/>
          <w:szCs w:val="22"/>
        </w:rPr>
        <w:t xml:space="preserve">The PBAC </w:t>
      </w:r>
      <w:r w:rsidR="00B419BA" w:rsidRPr="0069384D">
        <w:rPr>
          <w:rFonts w:ascii="Arial" w:hAnsi="Arial"/>
          <w:sz w:val="22"/>
          <w:szCs w:val="22"/>
        </w:rPr>
        <w:t>accepted</w:t>
      </w:r>
      <w:r w:rsidRPr="0069384D">
        <w:rPr>
          <w:rFonts w:ascii="Arial" w:hAnsi="Arial"/>
          <w:sz w:val="22"/>
          <w:szCs w:val="22"/>
        </w:rPr>
        <w:t xml:space="preserve"> that a modest clinical need exists for alternative treatments for ADHD in children and adolescents as patient response to one treatment over another appears to be highly individualised. </w:t>
      </w:r>
    </w:p>
    <w:p w:rsidR="00B9230B" w:rsidRDefault="00B9230B" w:rsidP="00B9230B">
      <w:pPr>
        <w:pStyle w:val="ListParagraph"/>
        <w:ind w:left="709"/>
        <w:jc w:val="both"/>
        <w:rPr>
          <w:rFonts w:ascii="Arial" w:hAnsi="Arial"/>
          <w:sz w:val="22"/>
          <w:szCs w:val="22"/>
        </w:rPr>
      </w:pPr>
    </w:p>
    <w:p w:rsidR="00E03FA0" w:rsidRPr="0069384D" w:rsidRDefault="00B9230B" w:rsidP="00243655">
      <w:pPr>
        <w:pStyle w:val="ListParagraph"/>
        <w:numPr>
          <w:ilvl w:val="1"/>
          <w:numId w:val="25"/>
        </w:numPr>
        <w:ind w:left="709" w:hanging="709"/>
        <w:jc w:val="both"/>
        <w:rPr>
          <w:rFonts w:ascii="Arial" w:hAnsi="Arial"/>
          <w:sz w:val="22"/>
          <w:szCs w:val="22"/>
        </w:rPr>
      </w:pPr>
      <w:r w:rsidRPr="0069384D">
        <w:rPr>
          <w:rFonts w:ascii="Arial" w:hAnsi="Arial"/>
          <w:sz w:val="22"/>
          <w:szCs w:val="22"/>
        </w:rPr>
        <w:t xml:space="preserve">The PBAC recommended </w:t>
      </w:r>
      <w:r w:rsidR="0082411D" w:rsidRPr="0069384D">
        <w:rPr>
          <w:rFonts w:ascii="Arial" w:hAnsi="Arial"/>
          <w:sz w:val="22"/>
          <w:szCs w:val="22"/>
        </w:rPr>
        <w:t xml:space="preserve">Option 1 of the proposed PBS restrictions for </w:t>
      </w:r>
      <w:r w:rsidRPr="0069384D">
        <w:rPr>
          <w:rFonts w:ascii="Arial" w:hAnsi="Arial"/>
          <w:sz w:val="22"/>
          <w:szCs w:val="22"/>
        </w:rPr>
        <w:t xml:space="preserve">the listing of </w:t>
      </w:r>
      <w:r w:rsidR="0082411D" w:rsidRPr="0069384D">
        <w:rPr>
          <w:rFonts w:ascii="Arial" w:hAnsi="Arial"/>
          <w:sz w:val="22"/>
          <w:szCs w:val="22"/>
        </w:rPr>
        <w:t>LDX</w:t>
      </w:r>
      <w:r w:rsidRPr="0069384D">
        <w:rPr>
          <w:rFonts w:ascii="Arial" w:hAnsi="Arial"/>
          <w:sz w:val="22"/>
          <w:szCs w:val="22"/>
        </w:rPr>
        <w:t xml:space="preserve"> </w:t>
      </w:r>
      <w:r w:rsidR="00214F87" w:rsidRPr="0069384D">
        <w:rPr>
          <w:rFonts w:ascii="Arial" w:hAnsi="Arial"/>
          <w:sz w:val="22"/>
          <w:szCs w:val="22"/>
        </w:rPr>
        <w:t xml:space="preserve">as an Authority </w:t>
      </w:r>
      <w:proofErr w:type="gramStart"/>
      <w:r w:rsidR="00214F87" w:rsidRPr="0069384D">
        <w:rPr>
          <w:rFonts w:ascii="Arial" w:hAnsi="Arial"/>
          <w:sz w:val="22"/>
          <w:szCs w:val="22"/>
        </w:rPr>
        <w:t>Required</w:t>
      </w:r>
      <w:proofErr w:type="gramEnd"/>
      <w:r w:rsidR="00214F87" w:rsidRPr="0069384D">
        <w:rPr>
          <w:rFonts w:ascii="Arial" w:hAnsi="Arial"/>
          <w:sz w:val="22"/>
          <w:szCs w:val="22"/>
        </w:rPr>
        <w:t xml:space="preserve"> benefit for the treatment of attention </w:t>
      </w:r>
      <w:r w:rsidR="001829E7" w:rsidRPr="0069384D">
        <w:rPr>
          <w:rFonts w:ascii="Arial" w:hAnsi="Arial"/>
          <w:sz w:val="22"/>
          <w:szCs w:val="22"/>
        </w:rPr>
        <w:t>deficit</w:t>
      </w:r>
      <w:r w:rsidR="00214F87" w:rsidRPr="0069384D">
        <w:rPr>
          <w:rFonts w:ascii="Arial" w:hAnsi="Arial"/>
          <w:sz w:val="22"/>
          <w:szCs w:val="22"/>
        </w:rPr>
        <w:t xml:space="preserve"> hyperactivity disorder (ADHD) in a patient diagnosed between the ages of 6 and 18 years (inclusive). </w:t>
      </w:r>
    </w:p>
    <w:p w:rsidR="00E03FA0" w:rsidRPr="00E03FA0" w:rsidRDefault="00E03FA0" w:rsidP="00E03FA0">
      <w:pPr>
        <w:pStyle w:val="ListParagraph"/>
        <w:rPr>
          <w:rFonts w:ascii="Arial" w:hAnsi="Arial"/>
          <w:sz w:val="22"/>
          <w:szCs w:val="22"/>
        </w:rPr>
      </w:pPr>
    </w:p>
    <w:p w:rsidR="001829E7" w:rsidRPr="0069384D" w:rsidRDefault="00E03FA0" w:rsidP="00243655">
      <w:pPr>
        <w:pStyle w:val="ListParagraph"/>
        <w:numPr>
          <w:ilvl w:val="1"/>
          <w:numId w:val="25"/>
        </w:numPr>
        <w:ind w:left="709" w:hanging="709"/>
        <w:jc w:val="both"/>
        <w:rPr>
          <w:rFonts w:ascii="Arial" w:hAnsi="Arial"/>
          <w:sz w:val="22"/>
          <w:szCs w:val="22"/>
        </w:rPr>
      </w:pPr>
      <w:r w:rsidRPr="0069384D">
        <w:rPr>
          <w:rFonts w:ascii="Arial" w:hAnsi="Arial"/>
          <w:sz w:val="22"/>
          <w:szCs w:val="22"/>
        </w:rPr>
        <w:t xml:space="preserve">For the restriction, PBAC considered there should be no requirement for patients to demonstrate response to DEX before being eligible for treatment with LDX, </w:t>
      </w:r>
      <w:r w:rsidR="0077767A" w:rsidRPr="0069384D">
        <w:rPr>
          <w:rFonts w:ascii="Arial" w:hAnsi="Arial" w:cs="Arial"/>
          <w:sz w:val="22"/>
          <w:szCs w:val="22"/>
        </w:rPr>
        <w:t xml:space="preserve">as use of DEX gives no guide as to dose or tolerability of LDX. </w:t>
      </w:r>
      <w:r w:rsidR="00243548" w:rsidRPr="0069384D">
        <w:rPr>
          <w:rFonts w:ascii="Arial" w:hAnsi="Arial"/>
          <w:sz w:val="22"/>
          <w:szCs w:val="22"/>
        </w:rPr>
        <w:t>The PBAC noted that no evidence was presented for the additional treatment resistant population proposed in Option 2 for patients who failed to respond to MPH-OROS.</w:t>
      </w:r>
    </w:p>
    <w:p w:rsidR="009061DF" w:rsidRPr="0082411D" w:rsidRDefault="009061DF" w:rsidP="0082411D">
      <w:pPr>
        <w:rPr>
          <w:rFonts w:ascii="Arial" w:hAnsi="Arial"/>
          <w:sz w:val="22"/>
          <w:szCs w:val="22"/>
        </w:rPr>
      </w:pPr>
    </w:p>
    <w:p w:rsidR="00BF5DC9" w:rsidRPr="0069384D" w:rsidRDefault="001829E7" w:rsidP="00243655">
      <w:pPr>
        <w:pStyle w:val="ListParagraph"/>
        <w:numPr>
          <w:ilvl w:val="1"/>
          <w:numId w:val="25"/>
        </w:numPr>
        <w:ind w:left="709" w:hanging="709"/>
        <w:jc w:val="both"/>
        <w:rPr>
          <w:rFonts w:ascii="Arial" w:hAnsi="Arial"/>
          <w:sz w:val="22"/>
          <w:szCs w:val="22"/>
        </w:rPr>
      </w:pPr>
      <w:r w:rsidRPr="0069384D">
        <w:rPr>
          <w:rFonts w:ascii="Arial" w:hAnsi="Arial"/>
          <w:sz w:val="22"/>
          <w:szCs w:val="22"/>
        </w:rPr>
        <w:t xml:space="preserve">The PBAC </w:t>
      </w:r>
      <w:r w:rsidR="00673488" w:rsidRPr="0069384D">
        <w:rPr>
          <w:rFonts w:ascii="Arial" w:hAnsi="Arial"/>
          <w:sz w:val="22"/>
          <w:szCs w:val="22"/>
        </w:rPr>
        <w:t>accepted</w:t>
      </w:r>
      <w:r w:rsidRPr="0069384D">
        <w:rPr>
          <w:rFonts w:ascii="Arial" w:hAnsi="Arial" w:cs="Arial"/>
          <w:sz w:val="22"/>
          <w:szCs w:val="22"/>
        </w:rPr>
        <w:t xml:space="preserve"> MPH-OROS</w:t>
      </w:r>
      <w:r w:rsidR="00673488" w:rsidRPr="0069384D">
        <w:rPr>
          <w:rFonts w:ascii="Arial" w:hAnsi="Arial" w:cs="Arial"/>
          <w:sz w:val="22"/>
          <w:szCs w:val="22"/>
        </w:rPr>
        <w:t xml:space="preserve"> as the main comparator</w:t>
      </w:r>
      <w:r w:rsidRPr="0069384D">
        <w:rPr>
          <w:rFonts w:ascii="Arial" w:hAnsi="Arial" w:cs="Arial"/>
          <w:sz w:val="22"/>
          <w:szCs w:val="22"/>
        </w:rPr>
        <w:t>.</w:t>
      </w:r>
      <w:r w:rsidR="00673488" w:rsidRPr="0069384D">
        <w:rPr>
          <w:rFonts w:ascii="Arial" w:hAnsi="Arial" w:cs="Arial"/>
          <w:sz w:val="22"/>
          <w:szCs w:val="22"/>
        </w:rPr>
        <w:t xml:space="preserve"> The comparison versus placebo was not considered appropriate for the clinical place of therapy.</w:t>
      </w:r>
    </w:p>
    <w:p w:rsidR="001829E7" w:rsidRPr="00673488" w:rsidRDefault="001829E7" w:rsidP="00575133">
      <w:pPr>
        <w:jc w:val="both"/>
        <w:rPr>
          <w:rFonts w:ascii="Arial" w:hAnsi="Arial"/>
          <w:sz w:val="22"/>
          <w:szCs w:val="22"/>
        </w:rPr>
      </w:pPr>
    </w:p>
    <w:p w:rsidR="00673488" w:rsidRPr="0069384D" w:rsidRDefault="00673488" w:rsidP="00243655">
      <w:pPr>
        <w:pStyle w:val="ListParagraph"/>
        <w:numPr>
          <w:ilvl w:val="1"/>
          <w:numId w:val="25"/>
        </w:numPr>
        <w:ind w:left="709" w:hanging="709"/>
        <w:jc w:val="both"/>
        <w:rPr>
          <w:rFonts w:ascii="Arial" w:hAnsi="Arial"/>
          <w:sz w:val="22"/>
          <w:szCs w:val="22"/>
        </w:rPr>
      </w:pPr>
      <w:r w:rsidRPr="0069384D">
        <w:rPr>
          <w:rFonts w:ascii="Arial" w:hAnsi="Arial" w:cs="Arial"/>
          <w:sz w:val="22"/>
          <w:szCs w:val="22"/>
        </w:rPr>
        <w:t xml:space="preserve">The PBAC </w:t>
      </w:r>
      <w:r w:rsidR="00881DB0" w:rsidRPr="0069384D">
        <w:rPr>
          <w:rFonts w:ascii="Arial" w:hAnsi="Arial" w:cs="Arial"/>
          <w:sz w:val="22"/>
          <w:szCs w:val="22"/>
        </w:rPr>
        <w:t xml:space="preserve">considered </w:t>
      </w:r>
      <w:r w:rsidR="00525599" w:rsidRPr="0069384D">
        <w:rPr>
          <w:rFonts w:ascii="Arial" w:hAnsi="Arial" w:cs="Arial"/>
          <w:sz w:val="22"/>
          <w:szCs w:val="22"/>
        </w:rPr>
        <w:t xml:space="preserve">that </w:t>
      </w:r>
      <w:r w:rsidR="00881DB0" w:rsidRPr="0069384D">
        <w:rPr>
          <w:rFonts w:ascii="Arial" w:hAnsi="Arial" w:cs="Arial"/>
          <w:sz w:val="22"/>
          <w:szCs w:val="22"/>
        </w:rPr>
        <w:t xml:space="preserve">the quality of the clinical </w:t>
      </w:r>
      <w:r w:rsidR="00122336" w:rsidRPr="0069384D">
        <w:rPr>
          <w:rFonts w:ascii="Arial" w:hAnsi="Arial" w:cs="Arial"/>
          <w:sz w:val="22"/>
          <w:szCs w:val="22"/>
        </w:rPr>
        <w:t>trial</w:t>
      </w:r>
      <w:r w:rsidR="00881DB0" w:rsidRPr="0069384D">
        <w:rPr>
          <w:rFonts w:ascii="Arial" w:hAnsi="Arial" w:cs="Arial"/>
          <w:sz w:val="22"/>
          <w:szCs w:val="22"/>
        </w:rPr>
        <w:t xml:space="preserve"> data was limited</w:t>
      </w:r>
      <w:r w:rsidR="00591F06" w:rsidRPr="0069384D">
        <w:rPr>
          <w:rFonts w:ascii="Arial" w:hAnsi="Arial" w:cs="Arial"/>
          <w:sz w:val="22"/>
          <w:szCs w:val="22"/>
        </w:rPr>
        <w:t xml:space="preserve">, and noted the </w:t>
      </w:r>
      <w:proofErr w:type="spellStart"/>
      <w:r w:rsidR="00591F06" w:rsidRPr="0069384D">
        <w:rPr>
          <w:rFonts w:ascii="Arial" w:hAnsi="Arial" w:cs="Arial"/>
          <w:sz w:val="22"/>
          <w:szCs w:val="22"/>
        </w:rPr>
        <w:t>unblinding</w:t>
      </w:r>
      <w:proofErr w:type="spellEnd"/>
      <w:r w:rsidR="00591F06" w:rsidRPr="0069384D">
        <w:rPr>
          <w:rFonts w:ascii="Arial" w:hAnsi="Arial" w:cs="Arial"/>
          <w:sz w:val="22"/>
          <w:szCs w:val="22"/>
        </w:rPr>
        <w:t xml:space="preserve"> in key trial SPD 489-325</w:t>
      </w:r>
      <w:r w:rsidR="006F73C1" w:rsidRPr="0069384D">
        <w:rPr>
          <w:rFonts w:ascii="Arial" w:hAnsi="Arial" w:cs="Arial"/>
          <w:sz w:val="22"/>
          <w:szCs w:val="22"/>
        </w:rPr>
        <w:t>.</w:t>
      </w:r>
      <w:r w:rsidR="00862E1B" w:rsidRPr="0069384D">
        <w:rPr>
          <w:rFonts w:ascii="Arial" w:hAnsi="Arial" w:cs="Arial"/>
          <w:sz w:val="22"/>
          <w:szCs w:val="22"/>
        </w:rPr>
        <w:t xml:space="preserve"> </w:t>
      </w:r>
      <w:r w:rsidR="006F73C1" w:rsidRPr="0069384D">
        <w:rPr>
          <w:rFonts w:ascii="Arial" w:hAnsi="Arial" w:cs="Arial"/>
          <w:sz w:val="22"/>
          <w:szCs w:val="22"/>
        </w:rPr>
        <w:t xml:space="preserve">The </w:t>
      </w:r>
      <w:r w:rsidR="00591F06" w:rsidRPr="0069384D">
        <w:rPr>
          <w:rFonts w:ascii="Arial" w:hAnsi="Arial" w:cs="Arial"/>
          <w:sz w:val="22"/>
          <w:szCs w:val="22"/>
        </w:rPr>
        <w:t xml:space="preserve">post-hoc sub </w:t>
      </w:r>
      <w:r w:rsidR="00862E1B" w:rsidRPr="0069384D">
        <w:rPr>
          <w:rFonts w:ascii="Arial" w:hAnsi="Arial" w:cs="Arial"/>
          <w:sz w:val="22"/>
          <w:szCs w:val="22"/>
        </w:rPr>
        <w:t>group analysis</w:t>
      </w:r>
      <w:r w:rsidR="006F73C1" w:rsidRPr="0069384D">
        <w:rPr>
          <w:rFonts w:ascii="Arial" w:hAnsi="Arial" w:cs="Arial"/>
          <w:sz w:val="22"/>
          <w:szCs w:val="22"/>
        </w:rPr>
        <w:t xml:space="preserve"> was rejected</w:t>
      </w:r>
      <w:r w:rsidR="00862E1B" w:rsidRPr="0069384D">
        <w:rPr>
          <w:rFonts w:ascii="Arial" w:hAnsi="Arial" w:cs="Arial"/>
          <w:sz w:val="22"/>
          <w:szCs w:val="22"/>
        </w:rPr>
        <w:t xml:space="preserve"> on the basis that it lacked scientific rigour, as evidenced by inconsistent results across differing trials</w:t>
      </w:r>
      <w:r w:rsidR="006F73C1" w:rsidRPr="0069384D">
        <w:rPr>
          <w:rFonts w:ascii="Arial" w:hAnsi="Arial" w:cs="Arial"/>
          <w:sz w:val="22"/>
          <w:szCs w:val="22"/>
        </w:rPr>
        <w:t xml:space="preserve"> and an implausibly low response rate to MPH-OROS, which was not </w:t>
      </w:r>
      <w:r w:rsidR="0062377D">
        <w:rPr>
          <w:rFonts w:ascii="Arial" w:hAnsi="Arial" w:cs="Arial"/>
          <w:sz w:val="22"/>
          <w:szCs w:val="22"/>
        </w:rPr>
        <w:t xml:space="preserve">consistent with </w:t>
      </w:r>
      <w:r w:rsidR="00591F06" w:rsidRPr="0069384D">
        <w:rPr>
          <w:rFonts w:ascii="Arial" w:hAnsi="Arial" w:cs="Arial"/>
          <w:sz w:val="22"/>
          <w:szCs w:val="22"/>
        </w:rPr>
        <w:t>clinical experience with MPH-OROS</w:t>
      </w:r>
      <w:r w:rsidR="00862E1B" w:rsidRPr="0069384D">
        <w:rPr>
          <w:rFonts w:ascii="Arial" w:hAnsi="Arial" w:cs="Arial"/>
          <w:sz w:val="22"/>
          <w:szCs w:val="22"/>
        </w:rPr>
        <w:t>.</w:t>
      </w:r>
      <w:r w:rsidR="00881DB0" w:rsidRPr="0069384D">
        <w:rPr>
          <w:rFonts w:ascii="Arial" w:hAnsi="Arial" w:cs="Arial"/>
          <w:sz w:val="22"/>
          <w:szCs w:val="22"/>
        </w:rPr>
        <w:t xml:space="preserve"> </w:t>
      </w:r>
    </w:p>
    <w:p w:rsidR="00673488" w:rsidRPr="00E03FA0" w:rsidRDefault="00673488" w:rsidP="00E03FA0">
      <w:pPr>
        <w:pStyle w:val="ListParagraph"/>
        <w:ind w:left="709"/>
        <w:jc w:val="both"/>
        <w:rPr>
          <w:rFonts w:ascii="Arial" w:hAnsi="Arial" w:cs="Arial"/>
          <w:sz w:val="22"/>
          <w:szCs w:val="22"/>
        </w:rPr>
      </w:pPr>
    </w:p>
    <w:p w:rsidR="001829E7" w:rsidRPr="0069384D" w:rsidRDefault="001829E7" w:rsidP="00243655">
      <w:pPr>
        <w:pStyle w:val="ListParagraph"/>
        <w:numPr>
          <w:ilvl w:val="1"/>
          <w:numId w:val="25"/>
        </w:numPr>
        <w:ind w:left="709" w:hanging="709"/>
        <w:jc w:val="both"/>
        <w:rPr>
          <w:rFonts w:ascii="Arial" w:hAnsi="Arial"/>
          <w:sz w:val="22"/>
          <w:szCs w:val="22"/>
        </w:rPr>
      </w:pPr>
      <w:r w:rsidRPr="0069384D">
        <w:rPr>
          <w:rFonts w:ascii="Arial" w:hAnsi="Arial" w:cs="Arial"/>
          <w:sz w:val="22"/>
          <w:szCs w:val="22"/>
        </w:rPr>
        <w:lastRenderedPageBreak/>
        <w:t xml:space="preserve">The PBAC considered that the claim of superior comparative effectiveness in </w:t>
      </w:r>
      <w:r w:rsidR="00673488" w:rsidRPr="0069384D">
        <w:rPr>
          <w:rFonts w:ascii="Arial" w:hAnsi="Arial" w:cs="Arial"/>
          <w:sz w:val="22"/>
          <w:szCs w:val="22"/>
        </w:rPr>
        <w:t>adolescent patients and patients with inadequate clinical response to MPH-OROS</w:t>
      </w:r>
      <w:r w:rsidRPr="0069384D">
        <w:rPr>
          <w:rFonts w:ascii="Arial" w:hAnsi="Arial" w:cs="Arial"/>
          <w:sz w:val="22"/>
          <w:szCs w:val="22"/>
        </w:rPr>
        <w:t xml:space="preserve"> was not adequately supported by the data</w:t>
      </w:r>
      <w:r w:rsidR="00F40460">
        <w:rPr>
          <w:rFonts w:ascii="Arial" w:hAnsi="Arial" w:cs="Arial"/>
          <w:sz w:val="22"/>
          <w:szCs w:val="22"/>
        </w:rPr>
        <w:t>,</w:t>
      </w:r>
      <w:r w:rsidRPr="0069384D">
        <w:rPr>
          <w:rFonts w:ascii="Arial" w:hAnsi="Arial" w:cs="Arial"/>
          <w:sz w:val="22"/>
          <w:szCs w:val="22"/>
        </w:rPr>
        <w:t xml:space="preserve"> and reiterated its </w:t>
      </w:r>
      <w:r w:rsidR="00673488" w:rsidRPr="0069384D">
        <w:rPr>
          <w:rFonts w:ascii="Arial" w:hAnsi="Arial" w:cs="Arial"/>
          <w:sz w:val="22"/>
          <w:szCs w:val="22"/>
        </w:rPr>
        <w:t xml:space="preserve">July </w:t>
      </w:r>
      <w:r w:rsidRPr="0069384D">
        <w:rPr>
          <w:rFonts w:ascii="Arial" w:hAnsi="Arial" w:cs="Arial"/>
          <w:sz w:val="22"/>
          <w:szCs w:val="22"/>
        </w:rPr>
        <w:t xml:space="preserve">2013 determination </w:t>
      </w:r>
      <w:r w:rsidR="00833914">
        <w:rPr>
          <w:rFonts w:ascii="Arial" w:hAnsi="Arial" w:cs="Arial"/>
          <w:sz w:val="22"/>
          <w:szCs w:val="22"/>
        </w:rPr>
        <w:t xml:space="preserve">that </w:t>
      </w:r>
      <w:proofErr w:type="spellStart"/>
      <w:r w:rsidR="00833914">
        <w:rPr>
          <w:rFonts w:ascii="Arial" w:hAnsi="Arial" w:cs="Arial"/>
          <w:sz w:val="22"/>
          <w:szCs w:val="22"/>
        </w:rPr>
        <w:t>lisdexamfetamine</w:t>
      </w:r>
      <w:proofErr w:type="spellEnd"/>
      <w:r w:rsidR="00833914">
        <w:rPr>
          <w:rFonts w:ascii="Arial" w:hAnsi="Arial" w:cs="Arial"/>
          <w:sz w:val="22"/>
          <w:szCs w:val="22"/>
        </w:rPr>
        <w:t xml:space="preserve"> is non-inferior to MPH-OROS. </w:t>
      </w:r>
    </w:p>
    <w:p w:rsidR="001829E7" w:rsidRDefault="001829E7" w:rsidP="001829E7">
      <w:pPr>
        <w:pStyle w:val="ListParagraph"/>
        <w:ind w:left="709"/>
        <w:jc w:val="both"/>
        <w:rPr>
          <w:rFonts w:ascii="Arial" w:hAnsi="Arial" w:cs="Arial"/>
          <w:sz w:val="22"/>
          <w:szCs w:val="22"/>
        </w:rPr>
      </w:pPr>
      <w:r>
        <w:rPr>
          <w:rFonts w:ascii="Arial" w:hAnsi="Arial" w:cs="Arial"/>
          <w:sz w:val="22"/>
          <w:szCs w:val="22"/>
        </w:rPr>
        <w:t xml:space="preserve"> </w:t>
      </w:r>
    </w:p>
    <w:p w:rsidR="001829E7" w:rsidRPr="0069384D" w:rsidRDefault="001829E7" w:rsidP="00243655">
      <w:pPr>
        <w:pStyle w:val="ListParagraph"/>
        <w:numPr>
          <w:ilvl w:val="1"/>
          <w:numId w:val="25"/>
        </w:numPr>
        <w:ind w:left="709" w:hanging="709"/>
        <w:jc w:val="both"/>
        <w:rPr>
          <w:rFonts w:ascii="Arial" w:hAnsi="Arial"/>
          <w:sz w:val="22"/>
          <w:szCs w:val="22"/>
        </w:rPr>
      </w:pPr>
      <w:r w:rsidRPr="0069384D">
        <w:rPr>
          <w:rFonts w:ascii="Arial" w:hAnsi="Arial" w:cs="Arial"/>
          <w:sz w:val="22"/>
          <w:szCs w:val="22"/>
        </w:rPr>
        <w:t xml:space="preserve">The PBAC considered that the claim of non-inferior comparative safety in the first line was not adequately supported by the data, and that the claim of inferior safety in second line was reasonable. The PBAC noted that the most </w:t>
      </w:r>
      <w:r w:rsidR="00591F06" w:rsidRPr="0069384D">
        <w:rPr>
          <w:rFonts w:ascii="Arial" w:hAnsi="Arial" w:cs="Arial"/>
          <w:sz w:val="22"/>
          <w:szCs w:val="22"/>
        </w:rPr>
        <w:t>worrying adverse</w:t>
      </w:r>
      <w:r w:rsidRPr="0069384D">
        <w:rPr>
          <w:rFonts w:ascii="Arial" w:hAnsi="Arial" w:cs="Arial"/>
          <w:sz w:val="22"/>
          <w:szCs w:val="22"/>
        </w:rPr>
        <w:t xml:space="preserve"> effect was weight loss</w:t>
      </w:r>
      <w:r w:rsidR="00516289" w:rsidRPr="0069384D">
        <w:rPr>
          <w:rFonts w:ascii="Arial" w:hAnsi="Arial" w:cs="Arial"/>
          <w:sz w:val="22"/>
          <w:szCs w:val="22"/>
        </w:rPr>
        <w:t>.</w:t>
      </w:r>
      <w:r w:rsidRPr="0069384D">
        <w:rPr>
          <w:rFonts w:ascii="Arial" w:hAnsi="Arial" w:cs="Arial"/>
          <w:sz w:val="22"/>
          <w:szCs w:val="22"/>
        </w:rPr>
        <w:t xml:space="preserve"> </w:t>
      </w:r>
    </w:p>
    <w:p w:rsidR="00513BF0" w:rsidRPr="0069384D" w:rsidRDefault="00513BF0" w:rsidP="0069384D">
      <w:pPr>
        <w:jc w:val="both"/>
        <w:rPr>
          <w:rFonts w:ascii="Arial" w:hAnsi="Arial"/>
          <w:sz w:val="22"/>
          <w:szCs w:val="22"/>
        </w:rPr>
      </w:pPr>
    </w:p>
    <w:p w:rsidR="005D61CB" w:rsidRPr="0069384D" w:rsidRDefault="00BF5DC9" w:rsidP="00243655">
      <w:pPr>
        <w:pStyle w:val="ListParagraph"/>
        <w:numPr>
          <w:ilvl w:val="1"/>
          <w:numId w:val="25"/>
        </w:numPr>
        <w:ind w:left="709" w:hanging="709"/>
        <w:jc w:val="both"/>
        <w:rPr>
          <w:rFonts w:ascii="Arial" w:hAnsi="Arial"/>
          <w:sz w:val="22"/>
          <w:szCs w:val="22"/>
        </w:rPr>
      </w:pPr>
      <w:r w:rsidRPr="0069384D">
        <w:rPr>
          <w:rFonts w:ascii="Arial" w:hAnsi="Arial"/>
          <w:sz w:val="22"/>
          <w:szCs w:val="22"/>
        </w:rPr>
        <w:t xml:space="preserve">The PBAC recommended that the only appropriate </w:t>
      </w:r>
      <w:r w:rsidR="00513BF0" w:rsidRPr="0069384D">
        <w:rPr>
          <w:rFonts w:ascii="Arial" w:hAnsi="Arial"/>
          <w:sz w:val="22"/>
          <w:szCs w:val="22"/>
        </w:rPr>
        <w:t>interpretation</w:t>
      </w:r>
      <w:r w:rsidRPr="0069384D">
        <w:rPr>
          <w:rFonts w:ascii="Arial" w:hAnsi="Arial"/>
          <w:sz w:val="22"/>
          <w:szCs w:val="22"/>
        </w:rPr>
        <w:t xml:space="preserve"> of trial SPD489-325 was</w:t>
      </w:r>
      <w:r w:rsidR="00513BF0" w:rsidRPr="0069384D">
        <w:rPr>
          <w:rFonts w:ascii="Arial" w:hAnsi="Arial"/>
          <w:sz w:val="22"/>
          <w:szCs w:val="22"/>
        </w:rPr>
        <w:t xml:space="preserve"> to support</w:t>
      </w:r>
      <w:r w:rsidRPr="0069384D">
        <w:rPr>
          <w:rFonts w:ascii="Arial" w:hAnsi="Arial"/>
          <w:sz w:val="22"/>
          <w:szCs w:val="22"/>
        </w:rPr>
        <w:t xml:space="preserve"> cost minimisation to MPH-OROS</w:t>
      </w:r>
      <w:r w:rsidR="005D61CB" w:rsidRPr="0069384D">
        <w:rPr>
          <w:rFonts w:ascii="Arial" w:hAnsi="Arial"/>
          <w:sz w:val="22"/>
          <w:szCs w:val="22"/>
        </w:rPr>
        <w:t xml:space="preserve"> in both children and adolescents</w:t>
      </w:r>
      <w:r w:rsidRPr="0069384D">
        <w:rPr>
          <w:rFonts w:ascii="Arial" w:hAnsi="Arial"/>
          <w:sz w:val="22"/>
          <w:szCs w:val="22"/>
        </w:rPr>
        <w:t>, with</w:t>
      </w:r>
      <w:r w:rsidRPr="0069384D">
        <w:rPr>
          <w:rFonts w:ascii="Arial" w:hAnsi="Arial" w:cs="Arial"/>
          <w:sz w:val="22"/>
          <w:szCs w:val="22"/>
        </w:rPr>
        <w:t xml:space="preserve"> LDX demonstrating non-inferiority to MPH-OROS in terms of effectiveness and inferiority to MPH-OROS in terms of safety</w:t>
      </w:r>
      <w:r w:rsidR="005D61CB" w:rsidRPr="0069384D">
        <w:rPr>
          <w:rFonts w:ascii="Arial" w:hAnsi="Arial" w:cs="Arial"/>
          <w:sz w:val="22"/>
          <w:szCs w:val="22"/>
        </w:rPr>
        <w:t xml:space="preserve">. </w:t>
      </w:r>
    </w:p>
    <w:p w:rsidR="005D61CB" w:rsidRPr="005D61CB" w:rsidRDefault="005D61CB" w:rsidP="005D61CB">
      <w:pPr>
        <w:pStyle w:val="ListParagraph"/>
        <w:rPr>
          <w:rFonts w:ascii="Arial" w:hAnsi="Arial"/>
          <w:sz w:val="22"/>
          <w:szCs w:val="22"/>
        </w:rPr>
      </w:pPr>
    </w:p>
    <w:p w:rsidR="00BB7EC3" w:rsidRPr="0069384D" w:rsidRDefault="00BB7EC3" w:rsidP="00243655">
      <w:pPr>
        <w:pStyle w:val="ListParagraph"/>
        <w:numPr>
          <w:ilvl w:val="1"/>
          <w:numId w:val="25"/>
        </w:numPr>
        <w:ind w:left="709" w:hanging="709"/>
        <w:jc w:val="both"/>
        <w:rPr>
          <w:rFonts w:ascii="Arial" w:hAnsi="Arial"/>
          <w:sz w:val="22"/>
          <w:szCs w:val="22"/>
        </w:rPr>
      </w:pPr>
      <w:r w:rsidRPr="0069384D">
        <w:rPr>
          <w:rFonts w:ascii="Arial" w:hAnsi="Arial"/>
          <w:sz w:val="22"/>
          <w:szCs w:val="22"/>
        </w:rPr>
        <w:t>The PBAC recommended that</w:t>
      </w:r>
      <w:r w:rsidR="00114989" w:rsidRPr="0069384D">
        <w:rPr>
          <w:rFonts w:ascii="Arial" w:hAnsi="Arial"/>
          <w:sz w:val="22"/>
          <w:szCs w:val="22"/>
        </w:rPr>
        <w:t xml:space="preserve"> </w:t>
      </w:r>
      <w:proofErr w:type="spellStart"/>
      <w:r w:rsidR="00E25A10" w:rsidRPr="0069384D">
        <w:rPr>
          <w:rFonts w:ascii="Arial" w:hAnsi="Arial"/>
          <w:sz w:val="22"/>
          <w:szCs w:val="22"/>
        </w:rPr>
        <w:t>lisdexamfetamine</w:t>
      </w:r>
      <w:proofErr w:type="spellEnd"/>
      <w:r w:rsidR="00114989" w:rsidRPr="0069384D">
        <w:rPr>
          <w:rFonts w:ascii="Arial" w:hAnsi="Arial"/>
          <w:i/>
          <w:sz w:val="22"/>
          <w:szCs w:val="22"/>
        </w:rPr>
        <w:t xml:space="preserve"> </w:t>
      </w:r>
      <w:r w:rsidRPr="0069384D">
        <w:rPr>
          <w:rFonts w:ascii="Arial" w:hAnsi="Arial"/>
          <w:sz w:val="22"/>
          <w:szCs w:val="22"/>
        </w:rPr>
        <w:t>should not be treated as interchangeable with any other drugs</w:t>
      </w:r>
      <w:r w:rsidR="00E25A10" w:rsidRPr="0069384D">
        <w:rPr>
          <w:rFonts w:ascii="Arial" w:hAnsi="Arial"/>
          <w:sz w:val="22"/>
          <w:szCs w:val="22"/>
        </w:rPr>
        <w:t>.</w:t>
      </w:r>
    </w:p>
    <w:p w:rsidR="00BB7EC3" w:rsidRPr="00E03FA0" w:rsidRDefault="00BB7EC3" w:rsidP="00BB7EC3">
      <w:pPr>
        <w:jc w:val="both"/>
        <w:rPr>
          <w:rFonts w:ascii="Arial" w:hAnsi="Arial"/>
          <w:sz w:val="22"/>
          <w:szCs w:val="22"/>
        </w:rPr>
      </w:pPr>
    </w:p>
    <w:p w:rsidR="00BB7EC3" w:rsidRPr="0069384D" w:rsidRDefault="00D61A34" w:rsidP="00243655">
      <w:pPr>
        <w:pStyle w:val="ListParagraph"/>
        <w:numPr>
          <w:ilvl w:val="1"/>
          <w:numId w:val="25"/>
        </w:numPr>
        <w:ind w:left="709" w:hanging="709"/>
        <w:jc w:val="both"/>
        <w:rPr>
          <w:rFonts w:ascii="Arial" w:hAnsi="Arial"/>
          <w:sz w:val="22"/>
          <w:szCs w:val="22"/>
        </w:rPr>
      </w:pPr>
      <w:r>
        <w:rPr>
          <w:rFonts w:ascii="Arial" w:hAnsi="Arial"/>
          <w:sz w:val="22"/>
          <w:szCs w:val="22"/>
        </w:rPr>
        <w:t>The PBAC recommended</w:t>
      </w:r>
      <w:r w:rsidR="00BB7EC3" w:rsidRPr="0069384D">
        <w:rPr>
          <w:rFonts w:ascii="Arial" w:hAnsi="Arial"/>
          <w:sz w:val="22"/>
          <w:szCs w:val="22"/>
        </w:rPr>
        <w:t xml:space="preserve"> that </w:t>
      </w:r>
      <w:proofErr w:type="spellStart"/>
      <w:r w:rsidR="00E25A10" w:rsidRPr="0069384D">
        <w:rPr>
          <w:rFonts w:ascii="Arial" w:hAnsi="Arial"/>
          <w:sz w:val="22"/>
          <w:szCs w:val="22"/>
        </w:rPr>
        <w:t>lisdexamfetamine</w:t>
      </w:r>
      <w:proofErr w:type="spellEnd"/>
      <w:r w:rsidR="00BB7EC3" w:rsidRPr="0069384D">
        <w:rPr>
          <w:rFonts w:ascii="Arial" w:hAnsi="Arial"/>
          <w:sz w:val="22"/>
          <w:szCs w:val="22"/>
        </w:rPr>
        <w:t xml:space="preserve"> is</w:t>
      </w:r>
      <w:r w:rsidR="00E25A10" w:rsidRPr="0069384D">
        <w:rPr>
          <w:rFonts w:ascii="Arial" w:hAnsi="Arial"/>
          <w:sz w:val="22"/>
          <w:szCs w:val="22"/>
        </w:rPr>
        <w:t xml:space="preserve"> </w:t>
      </w:r>
      <w:r w:rsidR="001B094D" w:rsidRPr="0069384D">
        <w:rPr>
          <w:rFonts w:ascii="Arial" w:hAnsi="Arial"/>
          <w:sz w:val="22"/>
          <w:szCs w:val="22"/>
        </w:rPr>
        <w:t>only</w:t>
      </w:r>
      <w:r w:rsidR="00BB7EC3" w:rsidRPr="0069384D">
        <w:rPr>
          <w:rFonts w:ascii="Arial" w:hAnsi="Arial"/>
          <w:sz w:val="22"/>
          <w:szCs w:val="22"/>
        </w:rPr>
        <w:t xml:space="preserve"> suitable for prescribing by </w:t>
      </w:r>
      <w:r w:rsidR="00B43E90" w:rsidRPr="0069384D">
        <w:rPr>
          <w:rFonts w:ascii="Arial" w:hAnsi="Arial"/>
          <w:sz w:val="22"/>
          <w:szCs w:val="22"/>
        </w:rPr>
        <w:t>nurse practitioner</w:t>
      </w:r>
      <w:r w:rsidR="00BB7EC3" w:rsidRPr="0069384D">
        <w:rPr>
          <w:rFonts w:ascii="Arial" w:hAnsi="Arial"/>
          <w:sz w:val="22"/>
          <w:szCs w:val="22"/>
        </w:rPr>
        <w:t>s</w:t>
      </w:r>
      <w:r w:rsidR="001B094D" w:rsidRPr="0069384D">
        <w:rPr>
          <w:rFonts w:ascii="Arial" w:hAnsi="Arial"/>
          <w:sz w:val="22"/>
          <w:szCs w:val="22"/>
        </w:rPr>
        <w:t xml:space="preserve"> as continuing therapy</w:t>
      </w:r>
      <w:r w:rsidR="00BB7EC3" w:rsidRPr="0069384D">
        <w:rPr>
          <w:rFonts w:ascii="Arial" w:hAnsi="Arial"/>
          <w:sz w:val="22"/>
          <w:szCs w:val="22"/>
        </w:rPr>
        <w:t xml:space="preserve">. </w:t>
      </w:r>
      <w:r w:rsidR="00B43E90" w:rsidRPr="0069384D">
        <w:rPr>
          <w:rFonts w:ascii="Arial" w:hAnsi="Arial"/>
          <w:sz w:val="22"/>
          <w:szCs w:val="22"/>
        </w:rPr>
        <w:t xml:space="preserve"> </w:t>
      </w:r>
    </w:p>
    <w:p w:rsidR="00BB7EC3" w:rsidRPr="00E03FA0" w:rsidRDefault="00BB7EC3" w:rsidP="00BB7EC3">
      <w:pPr>
        <w:pStyle w:val="ListParagraph"/>
        <w:rPr>
          <w:rFonts w:ascii="Arial" w:hAnsi="Arial"/>
          <w:sz w:val="22"/>
          <w:szCs w:val="22"/>
        </w:rPr>
      </w:pPr>
    </w:p>
    <w:p w:rsidR="00CA4260" w:rsidRPr="0069384D" w:rsidRDefault="00BB7EC3" w:rsidP="00243655">
      <w:pPr>
        <w:pStyle w:val="ListParagraph"/>
        <w:numPr>
          <w:ilvl w:val="1"/>
          <w:numId w:val="25"/>
        </w:numPr>
        <w:ind w:left="709" w:hanging="709"/>
        <w:jc w:val="both"/>
        <w:rPr>
          <w:rFonts w:ascii="Arial" w:hAnsi="Arial"/>
          <w:sz w:val="22"/>
          <w:szCs w:val="22"/>
        </w:rPr>
      </w:pPr>
      <w:r w:rsidRPr="0069384D">
        <w:rPr>
          <w:rFonts w:ascii="Arial" w:hAnsi="Arial"/>
          <w:sz w:val="22"/>
          <w:szCs w:val="22"/>
        </w:rPr>
        <w:t>The PBAC recommended that the Safety Net 20 Day Rule should</w:t>
      </w:r>
      <w:r w:rsidR="001829E7" w:rsidRPr="0069384D">
        <w:rPr>
          <w:rFonts w:ascii="Arial" w:hAnsi="Arial"/>
          <w:sz w:val="22"/>
          <w:szCs w:val="22"/>
        </w:rPr>
        <w:t xml:space="preserve"> not</w:t>
      </w:r>
      <w:r w:rsidRPr="0069384D">
        <w:rPr>
          <w:rFonts w:ascii="Arial" w:hAnsi="Arial"/>
          <w:sz w:val="22"/>
          <w:szCs w:val="22"/>
        </w:rPr>
        <w:t xml:space="preserve"> apply.</w:t>
      </w:r>
      <w:r w:rsidR="00B43E90" w:rsidRPr="0069384D">
        <w:rPr>
          <w:rFonts w:ascii="Arial" w:hAnsi="Arial"/>
          <w:sz w:val="22"/>
          <w:szCs w:val="22"/>
        </w:rPr>
        <w:t xml:space="preserve"> </w:t>
      </w:r>
    </w:p>
    <w:p w:rsidR="00BB7EC3" w:rsidRDefault="00BB7EC3" w:rsidP="00575133">
      <w:pPr>
        <w:pStyle w:val="ListParagraph"/>
        <w:jc w:val="center"/>
        <w:rPr>
          <w:rFonts w:ascii="Arial" w:hAnsi="Arial"/>
          <w:sz w:val="22"/>
          <w:szCs w:val="22"/>
        </w:rPr>
      </w:pPr>
    </w:p>
    <w:p w:rsidR="003D51C1" w:rsidRPr="000102A7" w:rsidRDefault="003D51C1" w:rsidP="00575133">
      <w:pPr>
        <w:pStyle w:val="ListParagraph"/>
        <w:jc w:val="center"/>
        <w:rPr>
          <w:rFonts w:ascii="Arial" w:hAnsi="Arial"/>
          <w:sz w:val="22"/>
          <w:szCs w:val="22"/>
        </w:rPr>
      </w:pPr>
    </w:p>
    <w:p w:rsidR="009C703C" w:rsidRDefault="009C703C" w:rsidP="00882085">
      <w:pPr>
        <w:jc w:val="both"/>
        <w:rPr>
          <w:rFonts w:ascii="Arial" w:hAnsi="Arial"/>
          <w:b/>
          <w:sz w:val="22"/>
          <w:szCs w:val="22"/>
        </w:rPr>
      </w:pPr>
      <w:r w:rsidRPr="000102A7">
        <w:rPr>
          <w:rFonts w:ascii="Arial" w:hAnsi="Arial"/>
          <w:b/>
          <w:sz w:val="22"/>
          <w:szCs w:val="22"/>
        </w:rPr>
        <w:t>Outcome:</w:t>
      </w:r>
    </w:p>
    <w:p w:rsidR="00516134" w:rsidRPr="0015766D" w:rsidRDefault="009C703C" w:rsidP="0015766D">
      <w:pPr>
        <w:jc w:val="both"/>
        <w:rPr>
          <w:rFonts w:ascii="Arial" w:hAnsi="Arial"/>
          <w:sz w:val="22"/>
          <w:szCs w:val="22"/>
        </w:rPr>
      </w:pPr>
      <w:r w:rsidRPr="00882085">
        <w:rPr>
          <w:rFonts w:ascii="Arial" w:hAnsi="Arial"/>
          <w:sz w:val="22"/>
          <w:szCs w:val="22"/>
        </w:rPr>
        <w:t xml:space="preserve">Recommended </w:t>
      </w:r>
    </w:p>
    <w:p w:rsidR="00E16910" w:rsidRDefault="00E16910" w:rsidP="00882085">
      <w:pPr>
        <w:jc w:val="both"/>
        <w:rPr>
          <w:rFonts w:ascii="Arial" w:hAnsi="Arial"/>
          <w:sz w:val="22"/>
          <w:szCs w:val="22"/>
        </w:rPr>
      </w:pPr>
    </w:p>
    <w:p w:rsidR="00243655" w:rsidRPr="00243655" w:rsidRDefault="0069384D" w:rsidP="00243655">
      <w:pPr>
        <w:pStyle w:val="ListParagraph"/>
        <w:numPr>
          <w:ilvl w:val="0"/>
          <w:numId w:val="25"/>
        </w:numPr>
        <w:jc w:val="both"/>
        <w:rPr>
          <w:rFonts w:ascii="Arial" w:hAnsi="Arial"/>
          <w:b/>
          <w:sz w:val="22"/>
          <w:szCs w:val="22"/>
        </w:rPr>
      </w:pPr>
      <w:r w:rsidRPr="00407F2D">
        <w:rPr>
          <w:rFonts w:ascii="Arial" w:hAnsi="Arial" w:cs="Arial"/>
          <w:b/>
          <w:sz w:val="22"/>
          <w:szCs w:val="22"/>
        </w:rPr>
        <w:t>Recommended listing</w:t>
      </w:r>
    </w:p>
    <w:p w:rsidR="00243655" w:rsidRDefault="00243655" w:rsidP="00243655">
      <w:pPr>
        <w:jc w:val="both"/>
        <w:rPr>
          <w:rFonts w:ascii="Arial" w:hAnsi="Arial"/>
          <w:sz w:val="22"/>
          <w:szCs w:val="22"/>
        </w:rPr>
      </w:pPr>
    </w:p>
    <w:p w:rsidR="00D0321E" w:rsidRPr="00243655" w:rsidRDefault="00D0321E" w:rsidP="00243655">
      <w:pPr>
        <w:pStyle w:val="ListParagraph"/>
        <w:numPr>
          <w:ilvl w:val="1"/>
          <w:numId w:val="25"/>
        </w:numPr>
        <w:ind w:left="709" w:hanging="709"/>
        <w:jc w:val="both"/>
        <w:rPr>
          <w:rFonts w:ascii="Arial" w:hAnsi="Arial"/>
          <w:b/>
          <w:sz w:val="22"/>
          <w:szCs w:val="22"/>
        </w:rPr>
      </w:pPr>
      <w:r w:rsidRPr="00243655">
        <w:rPr>
          <w:rFonts w:ascii="Arial" w:hAnsi="Arial"/>
          <w:sz w:val="22"/>
          <w:szCs w:val="22"/>
        </w:rPr>
        <w:t>Add new item:</w:t>
      </w:r>
    </w:p>
    <w:p w:rsidR="00243655" w:rsidRPr="00243655" w:rsidRDefault="00243655" w:rsidP="00243655">
      <w:pPr>
        <w:pStyle w:val="ListParagraph"/>
        <w:ind w:left="709"/>
        <w:jc w:val="both"/>
        <w:rPr>
          <w:rFonts w:ascii="Arial" w:hAnsi="Arial"/>
          <w:b/>
          <w:sz w:val="22"/>
          <w:szCs w:val="22"/>
        </w:rPr>
      </w:pPr>
    </w:p>
    <w:tbl>
      <w:tblPr>
        <w:tblW w:w="9214" w:type="dxa"/>
        <w:tblInd w:w="108" w:type="dxa"/>
        <w:tblLayout w:type="fixed"/>
        <w:tblLook w:val="0000" w:firstRow="0" w:lastRow="0" w:firstColumn="0" w:lastColumn="0" w:noHBand="0" w:noVBand="0"/>
      </w:tblPr>
      <w:tblGrid>
        <w:gridCol w:w="3119"/>
        <w:gridCol w:w="850"/>
        <w:gridCol w:w="709"/>
        <w:gridCol w:w="2410"/>
        <w:gridCol w:w="2126"/>
      </w:tblGrid>
      <w:tr w:rsidR="000201E0" w:rsidRPr="00552722" w:rsidTr="002B30C3">
        <w:trPr>
          <w:cantSplit/>
          <w:trHeight w:val="471"/>
        </w:trPr>
        <w:tc>
          <w:tcPr>
            <w:tcW w:w="3119" w:type="dxa"/>
            <w:tcBorders>
              <w:bottom w:val="single" w:sz="4" w:space="0" w:color="auto"/>
            </w:tcBorders>
          </w:tcPr>
          <w:p w:rsidR="000201E0" w:rsidRPr="00B93F12" w:rsidRDefault="000201E0" w:rsidP="000201E0">
            <w:pPr>
              <w:keepNext/>
              <w:jc w:val="both"/>
              <w:rPr>
                <w:rFonts w:ascii="Arial Narrow" w:hAnsi="Arial Narrow" w:cs="Arial"/>
                <w:sz w:val="20"/>
                <w:szCs w:val="20"/>
              </w:rPr>
            </w:pPr>
            <w:r w:rsidRPr="00B93F12">
              <w:rPr>
                <w:rFonts w:ascii="Arial Narrow" w:hAnsi="Arial Narrow" w:cs="Arial"/>
                <w:sz w:val="20"/>
                <w:szCs w:val="20"/>
              </w:rPr>
              <w:t>Name, Restriction,</w:t>
            </w:r>
          </w:p>
          <w:p w:rsidR="000201E0" w:rsidRPr="00B93F12" w:rsidRDefault="000201E0" w:rsidP="000201E0">
            <w:pPr>
              <w:keepNext/>
              <w:jc w:val="both"/>
              <w:rPr>
                <w:rFonts w:ascii="Arial Narrow" w:hAnsi="Arial Narrow" w:cs="Arial"/>
                <w:sz w:val="20"/>
                <w:szCs w:val="20"/>
              </w:rPr>
            </w:pPr>
            <w:r w:rsidRPr="00B93F12">
              <w:rPr>
                <w:rFonts w:ascii="Arial Narrow" w:hAnsi="Arial Narrow" w:cs="Arial"/>
                <w:sz w:val="20"/>
                <w:szCs w:val="20"/>
              </w:rPr>
              <w:t xml:space="preserve">Manner of administration </w:t>
            </w:r>
          </w:p>
          <w:p w:rsidR="000201E0" w:rsidRPr="00B93F12" w:rsidRDefault="000201E0" w:rsidP="000201E0">
            <w:pPr>
              <w:keepNext/>
              <w:jc w:val="both"/>
              <w:rPr>
                <w:rFonts w:ascii="Arial Narrow" w:hAnsi="Arial Narrow" w:cs="Arial"/>
                <w:sz w:val="20"/>
                <w:szCs w:val="20"/>
              </w:rPr>
            </w:pPr>
            <w:r w:rsidRPr="00B93F12">
              <w:rPr>
                <w:rFonts w:ascii="Arial Narrow" w:hAnsi="Arial Narrow" w:cs="Arial"/>
                <w:sz w:val="20"/>
                <w:szCs w:val="20"/>
              </w:rPr>
              <w:t>and form</w:t>
            </w:r>
          </w:p>
        </w:tc>
        <w:tc>
          <w:tcPr>
            <w:tcW w:w="850" w:type="dxa"/>
            <w:tcBorders>
              <w:bottom w:val="single" w:sz="4" w:space="0" w:color="auto"/>
            </w:tcBorders>
          </w:tcPr>
          <w:p w:rsidR="000201E0" w:rsidRPr="00B93F12" w:rsidRDefault="000201E0" w:rsidP="002B30C3">
            <w:pPr>
              <w:keepNext/>
              <w:ind w:left="-108"/>
              <w:jc w:val="both"/>
              <w:rPr>
                <w:rFonts w:ascii="Arial Narrow" w:hAnsi="Arial Narrow" w:cs="Arial"/>
                <w:sz w:val="20"/>
                <w:szCs w:val="20"/>
              </w:rPr>
            </w:pPr>
            <w:r w:rsidRPr="00B93F12">
              <w:rPr>
                <w:rFonts w:ascii="Arial Narrow" w:hAnsi="Arial Narrow" w:cs="Arial"/>
                <w:sz w:val="20"/>
                <w:szCs w:val="20"/>
              </w:rPr>
              <w:t>Max.</w:t>
            </w:r>
          </w:p>
          <w:p w:rsidR="000201E0" w:rsidRPr="00B93F12" w:rsidRDefault="000201E0" w:rsidP="002B30C3">
            <w:pPr>
              <w:keepNext/>
              <w:ind w:left="-108"/>
              <w:jc w:val="both"/>
              <w:rPr>
                <w:rFonts w:ascii="Arial Narrow" w:hAnsi="Arial Narrow" w:cs="Arial"/>
                <w:sz w:val="20"/>
                <w:szCs w:val="20"/>
              </w:rPr>
            </w:pPr>
            <w:proofErr w:type="spellStart"/>
            <w:r w:rsidRPr="00B93F12">
              <w:rPr>
                <w:rFonts w:ascii="Arial Narrow" w:hAnsi="Arial Narrow" w:cs="Arial"/>
                <w:sz w:val="20"/>
                <w:szCs w:val="20"/>
              </w:rPr>
              <w:t>Qty</w:t>
            </w:r>
            <w:proofErr w:type="spellEnd"/>
          </w:p>
        </w:tc>
        <w:tc>
          <w:tcPr>
            <w:tcW w:w="709" w:type="dxa"/>
            <w:tcBorders>
              <w:bottom w:val="single" w:sz="4" w:space="0" w:color="auto"/>
            </w:tcBorders>
          </w:tcPr>
          <w:p w:rsidR="000201E0" w:rsidRPr="00B93F12" w:rsidRDefault="000201E0" w:rsidP="002B30C3">
            <w:pPr>
              <w:keepNext/>
              <w:ind w:left="-108"/>
              <w:jc w:val="both"/>
              <w:rPr>
                <w:rFonts w:ascii="Arial Narrow" w:hAnsi="Arial Narrow" w:cs="Arial"/>
                <w:sz w:val="20"/>
                <w:szCs w:val="20"/>
              </w:rPr>
            </w:pPr>
            <w:r w:rsidRPr="00B93F12">
              <w:rPr>
                <w:rFonts w:ascii="Arial Narrow" w:hAnsi="Arial Narrow" w:cs="Arial"/>
                <w:sz w:val="20"/>
                <w:szCs w:val="20"/>
              </w:rPr>
              <w:t>№.of</w:t>
            </w:r>
          </w:p>
          <w:p w:rsidR="000201E0" w:rsidRPr="00B93F12" w:rsidRDefault="000201E0" w:rsidP="002B30C3">
            <w:pPr>
              <w:keepNext/>
              <w:ind w:left="-108"/>
              <w:jc w:val="both"/>
              <w:rPr>
                <w:rFonts w:ascii="Arial Narrow" w:hAnsi="Arial Narrow" w:cs="Arial"/>
                <w:sz w:val="20"/>
                <w:szCs w:val="20"/>
              </w:rPr>
            </w:pPr>
            <w:proofErr w:type="spellStart"/>
            <w:r w:rsidRPr="00B93F12">
              <w:rPr>
                <w:rFonts w:ascii="Arial Narrow" w:hAnsi="Arial Narrow" w:cs="Arial"/>
                <w:sz w:val="20"/>
                <w:szCs w:val="20"/>
              </w:rPr>
              <w:t>Rpts</w:t>
            </w:r>
            <w:proofErr w:type="spellEnd"/>
          </w:p>
        </w:tc>
        <w:tc>
          <w:tcPr>
            <w:tcW w:w="4536" w:type="dxa"/>
            <w:gridSpan w:val="2"/>
            <w:tcBorders>
              <w:bottom w:val="single" w:sz="4" w:space="0" w:color="auto"/>
            </w:tcBorders>
          </w:tcPr>
          <w:p w:rsidR="000201E0" w:rsidRPr="00B93F12" w:rsidRDefault="000201E0" w:rsidP="002B30C3">
            <w:pPr>
              <w:keepNext/>
              <w:jc w:val="both"/>
              <w:rPr>
                <w:rFonts w:ascii="Arial Narrow" w:hAnsi="Arial Narrow" w:cs="Arial"/>
                <w:sz w:val="20"/>
                <w:szCs w:val="20"/>
                <w:lang w:val="fr-FR"/>
              </w:rPr>
            </w:pPr>
            <w:r w:rsidRPr="00B93F12">
              <w:rPr>
                <w:rFonts w:ascii="Arial Narrow" w:hAnsi="Arial Narrow" w:cs="Arial"/>
                <w:sz w:val="20"/>
                <w:szCs w:val="20"/>
              </w:rPr>
              <w:t>Proprietary Name and Manufacturer</w:t>
            </w:r>
          </w:p>
        </w:tc>
      </w:tr>
      <w:tr w:rsidR="000201E0" w:rsidRPr="00552722" w:rsidTr="002B30C3">
        <w:trPr>
          <w:cantSplit/>
          <w:trHeight w:val="577"/>
        </w:trPr>
        <w:tc>
          <w:tcPr>
            <w:tcW w:w="3119" w:type="dxa"/>
          </w:tcPr>
          <w:p w:rsidR="000201E0" w:rsidRPr="00B93F12" w:rsidRDefault="000201E0" w:rsidP="002B30C3">
            <w:pPr>
              <w:keepNext/>
              <w:ind w:left="-108"/>
              <w:jc w:val="both"/>
              <w:rPr>
                <w:rFonts w:ascii="Arial Narrow" w:hAnsi="Arial Narrow" w:cs="Arial"/>
                <w:sz w:val="20"/>
                <w:szCs w:val="20"/>
              </w:rPr>
            </w:pPr>
            <w:r w:rsidRPr="00B93F12">
              <w:rPr>
                <w:rFonts w:ascii="Arial Narrow" w:hAnsi="Arial Narrow" w:cs="Arial"/>
                <w:smallCaps/>
                <w:sz w:val="20"/>
                <w:szCs w:val="20"/>
              </w:rPr>
              <w:t xml:space="preserve">LISDEXAMFETAMINE DIMESILATE </w:t>
            </w:r>
          </w:p>
          <w:p w:rsidR="000201E0" w:rsidRPr="00B93F12" w:rsidRDefault="000201E0" w:rsidP="002B30C3">
            <w:pPr>
              <w:keepNext/>
              <w:ind w:left="-108"/>
              <w:jc w:val="both"/>
              <w:rPr>
                <w:rFonts w:ascii="Arial Narrow" w:hAnsi="Arial Narrow" w:cs="Arial"/>
                <w:sz w:val="20"/>
                <w:szCs w:val="20"/>
              </w:rPr>
            </w:pPr>
            <w:r w:rsidRPr="00B93F12">
              <w:rPr>
                <w:rFonts w:ascii="Arial Narrow" w:hAnsi="Arial Narrow" w:cs="Arial"/>
                <w:sz w:val="20"/>
                <w:szCs w:val="20"/>
              </w:rPr>
              <w:t>Capsule 30 mg , 30</w:t>
            </w:r>
          </w:p>
          <w:p w:rsidR="000201E0" w:rsidRPr="00B93F12" w:rsidRDefault="000201E0" w:rsidP="002B30C3">
            <w:pPr>
              <w:keepNext/>
              <w:ind w:left="-108"/>
              <w:jc w:val="both"/>
              <w:rPr>
                <w:rFonts w:ascii="Arial Narrow" w:hAnsi="Arial Narrow" w:cs="Arial"/>
                <w:sz w:val="20"/>
                <w:szCs w:val="20"/>
              </w:rPr>
            </w:pPr>
            <w:r w:rsidRPr="00B93F12">
              <w:rPr>
                <w:rFonts w:ascii="Arial Narrow" w:hAnsi="Arial Narrow" w:cs="Arial"/>
                <w:sz w:val="20"/>
                <w:szCs w:val="20"/>
              </w:rPr>
              <w:t>Capsule 50 mg , 30</w:t>
            </w:r>
          </w:p>
          <w:p w:rsidR="000201E0" w:rsidRPr="00B93F12" w:rsidRDefault="000201E0" w:rsidP="002B30C3">
            <w:pPr>
              <w:keepNext/>
              <w:ind w:left="-108"/>
              <w:jc w:val="both"/>
              <w:rPr>
                <w:rFonts w:ascii="Arial Narrow" w:hAnsi="Arial Narrow" w:cs="Arial"/>
                <w:sz w:val="20"/>
                <w:szCs w:val="20"/>
              </w:rPr>
            </w:pPr>
            <w:r w:rsidRPr="00B93F12">
              <w:rPr>
                <w:rFonts w:ascii="Arial Narrow" w:hAnsi="Arial Narrow" w:cs="Arial"/>
                <w:sz w:val="20"/>
                <w:szCs w:val="20"/>
              </w:rPr>
              <w:t>Capsule 70 mg , 30</w:t>
            </w:r>
          </w:p>
        </w:tc>
        <w:tc>
          <w:tcPr>
            <w:tcW w:w="850" w:type="dxa"/>
          </w:tcPr>
          <w:p w:rsidR="000201E0" w:rsidRPr="00B93F12" w:rsidRDefault="000201E0" w:rsidP="002B30C3">
            <w:pPr>
              <w:keepNext/>
              <w:ind w:left="-108"/>
              <w:jc w:val="both"/>
              <w:rPr>
                <w:rFonts w:ascii="Arial Narrow" w:hAnsi="Arial Narrow" w:cs="Arial"/>
                <w:sz w:val="20"/>
                <w:szCs w:val="20"/>
              </w:rPr>
            </w:pPr>
          </w:p>
          <w:p w:rsidR="000201E0" w:rsidRPr="00B93F12" w:rsidRDefault="000201E0" w:rsidP="002B30C3">
            <w:pPr>
              <w:keepNext/>
              <w:jc w:val="both"/>
              <w:rPr>
                <w:rFonts w:ascii="Arial Narrow" w:hAnsi="Arial Narrow" w:cs="Arial"/>
                <w:sz w:val="20"/>
                <w:szCs w:val="20"/>
              </w:rPr>
            </w:pPr>
            <w:r w:rsidRPr="00B93F12">
              <w:rPr>
                <w:rFonts w:ascii="Arial Narrow" w:hAnsi="Arial Narrow" w:cs="Arial"/>
                <w:sz w:val="20"/>
                <w:szCs w:val="20"/>
              </w:rPr>
              <w:t>1</w:t>
            </w:r>
          </w:p>
          <w:p w:rsidR="000201E0" w:rsidRPr="00B93F12" w:rsidRDefault="000201E0" w:rsidP="002B30C3">
            <w:pPr>
              <w:keepNext/>
              <w:jc w:val="both"/>
              <w:rPr>
                <w:rFonts w:ascii="Arial Narrow" w:hAnsi="Arial Narrow" w:cs="Arial"/>
                <w:sz w:val="20"/>
                <w:szCs w:val="20"/>
              </w:rPr>
            </w:pPr>
            <w:r w:rsidRPr="00B93F12">
              <w:rPr>
                <w:rFonts w:ascii="Arial Narrow" w:hAnsi="Arial Narrow" w:cs="Arial"/>
                <w:sz w:val="20"/>
                <w:szCs w:val="20"/>
              </w:rPr>
              <w:t>1</w:t>
            </w:r>
          </w:p>
          <w:p w:rsidR="000201E0" w:rsidRPr="00B93F12" w:rsidRDefault="000201E0" w:rsidP="002B30C3">
            <w:pPr>
              <w:keepNext/>
              <w:jc w:val="both"/>
              <w:rPr>
                <w:rFonts w:ascii="Arial Narrow" w:hAnsi="Arial Narrow" w:cs="Arial"/>
                <w:sz w:val="20"/>
                <w:szCs w:val="20"/>
              </w:rPr>
            </w:pPr>
            <w:r w:rsidRPr="00B93F12">
              <w:rPr>
                <w:rFonts w:ascii="Arial Narrow" w:hAnsi="Arial Narrow" w:cs="Arial"/>
                <w:sz w:val="20"/>
                <w:szCs w:val="20"/>
              </w:rPr>
              <w:t>1</w:t>
            </w:r>
          </w:p>
          <w:p w:rsidR="000201E0" w:rsidRPr="00B93F12" w:rsidRDefault="000201E0" w:rsidP="002B30C3">
            <w:pPr>
              <w:keepNext/>
              <w:ind w:left="-108"/>
              <w:jc w:val="both"/>
              <w:rPr>
                <w:rFonts w:ascii="Arial Narrow" w:hAnsi="Arial Narrow" w:cs="Arial"/>
                <w:sz w:val="20"/>
                <w:szCs w:val="20"/>
              </w:rPr>
            </w:pPr>
          </w:p>
        </w:tc>
        <w:tc>
          <w:tcPr>
            <w:tcW w:w="709" w:type="dxa"/>
          </w:tcPr>
          <w:p w:rsidR="000201E0" w:rsidRPr="00B93F12" w:rsidRDefault="000201E0" w:rsidP="002B30C3">
            <w:pPr>
              <w:keepNext/>
              <w:ind w:left="-108"/>
              <w:jc w:val="both"/>
              <w:rPr>
                <w:rFonts w:ascii="Arial Narrow" w:hAnsi="Arial Narrow" w:cs="Arial"/>
                <w:sz w:val="20"/>
                <w:szCs w:val="20"/>
              </w:rPr>
            </w:pPr>
          </w:p>
          <w:p w:rsidR="000201E0" w:rsidRPr="00B93F12" w:rsidRDefault="00F74EBE" w:rsidP="002B30C3">
            <w:pPr>
              <w:keepNext/>
              <w:jc w:val="both"/>
              <w:rPr>
                <w:rFonts w:ascii="Arial Narrow" w:hAnsi="Arial Narrow" w:cs="Arial"/>
                <w:sz w:val="20"/>
                <w:szCs w:val="20"/>
              </w:rPr>
            </w:pPr>
            <w:r>
              <w:rPr>
                <w:rFonts w:ascii="Arial Narrow" w:hAnsi="Arial Narrow" w:cs="Arial"/>
                <w:sz w:val="20"/>
                <w:szCs w:val="20"/>
              </w:rPr>
              <w:t>5</w:t>
            </w:r>
          </w:p>
          <w:p w:rsidR="000201E0" w:rsidRPr="00B93F12" w:rsidRDefault="00F74EBE" w:rsidP="002B30C3">
            <w:pPr>
              <w:keepNext/>
              <w:jc w:val="both"/>
              <w:rPr>
                <w:rFonts w:ascii="Arial Narrow" w:hAnsi="Arial Narrow" w:cs="Arial"/>
                <w:sz w:val="20"/>
                <w:szCs w:val="20"/>
              </w:rPr>
            </w:pPr>
            <w:r>
              <w:rPr>
                <w:rFonts w:ascii="Arial Narrow" w:hAnsi="Arial Narrow" w:cs="Arial"/>
                <w:sz w:val="20"/>
                <w:szCs w:val="20"/>
              </w:rPr>
              <w:t>5</w:t>
            </w:r>
          </w:p>
          <w:p w:rsidR="000201E0" w:rsidRPr="00B93F12" w:rsidRDefault="00F74EBE" w:rsidP="002B30C3">
            <w:pPr>
              <w:keepNext/>
              <w:jc w:val="both"/>
              <w:rPr>
                <w:rFonts w:ascii="Arial Narrow" w:hAnsi="Arial Narrow" w:cs="Arial"/>
                <w:sz w:val="20"/>
                <w:szCs w:val="20"/>
              </w:rPr>
            </w:pPr>
            <w:r>
              <w:rPr>
                <w:rFonts w:ascii="Arial Narrow" w:hAnsi="Arial Narrow" w:cs="Arial"/>
                <w:sz w:val="20"/>
                <w:szCs w:val="20"/>
              </w:rPr>
              <w:t>5</w:t>
            </w:r>
          </w:p>
        </w:tc>
        <w:tc>
          <w:tcPr>
            <w:tcW w:w="2410" w:type="dxa"/>
          </w:tcPr>
          <w:p w:rsidR="000201E0" w:rsidRPr="00B93F12" w:rsidRDefault="000201E0" w:rsidP="002B30C3">
            <w:pPr>
              <w:keepNext/>
              <w:jc w:val="both"/>
              <w:rPr>
                <w:rFonts w:ascii="Arial Narrow" w:hAnsi="Arial Narrow" w:cs="Arial"/>
                <w:sz w:val="20"/>
                <w:szCs w:val="20"/>
              </w:rPr>
            </w:pPr>
          </w:p>
          <w:p w:rsidR="000201E0" w:rsidRPr="00B93F12" w:rsidRDefault="000201E0" w:rsidP="002B30C3">
            <w:pPr>
              <w:keepNext/>
              <w:jc w:val="both"/>
              <w:rPr>
                <w:rFonts w:ascii="Arial Narrow" w:hAnsi="Arial Narrow" w:cs="Arial"/>
                <w:sz w:val="20"/>
                <w:szCs w:val="20"/>
              </w:rPr>
            </w:pPr>
            <w:proofErr w:type="spellStart"/>
            <w:r w:rsidRPr="00B93F12">
              <w:rPr>
                <w:rFonts w:ascii="Arial Narrow" w:hAnsi="Arial Narrow" w:cs="Arial"/>
                <w:sz w:val="20"/>
                <w:szCs w:val="20"/>
              </w:rPr>
              <w:t>Vyvanse</w:t>
            </w:r>
            <w:proofErr w:type="spellEnd"/>
            <w:r w:rsidR="00A738DA" w:rsidRPr="00A738DA">
              <w:rPr>
                <w:rFonts w:ascii="Arial Narrow" w:hAnsi="Arial Narrow" w:cs="Arial"/>
                <w:sz w:val="20"/>
                <w:szCs w:val="20"/>
                <w:vertAlign w:val="superscript"/>
              </w:rPr>
              <w:t>®</w:t>
            </w:r>
          </w:p>
          <w:p w:rsidR="000201E0" w:rsidRPr="00B93F12" w:rsidRDefault="000201E0" w:rsidP="002B30C3">
            <w:pPr>
              <w:keepNext/>
              <w:jc w:val="both"/>
              <w:rPr>
                <w:rFonts w:ascii="Arial Narrow" w:hAnsi="Arial Narrow" w:cs="Arial"/>
                <w:sz w:val="20"/>
                <w:szCs w:val="20"/>
              </w:rPr>
            </w:pPr>
            <w:proofErr w:type="spellStart"/>
            <w:r w:rsidRPr="00B93F12">
              <w:rPr>
                <w:rFonts w:ascii="Arial Narrow" w:hAnsi="Arial Narrow" w:cs="Arial"/>
                <w:sz w:val="20"/>
                <w:szCs w:val="20"/>
              </w:rPr>
              <w:t>Vyvanse</w:t>
            </w:r>
            <w:proofErr w:type="spellEnd"/>
            <w:r w:rsidR="00A738DA" w:rsidRPr="00A738DA">
              <w:rPr>
                <w:rFonts w:ascii="Arial Narrow" w:hAnsi="Arial Narrow" w:cs="Arial"/>
                <w:sz w:val="20"/>
                <w:szCs w:val="20"/>
                <w:vertAlign w:val="superscript"/>
              </w:rPr>
              <w:t>®</w:t>
            </w:r>
          </w:p>
          <w:p w:rsidR="000201E0" w:rsidRPr="00B93F12" w:rsidRDefault="000201E0" w:rsidP="002B30C3">
            <w:pPr>
              <w:keepNext/>
              <w:jc w:val="both"/>
              <w:rPr>
                <w:rFonts w:ascii="Arial Narrow" w:hAnsi="Arial Narrow" w:cs="Arial"/>
                <w:sz w:val="20"/>
                <w:szCs w:val="20"/>
              </w:rPr>
            </w:pPr>
            <w:proofErr w:type="spellStart"/>
            <w:r w:rsidRPr="00B93F12">
              <w:rPr>
                <w:rFonts w:ascii="Arial Narrow" w:hAnsi="Arial Narrow" w:cs="Arial"/>
                <w:sz w:val="20"/>
                <w:szCs w:val="20"/>
              </w:rPr>
              <w:t>Vyvanse</w:t>
            </w:r>
            <w:proofErr w:type="spellEnd"/>
            <w:r w:rsidR="00A738DA" w:rsidRPr="00A738DA">
              <w:rPr>
                <w:rFonts w:ascii="Arial Narrow" w:hAnsi="Arial Narrow" w:cs="Arial"/>
                <w:sz w:val="20"/>
                <w:szCs w:val="20"/>
                <w:vertAlign w:val="superscript"/>
              </w:rPr>
              <w:t>®</w:t>
            </w:r>
          </w:p>
          <w:p w:rsidR="000201E0" w:rsidRPr="00B93F12" w:rsidRDefault="000201E0" w:rsidP="002B30C3">
            <w:pPr>
              <w:keepNext/>
              <w:jc w:val="both"/>
              <w:rPr>
                <w:rFonts w:ascii="Arial Narrow" w:hAnsi="Arial Narrow" w:cs="Arial"/>
                <w:sz w:val="20"/>
                <w:szCs w:val="20"/>
              </w:rPr>
            </w:pPr>
          </w:p>
        </w:tc>
        <w:tc>
          <w:tcPr>
            <w:tcW w:w="2126" w:type="dxa"/>
          </w:tcPr>
          <w:p w:rsidR="000201E0" w:rsidRPr="00B93F12" w:rsidRDefault="000201E0" w:rsidP="002B30C3">
            <w:pPr>
              <w:keepNext/>
              <w:jc w:val="both"/>
              <w:rPr>
                <w:rFonts w:ascii="Arial Narrow" w:hAnsi="Arial Narrow" w:cs="Arial"/>
                <w:sz w:val="20"/>
                <w:szCs w:val="20"/>
              </w:rPr>
            </w:pPr>
          </w:p>
          <w:p w:rsidR="000201E0" w:rsidRPr="00B93F12" w:rsidRDefault="000201E0" w:rsidP="002B30C3">
            <w:pPr>
              <w:keepNext/>
              <w:jc w:val="both"/>
              <w:rPr>
                <w:rFonts w:ascii="Arial Narrow" w:hAnsi="Arial Narrow" w:cs="Arial"/>
                <w:sz w:val="20"/>
                <w:szCs w:val="20"/>
              </w:rPr>
            </w:pPr>
            <w:r w:rsidRPr="00B93F12">
              <w:rPr>
                <w:rFonts w:ascii="Arial Narrow" w:hAnsi="Arial Narrow" w:cs="Arial"/>
                <w:sz w:val="20"/>
                <w:szCs w:val="20"/>
              </w:rPr>
              <w:t>ZI</w:t>
            </w:r>
          </w:p>
          <w:p w:rsidR="000201E0" w:rsidRPr="00B93F12" w:rsidRDefault="000201E0" w:rsidP="002B30C3">
            <w:pPr>
              <w:keepNext/>
              <w:jc w:val="both"/>
              <w:rPr>
                <w:rFonts w:ascii="Arial Narrow" w:hAnsi="Arial Narrow" w:cs="Arial"/>
                <w:sz w:val="20"/>
                <w:szCs w:val="20"/>
              </w:rPr>
            </w:pPr>
            <w:r w:rsidRPr="00B93F12">
              <w:rPr>
                <w:rFonts w:ascii="Arial Narrow" w:hAnsi="Arial Narrow" w:cs="Arial"/>
                <w:sz w:val="20"/>
                <w:szCs w:val="20"/>
              </w:rPr>
              <w:t>ZI</w:t>
            </w:r>
          </w:p>
          <w:p w:rsidR="000201E0" w:rsidRPr="00B93F12" w:rsidRDefault="000201E0" w:rsidP="002B30C3">
            <w:pPr>
              <w:keepNext/>
              <w:jc w:val="both"/>
              <w:rPr>
                <w:rFonts w:ascii="Arial Narrow" w:hAnsi="Arial Narrow" w:cs="Arial"/>
                <w:sz w:val="20"/>
                <w:szCs w:val="20"/>
              </w:rPr>
            </w:pPr>
            <w:r w:rsidRPr="00B93F12">
              <w:rPr>
                <w:rFonts w:ascii="Arial Narrow" w:hAnsi="Arial Narrow" w:cs="Arial"/>
                <w:sz w:val="20"/>
                <w:szCs w:val="20"/>
              </w:rPr>
              <w:t>ZI</w:t>
            </w:r>
          </w:p>
        </w:tc>
      </w:tr>
    </w:tbl>
    <w:p w:rsidR="000201E0" w:rsidRPr="00B93F12" w:rsidRDefault="000201E0" w:rsidP="000201E0">
      <w:pPr>
        <w:rPr>
          <w:rFonts w:ascii="Arial Narrow" w:hAnsi="Arial Narrow" w:cs="Arial"/>
          <w:sz w:val="20"/>
          <w:szCs w:val="20"/>
        </w:rPr>
      </w:pPr>
    </w:p>
    <w:tbl>
      <w:tblPr>
        <w:tblW w:w="9214" w:type="dxa"/>
        <w:tblInd w:w="108" w:type="dxa"/>
        <w:tblLayout w:type="fixed"/>
        <w:tblLook w:val="0000" w:firstRow="0" w:lastRow="0" w:firstColumn="0" w:lastColumn="0" w:noHBand="0" w:noVBand="0"/>
        <w:tblDescription w:val="listing lisdexamfetamine"/>
      </w:tblPr>
      <w:tblGrid>
        <w:gridCol w:w="1418"/>
        <w:gridCol w:w="7796"/>
      </w:tblGrid>
      <w:tr w:rsidR="000F0694" w:rsidRPr="004464A6" w:rsidTr="00A738DA">
        <w:trPr>
          <w:cantSplit/>
          <w:trHeight w:val="360"/>
        </w:trPr>
        <w:tc>
          <w:tcPr>
            <w:tcW w:w="1418" w:type="dxa"/>
            <w:tcBorders>
              <w:top w:val="single" w:sz="4" w:space="0" w:color="auto"/>
              <w:left w:val="single" w:sz="4" w:space="0" w:color="auto"/>
              <w:bottom w:val="single" w:sz="4" w:space="0" w:color="auto"/>
              <w:right w:val="single" w:sz="4" w:space="0" w:color="auto"/>
            </w:tcBorders>
          </w:tcPr>
          <w:p w:rsidR="00A738DA" w:rsidRDefault="000F0694" w:rsidP="002B30C3">
            <w:pPr>
              <w:jc w:val="both"/>
              <w:rPr>
                <w:rFonts w:ascii="Arial Narrow" w:hAnsi="Arial Narrow" w:cs="Arial"/>
                <w:b/>
                <w:sz w:val="20"/>
                <w:szCs w:val="20"/>
              </w:rPr>
            </w:pPr>
            <w:r w:rsidRPr="00B93F12">
              <w:rPr>
                <w:rFonts w:ascii="Arial Narrow" w:hAnsi="Arial Narrow" w:cs="Arial"/>
                <w:b/>
                <w:sz w:val="20"/>
                <w:szCs w:val="20"/>
              </w:rPr>
              <w:t>Category/</w:t>
            </w:r>
          </w:p>
          <w:p w:rsidR="000F0694" w:rsidRPr="00B93F12" w:rsidRDefault="000F0694" w:rsidP="002B30C3">
            <w:pPr>
              <w:jc w:val="both"/>
              <w:rPr>
                <w:rFonts w:ascii="Arial Narrow" w:hAnsi="Arial Narrow" w:cs="Arial"/>
                <w:b/>
                <w:sz w:val="20"/>
                <w:szCs w:val="20"/>
              </w:rPr>
            </w:pPr>
            <w:r w:rsidRPr="00B93F12">
              <w:rPr>
                <w:rFonts w:ascii="Arial Narrow" w:hAnsi="Arial Narrow" w:cs="Arial"/>
                <w:b/>
                <w:sz w:val="20"/>
                <w:szCs w:val="20"/>
              </w:rPr>
              <w:t>Program</w:t>
            </w:r>
            <w:r w:rsidR="00B56B9E">
              <w:rPr>
                <w:rFonts w:ascii="Arial Narrow" w:hAnsi="Arial Narrow" w:cs="Arial"/>
                <w:b/>
                <w:sz w:val="20"/>
                <w:szCs w:val="20"/>
              </w:rPr>
              <w:t>:</w:t>
            </w:r>
          </w:p>
        </w:tc>
        <w:tc>
          <w:tcPr>
            <w:tcW w:w="7796" w:type="dxa"/>
            <w:tcBorders>
              <w:top w:val="single" w:sz="4" w:space="0" w:color="auto"/>
              <w:left w:val="single" w:sz="4" w:space="0" w:color="auto"/>
              <w:bottom w:val="single" w:sz="4" w:space="0" w:color="auto"/>
              <w:right w:val="single" w:sz="4" w:space="0" w:color="auto"/>
            </w:tcBorders>
          </w:tcPr>
          <w:p w:rsidR="000F0694" w:rsidRPr="00A738DA" w:rsidRDefault="00B56B9E" w:rsidP="002B30C3">
            <w:pPr>
              <w:rPr>
                <w:rFonts w:ascii="Arial Narrow" w:hAnsi="Arial Narrow" w:cs="Arial"/>
                <w:sz w:val="20"/>
                <w:szCs w:val="20"/>
              </w:rPr>
            </w:pPr>
            <w:r w:rsidRPr="00A738DA">
              <w:rPr>
                <w:rFonts w:ascii="Arial Narrow" w:hAnsi="Arial Narrow" w:cs="Arial"/>
                <w:sz w:val="20"/>
                <w:szCs w:val="20"/>
              </w:rPr>
              <w:t xml:space="preserve">General Schedule </w:t>
            </w:r>
          </w:p>
        </w:tc>
      </w:tr>
      <w:tr w:rsidR="000F0694" w:rsidRPr="004464A6" w:rsidTr="00A738DA">
        <w:trPr>
          <w:cantSplit/>
          <w:trHeight w:val="360"/>
        </w:trPr>
        <w:tc>
          <w:tcPr>
            <w:tcW w:w="1418" w:type="dxa"/>
            <w:tcBorders>
              <w:top w:val="single" w:sz="4" w:space="0" w:color="auto"/>
              <w:left w:val="single" w:sz="4" w:space="0" w:color="auto"/>
              <w:bottom w:val="single" w:sz="4" w:space="0" w:color="auto"/>
              <w:right w:val="single" w:sz="4" w:space="0" w:color="auto"/>
            </w:tcBorders>
          </w:tcPr>
          <w:p w:rsidR="000F0694" w:rsidRPr="00B93F12" w:rsidRDefault="000F0694" w:rsidP="002B30C3">
            <w:pPr>
              <w:jc w:val="both"/>
              <w:rPr>
                <w:rFonts w:ascii="Arial Narrow" w:hAnsi="Arial Narrow" w:cs="Arial"/>
                <w:b/>
                <w:sz w:val="20"/>
                <w:szCs w:val="20"/>
              </w:rPr>
            </w:pPr>
            <w:proofErr w:type="spellStart"/>
            <w:r w:rsidRPr="00B93F12">
              <w:rPr>
                <w:rFonts w:ascii="Arial Narrow" w:hAnsi="Arial Narrow" w:cs="Arial"/>
                <w:b/>
                <w:sz w:val="20"/>
                <w:szCs w:val="20"/>
              </w:rPr>
              <w:t>Episodicity</w:t>
            </w:r>
            <w:proofErr w:type="spellEnd"/>
            <w:r w:rsidR="00B56B9E">
              <w:rPr>
                <w:rFonts w:ascii="Arial Narrow" w:hAnsi="Arial Narrow" w:cs="Arial"/>
                <w:b/>
                <w:sz w:val="20"/>
                <w:szCs w:val="20"/>
              </w:rPr>
              <w:t>:</w:t>
            </w:r>
          </w:p>
        </w:tc>
        <w:tc>
          <w:tcPr>
            <w:tcW w:w="7796" w:type="dxa"/>
            <w:tcBorders>
              <w:top w:val="single" w:sz="4" w:space="0" w:color="auto"/>
              <w:left w:val="single" w:sz="4" w:space="0" w:color="auto"/>
              <w:bottom w:val="single" w:sz="4" w:space="0" w:color="auto"/>
              <w:right w:val="single" w:sz="4" w:space="0" w:color="auto"/>
            </w:tcBorders>
          </w:tcPr>
          <w:p w:rsidR="000F0694" w:rsidRPr="00A738DA" w:rsidRDefault="000F0694" w:rsidP="002B30C3">
            <w:pPr>
              <w:rPr>
                <w:rFonts w:ascii="Arial Narrow" w:hAnsi="Arial Narrow" w:cs="Arial"/>
                <w:sz w:val="20"/>
                <w:szCs w:val="20"/>
              </w:rPr>
            </w:pPr>
          </w:p>
        </w:tc>
      </w:tr>
      <w:tr w:rsidR="000F0694" w:rsidRPr="004464A6" w:rsidTr="00A738DA">
        <w:trPr>
          <w:cantSplit/>
          <w:trHeight w:val="360"/>
        </w:trPr>
        <w:tc>
          <w:tcPr>
            <w:tcW w:w="1418" w:type="dxa"/>
            <w:tcBorders>
              <w:top w:val="single" w:sz="4" w:space="0" w:color="auto"/>
              <w:left w:val="single" w:sz="4" w:space="0" w:color="auto"/>
              <w:bottom w:val="single" w:sz="4" w:space="0" w:color="auto"/>
              <w:right w:val="single" w:sz="4" w:space="0" w:color="auto"/>
            </w:tcBorders>
          </w:tcPr>
          <w:p w:rsidR="000F0694" w:rsidRPr="00B93F12" w:rsidRDefault="000F0694" w:rsidP="002B30C3">
            <w:pPr>
              <w:jc w:val="both"/>
              <w:rPr>
                <w:rFonts w:ascii="Arial Narrow" w:hAnsi="Arial Narrow" w:cs="Arial"/>
                <w:b/>
                <w:sz w:val="20"/>
                <w:szCs w:val="20"/>
              </w:rPr>
            </w:pPr>
            <w:r w:rsidRPr="00B93F12">
              <w:rPr>
                <w:rFonts w:ascii="Arial Narrow" w:hAnsi="Arial Narrow" w:cs="Arial"/>
                <w:b/>
                <w:sz w:val="20"/>
                <w:szCs w:val="20"/>
              </w:rPr>
              <w:t>Severity</w:t>
            </w:r>
            <w:r w:rsidR="00B56B9E">
              <w:rPr>
                <w:rFonts w:ascii="Arial Narrow" w:hAnsi="Arial Narrow" w:cs="Arial"/>
                <w:b/>
                <w:sz w:val="20"/>
                <w:szCs w:val="20"/>
              </w:rPr>
              <w:t>:</w:t>
            </w:r>
          </w:p>
        </w:tc>
        <w:tc>
          <w:tcPr>
            <w:tcW w:w="7796" w:type="dxa"/>
            <w:tcBorders>
              <w:top w:val="single" w:sz="4" w:space="0" w:color="auto"/>
              <w:left w:val="single" w:sz="4" w:space="0" w:color="auto"/>
              <w:bottom w:val="single" w:sz="4" w:space="0" w:color="auto"/>
              <w:right w:val="single" w:sz="4" w:space="0" w:color="auto"/>
            </w:tcBorders>
          </w:tcPr>
          <w:p w:rsidR="000F0694" w:rsidRPr="00A738DA" w:rsidRDefault="000F0694" w:rsidP="002B30C3">
            <w:pPr>
              <w:rPr>
                <w:rFonts w:ascii="Arial Narrow" w:hAnsi="Arial Narrow" w:cs="Arial"/>
                <w:sz w:val="20"/>
                <w:szCs w:val="20"/>
              </w:rPr>
            </w:pPr>
          </w:p>
        </w:tc>
      </w:tr>
      <w:tr w:rsidR="000201E0" w:rsidRPr="004464A6" w:rsidTr="00A738DA">
        <w:trPr>
          <w:cantSplit/>
          <w:trHeight w:val="360"/>
        </w:trPr>
        <w:tc>
          <w:tcPr>
            <w:tcW w:w="1418" w:type="dxa"/>
            <w:tcBorders>
              <w:top w:val="single" w:sz="4" w:space="0" w:color="auto"/>
              <w:left w:val="single" w:sz="4" w:space="0" w:color="auto"/>
              <w:bottom w:val="single" w:sz="4" w:space="0" w:color="auto"/>
              <w:right w:val="single" w:sz="4" w:space="0" w:color="auto"/>
            </w:tcBorders>
          </w:tcPr>
          <w:p w:rsidR="000201E0" w:rsidRPr="00B93F12" w:rsidRDefault="000201E0" w:rsidP="002B30C3">
            <w:pPr>
              <w:jc w:val="both"/>
              <w:rPr>
                <w:rFonts w:ascii="Arial Narrow" w:hAnsi="Arial Narrow" w:cs="Arial"/>
                <w:b/>
                <w:sz w:val="20"/>
                <w:szCs w:val="20"/>
              </w:rPr>
            </w:pPr>
            <w:r w:rsidRPr="00B93F12">
              <w:rPr>
                <w:rFonts w:ascii="Arial Narrow" w:hAnsi="Arial Narrow" w:cs="Arial"/>
                <w:b/>
                <w:sz w:val="20"/>
                <w:szCs w:val="20"/>
              </w:rPr>
              <w:t>Condition:</w:t>
            </w:r>
          </w:p>
        </w:tc>
        <w:tc>
          <w:tcPr>
            <w:tcW w:w="7796" w:type="dxa"/>
            <w:tcBorders>
              <w:top w:val="single" w:sz="4" w:space="0" w:color="auto"/>
              <w:left w:val="single" w:sz="4" w:space="0" w:color="auto"/>
              <w:bottom w:val="single" w:sz="4" w:space="0" w:color="auto"/>
              <w:right w:val="single" w:sz="4" w:space="0" w:color="auto"/>
            </w:tcBorders>
          </w:tcPr>
          <w:p w:rsidR="000201E0" w:rsidRPr="00A738DA" w:rsidRDefault="000201E0" w:rsidP="002B30C3">
            <w:pPr>
              <w:rPr>
                <w:rFonts w:ascii="Arial Narrow" w:hAnsi="Arial Narrow" w:cs="Arial"/>
                <w:sz w:val="20"/>
                <w:szCs w:val="20"/>
              </w:rPr>
            </w:pPr>
            <w:r w:rsidRPr="00A738DA">
              <w:rPr>
                <w:rFonts w:ascii="Arial Narrow" w:hAnsi="Arial Narrow" w:cs="Arial"/>
                <w:sz w:val="20"/>
                <w:szCs w:val="20"/>
              </w:rPr>
              <w:t xml:space="preserve">Attention deficit hyperactivity disorder </w:t>
            </w:r>
          </w:p>
        </w:tc>
      </w:tr>
      <w:tr w:rsidR="000F0694" w:rsidRPr="004464A6" w:rsidTr="00A738DA">
        <w:trPr>
          <w:cantSplit/>
          <w:trHeight w:val="360"/>
        </w:trPr>
        <w:tc>
          <w:tcPr>
            <w:tcW w:w="1418" w:type="dxa"/>
            <w:tcBorders>
              <w:top w:val="single" w:sz="4" w:space="0" w:color="auto"/>
              <w:left w:val="single" w:sz="4" w:space="0" w:color="auto"/>
              <w:bottom w:val="single" w:sz="4" w:space="0" w:color="auto"/>
              <w:right w:val="single" w:sz="4" w:space="0" w:color="auto"/>
            </w:tcBorders>
          </w:tcPr>
          <w:p w:rsidR="000F0694" w:rsidRPr="00B93F12" w:rsidRDefault="000F0694" w:rsidP="002B30C3">
            <w:pPr>
              <w:jc w:val="both"/>
              <w:rPr>
                <w:rFonts w:ascii="Arial Narrow" w:hAnsi="Arial Narrow" w:cs="Arial"/>
                <w:b/>
                <w:sz w:val="20"/>
                <w:szCs w:val="20"/>
              </w:rPr>
            </w:pPr>
            <w:r w:rsidRPr="00B93F12">
              <w:rPr>
                <w:rFonts w:ascii="Arial Narrow" w:hAnsi="Arial Narrow" w:cs="Arial"/>
                <w:b/>
                <w:sz w:val="20"/>
                <w:szCs w:val="20"/>
              </w:rPr>
              <w:t xml:space="preserve">Indication </w:t>
            </w:r>
          </w:p>
        </w:tc>
        <w:tc>
          <w:tcPr>
            <w:tcW w:w="7796" w:type="dxa"/>
            <w:tcBorders>
              <w:top w:val="single" w:sz="4" w:space="0" w:color="auto"/>
              <w:left w:val="single" w:sz="4" w:space="0" w:color="auto"/>
              <w:bottom w:val="single" w:sz="4" w:space="0" w:color="auto"/>
              <w:right w:val="single" w:sz="4" w:space="0" w:color="auto"/>
            </w:tcBorders>
          </w:tcPr>
          <w:p w:rsidR="000F0694" w:rsidRPr="00A738DA" w:rsidRDefault="00B56B9E" w:rsidP="002B30C3">
            <w:pPr>
              <w:rPr>
                <w:rFonts w:ascii="Arial Narrow" w:hAnsi="Arial Narrow" w:cs="Arial"/>
                <w:sz w:val="20"/>
                <w:szCs w:val="20"/>
              </w:rPr>
            </w:pPr>
            <w:r w:rsidRPr="00A738DA">
              <w:rPr>
                <w:rFonts w:ascii="Arial Narrow" w:hAnsi="Arial Narrow" w:cs="Arial"/>
                <w:sz w:val="20"/>
                <w:szCs w:val="20"/>
              </w:rPr>
              <w:t>Attention deficit hyperactivity disorder</w:t>
            </w:r>
          </w:p>
        </w:tc>
      </w:tr>
      <w:tr w:rsidR="000201E0" w:rsidRPr="004464A6" w:rsidTr="00A738DA">
        <w:trPr>
          <w:cantSplit/>
          <w:trHeight w:val="360"/>
        </w:trPr>
        <w:tc>
          <w:tcPr>
            <w:tcW w:w="1418" w:type="dxa"/>
            <w:tcBorders>
              <w:top w:val="single" w:sz="4" w:space="0" w:color="auto"/>
              <w:left w:val="single" w:sz="4" w:space="0" w:color="auto"/>
              <w:bottom w:val="single" w:sz="4" w:space="0" w:color="auto"/>
              <w:right w:val="single" w:sz="4" w:space="0" w:color="auto"/>
            </w:tcBorders>
          </w:tcPr>
          <w:p w:rsidR="000201E0" w:rsidRPr="00B93F12" w:rsidRDefault="000201E0" w:rsidP="002B30C3">
            <w:pPr>
              <w:jc w:val="both"/>
              <w:rPr>
                <w:rFonts w:ascii="Arial Narrow" w:hAnsi="Arial Narrow" w:cs="Arial"/>
                <w:b/>
                <w:sz w:val="20"/>
                <w:szCs w:val="20"/>
              </w:rPr>
            </w:pPr>
            <w:r w:rsidRPr="00B93F12">
              <w:rPr>
                <w:rFonts w:ascii="Arial Narrow" w:hAnsi="Arial Narrow" w:cs="Arial"/>
                <w:b/>
                <w:sz w:val="20"/>
                <w:szCs w:val="20"/>
              </w:rPr>
              <w:t>Restriction:</w:t>
            </w:r>
          </w:p>
        </w:tc>
        <w:tc>
          <w:tcPr>
            <w:tcW w:w="7796" w:type="dxa"/>
            <w:tcBorders>
              <w:top w:val="single" w:sz="4" w:space="0" w:color="auto"/>
              <w:left w:val="single" w:sz="4" w:space="0" w:color="auto"/>
              <w:bottom w:val="single" w:sz="4" w:space="0" w:color="auto"/>
              <w:right w:val="single" w:sz="4" w:space="0" w:color="auto"/>
            </w:tcBorders>
          </w:tcPr>
          <w:p w:rsidR="000201E0" w:rsidRPr="00A738DA" w:rsidRDefault="000201E0" w:rsidP="002B30C3">
            <w:pPr>
              <w:rPr>
                <w:rFonts w:ascii="Arial Narrow" w:hAnsi="Arial Narrow" w:cs="Arial"/>
                <w:sz w:val="20"/>
                <w:szCs w:val="20"/>
              </w:rPr>
            </w:pPr>
            <w:r w:rsidRPr="00A738DA">
              <w:rPr>
                <w:rFonts w:ascii="Arial Narrow" w:hAnsi="Arial Narrow" w:cs="Arial"/>
                <w:sz w:val="20"/>
                <w:szCs w:val="20"/>
              </w:rPr>
              <w:t xml:space="preserve">Authority required </w:t>
            </w:r>
          </w:p>
        </w:tc>
      </w:tr>
      <w:tr w:rsidR="000B74A4" w:rsidRPr="004464A6" w:rsidTr="00A738DA">
        <w:trPr>
          <w:cantSplit/>
          <w:trHeight w:val="360"/>
        </w:trPr>
        <w:tc>
          <w:tcPr>
            <w:tcW w:w="1418" w:type="dxa"/>
            <w:tcBorders>
              <w:top w:val="single" w:sz="4" w:space="0" w:color="auto"/>
              <w:left w:val="single" w:sz="4" w:space="0" w:color="auto"/>
              <w:bottom w:val="single" w:sz="4" w:space="0" w:color="auto"/>
              <w:right w:val="single" w:sz="4" w:space="0" w:color="auto"/>
            </w:tcBorders>
          </w:tcPr>
          <w:p w:rsidR="000B74A4" w:rsidRPr="00B93F12" w:rsidRDefault="000B74A4" w:rsidP="002B30C3">
            <w:pPr>
              <w:jc w:val="both"/>
              <w:rPr>
                <w:rFonts w:ascii="Arial Narrow" w:hAnsi="Arial Narrow" w:cs="Arial"/>
                <w:b/>
                <w:sz w:val="20"/>
                <w:szCs w:val="20"/>
              </w:rPr>
            </w:pPr>
            <w:r w:rsidRPr="00B93F12">
              <w:rPr>
                <w:rFonts w:ascii="Arial Narrow" w:hAnsi="Arial Narrow" w:cs="Arial"/>
                <w:b/>
                <w:sz w:val="20"/>
                <w:szCs w:val="20"/>
              </w:rPr>
              <w:t xml:space="preserve">Clinical criteria: </w:t>
            </w:r>
          </w:p>
        </w:tc>
        <w:tc>
          <w:tcPr>
            <w:tcW w:w="7796" w:type="dxa"/>
            <w:tcBorders>
              <w:top w:val="single" w:sz="4" w:space="0" w:color="auto"/>
              <w:left w:val="single" w:sz="4" w:space="0" w:color="auto"/>
              <w:bottom w:val="single" w:sz="4" w:space="0" w:color="auto"/>
              <w:right w:val="single" w:sz="4" w:space="0" w:color="auto"/>
            </w:tcBorders>
          </w:tcPr>
          <w:p w:rsidR="000B74A4" w:rsidRPr="00A738DA" w:rsidRDefault="000B74A4" w:rsidP="002B30C3">
            <w:pPr>
              <w:rPr>
                <w:rFonts w:ascii="Arial Narrow" w:hAnsi="Arial Narrow" w:cs="Arial"/>
                <w:sz w:val="20"/>
                <w:szCs w:val="20"/>
              </w:rPr>
            </w:pPr>
            <w:r w:rsidRPr="00A738DA">
              <w:rPr>
                <w:rFonts w:ascii="Arial Narrow" w:hAnsi="Arial Narrow" w:cs="Arial"/>
                <w:sz w:val="20"/>
                <w:szCs w:val="20"/>
              </w:rPr>
              <w:t xml:space="preserve">Patient must require continuous coverage over 12 hours </w:t>
            </w:r>
          </w:p>
        </w:tc>
      </w:tr>
      <w:tr w:rsidR="000201E0" w:rsidRPr="004464A6" w:rsidTr="00A738DA">
        <w:trPr>
          <w:cantSplit/>
          <w:trHeight w:val="360"/>
        </w:trPr>
        <w:tc>
          <w:tcPr>
            <w:tcW w:w="1418" w:type="dxa"/>
            <w:tcBorders>
              <w:top w:val="single" w:sz="4" w:space="0" w:color="auto"/>
              <w:left w:val="single" w:sz="4" w:space="0" w:color="auto"/>
              <w:bottom w:val="single" w:sz="4" w:space="0" w:color="auto"/>
              <w:right w:val="single" w:sz="4" w:space="0" w:color="auto"/>
            </w:tcBorders>
          </w:tcPr>
          <w:p w:rsidR="000201E0" w:rsidRPr="00B93F12" w:rsidRDefault="000201E0" w:rsidP="002B30C3">
            <w:pPr>
              <w:jc w:val="both"/>
              <w:rPr>
                <w:rFonts w:ascii="Arial Narrow" w:hAnsi="Arial Narrow" w:cs="Arial"/>
                <w:b/>
                <w:sz w:val="20"/>
                <w:szCs w:val="20"/>
              </w:rPr>
            </w:pPr>
            <w:r w:rsidRPr="00B93F12">
              <w:rPr>
                <w:rFonts w:ascii="Arial Narrow" w:hAnsi="Arial Narrow" w:cs="Arial"/>
                <w:b/>
                <w:sz w:val="20"/>
                <w:szCs w:val="20"/>
              </w:rPr>
              <w:t>Population criteria:</w:t>
            </w:r>
          </w:p>
          <w:p w:rsidR="000201E0" w:rsidRPr="00B93F12" w:rsidRDefault="000201E0" w:rsidP="002B30C3">
            <w:pPr>
              <w:jc w:val="both"/>
              <w:rPr>
                <w:rFonts w:ascii="Arial Narrow" w:hAnsi="Arial Narrow" w:cs="Arial"/>
                <w:sz w:val="20"/>
                <w:szCs w:val="20"/>
              </w:rPr>
            </w:pPr>
          </w:p>
        </w:tc>
        <w:tc>
          <w:tcPr>
            <w:tcW w:w="7796" w:type="dxa"/>
            <w:tcBorders>
              <w:top w:val="single" w:sz="4" w:space="0" w:color="auto"/>
              <w:left w:val="single" w:sz="4" w:space="0" w:color="auto"/>
              <w:bottom w:val="single" w:sz="4" w:space="0" w:color="auto"/>
              <w:right w:val="single" w:sz="4" w:space="0" w:color="auto"/>
            </w:tcBorders>
          </w:tcPr>
          <w:p w:rsidR="000201E0" w:rsidRPr="00A738DA" w:rsidRDefault="000201E0" w:rsidP="002B30C3">
            <w:pPr>
              <w:rPr>
                <w:rFonts w:ascii="Arial Narrow" w:hAnsi="Arial Narrow" w:cs="Arial"/>
                <w:sz w:val="20"/>
                <w:szCs w:val="20"/>
                <w:lang w:val="en-US" w:eastAsia="en-US"/>
              </w:rPr>
            </w:pPr>
            <w:r w:rsidRPr="00A738DA">
              <w:rPr>
                <w:rFonts w:ascii="Arial Narrow" w:hAnsi="Arial Narrow" w:cs="Arial"/>
                <w:sz w:val="20"/>
                <w:szCs w:val="20"/>
                <w:lang w:val="en-US" w:eastAsia="en-US"/>
              </w:rPr>
              <w:t>Patient must be diagnosed between the ages of 6-18 years inclusive</w:t>
            </w:r>
          </w:p>
        </w:tc>
      </w:tr>
      <w:tr w:rsidR="000201E0" w:rsidRPr="004464A6" w:rsidTr="00A738DA">
        <w:trPr>
          <w:cantSplit/>
          <w:trHeight w:val="360"/>
        </w:trPr>
        <w:tc>
          <w:tcPr>
            <w:tcW w:w="1418" w:type="dxa"/>
            <w:tcBorders>
              <w:top w:val="single" w:sz="4" w:space="0" w:color="auto"/>
              <w:left w:val="single" w:sz="4" w:space="0" w:color="auto"/>
              <w:bottom w:val="single" w:sz="4" w:space="0" w:color="auto"/>
              <w:right w:val="single" w:sz="4" w:space="0" w:color="auto"/>
            </w:tcBorders>
          </w:tcPr>
          <w:p w:rsidR="000201E0" w:rsidRPr="00B93F12" w:rsidRDefault="000201E0" w:rsidP="002B30C3">
            <w:pPr>
              <w:jc w:val="both"/>
              <w:rPr>
                <w:rFonts w:ascii="Arial Narrow" w:hAnsi="Arial Narrow" w:cs="Arial"/>
                <w:b/>
                <w:sz w:val="20"/>
                <w:szCs w:val="20"/>
              </w:rPr>
            </w:pPr>
            <w:r w:rsidRPr="00B93F12">
              <w:rPr>
                <w:rFonts w:ascii="Arial Narrow" w:hAnsi="Arial Narrow" w:cs="Arial"/>
                <w:b/>
                <w:sz w:val="20"/>
                <w:szCs w:val="20"/>
              </w:rPr>
              <w:lastRenderedPageBreak/>
              <w:t>Administrative Advice</w:t>
            </w:r>
          </w:p>
          <w:p w:rsidR="000201E0" w:rsidRPr="00B93F12" w:rsidRDefault="000201E0" w:rsidP="002B30C3">
            <w:pPr>
              <w:jc w:val="both"/>
              <w:rPr>
                <w:rFonts w:ascii="Arial Narrow" w:hAnsi="Arial Narrow" w:cs="Arial"/>
                <w:i/>
                <w:sz w:val="20"/>
                <w:szCs w:val="20"/>
              </w:rPr>
            </w:pPr>
          </w:p>
        </w:tc>
        <w:tc>
          <w:tcPr>
            <w:tcW w:w="7796" w:type="dxa"/>
            <w:tcBorders>
              <w:top w:val="single" w:sz="4" w:space="0" w:color="auto"/>
              <w:left w:val="single" w:sz="4" w:space="0" w:color="auto"/>
              <w:bottom w:val="single" w:sz="4" w:space="0" w:color="auto"/>
              <w:right w:val="single" w:sz="4" w:space="0" w:color="auto"/>
            </w:tcBorders>
          </w:tcPr>
          <w:p w:rsidR="00A738DA" w:rsidRDefault="00A738DA" w:rsidP="00A738DA">
            <w:pPr>
              <w:jc w:val="both"/>
              <w:rPr>
                <w:rFonts w:ascii="Arial Narrow" w:hAnsi="Arial Narrow" w:cs="Arial"/>
                <w:sz w:val="20"/>
                <w:szCs w:val="20"/>
                <w:u w:val="single"/>
              </w:rPr>
            </w:pPr>
            <w:r>
              <w:rPr>
                <w:rFonts w:ascii="Arial Narrow" w:hAnsi="Arial Narrow" w:cs="Arial"/>
                <w:sz w:val="20"/>
                <w:szCs w:val="20"/>
                <w:u w:val="single"/>
              </w:rPr>
              <w:t xml:space="preserve">Note: </w:t>
            </w:r>
          </w:p>
          <w:p w:rsidR="00A738DA" w:rsidRPr="00A738DA" w:rsidRDefault="00A738DA" w:rsidP="00A738DA">
            <w:pPr>
              <w:jc w:val="both"/>
              <w:rPr>
                <w:rFonts w:ascii="Arial Narrow" w:hAnsi="Arial Narrow" w:cs="Arial"/>
                <w:sz w:val="20"/>
                <w:szCs w:val="20"/>
              </w:rPr>
            </w:pPr>
            <w:r w:rsidRPr="00A738DA">
              <w:rPr>
                <w:rFonts w:ascii="Arial Narrow" w:hAnsi="Arial Narrow" w:cs="Arial"/>
                <w:sz w:val="20"/>
                <w:szCs w:val="20"/>
              </w:rPr>
              <w:t>Special Pricing Arrangements apply</w:t>
            </w:r>
          </w:p>
          <w:p w:rsidR="00A738DA" w:rsidRDefault="00A738DA" w:rsidP="00A738DA">
            <w:pPr>
              <w:jc w:val="both"/>
              <w:rPr>
                <w:rFonts w:ascii="Arial Narrow" w:hAnsi="Arial Narrow" w:cs="Arial"/>
                <w:sz w:val="20"/>
                <w:szCs w:val="20"/>
                <w:u w:val="single"/>
              </w:rPr>
            </w:pPr>
          </w:p>
          <w:p w:rsidR="00A738DA" w:rsidRPr="00A738DA" w:rsidRDefault="00B93F12" w:rsidP="00A738DA">
            <w:pPr>
              <w:jc w:val="both"/>
              <w:rPr>
                <w:rFonts w:ascii="Arial Narrow" w:hAnsi="Arial Narrow" w:cs="Arial"/>
                <w:sz w:val="20"/>
                <w:szCs w:val="20"/>
                <w:u w:val="single"/>
              </w:rPr>
            </w:pPr>
            <w:r w:rsidRPr="00A738DA">
              <w:rPr>
                <w:rFonts w:ascii="Arial Narrow" w:hAnsi="Arial Narrow" w:cs="Arial"/>
                <w:sz w:val="20"/>
                <w:szCs w:val="20"/>
                <w:u w:val="single"/>
              </w:rPr>
              <w:t xml:space="preserve">Note: </w:t>
            </w:r>
          </w:p>
          <w:p w:rsidR="00B93F12" w:rsidRPr="00A738DA" w:rsidRDefault="00B93F12" w:rsidP="00A738DA">
            <w:pPr>
              <w:jc w:val="both"/>
              <w:rPr>
                <w:rFonts w:ascii="Arial Narrow" w:hAnsi="Arial Narrow" w:cs="Arial"/>
                <w:sz w:val="20"/>
                <w:szCs w:val="20"/>
              </w:rPr>
            </w:pPr>
            <w:r w:rsidRPr="00A738DA">
              <w:rPr>
                <w:rFonts w:ascii="Arial Narrow" w:hAnsi="Arial Narrow" w:cs="Arial"/>
                <w:sz w:val="20"/>
                <w:szCs w:val="20"/>
              </w:rPr>
              <w:t>Care must be taken to comply with the provisions of State/Territory law when prescribing methylphenidate hydrochloride.</w:t>
            </w:r>
          </w:p>
          <w:p w:rsidR="000201E0" w:rsidRPr="00A738DA" w:rsidRDefault="000201E0" w:rsidP="00A738DA">
            <w:pPr>
              <w:jc w:val="both"/>
              <w:rPr>
                <w:rFonts w:ascii="Arial Narrow" w:hAnsi="Arial Narrow" w:cs="Arial"/>
                <w:sz w:val="20"/>
                <w:szCs w:val="20"/>
              </w:rPr>
            </w:pPr>
          </w:p>
          <w:p w:rsidR="00A738DA" w:rsidRPr="00A738DA" w:rsidRDefault="00B93F12" w:rsidP="00A738DA">
            <w:pPr>
              <w:jc w:val="both"/>
              <w:rPr>
                <w:rFonts w:ascii="Arial Narrow" w:hAnsi="Arial Narrow" w:cs="Arial"/>
                <w:sz w:val="20"/>
                <w:szCs w:val="20"/>
                <w:u w:val="single"/>
              </w:rPr>
            </w:pPr>
            <w:r w:rsidRPr="00A738DA">
              <w:rPr>
                <w:rFonts w:ascii="Arial Narrow" w:hAnsi="Arial Narrow" w:cs="Arial"/>
                <w:sz w:val="20"/>
                <w:szCs w:val="20"/>
                <w:u w:val="single"/>
              </w:rPr>
              <w:t xml:space="preserve">Note: </w:t>
            </w:r>
          </w:p>
          <w:p w:rsidR="000201E0" w:rsidRPr="00A738DA" w:rsidRDefault="000201E0" w:rsidP="00A738DA">
            <w:pPr>
              <w:jc w:val="both"/>
              <w:rPr>
                <w:rFonts w:ascii="Arial Narrow" w:hAnsi="Arial Narrow" w:cs="Arial"/>
                <w:sz w:val="20"/>
                <w:szCs w:val="20"/>
              </w:rPr>
            </w:pPr>
            <w:r w:rsidRPr="00A738DA">
              <w:rPr>
                <w:rFonts w:ascii="Arial Narrow" w:hAnsi="Arial Narrow" w:cs="Arial"/>
                <w:sz w:val="20"/>
                <w:szCs w:val="20"/>
              </w:rPr>
              <w:t>No increase in the maximum quantity or number of units may be authorised.</w:t>
            </w:r>
          </w:p>
          <w:p w:rsidR="000201E0" w:rsidRPr="00A738DA" w:rsidRDefault="000201E0" w:rsidP="00A738DA">
            <w:pPr>
              <w:jc w:val="both"/>
              <w:rPr>
                <w:rFonts w:ascii="Arial Narrow" w:hAnsi="Arial Narrow" w:cs="Arial"/>
                <w:sz w:val="20"/>
                <w:szCs w:val="20"/>
              </w:rPr>
            </w:pPr>
          </w:p>
          <w:p w:rsidR="00A738DA" w:rsidRDefault="00B93F12" w:rsidP="00A738DA">
            <w:pPr>
              <w:jc w:val="both"/>
              <w:rPr>
                <w:rFonts w:ascii="Arial Narrow" w:hAnsi="Arial Narrow" w:cs="Arial"/>
                <w:sz w:val="20"/>
                <w:szCs w:val="20"/>
              </w:rPr>
            </w:pPr>
            <w:r w:rsidRPr="00A738DA">
              <w:rPr>
                <w:rFonts w:ascii="Arial Narrow" w:hAnsi="Arial Narrow" w:cs="Arial"/>
                <w:sz w:val="20"/>
                <w:szCs w:val="20"/>
                <w:u w:val="single"/>
              </w:rPr>
              <w:t>Note</w:t>
            </w:r>
            <w:r w:rsidRPr="00A738DA">
              <w:rPr>
                <w:rFonts w:ascii="Arial Narrow" w:hAnsi="Arial Narrow" w:cs="Arial"/>
                <w:sz w:val="20"/>
                <w:szCs w:val="20"/>
              </w:rPr>
              <w:t xml:space="preserve">: </w:t>
            </w:r>
          </w:p>
          <w:p w:rsidR="000201E0" w:rsidRPr="00A738DA" w:rsidRDefault="000201E0" w:rsidP="00A738DA">
            <w:pPr>
              <w:jc w:val="both"/>
              <w:rPr>
                <w:rFonts w:ascii="Arial Narrow" w:hAnsi="Arial Narrow" w:cs="Arial"/>
                <w:sz w:val="20"/>
                <w:szCs w:val="20"/>
              </w:rPr>
            </w:pPr>
            <w:r w:rsidRPr="00A738DA">
              <w:rPr>
                <w:rFonts w:ascii="Arial Narrow" w:hAnsi="Arial Narrow" w:cs="Arial"/>
                <w:sz w:val="20"/>
                <w:szCs w:val="20"/>
              </w:rPr>
              <w:t>No increase in the maximum number of repeats may be authorised.</w:t>
            </w:r>
          </w:p>
          <w:p w:rsidR="00B93F12" w:rsidRPr="00A738DA" w:rsidRDefault="00B93F12" w:rsidP="00A738DA">
            <w:pPr>
              <w:jc w:val="both"/>
              <w:rPr>
                <w:rFonts w:ascii="Arial Narrow" w:hAnsi="Arial Narrow" w:cs="Arial"/>
                <w:sz w:val="20"/>
                <w:szCs w:val="20"/>
                <w:lang w:val="en-US" w:eastAsia="en-US"/>
              </w:rPr>
            </w:pPr>
          </w:p>
          <w:p w:rsidR="00A738DA" w:rsidRPr="00A738DA" w:rsidRDefault="00B93F12" w:rsidP="00A738DA">
            <w:pPr>
              <w:jc w:val="both"/>
              <w:rPr>
                <w:rFonts w:ascii="Arial Narrow" w:hAnsi="Arial Narrow" w:cs="Arial"/>
                <w:sz w:val="20"/>
                <w:szCs w:val="20"/>
                <w:u w:val="single"/>
                <w:lang w:val="en-US" w:eastAsia="en-US"/>
              </w:rPr>
            </w:pPr>
            <w:r w:rsidRPr="00A738DA">
              <w:rPr>
                <w:rFonts w:ascii="Arial Narrow" w:hAnsi="Arial Narrow" w:cs="Arial"/>
                <w:sz w:val="20"/>
                <w:szCs w:val="20"/>
                <w:u w:val="single"/>
                <w:lang w:val="en-US" w:eastAsia="en-US"/>
              </w:rPr>
              <w:t xml:space="preserve">CAUTION: </w:t>
            </w:r>
          </w:p>
          <w:p w:rsidR="00B93F12" w:rsidRDefault="00B93F12" w:rsidP="00A738DA">
            <w:pPr>
              <w:jc w:val="both"/>
              <w:rPr>
                <w:rFonts w:ascii="Arial Narrow" w:hAnsi="Arial Narrow" w:cs="Arial"/>
                <w:sz w:val="20"/>
                <w:szCs w:val="20"/>
                <w:lang w:val="en-US" w:eastAsia="en-US"/>
              </w:rPr>
            </w:pPr>
            <w:r w:rsidRPr="00A738DA">
              <w:rPr>
                <w:rFonts w:ascii="Arial Narrow" w:hAnsi="Arial Narrow" w:cs="Arial"/>
                <w:sz w:val="20"/>
                <w:szCs w:val="20"/>
                <w:lang w:val="en-US" w:eastAsia="en-US"/>
              </w:rPr>
              <w:t>Patients requiring long term therapy should be carefully monitored. Patients who are not growing or gaining weight as expected should have their treatment interrupted.</w:t>
            </w:r>
          </w:p>
          <w:p w:rsidR="00A738DA" w:rsidRDefault="00A738DA" w:rsidP="00A738DA">
            <w:pPr>
              <w:jc w:val="both"/>
              <w:rPr>
                <w:rFonts w:ascii="Arial Narrow" w:hAnsi="Arial Narrow" w:cs="Arial"/>
                <w:sz w:val="20"/>
                <w:szCs w:val="20"/>
                <w:lang w:val="en-US" w:eastAsia="en-US"/>
              </w:rPr>
            </w:pPr>
          </w:p>
          <w:p w:rsidR="00A738DA" w:rsidRPr="00A738DA" w:rsidRDefault="00A738DA" w:rsidP="00A738DA">
            <w:pPr>
              <w:jc w:val="both"/>
              <w:rPr>
                <w:rFonts w:ascii="Arial Narrow" w:hAnsi="Arial Narrow" w:cs="Arial"/>
                <w:sz w:val="20"/>
                <w:szCs w:val="20"/>
                <w:u w:val="single"/>
              </w:rPr>
            </w:pPr>
            <w:r w:rsidRPr="00A738DA">
              <w:rPr>
                <w:rFonts w:ascii="Arial Narrow" w:hAnsi="Arial Narrow" w:cs="Arial"/>
                <w:sz w:val="20"/>
                <w:szCs w:val="20"/>
                <w:u w:val="single"/>
              </w:rPr>
              <w:t xml:space="preserve">Note: </w:t>
            </w:r>
          </w:p>
          <w:p w:rsidR="00A738DA" w:rsidRPr="00A738DA" w:rsidRDefault="00A738DA" w:rsidP="00A738DA">
            <w:pPr>
              <w:jc w:val="both"/>
              <w:rPr>
                <w:rFonts w:ascii="Arial Narrow" w:hAnsi="Arial Narrow" w:cs="Arial"/>
                <w:sz w:val="20"/>
                <w:szCs w:val="20"/>
              </w:rPr>
            </w:pPr>
            <w:r w:rsidRPr="00A738DA">
              <w:rPr>
                <w:rFonts w:ascii="Arial Narrow" w:hAnsi="Arial Narrow" w:cs="Arial"/>
                <w:sz w:val="20"/>
                <w:szCs w:val="20"/>
              </w:rPr>
              <w:t>Continuing Therapy Only</w:t>
            </w:r>
          </w:p>
          <w:p w:rsidR="00A738DA" w:rsidRPr="00A738DA" w:rsidRDefault="00A738DA" w:rsidP="00A738DA">
            <w:pPr>
              <w:jc w:val="both"/>
              <w:rPr>
                <w:rFonts w:ascii="Arial Narrow" w:hAnsi="Arial Narrow" w:cs="Arial"/>
                <w:sz w:val="20"/>
                <w:szCs w:val="20"/>
              </w:rPr>
            </w:pPr>
            <w:r w:rsidRPr="00A738DA">
              <w:rPr>
                <w:rFonts w:ascii="Arial Narrow" w:hAnsi="Arial Narrow" w:cs="Arial"/>
                <w:sz w:val="20"/>
                <w:szCs w:val="20"/>
              </w:rPr>
              <w:t xml:space="preserve">For prescribing by nurse practitioners as continuing therapy only, where the treatment of, and prescribing of medicine for, a patient has been initiated by a medical practitioner. Further information can be found in the Explanatory Notes for Nurse Practitioners. </w:t>
            </w:r>
          </w:p>
        </w:tc>
      </w:tr>
    </w:tbl>
    <w:p w:rsidR="00B93F12" w:rsidRDefault="00B93F12" w:rsidP="007838B8">
      <w:pPr>
        <w:rPr>
          <w:rFonts w:ascii="Calibri" w:hAnsi="Calibri" w:cs="Calibri"/>
        </w:rPr>
      </w:pPr>
    </w:p>
    <w:p w:rsidR="00A74DFA" w:rsidRDefault="00A74DFA" w:rsidP="00A74DFA">
      <w:pPr>
        <w:pStyle w:val="ListParagraph"/>
        <w:numPr>
          <w:ilvl w:val="0"/>
          <w:numId w:val="25"/>
        </w:numPr>
        <w:jc w:val="both"/>
        <w:rPr>
          <w:b/>
        </w:rPr>
      </w:pPr>
      <w:r w:rsidRPr="00D4420F">
        <w:rPr>
          <w:b/>
        </w:rPr>
        <w:t>Context for Decision</w:t>
      </w:r>
    </w:p>
    <w:p w:rsidR="00A74DFA" w:rsidRPr="00D4420F" w:rsidRDefault="00A74DFA" w:rsidP="00A74DFA">
      <w:pPr>
        <w:pStyle w:val="ListParagraph"/>
        <w:rPr>
          <w:b/>
        </w:rPr>
      </w:pPr>
    </w:p>
    <w:p w:rsidR="00A74DFA" w:rsidRPr="00D4420F" w:rsidRDefault="00A74DFA" w:rsidP="00A74DFA">
      <w:pPr>
        <w:ind w:left="720"/>
      </w:pPr>
      <w:r w:rsidRPr="00D4420F">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74DFA" w:rsidRPr="00D4420F" w:rsidRDefault="00A74DFA" w:rsidP="00A74DFA"/>
    <w:p w:rsidR="00A74DFA" w:rsidRDefault="00A74DFA" w:rsidP="00A74DFA">
      <w:pPr>
        <w:pStyle w:val="ListParagraph"/>
        <w:numPr>
          <w:ilvl w:val="0"/>
          <w:numId w:val="25"/>
        </w:numPr>
        <w:jc w:val="both"/>
        <w:rPr>
          <w:b/>
        </w:rPr>
      </w:pPr>
      <w:r w:rsidRPr="00D4420F">
        <w:rPr>
          <w:b/>
        </w:rPr>
        <w:t>Sponsor’s Comment</w:t>
      </w:r>
    </w:p>
    <w:p w:rsidR="00A22986" w:rsidRPr="00D4420F" w:rsidRDefault="00A22986" w:rsidP="00A22986">
      <w:pPr>
        <w:pStyle w:val="ListParagraph"/>
        <w:jc w:val="both"/>
        <w:rPr>
          <w:b/>
        </w:rPr>
      </w:pPr>
    </w:p>
    <w:p w:rsidR="006B485D" w:rsidRPr="00653D69" w:rsidRDefault="00243548" w:rsidP="00243548">
      <w:pPr>
        <w:ind w:left="709" w:hanging="709"/>
        <w:rPr>
          <w:rFonts w:ascii="Arial" w:hAnsi="Arial"/>
        </w:rPr>
      </w:pPr>
      <w:r>
        <w:rPr>
          <w:rFonts w:ascii="Arial" w:hAnsi="Arial"/>
        </w:rPr>
        <w:tab/>
      </w:r>
      <w:r>
        <w:t xml:space="preserve">Shire agrees with the PBAC that a clinical need exists for alternative treatments for ADHD. Shire will continue to work with the </w:t>
      </w:r>
      <w:r w:rsidR="00737946">
        <w:t xml:space="preserve">PBAC </w:t>
      </w:r>
      <w:r>
        <w:t xml:space="preserve">so that patients with ADHD may access </w:t>
      </w:r>
      <w:proofErr w:type="spellStart"/>
      <w:r>
        <w:t>lisdexamfetamine</w:t>
      </w:r>
      <w:proofErr w:type="spellEnd"/>
      <w:r>
        <w:t xml:space="preserve"> on the PBS</w:t>
      </w:r>
      <w:r w:rsidR="00737946">
        <w:t>.</w:t>
      </w:r>
    </w:p>
    <w:sectPr w:rsidR="006B485D" w:rsidRPr="00653D69" w:rsidSect="00653D69">
      <w:headerReference w:type="even" r:id="rId9"/>
      <w:headerReference w:type="default" r:id="rId10"/>
      <w:footerReference w:type="even" r:id="rId11"/>
      <w:footerReference w:type="default" r:id="rId12"/>
      <w:footerReference w:type="first" r:id="rId13"/>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DB8" w:rsidRDefault="00136DB8">
      <w:r>
        <w:separator/>
      </w:r>
    </w:p>
  </w:endnote>
  <w:endnote w:type="continuationSeparator" w:id="0">
    <w:p w:rsidR="00136DB8" w:rsidRDefault="00136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A2793" w:rsidTr="005A3173">
      <w:trPr>
        <w:trHeight w:val="151"/>
      </w:trPr>
      <w:tc>
        <w:tcPr>
          <w:tcW w:w="2250" w:type="pct"/>
          <w:tcBorders>
            <w:top w:val="nil"/>
            <w:left w:val="nil"/>
            <w:bottom w:val="single" w:sz="4" w:space="0" w:color="4F81BD"/>
            <w:right w:val="nil"/>
          </w:tcBorders>
        </w:tcPr>
        <w:p w:rsidR="009A2793" w:rsidRPr="005A3173" w:rsidRDefault="009A279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A2793" w:rsidRPr="005A3173" w:rsidRDefault="009A279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A2793" w:rsidRPr="005A3173" w:rsidRDefault="009A2793" w:rsidP="005A3173">
          <w:pPr>
            <w:pStyle w:val="Header"/>
            <w:spacing w:line="276" w:lineRule="auto"/>
            <w:rPr>
              <w:rFonts w:ascii="Calibri" w:eastAsia="MS Gothic" w:hAnsi="Calibri"/>
              <w:b/>
              <w:bCs/>
              <w:color w:val="4F81BD"/>
            </w:rPr>
          </w:pPr>
        </w:p>
      </w:tc>
    </w:tr>
    <w:tr w:rsidR="009A2793" w:rsidTr="005A3173">
      <w:trPr>
        <w:trHeight w:val="150"/>
      </w:trPr>
      <w:tc>
        <w:tcPr>
          <w:tcW w:w="2250" w:type="pct"/>
          <w:tcBorders>
            <w:top w:val="single" w:sz="4" w:space="0" w:color="4F81BD"/>
            <w:left w:val="nil"/>
            <w:bottom w:val="nil"/>
            <w:right w:val="nil"/>
          </w:tcBorders>
        </w:tcPr>
        <w:p w:rsidR="009A2793" w:rsidRPr="005A3173" w:rsidRDefault="009A2793" w:rsidP="005A3173">
          <w:pPr>
            <w:pStyle w:val="Header"/>
            <w:spacing w:line="276" w:lineRule="auto"/>
            <w:rPr>
              <w:rFonts w:ascii="Calibri" w:eastAsia="MS Gothic" w:hAnsi="Calibri"/>
              <w:b/>
              <w:bCs/>
              <w:color w:val="4F81BD"/>
            </w:rPr>
          </w:pPr>
        </w:p>
      </w:tc>
      <w:tc>
        <w:tcPr>
          <w:tcW w:w="0" w:type="auto"/>
          <w:vMerge/>
          <w:vAlign w:val="center"/>
          <w:hideMark/>
        </w:tcPr>
        <w:p w:rsidR="009A2793" w:rsidRPr="005A3173" w:rsidRDefault="009A2793" w:rsidP="005A3173">
          <w:pPr>
            <w:rPr>
              <w:rFonts w:ascii="Calibri" w:hAnsi="Calibri"/>
              <w:color w:val="365F91"/>
              <w:sz w:val="22"/>
              <w:szCs w:val="22"/>
            </w:rPr>
          </w:pPr>
        </w:p>
      </w:tc>
      <w:tc>
        <w:tcPr>
          <w:tcW w:w="2250" w:type="pct"/>
          <w:tcBorders>
            <w:top w:val="single" w:sz="4" w:space="0" w:color="4F81BD"/>
            <w:left w:val="nil"/>
            <w:bottom w:val="nil"/>
            <w:right w:val="nil"/>
          </w:tcBorders>
        </w:tcPr>
        <w:p w:rsidR="009A2793" w:rsidRPr="005A3173" w:rsidRDefault="009A2793" w:rsidP="005A3173">
          <w:pPr>
            <w:pStyle w:val="Header"/>
            <w:spacing w:line="276" w:lineRule="auto"/>
            <w:rPr>
              <w:rFonts w:ascii="Calibri" w:eastAsia="MS Gothic" w:hAnsi="Calibri"/>
              <w:b/>
              <w:bCs/>
              <w:color w:val="4F81BD"/>
            </w:rPr>
          </w:pPr>
        </w:p>
      </w:tc>
    </w:tr>
  </w:tbl>
  <w:p w:rsidR="009A2793" w:rsidRDefault="009A2793"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2793" w:rsidRDefault="009A27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rsidR="009A2793" w:rsidRDefault="009A2793">
        <w:pPr>
          <w:pStyle w:val="Footer"/>
          <w:jc w:val="center"/>
        </w:pPr>
      </w:p>
      <w:p w:rsidR="009A2793" w:rsidRPr="00651169" w:rsidRDefault="009A2793">
        <w:pPr>
          <w:pStyle w:val="Footer"/>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04516B">
          <w:rPr>
            <w:rFonts w:ascii="Arial" w:hAnsi="Arial" w:cs="Arial"/>
            <w:noProof/>
            <w:sz w:val="20"/>
            <w:szCs w:val="20"/>
          </w:rPr>
          <w:t>9</w:t>
        </w:r>
        <w:r w:rsidRPr="00651169">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9A2793" w:rsidTr="005A3173">
      <w:trPr>
        <w:trHeight w:val="151"/>
      </w:trPr>
      <w:tc>
        <w:tcPr>
          <w:tcW w:w="2250" w:type="pct"/>
          <w:tcBorders>
            <w:top w:val="nil"/>
            <w:left w:val="nil"/>
            <w:bottom w:val="single" w:sz="4" w:space="0" w:color="4F81BD"/>
            <w:right w:val="nil"/>
          </w:tcBorders>
        </w:tcPr>
        <w:p w:rsidR="009A2793" w:rsidRPr="005A3173" w:rsidRDefault="009A279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A2793" w:rsidRPr="005A3173" w:rsidRDefault="009A279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A2793" w:rsidRPr="005A3173" w:rsidRDefault="009A2793" w:rsidP="005A3173">
          <w:pPr>
            <w:pStyle w:val="Header"/>
            <w:spacing w:line="276" w:lineRule="auto"/>
            <w:rPr>
              <w:rFonts w:ascii="Calibri" w:eastAsia="MS Gothic" w:hAnsi="Calibri"/>
              <w:b/>
              <w:bCs/>
              <w:color w:val="4F81BD"/>
            </w:rPr>
          </w:pPr>
        </w:p>
      </w:tc>
    </w:tr>
    <w:tr w:rsidR="009A2793" w:rsidTr="005A3173">
      <w:trPr>
        <w:trHeight w:val="150"/>
      </w:trPr>
      <w:tc>
        <w:tcPr>
          <w:tcW w:w="2250" w:type="pct"/>
          <w:tcBorders>
            <w:top w:val="single" w:sz="4" w:space="0" w:color="4F81BD"/>
            <w:left w:val="nil"/>
            <w:bottom w:val="nil"/>
            <w:right w:val="nil"/>
          </w:tcBorders>
        </w:tcPr>
        <w:p w:rsidR="009A2793" w:rsidRPr="005A3173" w:rsidRDefault="009A2793" w:rsidP="005A3173">
          <w:pPr>
            <w:pStyle w:val="Header"/>
            <w:spacing w:line="276" w:lineRule="auto"/>
            <w:rPr>
              <w:rFonts w:ascii="Calibri" w:eastAsia="MS Gothic" w:hAnsi="Calibri"/>
              <w:b/>
              <w:bCs/>
              <w:color w:val="4F81BD"/>
            </w:rPr>
          </w:pPr>
        </w:p>
      </w:tc>
      <w:tc>
        <w:tcPr>
          <w:tcW w:w="0" w:type="auto"/>
          <w:vMerge/>
          <w:vAlign w:val="center"/>
          <w:hideMark/>
        </w:tcPr>
        <w:p w:rsidR="009A2793" w:rsidRPr="005A3173" w:rsidRDefault="009A2793" w:rsidP="005A3173">
          <w:pPr>
            <w:rPr>
              <w:rFonts w:ascii="Calibri" w:hAnsi="Calibri"/>
              <w:color w:val="365F91"/>
              <w:sz w:val="22"/>
              <w:szCs w:val="22"/>
            </w:rPr>
          </w:pPr>
        </w:p>
      </w:tc>
      <w:tc>
        <w:tcPr>
          <w:tcW w:w="2250" w:type="pct"/>
          <w:tcBorders>
            <w:top w:val="single" w:sz="4" w:space="0" w:color="4F81BD"/>
            <w:left w:val="nil"/>
            <w:bottom w:val="nil"/>
            <w:right w:val="nil"/>
          </w:tcBorders>
        </w:tcPr>
        <w:p w:rsidR="009A2793" w:rsidRPr="005A3173" w:rsidRDefault="009A2793"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A2793" w:rsidTr="005A3173">
      <w:trPr>
        <w:trHeight w:val="151"/>
      </w:trPr>
      <w:tc>
        <w:tcPr>
          <w:tcW w:w="2250" w:type="pct"/>
          <w:tcBorders>
            <w:top w:val="nil"/>
            <w:left w:val="nil"/>
            <w:bottom w:val="single" w:sz="4" w:space="0" w:color="4F81BD"/>
            <w:right w:val="nil"/>
          </w:tcBorders>
        </w:tcPr>
        <w:p w:rsidR="009A2793" w:rsidRPr="005A3173" w:rsidRDefault="009A279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A2793" w:rsidRPr="005A3173" w:rsidRDefault="009A279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A2793" w:rsidRPr="005A3173" w:rsidRDefault="009A2793" w:rsidP="005A3173">
          <w:pPr>
            <w:pStyle w:val="Header"/>
            <w:spacing w:line="276" w:lineRule="auto"/>
            <w:rPr>
              <w:rFonts w:ascii="Calibri" w:eastAsia="MS Gothic" w:hAnsi="Calibri"/>
              <w:b/>
              <w:bCs/>
              <w:color w:val="4F81BD"/>
            </w:rPr>
          </w:pPr>
        </w:p>
      </w:tc>
    </w:tr>
    <w:tr w:rsidR="009A2793" w:rsidTr="005A3173">
      <w:trPr>
        <w:trHeight w:val="150"/>
      </w:trPr>
      <w:tc>
        <w:tcPr>
          <w:tcW w:w="2250" w:type="pct"/>
          <w:tcBorders>
            <w:top w:val="single" w:sz="4" w:space="0" w:color="4F81BD"/>
            <w:left w:val="nil"/>
            <w:bottom w:val="nil"/>
            <w:right w:val="nil"/>
          </w:tcBorders>
        </w:tcPr>
        <w:p w:rsidR="009A2793" w:rsidRPr="005A3173" w:rsidRDefault="009A2793" w:rsidP="005A3173">
          <w:pPr>
            <w:pStyle w:val="Header"/>
            <w:spacing w:line="276" w:lineRule="auto"/>
            <w:rPr>
              <w:rFonts w:ascii="Calibri" w:eastAsia="MS Gothic" w:hAnsi="Calibri"/>
              <w:b/>
              <w:bCs/>
              <w:color w:val="4F81BD"/>
            </w:rPr>
          </w:pPr>
        </w:p>
      </w:tc>
      <w:tc>
        <w:tcPr>
          <w:tcW w:w="0" w:type="auto"/>
          <w:vMerge/>
          <w:vAlign w:val="center"/>
          <w:hideMark/>
        </w:tcPr>
        <w:p w:rsidR="009A2793" w:rsidRPr="005A3173" w:rsidRDefault="009A2793" w:rsidP="005A3173">
          <w:pPr>
            <w:rPr>
              <w:rFonts w:ascii="Calibri" w:hAnsi="Calibri"/>
              <w:color w:val="365F91"/>
              <w:sz w:val="22"/>
              <w:szCs w:val="22"/>
            </w:rPr>
          </w:pPr>
        </w:p>
      </w:tc>
      <w:tc>
        <w:tcPr>
          <w:tcW w:w="2250" w:type="pct"/>
          <w:tcBorders>
            <w:top w:val="single" w:sz="4" w:space="0" w:color="4F81BD"/>
            <w:left w:val="nil"/>
            <w:bottom w:val="nil"/>
            <w:right w:val="nil"/>
          </w:tcBorders>
        </w:tcPr>
        <w:p w:rsidR="009A2793" w:rsidRPr="005A3173" w:rsidRDefault="009A2793" w:rsidP="005A3173">
          <w:pPr>
            <w:pStyle w:val="Header"/>
            <w:spacing w:line="276" w:lineRule="auto"/>
            <w:rPr>
              <w:rFonts w:ascii="Calibri" w:eastAsia="MS Gothic" w:hAnsi="Calibri"/>
              <w:b/>
              <w:bCs/>
              <w:color w:val="4F81BD"/>
            </w:rPr>
          </w:pPr>
        </w:p>
      </w:tc>
    </w:tr>
  </w:tbl>
  <w:p w:rsidR="009A2793" w:rsidRPr="007C0F57" w:rsidRDefault="009A2793"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9A2793" w:rsidRPr="007C0F57" w:rsidRDefault="009A2793"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DB8" w:rsidRDefault="00136DB8">
      <w:r>
        <w:separator/>
      </w:r>
    </w:p>
  </w:footnote>
  <w:footnote w:type="continuationSeparator" w:id="0">
    <w:p w:rsidR="00136DB8" w:rsidRDefault="00136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9A2793" w:rsidRPr="008E0D90" w:rsidTr="00A06225">
      <w:trPr>
        <w:trHeight w:val="151"/>
      </w:trPr>
      <w:tc>
        <w:tcPr>
          <w:tcW w:w="2389" w:type="pct"/>
          <w:tcBorders>
            <w:top w:val="nil"/>
            <w:left w:val="nil"/>
            <w:bottom w:val="single" w:sz="4" w:space="0" w:color="4F81BD"/>
            <w:right w:val="nil"/>
          </w:tcBorders>
        </w:tcPr>
        <w:p w:rsidR="009A2793" w:rsidRPr="00A06225" w:rsidRDefault="009A2793">
          <w:pPr>
            <w:pStyle w:val="Header"/>
            <w:spacing w:line="276" w:lineRule="auto"/>
            <w:rPr>
              <w:rFonts w:ascii="Cambria" w:eastAsia="MS Gothic" w:hAnsi="Cambria"/>
              <w:b/>
              <w:bCs/>
              <w:color w:val="4F81BD"/>
            </w:rPr>
          </w:pPr>
        </w:p>
      </w:tc>
      <w:tc>
        <w:tcPr>
          <w:tcW w:w="333" w:type="pct"/>
          <w:vMerge w:val="restart"/>
          <w:noWrap/>
          <w:vAlign w:val="center"/>
          <w:hideMark/>
        </w:tcPr>
        <w:p w:rsidR="009A2793" w:rsidRPr="00A06225" w:rsidRDefault="009A2793"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9A2793" w:rsidRPr="00A06225" w:rsidRDefault="009A2793">
          <w:pPr>
            <w:pStyle w:val="Header"/>
            <w:spacing w:line="276" w:lineRule="auto"/>
            <w:rPr>
              <w:rFonts w:ascii="Cambria" w:eastAsia="MS Gothic" w:hAnsi="Cambria"/>
              <w:b/>
              <w:bCs/>
              <w:color w:val="4F81BD"/>
            </w:rPr>
          </w:pPr>
        </w:p>
      </w:tc>
    </w:tr>
    <w:tr w:rsidR="009A2793" w:rsidRPr="008E0D90" w:rsidTr="00A06225">
      <w:trPr>
        <w:trHeight w:val="150"/>
      </w:trPr>
      <w:tc>
        <w:tcPr>
          <w:tcW w:w="2389" w:type="pct"/>
          <w:tcBorders>
            <w:top w:val="single" w:sz="4" w:space="0" w:color="4F81BD"/>
            <w:left w:val="nil"/>
            <w:bottom w:val="nil"/>
            <w:right w:val="nil"/>
          </w:tcBorders>
        </w:tcPr>
        <w:p w:rsidR="009A2793" w:rsidRPr="00A06225" w:rsidRDefault="009A2793">
          <w:pPr>
            <w:pStyle w:val="Header"/>
            <w:spacing w:line="276" w:lineRule="auto"/>
            <w:rPr>
              <w:rFonts w:ascii="Cambria" w:eastAsia="MS Gothic" w:hAnsi="Cambria"/>
              <w:b/>
              <w:bCs/>
              <w:color w:val="4F81BD"/>
            </w:rPr>
          </w:pPr>
        </w:p>
      </w:tc>
      <w:tc>
        <w:tcPr>
          <w:tcW w:w="0" w:type="auto"/>
          <w:vMerge/>
          <w:vAlign w:val="center"/>
          <w:hideMark/>
        </w:tcPr>
        <w:p w:rsidR="009A2793" w:rsidRPr="00A06225" w:rsidRDefault="009A2793">
          <w:pPr>
            <w:rPr>
              <w:rFonts w:ascii="Cambria" w:hAnsi="Cambria"/>
              <w:color w:val="4F81BD"/>
              <w:sz w:val="22"/>
              <w:szCs w:val="22"/>
            </w:rPr>
          </w:pPr>
        </w:p>
      </w:tc>
      <w:tc>
        <w:tcPr>
          <w:tcW w:w="2278" w:type="pct"/>
          <w:tcBorders>
            <w:top w:val="single" w:sz="4" w:space="0" w:color="4F81BD"/>
            <w:left w:val="nil"/>
            <w:bottom w:val="nil"/>
            <w:right w:val="nil"/>
          </w:tcBorders>
        </w:tcPr>
        <w:p w:rsidR="009A2793" w:rsidRPr="00A06225" w:rsidRDefault="009A2793">
          <w:pPr>
            <w:pStyle w:val="Header"/>
            <w:spacing w:line="276" w:lineRule="auto"/>
            <w:rPr>
              <w:rFonts w:ascii="Cambria" w:eastAsia="MS Gothic" w:hAnsi="Cambria"/>
              <w:b/>
              <w:bCs/>
              <w:color w:val="4F81BD"/>
            </w:rPr>
          </w:pPr>
        </w:p>
      </w:tc>
    </w:tr>
  </w:tbl>
  <w:p w:rsidR="009A2793" w:rsidRDefault="009A27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793" w:rsidRPr="00DF217D" w:rsidRDefault="009A2793" w:rsidP="00A74DFA">
    <w:pPr>
      <w:pStyle w:val="Header"/>
      <w:jc w:val="center"/>
      <w:rPr>
        <w:i/>
        <w:color w:val="808080"/>
      </w:rPr>
    </w:pPr>
    <w:r>
      <w:rPr>
        <w:i/>
        <w:color w:val="808080"/>
      </w:rPr>
      <w:t xml:space="preserve"> Public Summary Document</w:t>
    </w:r>
    <w:r w:rsidRPr="00DF217D">
      <w:rPr>
        <w:i/>
        <w:color w:val="808080"/>
      </w:rPr>
      <w:t xml:space="preserve">– </w:t>
    </w:r>
    <w:r>
      <w:rPr>
        <w:i/>
        <w:color w:val="808080"/>
      </w:rPr>
      <w:t xml:space="preserve">July 2014 </w:t>
    </w:r>
    <w:r w:rsidRPr="00DF217D">
      <w:rPr>
        <w:i/>
        <w:color w:val="808080"/>
      </w:rPr>
      <w:t>PBAC</w:t>
    </w:r>
    <w:r>
      <w:rPr>
        <w:i/>
        <w:color w:val="808080"/>
      </w:rPr>
      <w:t xml:space="preserve"> </w:t>
    </w:r>
    <w:r w:rsidRPr="00DF217D">
      <w:rPr>
        <w:i/>
        <w:color w:val="808080"/>
      </w:rPr>
      <w:t>Meeting</w:t>
    </w:r>
  </w:p>
  <w:p w:rsidR="009A2793" w:rsidRPr="00DF217D" w:rsidRDefault="009A2793" w:rsidP="00A06225">
    <w:pPr>
      <w:pStyle w:val="Header"/>
      <w:rPr>
        <w:rFonts w:ascii="Arial" w:hAnsi="Arial" w:cs="Arial"/>
        <w:i/>
        <w:color w:val="808080"/>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0E75A46"/>
    <w:multiLevelType w:val="hybridMultilevel"/>
    <w:tmpl w:val="DE4EF9CC"/>
    <w:lvl w:ilvl="0" w:tplc="FFFFFFFF">
      <w:numFmt w:val="bullet"/>
      <w:lvlText w:val="-"/>
      <w:lvlJc w:val="left"/>
      <w:pPr>
        <w:ind w:left="720" w:hanging="360"/>
      </w:pPr>
      <w:rPr>
        <w:rFonts w:ascii="Times New Roman" w:eastAsia="Times New Roman" w:hAnsi="Times New Roman" w:cs="Times New Roman" w:hint="default"/>
      </w:rPr>
    </w:lvl>
    <w:lvl w:ilvl="1" w:tplc="B8CE4AEA">
      <w:start w:val="6"/>
      <w:numFmt w:val="bullet"/>
      <w:lvlText w:val=""/>
      <w:lvlJc w:val="left"/>
      <w:pPr>
        <w:ind w:left="1815" w:hanging="735"/>
      </w:pPr>
      <w:rPr>
        <w:rFonts w:ascii="Symbol" w:eastAsia="Times New Roman" w:hAnsi="Symbo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1542C47"/>
    <w:multiLevelType w:val="multilevel"/>
    <w:tmpl w:val="8C66A856"/>
    <w:lvl w:ilvl="0">
      <w:start w:val="6"/>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4402B40"/>
    <w:multiLevelType w:val="hybridMultilevel"/>
    <w:tmpl w:val="C8AE4B14"/>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4">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9">
    <w:nsid w:val="14A707B0"/>
    <w:multiLevelType w:val="hybridMultilevel"/>
    <w:tmpl w:val="11402972"/>
    <w:lvl w:ilvl="0" w:tplc="0C090001">
      <w:start w:val="1"/>
      <w:numFmt w:val="bullet"/>
      <w:lvlText w:val=""/>
      <w:lvlJc w:val="left"/>
      <w:pPr>
        <w:ind w:left="2073" w:hanging="360"/>
      </w:pPr>
      <w:rPr>
        <w:rFonts w:ascii="Symbol" w:hAnsi="Symbol" w:hint="default"/>
      </w:rPr>
    </w:lvl>
    <w:lvl w:ilvl="1" w:tplc="0C090003" w:tentative="1">
      <w:start w:val="1"/>
      <w:numFmt w:val="bullet"/>
      <w:lvlText w:val="o"/>
      <w:lvlJc w:val="left"/>
      <w:pPr>
        <w:ind w:left="2793" w:hanging="360"/>
      </w:pPr>
      <w:rPr>
        <w:rFonts w:ascii="Courier New" w:hAnsi="Courier New" w:cs="Courier New" w:hint="default"/>
      </w:rPr>
    </w:lvl>
    <w:lvl w:ilvl="2" w:tplc="0C090005" w:tentative="1">
      <w:start w:val="1"/>
      <w:numFmt w:val="bullet"/>
      <w:lvlText w:val=""/>
      <w:lvlJc w:val="left"/>
      <w:pPr>
        <w:ind w:left="3513" w:hanging="360"/>
      </w:pPr>
      <w:rPr>
        <w:rFonts w:ascii="Wingdings" w:hAnsi="Wingdings" w:hint="default"/>
      </w:rPr>
    </w:lvl>
    <w:lvl w:ilvl="3" w:tplc="0C090001" w:tentative="1">
      <w:start w:val="1"/>
      <w:numFmt w:val="bullet"/>
      <w:lvlText w:val=""/>
      <w:lvlJc w:val="left"/>
      <w:pPr>
        <w:ind w:left="4233" w:hanging="360"/>
      </w:pPr>
      <w:rPr>
        <w:rFonts w:ascii="Symbol" w:hAnsi="Symbol" w:hint="default"/>
      </w:rPr>
    </w:lvl>
    <w:lvl w:ilvl="4" w:tplc="0C090003" w:tentative="1">
      <w:start w:val="1"/>
      <w:numFmt w:val="bullet"/>
      <w:lvlText w:val="o"/>
      <w:lvlJc w:val="left"/>
      <w:pPr>
        <w:ind w:left="4953" w:hanging="360"/>
      </w:pPr>
      <w:rPr>
        <w:rFonts w:ascii="Courier New" w:hAnsi="Courier New" w:cs="Courier New" w:hint="default"/>
      </w:rPr>
    </w:lvl>
    <w:lvl w:ilvl="5" w:tplc="0C090005" w:tentative="1">
      <w:start w:val="1"/>
      <w:numFmt w:val="bullet"/>
      <w:lvlText w:val=""/>
      <w:lvlJc w:val="left"/>
      <w:pPr>
        <w:ind w:left="5673" w:hanging="360"/>
      </w:pPr>
      <w:rPr>
        <w:rFonts w:ascii="Wingdings" w:hAnsi="Wingdings" w:hint="default"/>
      </w:rPr>
    </w:lvl>
    <w:lvl w:ilvl="6" w:tplc="0C090001" w:tentative="1">
      <w:start w:val="1"/>
      <w:numFmt w:val="bullet"/>
      <w:lvlText w:val=""/>
      <w:lvlJc w:val="left"/>
      <w:pPr>
        <w:ind w:left="6393" w:hanging="360"/>
      </w:pPr>
      <w:rPr>
        <w:rFonts w:ascii="Symbol" w:hAnsi="Symbol" w:hint="default"/>
      </w:rPr>
    </w:lvl>
    <w:lvl w:ilvl="7" w:tplc="0C090003" w:tentative="1">
      <w:start w:val="1"/>
      <w:numFmt w:val="bullet"/>
      <w:lvlText w:val="o"/>
      <w:lvlJc w:val="left"/>
      <w:pPr>
        <w:ind w:left="7113" w:hanging="360"/>
      </w:pPr>
      <w:rPr>
        <w:rFonts w:ascii="Courier New" w:hAnsi="Courier New" w:cs="Courier New" w:hint="default"/>
      </w:rPr>
    </w:lvl>
    <w:lvl w:ilvl="8" w:tplc="0C090005" w:tentative="1">
      <w:start w:val="1"/>
      <w:numFmt w:val="bullet"/>
      <w:lvlText w:val=""/>
      <w:lvlJc w:val="left"/>
      <w:pPr>
        <w:ind w:left="7833" w:hanging="360"/>
      </w:pPr>
      <w:rPr>
        <w:rFonts w:ascii="Wingdings" w:hAnsi="Wingdings" w:hint="default"/>
      </w:rPr>
    </w:lvl>
  </w:abstractNum>
  <w:abstractNum w:abstractNumId="10">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11">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2">
    <w:nsid w:val="1EF43F04"/>
    <w:multiLevelType w:val="multilevel"/>
    <w:tmpl w:val="5C6C0886"/>
    <w:lvl w:ilvl="0">
      <w:start w:val="6"/>
      <w:numFmt w:val="decimal"/>
      <w:lvlText w:val="%1"/>
      <w:lvlJc w:val="left"/>
      <w:pPr>
        <w:ind w:left="360" w:hanging="360"/>
      </w:pPr>
      <w:rPr>
        <w:rFonts w:hint="default"/>
        <w:i w:val="0"/>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1F595B7C"/>
    <w:multiLevelType w:val="hybridMultilevel"/>
    <w:tmpl w:val="E9667A7E"/>
    <w:lvl w:ilvl="0" w:tplc="0C090001">
      <w:start w:val="1"/>
      <w:numFmt w:val="bullet"/>
      <w:lvlText w:val=""/>
      <w:lvlJc w:val="left"/>
      <w:pPr>
        <w:ind w:left="1212" w:hanging="360"/>
      </w:pPr>
      <w:rPr>
        <w:rFonts w:ascii="Symbol" w:hAnsi="Symbol" w:hint="default"/>
      </w:rPr>
    </w:lvl>
    <w:lvl w:ilvl="1" w:tplc="0C090003">
      <w:start w:val="1"/>
      <w:numFmt w:val="bullet"/>
      <w:lvlText w:val="o"/>
      <w:lvlJc w:val="left"/>
      <w:pPr>
        <w:ind w:left="2073" w:hanging="360"/>
      </w:pPr>
      <w:rPr>
        <w:rFonts w:ascii="Courier New" w:hAnsi="Courier New" w:cs="Courier New" w:hint="default"/>
      </w:rPr>
    </w:lvl>
    <w:lvl w:ilvl="2" w:tplc="0C090005">
      <w:start w:val="1"/>
      <w:numFmt w:val="bullet"/>
      <w:lvlText w:val=""/>
      <w:lvlJc w:val="left"/>
      <w:pPr>
        <w:ind w:left="2793" w:hanging="360"/>
      </w:pPr>
      <w:rPr>
        <w:rFonts w:ascii="Wingdings" w:hAnsi="Wingdings" w:hint="default"/>
      </w:rPr>
    </w:lvl>
    <w:lvl w:ilvl="3" w:tplc="0C090001">
      <w:start w:val="1"/>
      <w:numFmt w:val="bullet"/>
      <w:lvlText w:val=""/>
      <w:lvlJc w:val="left"/>
      <w:pPr>
        <w:ind w:left="1070" w:hanging="360"/>
      </w:pPr>
      <w:rPr>
        <w:rFonts w:ascii="Symbol" w:hAnsi="Symbol" w:hint="default"/>
      </w:rPr>
    </w:lvl>
    <w:lvl w:ilvl="4" w:tplc="0C090003">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14">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5">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7">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9">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0">
    <w:nsid w:val="3C2A5452"/>
    <w:multiLevelType w:val="multilevel"/>
    <w:tmpl w:val="C2001AE8"/>
    <w:lvl w:ilvl="0">
      <w:start w:val="6"/>
      <w:numFmt w:val="decimal"/>
      <w:lvlText w:val="%1"/>
      <w:lvlJc w:val="left"/>
      <w:pPr>
        <w:ind w:left="360" w:hanging="360"/>
      </w:pPr>
      <w:rPr>
        <w:rFonts w:hint="default"/>
        <w:i w:val="0"/>
      </w:rPr>
    </w:lvl>
    <w:lvl w:ilvl="1">
      <w:start w:val="6"/>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2">
    <w:nsid w:val="425C1734"/>
    <w:multiLevelType w:val="multilevel"/>
    <w:tmpl w:val="0C128178"/>
    <w:lvl w:ilvl="0">
      <w:start w:val="6"/>
      <w:numFmt w:val="decimal"/>
      <w:lvlText w:val="%1"/>
      <w:lvlJc w:val="left"/>
      <w:pPr>
        <w:ind w:left="360" w:hanging="360"/>
      </w:pPr>
      <w:rPr>
        <w:rFonts w:hint="default"/>
        <w:i w:val="0"/>
      </w:rPr>
    </w:lvl>
    <w:lvl w:ilvl="1">
      <w:start w:val="13"/>
      <w:numFmt w:val="decimal"/>
      <w:lvlText w:val="%1.%2"/>
      <w:lvlJc w:val="left"/>
      <w:pPr>
        <w:ind w:left="107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4">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B1E100B"/>
    <w:multiLevelType w:val="multilevel"/>
    <w:tmpl w:val="6A6AD780"/>
    <w:lvl w:ilvl="0">
      <w:start w:val="6"/>
      <w:numFmt w:val="decimal"/>
      <w:lvlText w:val="%1"/>
      <w:lvlJc w:val="left"/>
      <w:pPr>
        <w:ind w:left="360" w:hanging="360"/>
      </w:pPr>
      <w:rPr>
        <w:rFonts w:hint="default"/>
        <w:i w:val="0"/>
      </w:rPr>
    </w:lvl>
    <w:lvl w:ilvl="1">
      <w:start w:val="13"/>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7">
    <w:nsid w:val="4BC62278"/>
    <w:multiLevelType w:val="hybridMultilevel"/>
    <w:tmpl w:val="2EBEB690"/>
    <w:lvl w:ilvl="0" w:tplc="0C090001">
      <w:start w:val="1"/>
      <w:numFmt w:val="bullet"/>
      <w:lvlText w:val=""/>
      <w:lvlJc w:val="left"/>
      <w:pPr>
        <w:ind w:left="1495" w:hanging="360"/>
      </w:pPr>
      <w:rPr>
        <w:rFonts w:ascii="Symbol" w:hAnsi="Symbol" w:hint="default"/>
      </w:rPr>
    </w:lvl>
    <w:lvl w:ilvl="1" w:tplc="0C090003" w:tentative="1">
      <w:start w:val="1"/>
      <w:numFmt w:val="bullet"/>
      <w:lvlText w:val="o"/>
      <w:lvlJc w:val="left"/>
      <w:pPr>
        <w:ind w:left="2215" w:hanging="360"/>
      </w:pPr>
      <w:rPr>
        <w:rFonts w:ascii="Courier New" w:hAnsi="Courier New" w:cs="Courier New" w:hint="default"/>
      </w:rPr>
    </w:lvl>
    <w:lvl w:ilvl="2" w:tplc="0C090005" w:tentative="1">
      <w:start w:val="1"/>
      <w:numFmt w:val="bullet"/>
      <w:lvlText w:val=""/>
      <w:lvlJc w:val="left"/>
      <w:pPr>
        <w:ind w:left="2935" w:hanging="360"/>
      </w:pPr>
      <w:rPr>
        <w:rFonts w:ascii="Wingdings" w:hAnsi="Wingdings" w:hint="default"/>
      </w:rPr>
    </w:lvl>
    <w:lvl w:ilvl="3" w:tplc="0C090001" w:tentative="1">
      <w:start w:val="1"/>
      <w:numFmt w:val="bullet"/>
      <w:lvlText w:val=""/>
      <w:lvlJc w:val="left"/>
      <w:pPr>
        <w:ind w:left="3655" w:hanging="360"/>
      </w:pPr>
      <w:rPr>
        <w:rFonts w:ascii="Symbol" w:hAnsi="Symbol" w:hint="default"/>
      </w:rPr>
    </w:lvl>
    <w:lvl w:ilvl="4" w:tplc="0C090003" w:tentative="1">
      <w:start w:val="1"/>
      <w:numFmt w:val="bullet"/>
      <w:lvlText w:val="o"/>
      <w:lvlJc w:val="left"/>
      <w:pPr>
        <w:ind w:left="4375" w:hanging="360"/>
      </w:pPr>
      <w:rPr>
        <w:rFonts w:ascii="Courier New" w:hAnsi="Courier New" w:cs="Courier New" w:hint="default"/>
      </w:rPr>
    </w:lvl>
    <w:lvl w:ilvl="5" w:tplc="0C090005" w:tentative="1">
      <w:start w:val="1"/>
      <w:numFmt w:val="bullet"/>
      <w:lvlText w:val=""/>
      <w:lvlJc w:val="left"/>
      <w:pPr>
        <w:ind w:left="5095" w:hanging="360"/>
      </w:pPr>
      <w:rPr>
        <w:rFonts w:ascii="Wingdings" w:hAnsi="Wingdings" w:hint="default"/>
      </w:rPr>
    </w:lvl>
    <w:lvl w:ilvl="6" w:tplc="0C090001" w:tentative="1">
      <w:start w:val="1"/>
      <w:numFmt w:val="bullet"/>
      <w:lvlText w:val=""/>
      <w:lvlJc w:val="left"/>
      <w:pPr>
        <w:ind w:left="5815" w:hanging="360"/>
      </w:pPr>
      <w:rPr>
        <w:rFonts w:ascii="Symbol" w:hAnsi="Symbol" w:hint="default"/>
      </w:rPr>
    </w:lvl>
    <w:lvl w:ilvl="7" w:tplc="0C090003" w:tentative="1">
      <w:start w:val="1"/>
      <w:numFmt w:val="bullet"/>
      <w:lvlText w:val="o"/>
      <w:lvlJc w:val="left"/>
      <w:pPr>
        <w:ind w:left="6535" w:hanging="360"/>
      </w:pPr>
      <w:rPr>
        <w:rFonts w:ascii="Courier New" w:hAnsi="Courier New" w:cs="Courier New" w:hint="default"/>
      </w:rPr>
    </w:lvl>
    <w:lvl w:ilvl="8" w:tplc="0C090005" w:tentative="1">
      <w:start w:val="1"/>
      <w:numFmt w:val="bullet"/>
      <w:lvlText w:val=""/>
      <w:lvlJc w:val="left"/>
      <w:pPr>
        <w:ind w:left="7255" w:hanging="360"/>
      </w:pPr>
      <w:rPr>
        <w:rFonts w:ascii="Wingdings" w:hAnsi="Wingdings" w:hint="default"/>
      </w:rPr>
    </w:lvl>
  </w:abstractNum>
  <w:abstractNum w:abstractNumId="28">
    <w:nsid w:val="4CD8522C"/>
    <w:multiLevelType w:val="multilevel"/>
    <w:tmpl w:val="84E84FE6"/>
    <w:lvl w:ilvl="0">
      <w:start w:val="7"/>
      <w:numFmt w:val="decimal"/>
      <w:lvlText w:val="%1"/>
      <w:lvlJc w:val="left"/>
      <w:pPr>
        <w:ind w:left="360" w:hanging="360"/>
      </w:pPr>
      <w:rPr>
        <w:rFonts w:hint="default"/>
        <w:i w:val="0"/>
      </w:rPr>
    </w:lvl>
    <w:lvl w:ilvl="1">
      <w:start w:val="1"/>
      <w:numFmt w:val="decimal"/>
      <w:lvlText w:val="%1.%2"/>
      <w:lvlJc w:val="left"/>
      <w:pPr>
        <w:ind w:left="262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4E236B3E"/>
    <w:multiLevelType w:val="multilevel"/>
    <w:tmpl w:val="CE784A1C"/>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4F5C30B7"/>
    <w:multiLevelType w:val="multilevel"/>
    <w:tmpl w:val="94367FDC"/>
    <w:lvl w:ilvl="0">
      <w:start w:val="6"/>
      <w:numFmt w:val="decimal"/>
      <w:lvlText w:val="%1"/>
      <w:lvlJc w:val="left"/>
      <w:pPr>
        <w:ind w:left="360" w:hanging="360"/>
      </w:pPr>
      <w:rPr>
        <w:rFonts w:hint="default"/>
        <w:i w:val="0"/>
      </w:rPr>
    </w:lvl>
    <w:lvl w:ilvl="1">
      <w:start w:val="4"/>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2">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33">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nsid w:val="58851D79"/>
    <w:multiLevelType w:val="hybridMultilevel"/>
    <w:tmpl w:val="D578D9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nsid w:val="59BC5196"/>
    <w:multiLevelType w:val="multilevel"/>
    <w:tmpl w:val="8C66A856"/>
    <w:lvl w:ilvl="0">
      <w:start w:val="6"/>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416642"/>
    <w:multiLevelType w:val="hybridMultilevel"/>
    <w:tmpl w:val="98A2262C"/>
    <w:lvl w:ilvl="0" w:tplc="0C090001">
      <w:start w:val="1"/>
      <w:numFmt w:val="bullet"/>
      <w:lvlText w:val=""/>
      <w:lvlJc w:val="left"/>
      <w:pPr>
        <w:ind w:left="1212" w:hanging="360"/>
      </w:pPr>
      <w:rPr>
        <w:rFonts w:ascii="Symbol" w:hAnsi="Symbol" w:hint="default"/>
      </w:rPr>
    </w:lvl>
    <w:lvl w:ilvl="1" w:tplc="0C090003">
      <w:start w:val="1"/>
      <w:numFmt w:val="bullet"/>
      <w:lvlText w:val="o"/>
      <w:lvlJc w:val="left"/>
      <w:pPr>
        <w:ind w:left="1932" w:hanging="360"/>
      </w:pPr>
      <w:rPr>
        <w:rFonts w:ascii="Courier New" w:hAnsi="Courier New" w:cs="Courier New" w:hint="default"/>
      </w:rPr>
    </w:lvl>
    <w:lvl w:ilvl="2" w:tplc="0C090005" w:tentative="1">
      <w:start w:val="1"/>
      <w:numFmt w:val="bullet"/>
      <w:lvlText w:val=""/>
      <w:lvlJc w:val="left"/>
      <w:pPr>
        <w:ind w:left="2652" w:hanging="360"/>
      </w:pPr>
      <w:rPr>
        <w:rFonts w:ascii="Wingdings" w:hAnsi="Wingdings" w:hint="default"/>
      </w:rPr>
    </w:lvl>
    <w:lvl w:ilvl="3" w:tplc="0C090001" w:tentative="1">
      <w:start w:val="1"/>
      <w:numFmt w:val="bullet"/>
      <w:lvlText w:val=""/>
      <w:lvlJc w:val="left"/>
      <w:pPr>
        <w:ind w:left="3372" w:hanging="360"/>
      </w:pPr>
      <w:rPr>
        <w:rFonts w:ascii="Symbol" w:hAnsi="Symbol" w:hint="default"/>
      </w:rPr>
    </w:lvl>
    <w:lvl w:ilvl="4" w:tplc="0C090003" w:tentative="1">
      <w:start w:val="1"/>
      <w:numFmt w:val="bullet"/>
      <w:lvlText w:val="o"/>
      <w:lvlJc w:val="left"/>
      <w:pPr>
        <w:ind w:left="4092" w:hanging="360"/>
      </w:pPr>
      <w:rPr>
        <w:rFonts w:ascii="Courier New" w:hAnsi="Courier New" w:cs="Courier New" w:hint="default"/>
      </w:rPr>
    </w:lvl>
    <w:lvl w:ilvl="5" w:tplc="0C090005" w:tentative="1">
      <w:start w:val="1"/>
      <w:numFmt w:val="bullet"/>
      <w:lvlText w:val=""/>
      <w:lvlJc w:val="left"/>
      <w:pPr>
        <w:ind w:left="4812" w:hanging="360"/>
      </w:pPr>
      <w:rPr>
        <w:rFonts w:ascii="Wingdings" w:hAnsi="Wingdings" w:hint="default"/>
      </w:rPr>
    </w:lvl>
    <w:lvl w:ilvl="6" w:tplc="0C090001" w:tentative="1">
      <w:start w:val="1"/>
      <w:numFmt w:val="bullet"/>
      <w:lvlText w:val=""/>
      <w:lvlJc w:val="left"/>
      <w:pPr>
        <w:ind w:left="5532" w:hanging="360"/>
      </w:pPr>
      <w:rPr>
        <w:rFonts w:ascii="Symbol" w:hAnsi="Symbol" w:hint="default"/>
      </w:rPr>
    </w:lvl>
    <w:lvl w:ilvl="7" w:tplc="0C090003" w:tentative="1">
      <w:start w:val="1"/>
      <w:numFmt w:val="bullet"/>
      <w:lvlText w:val="o"/>
      <w:lvlJc w:val="left"/>
      <w:pPr>
        <w:ind w:left="6252" w:hanging="360"/>
      </w:pPr>
      <w:rPr>
        <w:rFonts w:ascii="Courier New" w:hAnsi="Courier New" w:cs="Courier New" w:hint="default"/>
      </w:rPr>
    </w:lvl>
    <w:lvl w:ilvl="8" w:tplc="0C090005" w:tentative="1">
      <w:start w:val="1"/>
      <w:numFmt w:val="bullet"/>
      <w:lvlText w:val=""/>
      <w:lvlJc w:val="left"/>
      <w:pPr>
        <w:ind w:left="6972" w:hanging="360"/>
      </w:pPr>
      <w:rPr>
        <w:rFonts w:ascii="Wingdings" w:hAnsi="Wingdings" w:hint="default"/>
      </w:rPr>
    </w:lvl>
  </w:abstractNum>
  <w:abstractNum w:abstractNumId="40">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41">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43">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4">
    <w:nsid w:val="71BA4FDC"/>
    <w:multiLevelType w:val="hybridMultilevel"/>
    <w:tmpl w:val="998C12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nsid w:val="71E410FF"/>
    <w:multiLevelType w:val="multilevel"/>
    <w:tmpl w:val="3F3EB5B4"/>
    <w:lvl w:ilvl="0">
      <w:start w:val="7"/>
      <w:numFmt w:val="decimal"/>
      <w:lvlText w:val="%1"/>
      <w:lvlJc w:val="left"/>
      <w:pPr>
        <w:ind w:left="360" w:hanging="360"/>
      </w:pPr>
      <w:rPr>
        <w:rFonts w:hint="default"/>
        <w:i w:val="0"/>
      </w:rPr>
    </w:lvl>
    <w:lvl w:ilvl="1">
      <w:start w:val="23"/>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7">
    <w:nsid w:val="764E6B35"/>
    <w:multiLevelType w:val="multilevel"/>
    <w:tmpl w:val="FD040E98"/>
    <w:lvl w:ilvl="0">
      <w:start w:val="6"/>
      <w:numFmt w:val="decimal"/>
      <w:lvlText w:val="%1"/>
      <w:lvlJc w:val="left"/>
      <w:pPr>
        <w:ind w:left="360" w:hanging="360"/>
      </w:pPr>
      <w:rPr>
        <w:rFonts w:hint="default"/>
        <w:i w:val="0"/>
      </w:rPr>
    </w:lvl>
    <w:lvl w:ilvl="1">
      <w:start w:val="5"/>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773F7C2E"/>
    <w:multiLevelType w:val="hybridMultilevel"/>
    <w:tmpl w:val="9FEA7B8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9">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50">
    <w:nsid w:val="77CF014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84D033C"/>
    <w:multiLevelType w:val="multilevel"/>
    <w:tmpl w:val="CA6643A6"/>
    <w:lvl w:ilvl="0">
      <w:start w:val="1"/>
      <w:numFmt w:val="decimal"/>
      <w:lvlText w:val="%1"/>
      <w:lvlJc w:val="left"/>
      <w:pPr>
        <w:ind w:left="720" w:hanging="720"/>
      </w:pPr>
      <w:rPr>
        <w:rFonts w:hint="default"/>
        <w:b/>
      </w:rPr>
    </w:lvl>
    <w:lvl w:ilvl="1">
      <w:start w:val="1"/>
      <w:numFmt w:val="decimal"/>
      <w:lvlText w:val="%1.%2"/>
      <w:lvlJc w:val="left"/>
      <w:pPr>
        <w:ind w:left="1004"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A235AD6"/>
    <w:multiLevelType w:val="hybridMultilevel"/>
    <w:tmpl w:val="0C0EEC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55">
    <w:nsid w:val="7DCB15A6"/>
    <w:multiLevelType w:val="hybridMultilevel"/>
    <w:tmpl w:val="57CA6E40"/>
    <w:lvl w:ilvl="0" w:tplc="0C090003">
      <w:numFmt w:val="bullet"/>
      <w:lvlText w:val="•"/>
      <w:lvlJc w:val="left"/>
      <w:pPr>
        <w:ind w:left="1353" w:hanging="360"/>
      </w:pPr>
      <w:rPr>
        <w:rFonts w:ascii="Arial" w:eastAsia="Times New Roman" w:hAnsi="Arial" w:hint="default"/>
      </w:rPr>
    </w:lvl>
    <w:lvl w:ilvl="1" w:tplc="0C090003" w:tentative="1">
      <w:start w:val="1"/>
      <w:numFmt w:val="bullet"/>
      <w:lvlText w:val="o"/>
      <w:lvlJc w:val="left"/>
      <w:pPr>
        <w:ind w:left="2215" w:hanging="360"/>
      </w:pPr>
      <w:rPr>
        <w:rFonts w:ascii="Courier New" w:hAnsi="Courier New" w:cs="Courier New" w:hint="default"/>
      </w:rPr>
    </w:lvl>
    <w:lvl w:ilvl="2" w:tplc="0C090005" w:tentative="1">
      <w:start w:val="1"/>
      <w:numFmt w:val="bullet"/>
      <w:lvlText w:val=""/>
      <w:lvlJc w:val="left"/>
      <w:pPr>
        <w:ind w:left="2935" w:hanging="360"/>
      </w:pPr>
      <w:rPr>
        <w:rFonts w:ascii="Wingdings" w:hAnsi="Wingdings" w:hint="default"/>
      </w:rPr>
    </w:lvl>
    <w:lvl w:ilvl="3" w:tplc="0C090001" w:tentative="1">
      <w:start w:val="1"/>
      <w:numFmt w:val="bullet"/>
      <w:lvlText w:val=""/>
      <w:lvlJc w:val="left"/>
      <w:pPr>
        <w:ind w:left="3655" w:hanging="360"/>
      </w:pPr>
      <w:rPr>
        <w:rFonts w:ascii="Symbol" w:hAnsi="Symbol" w:hint="default"/>
      </w:rPr>
    </w:lvl>
    <w:lvl w:ilvl="4" w:tplc="0C090003" w:tentative="1">
      <w:start w:val="1"/>
      <w:numFmt w:val="bullet"/>
      <w:lvlText w:val="o"/>
      <w:lvlJc w:val="left"/>
      <w:pPr>
        <w:ind w:left="4375" w:hanging="360"/>
      </w:pPr>
      <w:rPr>
        <w:rFonts w:ascii="Courier New" w:hAnsi="Courier New" w:cs="Courier New" w:hint="default"/>
      </w:rPr>
    </w:lvl>
    <w:lvl w:ilvl="5" w:tplc="0C090005" w:tentative="1">
      <w:start w:val="1"/>
      <w:numFmt w:val="bullet"/>
      <w:lvlText w:val=""/>
      <w:lvlJc w:val="left"/>
      <w:pPr>
        <w:ind w:left="5095" w:hanging="360"/>
      </w:pPr>
      <w:rPr>
        <w:rFonts w:ascii="Wingdings" w:hAnsi="Wingdings" w:hint="default"/>
      </w:rPr>
    </w:lvl>
    <w:lvl w:ilvl="6" w:tplc="0C090001" w:tentative="1">
      <w:start w:val="1"/>
      <w:numFmt w:val="bullet"/>
      <w:lvlText w:val=""/>
      <w:lvlJc w:val="left"/>
      <w:pPr>
        <w:ind w:left="5815" w:hanging="360"/>
      </w:pPr>
      <w:rPr>
        <w:rFonts w:ascii="Symbol" w:hAnsi="Symbol" w:hint="default"/>
      </w:rPr>
    </w:lvl>
    <w:lvl w:ilvl="7" w:tplc="0C090003" w:tentative="1">
      <w:start w:val="1"/>
      <w:numFmt w:val="bullet"/>
      <w:lvlText w:val="o"/>
      <w:lvlJc w:val="left"/>
      <w:pPr>
        <w:ind w:left="6535" w:hanging="360"/>
      </w:pPr>
      <w:rPr>
        <w:rFonts w:ascii="Courier New" w:hAnsi="Courier New" w:cs="Courier New" w:hint="default"/>
      </w:rPr>
    </w:lvl>
    <w:lvl w:ilvl="8" w:tplc="0C090005" w:tentative="1">
      <w:start w:val="1"/>
      <w:numFmt w:val="bullet"/>
      <w:lvlText w:val=""/>
      <w:lvlJc w:val="left"/>
      <w:pPr>
        <w:ind w:left="7255" w:hanging="360"/>
      </w:pPr>
      <w:rPr>
        <w:rFonts w:ascii="Wingdings" w:hAnsi="Wingdings" w:hint="default"/>
      </w:rPr>
    </w:lvl>
  </w:abstractNum>
  <w:abstractNum w:abstractNumId="56">
    <w:nsid w:val="7EF55792"/>
    <w:multiLevelType w:val="hybridMultilevel"/>
    <w:tmpl w:val="70A6F4B8"/>
    <w:lvl w:ilvl="0" w:tplc="0C090001">
      <w:start w:val="1"/>
      <w:numFmt w:val="bullet"/>
      <w:lvlText w:val=""/>
      <w:lvlJc w:val="left"/>
      <w:pPr>
        <w:ind w:left="3505" w:hanging="360"/>
      </w:pPr>
      <w:rPr>
        <w:rFonts w:ascii="Symbol" w:hAnsi="Symbol" w:hint="default"/>
      </w:rPr>
    </w:lvl>
    <w:lvl w:ilvl="1" w:tplc="0C090003" w:tentative="1">
      <w:start w:val="1"/>
      <w:numFmt w:val="bullet"/>
      <w:lvlText w:val="o"/>
      <w:lvlJc w:val="left"/>
      <w:pPr>
        <w:ind w:left="4225" w:hanging="360"/>
      </w:pPr>
      <w:rPr>
        <w:rFonts w:ascii="Courier New" w:hAnsi="Courier New" w:cs="Courier New" w:hint="default"/>
      </w:rPr>
    </w:lvl>
    <w:lvl w:ilvl="2" w:tplc="0C090005" w:tentative="1">
      <w:start w:val="1"/>
      <w:numFmt w:val="bullet"/>
      <w:lvlText w:val=""/>
      <w:lvlJc w:val="left"/>
      <w:pPr>
        <w:ind w:left="4945" w:hanging="360"/>
      </w:pPr>
      <w:rPr>
        <w:rFonts w:ascii="Wingdings" w:hAnsi="Wingdings" w:hint="default"/>
      </w:rPr>
    </w:lvl>
    <w:lvl w:ilvl="3" w:tplc="0C090001" w:tentative="1">
      <w:start w:val="1"/>
      <w:numFmt w:val="bullet"/>
      <w:lvlText w:val=""/>
      <w:lvlJc w:val="left"/>
      <w:pPr>
        <w:ind w:left="5665" w:hanging="360"/>
      </w:pPr>
      <w:rPr>
        <w:rFonts w:ascii="Symbol" w:hAnsi="Symbol" w:hint="default"/>
      </w:rPr>
    </w:lvl>
    <w:lvl w:ilvl="4" w:tplc="0C090003" w:tentative="1">
      <w:start w:val="1"/>
      <w:numFmt w:val="bullet"/>
      <w:lvlText w:val="o"/>
      <w:lvlJc w:val="left"/>
      <w:pPr>
        <w:ind w:left="6385" w:hanging="360"/>
      </w:pPr>
      <w:rPr>
        <w:rFonts w:ascii="Courier New" w:hAnsi="Courier New" w:cs="Courier New" w:hint="default"/>
      </w:rPr>
    </w:lvl>
    <w:lvl w:ilvl="5" w:tplc="0C090005" w:tentative="1">
      <w:start w:val="1"/>
      <w:numFmt w:val="bullet"/>
      <w:lvlText w:val=""/>
      <w:lvlJc w:val="left"/>
      <w:pPr>
        <w:ind w:left="7105" w:hanging="360"/>
      </w:pPr>
      <w:rPr>
        <w:rFonts w:ascii="Wingdings" w:hAnsi="Wingdings" w:hint="default"/>
      </w:rPr>
    </w:lvl>
    <w:lvl w:ilvl="6" w:tplc="0C090001" w:tentative="1">
      <w:start w:val="1"/>
      <w:numFmt w:val="bullet"/>
      <w:lvlText w:val=""/>
      <w:lvlJc w:val="left"/>
      <w:pPr>
        <w:ind w:left="7825" w:hanging="360"/>
      </w:pPr>
      <w:rPr>
        <w:rFonts w:ascii="Symbol" w:hAnsi="Symbol" w:hint="default"/>
      </w:rPr>
    </w:lvl>
    <w:lvl w:ilvl="7" w:tplc="0C090003" w:tentative="1">
      <w:start w:val="1"/>
      <w:numFmt w:val="bullet"/>
      <w:lvlText w:val="o"/>
      <w:lvlJc w:val="left"/>
      <w:pPr>
        <w:ind w:left="8545" w:hanging="360"/>
      </w:pPr>
      <w:rPr>
        <w:rFonts w:ascii="Courier New" w:hAnsi="Courier New" w:cs="Courier New" w:hint="default"/>
      </w:rPr>
    </w:lvl>
    <w:lvl w:ilvl="8" w:tplc="0C090005" w:tentative="1">
      <w:start w:val="1"/>
      <w:numFmt w:val="bullet"/>
      <w:lvlText w:val=""/>
      <w:lvlJc w:val="left"/>
      <w:pPr>
        <w:ind w:left="9265" w:hanging="360"/>
      </w:pPr>
      <w:rPr>
        <w:rFonts w:ascii="Wingdings" w:hAnsi="Wingdings" w:hint="default"/>
      </w:rPr>
    </w:lvl>
  </w:abstractNum>
  <w:num w:numId="1">
    <w:abstractNumId w:val="11"/>
  </w:num>
  <w:num w:numId="2">
    <w:abstractNumId w:val="42"/>
  </w:num>
  <w:num w:numId="3">
    <w:abstractNumId w:val="23"/>
  </w:num>
  <w:num w:numId="4">
    <w:abstractNumId w:val="0"/>
  </w:num>
  <w:num w:numId="5">
    <w:abstractNumId w:val="7"/>
  </w:num>
  <w:num w:numId="6">
    <w:abstractNumId w:val="21"/>
  </w:num>
  <w:num w:numId="7">
    <w:abstractNumId w:val="18"/>
  </w:num>
  <w:num w:numId="8">
    <w:abstractNumId w:val="6"/>
  </w:num>
  <w:num w:numId="9">
    <w:abstractNumId w:val="10"/>
  </w:num>
  <w:num w:numId="10">
    <w:abstractNumId w:val="40"/>
  </w:num>
  <w:num w:numId="1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43"/>
  </w:num>
  <w:num w:numId="15">
    <w:abstractNumId w:val="35"/>
  </w:num>
  <w:num w:numId="16">
    <w:abstractNumId w:val="31"/>
  </w:num>
  <w:num w:numId="17">
    <w:abstractNumId w:val="49"/>
  </w:num>
  <w:num w:numId="18">
    <w:abstractNumId w:val="16"/>
  </w:num>
  <w:num w:numId="19">
    <w:abstractNumId w:val="19"/>
  </w:num>
  <w:num w:numId="20">
    <w:abstractNumId w:val="5"/>
  </w:num>
  <w:num w:numId="21">
    <w:abstractNumId w:val="38"/>
  </w:num>
  <w:num w:numId="22">
    <w:abstractNumId w:val="41"/>
  </w:num>
  <w:num w:numId="23">
    <w:abstractNumId w:val="52"/>
  </w:num>
  <w:num w:numId="24">
    <w:abstractNumId w:val="17"/>
  </w:num>
  <w:num w:numId="25">
    <w:abstractNumId w:val="51"/>
  </w:num>
  <w:num w:numId="26">
    <w:abstractNumId w:val="37"/>
  </w:num>
  <w:num w:numId="27">
    <w:abstractNumId w:val="15"/>
  </w:num>
  <w:num w:numId="28">
    <w:abstractNumId w:val="8"/>
  </w:num>
  <w:num w:numId="29">
    <w:abstractNumId w:val="33"/>
  </w:num>
  <w:num w:numId="30">
    <w:abstractNumId w:val="4"/>
  </w:num>
  <w:num w:numId="31">
    <w:abstractNumId w:val="34"/>
  </w:num>
  <w:num w:numId="32">
    <w:abstractNumId w:val="46"/>
  </w:num>
  <w:num w:numId="33">
    <w:abstractNumId w:val="32"/>
  </w:num>
  <w:num w:numId="34">
    <w:abstractNumId w:val="54"/>
  </w:num>
  <w:num w:numId="35">
    <w:abstractNumId w:val="14"/>
  </w:num>
  <w:num w:numId="36">
    <w:abstractNumId w:val="26"/>
  </w:num>
  <w:num w:numId="37">
    <w:abstractNumId w:val="1"/>
  </w:num>
  <w:num w:numId="38">
    <w:abstractNumId w:val="13"/>
  </w:num>
  <w:num w:numId="39">
    <w:abstractNumId w:val="56"/>
  </w:num>
  <w:num w:numId="40">
    <w:abstractNumId w:val="3"/>
  </w:num>
  <w:num w:numId="41">
    <w:abstractNumId w:val="39"/>
  </w:num>
  <w:num w:numId="42">
    <w:abstractNumId w:val="55"/>
  </w:num>
  <w:num w:numId="43">
    <w:abstractNumId w:val="36"/>
  </w:num>
  <w:num w:numId="44">
    <w:abstractNumId w:val="9"/>
  </w:num>
  <w:num w:numId="45">
    <w:abstractNumId w:val="27"/>
  </w:num>
  <w:num w:numId="46">
    <w:abstractNumId w:val="20"/>
  </w:num>
  <w:num w:numId="47">
    <w:abstractNumId w:val="22"/>
  </w:num>
  <w:num w:numId="48">
    <w:abstractNumId w:val="45"/>
  </w:num>
  <w:num w:numId="49">
    <w:abstractNumId w:val="28"/>
  </w:num>
  <w:num w:numId="50">
    <w:abstractNumId w:val="29"/>
  </w:num>
  <w:num w:numId="51">
    <w:abstractNumId w:val="30"/>
  </w:num>
  <w:num w:numId="52">
    <w:abstractNumId w:val="53"/>
  </w:num>
  <w:num w:numId="53">
    <w:abstractNumId w:val="48"/>
  </w:num>
  <w:num w:numId="54">
    <w:abstractNumId w:val="47"/>
  </w:num>
  <w:num w:numId="55">
    <w:abstractNumId w:val="2"/>
  </w:num>
  <w:num w:numId="56">
    <w:abstractNumId w:val="12"/>
  </w:num>
  <w:num w:numId="57">
    <w:abstractNumId w:val="50"/>
  </w:num>
  <w:num w:numId="58">
    <w:abstractNumId w:val="25"/>
  </w:num>
  <w:num w:numId="59">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02A7"/>
    <w:rsid w:val="000201E0"/>
    <w:rsid w:val="0002464A"/>
    <w:rsid w:val="000272EA"/>
    <w:rsid w:val="0003106B"/>
    <w:rsid w:val="00040D9E"/>
    <w:rsid w:val="000421A1"/>
    <w:rsid w:val="0004240E"/>
    <w:rsid w:val="0004516B"/>
    <w:rsid w:val="00045E26"/>
    <w:rsid w:val="00046B27"/>
    <w:rsid w:val="000514B5"/>
    <w:rsid w:val="00060E64"/>
    <w:rsid w:val="0006237F"/>
    <w:rsid w:val="00074267"/>
    <w:rsid w:val="000831A1"/>
    <w:rsid w:val="0009121E"/>
    <w:rsid w:val="000969AD"/>
    <w:rsid w:val="000B558D"/>
    <w:rsid w:val="000B74A4"/>
    <w:rsid w:val="000C2FE8"/>
    <w:rsid w:val="000C6996"/>
    <w:rsid w:val="000D23BA"/>
    <w:rsid w:val="000E07D1"/>
    <w:rsid w:val="000E681E"/>
    <w:rsid w:val="000F0694"/>
    <w:rsid w:val="000F4E6A"/>
    <w:rsid w:val="00106B32"/>
    <w:rsid w:val="001107BF"/>
    <w:rsid w:val="00114989"/>
    <w:rsid w:val="00122336"/>
    <w:rsid w:val="0012417C"/>
    <w:rsid w:val="001319B5"/>
    <w:rsid w:val="00136DB8"/>
    <w:rsid w:val="00142395"/>
    <w:rsid w:val="00142714"/>
    <w:rsid w:val="001452ED"/>
    <w:rsid w:val="0015766D"/>
    <w:rsid w:val="001829E7"/>
    <w:rsid w:val="001830CE"/>
    <w:rsid w:val="00187B1E"/>
    <w:rsid w:val="00196307"/>
    <w:rsid w:val="001A387B"/>
    <w:rsid w:val="001B017F"/>
    <w:rsid w:val="001B094D"/>
    <w:rsid w:val="001B5129"/>
    <w:rsid w:val="001C1195"/>
    <w:rsid w:val="001C1976"/>
    <w:rsid w:val="00214F87"/>
    <w:rsid w:val="00243548"/>
    <w:rsid w:val="00243655"/>
    <w:rsid w:val="00250222"/>
    <w:rsid w:val="00253D09"/>
    <w:rsid w:val="00266596"/>
    <w:rsid w:val="00271BA1"/>
    <w:rsid w:val="00277505"/>
    <w:rsid w:val="0029458F"/>
    <w:rsid w:val="002948C0"/>
    <w:rsid w:val="002A4960"/>
    <w:rsid w:val="002B1AE6"/>
    <w:rsid w:val="002B30C3"/>
    <w:rsid w:val="002B30F8"/>
    <w:rsid w:val="002C212F"/>
    <w:rsid w:val="002D3B3E"/>
    <w:rsid w:val="002D477D"/>
    <w:rsid w:val="002D6D83"/>
    <w:rsid w:val="002E4C4F"/>
    <w:rsid w:val="002F77E1"/>
    <w:rsid w:val="00300BE1"/>
    <w:rsid w:val="00312E49"/>
    <w:rsid w:val="00316102"/>
    <w:rsid w:val="00326E79"/>
    <w:rsid w:val="00332C35"/>
    <w:rsid w:val="003367EF"/>
    <w:rsid w:val="003376C9"/>
    <w:rsid w:val="00341AE4"/>
    <w:rsid w:val="003546A7"/>
    <w:rsid w:val="00392CD7"/>
    <w:rsid w:val="003A5B4A"/>
    <w:rsid w:val="003B23C5"/>
    <w:rsid w:val="003B2A75"/>
    <w:rsid w:val="003C5285"/>
    <w:rsid w:val="003D4AC4"/>
    <w:rsid w:val="003D51C1"/>
    <w:rsid w:val="003D63B7"/>
    <w:rsid w:val="003E468B"/>
    <w:rsid w:val="003F129E"/>
    <w:rsid w:val="003F5C8C"/>
    <w:rsid w:val="003F6CE0"/>
    <w:rsid w:val="00401BC1"/>
    <w:rsid w:val="004168CE"/>
    <w:rsid w:val="004464A6"/>
    <w:rsid w:val="00450BBB"/>
    <w:rsid w:val="004628BD"/>
    <w:rsid w:val="0046332E"/>
    <w:rsid w:val="00466ADA"/>
    <w:rsid w:val="00491BBE"/>
    <w:rsid w:val="004A0E38"/>
    <w:rsid w:val="004B4C6A"/>
    <w:rsid w:val="004B5640"/>
    <w:rsid w:val="004C1BD7"/>
    <w:rsid w:val="004C3684"/>
    <w:rsid w:val="004C691D"/>
    <w:rsid w:val="004D3474"/>
    <w:rsid w:val="004E692D"/>
    <w:rsid w:val="00505560"/>
    <w:rsid w:val="00513BF0"/>
    <w:rsid w:val="00514CD7"/>
    <w:rsid w:val="00516134"/>
    <w:rsid w:val="00516289"/>
    <w:rsid w:val="00521107"/>
    <w:rsid w:val="00522254"/>
    <w:rsid w:val="00525599"/>
    <w:rsid w:val="00534E2E"/>
    <w:rsid w:val="005354F9"/>
    <w:rsid w:val="00544552"/>
    <w:rsid w:val="00544AF7"/>
    <w:rsid w:val="00550174"/>
    <w:rsid w:val="00575133"/>
    <w:rsid w:val="00581932"/>
    <w:rsid w:val="00582DED"/>
    <w:rsid w:val="00591F06"/>
    <w:rsid w:val="0059209A"/>
    <w:rsid w:val="005A0C8D"/>
    <w:rsid w:val="005A305F"/>
    <w:rsid w:val="005A3173"/>
    <w:rsid w:val="005A3223"/>
    <w:rsid w:val="005A3DA3"/>
    <w:rsid w:val="005A52C4"/>
    <w:rsid w:val="005D03AB"/>
    <w:rsid w:val="005D03D8"/>
    <w:rsid w:val="005D5017"/>
    <w:rsid w:val="005D61CB"/>
    <w:rsid w:val="005F06E0"/>
    <w:rsid w:val="00601A91"/>
    <w:rsid w:val="00602BA3"/>
    <w:rsid w:val="00614159"/>
    <w:rsid w:val="00617C00"/>
    <w:rsid w:val="0062377D"/>
    <w:rsid w:val="006263BF"/>
    <w:rsid w:val="00630A2C"/>
    <w:rsid w:val="00651169"/>
    <w:rsid w:val="00653D69"/>
    <w:rsid w:val="00662765"/>
    <w:rsid w:val="006634C6"/>
    <w:rsid w:val="00664530"/>
    <w:rsid w:val="00670A76"/>
    <w:rsid w:val="006711AA"/>
    <w:rsid w:val="00673488"/>
    <w:rsid w:val="00675622"/>
    <w:rsid w:val="006906DB"/>
    <w:rsid w:val="0069384D"/>
    <w:rsid w:val="006A12A5"/>
    <w:rsid w:val="006B0D94"/>
    <w:rsid w:val="006B3655"/>
    <w:rsid w:val="006B485D"/>
    <w:rsid w:val="006D6EC7"/>
    <w:rsid w:val="006F3306"/>
    <w:rsid w:val="006F5125"/>
    <w:rsid w:val="006F73C1"/>
    <w:rsid w:val="00712718"/>
    <w:rsid w:val="00714608"/>
    <w:rsid w:val="007174BB"/>
    <w:rsid w:val="00721F30"/>
    <w:rsid w:val="007238DB"/>
    <w:rsid w:val="007262F8"/>
    <w:rsid w:val="00737946"/>
    <w:rsid w:val="007409AA"/>
    <w:rsid w:val="007477D7"/>
    <w:rsid w:val="007504A5"/>
    <w:rsid w:val="00752BEF"/>
    <w:rsid w:val="0076219B"/>
    <w:rsid w:val="007753C2"/>
    <w:rsid w:val="0077767A"/>
    <w:rsid w:val="007836A3"/>
    <w:rsid w:val="00783751"/>
    <w:rsid w:val="007838B8"/>
    <w:rsid w:val="007A69D9"/>
    <w:rsid w:val="007B463E"/>
    <w:rsid w:val="007C0F57"/>
    <w:rsid w:val="007C40B6"/>
    <w:rsid w:val="007C5C6B"/>
    <w:rsid w:val="007C729F"/>
    <w:rsid w:val="007E1D28"/>
    <w:rsid w:val="007E5BAC"/>
    <w:rsid w:val="007F2159"/>
    <w:rsid w:val="007F2641"/>
    <w:rsid w:val="007F5F2A"/>
    <w:rsid w:val="0080417C"/>
    <w:rsid w:val="00806796"/>
    <w:rsid w:val="00817386"/>
    <w:rsid w:val="00817912"/>
    <w:rsid w:val="0082411D"/>
    <w:rsid w:val="00833914"/>
    <w:rsid w:val="00843D4B"/>
    <w:rsid w:val="00862E1B"/>
    <w:rsid w:val="00863E68"/>
    <w:rsid w:val="00881DB0"/>
    <w:rsid w:val="00881DF6"/>
    <w:rsid w:val="00882085"/>
    <w:rsid w:val="00883188"/>
    <w:rsid w:val="00893FAF"/>
    <w:rsid w:val="008945D1"/>
    <w:rsid w:val="00897D58"/>
    <w:rsid w:val="008A4937"/>
    <w:rsid w:val="008C4088"/>
    <w:rsid w:val="008D3C82"/>
    <w:rsid w:val="008D447E"/>
    <w:rsid w:val="008E3680"/>
    <w:rsid w:val="008E5870"/>
    <w:rsid w:val="008F1434"/>
    <w:rsid w:val="008F275C"/>
    <w:rsid w:val="008F4549"/>
    <w:rsid w:val="008F7355"/>
    <w:rsid w:val="009061DF"/>
    <w:rsid w:val="00911D93"/>
    <w:rsid w:val="00930937"/>
    <w:rsid w:val="00936EC8"/>
    <w:rsid w:val="00942160"/>
    <w:rsid w:val="009602C5"/>
    <w:rsid w:val="009610AC"/>
    <w:rsid w:val="00962BD2"/>
    <w:rsid w:val="0096633A"/>
    <w:rsid w:val="00974C21"/>
    <w:rsid w:val="009A2793"/>
    <w:rsid w:val="009B5E29"/>
    <w:rsid w:val="009B681B"/>
    <w:rsid w:val="009C703C"/>
    <w:rsid w:val="009D3CAA"/>
    <w:rsid w:val="009F5B65"/>
    <w:rsid w:val="00A06225"/>
    <w:rsid w:val="00A073D8"/>
    <w:rsid w:val="00A123C1"/>
    <w:rsid w:val="00A14950"/>
    <w:rsid w:val="00A213C4"/>
    <w:rsid w:val="00A22986"/>
    <w:rsid w:val="00A35A00"/>
    <w:rsid w:val="00A37C8D"/>
    <w:rsid w:val="00A442EB"/>
    <w:rsid w:val="00A45AF1"/>
    <w:rsid w:val="00A50192"/>
    <w:rsid w:val="00A5273B"/>
    <w:rsid w:val="00A53A9D"/>
    <w:rsid w:val="00A57D52"/>
    <w:rsid w:val="00A62C1A"/>
    <w:rsid w:val="00A6426D"/>
    <w:rsid w:val="00A70622"/>
    <w:rsid w:val="00A70977"/>
    <w:rsid w:val="00A71284"/>
    <w:rsid w:val="00A738DA"/>
    <w:rsid w:val="00A74DFA"/>
    <w:rsid w:val="00A81C5D"/>
    <w:rsid w:val="00A8390C"/>
    <w:rsid w:val="00A8400E"/>
    <w:rsid w:val="00A9215A"/>
    <w:rsid w:val="00AA4D1C"/>
    <w:rsid w:val="00AB1B00"/>
    <w:rsid w:val="00AC5206"/>
    <w:rsid w:val="00AD482F"/>
    <w:rsid w:val="00AE11A5"/>
    <w:rsid w:val="00AF68CC"/>
    <w:rsid w:val="00AF6EC0"/>
    <w:rsid w:val="00AF6FC4"/>
    <w:rsid w:val="00B072DB"/>
    <w:rsid w:val="00B12A60"/>
    <w:rsid w:val="00B205AA"/>
    <w:rsid w:val="00B25653"/>
    <w:rsid w:val="00B25F75"/>
    <w:rsid w:val="00B27E96"/>
    <w:rsid w:val="00B419BA"/>
    <w:rsid w:val="00B43E90"/>
    <w:rsid w:val="00B56118"/>
    <w:rsid w:val="00B56B9E"/>
    <w:rsid w:val="00B57CF9"/>
    <w:rsid w:val="00B675DB"/>
    <w:rsid w:val="00B918DB"/>
    <w:rsid w:val="00B9230B"/>
    <w:rsid w:val="00B93F12"/>
    <w:rsid w:val="00BB69F5"/>
    <w:rsid w:val="00BB7EC3"/>
    <w:rsid w:val="00BC4B9A"/>
    <w:rsid w:val="00BE2255"/>
    <w:rsid w:val="00BE5144"/>
    <w:rsid w:val="00BF0C09"/>
    <w:rsid w:val="00BF4CB6"/>
    <w:rsid w:val="00BF5DC9"/>
    <w:rsid w:val="00C02D16"/>
    <w:rsid w:val="00C12768"/>
    <w:rsid w:val="00C14A6A"/>
    <w:rsid w:val="00C16D64"/>
    <w:rsid w:val="00C35996"/>
    <w:rsid w:val="00C40333"/>
    <w:rsid w:val="00C5114A"/>
    <w:rsid w:val="00C5342C"/>
    <w:rsid w:val="00C6256A"/>
    <w:rsid w:val="00C724A4"/>
    <w:rsid w:val="00C91449"/>
    <w:rsid w:val="00C92D10"/>
    <w:rsid w:val="00CA2A07"/>
    <w:rsid w:val="00CA4260"/>
    <w:rsid w:val="00CA64A3"/>
    <w:rsid w:val="00CD358E"/>
    <w:rsid w:val="00CD3703"/>
    <w:rsid w:val="00CE10C4"/>
    <w:rsid w:val="00CE27B5"/>
    <w:rsid w:val="00D0321E"/>
    <w:rsid w:val="00D17F4B"/>
    <w:rsid w:val="00D26F4A"/>
    <w:rsid w:val="00D30656"/>
    <w:rsid w:val="00D3280C"/>
    <w:rsid w:val="00D3406A"/>
    <w:rsid w:val="00D3575F"/>
    <w:rsid w:val="00D469B2"/>
    <w:rsid w:val="00D61A34"/>
    <w:rsid w:val="00D6463E"/>
    <w:rsid w:val="00D648D7"/>
    <w:rsid w:val="00D64E05"/>
    <w:rsid w:val="00D741EB"/>
    <w:rsid w:val="00D91271"/>
    <w:rsid w:val="00D93F9F"/>
    <w:rsid w:val="00D97BFC"/>
    <w:rsid w:val="00DA4BAC"/>
    <w:rsid w:val="00DB3EB9"/>
    <w:rsid w:val="00DD735A"/>
    <w:rsid w:val="00DE433F"/>
    <w:rsid w:val="00DE6D27"/>
    <w:rsid w:val="00DF1409"/>
    <w:rsid w:val="00DF217D"/>
    <w:rsid w:val="00DF26A7"/>
    <w:rsid w:val="00E01AB1"/>
    <w:rsid w:val="00E03FA0"/>
    <w:rsid w:val="00E1684F"/>
    <w:rsid w:val="00E16910"/>
    <w:rsid w:val="00E17643"/>
    <w:rsid w:val="00E25A10"/>
    <w:rsid w:val="00E26FF2"/>
    <w:rsid w:val="00E62549"/>
    <w:rsid w:val="00E65E54"/>
    <w:rsid w:val="00E80155"/>
    <w:rsid w:val="00E848C0"/>
    <w:rsid w:val="00E91B96"/>
    <w:rsid w:val="00E91D08"/>
    <w:rsid w:val="00E91EE6"/>
    <w:rsid w:val="00E941A1"/>
    <w:rsid w:val="00E95CE3"/>
    <w:rsid w:val="00EA2825"/>
    <w:rsid w:val="00EB5088"/>
    <w:rsid w:val="00EC1CF4"/>
    <w:rsid w:val="00EC1F2F"/>
    <w:rsid w:val="00ED1644"/>
    <w:rsid w:val="00EE436D"/>
    <w:rsid w:val="00F0385B"/>
    <w:rsid w:val="00F050BD"/>
    <w:rsid w:val="00F05657"/>
    <w:rsid w:val="00F11267"/>
    <w:rsid w:val="00F17C37"/>
    <w:rsid w:val="00F25578"/>
    <w:rsid w:val="00F258E5"/>
    <w:rsid w:val="00F300BC"/>
    <w:rsid w:val="00F3334E"/>
    <w:rsid w:val="00F40460"/>
    <w:rsid w:val="00F50EC4"/>
    <w:rsid w:val="00F57A6D"/>
    <w:rsid w:val="00F60DFF"/>
    <w:rsid w:val="00F638CC"/>
    <w:rsid w:val="00F74EBE"/>
    <w:rsid w:val="00F8247A"/>
    <w:rsid w:val="00F82491"/>
    <w:rsid w:val="00F96E46"/>
    <w:rsid w:val="00FA2E45"/>
    <w:rsid w:val="00FA5883"/>
    <w:rsid w:val="00FA6055"/>
    <w:rsid w:val="00FB21A7"/>
    <w:rsid w:val="00FB322F"/>
    <w:rsid w:val="00FB442F"/>
    <w:rsid w:val="00FC1929"/>
    <w:rsid w:val="00FC5B46"/>
    <w:rsid w:val="00FC6333"/>
    <w:rsid w:val="00FC6E89"/>
    <w:rsid w:val="00FD0FB7"/>
    <w:rsid w:val="00FD4728"/>
    <w:rsid w:val="00FF17D7"/>
    <w:rsid w:val="00FF1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ListParagraphChar">
    <w:name w:val="List Paragraph Char"/>
    <w:link w:val="ListParagraph"/>
    <w:uiPriority w:val="72"/>
    <w:rsid w:val="00046B27"/>
    <w:rPr>
      <w:sz w:val="24"/>
      <w:szCs w:val="24"/>
    </w:rPr>
  </w:style>
  <w:style w:type="character" w:styleId="Hyperlink">
    <w:name w:val="Hyperlink"/>
    <w:basedOn w:val="DefaultParagraphFont"/>
    <w:uiPriority w:val="99"/>
    <w:unhideWhenUsed/>
    <w:rsid w:val="00C14A6A"/>
    <w:rPr>
      <w:color w:val="0000FF" w:themeColor="hyperlink"/>
      <w:u w:val="single"/>
    </w:rPr>
  </w:style>
  <w:style w:type="paragraph" w:customStyle="1" w:styleId="TableFooter">
    <w:name w:val="Table Footer"/>
    <w:basedOn w:val="Normal"/>
    <w:qFormat/>
    <w:rsid w:val="00C14A6A"/>
    <w:pPr>
      <w:widowControl w:val="0"/>
      <w:jc w:val="both"/>
    </w:pPr>
    <w:rPr>
      <w:rFonts w:ascii="Arial Narrow" w:eastAsia="SimSun" w:hAnsi="Arial Narrow" w:cs="Arial"/>
      <w:snapToGrid w:val="0"/>
      <w:sz w:val="18"/>
      <w:szCs w:val="20"/>
      <w:lang w:eastAsia="en-US"/>
    </w:rPr>
  </w:style>
  <w:style w:type="character" w:customStyle="1" w:styleId="Heading2Char">
    <w:name w:val="Heading 2 Char"/>
    <w:link w:val="Heading2"/>
    <w:rsid w:val="008C4088"/>
    <w:rPr>
      <w:sz w:val="24"/>
      <w:szCs w:val="24"/>
    </w:rPr>
  </w:style>
  <w:style w:type="paragraph" w:styleId="Revision">
    <w:name w:val="Revision"/>
    <w:hidden/>
    <w:uiPriority w:val="71"/>
    <w:rsid w:val="0081791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ListParagraphChar">
    <w:name w:val="List Paragraph Char"/>
    <w:link w:val="ListParagraph"/>
    <w:uiPriority w:val="72"/>
    <w:rsid w:val="00046B27"/>
    <w:rPr>
      <w:sz w:val="24"/>
      <w:szCs w:val="24"/>
    </w:rPr>
  </w:style>
  <w:style w:type="character" w:styleId="Hyperlink">
    <w:name w:val="Hyperlink"/>
    <w:basedOn w:val="DefaultParagraphFont"/>
    <w:uiPriority w:val="99"/>
    <w:unhideWhenUsed/>
    <w:rsid w:val="00C14A6A"/>
    <w:rPr>
      <w:color w:val="0000FF" w:themeColor="hyperlink"/>
      <w:u w:val="single"/>
    </w:rPr>
  </w:style>
  <w:style w:type="paragraph" w:customStyle="1" w:styleId="TableFooter">
    <w:name w:val="Table Footer"/>
    <w:basedOn w:val="Normal"/>
    <w:qFormat/>
    <w:rsid w:val="00C14A6A"/>
    <w:pPr>
      <w:widowControl w:val="0"/>
      <w:jc w:val="both"/>
    </w:pPr>
    <w:rPr>
      <w:rFonts w:ascii="Arial Narrow" w:eastAsia="SimSun" w:hAnsi="Arial Narrow" w:cs="Arial"/>
      <w:snapToGrid w:val="0"/>
      <w:sz w:val="18"/>
      <w:szCs w:val="20"/>
      <w:lang w:eastAsia="en-US"/>
    </w:rPr>
  </w:style>
  <w:style w:type="character" w:customStyle="1" w:styleId="Heading2Char">
    <w:name w:val="Heading 2 Char"/>
    <w:link w:val="Heading2"/>
    <w:rsid w:val="008C4088"/>
    <w:rPr>
      <w:sz w:val="24"/>
      <w:szCs w:val="24"/>
    </w:rPr>
  </w:style>
  <w:style w:type="paragraph" w:styleId="Revision">
    <w:name w:val="Revision"/>
    <w:hidden/>
    <w:uiPriority w:val="71"/>
    <w:rsid w:val="008179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9F271-0F25-4F56-84D4-77E3C53FA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5381</Words>
  <Characters>34365</Characters>
  <Application>Microsoft Office Word</Application>
  <DocSecurity>0</DocSecurity>
  <Lines>286</Lines>
  <Paragraphs>79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39667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Mareddy Shobha</dc:creator>
  <cp:lastModifiedBy>Thomas Gareth</cp:lastModifiedBy>
  <cp:revision>4</cp:revision>
  <cp:lastPrinted>2014-08-01T06:17:00Z</cp:lastPrinted>
  <dcterms:created xsi:type="dcterms:W3CDTF">2014-10-12T22:34:00Z</dcterms:created>
  <dcterms:modified xsi:type="dcterms:W3CDTF">2014-11-05T00:02:00Z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