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944" w:rsidRPr="009D62F5" w:rsidRDefault="003C4908" w:rsidP="009D62F5">
      <w:pPr>
        <w:pStyle w:val="Heading1"/>
        <w:rPr>
          <w:sz w:val="28"/>
          <w:szCs w:val="28"/>
          <w:u w:val="single"/>
        </w:rPr>
      </w:pPr>
      <w:r w:rsidRPr="002B76FD">
        <w:t>7.1</w:t>
      </w:r>
      <w:r w:rsidR="00DC7944">
        <w:t>1</w:t>
      </w:r>
      <w:r w:rsidR="0011348F">
        <w:tab/>
      </w:r>
      <w:r w:rsidR="002B76FD" w:rsidRPr="009D62F5">
        <w:rPr>
          <w:sz w:val="28"/>
          <w:szCs w:val="28"/>
        </w:rPr>
        <w:t xml:space="preserve">INDACATEROL </w:t>
      </w:r>
      <w:r w:rsidR="00952D66" w:rsidRPr="009D62F5">
        <w:rPr>
          <w:sz w:val="28"/>
          <w:szCs w:val="28"/>
        </w:rPr>
        <w:t>WITH</w:t>
      </w:r>
      <w:r w:rsidR="002B76FD" w:rsidRPr="009D62F5">
        <w:rPr>
          <w:sz w:val="28"/>
          <w:szCs w:val="28"/>
        </w:rPr>
        <w:t xml:space="preserve"> GLYCOPYRRONIUM (FDC), </w:t>
      </w:r>
    </w:p>
    <w:p w:rsidR="00DC7944" w:rsidRPr="009D62F5" w:rsidRDefault="002B76FD" w:rsidP="009D62F5">
      <w:pPr>
        <w:pStyle w:val="Heading1"/>
        <w:rPr>
          <w:sz w:val="28"/>
          <w:szCs w:val="28"/>
        </w:rPr>
      </w:pPr>
      <w:proofErr w:type="spellStart"/>
      <w:proofErr w:type="gramStart"/>
      <w:r w:rsidRPr="009D62F5">
        <w:rPr>
          <w:sz w:val="28"/>
          <w:szCs w:val="28"/>
        </w:rPr>
        <w:t>indacaterol</w:t>
      </w:r>
      <w:proofErr w:type="spellEnd"/>
      <w:proofErr w:type="gramEnd"/>
      <w:r w:rsidRPr="009D62F5">
        <w:rPr>
          <w:sz w:val="28"/>
          <w:szCs w:val="28"/>
        </w:rPr>
        <w:t xml:space="preserve"> 110 microgram + </w:t>
      </w:r>
      <w:proofErr w:type="spellStart"/>
      <w:r w:rsidRPr="009D62F5">
        <w:rPr>
          <w:sz w:val="28"/>
          <w:szCs w:val="28"/>
        </w:rPr>
        <w:t>glycopyrronium</w:t>
      </w:r>
      <w:proofErr w:type="spellEnd"/>
      <w:r w:rsidRPr="009D62F5">
        <w:rPr>
          <w:sz w:val="28"/>
          <w:szCs w:val="28"/>
        </w:rPr>
        <w:t xml:space="preserve"> 50 microgram</w:t>
      </w:r>
      <w:r w:rsidR="00C97DDF" w:rsidRPr="009D62F5">
        <w:rPr>
          <w:sz w:val="28"/>
          <w:szCs w:val="28"/>
        </w:rPr>
        <w:t>,</w:t>
      </w:r>
      <w:r w:rsidRPr="009D62F5">
        <w:rPr>
          <w:sz w:val="28"/>
          <w:szCs w:val="28"/>
        </w:rPr>
        <w:t xml:space="preserve"> inhalation: powder for, 30 capsules, </w:t>
      </w:r>
    </w:p>
    <w:p w:rsidR="00DC7944" w:rsidRPr="009D62F5" w:rsidRDefault="002B76FD" w:rsidP="009D62F5">
      <w:pPr>
        <w:pStyle w:val="Heading1"/>
        <w:rPr>
          <w:sz w:val="28"/>
          <w:szCs w:val="28"/>
        </w:rPr>
      </w:pPr>
      <w:proofErr w:type="spellStart"/>
      <w:r w:rsidRPr="009D62F5">
        <w:rPr>
          <w:sz w:val="28"/>
          <w:szCs w:val="28"/>
        </w:rPr>
        <w:t>Ultibro</w:t>
      </w:r>
      <w:proofErr w:type="spellEnd"/>
      <w:r w:rsidR="0095503A" w:rsidRPr="009D62F5">
        <w:rPr>
          <w:sz w:val="28"/>
          <w:szCs w:val="28"/>
          <w:vertAlign w:val="superscript"/>
        </w:rPr>
        <w:t>®</w:t>
      </w:r>
      <w:r w:rsidRPr="009D62F5">
        <w:rPr>
          <w:sz w:val="28"/>
          <w:szCs w:val="28"/>
        </w:rPr>
        <w:t xml:space="preserve"> </w:t>
      </w:r>
      <w:proofErr w:type="spellStart"/>
      <w:r w:rsidRPr="009D62F5">
        <w:rPr>
          <w:sz w:val="28"/>
          <w:szCs w:val="28"/>
        </w:rPr>
        <w:t>Breezhaler</w:t>
      </w:r>
      <w:proofErr w:type="spellEnd"/>
      <w:r w:rsidR="0095503A" w:rsidRPr="009D62F5">
        <w:rPr>
          <w:sz w:val="28"/>
          <w:szCs w:val="28"/>
          <w:vertAlign w:val="superscript"/>
        </w:rPr>
        <w:t>®</w:t>
      </w:r>
      <w:r w:rsidRPr="009D62F5">
        <w:rPr>
          <w:sz w:val="28"/>
          <w:szCs w:val="28"/>
        </w:rPr>
        <w:t xml:space="preserve"> 110/50, </w:t>
      </w:r>
    </w:p>
    <w:p w:rsidR="002B76FD" w:rsidRPr="009D62F5" w:rsidRDefault="002B76FD" w:rsidP="009D62F5">
      <w:pPr>
        <w:pStyle w:val="Heading1"/>
        <w:rPr>
          <w:sz w:val="28"/>
          <w:szCs w:val="28"/>
        </w:rPr>
      </w:pPr>
      <w:r w:rsidRPr="009D62F5">
        <w:rPr>
          <w:sz w:val="28"/>
          <w:szCs w:val="28"/>
        </w:rPr>
        <w:t>Novartis Pharmaceuticals Australia Pty Ltd</w:t>
      </w:r>
    </w:p>
    <w:p w:rsidR="00CE10C4" w:rsidRDefault="00CE10C4" w:rsidP="00A5273B">
      <w:pPr>
        <w:rPr>
          <w:rFonts w:ascii="Arial" w:hAnsi="Arial"/>
          <w:b/>
        </w:rPr>
      </w:pPr>
    </w:p>
    <w:p w:rsidR="00DC7944" w:rsidRDefault="00DC7944" w:rsidP="00A5273B">
      <w:pPr>
        <w:rPr>
          <w:rFonts w:ascii="Arial" w:hAnsi="Arial"/>
          <w:b/>
        </w:rPr>
      </w:pPr>
    </w:p>
    <w:p w:rsidR="00DC7944" w:rsidRPr="00407F2D" w:rsidRDefault="00DC7944" w:rsidP="00DC7944">
      <w:pPr>
        <w:pStyle w:val="ListParagraph"/>
        <w:numPr>
          <w:ilvl w:val="0"/>
          <w:numId w:val="25"/>
        </w:numPr>
        <w:jc w:val="both"/>
        <w:rPr>
          <w:rFonts w:ascii="Arial" w:hAnsi="Arial"/>
          <w:b/>
          <w:sz w:val="22"/>
          <w:szCs w:val="22"/>
        </w:rPr>
      </w:pPr>
      <w:r w:rsidRPr="00407F2D">
        <w:rPr>
          <w:rFonts w:ascii="Arial" w:hAnsi="Arial"/>
          <w:b/>
          <w:sz w:val="22"/>
          <w:szCs w:val="22"/>
        </w:rPr>
        <w:t>Purpose of Application</w:t>
      </w:r>
    </w:p>
    <w:p w:rsidR="006A12A5" w:rsidRPr="00882085" w:rsidRDefault="006A12A5" w:rsidP="00882085">
      <w:pPr>
        <w:jc w:val="both"/>
        <w:rPr>
          <w:rFonts w:ascii="Arial" w:hAnsi="Arial"/>
          <w:sz w:val="22"/>
          <w:szCs w:val="22"/>
        </w:rPr>
      </w:pPr>
    </w:p>
    <w:p w:rsidR="001D64B6" w:rsidRPr="00DC7944" w:rsidRDefault="001D64B6" w:rsidP="00DC7944">
      <w:pPr>
        <w:pStyle w:val="ListParagraph"/>
        <w:numPr>
          <w:ilvl w:val="1"/>
          <w:numId w:val="25"/>
        </w:numPr>
        <w:jc w:val="both"/>
        <w:rPr>
          <w:rFonts w:ascii="Arial" w:hAnsi="Arial"/>
          <w:sz w:val="22"/>
          <w:szCs w:val="22"/>
        </w:rPr>
      </w:pPr>
      <w:r w:rsidRPr="00DC7944">
        <w:rPr>
          <w:rFonts w:ascii="Arial" w:hAnsi="Arial" w:cs="Arial"/>
          <w:snapToGrid w:val="0"/>
          <w:sz w:val="22"/>
          <w:szCs w:val="22"/>
          <w:lang w:eastAsia="en-US"/>
        </w:rPr>
        <w:t xml:space="preserve">To request a Restricted Benefit listing for once daily maintenance </w:t>
      </w:r>
      <w:proofErr w:type="spellStart"/>
      <w:r w:rsidRPr="00DC7944">
        <w:rPr>
          <w:rFonts w:ascii="Arial" w:hAnsi="Arial" w:cs="Arial"/>
          <w:snapToGrid w:val="0"/>
          <w:sz w:val="22"/>
          <w:szCs w:val="22"/>
          <w:lang w:eastAsia="en-US"/>
        </w:rPr>
        <w:t>bronchodilation</w:t>
      </w:r>
      <w:proofErr w:type="spellEnd"/>
      <w:r w:rsidRPr="00DC7944">
        <w:rPr>
          <w:rFonts w:ascii="Arial" w:hAnsi="Arial" w:cs="Arial"/>
          <w:snapToGrid w:val="0"/>
          <w:sz w:val="22"/>
          <w:szCs w:val="22"/>
          <w:lang w:eastAsia="en-US"/>
        </w:rPr>
        <w:t xml:space="preserve"> in patients with chronic obstructive pulmonary disease (COPD) currently on</w:t>
      </w:r>
      <w:r w:rsidR="001704A5" w:rsidRPr="00DC7944">
        <w:rPr>
          <w:rFonts w:ascii="Arial" w:hAnsi="Arial" w:cs="Arial"/>
          <w:snapToGrid w:val="0"/>
          <w:sz w:val="22"/>
          <w:szCs w:val="22"/>
          <w:lang w:eastAsia="en-US"/>
        </w:rPr>
        <w:t xml:space="preserve"> a</w:t>
      </w:r>
      <w:r w:rsidRPr="00DC7944">
        <w:rPr>
          <w:rFonts w:ascii="Arial" w:hAnsi="Arial" w:cs="Arial"/>
          <w:snapToGrid w:val="0"/>
          <w:sz w:val="22"/>
          <w:szCs w:val="22"/>
          <w:lang w:eastAsia="en-US"/>
        </w:rPr>
        <w:t xml:space="preserve"> </w:t>
      </w:r>
      <w:r w:rsidR="001704A5" w:rsidRPr="00DC7944">
        <w:rPr>
          <w:rFonts w:ascii="Arial" w:hAnsi="Arial" w:cs="Arial"/>
          <w:snapToGrid w:val="0"/>
          <w:sz w:val="22"/>
          <w:szCs w:val="22"/>
          <w:lang w:eastAsia="en-US"/>
        </w:rPr>
        <w:t>long-acting beta</w:t>
      </w:r>
      <w:r w:rsidR="001704A5" w:rsidRPr="00DC7944">
        <w:rPr>
          <w:rFonts w:ascii="Arial" w:hAnsi="Arial" w:cs="Arial"/>
          <w:snapToGrid w:val="0"/>
          <w:sz w:val="22"/>
          <w:szCs w:val="22"/>
          <w:vertAlign w:val="subscript"/>
          <w:lang w:eastAsia="en-US"/>
        </w:rPr>
        <w:t>2</w:t>
      </w:r>
      <w:r w:rsidR="001704A5" w:rsidRPr="00DC7944">
        <w:rPr>
          <w:rFonts w:ascii="Arial" w:hAnsi="Arial" w:cs="Arial"/>
          <w:snapToGrid w:val="0"/>
          <w:sz w:val="22"/>
          <w:szCs w:val="22"/>
          <w:lang w:eastAsia="en-US"/>
        </w:rPr>
        <w:t>-agonist (</w:t>
      </w:r>
      <w:r w:rsidRPr="00DC7944">
        <w:rPr>
          <w:rFonts w:ascii="Arial" w:hAnsi="Arial" w:cs="Arial"/>
          <w:snapToGrid w:val="0"/>
          <w:sz w:val="22"/>
          <w:szCs w:val="22"/>
          <w:lang w:eastAsia="en-US"/>
        </w:rPr>
        <w:t>LABA</w:t>
      </w:r>
      <w:r w:rsidR="001704A5" w:rsidRPr="00DC7944">
        <w:rPr>
          <w:rFonts w:ascii="Arial" w:hAnsi="Arial" w:cs="Arial"/>
          <w:snapToGrid w:val="0"/>
          <w:sz w:val="22"/>
          <w:szCs w:val="22"/>
          <w:lang w:eastAsia="en-US"/>
        </w:rPr>
        <w:t>)</w:t>
      </w:r>
      <w:r w:rsidRPr="00DC7944">
        <w:rPr>
          <w:rFonts w:ascii="Arial" w:hAnsi="Arial" w:cs="Arial"/>
          <w:snapToGrid w:val="0"/>
          <w:sz w:val="22"/>
          <w:szCs w:val="22"/>
          <w:lang w:eastAsia="en-US"/>
        </w:rPr>
        <w:t xml:space="preserve"> or </w:t>
      </w:r>
      <w:r w:rsidR="001704A5" w:rsidRPr="00DC7944">
        <w:rPr>
          <w:rFonts w:ascii="Arial" w:hAnsi="Arial" w:cs="Arial"/>
          <w:snapToGrid w:val="0"/>
          <w:sz w:val="22"/>
          <w:szCs w:val="22"/>
          <w:lang w:eastAsia="en-US"/>
        </w:rPr>
        <w:t>a long acting muscarinic antagonist (</w:t>
      </w:r>
      <w:r w:rsidRPr="00DC7944">
        <w:rPr>
          <w:rFonts w:ascii="Arial" w:hAnsi="Arial" w:cs="Arial"/>
          <w:snapToGrid w:val="0"/>
          <w:sz w:val="22"/>
          <w:szCs w:val="22"/>
          <w:lang w:eastAsia="en-US"/>
        </w:rPr>
        <w:t>LAMA</w:t>
      </w:r>
      <w:r w:rsidR="001704A5" w:rsidRPr="00DC7944">
        <w:rPr>
          <w:rFonts w:ascii="Arial" w:hAnsi="Arial" w:cs="Arial"/>
          <w:snapToGrid w:val="0"/>
          <w:sz w:val="22"/>
          <w:szCs w:val="22"/>
          <w:lang w:eastAsia="en-US"/>
        </w:rPr>
        <w:t>)</w:t>
      </w:r>
      <w:r w:rsidRPr="00DC7944">
        <w:rPr>
          <w:rFonts w:ascii="Arial" w:hAnsi="Arial" w:cs="Arial"/>
          <w:snapToGrid w:val="0"/>
          <w:sz w:val="22"/>
          <w:szCs w:val="22"/>
          <w:lang w:eastAsia="en-US"/>
        </w:rPr>
        <w:t xml:space="preserve"> monotherapy and requiring additional relief from symptoms and in patients who have been stabilised on a combination of a LAMA and LABA in separate devices.</w:t>
      </w:r>
    </w:p>
    <w:p w:rsidR="006A12A5" w:rsidRDefault="006A12A5" w:rsidP="00882085">
      <w:pPr>
        <w:jc w:val="both"/>
        <w:rPr>
          <w:rFonts w:ascii="Arial" w:hAnsi="Arial"/>
          <w:b/>
          <w:sz w:val="22"/>
          <w:szCs w:val="22"/>
        </w:rPr>
      </w:pPr>
    </w:p>
    <w:p w:rsidR="00DC7944" w:rsidRPr="00882085" w:rsidRDefault="00DC7944" w:rsidP="00882085">
      <w:pPr>
        <w:jc w:val="both"/>
        <w:rPr>
          <w:rFonts w:ascii="Arial" w:hAnsi="Arial"/>
          <w:b/>
          <w:sz w:val="22"/>
          <w:szCs w:val="22"/>
        </w:rPr>
      </w:pPr>
    </w:p>
    <w:p w:rsidR="00DC7944" w:rsidRPr="00407F2D" w:rsidRDefault="00DC7944" w:rsidP="00DC7944">
      <w:pPr>
        <w:pStyle w:val="ListParagraph"/>
        <w:numPr>
          <w:ilvl w:val="0"/>
          <w:numId w:val="25"/>
        </w:numPr>
        <w:jc w:val="both"/>
        <w:rPr>
          <w:rFonts w:ascii="Arial" w:hAnsi="Arial"/>
          <w:b/>
          <w:sz w:val="22"/>
          <w:szCs w:val="22"/>
        </w:rPr>
      </w:pPr>
      <w:r w:rsidRPr="00407F2D">
        <w:rPr>
          <w:rFonts w:ascii="Arial" w:hAnsi="Arial"/>
          <w:b/>
          <w:sz w:val="22"/>
          <w:szCs w:val="22"/>
        </w:rPr>
        <w:t>Requested listing</w:t>
      </w:r>
    </w:p>
    <w:p w:rsidR="006A12A5" w:rsidRPr="00882085" w:rsidRDefault="006A12A5" w:rsidP="00882085">
      <w:pPr>
        <w:jc w:val="both"/>
        <w:rPr>
          <w:rFonts w:ascii="Arial" w:hAnsi="Arial"/>
          <w:b/>
          <w:sz w:val="22"/>
          <w:szCs w:val="22"/>
        </w:rPr>
      </w:pPr>
    </w:p>
    <w:p w:rsidR="00C6332F" w:rsidRPr="00DC7944" w:rsidRDefault="00C6332F"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submission requested the following restriction: </w:t>
      </w:r>
    </w:p>
    <w:p w:rsidR="00C6332F" w:rsidRDefault="00C6332F" w:rsidP="00C6332F">
      <w:pPr>
        <w:pStyle w:val="ListParagraph"/>
        <w:jc w:val="both"/>
        <w:rPr>
          <w:rFonts w:ascii="Arial" w:hAnsi="Arial"/>
          <w:b/>
          <w:sz w:val="22"/>
          <w:szCs w:val="22"/>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isting for indacaterol"/>
      </w:tblPr>
      <w:tblGrid>
        <w:gridCol w:w="4536"/>
        <w:gridCol w:w="851"/>
        <w:gridCol w:w="708"/>
        <w:gridCol w:w="1276"/>
        <w:gridCol w:w="992"/>
      </w:tblGrid>
      <w:tr w:rsidR="00097F72" w:rsidRPr="00097F72" w:rsidTr="00670F36">
        <w:trPr>
          <w:cantSplit/>
          <w:trHeight w:val="343"/>
        </w:trPr>
        <w:tc>
          <w:tcPr>
            <w:tcW w:w="4536" w:type="dxa"/>
          </w:tcPr>
          <w:p w:rsidR="00097F72" w:rsidRPr="00097F72" w:rsidRDefault="00097F72" w:rsidP="002F4B76">
            <w:pPr>
              <w:keepNext/>
              <w:ind w:left="-108"/>
              <w:jc w:val="both"/>
              <w:rPr>
                <w:rFonts w:ascii="Arial" w:hAnsi="Arial" w:cs="Arial"/>
                <w:b/>
                <w:sz w:val="20"/>
              </w:rPr>
            </w:pPr>
            <w:r w:rsidRPr="00097F72">
              <w:rPr>
                <w:rFonts w:ascii="Arial" w:hAnsi="Arial" w:cs="Arial"/>
                <w:b/>
                <w:sz w:val="20"/>
              </w:rPr>
              <w:t>Name, Restriction,</w:t>
            </w:r>
            <w:bookmarkStart w:id="0" w:name="_GoBack"/>
            <w:bookmarkEnd w:id="0"/>
          </w:p>
          <w:p w:rsidR="00097F72" w:rsidRPr="00097F72" w:rsidRDefault="00097F72" w:rsidP="002F4B76">
            <w:pPr>
              <w:keepNext/>
              <w:ind w:left="-108"/>
              <w:jc w:val="both"/>
              <w:rPr>
                <w:rFonts w:ascii="Arial" w:hAnsi="Arial" w:cs="Arial"/>
                <w:b/>
                <w:sz w:val="20"/>
              </w:rPr>
            </w:pPr>
            <w:r w:rsidRPr="00097F72">
              <w:rPr>
                <w:rFonts w:ascii="Arial" w:hAnsi="Arial" w:cs="Arial"/>
                <w:b/>
                <w:sz w:val="20"/>
              </w:rPr>
              <w:t>Manner of administration and form</w:t>
            </w:r>
          </w:p>
        </w:tc>
        <w:tc>
          <w:tcPr>
            <w:tcW w:w="851" w:type="dxa"/>
          </w:tcPr>
          <w:p w:rsidR="00097F72" w:rsidRPr="00097F72" w:rsidRDefault="00097F72" w:rsidP="002F4B76">
            <w:pPr>
              <w:keepNext/>
              <w:ind w:left="-108"/>
              <w:jc w:val="both"/>
              <w:rPr>
                <w:rFonts w:ascii="Arial" w:hAnsi="Arial" w:cs="Arial"/>
                <w:b/>
                <w:sz w:val="20"/>
              </w:rPr>
            </w:pPr>
            <w:r w:rsidRPr="00097F72">
              <w:rPr>
                <w:rFonts w:ascii="Arial" w:hAnsi="Arial" w:cs="Arial"/>
                <w:b/>
                <w:sz w:val="20"/>
              </w:rPr>
              <w:t>Max.</w:t>
            </w:r>
          </w:p>
          <w:p w:rsidR="00097F72" w:rsidRPr="00097F72" w:rsidRDefault="00097F72" w:rsidP="002F4B76">
            <w:pPr>
              <w:keepNext/>
              <w:ind w:left="-108"/>
              <w:jc w:val="both"/>
              <w:rPr>
                <w:rFonts w:ascii="Arial" w:hAnsi="Arial" w:cs="Arial"/>
                <w:b/>
                <w:sz w:val="20"/>
              </w:rPr>
            </w:pPr>
            <w:proofErr w:type="spellStart"/>
            <w:r w:rsidRPr="00097F72">
              <w:rPr>
                <w:rFonts w:ascii="Arial" w:hAnsi="Arial" w:cs="Arial"/>
                <w:b/>
                <w:sz w:val="20"/>
              </w:rPr>
              <w:t>Qty</w:t>
            </w:r>
            <w:proofErr w:type="spellEnd"/>
          </w:p>
        </w:tc>
        <w:tc>
          <w:tcPr>
            <w:tcW w:w="708" w:type="dxa"/>
          </w:tcPr>
          <w:p w:rsidR="00097F72" w:rsidRPr="00097F72" w:rsidRDefault="00097F72" w:rsidP="002F4B76">
            <w:pPr>
              <w:keepNext/>
              <w:ind w:left="-108"/>
              <w:jc w:val="both"/>
              <w:rPr>
                <w:rFonts w:ascii="Arial" w:hAnsi="Arial" w:cs="Arial"/>
                <w:b/>
                <w:sz w:val="20"/>
              </w:rPr>
            </w:pPr>
            <w:r w:rsidRPr="00097F72">
              <w:rPr>
                <w:rFonts w:ascii="Arial" w:hAnsi="Arial" w:cs="Arial"/>
                <w:b/>
                <w:sz w:val="20"/>
              </w:rPr>
              <w:t>№.of</w:t>
            </w:r>
          </w:p>
          <w:p w:rsidR="00097F72" w:rsidRPr="00097F72" w:rsidRDefault="00097F72" w:rsidP="002F4B76">
            <w:pPr>
              <w:keepNext/>
              <w:ind w:left="-108"/>
              <w:jc w:val="both"/>
              <w:rPr>
                <w:rFonts w:ascii="Arial" w:hAnsi="Arial" w:cs="Arial"/>
                <w:b/>
                <w:sz w:val="20"/>
              </w:rPr>
            </w:pPr>
            <w:proofErr w:type="spellStart"/>
            <w:r w:rsidRPr="00097F72">
              <w:rPr>
                <w:rFonts w:ascii="Arial" w:hAnsi="Arial" w:cs="Arial"/>
                <w:b/>
                <w:sz w:val="20"/>
              </w:rPr>
              <w:t>Rpts</w:t>
            </w:r>
            <w:proofErr w:type="spellEnd"/>
          </w:p>
        </w:tc>
        <w:tc>
          <w:tcPr>
            <w:tcW w:w="2268" w:type="dxa"/>
            <w:gridSpan w:val="2"/>
          </w:tcPr>
          <w:p w:rsidR="00097F72" w:rsidRPr="00097F72" w:rsidRDefault="00097F72" w:rsidP="002F4B76">
            <w:pPr>
              <w:keepNext/>
              <w:jc w:val="both"/>
              <w:rPr>
                <w:rFonts w:ascii="Arial" w:hAnsi="Arial" w:cs="Arial"/>
                <w:b/>
                <w:sz w:val="20"/>
                <w:lang w:val="fr-FR"/>
              </w:rPr>
            </w:pPr>
            <w:r w:rsidRPr="00097F72">
              <w:rPr>
                <w:rFonts w:ascii="Arial" w:hAnsi="Arial" w:cs="Arial"/>
                <w:b/>
                <w:sz w:val="20"/>
              </w:rPr>
              <w:t>Proprietary Name and Manufacturer</w:t>
            </w:r>
          </w:p>
        </w:tc>
      </w:tr>
      <w:tr w:rsidR="00097F72" w:rsidRPr="00FB1003" w:rsidTr="00670F36">
        <w:trPr>
          <w:cantSplit/>
          <w:trHeight w:val="420"/>
        </w:trPr>
        <w:tc>
          <w:tcPr>
            <w:tcW w:w="4536" w:type="dxa"/>
          </w:tcPr>
          <w:p w:rsidR="00097F72" w:rsidRPr="00FB1003" w:rsidRDefault="00097F72" w:rsidP="002F4B76">
            <w:pPr>
              <w:keepNext/>
              <w:ind w:left="-108"/>
              <w:rPr>
                <w:rFonts w:ascii="Arial" w:hAnsi="Arial" w:cs="Arial"/>
                <w:sz w:val="20"/>
                <w:szCs w:val="20"/>
              </w:rPr>
            </w:pPr>
            <w:r>
              <w:rPr>
                <w:rFonts w:ascii="Arial" w:hAnsi="Arial" w:cs="Arial"/>
                <w:smallCaps/>
                <w:sz w:val="20"/>
                <w:szCs w:val="20"/>
              </w:rPr>
              <w:t xml:space="preserve">INDACATEROL/GLYCOPYRRONIUM </w:t>
            </w:r>
          </w:p>
          <w:p w:rsidR="00097F72" w:rsidRDefault="00097F72" w:rsidP="002F4B76">
            <w:pPr>
              <w:keepNext/>
              <w:ind w:left="-108"/>
              <w:jc w:val="both"/>
              <w:rPr>
                <w:rFonts w:ascii="Arial" w:hAnsi="Arial" w:cs="Arial"/>
                <w:sz w:val="20"/>
              </w:rPr>
            </w:pPr>
            <w:r>
              <w:rPr>
                <w:rFonts w:ascii="Arial" w:hAnsi="Arial" w:cs="Arial"/>
                <w:sz w:val="20"/>
              </w:rPr>
              <w:t xml:space="preserve">Inhalation: powder for, 30 capsules, </w:t>
            </w:r>
            <w:proofErr w:type="spellStart"/>
            <w:r>
              <w:rPr>
                <w:rFonts w:ascii="Arial" w:hAnsi="Arial" w:cs="Arial"/>
                <w:sz w:val="20"/>
              </w:rPr>
              <w:t>indacaterol</w:t>
            </w:r>
            <w:proofErr w:type="spellEnd"/>
            <w:r>
              <w:rPr>
                <w:rFonts w:ascii="Arial" w:hAnsi="Arial" w:cs="Arial"/>
                <w:sz w:val="20"/>
              </w:rPr>
              <w:t xml:space="preserve"> maleate 110 microgram + </w:t>
            </w:r>
            <w:proofErr w:type="spellStart"/>
            <w:r>
              <w:rPr>
                <w:rFonts w:ascii="Arial" w:hAnsi="Arial" w:cs="Arial"/>
                <w:sz w:val="20"/>
              </w:rPr>
              <w:t>glycopyrronium</w:t>
            </w:r>
            <w:proofErr w:type="spellEnd"/>
            <w:r>
              <w:rPr>
                <w:rFonts w:ascii="Arial" w:hAnsi="Arial" w:cs="Arial"/>
                <w:sz w:val="20"/>
              </w:rPr>
              <w:t xml:space="preserve"> bromide 50 microgram</w:t>
            </w:r>
          </w:p>
          <w:p w:rsidR="00097F72" w:rsidRPr="00FB1003" w:rsidRDefault="00097F72" w:rsidP="002F4B76">
            <w:pPr>
              <w:keepNext/>
              <w:ind w:left="-108"/>
              <w:jc w:val="both"/>
              <w:rPr>
                <w:rFonts w:ascii="Arial" w:hAnsi="Arial" w:cs="Arial"/>
                <w:sz w:val="20"/>
              </w:rPr>
            </w:pPr>
          </w:p>
        </w:tc>
        <w:tc>
          <w:tcPr>
            <w:tcW w:w="851" w:type="dxa"/>
          </w:tcPr>
          <w:p w:rsidR="00097F72" w:rsidRPr="00FB1003" w:rsidRDefault="00097F72" w:rsidP="002F4B76">
            <w:pPr>
              <w:keepNext/>
              <w:ind w:left="-108"/>
              <w:jc w:val="both"/>
              <w:rPr>
                <w:rFonts w:ascii="Arial" w:hAnsi="Arial" w:cs="Arial"/>
                <w:sz w:val="20"/>
              </w:rPr>
            </w:pPr>
          </w:p>
          <w:p w:rsidR="00097F72" w:rsidRPr="00FB1003" w:rsidRDefault="00097F72" w:rsidP="002F4B76">
            <w:pPr>
              <w:keepNext/>
              <w:ind w:left="-108"/>
              <w:jc w:val="both"/>
              <w:rPr>
                <w:rFonts w:ascii="Arial" w:hAnsi="Arial" w:cs="Arial"/>
                <w:sz w:val="20"/>
              </w:rPr>
            </w:pPr>
            <w:r>
              <w:rPr>
                <w:rFonts w:ascii="Arial" w:hAnsi="Arial" w:cs="Arial"/>
                <w:sz w:val="20"/>
              </w:rPr>
              <w:t>1</w:t>
            </w:r>
          </w:p>
        </w:tc>
        <w:tc>
          <w:tcPr>
            <w:tcW w:w="708" w:type="dxa"/>
          </w:tcPr>
          <w:p w:rsidR="00097F72" w:rsidRDefault="00097F72" w:rsidP="002F4B76">
            <w:pPr>
              <w:keepNext/>
              <w:ind w:left="-108"/>
              <w:jc w:val="both"/>
              <w:rPr>
                <w:rFonts w:ascii="Arial" w:hAnsi="Arial" w:cs="Arial"/>
                <w:sz w:val="20"/>
              </w:rPr>
            </w:pPr>
            <w:r>
              <w:rPr>
                <w:rFonts w:ascii="Arial" w:hAnsi="Arial" w:cs="Arial"/>
                <w:sz w:val="20"/>
              </w:rPr>
              <w:t xml:space="preserve"> </w:t>
            </w:r>
          </w:p>
          <w:p w:rsidR="00097F72" w:rsidRPr="00FB1003" w:rsidRDefault="00097F72" w:rsidP="002F4B76">
            <w:pPr>
              <w:keepNext/>
              <w:ind w:left="-108"/>
              <w:jc w:val="both"/>
              <w:rPr>
                <w:rFonts w:ascii="Arial" w:hAnsi="Arial" w:cs="Arial"/>
                <w:sz w:val="20"/>
              </w:rPr>
            </w:pPr>
            <w:r>
              <w:rPr>
                <w:rFonts w:ascii="Arial" w:hAnsi="Arial" w:cs="Arial"/>
                <w:sz w:val="20"/>
              </w:rPr>
              <w:t>5</w:t>
            </w:r>
          </w:p>
        </w:tc>
        <w:tc>
          <w:tcPr>
            <w:tcW w:w="1276" w:type="dxa"/>
          </w:tcPr>
          <w:p w:rsidR="00097F72" w:rsidRDefault="00097F72" w:rsidP="00097F72">
            <w:pPr>
              <w:keepNext/>
              <w:jc w:val="center"/>
              <w:rPr>
                <w:rFonts w:ascii="Arial" w:hAnsi="Arial" w:cs="Arial"/>
                <w:sz w:val="20"/>
              </w:rPr>
            </w:pPr>
          </w:p>
          <w:p w:rsidR="00097F72" w:rsidRDefault="00097F72" w:rsidP="00097F72">
            <w:pPr>
              <w:keepNext/>
              <w:jc w:val="center"/>
              <w:rPr>
                <w:rFonts w:ascii="Arial" w:hAnsi="Arial" w:cs="Arial"/>
                <w:b/>
                <w:sz w:val="28"/>
                <w:szCs w:val="28"/>
                <w:vertAlign w:val="superscript"/>
              </w:rPr>
            </w:pPr>
            <w:proofErr w:type="spellStart"/>
            <w:r>
              <w:rPr>
                <w:rFonts w:ascii="Arial" w:hAnsi="Arial" w:cs="Arial"/>
                <w:sz w:val="20"/>
              </w:rPr>
              <w:t>Ultibro</w:t>
            </w:r>
            <w:proofErr w:type="spellEnd"/>
            <w:r w:rsidRPr="002B76FD">
              <w:rPr>
                <w:rFonts w:ascii="Arial" w:hAnsi="Arial" w:cs="Arial"/>
                <w:b/>
                <w:sz w:val="28"/>
                <w:szCs w:val="28"/>
                <w:vertAlign w:val="superscript"/>
              </w:rPr>
              <w:t>®</w:t>
            </w:r>
          </w:p>
          <w:p w:rsidR="00670F36" w:rsidRPr="00670F36" w:rsidRDefault="00670F36" w:rsidP="00670F36">
            <w:pPr>
              <w:keepNext/>
              <w:jc w:val="center"/>
              <w:rPr>
                <w:rFonts w:ascii="Arial" w:hAnsi="Arial" w:cs="Arial"/>
                <w:sz w:val="20"/>
                <w:szCs w:val="20"/>
              </w:rPr>
            </w:pPr>
            <w:proofErr w:type="spellStart"/>
            <w:r w:rsidRPr="00670F36">
              <w:rPr>
                <w:rFonts w:ascii="Arial" w:hAnsi="Arial" w:cs="Arial"/>
                <w:sz w:val="20"/>
                <w:szCs w:val="20"/>
              </w:rPr>
              <w:t>Breezhaler</w:t>
            </w:r>
            <w:proofErr w:type="spellEnd"/>
            <w:r w:rsidRPr="00670F36">
              <w:rPr>
                <w:rFonts w:ascii="Arial" w:hAnsi="Arial" w:cs="Arial"/>
                <w:sz w:val="20"/>
                <w:szCs w:val="20"/>
              </w:rPr>
              <w:t>® 110/50</w:t>
            </w:r>
          </w:p>
        </w:tc>
        <w:tc>
          <w:tcPr>
            <w:tcW w:w="992" w:type="dxa"/>
          </w:tcPr>
          <w:p w:rsidR="00097F72" w:rsidRDefault="00097F72" w:rsidP="00097F72">
            <w:pPr>
              <w:keepNext/>
              <w:jc w:val="center"/>
              <w:rPr>
                <w:rFonts w:ascii="Arial" w:hAnsi="Arial" w:cs="Arial"/>
                <w:sz w:val="20"/>
              </w:rPr>
            </w:pPr>
          </w:p>
          <w:p w:rsidR="00097F72" w:rsidRPr="00FB1003" w:rsidRDefault="00097F72" w:rsidP="00097F72">
            <w:pPr>
              <w:keepNext/>
              <w:jc w:val="center"/>
              <w:rPr>
                <w:rFonts w:ascii="Arial" w:hAnsi="Arial" w:cs="Arial"/>
                <w:sz w:val="20"/>
              </w:rPr>
            </w:pPr>
            <w:r>
              <w:rPr>
                <w:rFonts w:ascii="Arial" w:hAnsi="Arial" w:cs="Arial"/>
                <w:sz w:val="20"/>
              </w:rPr>
              <w:t>Novartis</w:t>
            </w:r>
          </w:p>
        </w:tc>
      </w:tr>
    </w:tbl>
    <w:p w:rsidR="00097F72" w:rsidRDefault="00097F72" w:rsidP="00097F72">
      <w:pPr>
        <w:rPr>
          <w:rFonts w:ascii="Arial" w:hAnsi="Arial"/>
        </w:rPr>
      </w:pPr>
    </w:p>
    <w:tbl>
      <w:tblPr>
        <w:tblW w:w="8363" w:type="dxa"/>
        <w:tblInd w:w="817" w:type="dxa"/>
        <w:tblLayout w:type="fixed"/>
        <w:tblLook w:val="04A0" w:firstRow="1" w:lastRow="0" w:firstColumn="1" w:lastColumn="0" w:noHBand="0" w:noVBand="1"/>
      </w:tblPr>
      <w:tblGrid>
        <w:gridCol w:w="8363"/>
      </w:tblGrid>
      <w:tr w:rsidR="00097F72" w:rsidTr="00982F2D">
        <w:trPr>
          <w:cantSplit/>
          <w:trHeight w:val="2183"/>
        </w:trPr>
        <w:tc>
          <w:tcPr>
            <w:tcW w:w="8363" w:type="dxa"/>
            <w:tcBorders>
              <w:top w:val="single" w:sz="4" w:space="0" w:color="auto"/>
              <w:left w:val="single" w:sz="4" w:space="0" w:color="auto"/>
              <w:bottom w:val="single" w:sz="4" w:space="0" w:color="auto"/>
              <w:right w:val="single" w:sz="4" w:space="0" w:color="auto"/>
            </w:tcBorders>
          </w:tcPr>
          <w:p w:rsidR="00097F72" w:rsidRPr="00097F72" w:rsidRDefault="00097F72" w:rsidP="00097F72">
            <w:pPr>
              <w:ind w:left="-108"/>
              <w:jc w:val="both"/>
              <w:rPr>
                <w:rFonts w:ascii="Arial Narrow" w:hAnsi="Arial Narrow" w:cs="Arial"/>
                <w:b/>
                <w:sz w:val="20"/>
                <w:szCs w:val="20"/>
              </w:rPr>
            </w:pPr>
            <w:r w:rsidRPr="00097F72">
              <w:rPr>
                <w:rFonts w:ascii="Arial Narrow" w:hAnsi="Arial Narrow" w:cs="Arial"/>
                <w:b/>
                <w:sz w:val="20"/>
                <w:szCs w:val="20"/>
              </w:rPr>
              <w:t>Restricted benefit</w:t>
            </w:r>
          </w:p>
          <w:p w:rsidR="00097F72" w:rsidRPr="00097F72" w:rsidRDefault="00097F72" w:rsidP="00097F72">
            <w:pPr>
              <w:ind w:left="-108"/>
              <w:jc w:val="both"/>
              <w:rPr>
                <w:rFonts w:ascii="Arial Narrow" w:hAnsi="Arial Narrow" w:cs="Arial"/>
                <w:sz w:val="20"/>
                <w:szCs w:val="20"/>
              </w:rPr>
            </w:pPr>
            <w:r w:rsidRPr="00097F72">
              <w:rPr>
                <w:rFonts w:ascii="Arial Narrow" w:hAnsi="Arial Narrow" w:cs="Arial"/>
                <w:sz w:val="20"/>
                <w:szCs w:val="20"/>
              </w:rPr>
              <w:t>Chronic obstructive pulmonary disease</w:t>
            </w:r>
          </w:p>
          <w:p w:rsidR="00097F72" w:rsidRDefault="00097F72" w:rsidP="00097F72">
            <w:pPr>
              <w:ind w:left="-108"/>
              <w:jc w:val="both"/>
              <w:rPr>
                <w:rFonts w:ascii="Arial Narrow" w:hAnsi="Arial Narrow" w:cs="Arial"/>
                <w:sz w:val="20"/>
                <w:szCs w:val="20"/>
              </w:rPr>
            </w:pPr>
          </w:p>
          <w:p w:rsidR="00097F72" w:rsidRPr="00097F72" w:rsidRDefault="00097F72" w:rsidP="00097F72">
            <w:pPr>
              <w:ind w:left="-108"/>
              <w:jc w:val="both"/>
              <w:rPr>
                <w:rFonts w:ascii="Arial Narrow" w:hAnsi="Arial Narrow" w:cs="Arial"/>
                <w:sz w:val="20"/>
                <w:szCs w:val="20"/>
              </w:rPr>
            </w:pPr>
            <w:r w:rsidRPr="00097F72">
              <w:rPr>
                <w:rFonts w:ascii="Arial Narrow" w:hAnsi="Arial Narrow" w:cs="Arial"/>
                <w:sz w:val="20"/>
                <w:szCs w:val="20"/>
              </w:rPr>
              <w:t>Patient must have symptoms that persist despite regular bronchodilator treatment with a long acting muscarinic antagonist and/or long acting beta2-agonist;</w:t>
            </w:r>
          </w:p>
          <w:p w:rsidR="00097F72" w:rsidRPr="00097F72" w:rsidRDefault="00097F72" w:rsidP="00097F72">
            <w:pPr>
              <w:ind w:left="-108"/>
              <w:jc w:val="both"/>
              <w:rPr>
                <w:rFonts w:ascii="Arial Narrow" w:hAnsi="Arial Narrow" w:cs="Arial"/>
                <w:sz w:val="20"/>
                <w:szCs w:val="20"/>
              </w:rPr>
            </w:pPr>
            <w:r w:rsidRPr="00097F72">
              <w:rPr>
                <w:rFonts w:ascii="Arial Narrow" w:hAnsi="Arial Narrow" w:cs="Arial"/>
                <w:sz w:val="20"/>
                <w:szCs w:val="20"/>
              </w:rPr>
              <w:t>OR</w:t>
            </w:r>
          </w:p>
          <w:p w:rsidR="00097F72" w:rsidRPr="00097F72" w:rsidRDefault="00097F72" w:rsidP="00097F72">
            <w:pPr>
              <w:ind w:left="-108"/>
              <w:jc w:val="both"/>
              <w:rPr>
                <w:rFonts w:ascii="Arial Narrow" w:hAnsi="Arial Narrow" w:cs="Arial"/>
                <w:sz w:val="20"/>
                <w:szCs w:val="20"/>
              </w:rPr>
            </w:pPr>
            <w:r w:rsidRPr="00097F72">
              <w:rPr>
                <w:rFonts w:ascii="Arial Narrow" w:hAnsi="Arial Narrow" w:cs="Arial"/>
                <w:sz w:val="20"/>
                <w:szCs w:val="20"/>
              </w:rPr>
              <w:t>Patient must have been stabilised on a combination of a long acting muscarinic agonist and long acting beta2-agonist.</w:t>
            </w:r>
          </w:p>
          <w:p w:rsidR="00097F72" w:rsidRDefault="00097F72" w:rsidP="002F4B76">
            <w:pPr>
              <w:ind w:left="-108"/>
              <w:jc w:val="both"/>
              <w:rPr>
                <w:rFonts w:ascii="Arial Narrow" w:hAnsi="Arial Narrow" w:cs="Arial"/>
                <w:sz w:val="20"/>
                <w:szCs w:val="20"/>
              </w:rPr>
            </w:pPr>
          </w:p>
        </w:tc>
      </w:tr>
    </w:tbl>
    <w:p w:rsidR="00097F72" w:rsidRPr="00C6332F" w:rsidRDefault="00097F72" w:rsidP="00C6332F">
      <w:pPr>
        <w:pStyle w:val="ListParagraph"/>
        <w:jc w:val="both"/>
        <w:rPr>
          <w:rFonts w:ascii="Arial" w:hAnsi="Arial"/>
          <w:b/>
          <w:sz w:val="22"/>
          <w:szCs w:val="22"/>
        </w:rPr>
      </w:pPr>
    </w:p>
    <w:p w:rsidR="00C6332F" w:rsidRPr="00C6332F" w:rsidRDefault="00C6332F" w:rsidP="00882085">
      <w:pPr>
        <w:pStyle w:val="ListParagraph"/>
        <w:numPr>
          <w:ilvl w:val="1"/>
          <w:numId w:val="25"/>
        </w:numPr>
        <w:jc w:val="both"/>
        <w:rPr>
          <w:rFonts w:ascii="Arial" w:hAnsi="Arial"/>
          <w:b/>
          <w:sz w:val="22"/>
          <w:szCs w:val="22"/>
        </w:rPr>
      </w:pPr>
      <w:r>
        <w:rPr>
          <w:rFonts w:ascii="Arial" w:hAnsi="Arial"/>
          <w:sz w:val="22"/>
          <w:szCs w:val="22"/>
        </w:rPr>
        <w:t xml:space="preserve">Listing was sought on a cost-minimisation basis compared to the components given concomitantly. </w:t>
      </w:r>
    </w:p>
    <w:p w:rsidR="00C6332F" w:rsidRPr="00C6332F" w:rsidRDefault="00C6332F" w:rsidP="00C6332F">
      <w:pPr>
        <w:pStyle w:val="ListParagraph"/>
        <w:jc w:val="both"/>
        <w:rPr>
          <w:rFonts w:ascii="Arial" w:hAnsi="Arial"/>
          <w:b/>
          <w:sz w:val="22"/>
          <w:szCs w:val="22"/>
        </w:rPr>
      </w:pPr>
    </w:p>
    <w:p w:rsidR="00614159" w:rsidRPr="0011348F" w:rsidRDefault="0011348F" w:rsidP="00882085">
      <w:pPr>
        <w:pStyle w:val="ListParagraph"/>
        <w:numPr>
          <w:ilvl w:val="1"/>
          <w:numId w:val="25"/>
        </w:numPr>
        <w:jc w:val="both"/>
        <w:rPr>
          <w:rFonts w:ascii="Arial" w:hAnsi="Arial"/>
          <w:b/>
          <w:sz w:val="22"/>
          <w:szCs w:val="22"/>
        </w:rPr>
      </w:pPr>
      <w:r>
        <w:rPr>
          <w:rFonts w:ascii="Arial" w:hAnsi="Arial"/>
          <w:sz w:val="22"/>
          <w:szCs w:val="22"/>
        </w:rPr>
        <w:t>The requested listing is the same as was proposed in the March 2014 submission with the addition of an administrative not</w:t>
      </w:r>
      <w:r w:rsidR="00DC2CEC">
        <w:rPr>
          <w:rFonts w:ascii="Arial" w:hAnsi="Arial"/>
          <w:sz w:val="22"/>
          <w:szCs w:val="22"/>
        </w:rPr>
        <w:t xml:space="preserve">e specifying that </w:t>
      </w:r>
      <w:proofErr w:type="spellStart"/>
      <w:r w:rsidR="00DC2CEC">
        <w:rPr>
          <w:rFonts w:ascii="Arial" w:hAnsi="Arial"/>
          <w:sz w:val="22"/>
          <w:szCs w:val="22"/>
        </w:rPr>
        <w:t>indacaterol</w:t>
      </w:r>
      <w:proofErr w:type="spellEnd"/>
      <w:r w:rsidR="00DC2CEC">
        <w:rPr>
          <w:rFonts w:ascii="Arial" w:hAnsi="Arial"/>
          <w:sz w:val="22"/>
          <w:szCs w:val="22"/>
        </w:rPr>
        <w:t>/</w:t>
      </w:r>
      <w:proofErr w:type="spellStart"/>
      <w:r>
        <w:rPr>
          <w:rFonts w:ascii="Arial" w:hAnsi="Arial"/>
          <w:sz w:val="22"/>
          <w:szCs w:val="22"/>
        </w:rPr>
        <w:t>glycopyrronium</w:t>
      </w:r>
      <w:proofErr w:type="spellEnd"/>
      <w:r>
        <w:rPr>
          <w:rFonts w:ascii="Arial" w:hAnsi="Arial"/>
          <w:sz w:val="22"/>
          <w:szCs w:val="22"/>
        </w:rPr>
        <w:t xml:space="preserve"> is not PBS-subsidised for the treatment of asthma, and not indicated for the initiation of bronchodilator therapy. </w:t>
      </w:r>
    </w:p>
    <w:p w:rsidR="0011348F" w:rsidRPr="0011348F" w:rsidRDefault="0011348F" w:rsidP="0011348F">
      <w:pPr>
        <w:pStyle w:val="ListParagraph"/>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2B1AE6" w:rsidRPr="005E7538" w:rsidRDefault="00DC2CEC" w:rsidP="00882085">
      <w:pPr>
        <w:pStyle w:val="ListParagraph"/>
        <w:numPr>
          <w:ilvl w:val="1"/>
          <w:numId w:val="25"/>
        </w:numPr>
        <w:jc w:val="both"/>
        <w:rPr>
          <w:rFonts w:ascii="Arial" w:hAnsi="Arial"/>
          <w:sz w:val="22"/>
          <w:szCs w:val="22"/>
        </w:rPr>
      </w:pPr>
      <w:proofErr w:type="spellStart"/>
      <w:r>
        <w:rPr>
          <w:rFonts w:ascii="Arial" w:hAnsi="Arial"/>
          <w:sz w:val="22"/>
          <w:szCs w:val="22"/>
        </w:rPr>
        <w:t>Indacaterol</w:t>
      </w:r>
      <w:proofErr w:type="spellEnd"/>
      <w:r>
        <w:rPr>
          <w:rFonts w:ascii="Arial" w:hAnsi="Arial"/>
          <w:sz w:val="22"/>
          <w:szCs w:val="22"/>
        </w:rPr>
        <w:t>/</w:t>
      </w:r>
      <w:proofErr w:type="spellStart"/>
      <w:r w:rsidR="005E7538" w:rsidRPr="005E7538">
        <w:rPr>
          <w:rFonts w:ascii="Arial" w:hAnsi="Arial"/>
          <w:sz w:val="22"/>
          <w:szCs w:val="22"/>
        </w:rPr>
        <w:t>glycopyrronium</w:t>
      </w:r>
      <w:proofErr w:type="spellEnd"/>
      <w:r w:rsidR="005E7538" w:rsidRPr="005E7538">
        <w:rPr>
          <w:rFonts w:ascii="Arial" w:hAnsi="Arial"/>
          <w:sz w:val="22"/>
          <w:szCs w:val="22"/>
        </w:rPr>
        <w:t xml:space="preserve"> was TGA registered in March 2014</w:t>
      </w:r>
      <w:r w:rsidR="002B1AE6" w:rsidRPr="005E7538">
        <w:rPr>
          <w:rFonts w:ascii="Arial" w:hAnsi="Arial"/>
          <w:sz w:val="22"/>
          <w:szCs w:val="22"/>
        </w:rPr>
        <w:t xml:space="preserve"> for </w:t>
      </w:r>
      <w:r w:rsidR="005E7538" w:rsidRPr="005E7538">
        <w:rPr>
          <w:rFonts w:ascii="Arial" w:hAnsi="Arial"/>
          <w:sz w:val="22"/>
          <w:szCs w:val="22"/>
        </w:rPr>
        <w:t xml:space="preserve">once-daily bronchodilator treatment to relieve symptoms in patients with chronic obstructive pulmonary disease (COPD). </w:t>
      </w:r>
    </w:p>
    <w:p w:rsidR="006B0D94" w:rsidRPr="00882085" w:rsidRDefault="006B0D94" w:rsidP="00882085">
      <w:pPr>
        <w:pStyle w:val="ListParagraph"/>
        <w:jc w:val="both"/>
        <w:rPr>
          <w:rFonts w:ascii="Arial" w:hAnsi="Arial"/>
          <w:sz w:val="22"/>
          <w:szCs w:val="22"/>
        </w:rPr>
      </w:pPr>
    </w:p>
    <w:p w:rsidR="002B76FD" w:rsidRDefault="00DC2CEC" w:rsidP="002B76FD">
      <w:pPr>
        <w:pStyle w:val="ListParagraph"/>
        <w:numPr>
          <w:ilvl w:val="1"/>
          <w:numId w:val="25"/>
        </w:numPr>
        <w:jc w:val="both"/>
        <w:rPr>
          <w:rFonts w:ascii="Arial" w:hAnsi="Arial"/>
          <w:sz w:val="22"/>
          <w:szCs w:val="22"/>
        </w:rPr>
      </w:pPr>
      <w:proofErr w:type="spellStart"/>
      <w:r>
        <w:rPr>
          <w:rFonts w:ascii="Arial" w:hAnsi="Arial" w:cs="Arial"/>
          <w:sz w:val="22"/>
          <w:szCs w:val="22"/>
        </w:rPr>
        <w:lastRenderedPageBreak/>
        <w:t>Indacaterol</w:t>
      </w:r>
      <w:proofErr w:type="spellEnd"/>
      <w:r>
        <w:rPr>
          <w:rFonts w:ascii="Arial" w:hAnsi="Arial" w:cs="Arial"/>
          <w:sz w:val="22"/>
          <w:szCs w:val="22"/>
        </w:rPr>
        <w:t>/</w:t>
      </w:r>
      <w:proofErr w:type="spellStart"/>
      <w:r w:rsidR="002B76FD" w:rsidRPr="002B76FD">
        <w:rPr>
          <w:rFonts w:ascii="Arial" w:hAnsi="Arial" w:cs="Arial"/>
          <w:sz w:val="22"/>
          <w:szCs w:val="22"/>
        </w:rPr>
        <w:t>glycopyrronium</w:t>
      </w:r>
      <w:proofErr w:type="spellEnd"/>
      <w:r w:rsidR="002B76FD" w:rsidRPr="002B76FD">
        <w:rPr>
          <w:rFonts w:ascii="Arial" w:hAnsi="Arial" w:cs="Arial"/>
          <w:sz w:val="22"/>
          <w:szCs w:val="22"/>
        </w:rPr>
        <w:t xml:space="preserve"> was considered by the PBAC in March 2014. The PBAC rejected the submission. In its recommendations the committee concluded that the evidence presented in the SHINE study (</w:t>
      </w:r>
      <w:r w:rsidR="002B76FD" w:rsidRPr="002B76FD">
        <w:rPr>
          <w:rFonts w:ascii="Arial" w:hAnsi="Arial"/>
          <w:sz w:val="22"/>
          <w:szCs w:val="22"/>
        </w:rPr>
        <w:t>that the incremental gain in FEV</w:t>
      </w:r>
      <w:r w:rsidR="002B76FD" w:rsidRPr="002B76FD">
        <w:rPr>
          <w:rFonts w:ascii="Arial" w:hAnsi="Arial"/>
          <w:sz w:val="22"/>
          <w:szCs w:val="22"/>
          <w:vertAlign w:val="subscript"/>
        </w:rPr>
        <w:t>1</w:t>
      </w:r>
      <w:r w:rsidR="002B76FD" w:rsidRPr="002B76FD">
        <w:rPr>
          <w:rFonts w:ascii="Arial" w:hAnsi="Arial"/>
          <w:sz w:val="22"/>
          <w:szCs w:val="22"/>
        </w:rPr>
        <w:t xml:space="preserve"> of adding </w:t>
      </w:r>
      <w:proofErr w:type="spellStart"/>
      <w:r w:rsidR="002B76FD" w:rsidRPr="002B76FD">
        <w:rPr>
          <w:rFonts w:ascii="Arial" w:hAnsi="Arial"/>
          <w:sz w:val="22"/>
          <w:szCs w:val="22"/>
        </w:rPr>
        <w:t>glycopyrronium</w:t>
      </w:r>
      <w:proofErr w:type="spellEnd"/>
      <w:r w:rsidR="002B76FD" w:rsidRPr="002B76FD">
        <w:rPr>
          <w:rFonts w:ascii="Arial" w:hAnsi="Arial"/>
          <w:sz w:val="22"/>
          <w:szCs w:val="22"/>
        </w:rPr>
        <w:t xml:space="preserve"> to </w:t>
      </w:r>
      <w:proofErr w:type="spellStart"/>
      <w:r w:rsidR="002B76FD" w:rsidRPr="002B76FD">
        <w:rPr>
          <w:rFonts w:ascii="Arial" w:hAnsi="Arial"/>
          <w:sz w:val="22"/>
          <w:szCs w:val="22"/>
        </w:rPr>
        <w:t>indacaterol</w:t>
      </w:r>
      <w:proofErr w:type="spellEnd"/>
      <w:r w:rsidR="002B76FD" w:rsidRPr="002B76FD">
        <w:rPr>
          <w:rFonts w:ascii="Arial" w:hAnsi="Arial"/>
          <w:sz w:val="22"/>
          <w:szCs w:val="22"/>
        </w:rPr>
        <w:t xml:space="preserve"> (70 mL (95% CI: 50-100 mL)) was not twice the incremental gain of </w:t>
      </w:r>
      <w:proofErr w:type="spellStart"/>
      <w:r w:rsidR="002B76FD" w:rsidRPr="002B76FD">
        <w:rPr>
          <w:rFonts w:ascii="Arial" w:hAnsi="Arial"/>
          <w:sz w:val="22"/>
          <w:szCs w:val="22"/>
        </w:rPr>
        <w:t>indacaterol</w:t>
      </w:r>
      <w:proofErr w:type="spellEnd"/>
      <w:r w:rsidR="002B76FD" w:rsidRPr="002B76FD">
        <w:rPr>
          <w:rFonts w:ascii="Arial" w:hAnsi="Arial"/>
          <w:sz w:val="22"/>
          <w:szCs w:val="22"/>
        </w:rPr>
        <w:t xml:space="preserve"> over placebo (130 mL (95% CI:  100-160 mL) and the evidence did not support the usual PBAC approach for combination products i.e. that the FDC would be priced as the sum of the component p</w:t>
      </w:r>
      <w:r w:rsidR="00C90AC8">
        <w:rPr>
          <w:rFonts w:ascii="Arial" w:hAnsi="Arial"/>
          <w:sz w:val="22"/>
          <w:szCs w:val="22"/>
        </w:rPr>
        <w:t>arts.</w:t>
      </w:r>
    </w:p>
    <w:p w:rsidR="005E7538" w:rsidRPr="005E7538" w:rsidRDefault="005E7538" w:rsidP="005E7538">
      <w:pPr>
        <w:jc w:val="both"/>
        <w:rPr>
          <w:rFonts w:ascii="Arial" w:hAnsi="Arial"/>
          <w:sz w:val="22"/>
          <w:szCs w:val="22"/>
        </w:rPr>
      </w:pPr>
    </w:p>
    <w:p w:rsidR="002B76FD" w:rsidRDefault="002B76FD" w:rsidP="002B76FD">
      <w:pPr>
        <w:pStyle w:val="ListParagraph"/>
        <w:numPr>
          <w:ilvl w:val="1"/>
          <w:numId w:val="25"/>
        </w:numPr>
        <w:jc w:val="both"/>
        <w:rPr>
          <w:rFonts w:ascii="Arial" w:hAnsi="Arial"/>
          <w:sz w:val="22"/>
          <w:szCs w:val="22"/>
        </w:rPr>
      </w:pPr>
      <w:r w:rsidRPr="002B76FD">
        <w:rPr>
          <w:rFonts w:ascii="Arial" w:hAnsi="Arial"/>
          <w:sz w:val="22"/>
          <w:szCs w:val="22"/>
        </w:rPr>
        <w:t>In addition</w:t>
      </w:r>
      <w:r w:rsidR="00C97DDF">
        <w:rPr>
          <w:rFonts w:ascii="Arial" w:hAnsi="Arial"/>
          <w:sz w:val="22"/>
          <w:szCs w:val="22"/>
        </w:rPr>
        <w:t>,</w:t>
      </w:r>
      <w:r w:rsidRPr="002B76FD">
        <w:rPr>
          <w:rFonts w:ascii="Arial" w:hAnsi="Arial"/>
          <w:sz w:val="22"/>
          <w:szCs w:val="22"/>
        </w:rPr>
        <w:t xml:space="preserve"> the PBAC considered that the incremental gain in FEV</w:t>
      </w:r>
      <w:r w:rsidRPr="002B76FD">
        <w:rPr>
          <w:rFonts w:ascii="Arial" w:hAnsi="Arial"/>
          <w:sz w:val="22"/>
          <w:szCs w:val="22"/>
          <w:vertAlign w:val="subscript"/>
        </w:rPr>
        <w:t>1</w:t>
      </w:r>
      <w:r w:rsidRPr="002B76FD">
        <w:rPr>
          <w:rFonts w:ascii="Arial" w:hAnsi="Arial"/>
          <w:sz w:val="22"/>
          <w:szCs w:val="22"/>
        </w:rPr>
        <w:t xml:space="preserve"> of </w:t>
      </w:r>
      <w:proofErr w:type="spellStart"/>
      <w:r w:rsidRPr="002B76FD">
        <w:rPr>
          <w:rFonts w:ascii="Arial" w:hAnsi="Arial"/>
          <w:sz w:val="22"/>
          <w:szCs w:val="22"/>
        </w:rPr>
        <w:t>indacaterol</w:t>
      </w:r>
      <w:proofErr w:type="spellEnd"/>
      <w:r w:rsidRPr="002B76FD">
        <w:rPr>
          <w:rFonts w:ascii="Arial" w:hAnsi="Arial"/>
          <w:sz w:val="22"/>
          <w:szCs w:val="22"/>
        </w:rPr>
        <w:t>/</w:t>
      </w:r>
      <w:proofErr w:type="spellStart"/>
      <w:r w:rsidRPr="002B76FD">
        <w:rPr>
          <w:rFonts w:ascii="Arial" w:hAnsi="Arial"/>
          <w:sz w:val="22"/>
          <w:szCs w:val="22"/>
        </w:rPr>
        <w:t>glycopyrronium</w:t>
      </w:r>
      <w:proofErr w:type="spellEnd"/>
      <w:r w:rsidRPr="002B76FD">
        <w:rPr>
          <w:rFonts w:ascii="Arial" w:hAnsi="Arial"/>
          <w:sz w:val="22"/>
          <w:szCs w:val="22"/>
        </w:rPr>
        <w:t xml:space="preserve"> FDC was not able to be translated into more clinically relevant measures of effect (e.g. frequency of exacerbations, hospitalisations). Therefore the PBAC considered it was unable to determine and value the incremental benefit associated with use </w:t>
      </w:r>
      <w:r w:rsidR="00EB22AF">
        <w:rPr>
          <w:rFonts w:ascii="Arial" w:hAnsi="Arial"/>
          <w:sz w:val="22"/>
          <w:szCs w:val="22"/>
        </w:rPr>
        <w:t xml:space="preserve">of </w:t>
      </w:r>
      <w:r w:rsidRPr="002B76FD">
        <w:rPr>
          <w:rFonts w:ascii="Arial" w:hAnsi="Arial"/>
          <w:sz w:val="22"/>
          <w:szCs w:val="22"/>
        </w:rPr>
        <w:t>the FDC compared with use of components given concurrently.  Thus the Committee was unable to determine a</w:t>
      </w:r>
      <w:r w:rsidR="00C90AC8">
        <w:rPr>
          <w:rFonts w:ascii="Arial" w:hAnsi="Arial"/>
          <w:sz w:val="22"/>
          <w:szCs w:val="22"/>
        </w:rPr>
        <w:t>n appropriate price for the FDC.</w:t>
      </w:r>
    </w:p>
    <w:p w:rsidR="002B76FD" w:rsidRPr="002B76FD" w:rsidRDefault="002B76FD" w:rsidP="002B76FD">
      <w:pPr>
        <w:jc w:val="both"/>
        <w:rPr>
          <w:rFonts w:ascii="Arial" w:hAnsi="Arial"/>
          <w:sz w:val="22"/>
          <w:szCs w:val="22"/>
        </w:rPr>
      </w:pPr>
    </w:p>
    <w:p w:rsidR="002B76FD" w:rsidRPr="002B76FD" w:rsidRDefault="002B76FD" w:rsidP="002B76FD">
      <w:pPr>
        <w:pStyle w:val="ListParagraph"/>
        <w:numPr>
          <w:ilvl w:val="1"/>
          <w:numId w:val="25"/>
        </w:numPr>
        <w:jc w:val="both"/>
        <w:rPr>
          <w:rFonts w:ascii="Arial" w:hAnsi="Arial"/>
          <w:sz w:val="22"/>
          <w:szCs w:val="22"/>
        </w:rPr>
      </w:pPr>
      <w:r w:rsidRPr="002B76FD">
        <w:rPr>
          <w:rFonts w:ascii="Arial" w:hAnsi="Arial" w:cs="Arial"/>
          <w:sz w:val="22"/>
          <w:szCs w:val="22"/>
        </w:rPr>
        <w:t>The PBAC also noted that the treatment algorithm for COPD is changing given the potential safety risks associated with</w:t>
      </w:r>
      <w:r w:rsidR="001704A5">
        <w:rPr>
          <w:rFonts w:ascii="Arial" w:hAnsi="Arial" w:cs="Arial"/>
          <w:sz w:val="22"/>
          <w:szCs w:val="22"/>
        </w:rPr>
        <w:t xml:space="preserve"> inhaled corticosteroid</w:t>
      </w:r>
      <w:r w:rsidRPr="002B76FD">
        <w:rPr>
          <w:rFonts w:ascii="Arial" w:hAnsi="Arial" w:cs="Arial"/>
          <w:sz w:val="22"/>
          <w:szCs w:val="22"/>
        </w:rPr>
        <w:t xml:space="preserve"> </w:t>
      </w:r>
      <w:r w:rsidR="001704A5">
        <w:rPr>
          <w:rFonts w:ascii="Arial" w:hAnsi="Arial" w:cs="Arial"/>
          <w:sz w:val="22"/>
          <w:szCs w:val="22"/>
        </w:rPr>
        <w:t>(</w:t>
      </w:r>
      <w:r w:rsidRPr="002B76FD">
        <w:rPr>
          <w:rFonts w:ascii="Arial" w:hAnsi="Arial" w:cs="Arial"/>
          <w:sz w:val="22"/>
          <w:szCs w:val="22"/>
        </w:rPr>
        <w:t>ICS</w:t>
      </w:r>
      <w:r w:rsidR="001704A5">
        <w:rPr>
          <w:rFonts w:ascii="Arial" w:hAnsi="Arial" w:cs="Arial"/>
          <w:sz w:val="22"/>
          <w:szCs w:val="22"/>
        </w:rPr>
        <w:t>)</w:t>
      </w:r>
      <w:r w:rsidRPr="002B76FD">
        <w:rPr>
          <w:rFonts w:ascii="Arial" w:hAnsi="Arial" w:cs="Arial"/>
          <w:sz w:val="22"/>
          <w:szCs w:val="22"/>
        </w:rPr>
        <w:t xml:space="preserve"> use, therefore there is potential for greater switching from ICS/LABA than what was considered in the original submission</w:t>
      </w:r>
      <w:r w:rsidR="00C90AC8">
        <w:rPr>
          <w:rFonts w:ascii="Arial" w:hAnsi="Arial" w:cs="Arial"/>
          <w:sz w:val="22"/>
          <w:szCs w:val="22"/>
        </w:rPr>
        <w:t>.</w:t>
      </w:r>
    </w:p>
    <w:p w:rsidR="00BB7EC3" w:rsidRDefault="00BB7EC3" w:rsidP="00882085">
      <w:pPr>
        <w:jc w:val="both"/>
        <w:rPr>
          <w:rFonts w:ascii="Arial" w:hAnsi="Arial"/>
          <w:b/>
          <w:sz w:val="22"/>
          <w:szCs w:val="22"/>
        </w:rPr>
      </w:pPr>
    </w:p>
    <w:p w:rsidR="00DA0538" w:rsidRPr="00882085" w:rsidRDefault="00DA0538"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6A12A5" w:rsidRPr="00B75FB4" w:rsidRDefault="00B75FB4" w:rsidP="00B75FB4">
      <w:pPr>
        <w:pStyle w:val="ListParagraph"/>
        <w:numPr>
          <w:ilvl w:val="1"/>
          <w:numId w:val="25"/>
        </w:numPr>
        <w:jc w:val="both"/>
        <w:rPr>
          <w:rFonts w:ascii="Arial" w:hAnsi="Arial"/>
          <w:sz w:val="22"/>
          <w:szCs w:val="22"/>
        </w:rPr>
      </w:pPr>
      <w:r>
        <w:rPr>
          <w:rFonts w:ascii="Arial" w:hAnsi="Arial"/>
          <w:sz w:val="22"/>
          <w:szCs w:val="22"/>
        </w:rPr>
        <w:t>T</w:t>
      </w:r>
      <w:r w:rsidRPr="00B75FB4">
        <w:rPr>
          <w:rFonts w:ascii="Arial" w:hAnsi="Arial"/>
          <w:sz w:val="22"/>
          <w:szCs w:val="22"/>
        </w:rPr>
        <w:t xml:space="preserve">he listing of </w:t>
      </w:r>
      <w:proofErr w:type="spellStart"/>
      <w:r w:rsidRPr="00B75FB4">
        <w:rPr>
          <w:rFonts w:ascii="Arial" w:hAnsi="Arial"/>
          <w:sz w:val="22"/>
          <w:szCs w:val="22"/>
        </w:rPr>
        <w:t>indacaterol</w:t>
      </w:r>
      <w:proofErr w:type="spellEnd"/>
      <w:r w:rsidRPr="00B75FB4">
        <w:rPr>
          <w:rFonts w:ascii="Arial" w:hAnsi="Arial"/>
          <w:sz w:val="22"/>
          <w:szCs w:val="22"/>
        </w:rPr>
        <w:t>/</w:t>
      </w:r>
      <w:proofErr w:type="spellStart"/>
      <w:r w:rsidRPr="00B75FB4">
        <w:rPr>
          <w:rFonts w:ascii="Arial" w:hAnsi="Arial"/>
          <w:sz w:val="22"/>
          <w:szCs w:val="22"/>
        </w:rPr>
        <w:t>glycopyrronium</w:t>
      </w:r>
      <w:proofErr w:type="spellEnd"/>
      <w:r w:rsidRPr="00B75FB4">
        <w:rPr>
          <w:rFonts w:ascii="Arial" w:hAnsi="Arial"/>
          <w:sz w:val="22"/>
          <w:szCs w:val="22"/>
        </w:rPr>
        <w:t xml:space="preserve"> FDC would provide an alternative in one inhaler for a LABA/LAMA combination, rather than LABA + LAMA in two inhaler devices.   </w:t>
      </w:r>
      <w:r w:rsidR="00C35996" w:rsidRPr="00B75FB4">
        <w:rPr>
          <w:rFonts w:ascii="Arial" w:hAnsi="Arial"/>
          <w:sz w:val="22"/>
          <w:szCs w:val="22"/>
        </w:rPr>
        <w:tab/>
      </w:r>
    </w:p>
    <w:p w:rsidR="006A12A5" w:rsidRDefault="006A12A5" w:rsidP="00882085">
      <w:pPr>
        <w:pStyle w:val="Header"/>
        <w:tabs>
          <w:tab w:val="clear" w:pos="4153"/>
          <w:tab w:val="clear" w:pos="8306"/>
        </w:tabs>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DA0538" w:rsidRPr="00882085" w:rsidRDefault="00DA0538"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5A3173" w:rsidRPr="00882085" w:rsidRDefault="005A3173" w:rsidP="00882085">
      <w:pPr>
        <w:pStyle w:val="Header"/>
        <w:tabs>
          <w:tab w:val="clear" w:pos="4153"/>
          <w:tab w:val="clear" w:pos="8306"/>
        </w:tabs>
        <w:jc w:val="both"/>
        <w:rPr>
          <w:rFonts w:ascii="Arial" w:hAnsi="Arial"/>
          <w:b/>
          <w:sz w:val="22"/>
          <w:szCs w:val="22"/>
        </w:rPr>
      </w:pPr>
    </w:p>
    <w:p w:rsidR="005E7538" w:rsidRDefault="005E7538" w:rsidP="005E7538">
      <w:pPr>
        <w:pStyle w:val="ListParagraph"/>
        <w:numPr>
          <w:ilvl w:val="1"/>
          <w:numId w:val="25"/>
        </w:numPr>
        <w:jc w:val="both"/>
        <w:rPr>
          <w:rFonts w:ascii="Arial" w:hAnsi="Arial"/>
          <w:sz w:val="22"/>
          <w:szCs w:val="22"/>
        </w:rPr>
      </w:pPr>
      <w:r>
        <w:rPr>
          <w:rFonts w:ascii="Arial" w:hAnsi="Arial"/>
          <w:sz w:val="22"/>
          <w:szCs w:val="22"/>
        </w:rPr>
        <w:t xml:space="preserve">The submission nominated four comparators: </w:t>
      </w:r>
    </w:p>
    <w:p w:rsidR="005E7538" w:rsidRDefault="005E7538" w:rsidP="005E7538">
      <w:pPr>
        <w:pStyle w:val="ListParagraph"/>
        <w:numPr>
          <w:ilvl w:val="0"/>
          <w:numId w:val="40"/>
        </w:numPr>
        <w:jc w:val="both"/>
        <w:rPr>
          <w:rFonts w:ascii="Arial" w:hAnsi="Arial"/>
          <w:sz w:val="22"/>
          <w:szCs w:val="22"/>
        </w:rPr>
      </w:pPr>
      <w:proofErr w:type="spellStart"/>
      <w:r w:rsidRPr="005E7538">
        <w:rPr>
          <w:rFonts w:ascii="Arial" w:hAnsi="Arial"/>
          <w:sz w:val="22"/>
          <w:szCs w:val="22"/>
        </w:rPr>
        <w:t>Indacaterol</w:t>
      </w:r>
      <w:proofErr w:type="spellEnd"/>
      <w:r w:rsidRPr="005E7538">
        <w:rPr>
          <w:rFonts w:ascii="Arial" w:hAnsi="Arial"/>
          <w:sz w:val="22"/>
          <w:szCs w:val="22"/>
        </w:rPr>
        <w:t xml:space="preserve"> 150 </w:t>
      </w:r>
      <w:r w:rsidRPr="005E7538">
        <w:rPr>
          <w:rFonts w:ascii="Arial" w:hAnsi="Arial" w:cs="Arial"/>
          <w:sz w:val="22"/>
          <w:szCs w:val="22"/>
        </w:rPr>
        <w:t>µ</w:t>
      </w:r>
      <w:r w:rsidRPr="005E7538">
        <w:rPr>
          <w:rFonts w:ascii="Arial" w:hAnsi="Arial"/>
          <w:sz w:val="22"/>
          <w:szCs w:val="22"/>
        </w:rPr>
        <w:t xml:space="preserve">g and </w:t>
      </w:r>
      <w:proofErr w:type="spellStart"/>
      <w:r w:rsidRPr="005E7538">
        <w:rPr>
          <w:rFonts w:ascii="Arial" w:hAnsi="Arial"/>
          <w:sz w:val="22"/>
          <w:szCs w:val="22"/>
        </w:rPr>
        <w:t>glycopyrronium</w:t>
      </w:r>
      <w:proofErr w:type="spellEnd"/>
      <w:r w:rsidRPr="005E7538">
        <w:rPr>
          <w:rFonts w:ascii="Arial" w:hAnsi="Arial"/>
          <w:sz w:val="22"/>
          <w:szCs w:val="22"/>
        </w:rPr>
        <w:t xml:space="preserve"> 50 </w:t>
      </w:r>
      <w:r w:rsidRPr="005E7538">
        <w:rPr>
          <w:rFonts w:ascii="Arial" w:hAnsi="Arial" w:cs="Arial"/>
          <w:sz w:val="22"/>
          <w:szCs w:val="22"/>
        </w:rPr>
        <w:t>µ</w:t>
      </w:r>
      <w:r w:rsidRPr="005E7538">
        <w:rPr>
          <w:rFonts w:ascii="Arial" w:hAnsi="Arial"/>
          <w:sz w:val="22"/>
          <w:szCs w:val="22"/>
        </w:rPr>
        <w:t>g given concurrently</w:t>
      </w:r>
    </w:p>
    <w:p w:rsidR="005E7538" w:rsidRDefault="005E7538" w:rsidP="005E7538">
      <w:pPr>
        <w:pStyle w:val="ListParagraph"/>
        <w:numPr>
          <w:ilvl w:val="0"/>
          <w:numId w:val="40"/>
        </w:numPr>
        <w:jc w:val="both"/>
        <w:rPr>
          <w:rFonts w:ascii="Arial" w:hAnsi="Arial"/>
          <w:sz w:val="22"/>
          <w:szCs w:val="22"/>
        </w:rPr>
      </w:pPr>
      <w:proofErr w:type="spellStart"/>
      <w:r>
        <w:rPr>
          <w:rFonts w:ascii="Arial" w:hAnsi="Arial"/>
          <w:sz w:val="22"/>
          <w:szCs w:val="22"/>
        </w:rPr>
        <w:t>Indacaterol</w:t>
      </w:r>
      <w:proofErr w:type="spellEnd"/>
      <w:r>
        <w:rPr>
          <w:rFonts w:ascii="Arial" w:hAnsi="Arial"/>
          <w:sz w:val="22"/>
          <w:szCs w:val="22"/>
        </w:rPr>
        <w:t xml:space="preserve"> + </w:t>
      </w:r>
      <w:proofErr w:type="spellStart"/>
      <w:r>
        <w:rPr>
          <w:rFonts w:ascii="Arial" w:hAnsi="Arial"/>
          <w:sz w:val="22"/>
          <w:szCs w:val="22"/>
        </w:rPr>
        <w:t>tiotropium</w:t>
      </w:r>
      <w:proofErr w:type="spellEnd"/>
    </w:p>
    <w:p w:rsidR="005E7538" w:rsidRDefault="005E7538" w:rsidP="005E7538">
      <w:pPr>
        <w:pStyle w:val="ListParagraph"/>
        <w:numPr>
          <w:ilvl w:val="0"/>
          <w:numId w:val="40"/>
        </w:numPr>
        <w:jc w:val="both"/>
        <w:rPr>
          <w:rFonts w:ascii="Arial" w:hAnsi="Arial"/>
          <w:sz w:val="22"/>
          <w:szCs w:val="22"/>
        </w:rPr>
      </w:pPr>
      <w:r>
        <w:rPr>
          <w:rFonts w:ascii="Arial" w:hAnsi="Arial"/>
          <w:sz w:val="22"/>
          <w:szCs w:val="22"/>
        </w:rPr>
        <w:t xml:space="preserve">LABA/ICS plus </w:t>
      </w:r>
      <w:proofErr w:type="spellStart"/>
      <w:r>
        <w:rPr>
          <w:rFonts w:ascii="Arial" w:hAnsi="Arial"/>
          <w:sz w:val="22"/>
          <w:szCs w:val="22"/>
        </w:rPr>
        <w:t>tiotropium</w:t>
      </w:r>
      <w:proofErr w:type="spellEnd"/>
    </w:p>
    <w:p w:rsidR="005E7538" w:rsidRPr="005E7538" w:rsidRDefault="005E7538" w:rsidP="005E7538">
      <w:pPr>
        <w:pStyle w:val="ListParagraph"/>
        <w:numPr>
          <w:ilvl w:val="0"/>
          <w:numId w:val="40"/>
        </w:numPr>
        <w:jc w:val="both"/>
        <w:rPr>
          <w:rFonts w:ascii="Arial" w:hAnsi="Arial"/>
          <w:sz w:val="22"/>
          <w:szCs w:val="22"/>
        </w:rPr>
      </w:pPr>
      <w:proofErr w:type="spellStart"/>
      <w:r>
        <w:rPr>
          <w:rFonts w:ascii="Arial" w:hAnsi="Arial"/>
          <w:sz w:val="22"/>
          <w:szCs w:val="22"/>
        </w:rPr>
        <w:t>Indacaterol</w:t>
      </w:r>
      <w:proofErr w:type="spellEnd"/>
      <w:r>
        <w:rPr>
          <w:rFonts w:ascii="Arial" w:hAnsi="Arial"/>
          <w:sz w:val="22"/>
          <w:szCs w:val="22"/>
        </w:rPr>
        <w:t xml:space="preserve"> 150</w:t>
      </w:r>
      <w:r w:rsidRPr="005E7538">
        <w:rPr>
          <w:rFonts w:ascii="Arial" w:hAnsi="Arial" w:cs="Arial"/>
          <w:sz w:val="22"/>
          <w:szCs w:val="22"/>
        </w:rPr>
        <w:t xml:space="preserve"> </w:t>
      </w:r>
      <w:r>
        <w:rPr>
          <w:rFonts w:ascii="Arial" w:hAnsi="Arial" w:cs="Arial"/>
          <w:sz w:val="22"/>
          <w:szCs w:val="22"/>
        </w:rPr>
        <w:t>µ</w:t>
      </w:r>
      <w:r>
        <w:rPr>
          <w:rFonts w:ascii="Arial" w:hAnsi="Arial"/>
          <w:sz w:val="22"/>
          <w:szCs w:val="22"/>
        </w:rPr>
        <w:t xml:space="preserve">g and </w:t>
      </w:r>
      <w:proofErr w:type="spellStart"/>
      <w:r>
        <w:rPr>
          <w:rFonts w:ascii="Arial" w:hAnsi="Arial"/>
          <w:sz w:val="22"/>
          <w:szCs w:val="22"/>
        </w:rPr>
        <w:t>glycopyrronium</w:t>
      </w:r>
      <w:proofErr w:type="spellEnd"/>
      <w:r>
        <w:rPr>
          <w:rFonts w:ascii="Arial" w:hAnsi="Arial"/>
          <w:sz w:val="22"/>
          <w:szCs w:val="22"/>
        </w:rPr>
        <w:t xml:space="preserve"> 50 </w:t>
      </w:r>
      <w:r>
        <w:rPr>
          <w:rFonts w:ascii="Arial" w:hAnsi="Arial" w:cs="Arial"/>
          <w:sz w:val="22"/>
          <w:szCs w:val="22"/>
        </w:rPr>
        <w:t>µ</w:t>
      </w:r>
      <w:r>
        <w:rPr>
          <w:rFonts w:ascii="Arial" w:hAnsi="Arial"/>
          <w:sz w:val="22"/>
          <w:szCs w:val="22"/>
        </w:rPr>
        <w:t>g mono-components.</w:t>
      </w:r>
    </w:p>
    <w:p w:rsidR="005E7538" w:rsidRDefault="005E7538" w:rsidP="005E7538">
      <w:pPr>
        <w:jc w:val="both"/>
        <w:rPr>
          <w:rFonts w:ascii="Arial" w:hAnsi="Arial"/>
          <w:sz w:val="22"/>
          <w:szCs w:val="22"/>
        </w:rPr>
      </w:pPr>
    </w:p>
    <w:p w:rsidR="009F7A9F" w:rsidRPr="00DC2355" w:rsidRDefault="005E7538" w:rsidP="00DC2355">
      <w:pPr>
        <w:pStyle w:val="ListParagraph"/>
        <w:numPr>
          <w:ilvl w:val="1"/>
          <w:numId w:val="25"/>
        </w:numPr>
        <w:jc w:val="both"/>
        <w:rPr>
          <w:rFonts w:ascii="Arial" w:hAnsi="Arial"/>
          <w:sz w:val="22"/>
          <w:szCs w:val="22"/>
        </w:rPr>
      </w:pPr>
      <w:r w:rsidRPr="00DC2355">
        <w:rPr>
          <w:rFonts w:ascii="Arial" w:hAnsi="Arial"/>
          <w:sz w:val="22"/>
          <w:szCs w:val="22"/>
        </w:rPr>
        <w:t>In con</w:t>
      </w:r>
      <w:r w:rsidR="00D22BFC" w:rsidRPr="00DC2355">
        <w:rPr>
          <w:rFonts w:ascii="Arial" w:hAnsi="Arial"/>
          <w:sz w:val="22"/>
          <w:szCs w:val="22"/>
        </w:rPr>
        <w:t xml:space="preserve">sideration of the initial </w:t>
      </w:r>
      <w:r w:rsidRPr="00DC2355">
        <w:rPr>
          <w:rFonts w:ascii="Arial" w:hAnsi="Arial"/>
          <w:sz w:val="22"/>
          <w:szCs w:val="22"/>
        </w:rPr>
        <w:t xml:space="preserve">submission in March 2014, the PBAC considered the nominated comparators to be generally appropriate. </w:t>
      </w:r>
    </w:p>
    <w:p w:rsidR="009F7A9F" w:rsidRDefault="009F7A9F" w:rsidP="00DC2355">
      <w:pPr>
        <w:pStyle w:val="ListParagraph"/>
        <w:jc w:val="both"/>
        <w:rPr>
          <w:rFonts w:ascii="Arial" w:hAnsi="Arial"/>
          <w:sz w:val="22"/>
          <w:szCs w:val="22"/>
        </w:rPr>
      </w:pPr>
    </w:p>
    <w:p w:rsidR="005E7538" w:rsidRPr="00DC2355" w:rsidRDefault="009F7A9F" w:rsidP="00DC2355">
      <w:pPr>
        <w:pStyle w:val="ListParagraph"/>
        <w:numPr>
          <w:ilvl w:val="1"/>
          <w:numId w:val="25"/>
        </w:numPr>
        <w:jc w:val="both"/>
        <w:rPr>
          <w:rFonts w:ascii="Arial" w:hAnsi="Arial"/>
          <w:sz w:val="22"/>
          <w:szCs w:val="22"/>
        </w:rPr>
      </w:pPr>
      <w:r w:rsidRPr="00DC2355">
        <w:rPr>
          <w:rFonts w:ascii="Arial" w:hAnsi="Arial"/>
          <w:sz w:val="22"/>
          <w:szCs w:val="22"/>
        </w:rPr>
        <w:t>The PBAC</w:t>
      </w:r>
      <w:r>
        <w:rPr>
          <w:rFonts w:ascii="Arial" w:hAnsi="Arial"/>
          <w:sz w:val="22"/>
          <w:szCs w:val="22"/>
        </w:rPr>
        <w:t xml:space="preserve"> noted that </w:t>
      </w:r>
      <w:r w:rsidRPr="009F7A9F">
        <w:rPr>
          <w:rFonts w:ascii="Arial" w:hAnsi="Arial"/>
          <w:sz w:val="22"/>
          <w:szCs w:val="22"/>
        </w:rPr>
        <w:t>a second LAMA/LABA combination FDC</w:t>
      </w:r>
      <w:r>
        <w:rPr>
          <w:rFonts w:ascii="Arial" w:hAnsi="Arial"/>
          <w:sz w:val="22"/>
          <w:szCs w:val="22"/>
        </w:rPr>
        <w:t xml:space="preserve">, </w:t>
      </w:r>
      <w:proofErr w:type="spellStart"/>
      <w:r w:rsidRPr="009F7A9F">
        <w:rPr>
          <w:rFonts w:ascii="Arial" w:hAnsi="Arial"/>
          <w:sz w:val="22"/>
          <w:szCs w:val="22"/>
        </w:rPr>
        <w:t>umeclidinium</w:t>
      </w:r>
      <w:proofErr w:type="spellEnd"/>
      <w:r w:rsidRPr="009F7A9F">
        <w:rPr>
          <w:rFonts w:ascii="Arial" w:hAnsi="Arial"/>
          <w:sz w:val="22"/>
          <w:szCs w:val="22"/>
        </w:rPr>
        <w:t xml:space="preserve"> </w:t>
      </w:r>
      <w:r>
        <w:rPr>
          <w:rFonts w:ascii="Arial" w:hAnsi="Arial"/>
          <w:sz w:val="22"/>
          <w:szCs w:val="22"/>
        </w:rPr>
        <w:t>with</w:t>
      </w:r>
      <w:r w:rsidRPr="009F7A9F">
        <w:rPr>
          <w:rFonts w:ascii="Arial" w:hAnsi="Arial"/>
          <w:sz w:val="22"/>
          <w:szCs w:val="22"/>
        </w:rPr>
        <w:t xml:space="preserve"> </w:t>
      </w:r>
      <w:proofErr w:type="spellStart"/>
      <w:r w:rsidRPr="009F7A9F">
        <w:rPr>
          <w:rFonts w:ascii="Arial" w:hAnsi="Arial"/>
          <w:sz w:val="22"/>
          <w:szCs w:val="22"/>
        </w:rPr>
        <w:t>vilanterol</w:t>
      </w:r>
      <w:proofErr w:type="spellEnd"/>
      <w:r w:rsidRPr="009F7A9F">
        <w:rPr>
          <w:rFonts w:ascii="Arial" w:hAnsi="Arial"/>
          <w:sz w:val="22"/>
          <w:szCs w:val="22"/>
        </w:rPr>
        <w:t xml:space="preserve"> is also being considered by PBAC on this</w:t>
      </w:r>
      <w:r>
        <w:rPr>
          <w:rFonts w:ascii="Arial" w:hAnsi="Arial"/>
          <w:sz w:val="22"/>
          <w:szCs w:val="22"/>
        </w:rPr>
        <w:t xml:space="preserve"> agenda, and considered this also an appropriate comparator.</w:t>
      </w:r>
    </w:p>
    <w:p w:rsidR="00BB7EC3" w:rsidRDefault="00BB7EC3" w:rsidP="008D447E">
      <w:pPr>
        <w:jc w:val="both"/>
        <w:rPr>
          <w:rFonts w:ascii="Arial" w:hAnsi="Arial"/>
          <w:sz w:val="22"/>
          <w:szCs w:val="22"/>
        </w:rPr>
      </w:pPr>
    </w:p>
    <w:p w:rsid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90AC8" w:rsidRPr="00BB7EC3" w:rsidRDefault="00C90AC8" w:rsidP="00BB7EC3">
      <w:pPr>
        <w:pStyle w:val="ListParagraph"/>
        <w:ind w:left="709"/>
        <w:jc w:val="both"/>
        <w:rPr>
          <w:rFonts w:ascii="Arial" w:hAnsi="Arial"/>
          <w:i/>
          <w:sz w:val="22"/>
          <w:szCs w:val="22"/>
        </w:rPr>
      </w:pPr>
    </w:p>
    <w:p w:rsidR="00DF26A7" w:rsidRPr="00DC7944" w:rsidRDefault="00DF26A7" w:rsidP="00DC7944">
      <w:pPr>
        <w:jc w:val="both"/>
        <w:rPr>
          <w:rFonts w:ascii="Arial" w:hAnsi="Arial"/>
          <w:sz w:val="22"/>
          <w:szCs w:val="22"/>
        </w:rPr>
      </w:pPr>
    </w:p>
    <w:p w:rsidR="00DC7944" w:rsidRPr="00407F2D" w:rsidRDefault="00DC7944" w:rsidP="00DC794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Default="006A12A5" w:rsidP="00882085">
      <w:pPr>
        <w:jc w:val="both"/>
        <w:rPr>
          <w:rFonts w:ascii="Arial" w:hAnsi="Arial"/>
          <w:i/>
          <w:sz w:val="22"/>
          <w:szCs w:val="22"/>
        </w:rPr>
      </w:pPr>
    </w:p>
    <w:p w:rsidR="00907FF8" w:rsidRDefault="00907FF8" w:rsidP="00882085">
      <w:pPr>
        <w:jc w:val="both"/>
        <w:rPr>
          <w:rFonts w:ascii="Arial" w:hAnsi="Arial"/>
          <w:b/>
          <w:i/>
          <w:sz w:val="22"/>
          <w:szCs w:val="22"/>
        </w:rPr>
      </w:pPr>
      <w:r>
        <w:rPr>
          <w:rFonts w:ascii="Arial" w:hAnsi="Arial"/>
          <w:b/>
          <w:i/>
          <w:sz w:val="22"/>
          <w:szCs w:val="22"/>
        </w:rPr>
        <w:t>Sponsor hearing</w:t>
      </w:r>
    </w:p>
    <w:p w:rsidR="00907FF8" w:rsidRPr="00907FF8" w:rsidRDefault="00907FF8" w:rsidP="00882085">
      <w:pPr>
        <w:jc w:val="both"/>
        <w:rPr>
          <w:rFonts w:ascii="Arial" w:hAnsi="Arial"/>
          <w:b/>
          <w:i/>
          <w:sz w:val="22"/>
          <w:szCs w:val="22"/>
        </w:rPr>
      </w:pPr>
    </w:p>
    <w:p w:rsidR="00D22BFC" w:rsidRPr="00DC7944" w:rsidRDefault="00D22BFC" w:rsidP="00DC7944">
      <w:pPr>
        <w:pStyle w:val="ListParagraph"/>
        <w:numPr>
          <w:ilvl w:val="1"/>
          <w:numId w:val="25"/>
        </w:numPr>
        <w:jc w:val="both"/>
        <w:rPr>
          <w:rFonts w:ascii="Arial" w:hAnsi="Arial"/>
          <w:sz w:val="22"/>
          <w:szCs w:val="22"/>
        </w:rPr>
      </w:pPr>
      <w:r w:rsidRPr="00DC7944">
        <w:rPr>
          <w:rFonts w:ascii="Arial" w:hAnsi="Arial"/>
          <w:sz w:val="22"/>
          <w:szCs w:val="22"/>
        </w:rPr>
        <w:t xml:space="preserve">There was no hearing for this item. </w:t>
      </w:r>
    </w:p>
    <w:p w:rsidR="00D22BFC" w:rsidRDefault="00D22BFC" w:rsidP="00D22BFC">
      <w:pPr>
        <w:jc w:val="both"/>
        <w:rPr>
          <w:rFonts w:ascii="Arial" w:hAnsi="Arial"/>
          <w:b/>
          <w:i/>
          <w:sz w:val="22"/>
          <w:szCs w:val="22"/>
        </w:rPr>
      </w:pPr>
    </w:p>
    <w:p w:rsidR="00D22BFC" w:rsidRPr="00D22BFC" w:rsidRDefault="00D22BFC" w:rsidP="00D22BFC">
      <w:pPr>
        <w:jc w:val="both"/>
        <w:rPr>
          <w:rFonts w:ascii="Arial" w:hAnsi="Arial"/>
          <w:b/>
          <w:i/>
          <w:sz w:val="22"/>
          <w:szCs w:val="22"/>
        </w:rPr>
      </w:pPr>
      <w:r w:rsidRPr="00D22BFC">
        <w:rPr>
          <w:rFonts w:ascii="Arial" w:hAnsi="Arial"/>
          <w:b/>
          <w:i/>
          <w:sz w:val="22"/>
          <w:szCs w:val="22"/>
        </w:rPr>
        <w:t>Consumer comments</w:t>
      </w:r>
    </w:p>
    <w:p w:rsidR="00D22BFC" w:rsidRPr="00D22BFC" w:rsidRDefault="00D22BFC" w:rsidP="00D22BFC">
      <w:pPr>
        <w:jc w:val="both"/>
        <w:rPr>
          <w:rFonts w:ascii="Arial" w:hAnsi="Arial"/>
          <w:sz w:val="22"/>
          <w:szCs w:val="22"/>
        </w:rPr>
      </w:pPr>
    </w:p>
    <w:p w:rsidR="00D22BFC" w:rsidRPr="00DC7944" w:rsidRDefault="00D22BFC"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PBAC noted the input from one </w:t>
      </w:r>
      <w:r w:rsidR="003C6678" w:rsidRPr="00DC7944">
        <w:rPr>
          <w:rFonts w:ascii="Arial" w:hAnsi="Arial"/>
          <w:sz w:val="22"/>
          <w:szCs w:val="22"/>
        </w:rPr>
        <w:t>healthcare professional</w:t>
      </w:r>
      <w:r w:rsidRPr="00DC7944">
        <w:rPr>
          <w:rFonts w:ascii="Arial" w:hAnsi="Arial"/>
          <w:sz w:val="22"/>
          <w:szCs w:val="22"/>
        </w:rPr>
        <w:t xml:space="preserve"> on the PBS website expressing that LABA/LAMA in one device would improve the management of COPD patients requiring two classes of bronchodilator. </w:t>
      </w:r>
    </w:p>
    <w:p w:rsidR="00D22BFC" w:rsidRDefault="00D22BFC" w:rsidP="00D22BFC">
      <w:pPr>
        <w:pStyle w:val="ListParagraph"/>
        <w:ind w:left="709"/>
        <w:jc w:val="both"/>
        <w:rPr>
          <w:rFonts w:ascii="Arial" w:hAnsi="Arial"/>
          <w:sz w:val="22"/>
          <w:szCs w:val="22"/>
        </w:rPr>
      </w:pPr>
    </w:p>
    <w:p w:rsidR="003A611C" w:rsidRDefault="00BB7EC3" w:rsidP="003C6678">
      <w:pPr>
        <w:ind w:firstLine="709"/>
        <w:jc w:val="both"/>
        <w:rPr>
          <w:rFonts w:ascii="Arial" w:hAnsi="Arial"/>
          <w:b/>
          <w:i/>
          <w:sz w:val="22"/>
          <w:szCs w:val="22"/>
        </w:rPr>
      </w:pPr>
      <w:r w:rsidRPr="003A611C">
        <w:rPr>
          <w:rFonts w:ascii="Arial" w:hAnsi="Arial"/>
          <w:i/>
          <w:sz w:val="22"/>
          <w:szCs w:val="22"/>
        </w:rPr>
        <w:t>For more detail on PBAC’s vi</w:t>
      </w:r>
      <w:r w:rsidR="003C6678">
        <w:rPr>
          <w:rFonts w:ascii="Arial" w:hAnsi="Arial"/>
          <w:i/>
          <w:sz w:val="22"/>
          <w:szCs w:val="22"/>
        </w:rPr>
        <w:t>ew, see section 7 “PBAC outcome”</w:t>
      </w:r>
    </w:p>
    <w:p w:rsidR="003A611C" w:rsidRDefault="003A611C" w:rsidP="00882085">
      <w:pPr>
        <w:jc w:val="both"/>
        <w:rPr>
          <w:rFonts w:ascii="Arial" w:hAnsi="Arial"/>
          <w:b/>
          <w:i/>
          <w:sz w:val="22"/>
          <w:szCs w:val="22"/>
        </w:rPr>
      </w:pPr>
    </w:p>
    <w:p w:rsidR="00B43E90" w:rsidRPr="00882085" w:rsidRDefault="00B43E90" w:rsidP="00882085">
      <w:pPr>
        <w:jc w:val="both"/>
        <w:rPr>
          <w:rFonts w:ascii="Arial" w:hAnsi="Arial"/>
          <w:b/>
          <w:i/>
          <w:sz w:val="22"/>
          <w:szCs w:val="22"/>
        </w:rPr>
      </w:pPr>
      <w:r w:rsidRPr="00882085">
        <w:rPr>
          <w:rFonts w:ascii="Arial" w:hAnsi="Arial"/>
          <w:b/>
          <w:i/>
          <w:sz w:val="22"/>
          <w:szCs w:val="22"/>
        </w:rPr>
        <w:t>Clinical trials</w:t>
      </w:r>
    </w:p>
    <w:p w:rsidR="002B1AE6" w:rsidRPr="00882085" w:rsidRDefault="002B1AE6" w:rsidP="00882085">
      <w:pPr>
        <w:jc w:val="both"/>
        <w:rPr>
          <w:rFonts w:ascii="Arial" w:hAnsi="Arial"/>
          <w:sz w:val="22"/>
          <w:szCs w:val="22"/>
        </w:rPr>
      </w:pPr>
    </w:p>
    <w:p w:rsidR="005E7538" w:rsidRPr="00DC7944" w:rsidRDefault="005E7538" w:rsidP="00DC7944">
      <w:pPr>
        <w:pStyle w:val="ListParagraph"/>
        <w:numPr>
          <w:ilvl w:val="1"/>
          <w:numId w:val="25"/>
        </w:numPr>
        <w:jc w:val="both"/>
        <w:rPr>
          <w:rFonts w:ascii="Arial" w:hAnsi="Arial"/>
          <w:sz w:val="22"/>
          <w:szCs w:val="22"/>
        </w:rPr>
      </w:pPr>
      <w:r w:rsidRPr="00DC7944">
        <w:rPr>
          <w:rFonts w:ascii="Arial" w:hAnsi="Arial" w:cs="Arial"/>
          <w:snapToGrid w:val="0"/>
          <w:sz w:val="22"/>
          <w:szCs w:val="22"/>
          <w:lang w:eastAsia="en-US"/>
        </w:rPr>
        <w:t xml:space="preserve">The </w:t>
      </w:r>
      <w:r w:rsidR="003A611C" w:rsidRPr="00DC7944">
        <w:rPr>
          <w:rFonts w:ascii="Arial" w:hAnsi="Arial" w:cs="Arial"/>
          <w:snapToGrid w:val="0"/>
          <w:sz w:val="22"/>
          <w:szCs w:val="22"/>
          <w:lang w:eastAsia="en-US"/>
        </w:rPr>
        <w:t>re</w:t>
      </w:r>
      <w:r w:rsidRPr="00DC7944">
        <w:rPr>
          <w:rFonts w:ascii="Arial" w:hAnsi="Arial" w:cs="Arial"/>
          <w:snapToGrid w:val="0"/>
          <w:sz w:val="22"/>
          <w:szCs w:val="22"/>
          <w:lang w:eastAsia="en-US"/>
        </w:rPr>
        <w:t>submission does not present any new clinical data. There is a new utilisation study (using General Practice data collected through the Sydney University Family Medicines Research Centre (BEACH-SAND) data collection). This study provides the basis for a new pricing proposal.</w:t>
      </w:r>
    </w:p>
    <w:p w:rsidR="003A611C" w:rsidRPr="003A611C" w:rsidRDefault="003A611C" w:rsidP="003A611C">
      <w:pPr>
        <w:pStyle w:val="ListParagraph"/>
        <w:ind w:left="709"/>
        <w:jc w:val="both"/>
        <w:rPr>
          <w:rFonts w:ascii="Arial" w:hAnsi="Arial"/>
          <w:sz w:val="22"/>
          <w:szCs w:val="22"/>
        </w:rPr>
      </w:pPr>
    </w:p>
    <w:p w:rsidR="009F5F2E" w:rsidRPr="00DC7944" w:rsidRDefault="003A611C" w:rsidP="00DC7944">
      <w:pPr>
        <w:pStyle w:val="ListParagraph"/>
        <w:numPr>
          <w:ilvl w:val="1"/>
          <w:numId w:val="25"/>
        </w:numPr>
        <w:jc w:val="both"/>
        <w:rPr>
          <w:rFonts w:ascii="Arial" w:hAnsi="Arial"/>
          <w:sz w:val="22"/>
          <w:szCs w:val="22"/>
        </w:rPr>
      </w:pPr>
      <w:r w:rsidRPr="00DC7944">
        <w:rPr>
          <w:rFonts w:ascii="Arial" w:hAnsi="Arial" w:cs="Arial"/>
          <w:color w:val="000000"/>
          <w:sz w:val="22"/>
          <w:szCs w:val="20"/>
        </w:rPr>
        <w:t xml:space="preserve">The submission proposes that patients would use </w:t>
      </w:r>
      <w:proofErr w:type="spellStart"/>
      <w:r w:rsidRPr="00DC7944">
        <w:rPr>
          <w:rFonts w:ascii="Arial" w:hAnsi="Arial" w:cs="Arial"/>
          <w:color w:val="000000"/>
          <w:sz w:val="22"/>
          <w:szCs w:val="20"/>
        </w:rPr>
        <w:t>indacaterol</w:t>
      </w:r>
      <w:proofErr w:type="spellEnd"/>
      <w:r w:rsidRPr="00DC7944">
        <w:rPr>
          <w:rFonts w:ascii="Arial" w:hAnsi="Arial" w:cs="Arial"/>
          <w:color w:val="000000"/>
          <w:sz w:val="22"/>
          <w:szCs w:val="20"/>
        </w:rPr>
        <w:t>/</w:t>
      </w:r>
      <w:proofErr w:type="spellStart"/>
      <w:r w:rsidRPr="00DC7944">
        <w:rPr>
          <w:rFonts w:ascii="Arial" w:hAnsi="Arial" w:cs="Arial"/>
          <w:color w:val="000000"/>
          <w:sz w:val="22"/>
          <w:szCs w:val="20"/>
        </w:rPr>
        <w:t>glycopyrronium</w:t>
      </w:r>
      <w:proofErr w:type="spellEnd"/>
      <w:r w:rsidRPr="00DC7944">
        <w:rPr>
          <w:rFonts w:ascii="Arial" w:hAnsi="Arial" w:cs="Arial"/>
          <w:color w:val="000000"/>
          <w:sz w:val="22"/>
          <w:szCs w:val="20"/>
        </w:rPr>
        <w:t xml:space="preserve"> to add a second agent despite the BEACH Report indicating that some patients commenced on combination therapy. </w:t>
      </w:r>
    </w:p>
    <w:p w:rsidR="00C90AC8" w:rsidRPr="00C90AC8" w:rsidRDefault="00C90AC8" w:rsidP="00C90AC8">
      <w:pPr>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882085" w:rsidRDefault="00882085" w:rsidP="00882085">
      <w:pPr>
        <w:jc w:val="both"/>
        <w:rPr>
          <w:rFonts w:ascii="Arial" w:hAnsi="Arial"/>
          <w:b/>
          <w:i/>
          <w:sz w:val="22"/>
          <w:szCs w:val="22"/>
        </w:rPr>
      </w:pPr>
    </w:p>
    <w:p w:rsidR="005A3173" w:rsidRPr="00882085" w:rsidRDefault="005A3173" w:rsidP="00882085">
      <w:pPr>
        <w:jc w:val="both"/>
        <w:rPr>
          <w:rFonts w:ascii="Arial" w:hAnsi="Arial"/>
          <w:b/>
          <w:i/>
          <w:sz w:val="22"/>
          <w:szCs w:val="22"/>
        </w:rPr>
      </w:pPr>
      <w:r w:rsidRPr="00882085">
        <w:rPr>
          <w:rFonts w:ascii="Arial" w:hAnsi="Arial"/>
          <w:b/>
          <w:i/>
          <w:sz w:val="22"/>
          <w:szCs w:val="22"/>
        </w:rPr>
        <w:t>Clinical claim</w:t>
      </w:r>
    </w:p>
    <w:p w:rsidR="005A3173" w:rsidRPr="00882085" w:rsidRDefault="005A3173" w:rsidP="00882085">
      <w:pPr>
        <w:ind w:left="720" w:hanging="720"/>
        <w:jc w:val="both"/>
        <w:rPr>
          <w:rFonts w:ascii="Arial" w:hAnsi="Arial"/>
          <w:sz w:val="22"/>
          <w:szCs w:val="22"/>
        </w:rPr>
      </w:pPr>
    </w:p>
    <w:p w:rsidR="00BB7EC3" w:rsidRPr="00DC7944" w:rsidRDefault="0011348F" w:rsidP="00DC7944">
      <w:pPr>
        <w:pStyle w:val="ListParagraph"/>
        <w:numPr>
          <w:ilvl w:val="1"/>
          <w:numId w:val="25"/>
        </w:numPr>
        <w:jc w:val="both"/>
        <w:rPr>
          <w:rFonts w:ascii="Arial" w:hAnsi="Arial"/>
          <w:sz w:val="22"/>
          <w:szCs w:val="22"/>
        </w:rPr>
      </w:pPr>
      <w:r w:rsidRPr="00DC7944">
        <w:rPr>
          <w:rFonts w:ascii="Arial" w:hAnsi="Arial"/>
          <w:sz w:val="22"/>
          <w:szCs w:val="22"/>
        </w:rPr>
        <w:t>As for the March 2014 submission, this submis</w:t>
      </w:r>
      <w:r w:rsidR="001704A5" w:rsidRPr="00DC7944">
        <w:rPr>
          <w:rFonts w:ascii="Arial" w:hAnsi="Arial"/>
          <w:sz w:val="22"/>
          <w:szCs w:val="22"/>
        </w:rPr>
        <w:t xml:space="preserve">sion claimed that </w:t>
      </w:r>
      <w:proofErr w:type="spellStart"/>
      <w:r w:rsidR="001704A5" w:rsidRPr="00DC7944">
        <w:rPr>
          <w:rFonts w:ascii="Arial" w:hAnsi="Arial"/>
          <w:sz w:val="22"/>
          <w:szCs w:val="22"/>
        </w:rPr>
        <w:t>indacaterol</w:t>
      </w:r>
      <w:proofErr w:type="spellEnd"/>
      <w:r w:rsidR="001704A5" w:rsidRPr="00DC7944">
        <w:rPr>
          <w:rFonts w:ascii="Arial" w:hAnsi="Arial"/>
          <w:sz w:val="22"/>
          <w:szCs w:val="22"/>
        </w:rPr>
        <w:t>/</w:t>
      </w:r>
      <w:proofErr w:type="spellStart"/>
      <w:r w:rsidRPr="00DC7944">
        <w:rPr>
          <w:rFonts w:ascii="Arial" w:hAnsi="Arial"/>
          <w:sz w:val="22"/>
          <w:szCs w:val="22"/>
        </w:rPr>
        <w:t>glycopyrronium</w:t>
      </w:r>
      <w:proofErr w:type="spellEnd"/>
      <w:r w:rsidRPr="00DC7944">
        <w:rPr>
          <w:rFonts w:ascii="Arial" w:hAnsi="Arial"/>
          <w:sz w:val="22"/>
          <w:szCs w:val="22"/>
        </w:rPr>
        <w:t xml:space="preserve"> is superior in terms of comparative effectiveness and equivalent in terms of safety over either of the components given as monotherapy. </w:t>
      </w:r>
    </w:p>
    <w:p w:rsidR="00007A9C" w:rsidRDefault="00007A9C" w:rsidP="00007A9C">
      <w:pPr>
        <w:pStyle w:val="ListParagraph"/>
        <w:ind w:left="0"/>
        <w:jc w:val="both"/>
      </w:pPr>
    </w:p>
    <w:p w:rsidR="00BB7EC3" w:rsidRPr="00DC7944" w:rsidRDefault="00007A9C" w:rsidP="00DC7944">
      <w:pPr>
        <w:pStyle w:val="ListParagraph"/>
        <w:numPr>
          <w:ilvl w:val="1"/>
          <w:numId w:val="25"/>
        </w:numPr>
        <w:jc w:val="both"/>
        <w:rPr>
          <w:rFonts w:ascii="Arial" w:hAnsi="Arial"/>
          <w:sz w:val="22"/>
          <w:szCs w:val="22"/>
        </w:rPr>
      </w:pPr>
      <w:r w:rsidRPr="00DC7944">
        <w:rPr>
          <w:rFonts w:ascii="Arial" w:hAnsi="Arial"/>
          <w:sz w:val="22"/>
          <w:szCs w:val="22"/>
        </w:rPr>
        <w:t>The PBAC considered that the claim of superiority for the FDC, in terms of additional change in FEV</w:t>
      </w:r>
      <w:r w:rsidRPr="00DC7944">
        <w:rPr>
          <w:rFonts w:ascii="Arial" w:hAnsi="Arial"/>
          <w:sz w:val="22"/>
          <w:szCs w:val="22"/>
          <w:vertAlign w:val="subscript"/>
        </w:rPr>
        <w:t>1</w:t>
      </w:r>
      <w:r w:rsidRPr="00DC7944">
        <w:rPr>
          <w:rFonts w:ascii="Arial" w:hAnsi="Arial"/>
          <w:sz w:val="22"/>
          <w:szCs w:val="22"/>
        </w:rPr>
        <w:t xml:space="preserve"> was supported by the data, but that the change was not clinically significant based on the previous definition of minimum clinically important difference used by the Committee.</w:t>
      </w:r>
    </w:p>
    <w:p w:rsidR="00BB7EC3" w:rsidRPr="0084056E" w:rsidRDefault="00BB7EC3" w:rsidP="00BB7EC3">
      <w:pPr>
        <w:pStyle w:val="ListParagraph"/>
        <w:rPr>
          <w:rFonts w:ascii="Arial" w:hAnsi="Arial"/>
          <w:sz w:val="22"/>
          <w:szCs w:val="22"/>
        </w:rPr>
      </w:pPr>
    </w:p>
    <w:p w:rsidR="00BB7EC3" w:rsidRPr="00DC7944" w:rsidRDefault="00BB7EC3" w:rsidP="00DC7944">
      <w:pPr>
        <w:pStyle w:val="ListParagraph"/>
        <w:numPr>
          <w:ilvl w:val="1"/>
          <w:numId w:val="25"/>
        </w:numPr>
        <w:jc w:val="both"/>
        <w:rPr>
          <w:rFonts w:ascii="Arial" w:hAnsi="Arial"/>
          <w:sz w:val="22"/>
          <w:szCs w:val="22"/>
        </w:rPr>
      </w:pPr>
      <w:r w:rsidRPr="00DC7944">
        <w:rPr>
          <w:rFonts w:ascii="Arial" w:hAnsi="Arial"/>
          <w:sz w:val="22"/>
          <w:szCs w:val="22"/>
        </w:rPr>
        <w:t>The PBAC consid</w:t>
      </w:r>
      <w:r w:rsidR="0084056E" w:rsidRPr="00DC7944">
        <w:rPr>
          <w:rFonts w:ascii="Arial" w:hAnsi="Arial"/>
          <w:sz w:val="22"/>
          <w:szCs w:val="22"/>
        </w:rPr>
        <w:t xml:space="preserve">ered that the claim of </w:t>
      </w:r>
      <w:r w:rsidRPr="00DC7944">
        <w:rPr>
          <w:rFonts w:ascii="Arial" w:hAnsi="Arial"/>
          <w:sz w:val="22"/>
          <w:szCs w:val="22"/>
        </w:rPr>
        <w:t>non-inferior comparative safety was reasonable</w:t>
      </w:r>
      <w:r w:rsidR="0084056E" w:rsidRPr="00DC7944">
        <w:rPr>
          <w:rFonts w:ascii="Arial" w:hAnsi="Arial"/>
          <w:sz w:val="22"/>
          <w:szCs w:val="22"/>
        </w:rPr>
        <w:t>.</w:t>
      </w:r>
    </w:p>
    <w:p w:rsidR="005435EC" w:rsidRPr="000B6530" w:rsidRDefault="005435EC" w:rsidP="000B6530">
      <w:pPr>
        <w:pStyle w:val="ListParagraph"/>
        <w:rPr>
          <w:rFonts w:ascii="Arial" w:hAnsi="Arial"/>
          <w:sz w:val="22"/>
          <w:szCs w:val="22"/>
        </w:rPr>
      </w:pPr>
    </w:p>
    <w:p w:rsidR="005435EC" w:rsidRPr="00DC7944" w:rsidRDefault="005435EC" w:rsidP="00DC7944">
      <w:pPr>
        <w:pStyle w:val="ListParagraph"/>
        <w:numPr>
          <w:ilvl w:val="1"/>
          <w:numId w:val="25"/>
        </w:numPr>
        <w:jc w:val="both"/>
        <w:rPr>
          <w:rFonts w:ascii="Arial" w:hAnsi="Arial"/>
          <w:sz w:val="22"/>
          <w:szCs w:val="22"/>
        </w:rPr>
      </w:pPr>
      <w:r w:rsidRPr="00DC7944">
        <w:rPr>
          <w:rFonts w:ascii="Arial" w:hAnsi="Arial"/>
          <w:sz w:val="22"/>
          <w:szCs w:val="22"/>
        </w:rPr>
        <w:t>The PBAC noted that while improvement in FEV</w:t>
      </w:r>
      <w:r w:rsidRPr="00DC7944">
        <w:rPr>
          <w:rFonts w:ascii="Arial" w:hAnsi="Arial"/>
          <w:sz w:val="22"/>
          <w:szCs w:val="22"/>
          <w:vertAlign w:val="subscript"/>
        </w:rPr>
        <w:t>1</w:t>
      </w:r>
      <w:r w:rsidRPr="00DC7944">
        <w:rPr>
          <w:rFonts w:ascii="Arial" w:hAnsi="Arial"/>
          <w:sz w:val="22"/>
          <w:szCs w:val="22"/>
        </w:rPr>
        <w:t xml:space="preserve"> has previously been accepted as a surrogate outcome in the treatment of COPD, they were concerned that this may not translate into clinically meaningful benefits to the patient.  The PBAC noted that reduction in exacerbations and hospitalisations are outcomes that could potentially be used to measure effectiveness of COPD therapies</w:t>
      </w:r>
    </w:p>
    <w:p w:rsidR="005435EC" w:rsidRPr="000B6530" w:rsidRDefault="005435EC" w:rsidP="000B6530">
      <w:pPr>
        <w:pStyle w:val="ListParagraph"/>
        <w:rPr>
          <w:rFonts w:ascii="Arial" w:hAnsi="Arial"/>
          <w:sz w:val="22"/>
          <w:szCs w:val="22"/>
        </w:rPr>
      </w:pPr>
    </w:p>
    <w:p w:rsidR="005435EC" w:rsidRPr="00DC7944" w:rsidRDefault="005435EC"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PBAC recalled that in March 2014, </w:t>
      </w:r>
      <w:proofErr w:type="spellStart"/>
      <w:r w:rsidRPr="00DC7944">
        <w:rPr>
          <w:rFonts w:ascii="Arial" w:hAnsi="Arial"/>
          <w:sz w:val="22"/>
          <w:szCs w:val="22"/>
        </w:rPr>
        <w:t>aclidinium</w:t>
      </w:r>
      <w:proofErr w:type="spellEnd"/>
      <w:r w:rsidRPr="00DC7944">
        <w:rPr>
          <w:rFonts w:ascii="Arial" w:hAnsi="Arial"/>
          <w:sz w:val="22"/>
          <w:szCs w:val="22"/>
        </w:rPr>
        <w:t xml:space="preserve"> (a LAMA), was recommended for listing on the PBS at the lower price requested by the sponsor. The PBAC noted that the Department’s advice at the meeting that the Minister (through his Delegate) intends to declare </w:t>
      </w:r>
      <w:proofErr w:type="spellStart"/>
      <w:r w:rsidRPr="00DC7944">
        <w:rPr>
          <w:rFonts w:ascii="Arial" w:hAnsi="Arial"/>
          <w:sz w:val="22"/>
          <w:szCs w:val="22"/>
        </w:rPr>
        <w:t>aclidinium</w:t>
      </w:r>
      <w:proofErr w:type="spellEnd"/>
      <w:r w:rsidRPr="00DC7944">
        <w:rPr>
          <w:rFonts w:ascii="Arial" w:hAnsi="Arial"/>
          <w:sz w:val="22"/>
          <w:szCs w:val="22"/>
        </w:rPr>
        <w:t xml:space="preserve"> as a pharmaceutical benefit under section 85(2) of the </w:t>
      </w:r>
      <w:r w:rsidRPr="00DC7944">
        <w:rPr>
          <w:rFonts w:ascii="Arial" w:hAnsi="Arial"/>
          <w:i/>
          <w:sz w:val="22"/>
          <w:szCs w:val="22"/>
        </w:rPr>
        <w:t>National Health Act 1953</w:t>
      </w:r>
      <w:r w:rsidRPr="00DC7944">
        <w:rPr>
          <w:rFonts w:ascii="Arial" w:hAnsi="Arial"/>
          <w:sz w:val="22"/>
          <w:szCs w:val="22"/>
        </w:rPr>
        <w:t xml:space="preserve"> and that the PBS listing will proceed with the lower price.  As the main comparators in this submission, </w:t>
      </w:r>
      <w:proofErr w:type="spellStart"/>
      <w:r w:rsidRPr="00DC7944">
        <w:rPr>
          <w:rFonts w:ascii="Arial" w:hAnsi="Arial"/>
          <w:sz w:val="22"/>
          <w:szCs w:val="22"/>
        </w:rPr>
        <w:t>indacaterol</w:t>
      </w:r>
      <w:proofErr w:type="spellEnd"/>
      <w:r w:rsidRPr="00DC7944">
        <w:rPr>
          <w:rFonts w:ascii="Arial" w:hAnsi="Arial"/>
          <w:sz w:val="22"/>
          <w:szCs w:val="22"/>
        </w:rPr>
        <w:t xml:space="preserve"> and </w:t>
      </w:r>
      <w:proofErr w:type="spellStart"/>
      <w:r w:rsidRPr="00DC7944">
        <w:rPr>
          <w:rFonts w:ascii="Arial" w:hAnsi="Arial"/>
          <w:sz w:val="22"/>
          <w:szCs w:val="22"/>
        </w:rPr>
        <w:t>tio</w:t>
      </w:r>
      <w:r w:rsidR="000B6530" w:rsidRPr="00DC7944">
        <w:rPr>
          <w:rFonts w:ascii="Arial" w:hAnsi="Arial"/>
          <w:sz w:val="22"/>
          <w:szCs w:val="22"/>
        </w:rPr>
        <w:t>tropium</w:t>
      </w:r>
      <w:proofErr w:type="spellEnd"/>
      <w:r w:rsidR="000B6530" w:rsidRPr="00DC7944">
        <w:rPr>
          <w:rFonts w:ascii="Arial" w:hAnsi="Arial"/>
          <w:sz w:val="22"/>
          <w:szCs w:val="22"/>
        </w:rPr>
        <w:t xml:space="preserve"> are cost-minimised to </w:t>
      </w:r>
      <w:proofErr w:type="spellStart"/>
      <w:r w:rsidR="000B6530" w:rsidRPr="00DC7944">
        <w:rPr>
          <w:rFonts w:ascii="Arial" w:hAnsi="Arial"/>
          <w:sz w:val="22"/>
          <w:szCs w:val="22"/>
        </w:rPr>
        <w:t>a</w:t>
      </w:r>
      <w:r w:rsidRPr="00DC7944">
        <w:rPr>
          <w:rFonts w:ascii="Arial" w:hAnsi="Arial"/>
          <w:sz w:val="22"/>
          <w:szCs w:val="22"/>
        </w:rPr>
        <w:t>c</w:t>
      </w:r>
      <w:r w:rsidR="000B6530" w:rsidRPr="00DC7944">
        <w:rPr>
          <w:rFonts w:ascii="Arial" w:hAnsi="Arial"/>
          <w:sz w:val="22"/>
          <w:szCs w:val="22"/>
        </w:rPr>
        <w:t>l</w:t>
      </w:r>
      <w:r w:rsidRPr="00DC7944">
        <w:rPr>
          <w:rFonts w:ascii="Arial" w:hAnsi="Arial"/>
          <w:sz w:val="22"/>
          <w:szCs w:val="22"/>
        </w:rPr>
        <w:t>idinium</w:t>
      </w:r>
      <w:proofErr w:type="spellEnd"/>
      <w:r w:rsidRPr="00DC7944">
        <w:rPr>
          <w:rFonts w:ascii="Arial" w:hAnsi="Arial"/>
          <w:sz w:val="22"/>
          <w:szCs w:val="22"/>
        </w:rPr>
        <w:t xml:space="preserve"> (the former via </w:t>
      </w:r>
      <w:proofErr w:type="spellStart"/>
      <w:r w:rsidRPr="00DC7944">
        <w:rPr>
          <w:rFonts w:ascii="Arial" w:hAnsi="Arial"/>
          <w:sz w:val="22"/>
          <w:szCs w:val="22"/>
        </w:rPr>
        <w:t>tiotropium</w:t>
      </w:r>
      <w:proofErr w:type="spellEnd"/>
      <w:r w:rsidRPr="00DC7944">
        <w:rPr>
          <w:rFonts w:ascii="Arial" w:hAnsi="Arial"/>
          <w:sz w:val="22"/>
          <w:szCs w:val="22"/>
        </w:rPr>
        <w:t>)</w:t>
      </w:r>
      <w:proofErr w:type="gramStart"/>
      <w:r w:rsidRPr="00DC7944">
        <w:rPr>
          <w:rFonts w:ascii="Arial" w:hAnsi="Arial"/>
          <w:sz w:val="22"/>
          <w:szCs w:val="22"/>
        </w:rPr>
        <w:t>,</w:t>
      </w:r>
      <w:proofErr w:type="gramEnd"/>
      <w:r w:rsidRPr="00DC7944">
        <w:rPr>
          <w:rFonts w:ascii="Arial" w:hAnsi="Arial"/>
          <w:sz w:val="22"/>
          <w:szCs w:val="22"/>
        </w:rPr>
        <w:t xml:space="preserve"> the PBAC considered it is appropriate for the new lower </w:t>
      </w:r>
      <w:proofErr w:type="spellStart"/>
      <w:r w:rsidRPr="00DC7944">
        <w:rPr>
          <w:rFonts w:ascii="Arial" w:hAnsi="Arial"/>
          <w:sz w:val="22"/>
          <w:szCs w:val="22"/>
        </w:rPr>
        <w:t>aclidinium</w:t>
      </w:r>
      <w:proofErr w:type="spellEnd"/>
      <w:r w:rsidRPr="00DC7944">
        <w:rPr>
          <w:rFonts w:ascii="Arial" w:hAnsi="Arial"/>
          <w:sz w:val="22"/>
          <w:szCs w:val="22"/>
        </w:rPr>
        <w:t xml:space="preserve"> price to be used in calculating the price for </w:t>
      </w:r>
      <w:proofErr w:type="spellStart"/>
      <w:r w:rsidR="000B6530" w:rsidRPr="00DC7944">
        <w:rPr>
          <w:rFonts w:ascii="Arial" w:hAnsi="Arial"/>
          <w:sz w:val="22"/>
          <w:szCs w:val="22"/>
        </w:rPr>
        <w:t>indacaterol</w:t>
      </w:r>
      <w:proofErr w:type="spellEnd"/>
      <w:r w:rsidR="000B6530" w:rsidRPr="00DC7944">
        <w:rPr>
          <w:rFonts w:ascii="Arial" w:hAnsi="Arial"/>
          <w:sz w:val="22"/>
          <w:szCs w:val="22"/>
        </w:rPr>
        <w:t>/</w:t>
      </w:r>
      <w:proofErr w:type="spellStart"/>
      <w:r w:rsidR="000B6530" w:rsidRPr="00DC7944">
        <w:rPr>
          <w:rFonts w:ascii="Arial" w:hAnsi="Arial"/>
          <w:sz w:val="22"/>
          <w:szCs w:val="22"/>
        </w:rPr>
        <w:t>glycopyrronium</w:t>
      </w:r>
      <w:proofErr w:type="spellEnd"/>
      <w:r w:rsidR="000B6530" w:rsidRPr="00DC7944">
        <w:rPr>
          <w:rFonts w:ascii="Arial" w:hAnsi="Arial"/>
          <w:sz w:val="22"/>
          <w:szCs w:val="22"/>
        </w:rPr>
        <w:t>.</w:t>
      </w:r>
      <w:r w:rsidRPr="00DC7944">
        <w:rPr>
          <w:rFonts w:ascii="Arial" w:hAnsi="Arial"/>
          <w:sz w:val="22"/>
          <w:szCs w:val="22"/>
        </w:rPr>
        <w:t xml:space="preserve">   </w:t>
      </w:r>
    </w:p>
    <w:p w:rsidR="00BB7EC3" w:rsidRDefault="00BB7EC3" w:rsidP="00BB7EC3">
      <w:pPr>
        <w:pStyle w:val="ListParagraph"/>
        <w:ind w:left="709"/>
        <w:jc w:val="both"/>
        <w:rPr>
          <w:rFonts w:ascii="Arial" w:hAnsi="Arial"/>
          <w:sz w:val="22"/>
          <w:szCs w:val="22"/>
        </w:rPr>
      </w:pPr>
    </w:p>
    <w:p w:rsidR="00141D65" w:rsidRPr="00BB7EC3" w:rsidRDefault="00141D65" w:rsidP="00141D65">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141D65" w:rsidRDefault="00141D65" w:rsidP="00BB7EC3">
      <w:pPr>
        <w:pStyle w:val="ListParagraph"/>
        <w:ind w:left="709"/>
        <w:jc w:val="both"/>
        <w:rPr>
          <w:rFonts w:ascii="Arial" w:hAnsi="Arial"/>
          <w:sz w:val="22"/>
          <w:szCs w:val="22"/>
        </w:rPr>
      </w:pPr>
    </w:p>
    <w:p w:rsidR="005A3173" w:rsidRPr="00882085" w:rsidRDefault="005A3173" w:rsidP="00882085">
      <w:pPr>
        <w:ind w:left="720" w:hanging="720"/>
        <w:jc w:val="both"/>
        <w:rPr>
          <w:rFonts w:ascii="Arial" w:hAnsi="Arial"/>
          <w:b/>
          <w:i/>
          <w:sz w:val="22"/>
          <w:szCs w:val="22"/>
        </w:rPr>
      </w:pPr>
      <w:r w:rsidRPr="00882085">
        <w:rPr>
          <w:rFonts w:ascii="Arial" w:hAnsi="Arial"/>
          <w:b/>
          <w:i/>
          <w:sz w:val="22"/>
          <w:szCs w:val="22"/>
        </w:rPr>
        <w:t>Economic analysis</w:t>
      </w:r>
    </w:p>
    <w:p w:rsidR="005A3173" w:rsidRPr="00882085" w:rsidRDefault="005A3173" w:rsidP="00882085">
      <w:pPr>
        <w:ind w:left="720" w:hanging="720"/>
        <w:jc w:val="both"/>
        <w:rPr>
          <w:rFonts w:ascii="Arial" w:hAnsi="Arial"/>
          <w:sz w:val="22"/>
          <w:szCs w:val="22"/>
        </w:rPr>
      </w:pPr>
    </w:p>
    <w:p w:rsidR="00624305" w:rsidRPr="00DC7944" w:rsidRDefault="00624305" w:rsidP="00DC7944">
      <w:pPr>
        <w:pStyle w:val="ListParagraph"/>
        <w:numPr>
          <w:ilvl w:val="1"/>
          <w:numId w:val="25"/>
        </w:numPr>
        <w:jc w:val="both"/>
        <w:rPr>
          <w:rFonts w:ascii="Arial" w:hAnsi="Arial"/>
          <w:sz w:val="22"/>
          <w:szCs w:val="22"/>
        </w:rPr>
      </w:pPr>
      <w:r w:rsidRPr="00DC7944">
        <w:rPr>
          <w:rFonts w:ascii="Arial" w:hAnsi="Arial" w:cs="Arial"/>
          <w:sz w:val="22"/>
          <w:szCs w:val="22"/>
        </w:rPr>
        <w:t xml:space="preserve">Switching from ICS/LABA to </w:t>
      </w:r>
      <w:proofErr w:type="spellStart"/>
      <w:r w:rsidRPr="00DC7944">
        <w:rPr>
          <w:rFonts w:ascii="Arial" w:hAnsi="Arial" w:cs="Arial"/>
          <w:sz w:val="22"/>
          <w:szCs w:val="22"/>
        </w:rPr>
        <w:t>indacaterol</w:t>
      </w:r>
      <w:proofErr w:type="spellEnd"/>
      <w:r w:rsidRPr="00DC7944">
        <w:rPr>
          <w:rFonts w:ascii="Arial" w:hAnsi="Arial" w:cs="Arial"/>
          <w:sz w:val="22"/>
          <w:szCs w:val="22"/>
        </w:rPr>
        <w:t>/</w:t>
      </w:r>
      <w:proofErr w:type="spellStart"/>
      <w:r w:rsidRPr="00DC7944">
        <w:rPr>
          <w:rFonts w:ascii="Arial" w:hAnsi="Arial" w:cs="Arial"/>
          <w:sz w:val="22"/>
          <w:szCs w:val="22"/>
        </w:rPr>
        <w:t>glycopyrronium</w:t>
      </w:r>
      <w:proofErr w:type="spellEnd"/>
      <w:r w:rsidRPr="00DC7944">
        <w:rPr>
          <w:rFonts w:ascii="Arial" w:hAnsi="Arial" w:cs="Arial"/>
          <w:sz w:val="22"/>
          <w:szCs w:val="22"/>
        </w:rPr>
        <w:t xml:space="preserve"> is now appropriately included in the pricing and estimates used in the current submission, however, the switching rates applied for thes</w:t>
      </w:r>
      <w:r w:rsidR="0084056E" w:rsidRPr="00DC7944">
        <w:rPr>
          <w:rFonts w:ascii="Arial" w:hAnsi="Arial" w:cs="Arial"/>
          <w:sz w:val="22"/>
          <w:szCs w:val="22"/>
        </w:rPr>
        <w:t xml:space="preserve">e patients are still uncertain. </w:t>
      </w:r>
    </w:p>
    <w:p w:rsidR="00624305" w:rsidRPr="00624305" w:rsidRDefault="00624305" w:rsidP="00624305">
      <w:pPr>
        <w:pStyle w:val="ListParagraph"/>
        <w:ind w:left="709"/>
        <w:jc w:val="both"/>
        <w:rPr>
          <w:rFonts w:ascii="Arial" w:hAnsi="Arial"/>
          <w:sz w:val="22"/>
          <w:szCs w:val="22"/>
        </w:rPr>
      </w:pPr>
    </w:p>
    <w:p w:rsidR="00624305" w:rsidRPr="00DC7944" w:rsidRDefault="00624305" w:rsidP="00DC7944">
      <w:pPr>
        <w:pStyle w:val="ListParagraph"/>
        <w:numPr>
          <w:ilvl w:val="1"/>
          <w:numId w:val="25"/>
        </w:numPr>
        <w:jc w:val="both"/>
        <w:rPr>
          <w:rFonts w:ascii="Arial" w:hAnsi="Arial"/>
          <w:sz w:val="22"/>
          <w:szCs w:val="22"/>
        </w:rPr>
      </w:pPr>
      <w:r w:rsidRPr="00DC7944">
        <w:rPr>
          <w:rFonts w:ascii="Arial" w:hAnsi="Arial" w:cs="Arial"/>
          <w:sz w:val="22"/>
          <w:szCs w:val="22"/>
        </w:rPr>
        <w:t xml:space="preserve">The sponsor originally proposed a DPMQ of </w:t>
      </w:r>
      <w:r w:rsidR="00FD2DFD">
        <w:rPr>
          <w:rFonts w:ascii="Arial" w:hAnsi="Arial" w:cs="Arial"/>
          <w:noProof/>
          <w:color w:val="000000"/>
          <w:sz w:val="22"/>
          <w:szCs w:val="22"/>
          <w:highlight w:val="black"/>
        </w:rPr>
        <w:t>''''''''''''''''''''</w:t>
      </w:r>
      <w:r w:rsidRPr="00DC7944">
        <w:rPr>
          <w:rFonts w:ascii="Arial" w:hAnsi="Arial" w:cs="Arial"/>
          <w:sz w:val="22"/>
          <w:szCs w:val="22"/>
        </w:rPr>
        <w:t xml:space="preserve">, which is equivalent to the sum of the component products. This was modified to extend the population to include patients currently on ICS/LABA alone (rather than only in combination with LAMA as for the previous submission), and by recalculating the price based on the weighted average of the medications currently used to treat COPD based on BEACH data. This has resulted in a proposed DPMQ of </w:t>
      </w:r>
      <w:r w:rsidR="00FD2DFD">
        <w:rPr>
          <w:rFonts w:ascii="Arial" w:hAnsi="Arial" w:cs="Arial"/>
          <w:noProof/>
          <w:color w:val="000000"/>
          <w:sz w:val="22"/>
          <w:szCs w:val="22"/>
          <w:highlight w:val="black"/>
        </w:rPr>
        <w:t>''''''''''''''''''</w:t>
      </w:r>
      <w:r w:rsidRPr="00DC7944">
        <w:rPr>
          <w:rFonts w:ascii="Arial" w:hAnsi="Arial" w:cs="Arial"/>
          <w:sz w:val="22"/>
          <w:szCs w:val="22"/>
        </w:rPr>
        <w:t xml:space="preserve">. </w:t>
      </w:r>
      <w:r w:rsidR="00C14B78" w:rsidRPr="00DC7944">
        <w:rPr>
          <w:rFonts w:ascii="Arial" w:hAnsi="Arial" w:cs="Arial"/>
          <w:sz w:val="22"/>
          <w:szCs w:val="22"/>
        </w:rPr>
        <w:t>It was</w:t>
      </w:r>
      <w:r w:rsidR="00AB1C05" w:rsidRPr="00DC7944">
        <w:rPr>
          <w:rFonts w:ascii="Arial" w:hAnsi="Arial" w:cs="Arial"/>
          <w:sz w:val="22"/>
          <w:szCs w:val="22"/>
        </w:rPr>
        <w:t xml:space="preserve"> noted</w:t>
      </w:r>
      <w:r w:rsidR="00C14B78" w:rsidRPr="00DC7944">
        <w:rPr>
          <w:rFonts w:ascii="Arial" w:hAnsi="Arial" w:cs="Arial"/>
          <w:sz w:val="22"/>
          <w:szCs w:val="22"/>
        </w:rPr>
        <w:t xml:space="preserve"> that</w:t>
      </w:r>
      <w:r w:rsidR="00AB1C05" w:rsidRPr="00DC7944">
        <w:rPr>
          <w:rFonts w:ascii="Arial" w:hAnsi="Arial" w:cs="Arial"/>
          <w:sz w:val="22"/>
          <w:szCs w:val="22"/>
        </w:rPr>
        <w:t xml:space="preserve"> </w:t>
      </w:r>
      <w:r w:rsidR="00D853C3" w:rsidRPr="00DC7944">
        <w:rPr>
          <w:rFonts w:ascii="Arial" w:hAnsi="Arial" w:cs="Arial"/>
          <w:sz w:val="22"/>
          <w:szCs w:val="22"/>
        </w:rPr>
        <w:t>the</w:t>
      </w:r>
      <w:r w:rsidRPr="00DC7944">
        <w:rPr>
          <w:rFonts w:ascii="Arial" w:hAnsi="Arial" w:cs="Arial"/>
          <w:sz w:val="22"/>
          <w:szCs w:val="22"/>
        </w:rPr>
        <w:t xml:space="preserve">re is considerable uncertainty in the derived weighted price of </w:t>
      </w:r>
      <w:r w:rsidR="00FD2DFD">
        <w:rPr>
          <w:rFonts w:ascii="Arial" w:hAnsi="Arial" w:cs="Arial"/>
          <w:noProof/>
          <w:color w:val="000000"/>
          <w:sz w:val="22"/>
          <w:szCs w:val="22"/>
          <w:highlight w:val="black"/>
        </w:rPr>
        <w:t>''''''''''''''''''</w:t>
      </w:r>
      <w:r w:rsidR="00141D65" w:rsidRPr="00DC7944">
        <w:rPr>
          <w:rFonts w:ascii="Arial" w:hAnsi="Arial" w:cs="Arial"/>
          <w:sz w:val="22"/>
          <w:szCs w:val="22"/>
        </w:rPr>
        <w:t xml:space="preserve"> due to</w:t>
      </w:r>
      <w:r w:rsidR="00007A9C" w:rsidRPr="00DC7944">
        <w:rPr>
          <w:rFonts w:ascii="Arial" w:hAnsi="Arial" w:cs="Arial"/>
          <w:sz w:val="22"/>
          <w:szCs w:val="22"/>
        </w:rPr>
        <w:t xml:space="preserve"> concerns that the small sample size</w:t>
      </w:r>
      <w:r w:rsidR="00141D65" w:rsidRPr="00DC7944">
        <w:rPr>
          <w:rFonts w:ascii="Arial" w:hAnsi="Arial" w:cs="Arial"/>
          <w:sz w:val="22"/>
          <w:szCs w:val="22"/>
        </w:rPr>
        <w:t xml:space="preserve"> used in the BEACH data</w:t>
      </w:r>
      <w:r w:rsidRPr="00DC7944">
        <w:rPr>
          <w:rFonts w:ascii="Arial" w:hAnsi="Arial" w:cs="Arial"/>
          <w:sz w:val="22"/>
          <w:szCs w:val="22"/>
        </w:rPr>
        <w:t xml:space="preserve"> (medicine use in 61 patients recorded by 41 GPs) </w:t>
      </w:r>
      <w:r w:rsidR="00007A9C" w:rsidRPr="00DC7944">
        <w:rPr>
          <w:rFonts w:ascii="Arial" w:hAnsi="Arial" w:cs="Arial"/>
          <w:sz w:val="22"/>
          <w:szCs w:val="22"/>
        </w:rPr>
        <w:t>could potentially have</w:t>
      </w:r>
      <w:r w:rsidRPr="00DC7944">
        <w:rPr>
          <w:rFonts w:ascii="Arial" w:hAnsi="Arial" w:cs="Arial"/>
          <w:sz w:val="22"/>
          <w:szCs w:val="22"/>
        </w:rPr>
        <w:t xml:space="preserve"> h</w:t>
      </w:r>
      <w:r w:rsidR="001704A5" w:rsidRPr="00DC7944">
        <w:rPr>
          <w:rFonts w:ascii="Arial" w:hAnsi="Arial" w:cs="Arial"/>
          <w:sz w:val="22"/>
          <w:szCs w:val="22"/>
        </w:rPr>
        <w:t xml:space="preserve">igh bias and poor applicability. </w:t>
      </w:r>
    </w:p>
    <w:p w:rsidR="00624305" w:rsidRPr="00624305" w:rsidRDefault="00624305" w:rsidP="00624305">
      <w:pPr>
        <w:pStyle w:val="ListParagraph"/>
        <w:rPr>
          <w:rFonts w:ascii="Arial" w:hAnsi="Arial" w:cs="Arial"/>
          <w:sz w:val="22"/>
          <w:szCs w:val="22"/>
        </w:rPr>
      </w:pPr>
    </w:p>
    <w:p w:rsidR="00624305" w:rsidRPr="00DC7944" w:rsidRDefault="00624305" w:rsidP="00DC7944">
      <w:pPr>
        <w:pStyle w:val="ListParagraph"/>
        <w:numPr>
          <w:ilvl w:val="1"/>
          <w:numId w:val="25"/>
        </w:numPr>
        <w:jc w:val="both"/>
        <w:rPr>
          <w:rFonts w:ascii="Arial" w:hAnsi="Arial"/>
          <w:sz w:val="22"/>
          <w:szCs w:val="22"/>
        </w:rPr>
      </w:pPr>
      <w:r w:rsidRPr="00DC7944">
        <w:rPr>
          <w:rFonts w:ascii="Arial" w:hAnsi="Arial" w:cs="Arial"/>
          <w:sz w:val="22"/>
          <w:szCs w:val="22"/>
        </w:rPr>
        <w:t xml:space="preserve">The </w:t>
      </w:r>
      <w:r w:rsidR="00AB1C05" w:rsidRPr="00DC7944">
        <w:rPr>
          <w:rFonts w:ascii="Arial" w:hAnsi="Arial" w:cs="Arial"/>
          <w:sz w:val="22"/>
          <w:szCs w:val="22"/>
        </w:rPr>
        <w:t xml:space="preserve">evaluation also noted that the </w:t>
      </w:r>
      <w:r w:rsidRPr="00DC7944">
        <w:rPr>
          <w:rFonts w:ascii="Arial" w:hAnsi="Arial" w:cs="Arial"/>
          <w:sz w:val="22"/>
          <w:szCs w:val="22"/>
        </w:rPr>
        <w:t>recalculated proposed DPMQ has not considered the following:</w:t>
      </w:r>
    </w:p>
    <w:p w:rsidR="00624305" w:rsidRPr="00624305" w:rsidRDefault="00624305" w:rsidP="00624305">
      <w:pPr>
        <w:pStyle w:val="ListParagraph"/>
        <w:numPr>
          <w:ilvl w:val="0"/>
          <w:numId w:val="44"/>
        </w:numPr>
        <w:ind w:left="1769" w:hanging="340"/>
        <w:jc w:val="both"/>
        <w:rPr>
          <w:rFonts w:ascii="Arial" w:hAnsi="Arial" w:cs="Arial"/>
          <w:sz w:val="22"/>
          <w:szCs w:val="22"/>
        </w:rPr>
      </w:pPr>
      <w:r w:rsidRPr="00624305">
        <w:rPr>
          <w:rFonts w:ascii="Arial" w:hAnsi="Arial" w:cs="Arial"/>
          <w:sz w:val="22"/>
          <w:szCs w:val="22"/>
        </w:rPr>
        <w:t>The published price for ICS/LABA is a weighted price allowing for use in asthma and COPD for the highest strength formulation; and</w:t>
      </w:r>
    </w:p>
    <w:p w:rsidR="00624305" w:rsidRPr="00624305" w:rsidRDefault="00624305" w:rsidP="00624305">
      <w:pPr>
        <w:pStyle w:val="ListParagraph"/>
        <w:numPr>
          <w:ilvl w:val="0"/>
          <w:numId w:val="44"/>
        </w:numPr>
        <w:jc w:val="both"/>
        <w:rPr>
          <w:rFonts w:ascii="Arial" w:hAnsi="Arial" w:cs="Arial"/>
          <w:sz w:val="22"/>
          <w:szCs w:val="22"/>
        </w:rPr>
      </w:pPr>
      <w:r w:rsidRPr="00624305">
        <w:rPr>
          <w:rFonts w:ascii="Arial" w:hAnsi="Arial" w:cs="Arial"/>
          <w:sz w:val="22"/>
          <w:szCs w:val="22"/>
        </w:rPr>
        <w:t>Patients who are inappropriately prescribed more than 1 LABA should have been excluded from weighting. This is because if a patient was on more than 1 LABA (such as an ICS/LABA and LABA monotherapy), the overall price of their treatment regimen would be high and would disproportionately contribute to the final weighted price resulting in an inappropriately high DPMQ.</w:t>
      </w:r>
    </w:p>
    <w:p w:rsidR="002A3738" w:rsidRDefault="002A3738" w:rsidP="00CA40BE"/>
    <w:p w:rsidR="002A3738" w:rsidRPr="00DC7944" w:rsidRDefault="00F25CCE"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PBAC also noted that the sponsor for </w:t>
      </w:r>
      <w:r w:rsidR="002A3738" w:rsidRPr="00DC7944">
        <w:rPr>
          <w:rFonts w:ascii="Arial" w:hAnsi="Arial"/>
          <w:sz w:val="22"/>
          <w:szCs w:val="22"/>
        </w:rPr>
        <w:t xml:space="preserve">the </w:t>
      </w:r>
      <w:r w:rsidR="009F7A9F" w:rsidRPr="00DC7944">
        <w:rPr>
          <w:rFonts w:ascii="Arial" w:hAnsi="Arial"/>
          <w:sz w:val="22"/>
          <w:szCs w:val="22"/>
        </w:rPr>
        <w:t>second LAMA/LABA</w:t>
      </w:r>
      <w:r w:rsidRPr="00DC7944">
        <w:rPr>
          <w:rFonts w:ascii="Arial" w:hAnsi="Arial"/>
          <w:sz w:val="22"/>
          <w:szCs w:val="22"/>
        </w:rPr>
        <w:t xml:space="preserve"> </w:t>
      </w:r>
      <w:r w:rsidR="009F7A9F" w:rsidRPr="00DC7944">
        <w:rPr>
          <w:rFonts w:ascii="Arial" w:hAnsi="Arial"/>
          <w:sz w:val="22"/>
          <w:szCs w:val="22"/>
        </w:rPr>
        <w:t xml:space="preserve">that is being considered on this agenda </w:t>
      </w:r>
      <w:r w:rsidRPr="00DC7944">
        <w:rPr>
          <w:rFonts w:ascii="Arial" w:hAnsi="Arial"/>
          <w:sz w:val="22"/>
          <w:szCs w:val="22"/>
        </w:rPr>
        <w:t>had used a different approach to address the con</w:t>
      </w:r>
      <w:r w:rsidR="0065236C" w:rsidRPr="00DC7944">
        <w:rPr>
          <w:rFonts w:ascii="Arial" w:hAnsi="Arial"/>
          <w:sz w:val="22"/>
          <w:szCs w:val="22"/>
        </w:rPr>
        <w:t xml:space="preserve">cerns previously raised by PBAC, and that </w:t>
      </w:r>
      <w:r w:rsidR="00141D65" w:rsidRPr="00DC7944">
        <w:rPr>
          <w:rFonts w:ascii="Arial" w:hAnsi="Arial"/>
          <w:sz w:val="22"/>
          <w:szCs w:val="22"/>
        </w:rPr>
        <w:t>the alternative</w:t>
      </w:r>
      <w:r w:rsidR="002A3738" w:rsidRPr="00DC7944">
        <w:rPr>
          <w:rFonts w:ascii="Arial" w:hAnsi="Arial"/>
          <w:sz w:val="22"/>
          <w:szCs w:val="22"/>
        </w:rPr>
        <w:t xml:space="preserve"> </w:t>
      </w:r>
      <w:r w:rsidR="0065236C" w:rsidRPr="00DC7944">
        <w:rPr>
          <w:rFonts w:ascii="Arial" w:hAnsi="Arial"/>
          <w:sz w:val="22"/>
          <w:szCs w:val="22"/>
        </w:rPr>
        <w:t xml:space="preserve">approach resulted in a lower price.  The PBAC further considered that, in the absence of any evidence to the contrary, it would be reasonable to assume </w:t>
      </w:r>
      <w:r w:rsidR="002A3738" w:rsidRPr="00DC7944">
        <w:rPr>
          <w:rFonts w:ascii="Arial" w:hAnsi="Arial"/>
          <w:sz w:val="22"/>
          <w:szCs w:val="22"/>
        </w:rPr>
        <w:t>the two combination LAMA/LABAs would deliver similar outcomes.</w:t>
      </w:r>
    </w:p>
    <w:p w:rsidR="002A3738" w:rsidRPr="0065236C" w:rsidRDefault="002A3738" w:rsidP="00CA40BE">
      <w:pPr>
        <w:pStyle w:val="ListParagraph"/>
        <w:ind w:left="709"/>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F57A6D" w:rsidRDefault="00F57A6D" w:rsidP="00882085">
      <w:pPr>
        <w:ind w:left="720" w:hanging="720"/>
        <w:jc w:val="both"/>
        <w:rPr>
          <w:rFonts w:ascii="Arial" w:hAnsi="Arial"/>
          <w:sz w:val="22"/>
          <w:szCs w:val="22"/>
        </w:rPr>
      </w:pPr>
    </w:p>
    <w:p w:rsidR="00624305" w:rsidRPr="00141D65" w:rsidRDefault="005A3173" w:rsidP="00141D65">
      <w:pPr>
        <w:ind w:left="720" w:hanging="720"/>
        <w:jc w:val="both"/>
        <w:rPr>
          <w:rFonts w:ascii="Arial" w:hAnsi="Arial"/>
          <w:b/>
          <w:i/>
          <w:sz w:val="22"/>
          <w:szCs w:val="22"/>
        </w:rPr>
      </w:pPr>
      <w:r w:rsidRPr="00882085">
        <w:rPr>
          <w:rFonts w:ascii="Arial" w:hAnsi="Arial"/>
          <w:b/>
          <w:i/>
          <w:sz w:val="22"/>
          <w:szCs w:val="22"/>
        </w:rPr>
        <w:t>Estimated PBS usage &amp; financial implications</w:t>
      </w:r>
    </w:p>
    <w:p w:rsidR="00141D65" w:rsidRPr="00141D65" w:rsidRDefault="00141D65" w:rsidP="00141D65">
      <w:pPr>
        <w:jc w:val="both"/>
        <w:rPr>
          <w:rFonts w:ascii="Arial" w:hAnsi="Arial"/>
          <w:sz w:val="22"/>
          <w:szCs w:val="22"/>
        </w:rPr>
      </w:pPr>
    </w:p>
    <w:p w:rsidR="00141D65" w:rsidRPr="00DC7944" w:rsidRDefault="00141D65" w:rsidP="00DC7944">
      <w:pPr>
        <w:pStyle w:val="ListParagraph"/>
        <w:numPr>
          <w:ilvl w:val="1"/>
          <w:numId w:val="25"/>
        </w:numPr>
        <w:jc w:val="both"/>
        <w:rPr>
          <w:rFonts w:ascii="Arial" w:hAnsi="Arial"/>
          <w:sz w:val="22"/>
          <w:szCs w:val="22"/>
        </w:rPr>
      </w:pPr>
      <w:r w:rsidRPr="00DC7944">
        <w:rPr>
          <w:rFonts w:ascii="Arial" w:hAnsi="Arial" w:cs="Arial"/>
          <w:sz w:val="22"/>
          <w:szCs w:val="22"/>
        </w:rPr>
        <w:t xml:space="preserve">The submission recalculated market size to incorporate switching from ICS/LABA but this is still a source of uncertainty. It is likely that the introduction of a fixed dose combination could grow the overall market and that patients could be initiated on the FDC earlier than clinically appropriate without the adequate titration of individual components. </w:t>
      </w:r>
      <w:r w:rsidRPr="00DC7944">
        <w:rPr>
          <w:rFonts w:ascii="Arial" w:hAnsi="Arial" w:cs="Arial"/>
          <w:color w:val="000000"/>
          <w:sz w:val="22"/>
          <w:szCs w:val="20"/>
        </w:rPr>
        <w:t xml:space="preserve">DUSC has noted emerging trends with some FDC products, such as a higher proportion of patients commencing de novo, and FDCs increasing the market rather than substituting within current markets (DUSC Outcome Statement February 2013). </w:t>
      </w:r>
    </w:p>
    <w:p w:rsidR="00141D65" w:rsidRPr="00141D65" w:rsidRDefault="00141D65" w:rsidP="00141D65">
      <w:pPr>
        <w:pStyle w:val="ListParagraph"/>
        <w:ind w:left="709"/>
        <w:jc w:val="both"/>
        <w:rPr>
          <w:rFonts w:ascii="Arial" w:hAnsi="Arial"/>
          <w:sz w:val="22"/>
          <w:szCs w:val="22"/>
        </w:rPr>
      </w:pPr>
    </w:p>
    <w:p w:rsidR="00624305" w:rsidRPr="00DC7944" w:rsidRDefault="00624305" w:rsidP="00DC7944">
      <w:pPr>
        <w:pStyle w:val="ListParagraph"/>
        <w:numPr>
          <w:ilvl w:val="1"/>
          <w:numId w:val="25"/>
        </w:numPr>
        <w:jc w:val="both"/>
        <w:rPr>
          <w:rFonts w:ascii="Arial" w:hAnsi="Arial"/>
          <w:sz w:val="22"/>
          <w:szCs w:val="22"/>
        </w:rPr>
      </w:pPr>
      <w:r w:rsidRPr="00DC7944">
        <w:rPr>
          <w:rFonts w:ascii="Arial" w:hAnsi="Arial" w:cs="Arial"/>
          <w:sz w:val="22"/>
          <w:szCs w:val="22"/>
        </w:rPr>
        <w:t xml:space="preserve">In March 2014, the PBAC considered that a risk sharing arrangement would be required to manage the risk associated with higher than estimated usage and cost however no details have been proposed by the sponsor. </w:t>
      </w:r>
    </w:p>
    <w:p w:rsidR="00624305" w:rsidRDefault="00624305" w:rsidP="00624305">
      <w:pPr>
        <w:pStyle w:val="ListParagraph"/>
        <w:ind w:left="709"/>
        <w:jc w:val="both"/>
        <w:rPr>
          <w:rFonts w:ascii="Arial" w:hAnsi="Arial"/>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CE10C4" w:rsidRDefault="00CE10C4" w:rsidP="00882085">
      <w:pPr>
        <w:jc w:val="both"/>
        <w:rPr>
          <w:rFonts w:ascii="Arial" w:hAnsi="Arial"/>
          <w:b/>
          <w:sz w:val="22"/>
          <w:szCs w:val="22"/>
        </w:rPr>
      </w:pPr>
    </w:p>
    <w:p w:rsidR="00DA0538" w:rsidRPr="00882085" w:rsidRDefault="00DA0538" w:rsidP="00882085">
      <w:pPr>
        <w:jc w:val="both"/>
        <w:rPr>
          <w:rFonts w:ascii="Arial" w:hAnsi="Arial"/>
          <w:b/>
          <w:sz w:val="22"/>
          <w:szCs w:val="22"/>
        </w:rPr>
      </w:pPr>
    </w:p>
    <w:p w:rsidR="00DC7944" w:rsidRPr="00407F2D" w:rsidRDefault="00DC7944" w:rsidP="00DC7944">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BB7EC3" w:rsidRPr="00BB7EC3" w:rsidRDefault="00BB7EC3" w:rsidP="00BB7EC3">
      <w:pPr>
        <w:pStyle w:val="ListParagraph"/>
        <w:rPr>
          <w:rFonts w:ascii="Arial" w:hAnsi="Arial"/>
          <w:sz w:val="22"/>
          <w:szCs w:val="22"/>
        </w:rPr>
      </w:pPr>
    </w:p>
    <w:p w:rsidR="00BB7EC3" w:rsidRPr="00DC7944" w:rsidRDefault="00BB7EC3" w:rsidP="00DC7944">
      <w:pPr>
        <w:pStyle w:val="ListParagraph"/>
        <w:numPr>
          <w:ilvl w:val="1"/>
          <w:numId w:val="25"/>
        </w:numPr>
        <w:jc w:val="both"/>
        <w:rPr>
          <w:rFonts w:ascii="Arial" w:hAnsi="Arial"/>
          <w:sz w:val="22"/>
          <w:szCs w:val="22"/>
        </w:rPr>
      </w:pPr>
      <w:r w:rsidRPr="00DC7944">
        <w:rPr>
          <w:rFonts w:ascii="Arial" w:hAnsi="Arial"/>
          <w:sz w:val="22"/>
          <w:szCs w:val="22"/>
        </w:rPr>
        <w:t>The PBA</w:t>
      </w:r>
      <w:r w:rsidR="001A74FA" w:rsidRPr="00DC7944">
        <w:rPr>
          <w:rFonts w:ascii="Arial" w:hAnsi="Arial"/>
          <w:sz w:val="22"/>
          <w:szCs w:val="22"/>
        </w:rPr>
        <w:t xml:space="preserve">C recommended the listing of </w:t>
      </w:r>
      <w:proofErr w:type="spellStart"/>
      <w:r w:rsidR="001A74FA" w:rsidRPr="00DC7944">
        <w:rPr>
          <w:rFonts w:ascii="Arial" w:hAnsi="Arial"/>
          <w:sz w:val="22"/>
          <w:szCs w:val="22"/>
        </w:rPr>
        <w:t>indacaterol</w:t>
      </w:r>
      <w:proofErr w:type="spellEnd"/>
      <w:r w:rsidR="001A74FA" w:rsidRPr="00DC7944">
        <w:rPr>
          <w:rFonts w:ascii="Arial" w:hAnsi="Arial"/>
          <w:sz w:val="22"/>
          <w:szCs w:val="22"/>
        </w:rPr>
        <w:t>/</w:t>
      </w:r>
      <w:proofErr w:type="spellStart"/>
      <w:r w:rsidR="001A74FA" w:rsidRPr="00DC7944">
        <w:rPr>
          <w:rFonts w:ascii="Arial" w:hAnsi="Arial"/>
          <w:sz w:val="22"/>
          <w:szCs w:val="22"/>
        </w:rPr>
        <w:t>glycopyrronium</w:t>
      </w:r>
      <w:proofErr w:type="spellEnd"/>
      <w:r w:rsidR="001A74FA" w:rsidRPr="00DC7944">
        <w:rPr>
          <w:rFonts w:ascii="Arial" w:hAnsi="Arial"/>
          <w:sz w:val="22"/>
          <w:szCs w:val="22"/>
        </w:rPr>
        <w:t xml:space="preserve"> as an Authority required (STREAMLINED) listing for</w:t>
      </w:r>
      <w:r w:rsidR="00BB412E" w:rsidRPr="00DC7944">
        <w:rPr>
          <w:rFonts w:ascii="Arial" w:hAnsi="Arial"/>
          <w:sz w:val="22"/>
          <w:szCs w:val="22"/>
        </w:rPr>
        <w:t xml:space="preserve"> the treatment of</w:t>
      </w:r>
      <w:r w:rsidR="001A74FA" w:rsidRPr="00DC7944">
        <w:rPr>
          <w:rFonts w:ascii="Arial" w:hAnsi="Arial"/>
          <w:sz w:val="22"/>
          <w:szCs w:val="22"/>
        </w:rPr>
        <w:t xml:space="preserve"> chronic obstructive pulmonary disease for patients already stabilised on con</w:t>
      </w:r>
      <w:r w:rsidR="006025EE" w:rsidRPr="00DC7944">
        <w:rPr>
          <w:rFonts w:ascii="Arial" w:hAnsi="Arial"/>
          <w:sz w:val="22"/>
          <w:szCs w:val="22"/>
        </w:rPr>
        <w:t xml:space="preserve">comitant LAMA and LABA therapy. </w:t>
      </w:r>
    </w:p>
    <w:p w:rsidR="00F25CCE" w:rsidRDefault="00F25CCE" w:rsidP="00CA40BE">
      <w:pPr>
        <w:pStyle w:val="ListParagraph"/>
        <w:ind w:left="1070"/>
        <w:jc w:val="both"/>
        <w:rPr>
          <w:rFonts w:ascii="Arial" w:hAnsi="Arial"/>
          <w:sz w:val="22"/>
          <w:szCs w:val="22"/>
        </w:rPr>
      </w:pPr>
    </w:p>
    <w:p w:rsidR="00F25CCE" w:rsidRPr="00DC7944" w:rsidRDefault="00F25CCE"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PBAC considered, amongst other matters, that the cost-effectiveness of </w:t>
      </w:r>
      <w:proofErr w:type="spellStart"/>
      <w:r w:rsidRPr="00DC7944">
        <w:rPr>
          <w:rFonts w:ascii="Arial" w:hAnsi="Arial"/>
          <w:sz w:val="22"/>
          <w:szCs w:val="22"/>
        </w:rPr>
        <w:t>indacaterol</w:t>
      </w:r>
      <w:proofErr w:type="spellEnd"/>
      <w:r w:rsidRPr="00DC7944">
        <w:rPr>
          <w:rFonts w:ascii="Arial" w:hAnsi="Arial"/>
          <w:sz w:val="22"/>
          <w:szCs w:val="22"/>
        </w:rPr>
        <w:t>/</w:t>
      </w:r>
      <w:proofErr w:type="spellStart"/>
      <w:r w:rsidRPr="00DC7944">
        <w:rPr>
          <w:rFonts w:ascii="Arial" w:hAnsi="Arial"/>
          <w:sz w:val="22"/>
          <w:szCs w:val="22"/>
        </w:rPr>
        <w:t>glycopyrronium</w:t>
      </w:r>
      <w:proofErr w:type="spellEnd"/>
      <w:r w:rsidRPr="00DC7944">
        <w:rPr>
          <w:rFonts w:ascii="Arial" w:hAnsi="Arial"/>
          <w:sz w:val="22"/>
          <w:szCs w:val="22"/>
        </w:rPr>
        <w:t xml:space="preserve"> would be acceptable if it were cost-minimised against the </w:t>
      </w:r>
      <w:proofErr w:type="spellStart"/>
      <w:r w:rsidRPr="00DC7944">
        <w:rPr>
          <w:rFonts w:ascii="Arial" w:hAnsi="Arial"/>
          <w:sz w:val="22"/>
          <w:szCs w:val="22"/>
        </w:rPr>
        <w:t>umeclidinium</w:t>
      </w:r>
      <w:proofErr w:type="spellEnd"/>
      <w:r w:rsidR="00141D65" w:rsidRPr="00DC7944">
        <w:rPr>
          <w:rFonts w:ascii="Arial" w:hAnsi="Arial"/>
          <w:sz w:val="22"/>
          <w:szCs w:val="22"/>
        </w:rPr>
        <w:t>/</w:t>
      </w:r>
      <w:proofErr w:type="spellStart"/>
      <w:r w:rsidRPr="00DC7944">
        <w:rPr>
          <w:rFonts w:ascii="Arial" w:hAnsi="Arial"/>
          <w:sz w:val="22"/>
          <w:szCs w:val="22"/>
        </w:rPr>
        <w:t>vilanterol</w:t>
      </w:r>
      <w:proofErr w:type="spellEnd"/>
      <w:r w:rsidRPr="00DC7944">
        <w:rPr>
          <w:rFonts w:ascii="Arial" w:hAnsi="Arial"/>
          <w:sz w:val="22"/>
          <w:szCs w:val="22"/>
        </w:rPr>
        <w:t xml:space="preserve"> FDC when used for COPD. </w:t>
      </w:r>
      <w:r w:rsidR="009F7A9F" w:rsidRPr="00DC7944">
        <w:rPr>
          <w:rFonts w:ascii="Arial" w:hAnsi="Arial"/>
          <w:sz w:val="22"/>
          <w:szCs w:val="22"/>
        </w:rPr>
        <w:t xml:space="preserve"> The </w:t>
      </w:r>
      <w:proofErr w:type="spellStart"/>
      <w:r w:rsidR="009F7A9F" w:rsidRPr="00DC7944">
        <w:rPr>
          <w:rFonts w:ascii="Arial" w:hAnsi="Arial"/>
          <w:sz w:val="22"/>
          <w:szCs w:val="22"/>
        </w:rPr>
        <w:t>equi</w:t>
      </w:r>
      <w:proofErr w:type="spellEnd"/>
      <w:r w:rsidR="009F7A9F" w:rsidRPr="00DC7944">
        <w:rPr>
          <w:rFonts w:ascii="Arial" w:hAnsi="Arial"/>
          <w:sz w:val="22"/>
          <w:szCs w:val="22"/>
        </w:rPr>
        <w:t xml:space="preserve">-effective doses are considered to be </w:t>
      </w:r>
      <w:proofErr w:type="spellStart"/>
      <w:r w:rsidR="009F7A9F" w:rsidRPr="00DC7944">
        <w:rPr>
          <w:rFonts w:ascii="Arial" w:hAnsi="Arial"/>
          <w:sz w:val="22"/>
          <w:szCs w:val="22"/>
        </w:rPr>
        <w:t>indacaterol</w:t>
      </w:r>
      <w:proofErr w:type="spellEnd"/>
      <w:r w:rsidR="009F7A9F" w:rsidRPr="00DC7944">
        <w:rPr>
          <w:rFonts w:ascii="Arial" w:hAnsi="Arial"/>
          <w:sz w:val="22"/>
          <w:szCs w:val="22"/>
        </w:rPr>
        <w:t xml:space="preserve"> 110 microgram with </w:t>
      </w:r>
      <w:proofErr w:type="spellStart"/>
      <w:r w:rsidR="009F7A9F" w:rsidRPr="00DC7944">
        <w:rPr>
          <w:rFonts w:ascii="Arial" w:hAnsi="Arial"/>
          <w:sz w:val="22"/>
          <w:szCs w:val="22"/>
        </w:rPr>
        <w:t>glycopyrronium</w:t>
      </w:r>
      <w:proofErr w:type="spellEnd"/>
      <w:r w:rsidR="009F7A9F" w:rsidRPr="00DC7944">
        <w:rPr>
          <w:rFonts w:ascii="Arial" w:hAnsi="Arial"/>
          <w:sz w:val="22"/>
          <w:szCs w:val="22"/>
        </w:rPr>
        <w:t xml:space="preserve"> 50 microgram to </w:t>
      </w:r>
      <w:proofErr w:type="spellStart"/>
      <w:r w:rsidR="009F7A9F" w:rsidRPr="00DC7944">
        <w:rPr>
          <w:rFonts w:ascii="Arial" w:hAnsi="Arial"/>
          <w:sz w:val="22"/>
          <w:szCs w:val="22"/>
        </w:rPr>
        <w:t>umeclidinium</w:t>
      </w:r>
      <w:proofErr w:type="spellEnd"/>
      <w:r w:rsidR="009F7A9F" w:rsidRPr="00DC7944">
        <w:rPr>
          <w:rFonts w:ascii="Arial" w:hAnsi="Arial"/>
          <w:sz w:val="22"/>
          <w:szCs w:val="22"/>
        </w:rPr>
        <w:t xml:space="preserve"> (as bromide) 62.5 microgram with </w:t>
      </w:r>
      <w:proofErr w:type="spellStart"/>
      <w:r w:rsidR="009F7A9F" w:rsidRPr="00DC7944">
        <w:rPr>
          <w:rFonts w:ascii="Arial" w:hAnsi="Arial"/>
          <w:sz w:val="22"/>
          <w:szCs w:val="22"/>
        </w:rPr>
        <w:t>vilanterol</w:t>
      </w:r>
      <w:proofErr w:type="spellEnd"/>
      <w:r w:rsidR="009F7A9F" w:rsidRPr="00DC7944">
        <w:rPr>
          <w:rFonts w:ascii="Arial" w:hAnsi="Arial"/>
          <w:sz w:val="22"/>
          <w:szCs w:val="22"/>
        </w:rPr>
        <w:t xml:space="preserve"> (as </w:t>
      </w:r>
      <w:proofErr w:type="spellStart"/>
      <w:r w:rsidR="009F7A9F" w:rsidRPr="00DC7944">
        <w:rPr>
          <w:rFonts w:ascii="Arial" w:hAnsi="Arial"/>
          <w:sz w:val="22"/>
          <w:szCs w:val="22"/>
        </w:rPr>
        <w:t>trifenatate</w:t>
      </w:r>
      <w:proofErr w:type="spellEnd"/>
      <w:r w:rsidR="009F7A9F" w:rsidRPr="00DC7944">
        <w:rPr>
          <w:rFonts w:ascii="Arial" w:hAnsi="Arial"/>
          <w:sz w:val="22"/>
          <w:szCs w:val="22"/>
        </w:rPr>
        <w:t>) 25 microgram.</w:t>
      </w:r>
    </w:p>
    <w:p w:rsidR="003A611C" w:rsidRDefault="003A611C" w:rsidP="003A611C">
      <w:pPr>
        <w:pStyle w:val="ListParagraph"/>
        <w:ind w:left="709"/>
        <w:jc w:val="both"/>
        <w:rPr>
          <w:rFonts w:ascii="Arial" w:hAnsi="Arial"/>
          <w:sz w:val="22"/>
          <w:szCs w:val="22"/>
        </w:rPr>
      </w:pPr>
    </w:p>
    <w:p w:rsidR="003A611C" w:rsidRPr="00DC7944" w:rsidRDefault="003A611C" w:rsidP="00DC7944">
      <w:pPr>
        <w:pStyle w:val="ListParagraph"/>
        <w:numPr>
          <w:ilvl w:val="1"/>
          <w:numId w:val="25"/>
        </w:numPr>
        <w:jc w:val="both"/>
        <w:rPr>
          <w:rFonts w:ascii="Arial" w:hAnsi="Arial"/>
          <w:sz w:val="22"/>
          <w:szCs w:val="22"/>
        </w:rPr>
      </w:pPr>
      <w:r w:rsidRPr="00DC7944">
        <w:rPr>
          <w:rFonts w:ascii="Arial" w:hAnsi="Arial"/>
          <w:sz w:val="22"/>
          <w:szCs w:val="22"/>
        </w:rPr>
        <w:t xml:space="preserve">While other treatments for COPD are currently </w:t>
      </w:r>
      <w:r w:rsidR="000B6530" w:rsidRPr="00DC7944">
        <w:rPr>
          <w:rFonts w:ascii="Arial" w:hAnsi="Arial"/>
          <w:sz w:val="22"/>
          <w:szCs w:val="22"/>
        </w:rPr>
        <w:t>R</w:t>
      </w:r>
      <w:r w:rsidRPr="00DC7944">
        <w:rPr>
          <w:rFonts w:ascii="Arial" w:hAnsi="Arial"/>
          <w:sz w:val="22"/>
          <w:szCs w:val="22"/>
        </w:rPr>
        <w:t xml:space="preserve">estricted </w:t>
      </w:r>
      <w:r w:rsidR="000B6530" w:rsidRPr="00DC7944">
        <w:rPr>
          <w:rFonts w:ascii="Arial" w:hAnsi="Arial"/>
          <w:sz w:val="22"/>
          <w:szCs w:val="22"/>
        </w:rPr>
        <w:t>B</w:t>
      </w:r>
      <w:r w:rsidRPr="00DC7944">
        <w:rPr>
          <w:rFonts w:ascii="Arial" w:hAnsi="Arial"/>
          <w:sz w:val="22"/>
          <w:szCs w:val="22"/>
        </w:rPr>
        <w:t xml:space="preserve">enefits, the PBAC considered it would be appropriate for </w:t>
      </w:r>
      <w:proofErr w:type="spellStart"/>
      <w:r w:rsidRPr="00DC7944">
        <w:rPr>
          <w:rFonts w:ascii="Arial" w:hAnsi="Arial"/>
          <w:sz w:val="22"/>
          <w:szCs w:val="22"/>
        </w:rPr>
        <w:t>indacaterol</w:t>
      </w:r>
      <w:proofErr w:type="spellEnd"/>
      <w:r w:rsidRPr="00DC7944">
        <w:rPr>
          <w:rFonts w:ascii="Arial" w:hAnsi="Arial"/>
          <w:sz w:val="22"/>
          <w:szCs w:val="22"/>
        </w:rPr>
        <w:t>/</w:t>
      </w:r>
      <w:proofErr w:type="spellStart"/>
      <w:r w:rsidRPr="00DC7944">
        <w:rPr>
          <w:rFonts w:ascii="Arial" w:hAnsi="Arial"/>
          <w:sz w:val="22"/>
          <w:szCs w:val="22"/>
        </w:rPr>
        <w:t>glycopyrronium</w:t>
      </w:r>
      <w:proofErr w:type="spellEnd"/>
      <w:r w:rsidRPr="00DC7944">
        <w:rPr>
          <w:rFonts w:ascii="Arial" w:hAnsi="Arial"/>
          <w:sz w:val="22"/>
          <w:szCs w:val="22"/>
        </w:rPr>
        <w:t xml:space="preserve"> to be listed as a </w:t>
      </w:r>
      <w:r w:rsidR="00A302F1" w:rsidRPr="00DC7944">
        <w:rPr>
          <w:rFonts w:ascii="Arial" w:hAnsi="Arial"/>
          <w:sz w:val="22"/>
          <w:szCs w:val="22"/>
        </w:rPr>
        <w:t xml:space="preserve">Streamlined Authority </w:t>
      </w:r>
      <w:r w:rsidRPr="00DC7944">
        <w:rPr>
          <w:rFonts w:ascii="Arial" w:hAnsi="Arial"/>
          <w:sz w:val="22"/>
          <w:szCs w:val="22"/>
        </w:rPr>
        <w:t>in an attempt to address inappropriate prescribing of the produc</w:t>
      </w:r>
      <w:r w:rsidR="000B6530" w:rsidRPr="00DC7944">
        <w:rPr>
          <w:rFonts w:ascii="Arial" w:hAnsi="Arial"/>
          <w:sz w:val="22"/>
          <w:szCs w:val="22"/>
        </w:rPr>
        <w:t xml:space="preserve">t, particularly in the first-line setting. The PBAC noted clinical input that confirmed initial treatment will be as monotherapy, with patients likely to be transitioned to FDC treatment only when clinically necessary. </w:t>
      </w:r>
    </w:p>
    <w:p w:rsidR="0077530F" w:rsidRDefault="0077530F" w:rsidP="0077530F">
      <w:pPr>
        <w:pStyle w:val="ListParagraph"/>
        <w:ind w:left="709"/>
        <w:jc w:val="both"/>
        <w:rPr>
          <w:rFonts w:ascii="Arial" w:hAnsi="Arial"/>
          <w:sz w:val="22"/>
          <w:szCs w:val="22"/>
        </w:rPr>
      </w:pPr>
    </w:p>
    <w:p w:rsidR="00BB7EC3" w:rsidRPr="00DC7944" w:rsidRDefault="0077530F" w:rsidP="00DC7944">
      <w:pPr>
        <w:pStyle w:val="ListParagraph"/>
        <w:numPr>
          <w:ilvl w:val="1"/>
          <w:numId w:val="25"/>
        </w:numPr>
        <w:jc w:val="both"/>
        <w:rPr>
          <w:rFonts w:ascii="Arial" w:hAnsi="Arial"/>
          <w:sz w:val="22"/>
          <w:szCs w:val="22"/>
        </w:rPr>
      </w:pPr>
      <w:r w:rsidRPr="00DC7944">
        <w:rPr>
          <w:rFonts w:ascii="Arial" w:hAnsi="Arial"/>
          <w:sz w:val="22"/>
          <w:szCs w:val="22"/>
        </w:rPr>
        <w:t>The PBAC noted that the</w:t>
      </w:r>
      <w:r w:rsidR="00D22BFC" w:rsidRPr="00DC7944">
        <w:rPr>
          <w:rFonts w:ascii="Arial" w:hAnsi="Arial"/>
          <w:sz w:val="22"/>
          <w:szCs w:val="22"/>
        </w:rPr>
        <w:t xml:space="preserve"> primary</w:t>
      </w:r>
      <w:r w:rsidRPr="00DC7944">
        <w:rPr>
          <w:rFonts w:ascii="Arial" w:hAnsi="Arial"/>
          <w:sz w:val="22"/>
          <w:szCs w:val="22"/>
        </w:rPr>
        <w:t xml:space="preserve"> concerns raised in the March 2014 submission were not adequately addressed in the resubmission as the </w:t>
      </w:r>
      <w:r w:rsidR="00D22BFC" w:rsidRPr="00DC7944">
        <w:rPr>
          <w:rFonts w:ascii="Arial" w:hAnsi="Arial"/>
          <w:sz w:val="22"/>
          <w:szCs w:val="22"/>
        </w:rPr>
        <w:t xml:space="preserve">incremental </w:t>
      </w:r>
      <w:r w:rsidRPr="00DC7944">
        <w:rPr>
          <w:rFonts w:ascii="Arial" w:hAnsi="Arial"/>
          <w:sz w:val="22"/>
          <w:szCs w:val="22"/>
        </w:rPr>
        <w:t xml:space="preserve">benefit of </w:t>
      </w:r>
      <w:r w:rsidR="00D22BFC" w:rsidRPr="00DC7944">
        <w:rPr>
          <w:rFonts w:ascii="Arial" w:hAnsi="Arial"/>
          <w:sz w:val="22"/>
          <w:szCs w:val="22"/>
        </w:rPr>
        <w:t xml:space="preserve">the </w:t>
      </w:r>
      <w:r w:rsidRPr="00DC7944">
        <w:rPr>
          <w:rFonts w:ascii="Arial" w:hAnsi="Arial"/>
          <w:sz w:val="22"/>
          <w:szCs w:val="22"/>
        </w:rPr>
        <w:t>combination</w:t>
      </w:r>
      <w:r w:rsidR="00D22BFC" w:rsidRPr="00DC7944">
        <w:rPr>
          <w:rFonts w:ascii="Arial" w:hAnsi="Arial"/>
          <w:sz w:val="22"/>
          <w:szCs w:val="22"/>
        </w:rPr>
        <w:t xml:space="preserve"> product could not be translated into clinically relevant measures of effect.</w:t>
      </w:r>
      <w:r w:rsidRPr="00DC7944">
        <w:rPr>
          <w:rFonts w:ascii="Arial" w:hAnsi="Arial"/>
          <w:sz w:val="22"/>
          <w:szCs w:val="22"/>
        </w:rPr>
        <w:t xml:space="preserve"> However, the Committee accepted </w:t>
      </w:r>
      <w:r w:rsidR="003A611C" w:rsidRPr="00DC7944">
        <w:rPr>
          <w:rFonts w:ascii="Arial" w:hAnsi="Arial"/>
          <w:sz w:val="22"/>
          <w:szCs w:val="22"/>
        </w:rPr>
        <w:t xml:space="preserve">that there are both benefits and cost savings for </w:t>
      </w:r>
      <w:r w:rsidRPr="00DC7944">
        <w:rPr>
          <w:rFonts w:ascii="Arial" w:hAnsi="Arial"/>
          <w:sz w:val="22"/>
          <w:szCs w:val="22"/>
        </w:rPr>
        <w:t>patients who are already using individual LAMA and LABA in separate devices.</w:t>
      </w:r>
    </w:p>
    <w:p w:rsidR="00BB7EC3" w:rsidRPr="00BB7EC3" w:rsidRDefault="00BB7EC3" w:rsidP="00BB7EC3">
      <w:pPr>
        <w:pStyle w:val="ListParagraph"/>
        <w:rPr>
          <w:rFonts w:ascii="Arial" w:hAnsi="Arial"/>
          <w:sz w:val="22"/>
          <w:szCs w:val="22"/>
        </w:rPr>
      </w:pPr>
    </w:p>
    <w:p w:rsidR="00BB7EC3" w:rsidRPr="00DC7944" w:rsidRDefault="001A74FA"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PBAC accepted that </w:t>
      </w:r>
      <w:proofErr w:type="spellStart"/>
      <w:r w:rsidRPr="00DC7944">
        <w:rPr>
          <w:rFonts w:ascii="Arial" w:hAnsi="Arial"/>
          <w:sz w:val="22"/>
          <w:szCs w:val="22"/>
        </w:rPr>
        <w:t>indacaterol</w:t>
      </w:r>
      <w:proofErr w:type="spellEnd"/>
      <w:r w:rsidRPr="00DC7944">
        <w:rPr>
          <w:rFonts w:ascii="Arial" w:hAnsi="Arial"/>
          <w:sz w:val="22"/>
          <w:szCs w:val="22"/>
        </w:rPr>
        <w:t>/</w:t>
      </w:r>
      <w:proofErr w:type="spellStart"/>
      <w:r w:rsidRPr="00DC7944">
        <w:rPr>
          <w:rFonts w:ascii="Arial" w:hAnsi="Arial"/>
          <w:sz w:val="22"/>
          <w:szCs w:val="22"/>
        </w:rPr>
        <w:t>glycopyrronium</w:t>
      </w:r>
      <w:proofErr w:type="spellEnd"/>
      <w:r w:rsidRPr="00DC7944">
        <w:rPr>
          <w:rFonts w:ascii="Arial" w:hAnsi="Arial"/>
          <w:sz w:val="22"/>
          <w:szCs w:val="22"/>
        </w:rPr>
        <w:t xml:space="preserve"> has a place in therapy for patients already stabi</w:t>
      </w:r>
      <w:r w:rsidR="00F44B8B" w:rsidRPr="00DC7944">
        <w:rPr>
          <w:rFonts w:ascii="Arial" w:hAnsi="Arial"/>
          <w:sz w:val="22"/>
          <w:szCs w:val="22"/>
        </w:rPr>
        <w:t xml:space="preserve">lised on individual components, noting one consumer comment which stated that a combination product would improve management for COPD patients. </w:t>
      </w:r>
    </w:p>
    <w:p w:rsidR="005435EC" w:rsidRDefault="005435EC" w:rsidP="000B6530">
      <w:pPr>
        <w:pStyle w:val="ListParagraph"/>
        <w:ind w:left="709"/>
        <w:jc w:val="both"/>
        <w:rPr>
          <w:rFonts w:ascii="Arial" w:hAnsi="Arial"/>
          <w:sz w:val="22"/>
          <w:szCs w:val="22"/>
        </w:rPr>
      </w:pPr>
    </w:p>
    <w:p w:rsidR="005435EC" w:rsidRPr="00DC7944" w:rsidRDefault="005435EC"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PBAC noted that there is significant confusion among prescribers regarding medicines used in COPD and as such, names of individual LAMAs and LABAs should be noted in the restriction. </w:t>
      </w:r>
    </w:p>
    <w:p w:rsidR="006025EE" w:rsidRPr="006025EE" w:rsidRDefault="006025EE" w:rsidP="006025EE">
      <w:pPr>
        <w:jc w:val="both"/>
        <w:rPr>
          <w:rFonts w:ascii="Arial" w:hAnsi="Arial"/>
          <w:sz w:val="22"/>
          <w:szCs w:val="22"/>
        </w:rPr>
      </w:pPr>
    </w:p>
    <w:p w:rsidR="006D1F3D" w:rsidRPr="00DC7944" w:rsidRDefault="006D1F3D" w:rsidP="00DC7944">
      <w:pPr>
        <w:pStyle w:val="ListParagraph"/>
        <w:numPr>
          <w:ilvl w:val="1"/>
          <w:numId w:val="25"/>
        </w:numPr>
        <w:jc w:val="both"/>
        <w:rPr>
          <w:rFonts w:ascii="Arial" w:hAnsi="Arial"/>
          <w:sz w:val="22"/>
          <w:szCs w:val="22"/>
        </w:rPr>
      </w:pPr>
      <w:r w:rsidRPr="00DC7944">
        <w:rPr>
          <w:rFonts w:ascii="Arial" w:hAnsi="Arial"/>
          <w:sz w:val="22"/>
          <w:u w:val="single"/>
        </w:rPr>
        <w:t xml:space="preserve">Advice to the Minister under Subsection 101 3BA of the </w:t>
      </w:r>
      <w:r w:rsidRPr="00DC7944">
        <w:rPr>
          <w:rFonts w:ascii="Arial" w:hAnsi="Arial"/>
          <w:i/>
          <w:sz w:val="22"/>
          <w:u w:val="single"/>
        </w:rPr>
        <w:t>National Health Act</w:t>
      </w:r>
      <w:r w:rsidRPr="00DC7944">
        <w:rPr>
          <w:rFonts w:ascii="Arial" w:hAnsi="Arial"/>
          <w:sz w:val="22"/>
        </w:rPr>
        <w:t xml:space="preserve"> </w:t>
      </w:r>
    </w:p>
    <w:p w:rsidR="006D1F3D" w:rsidRDefault="006D1F3D" w:rsidP="006D1F3D">
      <w:pPr>
        <w:ind w:left="709"/>
        <w:jc w:val="both"/>
        <w:rPr>
          <w:rFonts w:ascii="Arial" w:hAnsi="Arial"/>
          <w:sz w:val="22"/>
        </w:rPr>
      </w:pPr>
      <w:r w:rsidRPr="00767187">
        <w:rPr>
          <w:rFonts w:ascii="Arial" w:hAnsi="Arial"/>
          <w:sz w:val="22"/>
        </w:rPr>
        <w:t xml:space="preserve">In accordance with subsection 101(3BA) of the </w:t>
      </w:r>
      <w:r w:rsidRPr="00767187">
        <w:rPr>
          <w:rFonts w:ascii="Arial" w:hAnsi="Arial"/>
          <w:i/>
          <w:sz w:val="22"/>
        </w:rPr>
        <w:t>National Health Act</w:t>
      </w:r>
      <w:r w:rsidRPr="00767187">
        <w:rPr>
          <w:rFonts w:ascii="Arial" w:hAnsi="Arial"/>
          <w:sz w:val="22"/>
        </w:rPr>
        <w:t xml:space="preserve"> 1953, the PBAC advised that it is of the opinion that </w:t>
      </w:r>
      <w:proofErr w:type="spellStart"/>
      <w:r>
        <w:rPr>
          <w:rFonts w:ascii="Arial" w:hAnsi="Arial"/>
          <w:sz w:val="22"/>
        </w:rPr>
        <w:t>indacaterol</w:t>
      </w:r>
      <w:proofErr w:type="spellEnd"/>
      <w:r>
        <w:rPr>
          <w:rFonts w:ascii="Arial" w:hAnsi="Arial"/>
          <w:sz w:val="22"/>
        </w:rPr>
        <w:t>/</w:t>
      </w:r>
      <w:proofErr w:type="spellStart"/>
      <w:r>
        <w:rPr>
          <w:rFonts w:ascii="Arial" w:hAnsi="Arial"/>
          <w:sz w:val="22"/>
        </w:rPr>
        <w:t>glycopyrronium</w:t>
      </w:r>
      <w:proofErr w:type="spellEnd"/>
      <w:r w:rsidRPr="00767187">
        <w:rPr>
          <w:rFonts w:ascii="Arial" w:hAnsi="Arial"/>
          <w:sz w:val="22"/>
        </w:rPr>
        <w:t xml:space="preserve"> should be treated as interchangeable on an individual patient basis with</w:t>
      </w:r>
      <w:r>
        <w:rPr>
          <w:rFonts w:ascii="Arial" w:hAnsi="Arial"/>
          <w:sz w:val="22"/>
        </w:rPr>
        <w:t xml:space="preserve"> </w:t>
      </w:r>
      <w:proofErr w:type="spellStart"/>
      <w:r>
        <w:rPr>
          <w:rFonts w:ascii="Arial" w:hAnsi="Arial"/>
          <w:sz w:val="22"/>
        </w:rPr>
        <w:t>umeclidinium</w:t>
      </w:r>
      <w:proofErr w:type="spellEnd"/>
      <w:r>
        <w:rPr>
          <w:rFonts w:ascii="Arial" w:hAnsi="Arial"/>
          <w:sz w:val="22"/>
        </w:rPr>
        <w:t>/</w:t>
      </w:r>
      <w:proofErr w:type="spellStart"/>
      <w:r>
        <w:rPr>
          <w:rFonts w:ascii="Arial" w:hAnsi="Arial"/>
          <w:sz w:val="22"/>
        </w:rPr>
        <w:t>vilanterol</w:t>
      </w:r>
      <w:proofErr w:type="spellEnd"/>
      <w:r>
        <w:rPr>
          <w:rFonts w:ascii="Arial" w:hAnsi="Arial"/>
          <w:sz w:val="22"/>
        </w:rPr>
        <w:t xml:space="preserve">. </w:t>
      </w:r>
    </w:p>
    <w:p w:rsidR="00BB7EC3" w:rsidRPr="00BB7EC3" w:rsidRDefault="00BB7EC3" w:rsidP="00BB7EC3">
      <w:pPr>
        <w:pStyle w:val="ListParagraph"/>
        <w:rPr>
          <w:rFonts w:ascii="Arial" w:hAnsi="Arial"/>
          <w:sz w:val="22"/>
          <w:szCs w:val="22"/>
        </w:rPr>
      </w:pPr>
    </w:p>
    <w:p w:rsidR="00BB7EC3" w:rsidRPr="00DC7944" w:rsidRDefault="00BB7EC3" w:rsidP="00DC7944">
      <w:pPr>
        <w:pStyle w:val="ListParagraph"/>
        <w:numPr>
          <w:ilvl w:val="1"/>
          <w:numId w:val="25"/>
        </w:numPr>
        <w:jc w:val="both"/>
        <w:rPr>
          <w:rFonts w:ascii="Arial" w:hAnsi="Arial"/>
          <w:sz w:val="22"/>
          <w:szCs w:val="22"/>
        </w:rPr>
      </w:pPr>
      <w:r w:rsidRPr="00DC7944">
        <w:rPr>
          <w:rFonts w:ascii="Arial" w:hAnsi="Arial"/>
          <w:sz w:val="22"/>
          <w:szCs w:val="22"/>
        </w:rPr>
        <w:t xml:space="preserve">The PBAC advised that </w:t>
      </w:r>
      <w:proofErr w:type="spellStart"/>
      <w:r w:rsidR="0077530F" w:rsidRPr="00DC7944">
        <w:rPr>
          <w:rFonts w:ascii="Arial" w:hAnsi="Arial"/>
          <w:sz w:val="22"/>
          <w:szCs w:val="22"/>
        </w:rPr>
        <w:t>indacaterol</w:t>
      </w:r>
      <w:proofErr w:type="spellEnd"/>
      <w:r w:rsidR="0077530F" w:rsidRPr="00DC7944">
        <w:rPr>
          <w:rFonts w:ascii="Arial" w:hAnsi="Arial"/>
          <w:sz w:val="22"/>
          <w:szCs w:val="22"/>
        </w:rPr>
        <w:t>/</w:t>
      </w:r>
      <w:proofErr w:type="spellStart"/>
      <w:r w:rsidR="0077530F" w:rsidRPr="00DC7944">
        <w:rPr>
          <w:rFonts w:ascii="Arial" w:hAnsi="Arial"/>
          <w:sz w:val="22"/>
          <w:szCs w:val="22"/>
        </w:rPr>
        <w:t>glycopyrronium</w:t>
      </w:r>
      <w:proofErr w:type="spellEnd"/>
      <w:r w:rsidR="0077530F" w:rsidRPr="00DC7944">
        <w:rPr>
          <w:rFonts w:ascii="Arial" w:hAnsi="Arial"/>
          <w:sz w:val="22"/>
          <w:szCs w:val="22"/>
        </w:rPr>
        <w:t xml:space="preserve"> is suitable</w:t>
      </w:r>
      <w:r w:rsidRPr="00DC7944">
        <w:rPr>
          <w:rFonts w:ascii="Arial" w:hAnsi="Arial"/>
          <w:sz w:val="22"/>
          <w:szCs w:val="22"/>
        </w:rPr>
        <w:t xml:space="preserve"> for prescribing by </w:t>
      </w:r>
      <w:r w:rsidR="00B43E90" w:rsidRPr="00DC7944">
        <w:rPr>
          <w:rFonts w:ascii="Arial" w:hAnsi="Arial"/>
          <w:sz w:val="22"/>
          <w:szCs w:val="22"/>
        </w:rPr>
        <w:t>nurse practitioner</w:t>
      </w:r>
      <w:r w:rsidRPr="00DC7944">
        <w:rPr>
          <w:rFonts w:ascii="Arial" w:hAnsi="Arial"/>
          <w:sz w:val="22"/>
          <w:szCs w:val="22"/>
        </w:rPr>
        <w:t xml:space="preserve">s. </w:t>
      </w:r>
      <w:r w:rsidR="00B43E90" w:rsidRPr="00DC7944">
        <w:rPr>
          <w:rFonts w:ascii="Arial" w:hAnsi="Arial"/>
          <w:sz w:val="22"/>
          <w:szCs w:val="22"/>
        </w:rPr>
        <w:t xml:space="preserve"> </w:t>
      </w:r>
    </w:p>
    <w:p w:rsidR="00BB7EC3" w:rsidRPr="00BB7EC3" w:rsidRDefault="00BB7EC3" w:rsidP="00BB7EC3">
      <w:pPr>
        <w:pStyle w:val="ListParagraph"/>
        <w:rPr>
          <w:rFonts w:ascii="Arial" w:hAnsi="Arial"/>
          <w:sz w:val="22"/>
          <w:szCs w:val="22"/>
        </w:rPr>
      </w:pPr>
    </w:p>
    <w:p w:rsidR="00BB7EC3" w:rsidRPr="00DC7944" w:rsidRDefault="00BB7EC3" w:rsidP="00DC7944">
      <w:pPr>
        <w:pStyle w:val="ListParagraph"/>
        <w:numPr>
          <w:ilvl w:val="1"/>
          <w:numId w:val="25"/>
        </w:numPr>
        <w:jc w:val="both"/>
        <w:rPr>
          <w:rFonts w:ascii="Arial" w:hAnsi="Arial"/>
          <w:sz w:val="22"/>
          <w:szCs w:val="22"/>
        </w:rPr>
      </w:pPr>
      <w:r w:rsidRPr="00DC7944">
        <w:rPr>
          <w:rFonts w:ascii="Arial" w:hAnsi="Arial"/>
          <w:sz w:val="22"/>
          <w:szCs w:val="22"/>
        </w:rPr>
        <w:t>The PBAC recommended that the Safety Ne</w:t>
      </w:r>
      <w:r w:rsidR="0077530F" w:rsidRPr="00DC7944">
        <w:rPr>
          <w:rFonts w:ascii="Arial" w:hAnsi="Arial"/>
          <w:sz w:val="22"/>
          <w:szCs w:val="22"/>
        </w:rPr>
        <w:t xml:space="preserve">t 20 Day Rule should </w:t>
      </w:r>
      <w:r w:rsidRPr="00DC7944">
        <w:rPr>
          <w:rFonts w:ascii="Arial" w:hAnsi="Arial"/>
          <w:sz w:val="22"/>
          <w:szCs w:val="22"/>
        </w:rPr>
        <w:t>apply.</w:t>
      </w:r>
      <w:r w:rsidR="00B43E90" w:rsidRPr="00DC7944">
        <w:rPr>
          <w:rFonts w:ascii="Arial" w:hAnsi="Arial"/>
          <w:sz w:val="22"/>
          <w:szCs w:val="22"/>
        </w:rPr>
        <w:t xml:space="preserve"> </w:t>
      </w:r>
    </w:p>
    <w:p w:rsidR="00BB7EC3" w:rsidRDefault="00BB7EC3" w:rsidP="00BB7EC3">
      <w:pPr>
        <w:pStyle w:val="ListParagraph"/>
        <w:rPr>
          <w:rFonts w:ascii="Arial" w:hAnsi="Arial"/>
          <w:sz w:val="22"/>
          <w:szCs w:val="22"/>
        </w:rPr>
      </w:pPr>
    </w:p>
    <w:p w:rsidR="00DC7944" w:rsidRPr="00BB7EC3" w:rsidRDefault="00DC7944" w:rsidP="00BB7EC3">
      <w:pPr>
        <w:pStyle w:val="ListParagraph"/>
        <w:rPr>
          <w:rFonts w:ascii="Arial" w:hAnsi="Arial"/>
          <w:sz w:val="22"/>
          <w:szCs w:val="22"/>
        </w:rPr>
      </w:pPr>
    </w:p>
    <w:p w:rsidR="009C703C" w:rsidRPr="00882085" w:rsidRDefault="009C703C" w:rsidP="00882085">
      <w:pPr>
        <w:jc w:val="both"/>
        <w:rPr>
          <w:rFonts w:ascii="Arial" w:hAnsi="Arial"/>
          <w:b/>
          <w:sz w:val="22"/>
          <w:szCs w:val="22"/>
        </w:rPr>
      </w:pPr>
      <w:r w:rsidRPr="00882085">
        <w:rPr>
          <w:rFonts w:ascii="Arial" w:hAnsi="Arial"/>
          <w:b/>
          <w:sz w:val="22"/>
          <w:szCs w:val="22"/>
        </w:rPr>
        <w:t>Outcome:</w:t>
      </w:r>
    </w:p>
    <w:p w:rsidR="009C703C" w:rsidRDefault="0077530F" w:rsidP="00882085">
      <w:pPr>
        <w:jc w:val="both"/>
        <w:rPr>
          <w:rFonts w:ascii="Arial" w:hAnsi="Arial"/>
          <w:sz w:val="22"/>
          <w:szCs w:val="22"/>
        </w:rPr>
      </w:pPr>
      <w:proofErr w:type="gramStart"/>
      <w:r>
        <w:rPr>
          <w:rFonts w:ascii="Arial" w:hAnsi="Arial"/>
          <w:sz w:val="22"/>
          <w:szCs w:val="22"/>
        </w:rPr>
        <w:t>Recommended</w:t>
      </w:r>
      <w:r w:rsidR="00DC7944">
        <w:rPr>
          <w:rFonts w:ascii="Arial" w:hAnsi="Arial"/>
          <w:sz w:val="22"/>
          <w:szCs w:val="22"/>
        </w:rPr>
        <w:t>.</w:t>
      </w:r>
      <w:proofErr w:type="gramEnd"/>
    </w:p>
    <w:p w:rsidR="00DA0538" w:rsidRDefault="00DA0538" w:rsidP="00882085">
      <w:pPr>
        <w:jc w:val="both"/>
        <w:rPr>
          <w:rFonts w:ascii="Arial" w:hAnsi="Arial"/>
          <w:sz w:val="22"/>
          <w:szCs w:val="22"/>
        </w:rPr>
      </w:pPr>
    </w:p>
    <w:p w:rsidR="00DA0538" w:rsidRDefault="00DA0538" w:rsidP="00882085">
      <w:pPr>
        <w:jc w:val="both"/>
        <w:rPr>
          <w:rFonts w:ascii="Arial" w:hAnsi="Arial"/>
          <w:sz w:val="22"/>
          <w:szCs w:val="22"/>
        </w:rPr>
      </w:pPr>
    </w:p>
    <w:p w:rsidR="00DC7944" w:rsidRPr="00407F2D" w:rsidRDefault="00DC7944" w:rsidP="00DC7944">
      <w:pPr>
        <w:pStyle w:val="ListParagraph"/>
        <w:numPr>
          <w:ilvl w:val="0"/>
          <w:numId w:val="25"/>
        </w:numPr>
        <w:jc w:val="both"/>
        <w:rPr>
          <w:rFonts w:ascii="Arial" w:hAnsi="Arial"/>
          <w:b/>
          <w:sz w:val="22"/>
          <w:szCs w:val="22"/>
        </w:rPr>
      </w:pPr>
      <w:r w:rsidRPr="00407F2D">
        <w:rPr>
          <w:rFonts w:ascii="Arial" w:hAnsi="Arial" w:cs="Arial"/>
          <w:b/>
          <w:sz w:val="22"/>
          <w:szCs w:val="22"/>
        </w:rPr>
        <w:t>Recommended listing</w:t>
      </w:r>
    </w:p>
    <w:p w:rsidR="006906DB" w:rsidRPr="00882085" w:rsidRDefault="006906DB" w:rsidP="00882085">
      <w:pPr>
        <w:jc w:val="both"/>
        <w:rPr>
          <w:rFonts w:ascii="Arial" w:hAnsi="Arial"/>
          <w:sz w:val="22"/>
          <w:szCs w:val="22"/>
        </w:rPr>
      </w:pPr>
    </w:p>
    <w:p w:rsidR="00D0321E" w:rsidRPr="00DC7944" w:rsidRDefault="00D0321E" w:rsidP="00DC7944">
      <w:pPr>
        <w:pStyle w:val="ListParagraph"/>
        <w:numPr>
          <w:ilvl w:val="1"/>
          <w:numId w:val="25"/>
        </w:numPr>
        <w:jc w:val="both"/>
        <w:rPr>
          <w:rFonts w:ascii="Arial" w:hAnsi="Arial"/>
          <w:sz w:val="22"/>
          <w:szCs w:val="22"/>
        </w:rPr>
      </w:pPr>
      <w:r w:rsidRPr="00DC7944">
        <w:rPr>
          <w:rFonts w:ascii="Arial" w:hAnsi="Arial"/>
          <w:sz w:val="22"/>
          <w:szCs w:val="22"/>
        </w:rPr>
        <w:t>Add new item:</w:t>
      </w:r>
    </w:p>
    <w:p w:rsidR="00D0321E" w:rsidRPr="00882085" w:rsidRDefault="00D0321E" w:rsidP="00882085">
      <w:pPr>
        <w:pStyle w:val="ListParagraph"/>
        <w:ind w:left="709"/>
        <w:jc w:val="both"/>
        <w:rPr>
          <w:rFonts w:ascii="Arial" w:hAnsi="Arial"/>
          <w:sz w:val="22"/>
          <w:szCs w:val="22"/>
        </w:rPr>
      </w:pPr>
    </w:p>
    <w:p w:rsidR="00D0321E" w:rsidRPr="00882085" w:rsidRDefault="00D0321E" w:rsidP="00882085">
      <w:pPr>
        <w:pStyle w:val="ListParagraph"/>
        <w:ind w:left="709"/>
        <w:jc w:val="both"/>
        <w:rPr>
          <w:rFonts w:ascii="Arial" w:hAnsi="Arial"/>
          <w:sz w:val="22"/>
          <w:szCs w:val="22"/>
        </w:rPr>
      </w:pPr>
    </w:p>
    <w:tbl>
      <w:tblPr>
        <w:tblW w:w="8375" w:type="dxa"/>
        <w:tblInd w:w="817" w:type="dxa"/>
        <w:tblLayout w:type="fixed"/>
        <w:tblLook w:val="0000" w:firstRow="0" w:lastRow="0" w:firstColumn="0" w:lastColumn="0" w:noHBand="0" w:noVBand="0"/>
      </w:tblPr>
      <w:tblGrid>
        <w:gridCol w:w="4536"/>
        <w:gridCol w:w="851"/>
        <w:gridCol w:w="850"/>
        <w:gridCol w:w="992"/>
        <w:gridCol w:w="1146"/>
      </w:tblGrid>
      <w:tr w:rsidR="0077530F" w:rsidRPr="00FB1003" w:rsidTr="00DA0538">
        <w:trPr>
          <w:cantSplit/>
          <w:trHeight w:val="343"/>
        </w:trPr>
        <w:tc>
          <w:tcPr>
            <w:tcW w:w="4536" w:type="dxa"/>
            <w:tcBorders>
              <w:bottom w:val="single" w:sz="6" w:space="0" w:color="auto"/>
            </w:tcBorders>
          </w:tcPr>
          <w:p w:rsidR="0077530F" w:rsidRPr="00FB1003" w:rsidRDefault="0077530F" w:rsidP="00D22BFC">
            <w:pPr>
              <w:keepNext/>
              <w:ind w:left="-108"/>
              <w:jc w:val="both"/>
              <w:rPr>
                <w:rFonts w:ascii="Arial" w:hAnsi="Arial" w:cs="Arial"/>
                <w:sz w:val="20"/>
              </w:rPr>
            </w:pPr>
            <w:r w:rsidRPr="00FB1003">
              <w:rPr>
                <w:rFonts w:ascii="Arial" w:hAnsi="Arial" w:cs="Arial"/>
                <w:sz w:val="20"/>
              </w:rPr>
              <w:lastRenderedPageBreak/>
              <w:t>Name, Restriction,</w:t>
            </w:r>
          </w:p>
          <w:p w:rsidR="0077530F" w:rsidRPr="00FB1003" w:rsidRDefault="0077530F" w:rsidP="00D22BFC">
            <w:pPr>
              <w:keepNext/>
              <w:ind w:left="-108"/>
              <w:jc w:val="both"/>
              <w:rPr>
                <w:rFonts w:ascii="Arial" w:hAnsi="Arial" w:cs="Arial"/>
                <w:sz w:val="20"/>
              </w:rPr>
            </w:pPr>
            <w:r w:rsidRPr="00FB1003">
              <w:rPr>
                <w:rFonts w:ascii="Arial" w:hAnsi="Arial" w:cs="Arial"/>
                <w:sz w:val="20"/>
              </w:rPr>
              <w:t>Manner of administration and form</w:t>
            </w:r>
          </w:p>
        </w:tc>
        <w:tc>
          <w:tcPr>
            <w:tcW w:w="851" w:type="dxa"/>
            <w:tcBorders>
              <w:bottom w:val="single" w:sz="6" w:space="0" w:color="auto"/>
            </w:tcBorders>
          </w:tcPr>
          <w:p w:rsidR="0077530F" w:rsidRPr="00FB1003" w:rsidRDefault="0077530F" w:rsidP="00D22BFC">
            <w:pPr>
              <w:keepNext/>
              <w:ind w:left="-108"/>
              <w:jc w:val="both"/>
              <w:rPr>
                <w:rFonts w:ascii="Arial" w:hAnsi="Arial" w:cs="Arial"/>
                <w:sz w:val="20"/>
              </w:rPr>
            </w:pPr>
            <w:r w:rsidRPr="00FB1003">
              <w:rPr>
                <w:rFonts w:ascii="Arial" w:hAnsi="Arial" w:cs="Arial"/>
                <w:sz w:val="20"/>
              </w:rPr>
              <w:t>Max.</w:t>
            </w:r>
          </w:p>
          <w:p w:rsidR="0077530F" w:rsidRPr="00FB1003" w:rsidRDefault="0077530F" w:rsidP="00D22BFC">
            <w:pPr>
              <w:keepNext/>
              <w:ind w:left="-108"/>
              <w:jc w:val="both"/>
              <w:rPr>
                <w:rFonts w:ascii="Arial" w:hAnsi="Arial" w:cs="Arial"/>
                <w:sz w:val="20"/>
              </w:rPr>
            </w:pPr>
            <w:proofErr w:type="spellStart"/>
            <w:r w:rsidRPr="00FB1003">
              <w:rPr>
                <w:rFonts w:ascii="Arial" w:hAnsi="Arial" w:cs="Arial"/>
                <w:sz w:val="20"/>
              </w:rPr>
              <w:t>Qty</w:t>
            </w:r>
            <w:proofErr w:type="spellEnd"/>
          </w:p>
        </w:tc>
        <w:tc>
          <w:tcPr>
            <w:tcW w:w="850" w:type="dxa"/>
            <w:tcBorders>
              <w:bottom w:val="single" w:sz="6" w:space="0" w:color="auto"/>
            </w:tcBorders>
          </w:tcPr>
          <w:p w:rsidR="0077530F" w:rsidRPr="00FB1003" w:rsidRDefault="0077530F" w:rsidP="00D22BFC">
            <w:pPr>
              <w:keepNext/>
              <w:ind w:left="-108"/>
              <w:jc w:val="both"/>
              <w:rPr>
                <w:rFonts w:ascii="Arial" w:hAnsi="Arial" w:cs="Arial"/>
                <w:sz w:val="20"/>
              </w:rPr>
            </w:pPr>
            <w:r w:rsidRPr="00FB1003">
              <w:rPr>
                <w:rFonts w:ascii="Arial" w:hAnsi="Arial" w:cs="Arial"/>
                <w:sz w:val="20"/>
              </w:rPr>
              <w:t>№.of</w:t>
            </w:r>
          </w:p>
          <w:p w:rsidR="0077530F" w:rsidRPr="00FB1003" w:rsidRDefault="0077530F" w:rsidP="00D22BFC">
            <w:pPr>
              <w:keepNext/>
              <w:ind w:left="-108"/>
              <w:jc w:val="both"/>
              <w:rPr>
                <w:rFonts w:ascii="Arial" w:hAnsi="Arial" w:cs="Arial"/>
                <w:sz w:val="20"/>
              </w:rPr>
            </w:pPr>
            <w:proofErr w:type="spellStart"/>
            <w:r w:rsidRPr="00FB1003">
              <w:rPr>
                <w:rFonts w:ascii="Arial" w:hAnsi="Arial" w:cs="Arial"/>
                <w:sz w:val="20"/>
              </w:rPr>
              <w:t>Rpts</w:t>
            </w:r>
            <w:proofErr w:type="spellEnd"/>
          </w:p>
        </w:tc>
        <w:tc>
          <w:tcPr>
            <w:tcW w:w="2138" w:type="dxa"/>
            <w:gridSpan w:val="2"/>
            <w:tcBorders>
              <w:bottom w:val="single" w:sz="6" w:space="0" w:color="auto"/>
            </w:tcBorders>
          </w:tcPr>
          <w:p w:rsidR="0077530F" w:rsidRPr="00FB1003" w:rsidRDefault="0077530F" w:rsidP="00D22BFC">
            <w:pPr>
              <w:keepNext/>
              <w:jc w:val="both"/>
              <w:rPr>
                <w:rFonts w:ascii="Arial" w:hAnsi="Arial" w:cs="Arial"/>
                <w:sz w:val="20"/>
                <w:lang w:val="fr-FR"/>
              </w:rPr>
            </w:pPr>
            <w:r w:rsidRPr="00FB1003">
              <w:rPr>
                <w:rFonts w:ascii="Arial" w:hAnsi="Arial" w:cs="Arial"/>
                <w:sz w:val="20"/>
              </w:rPr>
              <w:t>Proprietary Name and Manufacturer</w:t>
            </w:r>
          </w:p>
        </w:tc>
      </w:tr>
      <w:tr w:rsidR="0077530F" w:rsidRPr="00FB1003" w:rsidTr="00982F2D">
        <w:trPr>
          <w:cantSplit/>
          <w:trHeight w:val="420"/>
        </w:trPr>
        <w:tc>
          <w:tcPr>
            <w:tcW w:w="4536" w:type="dxa"/>
            <w:tcBorders>
              <w:top w:val="single" w:sz="6" w:space="0" w:color="auto"/>
            </w:tcBorders>
          </w:tcPr>
          <w:p w:rsidR="0077530F" w:rsidRPr="00FB1003" w:rsidRDefault="00DC2CEC" w:rsidP="0077530F">
            <w:pPr>
              <w:keepNext/>
              <w:ind w:left="-108"/>
              <w:rPr>
                <w:rFonts w:ascii="Arial" w:hAnsi="Arial" w:cs="Arial"/>
                <w:sz w:val="20"/>
                <w:szCs w:val="20"/>
              </w:rPr>
            </w:pPr>
            <w:r>
              <w:rPr>
                <w:rFonts w:ascii="Arial" w:hAnsi="Arial" w:cs="Arial"/>
                <w:smallCaps/>
                <w:sz w:val="20"/>
                <w:szCs w:val="20"/>
              </w:rPr>
              <w:t>INDACATEROL/</w:t>
            </w:r>
            <w:r w:rsidR="0077530F">
              <w:rPr>
                <w:rFonts w:ascii="Arial" w:hAnsi="Arial" w:cs="Arial"/>
                <w:smallCaps/>
                <w:sz w:val="20"/>
                <w:szCs w:val="20"/>
              </w:rPr>
              <w:t xml:space="preserve">GLYCOPYRRONIUM </w:t>
            </w:r>
          </w:p>
          <w:p w:rsidR="0077530F" w:rsidRDefault="0077530F" w:rsidP="0077530F">
            <w:pPr>
              <w:keepNext/>
              <w:ind w:left="-108"/>
              <w:jc w:val="both"/>
              <w:rPr>
                <w:rFonts w:ascii="Arial" w:hAnsi="Arial" w:cs="Arial"/>
                <w:sz w:val="20"/>
              </w:rPr>
            </w:pPr>
            <w:r>
              <w:rPr>
                <w:rFonts w:ascii="Arial" w:hAnsi="Arial" w:cs="Arial"/>
                <w:sz w:val="20"/>
              </w:rPr>
              <w:t xml:space="preserve">Inhalation: powder for, </w:t>
            </w:r>
            <w:r w:rsidR="004D335A">
              <w:rPr>
                <w:rFonts w:ascii="Arial" w:hAnsi="Arial" w:cs="Arial"/>
                <w:sz w:val="20"/>
              </w:rPr>
              <w:t xml:space="preserve">30 </w:t>
            </w:r>
            <w:r>
              <w:rPr>
                <w:rFonts w:ascii="Arial" w:hAnsi="Arial" w:cs="Arial"/>
                <w:sz w:val="20"/>
              </w:rPr>
              <w:t xml:space="preserve">capsules, </w:t>
            </w:r>
            <w:proofErr w:type="spellStart"/>
            <w:r>
              <w:rPr>
                <w:rFonts w:ascii="Arial" w:hAnsi="Arial" w:cs="Arial"/>
                <w:sz w:val="20"/>
              </w:rPr>
              <w:t>indacaterol</w:t>
            </w:r>
            <w:proofErr w:type="spellEnd"/>
            <w:r>
              <w:rPr>
                <w:rFonts w:ascii="Arial" w:hAnsi="Arial" w:cs="Arial"/>
                <w:sz w:val="20"/>
              </w:rPr>
              <w:t xml:space="preserve"> maleate 110 microgram + </w:t>
            </w:r>
            <w:proofErr w:type="spellStart"/>
            <w:r>
              <w:rPr>
                <w:rFonts w:ascii="Arial" w:hAnsi="Arial" w:cs="Arial"/>
                <w:sz w:val="20"/>
              </w:rPr>
              <w:t>glycopyrronium</w:t>
            </w:r>
            <w:proofErr w:type="spellEnd"/>
            <w:r>
              <w:rPr>
                <w:rFonts w:ascii="Arial" w:hAnsi="Arial" w:cs="Arial"/>
                <w:sz w:val="20"/>
              </w:rPr>
              <w:t xml:space="preserve"> bromide 50 microgram</w:t>
            </w:r>
          </w:p>
          <w:p w:rsidR="004D335A" w:rsidRPr="00FB1003" w:rsidRDefault="004D335A" w:rsidP="0077530F">
            <w:pPr>
              <w:keepNext/>
              <w:ind w:left="-108"/>
              <w:jc w:val="both"/>
              <w:rPr>
                <w:rFonts w:ascii="Arial" w:hAnsi="Arial" w:cs="Arial"/>
                <w:sz w:val="20"/>
              </w:rPr>
            </w:pPr>
          </w:p>
        </w:tc>
        <w:tc>
          <w:tcPr>
            <w:tcW w:w="851" w:type="dxa"/>
            <w:tcBorders>
              <w:top w:val="single" w:sz="6" w:space="0" w:color="auto"/>
            </w:tcBorders>
          </w:tcPr>
          <w:p w:rsidR="0077530F" w:rsidRPr="00FB1003" w:rsidRDefault="0077530F" w:rsidP="00D22BFC">
            <w:pPr>
              <w:keepNext/>
              <w:ind w:left="-108"/>
              <w:jc w:val="both"/>
              <w:rPr>
                <w:rFonts w:ascii="Arial" w:hAnsi="Arial" w:cs="Arial"/>
                <w:sz w:val="20"/>
              </w:rPr>
            </w:pPr>
          </w:p>
          <w:p w:rsidR="0077530F" w:rsidRPr="00FB1003" w:rsidRDefault="0077530F" w:rsidP="00D22BFC">
            <w:pPr>
              <w:keepNext/>
              <w:ind w:left="-108"/>
              <w:jc w:val="both"/>
              <w:rPr>
                <w:rFonts w:ascii="Arial" w:hAnsi="Arial" w:cs="Arial"/>
                <w:sz w:val="20"/>
              </w:rPr>
            </w:pPr>
            <w:r>
              <w:rPr>
                <w:rFonts w:ascii="Arial" w:hAnsi="Arial" w:cs="Arial"/>
                <w:sz w:val="20"/>
              </w:rPr>
              <w:t>1</w:t>
            </w:r>
          </w:p>
        </w:tc>
        <w:tc>
          <w:tcPr>
            <w:tcW w:w="850" w:type="dxa"/>
            <w:tcBorders>
              <w:top w:val="single" w:sz="6" w:space="0" w:color="auto"/>
            </w:tcBorders>
          </w:tcPr>
          <w:p w:rsidR="0077530F" w:rsidRDefault="0077530F" w:rsidP="00D22BFC">
            <w:pPr>
              <w:keepNext/>
              <w:ind w:left="-108"/>
              <w:jc w:val="both"/>
              <w:rPr>
                <w:rFonts w:ascii="Arial" w:hAnsi="Arial" w:cs="Arial"/>
                <w:sz w:val="20"/>
              </w:rPr>
            </w:pPr>
            <w:r>
              <w:rPr>
                <w:rFonts w:ascii="Arial" w:hAnsi="Arial" w:cs="Arial"/>
                <w:sz w:val="20"/>
              </w:rPr>
              <w:t xml:space="preserve"> </w:t>
            </w:r>
          </w:p>
          <w:p w:rsidR="0077530F" w:rsidRPr="00FB1003" w:rsidRDefault="0077530F" w:rsidP="00D22BFC">
            <w:pPr>
              <w:keepNext/>
              <w:ind w:left="-108"/>
              <w:jc w:val="both"/>
              <w:rPr>
                <w:rFonts w:ascii="Arial" w:hAnsi="Arial" w:cs="Arial"/>
                <w:sz w:val="20"/>
              </w:rPr>
            </w:pPr>
            <w:r>
              <w:rPr>
                <w:rFonts w:ascii="Arial" w:hAnsi="Arial" w:cs="Arial"/>
                <w:sz w:val="20"/>
              </w:rPr>
              <w:t>5</w:t>
            </w:r>
          </w:p>
        </w:tc>
        <w:tc>
          <w:tcPr>
            <w:tcW w:w="992" w:type="dxa"/>
            <w:tcBorders>
              <w:top w:val="single" w:sz="6" w:space="0" w:color="auto"/>
            </w:tcBorders>
          </w:tcPr>
          <w:p w:rsidR="0077530F" w:rsidRDefault="0077530F" w:rsidP="00D22BFC">
            <w:pPr>
              <w:keepNext/>
              <w:jc w:val="both"/>
              <w:rPr>
                <w:rFonts w:ascii="Arial" w:hAnsi="Arial" w:cs="Arial"/>
                <w:sz w:val="20"/>
              </w:rPr>
            </w:pPr>
          </w:p>
          <w:p w:rsidR="0077530F" w:rsidRDefault="004D335A" w:rsidP="00D22BFC">
            <w:pPr>
              <w:keepNext/>
              <w:jc w:val="both"/>
              <w:rPr>
                <w:rFonts w:ascii="Arial" w:hAnsi="Arial" w:cs="Arial"/>
                <w:b/>
                <w:sz w:val="28"/>
                <w:szCs w:val="28"/>
                <w:vertAlign w:val="superscript"/>
              </w:rPr>
            </w:pPr>
            <w:proofErr w:type="spellStart"/>
            <w:r>
              <w:rPr>
                <w:rFonts w:ascii="Arial" w:hAnsi="Arial" w:cs="Arial"/>
                <w:sz w:val="20"/>
              </w:rPr>
              <w:t>Ultibro</w:t>
            </w:r>
            <w:proofErr w:type="spellEnd"/>
            <w:r w:rsidR="0095503A" w:rsidRPr="002B76FD">
              <w:rPr>
                <w:rFonts w:ascii="Arial" w:hAnsi="Arial" w:cs="Arial"/>
                <w:b/>
                <w:sz w:val="28"/>
                <w:szCs w:val="28"/>
                <w:vertAlign w:val="superscript"/>
              </w:rPr>
              <w:t>®</w:t>
            </w:r>
          </w:p>
          <w:p w:rsidR="00670F36" w:rsidRPr="00FB1003" w:rsidRDefault="00670F36" w:rsidP="00D22BFC">
            <w:pPr>
              <w:keepNext/>
              <w:jc w:val="both"/>
              <w:rPr>
                <w:rFonts w:ascii="Arial" w:hAnsi="Arial" w:cs="Arial"/>
                <w:sz w:val="20"/>
              </w:rPr>
            </w:pPr>
            <w:proofErr w:type="spellStart"/>
            <w:r w:rsidRPr="00670F36">
              <w:rPr>
                <w:rFonts w:ascii="Arial" w:hAnsi="Arial" w:cs="Arial"/>
                <w:sz w:val="20"/>
                <w:szCs w:val="20"/>
              </w:rPr>
              <w:t>Breezhaler</w:t>
            </w:r>
            <w:proofErr w:type="spellEnd"/>
            <w:r w:rsidRPr="00670F36">
              <w:rPr>
                <w:rFonts w:ascii="Arial" w:hAnsi="Arial" w:cs="Arial"/>
                <w:sz w:val="20"/>
                <w:szCs w:val="20"/>
              </w:rPr>
              <w:t>® 110/50</w:t>
            </w:r>
          </w:p>
        </w:tc>
        <w:tc>
          <w:tcPr>
            <w:tcW w:w="1146" w:type="dxa"/>
            <w:tcBorders>
              <w:top w:val="single" w:sz="6" w:space="0" w:color="auto"/>
            </w:tcBorders>
          </w:tcPr>
          <w:p w:rsidR="0077530F" w:rsidRDefault="0077530F" w:rsidP="00D22BFC">
            <w:pPr>
              <w:keepNext/>
              <w:jc w:val="both"/>
              <w:rPr>
                <w:rFonts w:ascii="Arial" w:hAnsi="Arial" w:cs="Arial"/>
                <w:sz w:val="20"/>
              </w:rPr>
            </w:pPr>
          </w:p>
          <w:p w:rsidR="0077530F" w:rsidRPr="00FB1003" w:rsidRDefault="004D335A" w:rsidP="00D22BFC">
            <w:pPr>
              <w:keepNext/>
              <w:jc w:val="both"/>
              <w:rPr>
                <w:rFonts w:ascii="Arial" w:hAnsi="Arial" w:cs="Arial"/>
                <w:sz w:val="20"/>
              </w:rPr>
            </w:pPr>
            <w:r>
              <w:rPr>
                <w:rFonts w:ascii="Arial" w:hAnsi="Arial" w:cs="Arial"/>
                <w:sz w:val="20"/>
              </w:rPr>
              <w:t>Novartis</w:t>
            </w:r>
          </w:p>
        </w:tc>
      </w:tr>
    </w:tbl>
    <w:p w:rsidR="008D447E" w:rsidRDefault="008D447E" w:rsidP="009D3CAA">
      <w:pPr>
        <w:rPr>
          <w:rFonts w:ascii="Arial" w:hAnsi="Arial"/>
        </w:rPr>
      </w:pPr>
    </w:p>
    <w:tbl>
      <w:tblPr>
        <w:tblW w:w="8501" w:type="dxa"/>
        <w:tblInd w:w="817" w:type="dxa"/>
        <w:tblLayout w:type="fixed"/>
        <w:tblLook w:val="04A0" w:firstRow="1" w:lastRow="0" w:firstColumn="1" w:lastColumn="0" w:noHBand="0" w:noVBand="1"/>
        <w:tblDescription w:val="listing for indacaterol"/>
      </w:tblPr>
      <w:tblGrid>
        <w:gridCol w:w="2125"/>
        <w:gridCol w:w="6376"/>
      </w:tblGrid>
      <w:tr w:rsidR="00820743" w:rsidTr="00C373AA">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820743" w:rsidRPr="00820743" w:rsidRDefault="00820743" w:rsidP="00C373AA">
            <w:pPr>
              <w:jc w:val="both"/>
              <w:rPr>
                <w:b/>
                <w:sz w:val="20"/>
                <w:szCs w:val="20"/>
              </w:rPr>
            </w:pPr>
            <w:r w:rsidRPr="00820743">
              <w:rPr>
                <w:b/>
                <w:sz w:val="20"/>
                <w:szCs w:val="20"/>
              </w:rPr>
              <w:t>Condition:</w:t>
            </w:r>
          </w:p>
        </w:tc>
        <w:tc>
          <w:tcPr>
            <w:tcW w:w="6376" w:type="dxa"/>
            <w:tcBorders>
              <w:top w:val="single" w:sz="4" w:space="0" w:color="auto"/>
              <w:left w:val="single" w:sz="4" w:space="0" w:color="auto"/>
              <w:bottom w:val="single" w:sz="4" w:space="0" w:color="auto"/>
              <w:right w:val="single" w:sz="4" w:space="0" w:color="auto"/>
            </w:tcBorders>
            <w:hideMark/>
          </w:tcPr>
          <w:p w:rsidR="00820743" w:rsidRPr="00820743" w:rsidRDefault="00820743" w:rsidP="00820743">
            <w:pPr>
              <w:jc w:val="both"/>
              <w:rPr>
                <w:sz w:val="20"/>
                <w:szCs w:val="20"/>
              </w:rPr>
            </w:pPr>
            <w:r w:rsidRPr="00820743">
              <w:rPr>
                <w:sz w:val="20"/>
                <w:szCs w:val="20"/>
              </w:rPr>
              <w:t>Chronic Obstructive Pulmonary Disease</w:t>
            </w:r>
          </w:p>
        </w:tc>
      </w:tr>
      <w:tr w:rsidR="00820743" w:rsidTr="00C373AA">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820743" w:rsidRPr="00820743" w:rsidRDefault="00820743" w:rsidP="00C373AA">
            <w:pPr>
              <w:jc w:val="both"/>
              <w:rPr>
                <w:b/>
                <w:sz w:val="20"/>
                <w:szCs w:val="20"/>
              </w:rPr>
            </w:pPr>
            <w:r w:rsidRPr="00820743">
              <w:rPr>
                <w:b/>
                <w:sz w:val="20"/>
                <w:szCs w:val="20"/>
              </w:rPr>
              <w:t>Restriction:</w:t>
            </w:r>
          </w:p>
        </w:tc>
        <w:tc>
          <w:tcPr>
            <w:tcW w:w="6376" w:type="dxa"/>
            <w:tcBorders>
              <w:top w:val="single" w:sz="4" w:space="0" w:color="auto"/>
              <w:left w:val="single" w:sz="4" w:space="0" w:color="auto"/>
              <w:bottom w:val="single" w:sz="4" w:space="0" w:color="auto"/>
              <w:right w:val="single" w:sz="4" w:space="0" w:color="auto"/>
            </w:tcBorders>
            <w:hideMark/>
          </w:tcPr>
          <w:p w:rsidR="00820743" w:rsidRPr="00820743" w:rsidRDefault="00820743" w:rsidP="00820743">
            <w:pPr>
              <w:ind w:left="-108"/>
              <w:jc w:val="both"/>
              <w:rPr>
                <w:sz w:val="20"/>
                <w:szCs w:val="20"/>
              </w:rPr>
            </w:pPr>
            <w:r w:rsidRPr="00820743">
              <w:rPr>
                <w:sz w:val="20"/>
                <w:szCs w:val="20"/>
              </w:rPr>
              <w:t xml:space="preserve"> Authority required (STREAMLINED) </w:t>
            </w:r>
          </w:p>
        </w:tc>
      </w:tr>
      <w:tr w:rsidR="00820743" w:rsidTr="00C373AA">
        <w:trPr>
          <w:cantSplit/>
          <w:trHeight w:val="360"/>
        </w:trPr>
        <w:tc>
          <w:tcPr>
            <w:tcW w:w="2125" w:type="dxa"/>
            <w:tcBorders>
              <w:top w:val="single" w:sz="4" w:space="0" w:color="auto"/>
              <w:left w:val="single" w:sz="4" w:space="0" w:color="auto"/>
              <w:bottom w:val="single" w:sz="4" w:space="0" w:color="auto"/>
              <w:right w:val="single" w:sz="4" w:space="0" w:color="auto"/>
            </w:tcBorders>
          </w:tcPr>
          <w:p w:rsidR="00820743" w:rsidRPr="00820743" w:rsidRDefault="00820743" w:rsidP="00C373AA">
            <w:pPr>
              <w:jc w:val="both"/>
              <w:rPr>
                <w:b/>
                <w:sz w:val="20"/>
                <w:szCs w:val="20"/>
              </w:rPr>
            </w:pPr>
            <w:r w:rsidRPr="00820743">
              <w:rPr>
                <w:b/>
                <w:sz w:val="20"/>
                <w:szCs w:val="20"/>
              </w:rPr>
              <w:t>Clinical criteria:</w:t>
            </w:r>
          </w:p>
          <w:p w:rsidR="00820743" w:rsidRPr="00820743" w:rsidRDefault="00820743" w:rsidP="00C373AA">
            <w:pPr>
              <w:jc w:val="both"/>
              <w:rPr>
                <w:sz w:val="20"/>
                <w:szCs w:val="20"/>
              </w:rPr>
            </w:pPr>
          </w:p>
        </w:tc>
        <w:tc>
          <w:tcPr>
            <w:tcW w:w="6376" w:type="dxa"/>
            <w:tcBorders>
              <w:top w:val="single" w:sz="4" w:space="0" w:color="auto"/>
              <w:left w:val="single" w:sz="4" w:space="0" w:color="auto"/>
              <w:bottom w:val="single" w:sz="4" w:space="0" w:color="auto"/>
              <w:right w:val="single" w:sz="4" w:space="0" w:color="auto"/>
            </w:tcBorders>
          </w:tcPr>
          <w:p w:rsidR="00820743" w:rsidRPr="00820743" w:rsidRDefault="00820743" w:rsidP="00820743">
            <w:pPr>
              <w:jc w:val="both"/>
              <w:rPr>
                <w:sz w:val="20"/>
                <w:szCs w:val="20"/>
              </w:rPr>
            </w:pPr>
            <w:r w:rsidRPr="00820743">
              <w:rPr>
                <w:sz w:val="20"/>
                <w:szCs w:val="20"/>
              </w:rPr>
              <w:t>Patient must have been stabilised on a combination of a long acting muscarinic antagonist and long acting beta-2 agonist.</w:t>
            </w:r>
          </w:p>
        </w:tc>
      </w:tr>
      <w:tr w:rsidR="00820743" w:rsidTr="00C373AA">
        <w:trPr>
          <w:cantSplit/>
          <w:trHeight w:val="360"/>
        </w:trPr>
        <w:tc>
          <w:tcPr>
            <w:tcW w:w="2125" w:type="dxa"/>
            <w:tcBorders>
              <w:top w:val="single" w:sz="4" w:space="0" w:color="auto"/>
              <w:left w:val="single" w:sz="4" w:space="0" w:color="auto"/>
              <w:bottom w:val="single" w:sz="4" w:space="0" w:color="auto"/>
              <w:right w:val="single" w:sz="4" w:space="0" w:color="auto"/>
            </w:tcBorders>
            <w:hideMark/>
          </w:tcPr>
          <w:p w:rsidR="00820743" w:rsidRPr="00820743" w:rsidRDefault="00820743" w:rsidP="00C373AA">
            <w:pPr>
              <w:jc w:val="both"/>
              <w:rPr>
                <w:b/>
                <w:sz w:val="20"/>
                <w:szCs w:val="20"/>
              </w:rPr>
            </w:pPr>
            <w:r w:rsidRPr="00820743">
              <w:rPr>
                <w:b/>
                <w:sz w:val="20"/>
                <w:szCs w:val="20"/>
              </w:rPr>
              <w:t>Administrative Advice</w:t>
            </w:r>
          </w:p>
        </w:tc>
        <w:tc>
          <w:tcPr>
            <w:tcW w:w="6376" w:type="dxa"/>
            <w:tcBorders>
              <w:top w:val="single" w:sz="4" w:space="0" w:color="auto"/>
              <w:left w:val="single" w:sz="4" w:space="0" w:color="auto"/>
              <w:bottom w:val="single" w:sz="4" w:space="0" w:color="auto"/>
              <w:right w:val="single" w:sz="4" w:space="0" w:color="auto"/>
            </w:tcBorders>
          </w:tcPr>
          <w:p w:rsidR="00820743" w:rsidRPr="00820743" w:rsidRDefault="00820743" w:rsidP="00820743">
            <w:pPr>
              <w:jc w:val="both"/>
              <w:rPr>
                <w:sz w:val="20"/>
                <w:szCs w:val="20"/>
              </w:rPr>
            </w:pPr>
            <w:r w:rsidRPr="00820743">
              <w:rPr>
                <w:sz w:val="20"/>
                <w:szCs w:val="20"/>
              </w:rPr>
              <w:t>The treatment must not be used in combination with an ICS/LABA, or LAMA or LABA monotherapy.</w:t>
            </w:r>
          </w:p>
          <w:p w:rsidR="00820743" w:rsidRPr="00820743" w:rsidRDefault="00820743" w:rsidP="00820743">
            <w:pPr>
              <w:jc w:val="both"/>
              <w:rPr>
                <w:sz w:val="20"/>
                <w:szCs w:val="20"/>
              </w:rPr>
            </w:pPr>
          </w:p>
          <w:p w:rsidR="00820743" w:rsidRPr="00820743" w:rsidRDefault="00820743" w:rsidP="00820743">
            <w:pPr>
              <w:jc w:val="both"/>
              <w:rPr>
                <w:sz w:val="20"/>
                <w:szCs w:val="20"/>
              </w:rPr>
            </w:pPr>
            <w:r>
              <w:rPr>
                <w:sz w:val="20"/>
                <w:szCs w:val="20"/>
              </w:rPr>
              <w:t xml:space="preserve">A </w:t>
            </w:r>
            <w:r w:rsidRPr="00820743">
              <w:rPr>
                <w:sz w:val="20"/>
                <w:szCs w:val="20"/>
              </w:rPr>
              <w:t xml:space="preserve">LAMA includes </w:t>
            </w:r>
            <w:proofErr w:type="spellStart"/>
            <w:r w:rsidRPr="00820743">
              <w:rPr>
                <w:sz w:val="20"/>
                <w:szCs w:val="20"/>
              </w:rPr>
              <w:t>tiotropium</w:t>
            </w:r>
            <w:proofErr w:type="spellEnd"/>
            <w:r w:rsidRPr="00820743">
              <w:rPr>
                <w:sz w:val="20"/>
                <w:szCs w:val="20"/>
              </w:rPr>
              <w:t xml:space="preserve">, </w:t>
            </w:r>
            <w:proofErr w:type="spellStart"/>
            <w:r w:rsidRPr="00820743">
              <w:rPr>
                <w:sz w:val="20"/>
                <w:szCs w:val="20"/>
              </w:rPr>
              <w:t>glycopyrronium</w:t>
            </w:r>
            <w:proofErr w:type="spellEnd"/>
            <w:r w:rsidRPr="00820743">
              <w:rPr>
                <w:sz w:val="20"/>
                <w:szCs w:val="20"/>
              </w:rPr>
              <w:t xml:space="preserve">, </w:t>
            </w:r>
            <w:proofErr w:type="spellStart"/>
            <w:r w:rsidRPr="00820743">
              <w:rPr>
                <w:sz w:val="20"/>
                <w:szCs w:val="20"/>
              </w:rPr>
              <w:t>aclidinium</w:t>
            </w:r>
            <w:proofErr w:type="spellEnd"/>
            <w:r w:rsidRPr="00820743">
              <w:rPr>
                <w:sz w:val="20"/>
                <w:szCs w:val="20"/>
              </w:rPr>
              <w:t xml:space="preserve"> or </w:t>
            </w:r>
            <w:proofErr w:type="spellStart"/>
            <w:r w:rsidRPr="00820743">
              <w:rPr>
                <w:sz w:val="20"/>
                <w:szCs w:val="20"/>
              </w:rPr>
              <w:t>umeclidinium</w:t>
            </w:r>
            <w:proofErr w:type="spellEnd"/>
            <w:r w:rsidRPr="00820743">
              <w:rPr>
                <w:sz w:val="20"/>
                <w:szCs w:val="20"/>
              </w:rPr>
              <w:t>.</w:t>
            </w:r>
          </w:p>
          <w:p w:rsidR="00820743" w:rsidRPr="00820743" w:rsidRDefault="00820743" w:rsidP="00820743">
            <w:pPr>
              <w:pStyle w:val="NormalWeb"/>
              <w:ind w:left="0"/>
              <w:jc w:val="both"/>
              <w:rPr>
                <w:sz w:val="20"/>
                <w:szCs w:val="20"/>
              </w:rPr>
            </w:pPr>
            <w:r w:rsidRPr="00820743">
              <w:rPr>
                <w:sz w:val="20"/>
                <w:szCs w:val="20"/>
              </w:rPr>
              <w:t xml:space="preserve">A LABA includes </w:t>
            </w:r>
            <w:proofErr w:type="spellStart"/>
            <w:r w:rsidRPr="00820743">
              <w:rPr>
                <w:sz w:val="20"/>
                <w:szCs w:val="20"/>
              </w:rPr>
              <w:t>indacaterol</w:t>
            </w:r>
            <w:proofErr w:type="spellEnd"/>
            <w:r w:rsidRPr="00820743">
              <w:rPr>
                <w:sz w:val="20"/>
                <w:szCs w:val="20"/>
              </w:rPr>
              <w:t xml:space="preserve">, </w:t>
            </w:r>
            <w:proofErr w:type="spellStart"/>
            <w:r w:rsidRPr="00820743">
              <w:rPr>
                <w:sz w:val="20"/>
                <w:szCs w:val="20"/>
              </w:rPr>
              <w:t>salmeterol</w:t>
            </w:r>
            <w:proofErr w:type="spellEnd"/>
            <w:r w:rsidRPr="00820743">
              <w:rPr>
                <w:sz w:val="20"/>
                <w:szCs w:val="20"/>
              </w:rPr>
              <w:t xml:space="preserve"> or </w:t>
            </w:r>
            <w:proofErr w:type="spellStart"/>
            <w:r w:rsidRPr="00820743">
              <w:rPr>
                <w:sz w:val="20"/>
                <w:szCs w:val="20"/>
              </w:rPr>
              <w:t>eformoterol</w:t>
            </w:r>
            <w:proofErr w:type="spellEnd"/>
            <w:r w:rsidRPr="00820743">
              <w:rPr>
                <w:sz w:val="20"/>
                <w:szCs w:val="20"/>
              </w:rPr>
              <w:t>.</w:t>
            </w:r>
          </w:p>
          <w:p w:rsidR="00820743" w:rsidRPr="00820743" w:rsidRDefault="00820743" w:rsidP="00820743">
            <w:pPr>
              <w:pStyle w:val="NormalWeb"/>
              <w:ind w:left="0"/>
              <w:jc w:val="both"/>
              <w:rPr>
                <w:sz w:val="20"/>
                <w:szCs w:val="20"/>
              </w:rPr>
            </w:pPr>
            <w:r w:rsidRPr="00820743">
              <w:rPr>
                <w:sz w:val="20"/>
                <w:szCs w:val="20"/>
              </w:rPr>
              <w:t>This product is not PBS-subsidised for the treatment of asthma.</w:t>
            </w:r>
          </w:p>
          <w:p w:rsidR="00820743" w:rsidRPr="00820743" w:rsidRDefault="00820743" w:rsidP="00820743">
            <w:pPr>
              <w:pStyle w:val="NormalWeb"/>
              <w:ind w:left="0"/>
              <w:jc w:val="both"/>
              <w:rPr>
                <w:sz w:val="20"/>
                <w:szCs w:val="20"/>
              </w:rPr>
            </w:pPr>
            <w:r w:rsidRPr="00820743">
              <w:rPr>
                <w:sz w:val="20"/>
                <w:szCs w:val="20"/>
              </w:rPr>
              <w:t>This product is not indicated for the initiation of bronchodilator therapy in COPD.</w:t>
            </w:r>
          </w:p>
          <w:p w:rsidR="00820743" w:rsidRPr="00820743" w:rsidRDefault="00820743" w:rsidP="00820743">
            <w:pPr>
              <w:ind w:left="-108"/>
              <w:jc w:val="both"/>
              <w:rPr>
                <w:sz w:val="20"/>
                <w:szCs w:val="20"/>
              </w:rPr>
            </w:pPr>
          </w:p>
        </w:tc>
      </w:tr>
    </w:tbl>
    <w:p w:rsidR="008D447E" w:rsidRDefault="008D447E" w:rsidP="009D3CAA">
      <w:pPr>
        <w:rPr>
          <w:rFonts w:ascii="Arial" w:hAnsi="Arial"/>
        </w:rPr>
      </w:pPr>
    </w:p>
    <w:p w:rsidR="000078BF" w:rsidRPr="00A875B4" w:rsidRDefault="000078BF" w:rsidP="000078BF">
      <w:pPr>
        <w:pStyle w:val="ListParagraph"/>
        <w:numPr>
          <w:ilvl w:val="0"/>
          <w:numId w:val="25"/>
        </w:numPr>
        <w:jc w:val="both"/>
        <w:rPr>
          <w:rFonts w:ascii="Arial" w:hAnsi="Arial" w:cs="Arial"/>
          <w:b/>
          <w:sz w:val="22"/>
        </w:rPr>
      </w:pPr>
      <w:r w:rsidRPr="00A875B4">
        <w:rPr>
          <w:rFonts w:ascii="Arial" w:hAnsi="Arial" w:cs="Arial"/>
          <w:b/>
          <w:sz w:val="22"/>
        </w:rPr>
        <w:t>Context for Decision</w:t>
      </w:r>
    </w:p>
    <w:p w:rsidR="000078BF" w:rsidRPr="00A875B4" w:rsidRDefault="000078BF" w:rsidP="000078BF">
      <w:pPr>
        <w:pStyle w:val="ListParagraph"/>
        <w:rPr>
          <w:rFonts w:ascii="Arial" w:hAnsi="Arial" w:cs="Arial"/>
          <w:b/>
          <w:sz w:val="22"/>
        </w:rPr>
      </w:pPr>
    </w:p>
    <w:p w:rsidR="000078BF" w:rsidRPr="00A875B4" w:rsidRDefault="000078BF" w:rsidP="000078BF">
      <w:pPr>
        <w:ind w:left="720"/>
        <w:rPr>
          <w:rFonts w:ascii="Arial" w:hAnsi="Arial" w:cs="Arial"/>
          <w:sz w:val="22"/>
        </w:rPr>
      </w:pPr>
      <w:r w:rsidRPr="00A875B4">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078BF" w:rsidRPr="00A875B4" w:rsidRDefault="000078BF" w:rsidP="000078BF">
      <w:pPr>
        <w:rPr>
          <w:rFonts w:ascii="Arial" w:hAnsi="Arial" w:cs="Arial"/>
          <w:sz w:val="22"/>
        </w:rPr>
      </w:pPr>
    </w:p>
    <w:p w:rsidR="000078BF" w:rsidRDefault="000078BF" w:rsidP="000078BF">
      <w:pPr>
        <w:pStyle w:val="ListParagraph"/>
        <w:numPr>
          <w:ilvl w:val="0"/>
          <w:numId w:val="25"/>
        </w:numPr>
        <w:jc w:val="both"/>
        <w:rPr>
          <w:rFonts w:ascii="Arial" w:hAnsi="Arial" w:cs="Arial"/>
          <w:b/>
          <w:sz w:val="22"/>
        </w:rPr>
      </w:pPr>
      <w:r w:rsidRPr="00A875B4">
        <w:rPr>
          <w:rFonts w:ascii="Arial" w:hAnsi="Arial" w:cs="Arial"/>
          <w:b/>
          <w:sz w:val="22"/>
        </w:rPr>
        <w:t>Sponsor’s Comment</w:t>
      </w:r>
    </w:p>
    <w:p w:rsidR="00ED71E6" w:rsidRPr="00A875B4" w:rsidRDefault="00ED71E6" w:rsidP="00ED71E6">
      <w:pPr>
        <w:pStyle w:val="ListParagraph"/>
        <w:jc w:val="both"/>
        <w:rPr>
          <w:rFonts w:ascii="Arial" w:hAnsi="Arial" w:cs="Arial"/>
          <w:b/>
          <w:sz w:val="22"/>
        </w:rPr>
      </w:pPr>
    </w:p>
    <w:p w:rsidR="00955206" w:rsidRPr="00955206" w:rsidRDefault="00955206" w:rsidP="00955206">
      <w:pPr>
        <w:ind w:left="709" w:hanging="709"/>
        <w:rPr>
          <w:rFonts w:ascii="Arial" w:hAnsi="Arial" w:cs="Arial"/>
          <w:sz w:val="22"/>
          <w:szCs w:val="22"/>
          <w:lang w:val="en-US"/>
        </w:rPr>
      </w:pPr>
      <w:r>
        <w:rPr>
          <w:rFonts w:ascii="Arial" w:hAnsi="Arial"/>
        </w:rPr>
        <w:tab/>
      </w:r>
      <w:r w:rsidRPr="00955206">
        <w:rPr>
          <w:rFonts w:ascii="Arial" w:hAnsi="Arial" w:cs="Arial"/>
          <w:sz w:val="22"/>
          <w:szCs w:val="22"/>
          <w:lang w:val="en-US"/>
        </w:rPr>
        <w:t xml:space="preserve">Novartis is pleased that the positive recommendation of </w:t>
      </w:r>
      <w:proofErr w:type="spellStart"/>
      <w:r w:rsidRPr="00955206">
        <w:rPr>
          <w:rFonts w:ascii="Arial" w:hAnsi="Arial" w:cs="Arial"/>
          <w:sz w:val="22"/>
          <w:szCs w:val="22"/>
          <w:lang w:val="en-US"/>
        </w:rPr>
        <w:t>Ultibro</w:t>
      </w:r>
      <w:proofErr w:type="spellEnd"/>
      <w:r w:rsidRPr="00955206">
        <w:rPr>
          <w:rFonts w:ascii="Arial" w:hAnsi="Arial" w:cs="Arial"/>
          <w:sz w:val="22"/>
          <w:szCs w:val="22"/>
          <w:lang w:val="en-US"/>
        </w:rPr>
        <w:t xml:space="preserve"> will allow COPD </w:t>
      </w:r>
      <w:r w:rsidRPr="00955206">
        <w:rPr>
          <w:rFonts w:ascii="Arial" w:hAnsi="Arial" w:cs="Arial"/>
          <w:sz w:val="22"/>
          <w:szCs w:val="22"/>
          <w:lang w:val="en-US"/>
        </w:rPr>
        <w:tab/>
      </w:r>
      <w:proofErr w:type="gramStart"/>
      <w:r w:rsidRPr="00955206">
        <w:rPr>
          <w:rFonts w:ascii="Arial" w:hAnsi="Arial" w:cs="Arial"/>
          <w:sz w:val="22"/>
          <w:szCs w:val="22"/>
          <w:lang w:val="en-US"/>
        </w:rPr>
        <w:t>patients</w:t>
      </w:r>
      <w:proofErr w:type="gramEnd"/>
      <w:r w:rsidRPr="00955206">
        <w:rPr>
          <w:rFonts w:ascii="Arial" w:hAnsi="Arial" w:cs="Arial"/>
          <w:sz w:val="22"/>
          <w:szCs w:val="22"/>
          <w:lang w:val="en-US"/>
        </w:rPr>
        <w:t xml:space="preserve"> access to both component products, already available on the PBS</w:t>
      </w:r>
      <w:r w:rsidR="007A51E0">
        <w:rPr>
          <w:rFonts w:ascii="Arial" w:hAnsi="Arial" w:cs="Arial"/>
          <w:sz w:val="22"/>
          <w:szCs w:val="22"/>
          <w:lang w:val="en-US"/>
        </w:rPr>
        <w:t>.</w:t>
      </w:r>
    </w:p>
    <w:p w:rsidR="000078BF" w:rsidRDefault="000078BF" w:rsidP="009D3CAA">
      <w:pPr>
        <w:rPr>
          <w:rFonts w:ascii="Arial" w:hAnsi="Arial"/>
        </w:rPr>
      </w:pPr>
    </w:p>
    <w:sectPr w:rsidR="000078BF" w:rsidSect="00653D69">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FD" w:rsidRDefault="00FD2DFD">
      <w:r>
        <w:separator/>
      </w:r>
    </w:p>
  </w:endnote>
  <w:endnote w:type="continuationSeparator" w:id="0">
    <w:p w:rsidR="00FD2DFD" w:rsidRDefault="00FD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2BFC" w:rsidTr="005A3173">
      <w:trPr>
        <w:trHeight w:val="151"/>
      </w:trPr>
      <w:tc>
        <w:tcPr>
          <w:tcW w:w="2250" w:type="pct"/>
          <w:tcBorders>
            <w:top w:val="nil"/>
            <w:left w:val="nil"/>
            <w:bottom w:val="single" w:sz="4" w:space="0" w:color="4F81BD"/>
            <w:right w:val="nil"/>
          </w:tcBorders>
        </w:tcPr>
        <w:p w:rsidR="00D22BFC" w:rsidRPr="005A3173" w:rsidRDefault="00D22BF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2BFC" w:rsidRPr="005A3173" w:rsidRDefault="00D22B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2BFC" w:rsidRPr="005A3173" w:rsidRDefault="00D22BFC" w:rsidP="005A3173">
          <w:pPr>
            <w:pStyle w:val="Header"/>
            <w:spacing w:line="276" w:lineRule="auto"/>
            <w:rPr>
              <w:rFonts w:ascii="Calibri" w:eastAsia="MS Gothic" w:hAnsi="Calibri"/>
              <w:b/>
              <w:bCs/>
              <w:color w:val="4F81BD"/>
            </w:rPr>
          </w:pPr>
        </w:p>
      </w:tc>
    </w:tr>
    <w:tr w:rsidR="00D22BFC" w:rsidTr="005A3173">
      <w:trPr>
        <w:trHeight w:val="150"/>
      </w:trPr>
      <w:tc>
        <w:tcPr>
          <w:tcW w:w="2250" w:type="pct"/>
          <w:tcBorders>
            <w:top w:val="single" w:sz="4" w:space="0" w:color="4F81BD"/>
            <w:left w:val="nil"/>
            <w:bottom w:val="nil"/>
            <w:right w:val="nil"/>
          </w:tcBorders>
        </w:tcPr>
        <w:p w:rsidR="00D22BFC" w:rsidRPr="005A3173" w:rsidRDefault="00D22BFC" w:rsidP="005A3173">
          <w:pPr>
            <w:pStyle w:val="Header"/>
            <w:spacing w:line="276" w:lineRule="auto"/>
            <w:rPr>
              <w:rFonts w:ascii="Calibri" w:eastAsia="MS Gothic" w:hAnsi="Calibri"/>
              <w:b/>
              <w:bCs/>
              <w:color w:val="4F81BD"/>
            </w:rPr>
          </w:pPr>
        </w:p>
      </w:tc>
      <w:tc>
        <w:tcPr>
          <w:tcW w:w="0" w:type="auto"/>
          <w:vMerge/>
          <w:vAlign w:val="center"/>
          <w:hideMark/>
        </w:tcPr>
        <w:p w:rsidR="00D22BFC" w:rsidRPr="005A3173" w:rsidRDefault="00D22BFC"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2BFC" w:rsidRPr="005A3173" w:rsidRDefault="00D22BFC" w:rsidP="005A3173">
          <w:pPr>
            <w:pStyle w:val="Header"/>
            <w:spacing w:line="276" w:lineRule="auto"/>
            <w:rPr>
              <w:rFonts w:ascii="Calibri" w:eastAsia="MS Gothic" w:hAnsi="Calibri"/>
              <w:b/>
              <w:bCs/>
              <w:color w:val="4F81BD"/>
            </w:rPr>
          </w:pPr>
        </w:p>
      </w:tc>
    </w:tr>
  </w:tbl>
  <w:p w:rsidR="00D22BFC" w:rsidRDefault="00D22BF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2BFC" w:rsidRDefault="00D22B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DC7944" w:rsidRDefault="00DC7944">
        <w:pPr>
          <w:pStyle w:val="Footer"/>
          <w:jc w:val="center"/>
        </w:pPr>
      </w:p>
      <w:p w:rsidR="00D22BFC" w:rsidRPr="00651169" w:rsidRDefault="00D22BFC">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D62F5">
          <w:rPr>
            <w:rFonts w:ascii="Arial" w:hAnsi="Arial" w:cs="Arial"/>
            <w:noProof/>
            <w:sz w:val="20"/>
            <w:szCs w:val="20"/>
          </w:rPr>
          <w:t>2</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22BFC" w:rsidTr="005A3173">
      <w:trPr>
        <w:trHeight w:val="151"/>
      </w:trPr>
      <w:tc>
        <w:tcPr>
          <w:tcW w:w="2250" w:type="pct"/>
          <w:tcBorders>
            <w:top w:val="nil"/>
            <w:left w:val="nil"/>
            <w:bottom w:val="single" w:sz="4" w:space="0" w:color="4F81BD"/>
            <w:right w:val="nil"/>
          </w:tcBorders>
        </w:tcPr>
        <w:p w:rsidR="00D22BFC" w:rsidRPr="005A3173" w:rsidRDefault="00D22BF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2BFC" w:rsidRPr="005A3173" w:rsidRDefault="00D22B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2BFC" w:rsidRPr="005A3173" w:rsidRDefault="00D22BFC" w:rsidP="005A3173">
          <w:pPr>
            <w:pStyle w:val="Header"/>
            <w:spacing w:line="276" w:lineRule="auto"/>
            <w:rPr>
              <w:rFonts w:ascii="Calibri" w:eastAsia="MS Gothic" w:hAnsi="Calibri"/>
              <w:b/>
              <w:bCs/>
              <w:color w:val="4F81BD"/>
            </w:rPr>
          </w:pPr>
        </w:p>
      </w:tc>
    </w:tr>
    <w:tr w:rsidR="00D22BFC" w:rsidTr="005A3173">
      <w:trPr>
        <w:trHeight w:val="150"/>
      </w:trPr>
      <w:tc>
        <w:tcPr>
          <w:tcW w:w="2250" w:type="pct"/>
          <w:tcBorders>
            <w:top w:val="single" w:sz="4" w:space="0" w:color="4F81BD"/>
            <w:left w:val="nil"/>
            <w:bottom w:val="nil"/>
            <w:right w:val="nil"/>
          </w:tcBorders>
        </w:tcPr>
        <w:p w:rsidR="00D22BFC" w:rsidRPr="005A3173" w:rsidRDefault="00D22BFC" w:rsidP="005A3173">
          <w:pPr>
            <w:pStyle w:val="Header"/>
            <w:spacing w:line="276" w:lineRule="auto"/>
            <w:rPr>
              <w:rFonts w:ascii="Calibri" w:eastAsia="MS Gothic" w:hAnsi="Calibri"/>
              <w:b/>
              <w:bCs/>
              <w:color w:val="4F81BD"/>
            </w:rPr>
          </w:pPr>
        </w:p>
      </w:tc>
      <w:tc>
        <w:tcPr>
          <w:tcW w:w="0" w:type="auto"/>
          <w:vMerge/>
          <w:vAlign w:val="center"/>
          <w:hideMark/>
        </w:tcPr>
        <w:p w:rsidR="00D22BFC" w:rsidRPr="005A3173" w:rsidRDefault="00D22BFC"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2BFC" w:rsidRPr="005A3173" w:rsidRDefault="00D22BF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2BFC" w:rsidTr="005A3173">
      <w:trPr>
        <w:trHeight w:val="151"/>
      </w:trPr>
      <w:tc>
        <w:tcPr>
          <w:tcW w:w="2250" w:type="pct"/>
          <w:tcBorders>
            <w:top w:val="nil"/>
            <w:left w:val="nil"/>
            <w:bottom w:val="single" w:sz="4" w:space="0" w:color="4F81BD"/>
            <w:right w:val="nil"/>
          </w:tcBorders>
        </w:tcPr>
        <w:p w:rsidR="00D22BFC" w:rsidRPr="005A3173" w:rsidRDefault="00D22BF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22BFC" w:rsidRPr="005A3173" w:rsidRDefault="00D22BF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2BFC" w:rsidRPr="005A3173" w:rsidRDefault="00D22BFC" w:rsidP="005A3173">
          <w:pPr>
            <w:pStyle w:val="Header"/>
            <w:spacing w:line="276" w:lineRule="auto"/>
            <w:rPr>
              <w:rFonts w:ascii="Calibri" w:eastAsia="MS Gothic" w:hAnsi="Calibri"/>
              <w:b/>
              <w:bCs/>
              <w:color w:val="4F81BD"/>
            </w:rPr>
          </w:pPr>
        </w:p>
      </w:tc>
    </w:tr>
    <w:tr w:rsidR="00D22BFC" w:rsidTr="005A3173">
      <w:trPr>
        <w:trHeight w:val="150"/>
      </w:trPr>
      <w:tc>
        <w:tcPr>
          <w:tcW w:w="2250" w:type="pct"/>
          <w:tcBorders>
            <w:top w:val="single" w:sz="4" w:space="0" w:color="4F81BD"/>
            <w:left w:val="nil"/>
            <w:bottom w:val="nil"/>
            <w:right w:val="nil"/>
          </w:tcBorders>
        </w:tcPr>
        <w:p w:rsidR="00D22BFC" w:rsidRPr="005A3173" w:rsidRDefault="00D22BFC" w:rsidP="005A3173">
          <w:pPr>
            <w:pStyle w:val="Header"/>
            <w:spacing w:line="276" w:lineRule="auto"/>
            <w:rPr>
              <w:rFonts w:ascii="Calibri" w:eastAsia="MS Gothic" w:hAnsi="Calibri"/>
              <w:b/>
              <w:bCs/>
              <w:color w:val="4F81BD"/>
            </w:rPr>
          </w:pPr>
        </w:p>
      </w:tc>
      <w:tc>
        <w:tcPr>
          <w:tcW w:w="0" w:type="auto"/>
          <w:vMerge/>
          <w:vAlign w:val="center"/>
          <w:hideMark/>
        </w:tcPr>
        <w:p w:rsidR="00D22BFC" w:rsidRPr="005A3173" w:rsidRDefault="00D22BFC" w:rsidP="005A3173">
          <w:pPr>
            <w:rPr>
              <w:rFonts w:ascii="Calibri" w:hAnsi="Calibri"/>
              <w:color w:val="365F91"/>
              <w:sz w:val="22"/>
              <w:szCs w:val="22"/>
            </w:rPr>
          </w:pPr>
        </w:p>
      </w:tc>
      <w:tc>
        <w:tcPr>
          <w:tcW w:w="2250" w:type="pct"/>
          <w:tcBorders>
            <w:top w:val="single" w:sz="4" w:space="0" w:color="4F81BD"/>
            <w:left w:val="nil"/>
            <w:bottom w:val="nil"/>
            <w:right w:val="nil"/>
          </w:tcBorders>
        </w:tcPr>
        <w:p w:rsidR="00D22BFC" w:rsidRPr="005A3173" w:rsidRDefault="00D22BFC" w:rsidP="005A3173">
          <w:pPr>
            <w:pStyle w:val="Header"/>
            <w:spacing w:line="276" w:lineRule="auto"/>
            <w:rPr>
              <w:rFonts w:ascii="Calibri" w:eastAsia="MS Gothic" w:hAnsi="Calibri"/>
              <w:b/>
              <w:bCs/>
              <w:color w:val="4F81BD"/>
            </w:rPr>
          </w:pPr>
        </w:p>
      </w:tc>
    </w:tr>
  </w:tbl>
  <w:p w:rsidR="00D22BFC" w:rsidRPr="007C0F57" w:rsidRDefault="00D22BF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22BFC" w:rsidRPr="007C0F57" w:rsidRDefault="00D22BFC"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FD" w:rsidRDefault="00FD2DFD">
      <w:r>
        <w:separator/>
      </w:r>
    </w:p>
  </w:footnote>
  <w:footnote w:type="continuationSeparator" w:id="0">
    <w:p w:rsidR="00FD2DFD" w:rsidRDefault="00FD2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22BFC" w:rsidRPr="008E0D90" w:rsidTr="00A06225">
      <w:trPr>
        <w:trHeight w:val="151"/>
      </w:trPr>
      <w:tc>
        <w:tcPr>
          <w:tcW w:w="2389" w:type="pct"/>
          <w:tcBorders>
            <w:top w:val="nil"/>
            <w:left w:val="nil"/>
            <w:bottom w:val="single" w:sz="4" w:space="0" w:color="4F81BD"/>
            <w:right w:val="nil"/>
          </w:tcBorders>
        </w:tcPr>
        <w:p w:rsidR="00D22BFC" w:rsidRPr="00A06225" w:rsidRDefault="00D22BFC">
          <w:pPr>
            <w:pStyle w:val="Header"/>
            <w:spacing w:line="276" w:lineRule="auto"/>
            <w:rPr>
              <w:rFonts w:ascii="Cambria" w:eastAsia="MS Gothic" w:hAnsi="Cambria"/>
              <w:b/>
              <w:bCs/>
              <w:color w:val="4F81BD"/>
            </w:rPr>
          </w:pPr>
        </w:p>
      </w:tc>
      <w:tc>
        <w:tcPr>
          <w:tcW w:w="333" w:type="pct"/>
          <w:vMerge w:val="restart"/>
          <w:noWrap/>
          <w:vAlign w:val="center"/>
          <w:hideMark/>
        </w:tcPr>
        <w:p w:rsidR="00D22BFC" w:rsidRPr="00A06225" w:rsidRDefault="00D22BF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22BFC" w:rsidRPr="00A06225" w:rsidRDefault="00D22BFC">
          <w:pPr>
            <w:pStyle w:val="Header"/>
            <w:spacing w:line="276" w:lineRule="auto"/>
            <w:rPr>
              <w:rFonts w:ascii="Cambria" w:eastAsia="MS Gothic" w:hAnsi="Cambria"/>
              <w:b/>
              <w:bCs/>
              <w:color w:val="4F81BD"/>
            </w:rPr>
          </w:pPr>
        </w:p>
      </w:tc>
    </w:tr>
    <w:tr w:rsidR="00D22BFC" w:rsidRPr="008E0D90" w:rsidTr="00A06225">
      <w:trPr>
        <w:trHeight w:val="150"/>
      </w:trPr>
      <w:tc>
        <w:tcPr>
          <w:tcW w:w="2389" w:type="pct"/>
          <w:tcBorders>
            <w:top w:val="single" w:sz="4" w:space="0" w:color="4F81BD"/>
            <w:left w:val="nil"/>
            <w:bottom w:val="nil"/>
            <w:right w:val="nil"/>
          </w:tcBorders>
        </w:tcPr>
        <w:p w:rsidR="00D22BFC" w:rsidRPr="00A06225" w:rsidRDefault="00D22BFC">
          <w:pPr>
            <w:pStyle w:val="Header"/>
            <w:spacing w:line="276" w:lineRule="auto"/>
            <w:rPr>
              <w:rFonts w:ascii="Cambria" w:eastAsia="MS Gothic" w:hAnsi="Cambria"/>
              <w:b/>
              <w:bCs/>
              <w:color w:val="4F81BD"/>
            </w:rPr>
          </w:pPr>
        </w:p>
      </w:tc>
      <w:tc>
        <w:tcPr>
          <w:tcW w:w="0" w:type="auto"/>
          <w:vMerge/>
          <w:vAlign w:val="center"/>
          <w:hideMark/>
        </w:tcPr>
        <w:p w:rsidR="00D22BFC" w:rsidRPr="00A06225" w:rsidRDefault="00D22BFC">
          <w:pPr>
            <w:rPr>
              <w:rFonts w:ascii="Cambria" w:hAnsi="Cambria"/>
              <w:color w:val="4F81BD"/>
              <w:sz w:val="22"/>
              <w:szCs w:val="22"/>
            </w:rPr>
          </w:pPr>
        </w:p>
      </w:tc>
      <w:tc>
        <w:tcPr>
          <w:tcW w:w="2278" w:type="pct"/>
          <w:tcBorders>
            <w:top w:val="single" w:sz="4" w:space="0" w:color="4F81BD"/>
            <w:left w:val="nil"/>
            <w:bottom w:val="nil"/>
            <w:right w:val="nil"/>
          </w:tcBorders>
        </w:tcPr>
        <w:p w:rsidR="00D22BFC" w:rsidRPr="00A06225" w:rsidRDefault="00D22BFC">
          <w:pPr>
            <w:pStyle w:val="Header"/>
            <w:spacing w:line="276" w:lineRule="auto"/>
            <w:rPr>
              <w:rFonts w:ascii="Cambria" w:eastAsia="MS Gothic" w:hAnsi="Cambria"/>
              <w:b/>
              <w:bCs/>
              <w:color w:val="4F81BD"/>
            </w:rPr>
          </w:pPr>
        </w:p>
      </w:tc>
    </w:tr>
  </w:tbl>
  <w:p w:rsidR="00D22BFC" w:rsidRDefault="00D22B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BF" w:rsidRPr="00DF217D" w:rsidRDefault="000078BF" w:rsidP="000078BF">
    <w:pPr>
      <w:pStyle w:val="Header"/>
      <w:jc w:val="center"/>
      <w:rPr>
        <w:i/>
        <w:color w:val="808080"/>
      </w:rPr>
    </w:pPr>
    <w:r>
      <w:rPr>
        <w:i/>
        <w:color w:val="808080"/>
      </w:rPr>
      <w:t>Public Summary Document</w:t>
    </w:r>
    <w:r w:rsidRPr="00DF217D">
      <w:rPr>
        <w:i/>
        <w:color w:val="808080"/>
      </w:rPr>
      <w:t xml:space="preserve">– </w:t>
    </w:r>
    <w:r>
      <w:rPr>
        <w:i/>
        <w:color w:val="808080"/>
      </w:rPr>
      <w:t xml:space="preserve">July 2014 </w:t>
    </w:r>
    <w:r w:rsidRPr="00DF217D">
      <w:rPr>
        <w:i/>
        <w:color w:val="808080"/>
      </w:rPr>
      <w:t>PBAC</w:t>
    </w:r>
    <w:r>
      <w:rPr>
        <w:i/>
        <w:color w:val="808080"/>
      </w:rPr>
      <w:t xml:space="preserve"> </w:t>
    </w:r>
    <w:r w:rsidRPr="00DF217D">
      <w:rPr>
        <w:i/>
        <w:color w:val="808080"/>
      </w:rPr>
      <w:t>Meeting</w:t>
    </w:r>
  </w:p>
  <w:p w:rsidR="00D22BFC" w:rsidRPr="000078BF" w:rsidRDefault="00D22BFC" w:rsidP="000078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0F32575"/>
    <w:multiLevelType w:val="hybridMultilevel"/>
    <w:tmpl w:val="FD183C18"/>
    <w:lvl w:ilvl="0" w:tplc="80523CC0">
      <w:start w:val="7"/>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42C2DA9"/>
    <w:multiLevelType w:val="hybridMultilevel"/>
    <w:tmpl w:val="F266C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83BE3"/>
    <w:multiLevelType w:val="hybridMultilevel"/>
    <w:tmpl w:val="93F81D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2B675915"/>
    <w:multiLevelType w:val="hybridMultilevel"/>
    <w:tmpl w:val="B2F2A4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3DAD5A12"/>
    <w:multiLevelType w:val="hybridMultilevel"/>
    <w:tmpl w:val="6D20C2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EBB217C"/>
    <w:multiLevelType w:val="hybridMultilevel"/>
    <w:tmpl w:val="96527546"/>
    <w:lvl w:ilvl="0" w:tplc="0C090001">
      <w:start w:val="1"/>
      <w:numFmt w:val="bullet"/>
      <w:lvlText w:val=""/>
      <w:lvlJc w:val="left"/>
      <w:pPr>
        <w:ind w:left="1790" w:hanging="360"/>
      </w:pPr>
      <w:rPr>
        <w:rFonts w:ascii="Symbol" w:hAnsi="Symbol"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A573F"/>
    <w:multiLevelType w:val="hybridMultilevel"/>
    <w:tmpl w:val="297C07EE"/>
    <w:lvl w:ilvl="0" w:tplc="0C090001">
      <w:start w:val="1"/>
      <w:numFmt w:val="bullet"/>
      <w:lvlText w:val=""/>
      <w:lvlJc w:val="left"/>
      <w:pPr>
        <w:ind w:left="1790" w:hanging="360"/>
      </w:pPr>
      <w:rPr>
        <w:rFonts w:ascii="Symbol" w:hAnsi="Symbol"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40118FF"/>
    <w:multiLevelType w:val="hybridMultilevel"/>
    <w:tmpl w:val="689EE906"/>
    <w:lvl w:ilvl="0" w:tplc="0C090001">
      <w:start w:val="1"/>
      <w:numFmt w:val="bullet"/>
      <w:lvlText w:val=""/>
      <w:lvlJc w:val="left"/>
      <w:pPr>
        <w:ind w:left="1790" w:hanging="360"/>
      </w:pPr>
      <w:rPr>
        <w:rFonts w:ascii="Symbol" w:hAnsi="Symbol"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5"/>
  </w:num>
  <w:num w:numId="3">
    <w:abstractNumId w:val="20"/>
  </w:num>
  <w:num w:numId="4">
    <w:abstractNumId w:val="0"/>
  </w:num>
  <w:num w:numId="5">
    <w:abstractNumId w:val="6"/>
  </w:num>
  <w:num w:numId="6">
    <w:abstractNumId w:val="18"/>
  </w:num>
  <w:num w:numId="7">
    <w:abstractNumId w:val="16"/>
  </w:num>
  <w:num w:numId="8">
    <w:abstractNumId w:val="5"/>
  </w:num>
  <w:num w:numId="9">
    <w:abstractNumId w:val="8"/>
  </w:num>
  <w:num w:numId="10">
    <w:abstractNumId w:val="33"/>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6"/>
  </w:num>
  <w:num w:numId="15">
    <w:abstractNumId w:val="28"/>
  </w:num>
  <w:num w:numId="16">
    <w:abstractNumId w:val="24"/>
  </w:num>
  <w:num w:numId="17">
    <w:abstractNumId w:val="39"/>
  </w:num>
  <w:num w:numId="18">
    <w:abstractNumId w:val="13"/>
  </w:num>
  <w:num w:numId="19">
    <w:abstractNumId w:val="17"/>
  </w:num>
  <w:num w:numId="20">
    <w:abstractNumId w:val="4"/>
  </w:num>
  <w:num w:numId="21">
    <w:abstractNumId w:val="31"/>
  </w:num>
  <w:num w:numId="22">
    <w:abstractNumId w:val="34"/>
  </w:num>
  <w:num w:numId="23">
    <w:abstractNumId w:val="41"/>
  </w:num>
  <w:num w:numId="24">
    <w:abstractNumId w:val="15"/>
  </w:num>
  <w:num w:numId="25">
    <w:abstractNumId w:val="40"/>
  </w:num>
  <w:num w:numId="26">
    <w:abstractNumId w:val="29"/>
  </w:num>
  <w:num w:numId="27">
    <w:abstractNumId w:val="12"/>
  </w:num>
  <w:num w:numId="28">
    <w:abstractNumId w:val="7"/>
  </w:num>
  <w:num w:numId="29">
    <w:abstractNumId w:val="26"/>
  </w:num>
  <w:num w:numId="30">
    <w:abstractNumId w:val="3"/>
  </w:num>
  <w:num w:numId="31">
    <w:abstractNumId w:val="27"/>
  </w:num>
  <w:num w:numId="32">
    <w:abstractNumId w:val="38"/>
  </w:num>
  <w:num w:numId="33">
    <w:abstractNumId w:val="25"/>
  </w:num>
  <w:num w:numId="34">
    <w:abstractNumId w:val="42"/>
  </w:num>
  <w:num w:numId="35">
    <w:abstractNumId w:val="11"/>
  </w:num>
  <w:num w:numId="36">
    <w:abstractNumId w:val="22"/>
  </w:num>
  <w:num w:numId="37">
    <w:abstractNumId w:val="30"/>
  </w:num>
  <w:num w:numId="38">
    <w:abstractNumId w:val="9"/>
  </w:num>
  <w:num w:numId="39">
    <w:abstractNumId w:val="1"/>
  </w:num>
  <w:num w:numId="40">
    <w:abstractNumId w:val="14"/>
  </w:num>
  <w:num w:numId="41">
    <w:abstractNumId w:val="19"/>
  </w:num>
  <w:num w:numId="42">
    <w:abstractNumId w:val="23"/>
  </w:num>
  <w:num w:numId="43">
    <w:abstractNumId w:val="37"/>
  </w:num>
  <w:num w:numId="44">
    <w:abstractNumId w:val="32"/>
  </w:num>
  <w:num w:numId="45">
    <w:abstractNumId w:val="2"/>
  </w:num>
  <w:num w:numId="4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8BF"/>
    <w:rsid w:val="00007A9C"/>
    <w:rsid w:val="0002464A"/>
    <w:rsid w:val="0003106B"/>
    <w:rsid w:val="000421A1"/>
    <w:rsid w:val="0004240E"/>
    <w:rsid w:val="00045E26"/>
    <w:rsid w:val="000514B5"/>
    <w:rsid w:val="00060381"/>
    <w:rsid w:val="00060E64"/>
    <w:rsid w:val="00066755"/>
    <w:rsid w:val="000969AD"/>
    <w:rsid w:val="00097F72"/>
    <w:rsid w:val="000B558D"/>
    <w:rsid w:val="000B6530"/>
    <w:rsid w:val="000C6996"/>
    <w:rsid w:val="000D23BA"/>
    <w:rsid w:val="000E341A"/>
    <w:rsid w:val="000E681E"/>
    <w:rsid w:val="000F4E6A"/>
    <w:rsid w:val="001107BF"/>
    <w:rsid w:val="0011348F"/>
    <w:rsid w:val="0012417C"/>
    <w:rsid w:val="00141D65"/>
    <w:rsid w:val="00142395"/>
    <w:rsid w:val="00142714"/>
    <w:rsid w:val="001452ED"/>
    <w:rsid w:val="001704A5"/>
    <w:rsid w:val="001830CE"/>
    <w:rsid w:val="00185863"/>
    <w:rsid w:val="00196307"/>
    <w:rsid w:val="001A74FA"/>
    <w:rsid w:val="001B017F"/>
    <w:rsid w:val="001B5129"/>
    <w:rsid w:val="001C1195"/>
    <w:rsid w:val="001D64B6"/>
    <w:rsid w:val="001E5259"/>
    <w:rsid w:val="001F7FC6"/>
    <w:rsid w:val="00213CFB"/>
    <w:rsid w:val="00271BA1"/>
    <w:rsid w:val="00277505"/>
    <w:rsid w:val="00281924"/>
    <w:rsid w:val="002937E3"/>
    <w:rsid w:val="0029458F"/>
    <w:rsid w:val="002A104C"/>
    <w:rsid w:val="002A3738"/>
    <w:rsid w:val="002A4960"/>
    <w:rsid w:val="002B1AE6"/>
    <w:rsid w:val="002B30F8"/>
    <w:rsid w:val="002B76FD"/>
    <w:rsid w:val="002C212F"/>
    <w:rsid w:val="002E72CA"/>
    <w:rsid w:val="002F6D51"/>
    <w:rsid w:val="00326E79"/>
    <w:rsid w:val="003367EF"/>
    <w:rsid w:val="00341AE4"/>
    <w:rsid w:val="003A5B4A"/>
    <w:rsid w:val="003A611C"/>
    <w:rsid w:val="003B23C5"/>
    <w:rsid w:val="003B2A75"/>
    <w:rsid w:val="003C4908"/>
    <w:rsid w:val="003C6678"/>
    <w:rsid w:val="003D4AC4"/>
    <w:rsid w:val="003D63B7"/>
    <w:rsid w:val="003E468B"/>
    <w:rsid w:val="003F5C8C"/>
    <w:rsid w:val="004465BD"/>
    <w:rsid w:val="00466ADA"/>
    <w:rsid w:val="00485940"/>
    <w:rsid w:val="004B5640"/>
    <w:rsid w:val="004C1BD7"/>
    <w:rsid w:val="004C691D"/>
    <w:rsid w:val="004D335A"/>
    <w:rsid w:val="004E692D"/>
    <w:rsid w:val="00507A1A"/>
    <w:rsid w:val="00514CD7"/>
    <w:rsid w:val="00534E2E"/>
    <w:rsid w:val="005435EC"/>
    <w:rsid w:val="00544552"/>
    <w:rsid w:val="00581932"/>
    <w:rsid w:val="005963BB"/>
    <w:rsid w:val="005A3173"/>
    <w:rsid w:val="005A3223"/>
    <w:rsid w:val="005A3DA3"/>
    <w:rsid w:val="005A52C4"/>
    <w:rsid w:val="005D03AB"/>
    <w:rsid w:val="005D5017"/>
    <w:rsid w:val="005E7538"/>
    <w:rsid w:val="00601A91"/>
    <w:rsid w:val="006025EE"/>
    <w:rsid w:val="00602BA3"/>
    <w:rsid w:val="006046E5"/>
    <w:rsid w:val="00604E3C"/>
    <w:rsid w:val="00614159"/>
    <w:rsid w:val="00617C00"/>
    <w:rsid w:val="00624305"/>
    <w:rsid w:val="006263BF"/>
    <w:rsid w:val="00630A2C"/>
    <w:rsid w:val="00651169"/>
    <w:rsid w:val="0065236C"/>
    <w:rsid w:val="00653D69"/>
    <w:rsid w:val="00670A76"/>
    <w:rsid w:val="00670F36"/>
    <w:rsid w:val="006711AA"/>
    <w:rsid w:val="00675622"/>
    <w:rsid w:val="006879CB"/>
    <w:rsid w:val="006906DB"/>
    <w:rsid w:val="006A12A5"/>
    <w:rsid w:val="006B0D94"/>
    <w:rsid w:val="006B485D"/>
    <w:rsid w:val="006C49F8"/>
    <w:rsid w:val="006C708E"/>
    <w:rsid w:val="006D1F3D"/>
    <w:rsid w:val="006D6EC7"/>
    <w:rsid w:val="006F5125"/>
    <w:rsid w:val="006F6382"/>
    <w:rsid w:val="006F76CB"/>
    <w:rsid w:val="00700CAF"/>
    <w:rsid w:val="007174BB"/>
    <w:rsid w:val="00750949"/>
    <w:rsid w:val="0077530F"/>
    <w:rsid w:val="007753C2"/>
    <w:rsid w:val="007838B8"/>
    <w:rsid w:val="007A51E0"/>
    <w:rsid w:val="007B6268"/>
    <w:rsid w:val="007C0F57"/>
    <w:rsid w:val="007C40B6"/>
    <w:rsid w:val="007C729F"/>
    <w:rsid w:val="007E1D28"/>
    <w:rsid w:val="007F2641"/>
    <w:rsid w:val="007F7C36"/>
    <w:rsid w:val="00806796"/>
    <w:rsid w:val="00820743"/>
    <w:rsid w:val="0084056E"/>
    <w:rsid w:val="00847D71"/>
    <w:rsid w:val="00856DDD"/>
    <w:rsid w:val="00863E68"/>
    <w:rsid w:val="00877BF8"/>
    <w:rsid w:val="00882085"/>
    <w:rsid w:val="00883188"/>
    <w:rsid w:val="00897D58"/>
    <w:rsid w:val="008A4937"/>
    <w:rsid w:val="008D2E8B"/>
    <w:rsid w:val="008D3C82"/>
    <w:rsid w:val="008D447E"/>
    <w:rsid w:val="008E3680"/>
    <w:rsid w:val="008E5870"/>
    <w:rsid w:val="008F1434"/>
    <w:rsid w:val="008F7355"/>
    <w:rsid w:val="009067B7"/>
    <w:rsid w:val="00907FF8"/>
    <w:rsid w:val="00930937"/>
    <w:rsid w:val="00933E6C"/>
    <w:rsid w:val="00942160"/>
    <w:rsid w:val="00952D66"/>
    <w:rsid w:val="0095503A"/>
    <w:rsid w:val="00955206"/>
    <w:rsid w:val="009602C5"/>
    <w:rsid w:val="00974C21"/>
    <w:rsid w:val="00982F2D"/>
    <w:rsid w:val="009C703C"/>
    <w:rsid w:val="009D3CAA"/>
    <w:rsid w:val="009D62F5"/>
    <w:rsid w:val="009F5B65"/>
    <w:rsid w:val="009F5F2E"/>
    <w:rsid w:val="009F7A9F"/>
    <w:rsid w:val="00A06225"/>
    <w:rsid w:val="00A302F1"/>
    <w:rsid w:val="00A37C8D"/>
    <w:rsid w:val="00A5273B"/>
    <w:rsid w:val="00A53A9D"/>
    <w:rsid w:val="00A62C1A"/>
    <w:rsid w:val="00A6426D"/>
    <w:rsid w:val="00A70622"/>
    <w:rsid w:val="00A70977"/>
    <w:rsid w:val="00A8390C"/>
    <w:rsid w:val="00AA4D1C"/>
    <w:rsid w:val="00AB1C05"/>
    <w:rsid w:val="00AC5206"/>
    <w:rsid w:val="00AE11A5"/>
    <w:rsid w:val="00AF68CC"/>
    <w:rsid w:val="00B205AA"/>
    <w:rsid w:val="00B25F75"/>
    <w:rsid w:val="00B362EE"/>
    <w:rsid w:val="00B43E90"/>
    <w:rsid w:val="00B56118"/>
    <w:rsid w:val="00B6773F"/>
    <w:rsid w:val="00B75FB4"/>
    <w:rsid w:val="00B92FD5"/>
    <w:rsid w:val="00BA0016"/>
    <w:rsid w:val="00BB412E"/>
    <w:rsid w:val="00BB69F5"/>
    <w:rsid w:val="00BB7EC3"/>
    <w:rsid w:val="00BC2D2C"/>
    <w:rsid w:val="00BC4B9A"/>
    <w:rsid w:val="00BD33FD"/>
    <w:rsid w:val="00BD762F"/>
    <w:rsid w:val="00BD784C"/>
    <w:rsid w:val="00BF4CB6"/>
    <w:rsid w:val="00C12768"/>
    <w:rsid w:val="00C14B78"/>
    <w:rsid w:val="00C16CD9"/>
    <w:rsid w:val="00C35996"/>
    <w:rsid w:val="00C5342C"/>
    <w:rsid w:val="00C6256A"/>
    <w:rsid w:val="00C6332F"/>
    <w:rsid w:val="00C76D8E"/>
    <w:rsid w:val="00C90AC8"/>
    <w:rsid w:val="00C91449"/>
    <w:rsid w:val="00C92D10"/>
    <w:rsid w:val="00C97DDF"/>
    <w:rsid w:val="00CA3476"/>
    <w:rsid w:val="00CA40BE"/>
    <w:rsid w:val="00CB6A35"/>
    <w:rsid w:val="00CE10C4"/>
    <w:rsid w:val="00CE27B5"/>
    <w:rsid w:val="00D0321E"/>
    <w:rsid w:val="00D22BFC"/>
    <w:rsid w:val="00D3280C"/>
    <w:rsid w:val="00D3406A"/>
    <w:rsid w:val="00D469B2"/>
    <w:rsid w:val="00D741EB"/>
    <w:rsid w:val="00D853C3"/>
    <w:rsid w:val="00D91271"/>
    <w:rsid w:val="00DA0538"/>
    <w:rsid w:val="00DA4BAC"/>
    <w:rsid w:val="00DC2355"/>
    <w:rsid w:val="00DC2CEC"/>
    <w:rsid w:val="00DC7944"/>
    <w:rsid w:val="00DE6D27"/>
    <w:rsid w:val="00DF217D"/>
    <w:rsid w:val="00DF26A7"/>
    <w:rsid w:val="00DF5228"/>
    <w:rsid w:val="00E164B3"/>
    <w:rsid w:val="00E16910"/>
    <w:rsid w:val="00E65E54"/>
    <w:rsid w:val="00E80155"/>
    <w:rsid w:val="00E810B7"/>
    <w:rsid w:val="00E848C0"/>
    <w:rsid w:val="00E91B96"/>
    <w:rsid w:val="00E941A1"/>
    <w:rsid w:val="00E95CE3"/>
    <w:rsid w:val="00EA2825"/>
    <w:rsid w:val="00EB22AF"/>
    <w:rsid w:val="00EB5088"/>
    <w:rsid w:val="00ED1644"/>
    <w:rsid w:val="00ED71E6"/>
    <w:rsid w:val="00F050BD"/>
    <w:rsid w:val="00F05657"/>
    <w:rsid w:val="00F25578"/>
    <w:rsid w:val="00F258E5"/>
    <w:rsid w:val="00F25CCE"/>
    <w:rsid w:val="00F300BC"/>
    <w:rsid w:val="00F302F0"/>
    <w:rsid w:val="00F3334E"/>
    <w:rsid w:val="00F361C7"/>
    <w:rsid w:val="00F44B8B"/>
    <w:rsid w:val="00F50EC4"/>
    <w:rsid w:val="00F57A6D"/>
    <w:rsid w:val="00F638CC"/>
    <w:rsid w:val="00F8247A"/>
    <w:rsid w:val="00FA5883"/>
    <w:rsid w:val="00FA5C6C"/>
    <w:rsid w:val="00FA6055"/>
    <w:rsid w:val="00FB322F"/>
    <w:rsid w:val="00FB442F"/>
    <w:rsid w:val="00FC1929"/>
    <w:rsid w:val="00FC5B46"/>
    <w:rsid w:val="00FD2DFD"/>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Revision">
    <w:name w:val="Revision"/>
    <w:hidden/>
    <w:uiPriority w:val="71"/>
    <w:rsid w:val="003C6678"/>
    <w:rPr>
      <w:sz w:val="24"/>
      <w:szCs w:val="24"/>
    </w:rPr>
  </w:style>
  <w:style w:type="paragraph" w:styleId="NormalWeb">
    <w:name w:val="Normal (Web)"/>
    <w:basedOn w:val="Normal"/>
    <w:uiPriority w:val="99"/>
    <w:unhideWhenUsed/>
    <w:rsid w:val="006F76CB"/>
    <w:pPr>
      <w:spacing w:before="75" w:after="75"/>
      <w:ind w:left="75" w:right="75"/>
    </w:pPr>
  </w:style>
  <w:style w:type="character" w:customStyle="1" w:styleId="ListParagraphChar">
    <w:name w:val="List Paragraph Char"/>
    <w:link w:val="ListParagraph"/>
    <w:uiPriority w:val="72"/>
    <w:locked/>
    <w:rsid w:val="000078B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Revision">
    <w:name w:val="Revision"/>
    <w:hidden/>
    <w:uiPriority w:val="71"/>
    <w:rsid w:val="003C6678"/>
    <w:rPr>
      <w:sz w:val="24"/>
      <w:szCs w:val="24"/>
    </w:rPr>
  </w:style>
  <w:style w:type="paragraph" w:styleId="NormalWeb">
    <w:name w:val="Normal (Web)"/>
    <w:basedOn w:val="Normal"/>
    <w:uiPriority w:val="99"/>
    <w:unhideWhenUsed/>
    <w:rsid w:val="006F76CB"/>
    <w:pPr>
      <w:spacing w:before="75" w:after="75"/>
      <w:ind w:left="75" w:right="75"/>
    </w:pPr>
  </w:style>
  <w:style w:type="character" w:customStyle="1" w:styleId="ListParagraphChar">
    <w:name w:val="List Paragraph Char"/>
    <w:link w:val="ListParagraph"/>
    <w:uiPriority w:val="72"/>
    <w:locked/>
    <w:rsid w:val="00007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85192461">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90931007">
      <w:bodyDiv w:val="1"/>
      <w:marLeft w:val="0"/>
      <w:marRight w:val="0"/>
      <w:marTop w:val="0"/>
      <w:marBottom w:val="0"/>
      <w:divBdr>
        <w:top w:val="none" w:sz="0" w:space="0" w:color="auto"/>
        <w:left w:val="none" w:sz="0" w:space="0" w:color="auto"/>
        <w:bottom w:val="none" w:sz="0" w:space="0" w:color="auto"/>
        <w:right w:val="none" w:sz="0" w:space="0" w:color="auto"/>
      </w:divBdr>
    </w:div>
    <w:div w:id="1238439853">
      <w:bodyDiv w:val="1"/>
      <w:marLeft w:val="0"/>
      <w:marRight w:val="0"/>
      <w:marTop w:val="0"/>
      <w:marBottom w:val="0"/>
      <w:divBdr>
        <w:top w:val="none" w:sz="0" w:space="0" w:color="auto"/>
        <w:left w:val="none" w:sz="0" w:space="0" w:color="auto"/>
        <w:bottom w:val="none" w:sz="0" w:space="0" w:color="auto"/>
        <w:right w:val="none" w:sz="0" w:space="0" w:color="auto"/>
      </w:divBdr>
    </w:div>
    <w:div w:id="1238662800">
      <w:bodyDiv w:val="1"/>
      <w:marLeft w:val="0"/>
      <w:marRight w:val="0"/>
      <w:marTop w:val="0"/>
      <w:marBottom w:val="0"/>
      <w:divBdr>
        <w:top w:val="none" w:sz="0" w:space="0" w:color="auto"/>
        <w:left w:val="none" w:sz="0" w:space="0" w:color="auto"/>
        <w:bottom w:val="none" w:sz="0" w:space="0" w:color="auto"/>
        <w:right w:val="none" w:sz="0" w:space="0" w:color="auto"/>
      </w:divBdr>
    </w:div>
    <w:div w:id="161601891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2014-10-07T22:08:00Z</dcterms:created>
  <dcterms:modified xsi:type="dcterms:W3CDTF">2014-11-04T05:12:00Z</dcterms:modified>
</cp:coreProperties>
</file>