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913" w:rsidRPr="001A0129" w:rsidRDefault="00100594" w:rsidP="001A0129">
      <w:pPr>
        <w:pStyle w:val="Heading1"/>
      </w:pPr>
      <w:r w:rsidRPr="001A0129">
        <w:t>6</w:t>
      </w:r>
      <w:r w:rsidR="0004240E" w:rsidRPr="001A0129">
        <w:t>.</w:t>
      </w:r>
      <w:r w:rsidRPr="001A0129">
        <w:t>5</w:t>
      </w:r>
      <w:r w:rsidRPr="001A0129">
        <w:tab/>
      </w:r>
      <w:proofErr w:type="spellStart"/>
      <w:r w:rsidRPr="001A0129">
        <w:t>Golimumab</w:t>
      </w:r>
      <w:proofErr w:type="spellEnd"/>
      <w:r w:rsidRPr="001A0129">
        <w:t xml:space="preserve">, 50 mg/0.5 mL injection, 1x 0.5 mL, syringe </w:t>
      </w:r>
      <w:proofErr w:type="spellStart"/>
      <w:r w:rsidRPr="001A0129">
        <w:t>Simponi</w:t>
      </w:r>
      <w:proofErr w:type="spellEnd"/>
      <w:r w:rsidRPr="001A0129">
        <w:t>®;</w:t>
      </w:r>
    </w:p>
    <w:p w:rsidR="00931913" w:rsidRDefault="00931913" w:rsidP="00185DCC">
      <w:pPr>
        <w:pStyle w:val="Heading1"/>
      </w:pPr>
    </w:p>
    <w:p w:rsidR="00931913" w:rsidRPr="001A0129" w:rsidRDefault="00100594" w:rsidP="001A0129">
      <w:pPr>
        <w:pStyle w:val="Heading1"/>
      </w:pPr>
      <w:r w:rsidRPr="001A0129">
        <w:t>Infliximab, 100 mg injection, 1x 100 mg vial</w:t>
      </w:r>
      <w:r w:rsidR="00931913" w:rsidRPr="001A0129">
        <w:t>,</w:t>
      </w:r>
      <w:r w:rsidRPr="001A0129">
        <w:t xml:space="preserve"> </w:t>
      </w:r>
    </w:p>
    <w:p w:rsidR="00931913" w:rsidRPr="001A0129" w:rsidRDefault="00100594" w:rsidP="001A0129">
      <w:pPr>
        <w:pStyle w:val="Heading1"/>
      </w:pPr>
      <w:proofErr w:type="spellStart"/>
      <w:r w:rsidRPr="001A0129">
        <w:t>Remicade</w:t>
      </w:r>
      <w:proofErr w:type="spellEnd"/>
      <w:r w:rsidRPr="001A0129">
        <w:t xml:space="preserve">®; </w:t>
      </w:r>
    </w:p>
    <w:p w:rsidR="00931913" w:rsidRDefault="00931913" w:rsidP="00185DCC">
      <w:pPr>
        <w:pStyle w:val="Heading1"/>
      </w:pPr>
    </w:p>
    <w:p w:rsidR="00931913" w:rsidRPr="001A0129" w:rsidRDefault="00100594" w:rsidP="001A0129">
      <w:pPr>
        <w:pStyle w:val="Heading1"/>
      </w:pPr>
      <w:proofErr w:type="spellStart"/>
      <w:r w:rsidRPr="001A0129">
        <w:t>Ustekinumab</w:t>
      </w:r>
      <w:proofErr w:type="spellEnd"/>
      <w:r w:rsidRPr="001A0129">
        <w:t xml:space="preserve"> 45 mg/0.5 ml injection, 1x 0.5 ml vial</w:t>
      </w:r>
      <w:r w:rsidR="00931913" w:rsidRPr="001A0129">
        <w:t>,</w:t>
      </w:r>
    </w:p>
    <w:p w:rsidR="00100594" w:rsidRPr="00100594" w:rsidRDefault="00100594" w:rsidP="001A0129">
      <w:pPr>
        <w:pStyle w:val="Heading1"/>
        <w:rPr>
          <w:rFonts w:cs="Arial"/>
        </w:rPr>
      </w:pPr>
      <w:proofErr w:type="spellStart"/>
      <w:proofErr w:type="gramStart"/>
      <w:r w:rsidRPr="001A0129">
        <w:t>Stelara</w:t>
      </w:r>
      <w:proofErr w:type="spellEnd"/>
      <w:r w:rsidRPr="001A0129">
        <w:t>®; Janssen-</w:t>
      </w:r>
      <w:proofErr w:type="spellStart"/>
      <w:r w:rsidRPr="001A0129">
        <w:t>Cilag</w:t>
      </w:r>
      <w:proofErr w:type="spellEnd"/>
      <w:r w:rsidRPr="001A0129">
        <w:t xml:space="preserve"> Pty Ltd</w:t>
      </w:r>
      <w:r w:rsidR="00931913">
        <w:rPr>
          <w:rFonts w:cs="Arial"/>
        </w:rPr>
        <w:t>.</w:t>
      </w:r>
      <w:proofErr w:type="gramEnd"/>
    </w:p>
    <w:p w:rsidR="00CE10C4" w:rsidRPr="00100594" w:rsidRDefault="00CE10C4" w:rsidP="00100594">
      <w:pPr>
        <w:ind w:left="720" w:hanging="720"/>
        <w:rPr>
          <w:rFonts w:ascii="Arial" w:hAnsi="Arial"/>
          <w:b/>
          <w:sz w:val="28"/>
          <w:szCs w:val="28"/>
        </w:rPr>
      </w:pPr>
    </w:p>
    <w:p w:rsidR="00CE10C4" w:rsidRPr="00882085" w:rsidRDefault="00CE10C4" w:rsidP="00931913">
      <w:pPr>
        <w:pStyle w:val="ListParagraph"/>
        <w:numPr>
          <w:ilvl w:val="0"/>
          <w:numId w:val="25"/>
        </w:numPr>
        <w:jc w:val="both"/>
        <w:rPr>
          <w:rFonts w:ascii="Arial" w:hAnsi="Arial"/>
          <w:b/>
          <w:sz w:val="22"/>
          <w:szCs w:val="22"/>
        </w:rPr>
      </w:pPr>
      <w:r w:rsidRPr="00882085">
        <w:rPr>
          <w:rFonts w:ascii="Arial" w:hAnsi="Arial"/>
          <w:b/>
          <w:sz w:val="22"/>
          <w:szCs w:val="22"/>
        </w:rPr>
        <w:t xml:space="preserve">Purpose of </w:t>
      </w:r>
      <w:r w:rsidR="00931913">
        <w:rPr>
          <w:rFonts w:ascii="Arial" w:hAnsi="Arial"/>
          <w:b/>
          <w:sz w:val="22"/>
          <w:szCs w:val="22"/>
        </w:rPr>
        <w:t>a</w:t>
      </w:r>
      <w:r w:rsidR="0004240E" w:rsidRPr="00882085">
        <w:rPr>
          <w:rFonts w:ascii="Arial" w:hAnsi="Arial"/>
          <w:b/>
          <w:sz w:val="22"/>
          <w:szCs w:val="22"/>
        </w:rPr>
        <w:t>pplication</w:t>
      </w:r>
    </w:p>
    <w:p w:rsidR="006A12A5" w:rsidRPr="00882085" w:rsidRDefault="006A12A5" w:rsidP="00882085">
      <w:pPr>
        <w:jc w:val="both"/>
        <w:rPr>
          <w:rFonts w:ascii="Arial" w:hAnsi="Arial"/>
          <w:sz w:val="22"/>
          <w:szCs w:val="22"/>
        </w:rPr>
      </w:pPr>
    </w:p>
    <w:p w:rsidR="00100594" w:rsidRPr="00100594" w:rsidRDefault="00100594" w:rsidP="00100594">
      <w:pPr>
        <w:pStyle w:val="ListParagraph"/>
        <w:numPr>
          <w:ilvl w:val="1"/>
          <w:numId w:val="25"/>
        </w:numPr>
        <w:rPr>
          <w:rFonts w:ascii="Arial" w:hAnsi="Arial"/>
          <w:sz w:val="22"/>
          <w:szCs w:val="22"/>
        </w:rPr>
      </w:pPr>
      <w:r w:rsidRPr="00100594">
        <w:rPr>
          <w:rFonts w:ascii="Arial" w:hAnsi="Arial"/>
          <w:sz w:val="22"/>
          <w:szCs w:val="22"/>
        </w:rPr>
        <w:t xml:space="preserve">To request an amendment to the second and subsequent continuing treatment authorities for infliximab, </w:t>
      </w:r>
      <w:proofErr w:type="spellStart"/>
      <w:r w:rsidRPr="00100594">
        <w:rPr>
          <w:rFonts w:ascii="Arial" w:hAnsi="Arial"/>
          <w:sz w:val="22"/>
          <w:szCs w:val="22"/>
        </w:rPr>
        <w:t>golimumab</w:t>
      </w:r>
      <w:proofErr w:type="spellEnd"/>
      <w:r w:rsidRPr="00100594">
        <w:rPr>
          <w:rFonts w:ascii="Arial" w:hAnsi="Arial"/>
          <w:sz w:val="22"/>
          <w:szCs w:val="22"/>
        </w:rPr>
        <w:t xml:space="preserve"> and </w:t>
      </w:r>
      <w:proofErr w:type="spellStart"/>
      <w:r w:rsidRPr="00100594">
        <w:rPr>
          <w:rFonts w:ascii="Arial" w:hAnsi="Arial"/>
          <w:sz w:val="22"/>
          <w:szCs w:val="22"/>
        </w:rPr>
        <w:t>ustekinumab</w:t>
      </w:r>
      <w:proofErr w:type="spellEnd"/>
      <w:r w:rsidRPr="00100594">
        <w:rPr>
          <w:rFonts w:ascii="Arial" w:hAnsi="Arial"/>
          <w:sz w:val="22"/>
          <w:szCs w:val="22"/>
        </w:rPr>
        <w:t xml:space="preserve"> for all of the PBS-reimbursed indications from a complex written authority to a telephone authority.</w:t>
      </w:r>
    </w:p>
    <w:p w:rsidR="00100594" w:rsidRPr="00100594" w:rsidRDefault="00100594" w:rsidP="00100594">
      <w:pPr>
        <w:pStyle w:val="ListParagraph"/>
        <w:rPr>
          <w:rFonts w:ascii="Arial" w:hAnsi="Arial"/>
          <w:sz w:val="22"/>
          <w:szCs w:val="22"/>
        </w:rPr>
      </w:pPr>
    </w:p>
    <w:p w:rsidR="00100594" w:rsidRPr="00100594" w:rsidRDefault="00100594" w:rsidP="00100594">
      <w:pPr>
        <w:pStyle w:val="ListParagraph"/>
        <w:numPr>
          <w:ilvl w:val="1"/>
          <w:numId w:val="25"/>
        </w:numPr>
        <w:rPr>
          <w:rFonts w:ascii="Arial" w:hAnsi="Arial"/>
          <w:sz w:val="22"/>
          <w:szCs w:val="22"/>
        </w:rPr>
      </w:pPr>
      <w:r w:rsidRPr="00100594">
        <w:rPr>
          <w:rFonts w:ascii="Arial" w:hAnsi="Arial"/>
          <w:sz w:val="22"/>
          <w:szCs w:val="22"/>
        </w:rPr>
        <w:t>The submission also request</w:t>
      </w:r>
      <w:r>
        <w:rPr>
          <w:rFonts w:ascii="Arial" w:hAnsi="Arial"/>
          <w:sz w:val="22"/>
          <w:szCs w:val="22"/>
        </w:rPr>
        <w:t>ed</w:t>
      </w:r>
      <w:r w:rsidRPr="00100594">
        <w:rPr>
          <w:rFonts w:ascii="Arial" w:hAnsi="Arial"/>
          <w:sz w:val="22"/>
          <w:szCs w:val="22"/>
        </w:rPr>
        <w:t xml:space="preserve"> that the Department of Human Services provide electronic PBS authority application forms for electronic completion and record keeping purposes.</w:t>
      </w:r>
    </w:p>
    <w:p w:rsidR="006A12A5" w:rsidRPr="00882085" w:rsidRDefault="006A12A5" w:rsidP="00882085">
      <w:pPr>
        <w:jc w:val="both"/>
        <w:rPr>
          <w:rFonts w:ascii="Arial" w:hAnsi="Arial"/>
          <w:b/>
          <w:sz w:val="22"/>
          <w:szCs w:val="22"/>
        </w:rPr>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100594" w:rsidRPr="00100594" w:rsidRDefault="00100594" w:rsidP="00100594">
      <w:pPr>
        <w:pStyle w:val="ListParagraph"/>
        <w:numPr>
          <w:ilvl w:val="1"/>
          <w:numId w:val="25"/>
        </w:numPr>
        <w:rPr>
          <w:rFonts w:ascii="Arial" w:hAnsi="Arial"/>
          <w:sz w:val="22"/>
          <w:szCs w:val="22"/>
        </w:rPr>
      </w:pPr>
      <w:r w:rsidRPr="00100594">
        <w:rPr>
          <w:rFonts w:ascii="Arial" w:hAnsi="Arial"/>
          <w:sz w:val="22"/>
          <w:szCs w:val="22"/>
        </w:rPr>
        <w:t>The sponsor</w:t>
      </w:r>
      <w:r w:rsidR="004C6675">
        <w:rPr>
          <w:rFonts w:ascii="Arial" w:hAnsi="Arial"/>
          <w:sz w:val="22"/>
          <w:szCs w:val="22"/>
        </w:rPr>
        <w:t xml:space="preserve">’s pre-PBAC response provided a proposed </w:t>
      </w:r>
      <w:r w:rsidRPr="00100594">
        <w:rPr>
          <w:rFonts w:ascii="Arial" w:hAnsi="Arial"/>
          <w:sz w:val="22"/>
          <w:szCs w:val="22"/>
        </w:rPr>
        <w:t xml:space="preserve">revised wording for the </w:t>
      </w:r>
      <w:r w:rsidR="004C6675">
        <w:rPr>
          <w:rFonts w:ascii="Arial" w:hAnsi="Arial"/>
          <w:sz w:val="22"/>
          <w:szCs w:val="22"/>
        </w:rPr>
        <w:t>severe chronic plaque psoriasis (whole body) restriction as an example</w:t>
      </w:r>
      <w:r w:rsidRPr="00100594">
        <w:rPr>
          <w:rFonts w:ascii="Arial" w:hAnsi="Arial"/>
          <w:sz w:val="22"/>
          <w:szCs w:val="22"/>
        </w:rPr>
        <w:t xml:space="preserve">. </w:t>
      </w:r>
      <w:r w:rsidR="004C6675">
        <w:rPr>
          <w:rFonts w:ascii="Arial" w:hAnsi="Arial"/>
          <w:sz w:val="22"/>
          <w:szCs w:val="22"/>
        </w:rPr>
        <w:t xml:space="preserve">This proposed written Authority applications for the initial and first continuing prescriptions, and telephone Authority for subsequent prescriptions. </w:t>
      </w:r>
    </w:p>
    <w:p w:rsidR="00614159" w:rsidRDefault="00614159" w:rsidP="00882085">
      <w:pPr>
        <w:jc w:val="both"/>
        <w:rPr>
          <w:rFonts w:ascii="Arial" w:hAnsi="Arial"/>
          <w:b/>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100594" w:rsidRPr="00100594" w:rsidRDefault="006B0D94" w:rsidP="00100594">
      <w:pPr>
        <w:pStyle w:val="ListParagraph"/>
        <w:numPr>
          <w:ilvl w:val="1"/>
          <w:numId w:val="25"/>
        </w:numPr>
        <w:jc w:val="both"/>
        <w:rPr>
          <w:rFonts w:ascii="Arial" w:hAnsi="Arial"/>
          <w:sz w:val="22"/>
          <w:szCs w:val="22"/>
        </w:rPr>
      </w:pPr>
      <w:r w:rsidRPr="00100594">
        <w:rPr>
          <w:rFonts w:ascii="Arial" w:hAnsi="Arial"/>
          <w:sz w:val="22"/>
          <w:szCs w:val="22"/>
        </w:rPr>
        <w:t>T</w:t>
      </w:r>
      <w:r w:rsidR="00100594" w:rsidRPr="00100594">
        <w:rPr>
          <w:rFonts w:ascii="Arial" w:hAnsi="Arial" w:cs="Arial"/>
          <w:sz w:val="22"/>
          <w:szCs w:val="22"/>
        </w:rPr>
        <w:t xml:space="preserve">he current PBS reimbursed indications for </w:t>
      </w:r>
      <w:proofErr w:type="spellStart"/>
      <w:r w:rsidR="00100594" w:rsidRPr="00100594">
        <w:rPr>
          <w:rFonts w:ascii="Arial" w:hAnsi="Arial" w:cs="Arial"/>
          <w:sz w:val="22"/>
          <w:szCs w:val="22"/>
        </w:rPr>
        <w:t>golimumab</w:t>
      </w:r>
      <w:proofErr w:type="spellEnd"/>
      <w:r w:rsidR="00100594" w:rsidRPr="00100594">
        <w:rPr>
          <w:rFonts w:ascii="Arial" w:hAnsi="Arial" w:cs="Arial"/>
          <w:sz w:val="22"/>
          <w:szCs w:val="22"/>
        </w:rPr>
        <w:t xml:space="preserve">, infliximab and </w:t>
      </w:r>
      <w:proofErr w:type="spellStart"/>
      <w:r w:rsidR="00100594" w:rsidRPr="00100594">
        <w:rPr>
          <w:rFonts w:ascii="Arial" w:hAnsi="Arial" w:cs="Arial"/>
          <w:sz w:val="22"/>
          <w:szCs w:val="22"/>
        </w:rPr>
        <w:t>ustekinumab</w:t>
      </w:r>
      <w:proofErr w:type="spellEnd"/>
      <w:r w:rsidR="00100594" w:rsidRPr="00100594">
        <w:rPr>
          <w:rFonts w:ascii="Arial" w:hAnsi="Arial" w:cs="Arial"/>
          <w:sz w:val="22"/>
          <w:szCs w:val="22"/>
        </w:rPr>
        <w:t xml:space="preserve"> are summarised in the table below.</w:t>
      </w:r>
    </w:p>
    <w:p w:rsidR="00100594" w:rsidRPr="00100594" w:rsidRDefault="00100594" w:rsidP="00100594">
      <w:pPr>
        <w:pStyle w:val="ListParagraph"/>
        <w:jc w:val="both"/>
        <w:rPr>
          <w:rFonts w:ascii="Arial" w:hAnsi="Arial"/>
          <w:sz w:val="22"/>
          <w:szCs w:val="22"/>
        </w:rPr>
      </w:pPr>
    </w:p>
    <w:p w:rsidR="00100594" w:rsidRPr="00100594" w:rsidRDefault="00100594" w:rsidP="00100594">
      <w:pPr>
        <w:pStyle w:val="ListParagraph"/>
        <w:numPr>
          <w:ilvl w:val="1"/>
          <w:numId w:val="25"/>
        </w:numPr>
        <w:jc w:val="both"/>
        <w:rPr>
          <w:rFonts w:ascii="Arial" w:hAnsi="Arial"/>
          <w:sz w:val="22"/>
          <w:szCs w:val="22"/>
        </w:rPr>
      </w:pPr>
      <w:proofErr w:type="spellStart"/>
      <w:r w:rsidRPr="00100594">
        <w:rPr>
          <w:rFonts w:ascii="Arial" w:hAnsi="Arial" w:cs="Arial"/>
          <w:sz w:val="22"/>
          <w:szCs w:val="22"/>
        </w:rPr>
        <w:t>Golimumab</w:t>
      </w:r>
      <w:proofErr w:type="spellEnd"/>
      <w:r w:rsidRPr="00100594">
        <w:rPr>
          <w:rFonts w:ascii="Arial" w:hAnsi="Arial" w:cs="Arial"/>
          <w:sz w:val="22"/>
          <w:szCs w:val="22"/>
        </w:rPr>
        <w:t xml:space="preserve"> and </w:t>
      </w:r>
      <w:proofErr w:type="spellStart"/>
      <w:r w:rsidRPr="00100594">
        <w:rPr>
          <w:rFonts w:ascii="Arial" w:hAnsi="Arial" w:cs="Arial"/>
          <w:sz w:val="22"/>
          <w:szCs w:val="22"/>
        </w:rPr>
        <w:t>ustekinumab</w:t>
      </w:r>
      <w:proofErr w:type="spellEnd"/>
      <w:r w:rsidRPr="00100594">
        <w:rPr>
          <w:rFonts w:ascii="Arial" w:hAnsi="Arial" w:cs="Arial"/>
          <w:sz w:val="22"/>
          <w:szCs w:val="22"/>
        </w:rPr>
        <w:t xml:space="preserve"> are listed under Section 85, while infliximab is listed under the Section 100 (Highly Specialised Drugs Program).</w:t>
      </w:r>
    </w:p>
    <w:p w:rsidR="00100594" w:rsidRPr="00100594" w:rsidRDefault="00100594" w:rsidP="00100594">
      <w:pPr>
        <w:jc w:val="both"/>
        <w:rPr>
          <w:rFonts w:ascii="Arial" w:hAnsi="Arial" w:cs="Arial"/>
          <w:sz w:val="22"/>
          <w:szCs w:val="22"/>
        </w:rPr>
      </w:pPr>
    </w:p>
    <w:p w:rsidR="00100594" w:rsidRDefault="00100594" w:rsidP="00931913">
      <w:pPr>
        <w:jc w:val="right"/>
        <w:rPr>
          <w:rFonts w:ascii="Arial" w:hAnsi="Arial" w:cs="Arial"/>
        </w:rPr>
      </w:pPr>
      <w:r>
        <w:rPr>
          <w:rFonts w:ascii="Arial" w:hAnsi="Arial" w:cs="Arial"/>
          <w:noProof/>
        </w:rPr>
        <w:lastRenderedPageBreak/>
        <w:drawing>
          <wp:inline distT="0" distB="0" distL="0" distR="0">
            <wp:extent cx="5276850" cy="3752850"/>
            <wp:effectExtent l="0" t="0" r="0" b="0"/>
            <wp:docPr id="1" name="Picture 1" descr="PBS reimbursed indications for the Janssen biologic dru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3752850"/>
                    </a:xfrm>
                    <a:prstGeom prst="rect">
                      <a:avLst/>
                    </a:prstGeom>
                    <a:noFill/>
                    <a:ln>
                      <a:noFill/>
                    </a:ln>
                  </pic:spPr>
                </pic:pic>
              </a:graphicData>
            </a:graphic>
          </wp:inline>
        </w:drawing>
      </w:r>
    </w:p>
    <w:p w:rsidR="006B0D94" w:rsidRPr="00882085" w:rsidRDefault="006B0D94" w:rsidP="00882085">
      <w:pPr>
        <w:pStyle w:val="ListParagraph"/>
        <w:jc w:val="both"/>
        <w:rPr>
          <w:rFonts w:ascii="Arial" w:hAnsi="Arial"/>
          <w:sz w:val="22"/>
          <w:szCs w:val="22"/>
        </w:rPr>
      </w:pPr>
      <w:bookmarkStart w:id="0" w:name="_GoBack"/>
      <w:bookmarkEnd w:id="0"/>
    </w:p>
    <w:p w:rsidR="00100594" w:rsidRPr="00100594" w:rsidRDefault="00100594" w:rsidP="00100594">
      <w:pPr>
        <w:pStyle w:val="ListParagraph"/>
        <w:numPr>
          <w:ilvl w:val="1"/>
          <w:numId w:val="25"/>
        </w:numPr>
        <w:jc w:val="both"/>
        <w:rPr>
          <w:rFonts w:ascii="Arial" w:hAnsi="Arial"/>
          <w:sz w:val="22"/>
          <w:szCs w:val="22"/>
        </w:rPr>
      </w:pPr>
      <w:r w:rsidRPr="00100594">
        <w:rPr>
          <w:rFonts w:ascii="Arial" w:hAnsi="Arial" w:cs="Arial"/>
          <w:sz w:val="22"/>
          <w:szCs w:val="22"/>
        </w:rPr>
        <w:t>The submission proposed changing restriction to the biologics to reduce administrative burden for clinicians, the Department of Human Services and to facilitate continuity of treatment. The proposal is limited to patients who have already received initial and continuing therapy</w:t>
      </w:r>
      <w:r w:rsidRPr="00100594">
        <w:rPr>
          <w:rFonts w:ascii="Arial" w:hAnsi="Arial" w:cs="Arial"/>
          <w:color w:val="FF0000"/>
          <w:sz w:val="22"/>
          <w:szCs w:val="22"/>
        </w:rPr>
        <w:t xml:space="preserve">. </w:t>
      </w:r>
    </w:p>
    <w:p w:rsidR="00100594" w:rsidRPr="00100594" w:rsidRDefault="00100594" w:rsidP="00100594">
      <w:pPr>
        <w:pStyle w:val="ListParagraph"/>
        <w:jc w:val="both"/>
        <w:rPr>
          <w:rFonts w:ascii="Arial" w:hAnsi="Arial"/>
          <w:sz w:val="22"/>
          <w:szCs w:val="22"/>
        </w:rPr>
      </w:pPr>
    </w:p>
    <w:p w:rsidR="00100594" w:rsidRPr="00100594" w:rsidRDefault="00100594" w:rsidP="00100594">
      <w:pPr>
        <w:pStyle w:val="ListParagraph"/>
        <w:numPr>
          <w:ilvl w:val="1"/>
          <w:numId w:val="25"/>
        </w:numPr>
        <w:jc w:val="both"/>
        <w:rPr>
          <w:rFonts w:ascii="Arial" w:hAnsi="Arial"/>
          <w:sz w:val="22"/>
          <w:szCs w:val="22"/>
        </w:rPr>
      </w:pPr>
      <w:r w:rsidRPr="00100594">
        <w:rPr>
          <w:rFonts w:ascii="Arial" w:hAnsi="Arial" w:cs="Arial"/>
          <w:sz w:val="22"/>
          <w:szCs w:val="22"/>
        </w:rPr>
        <w:t xml:space="preserve">In March 2014, the PBAC recommended infliximab for the treatment of moderate to severe ulcerative colitis.  The PBAC also recommended telephone Authority </w:t>
      </w:r>
      <w:proofErr w:type="gramStart"/>
      <w:r w:rsidRPr="00100594">
        <w:rPr>
          <w:rFonts w:ascii="Arial" w:hAnsi="Arial" w:cs="Arial"/>
          <w:sz w:val="22"/>
          <w:szCs w:val="22"/>
        </w:rPr>
        <w:t>Required</w:t>
      </w:r>
      <w:proofErr w:type="gramEnd"/>
      <w:r w:rsidRPr="00100594">
        <w:rPr>
          <w:rFonts w:ascii="Arial" w:hAnsi="Arial" w:cs="Arial"/>
          <w:sz w:val="22"/>
          <w:szCs w:val="22"/>
        </w:rPr>
        <w:t xml:space="preserve"> listing for </w:t>
      </w:r>
      <w:r w:rsidRPr="00100594">
        <w:rPr>
          <w:rFonts w:ascii="Arial" w:hAnsi="Arial" w:cs="Arial"/>
          <w:i/>
          <w:sz w:val="22"/>
          <w:szCs w:val="22"/>
        </w:rPr>
        <w:t>all</w:t>
      </w:r>
      <w:r w:rsidRPr="00100594">
        <w:rPr>
          <w:rFonts w:ascii="Arial" w:hAnsi="Arial" w:cs="Arial"/>
          <w:sz w:val="22"/>
          <w:szCs w:val="22"/>
        </w:rPr>
        <w:t xml:space="preserve"> continuing authorities but initial treatment remained as a complex written Authority required item. In a separate minor submission for consideration by the PBAC in July 2014, the sponsor request</w:t>
      </w:r>
      <w:r w:rsidR="003A21F0">
        <w:rPr>
          <w:rFonts w:ascii="Arial" w:hAnsi="Arial" w:cs="Arial"/>
          <w:sz w:val="22"/>
          <w:szCs w:val="22"/>
        </w:rPr>
        <w:t>ed</w:t>
      </w:r>
      <w:r w:rsidRPr="00100594">
        <w:rPr>
          <w:rFonts w:ascii="Arial" w:hAnsi="Arial" w:cs="Arial"/>
          <w:sz w:val="22"/>
          <w:szCs w:val="22"/>
        </w:rPr>
        <w:t xml:space="preserve"> the PBAC consider making the first continuation script a complex written authority for consistency with this request for </w:t>
      </w:r>
      <w:proofErr w:type="spellStart"/>
      <w:r w:rsidRPr="00100594">
        <w:rPr>
          <w:rFonts w:ascii="Arial" w:hAnsi="Arial" w:cs="Arial"/>
          <w:sz w:val="22"/>
          <w:szCs w:val="22"/>
        </w:rPr>
        <w:t>golimumab</w:t>
      </w:r>
      <w:proofErr w:type="spellEnd"/>
      <w:r w:rsidRPr="00100594">
        <w:rPr>
          <w:rFonts w:ascii="Arial" w:hAnsi="Arial" w:cs="Arial"/>
          <w:sz w:val="22"/>
          <w:szCs w:val="22"/>
        </w:rPr>
        <w:t xml:space="preserve"> and </w:t>
      </w:r>
      <w:proofErr w:type="spellStart"/>
      <w:r w:rsidRPr="00100594">
        <w:rPr>
          <w:rFonts w:ascii="Arial" w:hAnsi="Arial" w:cs="Arial"/>
          <w:sz w:val="22"/>
          <w:szCs w:val="22"/>
        </w:rPr>
        <w:t>ustekinumab</w:t>
      </w:r>
      <w:proofErr w:type="spellEnd"/>
      <w:r w:rsidRPr="00100594">
        <w:rPr>
          <w:rFonts w:ascii="Arial" w:hAnsi="Arial" w:cs="Arial"/>
          <w:sz w:val="22"/>
          <w:szCs w:val="22"/>
        </w:rPr>
        <w:t xml:space="preserve">. </w:t>
      </w:r>
    </w:p>
    <w:p w:rsidR="00BB7EC3" w:rsidRPr="00882085" w:rsidRDefault="00BB7EC3"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b/>
          <w:sz w:val="22"/>
          <w:szCs w:val="22"/>
        </w:rPr>
      </w:pPr>
      <w:r w:rsidRPr="00882085">
        <w:rPr>
          <w:rFonts w:ascii="Arial" w:hAnsi="Arial"/>
          <w:b/>
          <w:sz w:val="22"/>
          <w:szCs w:val="22"/>
        </w:rPr>
        <w:t>Clinical place for the proposed ther</w:t>
      </w:r>
      <w:r w:rsidR="006A12A5" w:rsidRPr="00882085">
        <w:rPr>
          <w:rFonts w:ascii="Arial" w:hAnsi="Arial"/>
          <w:b/>
          <w:sz w:val="22"/>
          <w:szCs w:val="22"/>
        </w:rPr>
        <w:t>apy</w:t>
      </w:r>
    </w:p>
    <w:p w:rsidR="00CE10C4" w:rsidRPr="00882085" w:rsidRDefault="00CE10C4" w:rsidP="00882085">
      <w:pPr>
        <w:jc w:val="both"/>
        <w:rPr>
          <w:rFonts w:ascii="Arial" w:hAnsi="Arial"/>
          <w:sz w:val="22"/>
          <w:szCs w:val="22"/>
        </w:rPr>
      </w:pPr>
    </w:p>
    <w:p w:rsidR="006A12A5" w:rsidRPr="00882085" w:rsidRDefault="00100594" w:rsidP="00882085">
      <w:pPr>
        <w:pStyle w:val="ListParagraph"/>
        <w:numPr>
          <w:ilvl w:val="1"/>
          <w:numId w:val="25"/>
        </w:numPr>
        <w:jc w:val="both"/>
        <w:rPr>
          <w:rFonts w:ascii="Arial" w:hAnsi="Arial"/>
          <w:sz w:val="22"/>
          <w:szCs w:val="22"/>
        </w:rPr>
      </w:pPr>
      <w:r>
        <w:rPr>
          <w:rFonts w:ascii="Arial" w:hAnsi="Arial"/>
          <w:sz w:val="22"/>
          <w:szCs w:val="22"/>
        </w:rPr>
        <w:t>The submission did not propose any change to the place in therapy of these agents.</w:t>
      </w:r>
    </w:p>
    <w:p w:rsidR="00BB7EC3" w:rsidRPr="00882085" w:rsidRDefault="00BB7EC3" w:rsidP="00882085">
      <w:pPr>
        <w:pStyle w:val="Header"/>
        <w:tabs>
          <w:tab w:val="clear" w:pos="4153"/>
          <w:tab w:val="clear" w:pos="8306"/>
        </w:tabs>
        <w:jc w:val="both"/>
        <w:rPr>
          <w:rFonts w:ascii="Arial" w:hAnsi="Arial"/>
          <w:sz w:val="22"/>
          <w:szCs w:val="22"/>
        </w:rPr>
      </w:pPr>
    </w:p>
    <w:p w:rsidR="005A3173" w:rsidRPr="00882085" w:rsidRDefault="005A3173" w:rsidP="00882085">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Comparator</w:t>
      </w:r>
    </w:p>
    <w:p w:rsidR="005A3173" w:rsidRPr="00882085" w:rsidRDefault="005A3173" w:rsidP="00882085">
      <w:pPr>
        <w:pStyle w:val="Header"/>
        <w:tabs>
          <w:tab w:val="clear" w:pos="4153"/>
          <w:tab w:val="clear" w:pos="8306"/>
        </w:tabs>
        <w:jc w:val="both"/>
        <w:rPr>
          <w:rFonts w:ascii="Arial" w:hAnsi="Arial"/>
          <w:b/>
          <w:sz w:val="22"/>
          <w:szCs w:val="22"/>
        </w:rPr>
      </w:pPr>
    </w:p>
    <w:p w:rsidR="00C35996" w:rsidRPr="00882085" w:rsidRDefault="00100594" w:rsidP="00882085">
      <w:pPr>
        <w:pStyle w:val="ListParagraph"/>
        <w:numPr>
          <w:ilvl w:val="1"/>
          <w:numId w:val="25"/>
        </w:numPr>
        <w:jc w:val="both"/>
        <w:rPr>
          <w:rFonts w:ascii="Arial" w:hAnsi="Arial"/>
          <w:sz w:val="22"/>
          <w:szCs w:val="22"/>
        </w:rPr>
      </w:pPr>
      <w:r>
        <w:rPr>
          <w:rFonts w:ascii="Arial" w:hAnsi="Arial"/>
          <w:sz w:val="22"/>
          <w:szCs w:val="22"/>
        </w:rPr>
        <w:t>The submission did not propose a comparator.</w:t>
      </w:r>
    </w:p>
    <w:p w:rsidR="00DF26A7" w:rsidRPr="004C6675" w:rsidRDefault="00DF26A7" w:rsidP="004C6675">
      <w:pPr>
        <w:jc w:val="both"/>
        <w:rPr>
          <w:rFonts w:ascii="Arial" w:hAnsi="Arial"/>
          <w:sz w:val="22"/>
          <w:szCs w:val="22"/>
        </w:rPr>
      </w:pPr>
    </w:p>
    <w:p w:rsidR="000B558D" w:rsidRPr="00882085" w:rsidRDefault="000B558D" w:rsidP="00931913">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PBAC consideration of the evidence</w:t>
      </w:r>
    </w:p>
    <w:p w:rsidR="006A12A5" w:rsidRDefault="006A12A5" w:rsidP="00882085">
      <w:pPr>
        <w:jc w:val="both"/>
        <w:rPr>
          <w:rFonts w:ascii="Arial" w:hAnsi="Arial"/>
          <w:b/>
          <w:sz w:val="22"/>
          <w:szCs w:val="22"/>
        </w:rPr>
      </w:pPr>
    </w:p>
    <w:p w:rsidR="00BB7EC3" w:rsidRPr="00BB7EC3" w:rsidRDefault="00BB7EC3" w:rsidP="00BB7EC3">
      <w:pPr>
        <w:jc w:val="both"/>
        <w:rPr>
          <w:rFonts w:ascii="Arial" w:hAnsi="Arial"/>
          <w:b/>
          <w:i/>
          <w:sz w:val="22"/>
          <w:szCs w:val="22"/>
        </w:rPr>
      </w:pPr>
      <w:r w:rsidRPr="00BB7EC3">
        <w:rPr>
          <w:rFonts w:ascii="Arial" w:hAnsi="Arial"/>
          <w:b/>
          <w:i/>
          <w:sz w:val="22"/>
          <w:szCs w:val="22"/>
        </w:rPr>
        <w:t>Sponsor hearing</w:t>
      </w:r>
    </w:p>
    <w:p w:rsidR="00BB7EC3" w:rsidRPr="00882085" w:rsidRDefault="00BB7EC3" w:rsidP="00BB7EC3">
      <w:pPr>
        <w:ind w:left="709"/>
        <w:jc w:val="both"/>
        <w:rPr>
          <w:rFonts w:ascii="Arial" w:hAnsi="Arial"/>
          <w:b/>
          <w:sz w:val="22"/>
          <w:szCs w:val="22"/>
        </w:rPr>
      </w:pPr>
    </w:p>
    <w:p w:rsidR="00BB7EC3" w:rsidRDefault="00BB7EC3" w:rsidP="000960F7">
      <w:pPr>
        <w:pStyle w:val="ListParagraph"/>
        <w:numPr>
          <w:ilvl w:val="1"/>
          <w:numId w:val="25"/>
        </w:numPr>
        <w:jc w:val="both"/>
        <w:rPr>
          <w:rFonts w:ascii="Arial" w:hAnsi="Arial"/>
          <w:sz w:val="22"/>
          <w:szCs w:val="22"/>
        </w:rPr>
      </w:pPr>
      <w:r>
        <w:rPr>
          <w:rFonts w:ascii="Arial" w:hAnsi="Arial"/>
          <w:sz w:val="22"/>
          <w:szCs w:val="22"/>
        </w:rPr>
        <w:t>There was no hearing for this item.</w:t>
      </w:r>
    </w:p>
    <w:p w:rsidR="00BB7EC3" w:rsidRDefault="00BB7EC3" w:rsidP="00BB7EC3">
      <w:pPr>
        <w:pStyle w:val="ListParagraph"/>
        <w:ind w:left="709"/>
        <w:jc w:val="both"/>
        <w:rPr>
          <w:rFonts w:ascii="Arial" w:hAnsi="Arial"/>
          <w:sz w:val="22"/>
          <w:szCs w:val="22"/>
        </w:rPr>
      </w:pPr>
    </w:p>
    <w:p w:rsidR="00BB7EC3" w:rsidRPr="00BB7EC3" w:rsidRDefault="00BB7EC3" w:rsidP="00BB7EC3">
      <w:pPr>
        <w:jc w:val="both"/>
        <w:rPr>
          <w:rFonts w:ascii="Arial" w:hAnsi="Arial"/>
          <w:b/>
          <w:i/>
          <w:sz w:val="22"/>
          <w:szCs w:val="22"/>
        </w:rPr>
      </w:pPr>
      <w:r w:rsidRPr="00BB7EC3">
        <w:rPr>
          <w:rFonts w:ascii="Arial" w:hAnsi="Arial"/>
          <w:b/>
          <w:i/>
          <w:sz w:val="22"/>
          <w:szCs w:val="22"/>
        </w:rPr>
        <w:t>Consumer comments</w:t>
      </w:r>
    </w:p>
    <w:p w:rsidR="00BB7EC3" w:rsidRDefault="00BB7EC3" w:rsidP="00BB7EC3">
      <w:pPr>
        <w:pStyle w:val="ListParagraph"/>
        <w:ind w:left="709"/>
        <w:jc w:val="both"/>
        <w:rPr>
          <w:rFonts w:ascii="Arial" w:hAnsi="Arial"/>
          <w:sz w:val="22"/>
          <w:szCs w:val="22"/>
        </w:rPr>
      </w:pPr>
    </w:p>
    <w:p w:rsidR="004C6675" w:rsidRPr="004C6675" w:rsidRDefault="00BB7EC3" w:rsidP="000960F7">
      <w:pPr>
        <w:pStyle w:val="ListParagraph"/>
        <w:numPr>
          <w:ilvl w:val="1"/>
          <w:numId w:val="25"/>
        </w:numPr>
        <w:jc w:val="both"/>
        <w:rPr>
          <w:rFonts w:ascii="Arial" w:hAnsi="Arial"/>
          <w:sz w:val="22"/>
          <w:szCs w:val="22"/>
        </w:rPr>
      </w:pPr>
      <w:r w:rsidRPr="004C6675">
        <w:rPr>
          <w:rFonts w:ascii="Arial" w:hAnsi="Arial"/>
          <w:sz w:val="22"/>
          <w:szCs w:val="22"/>
        </w:rPr>
        <w:lastRenderedPageBreak/>
        <w:t>The PBAC noted and welcomed the input from, health care professionals (1) and organisations (1) via the Consumer Comments facility on the PBS website.  The comments described a rang</w:t>
      </w:r>
      <w:r w:rsidR="004C6675" w:rsidRPr="004C6675">
        <w:rPr>
          <w:rFonts w:ascii="Arial" w:hAnsi="Arial"/>
          <w:sz w:val="22"/>
          <w:szCs w:val="22"/>
        </w:rPr>
        <w:t>e of benefits of the proposed change including</w:t>
      </w:r>
      <w:r w:rsidRPr="004C6675">
        <w:rPr>
          <w:rFonts w:ascii="Arial" w:hAnsi="Arial"/>
          <w:sz w:val="22"/>
          <w:szCs w:val="22"/>
        </w:rPr>
        <w:t xml:space="preserve"> </w:t>
      </w:r>
      <w:r w:rsidR="004C6675" w:rsidRPr="004C6675">
        <w:rPr>
          <w:rFonts w:ascii="Arial" w:hAnsi="Arial"/>
          <w:sz w:val="22"/>
          <w:szCs w:val="22"/>
        </w:rPr>
        <w:t xml:space="preserve">improve workload for prescribers, a simplification of the Authority process and reduced </w:t>
      </w:r>
      <w:r w:rsidR="004C6675">
        <w:rPr>
          <w:rFonts w:ascii="Arial" w:hAnsi="Arial"/>
          <w:sz w:val="22"/>
          <w:szCs w:val="22"/>
        </w:rPr>
        <w:t>a</w:t>
      </w:r>
      <w:r w:rsidR="004C6675" w:rsidRPr="004C6675">
        <w:rPr>
          <w:rFonts w:ascii="Arial" w:hAnsi="Arial"/>
          <w:sz w:val="22"/>
          <w:szCs w:val="22"/>
        </w:rPr>
        <w:t xml:space="preserve">dministrative burden for </w:t>
      </w:r>
      <w:r w:rsidR="004C6675">
        <w:rPr>
          <w:rFonts w:ascii="Arial" w:hAnsi="Arial"/>
          <w:sz w:val="22"/>
          <w:szCs w:val="22"/>
        </w:rPr>
        <w:t xml:space="preserve">the </w:t>
      </w:r>
      <w:r w:rsidR="004C6675" w:rsidRPr="004C6675">
        <w:rPr>
          <w:rFonts w:ascii="Arial" w:hAnsi="Arial"/>
          <w:sz w:val="22"/>
          <w:szCs w:val="22"/>
        </w:rPr>
        <w:t>Dep</w:t>
      </w:r>
      <w:r w:rsidR="004C6675">
        <w:rPr>
          <w:rFonts w:ascii="Arial" w:hAnsi="Arial"/>
          <w:sz w:val="22"/>
          <w:szCs w:val="22"/>
        </w:rPr>
        <w:t>ar</w:t>
      </w:r>
      <w:r w:rsidR="004C6675" w:rsidRPr="004C6675">
        <w:rPr>
          <w:rFonts w:ascii="Arial" w:hAnsi="Arial"/>
          <w:sz w:val="22"/>
          <w:szCs w:val="22"/>
        </w:rPr>
        <w:t>t</w:t>
      </w:r>
      <w:r w:rsidR="004C6675">
        <w:rPr>
          <w:rFonts w:ascii="Arial" w:hAnsi="Arial"/>
          <w:sz w:val="22"/>
          <w:szCs w:val="22"/>
        </w:rPr>
        <w:t>ment</w:t>
      </w:r>
      <w:r w:rsidR="004C6675" w:rsidRPr="004C6675">
        <w:rPr>
          <w:rFonts w:ascii="Arial" w:hAnsi="Arial"/>
          <w:sz w:val="22"/>
          <w:szCs w:val="22"/>
        </w:rPr>
        <w:t xml:space="preserve"> of Human services</w:t>
      </w:r>
      <w:r w:rsidR="004C6675">
        <w:rPr>
          <w:rFonts w:ascii="Arial" w:hAnsi="Arial"/>
          <w:sz w:val="22"/>
          <w:szCs w:val="22"/>
        </w:rPr>
        <w:t>.</w:t>
      </w:r>
    </w:p>
    <w:p w:rsidR="002B1AE6" w:rsidRPr="004C6675" w:rsidRDefault="002B1AE6" w:rsidP="004C6675">
      <w:pPr>
        <w:jc w:val="both"/>
        <w:rPr>
          <w:rFonts w:ascii="Arial" w:hAnsi="Arial"/>
          <w:b/>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BB7EC3">
      <w:pPr>
        <w:ind w:left="709"/>
        <w:jc w:val="both"/>
        <w:rPr>
          <w:rFonts w:ascii="Arial" w:hAnsi="Arial"/>
          <w:b/>
          <w:sz w:val="22"/>
          <w:szCs w:val="22"/>
        </w:rPr>
      </w:pPr>
    </w:p>
    <w:p w:rsidR="00B43E90" w:rsidRPr="00882085" w:rsidRDefault="00B43E90" w:rsidP="00882085">
      <w:pPr>
        <w:jc w:val="both"/>
        <w:rPr>
          <w:rFonts w:ascii="Arial" w:hAnsi="Arial"/>
          <w:b/>
          <w:i/>
          <w:sz w:val="22"/>
          <w:szCs w:val="22"/>
        </w:rPr>
      </w:pPr>
      <w:r w:rsidRPr="00882085">
        <w:rPr>
          <w:rFonts w:ascii="Arial" w:hAnsi="Arial"/>
          <w:b/>
          <w:i/>
          <w:sz w:val="22"/>
          <w:szCs w:val="22"/>
        </w:rPr>
        <w:t>Clinical trials</w:t>
      </w:r>
    </w:p>
    <w:p w:rsidR="002B1AE6" w:rsidRPr="00882085" w:rsidRDefault="002B1AE6" w:rsidP="00882085">
      <w:pPr>
        <w:jc w:val="both"/>
        <w:rPr>
          <w:rFonts w:ascii="Arial" w:hAnsi="Arial"/>
          <w:sz w:val="22"/>
          <w:szCs w:val="22"/>
        </w:rPr>
      </w:pPr>
    </w:p>
    <w:p w:rsidR="00B6773F" w:rsidRPr="00B6773F" w:rsidRDefault="004C6675" w:rsidP="000960F7">
      <w:pPr>
        <w:pStyle w:val="ListParagraph"/>
        <w:numPr>
          <w:ilvl w:val="1"/>
          <w:numId w:val="25"/>
        </w:numPr>
        <w:jc w:val="both"/>
        <w:rPr>
          <w:rFonts w:ascii="Arial" w:hAnsi="Arial"/>
          <w:sz w:val="22"/>
          <w:szCs w:val="22"/>
        </w:rPr>
      </w:pPr>
      <w:r>
        <w:rPr>
          <w:rFonts w:ascii="Arial" w:hAnsi="Arial"/>
          <w:sz w:val="22"/>
          <w:szCs w:val="22"/>
        </w:rPr>
        <w:t>No clinical data were presented in the submission</w:t>
      </w:r>
      <w:r w:rsidR="009C703C" w:rsidRPr="00882085">
        <w:rPr>
          <w:rFonts w:ascii="Arial" w:hAnsi="Arial"/>
          <w:sz w:val="22"/>
          <w:szCs w:val="22"/>
        </w:rPr>
        <w:t>.</w:t>
      </w:r>
    </w:p>
    <w:p w:rsidR="00F57A6D" w:rsidRPr="00882085" w:rsidRDefault="00F57A6D" w:rsidP="004C6675">
      <w:pPr>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Economic analysis</w:t>
      </w:r>
    </w:p>
    <w:p w:rsidR="005A3173" w:rsidRPr="00882085" w:rsidRDefault="005A3173" w:rsidP="00882085">
      <w:pPr>
        <w:ind w:left="720" w:hanging="720"/>
        <w:jc w:val="both"/>
        <w:rPr>
          <w:rFonts w:ascii="Arial" w:hAnsi="Arial"/>
          <w:sz w:val="22"/>
          <w:szCs w:val="22"/>
        </w:rPr>
      </w:pPr>
    </w:p>
    <w:p w:rsidR="004C6675" w:rsidRDefault="004C6675" w:rsidP="000960F7">
      <w:pPr>
        <w:pStyle w:val="ListParagraph"/>
        <w:numPr>
          <w:ilvl w:val="1"/>
          <w:numId w:val="25"/>
        </w:numPr>
        <w:jc w:val="both"/>
        <w:rPr>
          <w:rFonts w:ascii="Arial" w:hAnsi="Arial"/>
          <w:sz w:val="22"/>
          <w:szCs w:val="22"/>
        </w:rPr>
      </w:pPr>
      <w:r>
        <w:rPr>
          <w:rFonts w:ascii="Arial" w:hAnsi="Arial"/>
          <w:sz w:val="22"/>
          <w:szCs w:val="22"/>
        </w:rPr>
        <w:t>No formal economic analysis was presented in the submission.</w:t>
      </w:r>
    </w:p>
    <w:p w:rsidR="005963BB" w:rsidRPr="00882085" w:rsidRDefault="005963BB" w:rsidP="00882085">
      <w:pPr>
        <w:ind w:left="720" w:hanging="720"/>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BB7EC3" w:rsidRPr="00041E11" w:rsidRDefault="004C6675" w:rsidP="000960F7">
      <w:pPr>
        <w:pStyle w:val="ListParagraph"/>
        <w:numPr>
          <w:ilvl w:val="1"/>
          <w:numId w:val="25"/>
        </w:numPr>
        <w:jc w:val="both"/>
        <w:rPr>
          <w:rFonts w:ascii="Arial" w:hAnsi="Arial"/>
          <w:sz w:val="22"/>
          <w:szCs w:val="22"/>
        </w:rPr>
      </w:pPr>
      <w:r>
        <w:rPr>
          <w:rFonts w:ascii="Arial" w:hAnsi="Arial"/>
          <w:sz w:val="22"/>
          <w:szCs w:val="22"/>
        </w:rPr>
        <w:t xml:space="preserve">The pre-PBAC response claimed that the proposed change would not alter the treated population or the </w:t>
      </w:r>
      <w:r w:rsidR="00A83F02">
        <w:rPr>
          <w:rFonts w:ascii="Arial" w:hAnsi="Arial"/>
          <w:sz w:val="22"/>
          <w:szCs w:val="22"/>
        </w:rPr>
        <w:t xml:space="preserve">response criteria, and that therefore there would be no financial implications to the PBS. The pre-PBAC response further noted that the proposed change would only permit telephone Authority approvals </w:t>
      </w:r>
      <w:r w:rsidR="003A21F0">
        <w:rPr>
          <w:rFonts w:ascii="Arial" w:hAnsi="Arial"/>
          <w:sz w:val="22"/>
          <w:szCs w:val="22"/>
        </w:rPr>
        <w:t xml:space="preserve">once patients had been treated for between 40 weeks (for </w:t>
      </w:r>
      <w:proofErr w:type="spellStart"/>
      <w:r w:rsidR="003A21F0">
        <w:rPr>
          <w:rFonts w:ascii="Arial" w:hAnsi="Arial"/>
          <w:sz w:val="22"/>
          <w:szCs w:val="22"/>
        </w:rPr>
        <w:t>golimumab</w:t>
      </w:r>
      <w:proofErr w:type="spellEnd"/>
      <w:r w:rsidR="003A21F0">
        <w:rPr>
          <w:rFonts w:ascii="Arial" w:hAnsi="Arial"/>
          <w:sz w:val="22"/>
          <w:szCs w:val="22"/>
        </w:rPr>
        <w:t xml:space="preserve">) and 52 weeks (with </w:t>
      </w:r>
      <w:proofErr w:type="spellStart"/>
      <w:r w:rsidR="003A21F0">
        <w:rPr>
          <w:rFonts w:ascii="Arial" w:hAnsi="Arial"/>
          <w:sz w:val="22"/>
          <w:szCs w:val="22"/>
        </w:rPr>
        <w:t>ustekin</w:t>
      </w:r>
      <w:r w:rsidR="00C522EB">
        <w:rPr>
          <w:rFonts w:ascii="Arial" w:hAnsi="Arial"/>
          <w:sz w:val="22"/>
          <w:szCs w:val="22"/>
        </w:rPr>
        <w:t>u</w:t>
      </w:r>
      <w:r w:rsidR="003A21F0">
        <w:rPr>
          <w:rFonts w:ascii="Arial" w:hAnsi="Arial"/>
          <w:sz w:val="22"/>
          <w:szCs w:val="22"/>
        </w:rPr>
        <w:t>mab</w:t>
      </w:r>
      <w:proofErr w:type="spellEnd"/>
      <w:r w:rsidR="003A21F0">
        <w:rPr>
          <w:rFonts w:ascii="Arial" w:hAnsi="Arial"/>
          <w:sz w:val="22"/>
          <w:szCs w:val="22"/>
        </w:rPr>
        <w:t>) before being able to access ongoing treatment via a telephone Authority.  The sponsor therefore claimed that the proposed change would still target patients in whom treatment with these drugs has been established to be cost-effective.</w:t>
      </w:r>
    </w:p>
    <w:p w:rsidR="00BB7EC3" w:rsidRDefault="00BB7EC3" w:rsidP="00BB7EC3">
      <w:pPr>
        <w:pStyle w:val="ListParagraph"/>
        <w:ind w:left="709"/>
        <w:jc w:val="both"/>
        <w:rPr>
          <w:rFonts w:ascii="Arial" w:hAnsi="Arial"/>
          <w:i/>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CE10C4" w:rsidRPr="00882085" w:rsidRDefault="00CE10C4" w:rsidP="00882085">
      <w:pPr>
        <w:jc w:val="both"/>
        <w:rPr>
          <w:rFonts w:ascii="Arial" w:hAnsi="Arial"/>
          <w:b/>
          <w:sz w:val="22"/>
          <w:szCs w:val="22"/>
        </w:rPr>
      </w:pPr>
    </w:p>
    <w:p w:rsidR="00326E79" w:rsidRPr="00882085" w:rsidRDefault="00A62C1A" w:rsidP="000960F7">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 xml:space="preserve">PBAC </w:t>
      </w:r>
      <w:r w:rsidR="00930937" w:rsidRPr="00882085">
        <w:rPr>
          <w:rFonts w:ascii="Arial" w:hAnsi="Arial"/>
          <w:b/>
          <w:sz w:val="22"/>
          <w:szCs w:val="22"/>
        </w:rPr>
        <w:t>Outcome</w:t>
      </w:r>
      <w:r w:rsidR="00B43E90" w:rsidRPr="00882085">
        <w:rPr>
          <w:rFonts w:ascii="Arial" w:hAnsi="Arial"/>
          <w:b/>
          <w:sz w:val="22"/>
          <w:szCs w:val="22"/>
        </w:rPr>
        <w:t xml:space="preserve"> </w:t>
      </w:r>
    </w:p>
    <w:p w:rsidR="00B43E90" w:rsidRDefault="00B43E90" w:rsidP="00882085">
      <w:pPr>
        <w:jc w:val="both"/>
        <w:rPr>
          <w:rFonts w:ascii="Arial" w:hAnsi="Arial"/>
          <w:b/>
          <w:sz w:val="22"/>
          <w:szCs w:val="22"/>
        </w:rPr>
      </w:pPr>
    </w:p>
    <w:p w:rsidR="00BB7EC3" w:rsidRPr="003A21F0" w:rsidRDefault="003A21F0" w:rsidP="000960F7">
      <w:pPr>
        <w:pStyle w:val="ListParagraph"/>
        <w:numPr>
          <w:ilvl w:val="1"/>
          <w:numId w:val="25"/>
        </w:numPr>
        <w:jc w:val="both"/>
        <w:rPr>
          <w:rFonts w:ascii="Arial" w:hAnsi="Arial"/>
          <w:sz w:val="22"/>
          <w:szCs w:val="22"/>
        </w:rPr>
      </w:pPr>
      <w:r w:rsidRPr="003A21F0">
        <w:rPr>
          <w:rFonts w:ascii="Arial" w:hAnsi="Arial"/>
          <w:sz w:val="22"/>
          <w:szCs w:val="22"/>
        </w:rPr>
        <w:t>The</w:t>
      </w:r>
      <w:r>
        <w:rPr>
          <w:rFonts w:ascii="Arial" w:hAnsi="Arial"/>
          <w:sz w:val="22"/>
          <w:szCs w:val="22"/>
        </w:rPr>
        <w:t xml:space="preserve"> PBAC deferred the submission, noting that this matter would be considered in the context of the Post Market Review of PBS Authorities.  The PBAC agreed that the points raised by the sponsor merited further exploration, but considered that addressing these in a consolidated fashion in the context of the Review would be the most efficient approach.  In reaching this conclusion, the PBAC noted that changes such as those proposed in the submission may appropriately be flowed on to other listings.</w:t>
      </w:r>
    </w:p>
    <w:p w:rsidR="00BB7EC3" w:rsidRPr="00BB7EC3" w:rsidRDefault="00BB7EC3" w:rsidP="00BB7EC3">
      <w:pPr>
        <w:pStyle w:val="ListParagraph"/>
        <w:rPr>
          <w:rFonts w:ascii="Arial" w:hAnsi="Arial"/>
          <w:sz w:val="22"/>
          <w:szCs w:val="22"/>
        </w:rPr>
      </w:pPr>
    </w:p>
    <w:p w:rsidR="00BB7EC3" w:rsidRPr="001A0129" w:rsidRDefault="003A21F0" w:rsidP="00BB7EC3">
      <w:pPr>
        <w:pStyle w:val="ListParagraph"/>
        <w:numPr>
          <w:ilvl w:val="1"/>
          <w:numId w:val="25"/>
        </w:numPr>
        <w:jc w:val="both"/>
        <w:rPr>
          <w:rFonts w:ascii="Arial" w:hAnsi="Arial"/>
          <w:sz w:val="22"/>
          <w:szCs w:val="22"/>
        </w:rPr>
      </w:pPr>
      <w:r w:rsidRPr="001A0129">
        <w:rPr>
          <w:rFonts w:ascii="Arial" w:hAnsi="Arial"/>
          <w:sz w:val="22"/>
          <w:szCs w:val="22"/>
        </w:rPr>
        <w:t xml:space="preserve">The PBAC noted that </w:t>
      </w:r>
      <w:r w:rsidR="00FC5CBF" w:rsidRPr="001A0129">
        <w:rPr>
          <w:rFonts w:ascii="Arial" w:hAnsi="Arial"/>
          <w:sz w:val="22"/>
          <w:szCs w:val="22"/>
        </w:rPr>
        <w:t>the current listings allow patients to switch to other agents for the same indication under specific circumstances.  The PBAC foreshadowed that should it recommend changes such as those proposed in the submission, it considered that it would be appropriate for written applications to be required when switching to another agent.</w:t>
      </w:r>
    </w:p>
    <w:p w:rsidR="00DF26A7" w:rsidRPr="00882085" w:rsidRDefault="00DF26A7" w:rsidP="00882085">
      <w:pPr>
        <w:jc w:val="both"/>
        <w:rPr>
          <w:rFonts w:ascii="Arial" w:hAnsi="Arial"/>
          <w:sz w:val="22"/>
          <w:szCs w:val="22"/>
        </w:rPr>
      </w:pPr>
    </w:p>
    <w:p w:rsidR="009C703C" w:rsidRPr="00882085" w:rsidRDefault="009C703C" w:rsidP="00882085">
      <w:pPr>
        <w:jc w:val="both"/>
        <w:rPr>
          <w:rFonts w:ascii="Arial" w:hAnsi="Arial"/>
          <w:b/>
          <w:sz w:val="22"/>
          <w:szCs w:val="22"/>
        </w:rPr>
      </w:pPr>
      <w:r w:rsidRPr="00882085">
        <w:rPr>
          <w:rFonts w:ascii="Arial" w:hAnsi="Arial"/>
          <w:b/>
          <w:sz w:val="22"/>
          <w:szCs w:val="22"/>
        </w:rPr>
        <w:t>Outcome:</w:t>
      </w:r>
    </w:p>
    <w:p w:rsidR="009C703C" w:rsidRDefault="009C703C" w:rsidP="00882085">
      <w:pPr>
        <w:jc w:val="both"/>
        <w:rPr>
          <w:rFonts w:ascii="Arial" w:hAnsi="Arial"/>
          <w:sz w:val="22"/>
          <w:szCs w:val="22"/>
        </w:rPr>
      </w:pPr>
      <w:r w:rsidRPr="00882085">
        <w:rPr>
          <w:rFonts w:ascii="Arial" w:hAnsi="Arial"/>
          <w:sz w:val="22"/>
          <w:szCs w:val="22"/>
        </w:rPr>
        <w:t>Deferred</w:t>
      </w:r>
    </w:p>
    <w:p w:rsidR="00BB7EC3" w:rsidRDefault="00BB7EC3" w:rsidP="00882085">
      <w:pPr>
        <w:jc w:val="both"/>
        <w:rPr>
          <w:rFonts w:ascii="Arial" w:hAnsi="Arial"/>
          <w:sz w:val="22"/>
          <w:szCs w:val="22"/>
        </w:rPr>
      </w:pPr>
    </w:p>
    <w:p w:rsidR="00244D24" w:rsidRDefault="00244D24" w:rsidP="00244D24">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244D24" w:rsidRPr="00D4420F" w:rsidRDefault="00244D24" w:rsidP="00244D24">
      <w:pPr>
        <w:pStyle w:val="ListParagraph"/>
        <w:jc w:val="both"/>
        <w:rPr>
          <w:rFonts w:ascii="Arial" w:hAnsi="Arial" w:cs="Arial"/>
          <w:b/>
          <w:sz w:val="22"/>
        </w:rPr>
      </w:pPr>
    </w:p>
    <w:p w:rsidR="00244D24" w:rsidRPr="00D4420F" w:rsidRDefault="00244D24" w:rsidP="00244D24">
      <w:pPr>
        <w:ind w:left="720"/>
        <w:jc w:val="both"/>
        <w:rPr>
          <w:rFonts w:ascii="Arial" w:hAnsi="Arial" w:cs="Arial"/>
          <w:sz w:val="22"/>
        </w:rPr>
      </w:pPr>
      <w:r w:rsidRPr="00D4420F">
        <w:rPr>
          <w:rFonts w:ascii="Arial" w:hAnsi="Arial" w:cs="Arial"/>
          <w:sz w:val="22"/>
        </w:rPr>
        <w:t xml:space="preserve">The PBAC helps decide whether and, if so, how medicines should be subsidised in Australia. It considers submissions in this context. A PBAC decision not to recommend listing or not to recommend changing a listing does not represent a final </w:t>
      </w:r>
      <w:r w:rsidRPr="00D4420F">
        <w:rPr>
          <w:rFonts w:ascii="Arial" w:hAnsi="Arial" w:cs="Arial"/>
          <w:sz w:val="22"/>
        </w:rPr>
        <w:lastRenderedPageBreak/>
        <w:t>PBAC view about the merits of the medicine. A company can resubmit to the PBAC or seek independent review of the PBAC decision.</w:t>
      </w:r>
    </w:p>
    <w:p w:rsidR="00244D24" w:rsidRPr="00D4420F" w:rsidRDefault="00244D24" w:rsidP="00244D24">
      <w:pPr>
        <w:jc w:val="both"/>
        <w:rPr>
          <w:rFonts w:ascii="Arial" w:hAnsi="Arial" w:cs="Arial"/>
          <w:sz w:val="22"/>
        </w:rPr>
      </w:pPr>
    </w:p>
    <w:p w:rsidR="00244D24" w:rsidRPr="00D4420F" w:rsidRDefault="00244D24" w:rsidP="00244D24">
      <w:pPr>
        <w:pStyle w:val="ListParagraph"/>
        <w:numPr>
          <w:ilvl w:val="0"/>
          <w:numId w:val="25"/>
        </w:numPr>
        <w:jc w:val="both"/>
        <w:rPr>
          <w:rFonts w:ascii="Arial" w:hAnsi="Arial" w:cs="Arial"/>
          <w:b/>
          <w:sz w:val="22"/>
        </w:rPr>
      </w:pPr>
      <w:r w:rsidRPr="00D4420F">
        <w:rPr>
          <w:rFonts w:ascii="Arial" w:hAnsi="Arial" w:cs="Arial"/>
          <w:b/>
          <w:sz w:val="22"/>
        </w:rPr>
        <w:t>Sponsor’s Comment</w:t>
      </w:r>
    </w:p>
    <w:p w:rsidR="00AD1B1E" w:rsidRDefault="00C522EB" w:rsidP="00C522EB">
      <w:pPr>
        <w:ind w:left="709" w:hanging="709"/>
        <w:jc w:val="both"/>
        <w:rPr>
          <w:rFonts w:ascii="Arial" w:hAnsi="Arial"/>
          <w:sz w:val="22"/>
          <w:szCs w:val="22"/>
        </w:rPr>
      </w:pPr>
      <w:r>
        <w:rPr>
          <w:rFonts w:ascii="Arial" w:hAnsi="Arial"/>
          <w:sz w:val="22"/>
          <w:szCs w:val="22"/>
        </w:rPr>
        <w:tab/>
      </w:r>
    </w:p>
    <w:p w:rsidR="00244D24" w:rsidRDefault="00C522EB" w:rsidP="00AD1B1E">
      <w:pPr>
        <w:ind w:left="709"/>
        <w:jc w:val="both"/>
        <w:rPr>
          <w:rFonts w:ascii="Arial" w:hAnsi="Arial"/>
          <w:sz w:val="22"/>
          <w:szCs w:val="22"/>
        </w:rPr>
      </w:pPr>
      <w:r w:rsidRPr="00AE6603">
        <w:rPr>
          <w:rFonts w:ascii="Arial" w:hAnsi="Arial"/>
          <w:sz w:val="22"/>
          <w:szCs w:val="22"/>
        </w:rPr>
        <w:t>Janssen is committed to working with the PBAC in the context of the Post-Market Review of Authority Required PBS Listings to reduce the administrative burden for prescribers of PBS subsidised biologics and safeguard continuity of treatment for patients.</w:t>
      </w:r>
    </w:p>
    <w:sectPr w:rsidR="00244D24" w:rsidSect="00653D69">
      <w:headerReference w:type="even" r:id="rId10"/>
      <w:headerReference w:type="default" r:id="rId11"/>
      <w:footerReference w:type="even" r:id="rId12"/>
      <w:footerReference w:type="default" r:id="rId13"/>
      <w:footerReference w:type="first" r:id="rId14"/>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08E" w:rsidRDefault="006C708E">
      <w:r>
        <w:separator/>
      </w:r>
    </w:p>
  </w:endnote>
  <w:endnote w:type="continuationSeparator" w:id="0">
    <w:p w:rsidR="006C708E" w:rsidRDefault="006C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Default="006D6EC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6EC7" w:rsidRDefault="006D6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0960F7" w:rsidRDefault="000960F7">
        <w:pPr>
          <w:pStyle w:val="Footer"/>
          <w:jc w:val="center"/>
        </w:pPr>
      </w:p>
      <w:p w:rsidR="00651169" w:rsidRPr="00651169" w:rsidRDefault="00651169">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970A59">
          <w:rPr>
            <w:rFonts w:ascii="Arial" w:hAnsi="Arial" w:cs="Arial"/>
            <w:noProof/>
            <w:sz w:val="20"/>
            <w:szCs w:val="20"/>
          </w:rPr>
          <w:t>4</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Pr="007C0F57" w:rsidRDefault="006D6EC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D6EC7" w:rsidRPr="007C0F57" w:rsidRDefault="006D6EC7"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08E" w:rsidRDefault="006C708E">
      <w:r>
        <w:separator/>
      </w:r>
    </w:p>
  </w:footnote>
  <w:footnote w:type="continuationSeparator" w:id="0">
    <w:p w:rsidR="006C708E" w:rsidRDefault="006C7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D6EC7" w:rsidRPr="008E0D90" w:rsidTr="00A06225">
      <w:trPr>
        <w:trHeight w:val="151"/>
      </w:trPr>
      <w:tc>
        <w:tcPr>
          <w:tcW w:w="2389"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c>
        <w:tcPr>
          <w:tcW w:w="333" w:type="pct"/>
          <w:vMerge w:val="restart"/>
          <w:noWrap/>
          <w:vAlign w:val="center"/>
          <w:hideMark/>
        </w:tcPr>
        <w:p w:rsidR="006D6EC7" w:rsidRPr="00A06225" w:rsidRDefault="006D6EC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r>
    <w:tr w:rsidR="006D6EC7" w:rsidRPr="008E0D90" w:rsidTr="00A06225">
      <w:trPr>
        <w:trHeight w:val="150"/>
      </w:trPr>
      <w:tc>
        <w:tcPr>
          <w:tcW w:w="2389"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c>
        <w:tcPr>
          <w:tcW w:w="0" w:type="auto"/>
          <w:vMerge/>
          <w:vAlign w:val="center"/>
          <w:hideMark/>
        </w:tcPr>
        <w:p w:rsidR="006D6EC7" w:rsidRPr="00A06225" w:rsidRDefault="006D6EC7">
          <w:pPr>
            <w:rPr>
              <w:rFonts w:ascii="Cambria" w:hAnsi="Cambria"/>
              <w:color w:val="4F81BD"/>
              <w:sz w:val="22"/>
              <w:szCs w:val="22"/>
            </w:rPr>
          </w:pPr>
        </w:p>
      </w:tc>
      <w:tc>
        <w:tcPr>
          <w:tcW w:w="2278"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r>
  </w:tbl>
  <w:p w:rsidR="006D6EC7" w:rsidRDefault="006D6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EC7" w:rsidRPr="00DF217D" w:rsidRDefault="00244D24" w:rsidP="009602C5">
    <w:pPr>
      <w:pStyle w:val="Header"/>
      <w:jc w:val="center"/>
      <w:rPr>
        <w:rFonts w:ascii="Arial" w:hAnsi="Arial" w:cs="Arial"/>
        <w:i/>
        <w:color w:val="808080"/>
        <w:sz w:val="22"/>
      </w:rPr>
    </w:pPr>
    <w:r>
      <w:rPr>
        <w:rFonts w:ascii="Arial" w:hAnsi="Arial" w:cs="Arial"/>
        <w:i/>
        <w:color w:val="808080"/>
        <w:sz w:val="22"/>
      </w:rPr>
      <w:t>Public Summary Document</w:t>
    </w:r>
    <w:r w:rsidR="006D6EC7" w:rsidRPr="00DF217D">
      <w:rPr>
        <w:rFonts w:ascii="Arial" w:hAnsi="Arial" w:cs="Arial"/>
        <w:i/>
        <w:color w:val="808080"/>
        <w:sz w:val="22"/>
      </w:rPr>
      <w:t xml:space="preserve"> – </w:t>
    </w:r>
    <w:r w:rsidR="00BB7EC3">
      <w:rPr>
        <w:rFonts w:ascii="Arial" w:hAnsi="Arial" w:cs="Arial"/>
        <w:i/>
        <w:color w:val="808080"/>
        <w:sz w:val="22"/>
      </w:rPr>
      <w:t>July</w:t>
    </w:r>
    <w:r w:rsidR="006D6EC7">
      <w:rPr>
        <w:rFonts w:ascii="Arial" w:hAnsi="Arial" w:cs="Arial"/>
        <w:i/>
        <w:color w:val="808080"/>
        <w:sz w:val="22"/>
      </w:rPr>
      <w:t xml:space="preserve"> 2014 </w:t>
    </w:r>
    <w:r w:rsidR="006D6EC7" w:rsidRPr="00DF217D">
      <w:rPr>
        <w:rFonts w:ascii="Arial" w:hAnsi="Arial" w:cs="Arial"/>
        <w:i/>
        <w:color w:val="808080"/>
        <w:sz w:val="22"/>
      </w:rPr>
      <w:t>PBAC</w:t>
    </w:r>
    <w:r w:rsidR="006D6EC7">
      <w:rPr>
        <w:rFonts w:ascii="Arial" w:hAnsi="Arial" w:cs="Arial"/>
        <w:i/>
        <w:color w:val="808080"/>
        <w:sz w:val="22"/>
      </w:rPr>
      <w:t xml:space="preserve"> </w:t>
    </w:r>
    <w:r w:rsidR="006D6EC7" w:rsidRPr="00DF217D">
      <w:rPr>
        <w:rFonts w:ascii="Arial" w:hAnsi="Arial" w:cs="Arial"/>
        <w:i/>
        <w:color w:val="808080"/>
        <w:sz w:val="22"/>
      </w:rPr>
      <w:t>Meeting</w:t>
    </w:r>
  </w:p>
  <w:p w:rsidR="006D6EC7" w:rsidRPr="00DF217D" w:rsidRDefault="006D6EC7"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6">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9">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1">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3">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4">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5">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9">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0">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27">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29">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0">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1">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2">
    <w:nsid w:val="784D033C"/>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7"/>
  </w:num>
  <w:num w:numId="2">
    <w:abstractNumId w:val="28"/>
  </w:num>
  <w:num w:numId="3">
    <w:abstractNumId w:val="15"/>
  </w:num>
  <w:num w:numId="4">
    <w:abstractNumId w:val="0"/>
  </w:num>
  <w:num w:numId="5">
    <w:abstractNumId w:val="4"/>
  </w:num>
  <w:num w:numId="6">
    <w:abstractNumId w:val="14"/>
  </w:num>
  <w:num w:numId="7">
    <w:abstractNumId w:val="12"/>
  </w:num>
  <w:num w:numId="8">
    <w:abstractNumId w:val="3"/>
  </w:num>
  <w:num w:numId="9">
    <w:abstractNumId w:val="6"/>
  </w:num>
  <w:num w:numId="10">
    <w:abstractNumId w:val="26"/>
  </w:num>
  <w:num w:numId="1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9"/>
  </w:num>
  <w:num w:numId="15">
    <w:abstractNumId w:val="22"/>
  </w:num>
  <w:num w:numId="16">
    <w:abstractNumId w:val="18"/>
  </w:num>
  <w:num w:numId="17">
    <w:abstractNumId w:val="31"/>
  </w:num>
  <w:num w:numId="18">
    <w:abstractNumId w:val="10"/>
  </w:num>
  <w:num w:numId="19">
    <w:abstractNumId w:val="13"/>
  </w:num>
  <w:num w:numId="20">
    <w:abstractNumId w:val="2"/>
  </w:num>
  <w:num w:numId="21">
    <w:abstractNumId w:val="25"/>
  </w:num>
  <w:num w:numId="22">
    <w:abstractNumId w:val="27"/>
  </w:num>
  <w:num w:numId="23">
    <w:abstractNumId w:val="33"/>
  </w:num>
  <w:num w:numId="24">
    <w:abstractNumId w:val="11"/>
  </w:num>
  <w:num w:numId="25">
    <w:abstractNumId w:val="32"/>
  </w:num>
  <w:num w:numId="26">
    <w:abstractNumId w:val="23"/>
  </w:num>
  <w:num w:numId="27">
    <w:abstractNumId w:val="9"/>
  </w:num>
  <w:num w:numId="28">
    <w:abstractNumId w:val="5"/>
  </w:num>
  <w:num w:numId="29">
    <w:abstractNumId w:val="20"/>
  </w:num>
  <w:num w:numId="30">
    <w:abstractNumId w:val="1"/>
  </w:num>
  <w:num w:numId="31">
    <w:abstractNumId w:val="21"/>
  </w:num>
  <w:num w:numId="32">
    <w:abstractNumId w:val="30"/>
  </w:num>
  <w:num w:numId="33">
    <w:abstractNumId w:val="19"/>
  </w:num>
  <w:num w:numId="34">
    <w:abstractNumId w:val="34"/>
  </w:num>
  <w:num w:numId="35">
    <w:abstractNumId w:val="8"/>
  </w:num>
  <w:num w:numId="36">
    <w:abstractNumId w:val="1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1E11"/>
    <w:rsid w:val="000421A1"/>
    <w:rsid w:val="0004240E"/>
    <w:rsid w:val="00045E26"/>
    <w:rsid w:val="000514B5"/>
    <w:rsid w:val="00060E64"/>
    <w:rsid w:val="00066755"/>
    <w:rsid w:val="000960F7"/>
    <w:rsid w:val="000969AD"/>
    <w:rsid w:val="000B558D"/>
    <w:rsid w:val="000C6996"/>
    <w:rsid w:val="000D23BA"/>
    <w:rsid w:val="000E681E"/>
    <w:rsid w:val="000F4E6A"/>
    <w:rsid w:val="00100594"/>
    <w:rsid w:val="001107BF"/>
    <w:rsid w:val="0012417C"/>
    <w:rsid w:val="00142395"/>
    <w:rsid w:val="00142714"/>
    <w:rsid w:val="001452ED"/>
    <w:rsid w:val="001830CE"/>
    <w:rsid w:val="00185DCC"/>
    <w:rsid w:val="00196307"/>
    <w:rsid w:val="001A0129"/>
    <w:rsid w:val="001B017F"/>
    <w:rsid w:val="001B5129"/>
    <w:rsid w:val="001C1195"/>
    <w:rsid w:val="00213CFB"/>
    <w:rsid w:val="00244D24"/>
    <w:rsid w:val="00271BA1"/>
    <w:rsid w:val="00277505"/>
    <w:rsid w:val="0029458F"/>
    <w:rsid w:val="002A104C"/>
    <w:rsid w:val="002A4960"/>
    <w:rsid w:val="002B1AE6"/>
    <w:rsid w:val="002B30F8"/>
    <w:rsid w:val="002C212F"/>
    <w:rsid w:val="002E72CA"/>
    <w:rsid w:val="00326E79"/>
    <w:rsid w:val="003367EF"/>
    <w:rsid w:val="00341AE4"/>
    <w:rsid w:val="003A21F0"/>
    <w:rsid w:val="003A5B4A"/>
    <w:rsid w:val="003B23C5"/>
    <w:rsid w:val="003B2A75"/>
    <w:rsid w:val="003D4AC4"/>
    <w:rsid w:val="003D63B7"/>
    <w:rsid w:val="003E468B"/>
    <w:rsid w:val="003F5C8C"/>
    <w:rsid w:val="004465BD"/>
    <w:rsid w:val="00466ADA"/>
    <w:rsid w:val="00485940"/>
    <w:rsid w:val="004B5640"/>
    <w:rsid w:val="004C1BD7"/>
    <w:rsid w:val="004C6675"/>
    <w:rsid w:val="004C691D"/>
    <w:rsid w:val="004E692D"/>
    <w:rsid w:val="00514CD7"/>
    <w:rsid w:val="00534E2E"/>
    <w:rsid w:val="00544552"/>
    <w:rsid w:val="00581932"/>
    <w:rsid w:val="005963BB"/>
    <w:rsid w:val="005A3173"/>
    <w:rsid w:val="005A3223"/>
    <w:rsid w:val="005A3DA3"/>
    <w:rsid w:val="005A52C4"/>
    <w:rsid w:val="005D03AB"/>
    <w:rsid w:val="005D5017"/>
    <w:rsid w:val="005E3FC3"/>
    <w:rsid w:val="00601A91"/>
    <w:rsid w:val="00602BA3"/>
    <w:rsid w:val="00614159"/>
    <w:rsid w:val="00617C00"/>
    <w:rsid w:val="006263BF"/>
    <w:rsid w:val="00630A2C"/>
    <w:rsid w:val="00651169"/>
    <w:rsid w:val="00653D69"/>
    <w:rsid w:val="00670A76"/>
    <w:rsid w:val="006711AA"/>
    <w:rsid w:val="00675622"/>
    <w:rsid w:val="006906DB"/>
    <w:rsid w:val="006A12A5"/>
    <w:rsid w:val="006B0D94"/>
    <w:rsid w:val="006B485D"/>
    <w:rsid w:val="006C708E"/>
    <w:rsid w:val="006D6EC7"/>
    <w:rsid w:val="006F5125"/>
    <w:rsid w:val="007174BB"/>
    <w:rsid w:val="007753C2"/>
    <w:rsid w:val="007838B8"/>
    <w:rsid w:val="007C0F57"/>
    <w:rsid w:val="007C40B6"/>
    <w:rsid w:val="007C729F"/>
    <w:rsid w:val="007E1D28"/>
    <w:rsid w:val="007F2641"/>
    <w:rsid w:val="007F7C36"/>
    <w:rsid w:val="00806796"/>
    <w:rsid w:val="00856DDD"/>
    <w:rsid w:val="00863E68"/>
    <w:rsid w:val="00882085"/>
    <w:rsid w:val="00883188"/>
    <w:rsid w:val="0088512F"/>
    <w:rsid w:val="00897D58"/>
    <w:rsid w:val="008A4937"/>
    <w:rsid w:val="008D3C82"/>
    <w:rsid w:val="008D447E"/>
    <w:rsid w:val="008E3680"/>
    <w:rsid w:val="008E5870"/>
    <w:rsid w:val="008F1434"/>
    <w:rsid w:val="008F7355"/>
    <w:rsid w:val="009067B7"/>
    <w:rsid w:val="00930937"/>
    <w:rsid w:val="00931913"/>
    <w:rsid w:val="00933E6C"/>
    <w:rsid w:val="00942160"/>
    <w:rsid w:val="009602C5"/>
    <w:rsid w:val="00970A59"/>
    <w:rsid w:val="00974C21"/>
    <w:rsid w:val="009C703C"/>
    <w:rsid w:val="009D3CAA"/>
    <w:rsid w:val="009F5B65"/>
    <w:rsid w:val="009F5F2E"/>
    <w:rsid w:val="00A06225"/>
    <w:rsid w:val="00A37C8D"/>
    <w:rsid w:val="00A5273B"/>
    <w:rsid w:val="00A53A9D"/>
    <w:rsid w:val="00A62C1A"/>
    <w:rsid w:val="00A6426D"/>
    <w:rsid w:val="00A70622"/>
    <w:rsid w:val="00A70977"/>
    <w:rsid w:val="00A8390C"/>
    <w:rsid w:val="00A83F02"/>
    <w:rsid w:val="00AA4D1C"/>
    <w:rsid w:val="00AC5206"/>
    <w:rsid w:val="00AD1B1E"/>
    <w:rsid w:val="00AE11A5"/>
    <w:rsid w:val="00AF68CC"/>
    <w:rsid w:val="00B205AA"/>
    <w:rsid w:val="00B25F75"/>
    <w:rsid w:val="00B43E90"/>
    <w:rsid w:val="00B56118"/>
    <w:rsid w:val="00B6773F"/>
    <w:rsid w:val="00BB69F5"/>
    <w:rsid w:val="00BB7EC3"/>
    <w:rsid w:val="00BC4B9A"/>
    <w:rsid w:val="00BD784C"/>
    <w:rsid w:val="00BF4CB6"/>
    <w:rsid w:val="00C12768"/>
    <w:rsid w:val="00C35996"/>
    <w:rsid w:val="00C522EB"/>
    <w:rsid w:val="00C5342C"/>
    <w:rsid w:val="00C6256A"/>
    <w:rsid w:val="00C91449"/>
    <w:rsid w:val="00C92D10"/>
    <w:rsid w:val="00CE10C4"/>
    <w:rsid w:val="00CE27B5"/>
    <w:rsid w:val="00D0321E"/>
    <w:rsid w:val="00D3280C"/>
    <w:rsid w:val="00D3406A"/>
    <w:rsid w:val="00D469B2"/>
    <w:rsid w:val="00D741EB"/>
    <w:rsid w:val="00D91271"/>
    <w:rsid w:val="00DA4BAC"/>
    <w:rsid w:val="00DE6D27"/>
    <w:rsid w:val="00DF217D"/>
    <w:rsid w:val="00DF26A7"/>
    <w:rsid w:val="00E164B3"/>
    <w:rsid w:val="00E16910"/>
    <w:rsid w:val="00E65E54"/>
    <w:rsid w:val="00E80155"/>
    <w:rsid w:val="00E848C0"/>
    <w:rsid w:val="00E91B96"/>
    <w:rsid w:val="00E941A1"/>
    <w:rsid w:val="00E95CE3"/>
    <w:rsid w:val="00EA2825"/>
    <w:rsid w:val="00EB5088"/>
    <w:rsid w:val="00ED1644"/>
    <w:rsid w:val="00F050BD"/>
    <w:rsid w:val="00F05657"/>
    <w:rsid w:val="00F25578"/>
    <w:rsid w:val="00F258E5"/>
    <w:rsid w:val="00F300BC"/>
    <w:rsid w:val="00F3334E"/>
    <w:rsid w:val="00F3785C"/>
    <w:rsid w:val="00F50EC4"/>
    <w:rsid w:val="00F57A6D"/>
    <w:rsid w:val="00F638CC"/>
    <w:rsid w:val="00F8247A"/>
    <w:rsid w:val="00FA5883"/>
    <w:rsid w:val="00FA6055"/>
    <w:rsid w:val="00FB322F"/>
    <w:rsid w:val="00FB442F"/>
    <w:rsid w:val="00FC1929"/>
    <w:rsid w:val="00FC5B46"/>
    <w:rsid w:val="00FC5CBF"/>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185DCC"/>
    <w:pPr>
      <w:keepNext/>
      <w:outlineLvl w:val="0"/>
    </w:pPr>
    <w:rPr>
      <w:rFonts w:ascii="Arial" w:hAnsi="Arial"/>
      <w:b/>
      <w:sz w:val="28"/>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185DCC"/>
    <w:pPr>
      <w:keepNext/>
      <w:outlineLvl w:val="0"/>
    </w:pPr>
    <w:rPr>
      <w:rFonts w:ascii="Arial" w:hAnsi="Arial"/>
      <w:b/>
      <w:sz w:val="28"/>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90C8D-C272-46E1-88C8-B084604AE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811</Words>
  <Characters>4475</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Mareddy Shobha</dc:creator>
  <cp:lastModifiedBy>Mareddy Shobha</cp:lastModifiedBy>
  <cp:revision>6</cp:revision>
  <cp:lastPrinted>2013-02-09T16:16:00Z</cp:lastPrinted>
  <dcterms:created xsi:type="dcterms:W3CDTF">2014-10-09T04:58:00Z</dcterms:created>
  <dcterms:modified xsi:type="dcterms:W3CDTF">2014-11-10T01:13:00Z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