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06" w:rsidRPr="00473405" w:rsidRDefault="00BF0486" w:rsidP="00851849">
      <w:pPr>
        <w:ind w:left="720" w:hanging="720"/>
        <w:rPr>
          <w:rFonts w:ascii="Arial" w:hAnsi="Arial" w:cs="Arial"/>
          <w:b/>
          <w:snapToGrid w:val="0"/>
          <w:lang w:eastAsia="en-US"/>
        </w:rPr>
      </w:pPr>
      <w:r w:rsidRPr="00851849">
        <w:rPr>
          <w:rFonts w:ascii="Arial" w:hAnsi="Arial" w:cs="Arial"/>
          <w:b/>
        </w:rPr>
        <w:t>14.2</w:t>
      </w:r>
      <w:r w:rsidR="00563DB9" w:rsidRPr="00001C29">
        <w:rPr>
          <w:rStyle w:val="Heading1Char"/>
        </w:rPr>
        <w:tab/>
      </w:r>
      <w:r w:rsidR="00CC5D06" w:rsidRPr="00001C29">
        <w:rPr>
          <w:rStyle w:val="Heading1Char"/>
        </w:rPr>
        <w:t xml:space="preserve">GLYCINE WITH CARBOHYDRATE, glycine with carbohydrate containing 500 mg L-glycine oral liquid: powder for, 30 x 4 g sachets, Glycine500®, </w:t>
      </w:r>
      <w:proofErr w:type="spellStart"/>
      <w:r w:rsidR="00CC5D06" w:rsidRPr="00001C29">
        <w:rPr>
          <w:rStyle w:val="Heading1Char"/>
        </w:rPr>
        <w:t>Vitaflo</w:t>
      </w:r>
      <w:proofErr w:type="spellEnd"/>
      <w:r w:rsidR="00CC5D06" w:rsidRPr="00001C29">
        <w:rPr>
          <w:rStyle w:val="Heading1Char"/>
        </w:rPr>
        <w:t xml:space="preserve"> Australia Pty Ltd</w:t>
      </w:r>
    </w:p>
    <w:p w:rsidR="00CC5D06" w:rsidRPr="00473405" w:rsidRDefault="00CC5D06" w:rsidP="00CC5D06">
      <w:pPr>
        <w:rPr>
          <w:rFonts w:ascii="Arial" w:hAnsi="Arial" w:cs="Arial"/>
          <w:b/>
        </w:rPr>
      </w:pPr>
    </w:p>
    <w:p w:rsidR="00563DB9" w:rsidRPr="00473405" w:rsidRDefault="00563DB9" w:rsidP="00563DB9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473405">
        <w:rPr>
          <w:rFonts w:ascii="Arial" w:hAnsi="Arial"/>
          <w:b/>
          <w:sz w:val="22"/>
          <w:szCs w:val="22"/>
        </w:rPr>
        <w:t>Purpose of application</w:t>
      </w:r>
    </w:p>
    <w:p w:rsidR="00563DB9" w:rsidRPr="00473405" w:rsidRDefault="00563DB9" w:rsidP="00CC5D06">
      <w:pPr>
        <w:rPr>
          <w:rFonts w:ascii="Arial" w:hAnsi="Arial" w:cs="Arial"/>
          <w:snapToGrid w:val="0"/>
          <w:sz w:val="22"/>
          <w:lang w:eastAsia="en-US"/>
        </w:rPr>
      </w:pPr>
    </w:p>
    <w:p w:rsidR="00CC5D06" w:rsidRPr="00473405" w:rsidRDefault="00CC5D06" w:rsidP="00CC5D06">
      <w:pPr>
        <w:pStyle w:val="ListParagraph"/>
        <w:numPr>
          <w:ilvl w:val="1"/>
          <w:numId w:val="3"/>
        </w:numPr>
        <w:rPr>
          <w:rFonts w:ascii="Arial" w:hAnsi="Arial" w:cs="Arial"/>
          <w:snapToGrid w:val="0"/>
          <w:sz w:val="22"/>
          <w:lang w:eastAsia="en-US"/>
        </w:rPr>
      </w:pPr>
      <w:r w:rsidRPr="00473405">
        <w:rPr>
          <w:rFonts w:ascii="Arial" w:hAnsi="Arial" w:cs="Arial"/>
          <w:snapToGrid w:val="0"/>
          <w:sz w:val="22"/>
          <w:lang w:eastAsia="en-US"/>
        </w:rPr>
        <w:t xml:space="preserve">The submission requests a </w:t>
      </w:r>
      <w:proofErr w:type="gramStart"/>
      <w:r w:rsidRPr="00473405">
        <w:rPr>
          <w:rFonts w:ascii="Arial" w:hAnsi="Arial" w:cs="Arial"/>
          <w:snapToGrid w:val="0"/>
          <w:sz w:val="22"/>
          <w:lang w:eastAsia="en-US"/>
        </w:rPr>
        <w:t>Restricted</w:t>
      </w:r>
      <w:proofErr w:type="gramEnd"/>
      <w:r w:rsidRPr="00473405">
        <w:rPr>
          <w:rFonts w:ascii="Arial" w:hAnsi="Arial" w:cs="Arial"/>
          <w:snapToGrid w:val="0"/>
          <w:sz w:val="22"/>
          <w:lang w:eastAsia="en-US"/>
        </w:rPr>
        <w:t xml:space="preserve"> benefit listing for the dietary management of </w:t>
      </w:r>
      <w:proofErr w:type="spellStart"/>
      <w:r w:rsidRPr="00473405">
        <w:rPr>
          <w:rFonts w:ascii="Arial" w:hAnsi="Arial" w:cs="Arial"/>
          <w:snapToGrid w:val="0"/>
          <w:sz w:val="22"/>
          <w:lang w:eastAsia="en-US"/>
        </w:rPr>
        <w:t>isovaleric</w:t>
      </w:r>
      <w:proofErr w:type="spellEnd"/>
      <w:r w:rsidRPr="00473405">
        <w:rPr>
          <w:rFonts w:ascii="Arial" w:hAnsi="Arial" w:cs="Arial"/>
          <w:snapToGrid w:val="0"/>
          <w:sz w:val="22"/>
          <w:lang w:eastAsia="en-US"/>
        </w:rPr>
        <w:t xml:space="preserve"> </w:t>
      </w:r>
      <w:proofErr w:type="spellStart"/>
      <w:r w:rsidRPr="00473405">
        <w:rPr>
          <w:rFonts w:ascii="Arial" w:hAnsi="Arial" w:cs="Arial"/>
          <w:snapToGrid w:val="0"/>
          <w:sz w:val="22"/>
          <w:lang w:eastAsia="en-US"/>
        </w:rPr>
        <w:t>acidaemia</w:t>
      </w:r>
      <w:proofErr w:type="spellEnd"/>
      <w:r w:rsidRPr="00473405">
        <w:rPr>
          <w:rFonts w:ascii="Arial" w:hAnsi="Arial" w:cs="Arial"/>
          <w:snapToGrid w:val="0"/>
          <w:sz w:val="22"/>
          <w:lang w:eastAsia="en-US"/>
        </w:rPr>
        <w:t xml:space="preserve"> (IVA).</w:t>
      </w:r>
    </w:p>
    <w:p w:rsidR="00CC5D06" w:rsidRPr="00473405" w:rsidRDefault="00CC5D06" w:rsidP="00CC5D06">
      <w:pPr>
        <w:rPr>
          <w:rFonts w:ascii="Arial" w:hAnsi="Arial" w:cs="Arial"/>
          <w:b/>
          <w:sz w:val="22"/>
        </w:rPr>
      </w:pPr>
    </w:p>
    <w:p w:rsidR="00563DB9" w:rsidRPr="00473405" w:rsidRDefault="00563DB9" w:rsidP="00563DB9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473405">
        <w:rPr>
          <w:rFonts w:ascii="Arial" w:hAnsi="Arial"/>
          <w:b/>
          <w:sz w:val="22"/>
          <w:szCs w:val="22"/>
        </w:rPr>
        <w:t>Requested listing</w:t>
      </w:r>
    </w:p>
    <w:tbl>
      <w:tblPr>
        <w:tblW w:w="8222" w:type="dxa"/>
        <w:tblInd w:w="817" w:type="dxa"/>
        <w:tblLayout w:type="fixed"/>
        <w:tblLook w:val="0000" w:firstRow="0" w:lastRow="0" w:firstColumn="0" w:lastColumn="0" w:noHBand="0" w:noVBand="0"/>
        <w:tblDescription w:val="restriction - glycerine"/>
      </w:tblPr>
      <w:tblGrid>
        <w:gridCol w:w="3013"/>
        <w:gridCol w:w="673"/>
        <w:gridCol w:w="850"/>
        <w:gridCol w:w="709"/>
        <w:gridCol w:w="1843"/>
        <w:gridCol w:w="1134"/>
      </w:tblGrid>
      <w:tr w:rsidR="00BF0486" w:rsidRPr="00473405" w:rsidTr="00563DB9">
        <w:trPr>
          <w:cantSplit/>
          <w:trHeight w:val="471"/>
        </w:trPr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BF0486" w:rsidRPr="00473405" w:rsidRDefault="00BF048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Name, Restriction,</w:t>
            </w:r>
          </w:p>
          <w:p w:rsidR="00BF0486" w:rsidRPr="00473405" w:rsidRDefault="00BF048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 xml:space="preserve">Manner of administration </w:t>
            </w:r>
          </w:p>
          <w:p w:rsidR="00BF0486" w:rsidRPr="00473405" w:rsidRDefault="00BF048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and form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Max.</w:t>
            </w:r>
          </w:p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Qty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№.of</w:t>
            </w:r>
          </w:p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Rpts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BF0486" w:rsidRPr="00473405" w:rsidRDefault="00BF0486" w:rsidP="00DD0F5F">
            <w:pPr>
              <w:keepNext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473405">
              <w:rPr>
                <w:rFonts w:ascii="Arial" w:hAnsi="Arial" w:cs="Arial"/>
                <w:sz w:val="20"/>
              </w:rPr>
              <w:t>Proprietary Name and Manufacturer</w:t>
            </w:r>
          </w:p>
        </w:tc>
      </w:tr>
      <w:tr w:rsidR="00BF0486" w:rsidRPr="00473405" w:rsidTr="00563DB9">
        <w:trPr>
          <w:cantSplit/>
          <w:trHeight w:val="577"/>
        </w:trPr>
        <w:tc>
          <w:tcPr>
            <w:tcW w:w="3686" w:type="dxa"/>
            <w:gridSpan w:val="2"/>
          </w:tcPr>
          <w:p w:rsidR="00BF0486" w:rsidRPr="00473405" w:rsidRDefault="00BF0486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GLYCINE WITH CARBOHYDRATE</w:t>
            </w:r>
          </w:p>
          <w:p w:rsidR="00BF0486" w:rsidRPr="00473405" w:rsidRDefault="00BF0486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  <w:p w:rsidR="00BF0486" w:rsidRPr="00473405" w:rsidRDefault="00BF0486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 xml:space="preserve">glycine with carbohydrate, containing 500 mg L-Glycine oral liquid: powder for, 30 x 4 g sachets </w:t>
            </w:r>
          </w:p>
          <w:p w:rsidR="00BF0486" w:rsidRPr="00473405" w:rsidRDefault="00BF0486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4</w:t>
            </w:r>
          </w:p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:rsidR="00BF0486" w:rsidRPr="00473405" w:rsidRDefault="00BF0486" w:rsidP="00BF0486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  <w:p w:rsidR="00BF0486" w:rsidRPr="00473405" w:rsidRDefault="00BF0486" w:rsidP="00BF0486">
            <w:pPr>
              <w:keepNext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5</w:t>
            </w:r>
          </w:p>
          <w:p w:rsidR="00BF0486" w:rsidRPr="00473405" w:rsidRDefault="00BF0486" w:rsidP="00BF0486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F0486" w:rsidRPr="00473405" w:rsidRDefault="00BF048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BF0486" w:rsidRPr="00473405" w:rsidRDefault="00BF048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BF0486" w:rsidRPr="00473405" w:rsidRDefault="00BF048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 xml:space="preserve">Glycine 500® </w:t>
            </w:r>
          </w:p>
        </w:tc>
        <w:tc>
          <w:tcPr>
            <w:tcW w:w="1134" w:type="dxa"/>
          </w:tcPr>
          <w:p w:rsidR="00BF0486" w:rsidRPr="00473405" w:rsidRDefault="00BF048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BF0486" w:rsidRPr="00473405" w:rsidRDefault="00BF048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BF0486" w:rsidRPr="00473405" w:rsidRDefault="00BF048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VF</w:t>
            </w:r>
          </w:p>
          <w:p w:rsidR="00BF0486" w:rsidRPr="00473405" w:rsidRDefault="00BF0486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C5D06" w:rsidRPr="00473405" w:rsidTr="00563DB9">
        <w:trPr>
          <w:cantSplit/>
          <w:trHeight w:val="36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6" w:rsidRPr="00473405" w:rsidRDefault="00CC5D06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73405">
              <w:rPr>
                <w:rFonts w:ascii="Arial" w:hAnsi="Arial" w:cs="Arial"/>
                <w:b/>
                <w:sz w:val="20"/>
              </w:rPr>
              <w:t>Condition/Indicatio</w:t>
            </w:r>
            <w:bookmarkStart w:id="0" w:name="_GoBack"/>
            <w:bookmarkEnd w:id="0"/>
            <w:r w:rsidRPr="00473405">
              <w:rPr>
                <w:rFonts w:ascii="Arial" w:hAnsi="Arial" w:cs="Arial"/>
                <w:b/>
                <w:sz w:val="20"/>
              </w:rPr>
              <w:t>n:</w:t>
            </w:r>
          </w:p>
        </w:tc>
        <w:tc>
          <w:tcPr>
            <w:tcW w:w="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6" w:rsidRPr="00473405" w:rsidRDefault="00CC5D06" w:rsidP="00DD0F5F">
            <w:pPr>
              <w:rPr>
                <w:rFonts w:ascii="Arial" w:hAnsi="Arial" w:cs="Arial"/>
                <w:sz w:val="20"/>
              </w:rPr>
            </w:pPr>
            <w:proofErr w:type="spellStart"/>
            <w:r w:rsidRPr="00473405">
              <w:rPr>
                <w:rFonts w:ascii="Arial" w:hAnsi="Arial" w:cs="Arial"/>
                <w:sz w:val="20"/>
              </w:rPr>
              <w:t>Isovaleric</w:t>
            </w:r>
            <w:proofErr w:type="spellEnd"/>
            <w:r w:rsidRPr="004734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73405">
              <w:rPr>
                <w:rFonts w:ascii="Arial" w:hAnsi="Arial" w:cs="Arial"/>
                <w:sz w:val="20"/>
              </w:rPr>
              <w:t>acidaemia</w:t>
            </w:r>
            <w:proofErr w:type="spellEnd"/>
            <w:r w:rsidRPr="0047340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C5D06" w:rsidRPr="00473405" w:rsidTr="00563DB9">
        <w:trPr>
          <w:cantSplit/>
          <w:trHeight w:val="36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6" w:rsidRPr="00473405" w:rsidRDefault="00CC5D06" w:rsidP="00DD0F5F">
            <w:pPr>
              <w:jc w:val="both"/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b/>
                <w:sz w:val="20"/>
              </w:rPr>
              <w:t>Restriction:</w:t>
            </w:r>
          </w:p>
        </w:tc>
        <w:tc>
          <w:tcPr>
            <w:tcW w:w="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6" w:rsidRPr="00473405" w:rsidRDefault="00CC5D06" w:rsidP="00DD0F5F">
            <w:pPr>
              <w:rPr>
                <w:rFonts w:ascii="Arial" w:hAnsi="Arial" w:cs="Arial"/>
                <w:sz w:val="20"/>
              </w:rPr>
            </w:pPr>
            <w:r w:rsidRPr="00473405">
              <w:rPr>
                <w:rFonts w:ascii="Arial" w:hAnsi="Arial" w:cs="Arial"/>
                <w:sz w:val="20"/>
              </w:rPr>
              <w:t>Restricted benefit</w:t>
            </w:r>
          </w:p>
        </w:tc>
      </w:tr>
    </w:tbl>
    <w:p w:rsidR="00CC5D06" w:rsidRPr="00473405" w:rsidRDefault="00CC5D06" w:rsidP="00CC5D06">
      <w:pPr>
        <w:rPr>
          <w:rFonts w:ascii="Arial" w:hAnsi="Arial" w:cs="Arial"/>
        </w:rPr>
      </w:pPr>
    </w:p>
    <w:p w:rsidR="00CC5D06" w:rsidRPr="00473405" w:rsidRDefault="00CC5D06" w:rsidP="00563DB9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lang w:val="en-US"/>
        </w:rPr>
      </w:pPr>
      <w:r w:rsidRPr="00473405">
        <w:rPr>
          <w:rFonts w:ascii="Arial" w:hAnsi="Arial" w:cs="Arial"/>
          <w:sz w:val="22"/>
        </w:rPr>
        <w:t>The proposed price of Glycine500® is comparable with the price of other individual amino acid supplements with carbohydrate listed on the PBS (Phenylalanine 50,</w:t>
      </w:r>
      <w:r w:rsidR="00830143" w:rsidRPr="00473405">
        <w:rPr>
          <w:rFonts w:ascii="Arial" w:hAnsi="Arial" w:cs="Arial"/>
          <w:sz w:val="22"/>
        </w:rPr>
        <w:t xml:space="preserve"> </w:t>
      </w:r>
      <w:proofErr w:type="spellStart"/>
      <w:r w:rsidR="00830143" w:rsidRPr="00473405">
        <w:rPr>
          <w:rFonts w:ascii="Arial" w:hAnsi="Arial" w:cs="Arial"/>
          <w:sz w:val="22"/>
        </w:rPr>
        <w:t>Valine</w:t>
      </w:r>
      <w:proofErr w:type="spellEnd"/>
      <w:r w:rsidR="00830143" w:rsidRPr="00473405">
        <w:rPr>
          <w:rFonts w:ascii="Arial" w:hAnsi="Arial" w:cs="Arial"/>
          <w:sz w:val="22"/>
        </w:rPr>
        <w:t xml:space="preserve"> 50 and Isoleucine 1000). </w:t>
      </w:r>
      <w:r w:rsidRPr="00473405">
        <w:rPr>
          <w:rFonts w:ascii="Arial" w:hAnsi="Arial" w:cs="Arial"/>
          <w:sz w:val="22"/>
          <w:lang w:val="en-US"/>
        </w:rPr>
        <w:t>The submission request</w:t>
      </w:r>
      <w:r w:rsidR="008A59C3" w:rsidRPr="00473405">
        <w:rPr>
          <w:rFonts w:ascii="Arial" w:hAnsi="Arial" w:cs="Arial"/>
          <w:sz w:val="22"/>
          <w:lang w:val="en-US"/>
        </w:rPr>
        <w:t>ed</w:t>
      </w:r>
      <w:r w:rsidRPr="00473405">
        <w:rPr>
          <w:rFonts w:ascii="Arial" w:hAnsi="Arial" w:cs="Arial"/>
          <w:sz w:val="22"/>
          <w:lang w:val="en-US"/>
        </w:rPr>
        <w:t xml:space="preserve"> identical listing conditions (price, quantity and number of repeats) to these currently available products.  </w:t>
      </w:r>
      <w:r w:rsidR="008A59C3" w:rsidRPr="00473405">
        <w:rPr>
          <w:rFonts w:ascii="Arial" w:hAnsi="Arial" w:cs="Arial"/>
          <w:sz w:val="22"/>
          <w:lang w:val="en-US"/>
        </w:rPr>
        <w:t>The PBAC considered that this was appropriate.</w:t>
      </w:r>
    </w:p>
    <w:p w:rsidR="00CC5D06" w:rsidRPr="00473405" w:rsidRDefault="00CC5D06" w:rsidP="00CC5D06">
      <w:pPr>
        <w:rPr>
          <w:rFonts w:ascii="Arial" w:hAnsi="Arial" w:cs="Arial"/>
          <w:sz w:val="22"/>
          <w:lang w:val="en-US"/>
        </w:rPr>
      </w:pPr>
    </w:p>
    <w:p w:rsidR="00563DB9" w:rsidRPr="00473405" w:rsidRDefault="00563DB9" w:rsidP="00563DB9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473405">
        <w:rPr>
          <w:rFonts w:ascii="Arial" w:hAnsi="Arial"/>
          <w:b/>
          <w:sz w:val="22"/>
          <w:szCs w:val="22"/>
        </w:rPr>
        <w:t>PBAC Outcome</w:t>
      </w:r>
    </w:p>
    <w:p w:rsidR="00563DB9" w:rsidRPr="00473405" w:rsidRDefault="00563DB9" w:rsidP="00CC5D06">
      <w:pPr>
        <w:rPr>
          <w:rFonts w:ascii="Arial" w:hAnsi="Arial" w:cs="Arial"/>
          <w:sz w:val="22"/>
        </w:rPr>
      </w:pPr>
    </w:p>
    <w:p w:rsidR="00CC5D06" w:rsidRPr="00473405" w:rsidRDefault="00CC5D06" w:rsidP="00563DB9">
      <w:pPr>
        <w:pStyle w:val="ListParagraph"/>
        <w:numPr>
          <w:ilvl w:val="1"/>
          <w:numId w:val="3"/>
        </w:numPr>
        <w:rPr>
          <w:rFonts w:ascii="Arial" w:hAnsi="Arial" w:cs="Arial"/>
          <w:sz w:val="22"/>
        </w:rPr>
      </w:pPr>
      <w:r w:rsidRPr="00473405">
        <w:rPr>
          <w:rFonts w:ascii="Arial" w:hAnsi="Arial" w:cs="Arial"/>
          <w:sz w:val="22"/>
        </w:rPr>
        <w:t xml:space="preserve">The PBAC </w:t>
      </w:r>
      <w:r w:rsidR="008A59C3" w:rsidRPr="00473405">
        <w:rPr>
          <w:rFonts w:ascii="Arial" w:hAnsi="Arial" w:cs="Arial"/>
          <w:sz w:val="22"/>
        </w:rPr>
        <w:t>noted</w:t>
      </w:r>
      <w:r w:rsidRPr="00473405">
        <w:rPr>
          <w:rFonts w:ascii="Arial" w:hAnsi="Arial" w:cs="Arial"/>
          <w:sz w:val="22"/>
        </w:rPr>
        <w:t xml:space="preserve"> that the Nutritional Products Working Party support</w:t>
      </w:r>
      <w:r w:rsidR="008A59C3" w:rsidRPr="00473405">
        <w:rPr>
          <w:rFonts w:ascii="Arial" w:hAnsi="Arial" w:cs="Arial"/>
          <w:sz w:val="22"/>
        </w:rPr>
        <w:t>ed</w:t>
      </w:r>
      <w:r w:rsidRPr="00473405">
        <w:rPr>
          <w:rFonts w:ascii="Arial" w:hAnsi="Arial" w:cs="Arial"/>
          <w:sz w:val="22"/>
        </w:rPr>
        <w:t xml:space="preserve"> the listing of Glycine500®.  The PBAC recommend listing as requested</w:t>
      </w:r>
      <w:r w:rsidR="008A59C3" w:rsidRPr="00473405">
        <w:rPr>
          <w:rFonts w:ascii="Arial" w:hAnsi="Arial" w:cs="Arial"/>
          <w:sz w:val="22"/>
        </w:rPr>
        <w:t xml:space="preserve"> in the submission</w:t>
      </w:r>
      <w:r w:rsidRPr="00473405">
        <w:rPr>
          <w:rFonts w:ascii="Arial" w:hAnsi="Arial" w:cs="Arial"/>
          <w:sz w:val="22"/>
        </w:rPr>
        <w:t xml:space="preserve">. </w:t>
      </w:r>
    </w:p>
    <w:p w:rsidR="00CC5D06" w:rsidRDefault="00CC5D06" w:rsidP="00CC5D06">
      <w:pPr>
        <w:rPr>
          <w:rFonts w:ascii="Arial" w:hAnsi="Arial" w:cs="Arial"/>
          <w:sz w:val="22"/>
        </w:rPr>
      </w:pPr>
    </w:p>
    <w:p w:rsidR="00851849" w:rsidRPr="00A875B4" w:rsidRDefault="00851849" w:rsidP="008518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Context for Decision</w:t>
      </w:r>
    </w:p>
    <w:p w:rsidR="00851849" w:rsidRPr="00A875B4" w:rsidRDefault="00851849" w:rsidP="00851849">
      <w:pPr>
        <w:pStyle w:val="ListParagraph"/>
        <w:rPr>
          <w:rFonts w:ascii="Arial" w:hAnsi="Arial" w:cs="Arial"/>
          <w:b/>
          <w:sz w:val="22"/>
        </w:rPr>
      </w:pPr>
    </w:p>
    <w:p w:rsidR="00851849" w:rsidRPr="00A875B4" w:rsidRDefault="00851849" w:rsidP="00851849">
      <w:pPr>
        <w:ind w:left="720"/>
        <w:rPr>
          <w:rFonts w:ascii="Arial" w:hAnsi="Arial" w:cs="Arial"/>
          <w:sz w:val="22"/>
        </w:rPr>
      </w:pPr>
      <w:r w:rsidRPr="00A875B4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851849" w:rsidRPr="00A875B4" w:rsidRDefault="00851849" w:rsidP="00851849">
      <w:pPr>
        <w:rPr>
          <w:rFonts w:ascii="Arial" w:hAnsi="Arial" w:cs="Arial"/>
          <w:sz w:val="22"/>
        </w:rPr>
      </w:pPr>
    </w:p>
    <w:p w:rsidR="00851849" w:rsidRPr="00A875B4" w:rsidRDefault="00851849" w:rsidP="008518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Sponsor’s Comment</w:t>
      </w:r>
    </w:p>
    <w:p w:rsidR="00851849" w:rsidRDefault="00851849" w:rsidP="00CC5D06">
      <w:pPr>
        <w:rPr>
          <w:rFonts w:ascii="Arial" w:hAnsi="Arial" w:cs="Arial"/>
          <w:sz w:val="22"/>
        </w:rPr>
      </w:pPr>
    </w:p>
    <w:p w:rsidR="005C0D4E" w:rsidRDefault="005C0D4E" w:rsidP="005C0D4E">
      <w:pPr>
        <w:rPr>
          <w:rFonts w:ascii="Arial" w:hAnsi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/>
        </w:rPr>
        <w:t xml:space="preserve">The sponsor had no comment. </w:t>
      </w:r>
    </w:p>
    <w:p w:rsidR="005C0D4E" w:rsidRPr="00BF0486" w:rsidRDefault="005C0D4E" w:rsidP="00CC5D06">
      <w:pPr>
        <w:rPr>
          <w:rFonts w:ascii="Arial" w:hAnsi="Arial" w:cs="Arial"/>
          <w:sz w:val="22"/>
        </w:rPr>
      </w:pPr>
    </w:p>
    <w:sectPr w:rsidR="005C0D4E" w:rsidRPr="00BF0486" w:rsidSect="00630FF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04A" w:rsidRDefault="003F704A" w:rsidP="003F704A">
      <w:r>
        <w:separator/>
      </w:r>
    </w:p>
  </w:endnote>
  <w:endnote w:type="continuationSeparator" w:id="0">
    <w:p w:rsidR="003F704A" w:rsidRDefault="003F704A" w:rsidP="003F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016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724A83" w:rsidRDefault="00724A83" w:rsidP="00724A83">
        <w:pPr>
          <w:pStyle w:val="Footer"/>
          <w:jc w:val="center"/>
        </w:pPr>
      </w:p>
      <w:p w:rsidR="00724A83" w:rsidRPr="00651169" w:rsidRDefault="00724A83" w:rsidP="00724A8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651169">
          <w:rPr>
            <w:rFonts w:ascii="Arial" w:hAnsi="Arial" w:cs="Arial"/>
            <w:sz w:val="20"/>
            <w:szCs w:val="20"/>
          </w:rPr>
          <w:fldChar w:fldCharType="begin"/>
        </w:r>
        <w:r w:rsidRPr="00651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51169">
          <w:rPr>
            <w:rFonts w:ascii="Arial" w:hAnsi="Arial" w:cs="Arial"/>
            <w:sz w:val="20"/>
            <w:szCs w:val="20"/>
          </w:rPr>
          <w:fldChar w:fldCharType="separate"/>
        </w:r>
        <w:r w:rsidR="005545A2">
          <w:rPr>
            <w:rFonts w:ascii="Arial" w:hAnsi="Arial" w:cs="Arial"/>
            <w:noProof/>
            <w:sz w:val="20"/>
            <w:szCs w:val="20"/>
          </w:rPr>
          <w:t>1</w:t>
        </w:r>
        <w:r w:rsidRPr="0065116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04A" w:rsidRDefault="003F704A" w:rsidP="003F704A">
      <w:r>
        <w:separator/>
      </w:r>
    </w:p>
  </w:footnote>
  <w:footnote w:type="continuationSeparator" w:id="0">
    <w:p w:rsidR="003F704A" w:rsidRDefault="003F704A" w:rsidP="003F7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49" w:rsidRPr="00DF217D" w:rsidRDefault="00851849" w:rsidP="00851849">
    <w:pPr>
      <w:pStyle w:val="Header"/>
      <w:jc w:val="center"/>
      <w:rPr>
        <w:i/>
        <w:color w:val="808080"/>
      </w:rPr>
    </w:pPr>
    <w:r>
      <w:rPr>
        <w:i/>
        <w:color w:val="808080"/>
      </w:rPr>
      <w:t>Public Summary Document</w:t>
    </w:r>
    <w:r w:rsidRPr="00DF217D">
      <w:rPr>
        <w:i/>
        <w:color w:val="808080"/>
      </w:rPr>
      <w:t xml:space="preserve">– </w:t>
    </w:r>
    <w:r>
      <w:rPr>
        <w:i/>
        <w:color w:val="808080"/>
      </w:rPr>
      <w:t xml:space="preserve">July 2014 </w:t>
    </w:r>
    <w:r w:rsidRPr="00DF217D">
      <w:rPr>
        <w:i/>
        <w:color w:val="808080"/>
      </w:rPr>
      <w:t>PBAC</w:t>
    </w:r>
    <w:r>
      <w:rPr>
        <w:i/>
        <w:color w:val="808080"/>
      </w:rPr>
      <w:t xml:space="preserve"> </w:t>
    </w:r>
    <w:r w:rsidRPr="00DF217D">
      <w:rPr>
        <w:i/>
        <w:color w:val="808080"/>
      </w:rPr>
      <w:t>Meeting</w:t>
    </w:r>
  </w:p>
  <w:p w:rsidR="003F704A" w:rsidRDefault="003F7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E97"/>
    <w:multiLevelType w:val="hybridMultilevel"/>
    <w:tmpl w:val="1828F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401D0"/>
    <w:multiLevelType w:val="hybridMultilevel"/>
    <w:tmpl w:val="8D8E2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4D033C"/>
    <w:multiLevelType w:val="multilevel"/>
    <w:tmpl w:val="96BC1D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1E"/>
    <w:rsid w:val="00001C29"/>
    <w:rsid w:val="000E3BD3"/>
    <w:rsid w:val="0015015E"/>
    <w:rsid w:val="00321E2E"/>
    <w:rsid w:val="003F704A"/>
    <w:rsid w:val="00473405"/>
    <w:rsid w:val="005545A2"/>
    <w:rsid w:val="00563DB9"/>
    <w:rsid w:val="005C0D4E"/>
    <w:rsid w:val="00630FF7"/>
    <w:rsid w:val="00724A83"/>
    <w:rsid w:val="007802FA"/>
    <w:rsid w:val="007F4E20"/>
    <w:rsid w:val="00830143"/>
    <w:rsid w:val="00851849"/>
    <w:rsid w:val="008A59C3"/>
    <w:rsid w:val="009871A8"/>
    <w:rsid w:val="00B04DB2"/>
    <w:rsid w:val="00BF0486"/>
    <w:rsid w:val="00CC5D06"/>
    <w:rsid w:val="00E8201E"/>
    <w:rsid w:val="00EB0C5C"/>
    <w:rsid w:val="00F11B18"/>
    <w:rsid w:val="00F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C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paragraph" w:styleId="Footer">
    <w:name w:val="footer"/>
    <w:basedOn w:val="Normal"/>
    <w:link w:val="FooterChar"/>
    <w:uiPriority w:val="99"/>
    <w:unhideWhenUsed/>
    <w:rsid w:val="003F7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04A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563D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851849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1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C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paragraph" w:styleId="Footer">
    <w:name w:val="footer"/>
    <w:basedOn w:val="Normal"/>
    <w:link w:val="FooterChar"/>
    <w:uiPriority w:val="99"/>
    <w:unhideWhenUsed/>
    <w:rsid w:val="003F7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04A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563D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851849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1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Ameera</dc:creator>
  <cp:lastModifiedBy>Thomas Gareth</cp:lastModifiedBy>
  <cp:revision>4</cp:revision>
  <dcterms:created xsi:type="dcterms:W3CDTF">2014-10-16T00:15:00Z</dcterms:created>
  <dcterms:modified xsi:type="dcterms:W3CDTF">2014-11-03T00:47:00Z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