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15" w:rsidRPr="00B03661" w:rsidRDefault="00E16EA8" w:rsidP="00B03661">
      <w:pPr>
        <w:pStyle w:val="Heading1"/>
        <w:rPr>
          <w:sz w:val="28"/>
          <w:szCs w:val="28"/>
        </w:rPr>
      </w:pPr>
      <w:r>
        <w:t>7.10</w:t>
      </w:r>
      <w:r w:rsidR="007C0F57" w:rsidRPr="006D6EC7">
        <w:tab/>
      </w:r>
      <w:r w:rsidR="00AC0F15" w:rsidRPr="00B03661">
        <w:rPr>
          <w:sz w:val="28"/>
          <w:szCs w:val="28"/>
        </w:rPr>
        <w:t>FLUTICASONE+</w:t>
      </w:r>
      <w:r w:rsidRPr="00B03661">
        <w:rPr>
          <w:sz w:val="28"/>
          <w:szCs w:val="28"/>
        </w:rPr>
        <w:t xml:space="preserve">VILANTEROL, dry powder inhaler, </w:t>
      </w:r>
    </w:p>
    <w:p w:rsidR="00AC0F15" w:rsidRPr="00B03661" w:rsidRDefault="00E16EA8" w:rsidP="00B03661">
      <w:pPr>
        <w:pStyle w:val="Heading1"/>
        <w:rPr>
          <w:sz w:val="28"/>
          <w:szCs w:val="28"/>
        </w:rPr>
      </w:pPr>
      <w:proofErr w:type="gramStart"/>
      <w:r w:rsidRPr="00B03661">
        <w:rPr>
          <w:sz w:val="28"/>
          <w:szCs w:val="28"/>
        </w:rPr>
        <w:t>fluticasone</w:t>
      </w:r>
      <w:proofErr w:type="gramEnd"/>
      <w:r w:rsidRPr="00B03661">
        <w:rPr>
          <w:sz w:val="28"/>
          <w:szCs w:val="28"/>
        </w:rPr>
        <w:t xml:space="preserve"> </w:t>
      </w:r>
      <w:proofErr w:type="spellStart"/>
      <w:r w:rsidRPr="00B03661">
        <w:rPr>
          <w:sz w:val="28"/>
          <w:szCs w:val="28"/>
        </w:rPr>
        <w:t>furoate</w:t>
      </w:r>
      <w:proofErr w:type="spellEnd"/>
      <w:r w:rsidRPr="00B03661">
        <w:rPr>
          <w:sz w:val="28"/>
          <w:szCs w:val="28"/>
        </w:rPr>
        <w:t xml:space="preserve"> 100 microgram/actuation + </w:t>
      </w:r>
      <w:proofErr w:type="spellStart"/>
      <w:r w:rsidRPr="00B03661">
        <w:rPr>
          <w:sz w:val="28"/>
          <w:szCs w:val="28"/>
        </w:rPr>
        <w:t>vilanterol</w:t>
      </w:r>
      <w:proofErr w:type="spellEnd"/>
      <w:r w:rsidRPr="00B03661">
        <w:rPr>
          <w:sz w:val="28"/>
          <w:szCs w:val="28"/>
        </w:rPr>
        <w:t xml:space="preserve"> </w:t>
      </w:r>
    </w:p>
    <w:p w:rsidR="00AC0F15" w:rsidRPr="00B03661" w:rsidRDefault="00E16EA8" w:rsidP="00B03661">
      <w:pPr>
        <w:pStyle w:val="Heading1"/>
        <w:rPr>
          <w:sz w:val="28"/>
          <w:szCs w:val="28"/>
        </w:rPr>
      </w:pPr>
      <w:r w:rsidRPr="00B03661">
        <w:rPr>
          <w:sz w:val="28"/>
          <w:szCs w:val="28"/>
        </w:rPr>
        <w:t>(</w:t>
      </w:r>
      <w:proofErr w:type="gramStart"/>
      <w:r w:rsidRPr="00B03661">
        <w:rPr>
          <w:sz w:val="28"/>
          <w:szCs w:val="28"/>
        </w:rPr>
        <w:t>as</w:t>
      </w:r>
      <w:proofErr w:type="gramEnd"/>
      <w:r w:rsidRPr="00B03661">
        <w:rPr>
          <w:sz w:val="28"/>
          <w:szCs w:val="28"/>
        </w:rPr>
        <w:t xml:space="preserve"> </w:t>
      </w:r>
      <w:proofErr w:type="spellStart"/>
      <w:r w:rsidRPr="00B03661">
        <w:rPr>
          <w:sz w:val="28"/>
          <w:szCs w:val="28"/>
        </w:rPr>
        <w:t>trifenatate</w:t>
      </w:r>
      <w:proofErr w:type="spellEnd"/>
      <w:r w:rsidRPr="00B03661">
        <w:rPr>
          <w:sz w:val="28"/>
          <w:szCs w:val="28"/>
        </w:rPr>
        <w:t xml:space="preserve">) 25 microgram/actuation, </w:t>
      </w:r>
    </w:p>
    <w:p w:rsidR="00E16EA8" w:rsidRPr="00B03661" w:rsidRDefault="00E16EA8" w:rsidP="00B03661">
      <w:pPr>
        <w:pStyle w:val="Heading1"/>
        <w:rPr>
          <w:color w:val="FF00FF"/>
          <w:sz w:val="28"/>
          <w:szCs w:val="28"/>
        </w:rPr>
      </w:pPr>
      <w:proofErr w:type="spellStart"/>
      <w:proofErr w:type="gramStart"/>
      <w:r w:rsidRPr="00B03661">
        <w:rPr>
          <w:sz w:val="28"/>
          <w:szCs w:val="28"/>
        </w:rPr>
        <w:t>Breo</w:t>
      </w:r>
      <w:proofErr w:type="spellEnd"/>
      <w:r w:rsidRPr="00B03661">
        <w:rPr>
          <w:sz w:val="28"/>
          <w:szCs w:val="28"/>
          <w:vertAlign w:val="superscript"/>
        </w:rPr>
        <w:t>®</w:t>
      </w:r>
      <w:r w:rsidRPr="00B03661">
        <w:rPr>
          <w:sz w:val="28"/>
          <w:szCs w:val="28"/>
        </w:rPr>
        <w:t xml:space="preserve"> </w:t>
      </w:r>
      <w:proofErr w:type="spellStart"/>
      <w:r w:rsidRPr="00B03661">
        <w:rPr>
          <w:sz w:val="28"/>
          <w:szCs w:val="28"/>
        </w:rPr>
        <w:t>Ellipta</w:t>
      </w:r>
      <w:proofErr w:type="spellEnd"/>
      <w:r w:rsidRPr="00B03661">
        <w:rPr>
          <w:sz w:val="28"/>
          <w:szCs w:val="28"/>
          <w:vertAlign w:val="superscript"/>
        </w:rPr>
        <w:t>®</w:t>
      </w:r>
      <w:r w:rsidRPr="00B03661">
        <w:rPr>
          <w:sz w:val="28"/>
          <w:szCs w:val="28"/>
        </w:rPr>
        <w:t>, GlaxoSmithKline Australia Pty Ltd.</w:t>
      </w:r>
      <w:proofErr w:type="gramEnd"/>
    </w:p>
    <w:p w:rsidR="00CE10C4" w:rsidRDefault="00CE10C4" w:rsidP="00A5273B">
      <w:pPr>
        <w:rPr>
          <w:rFonts w:ascii="Arial" w:hAnsi="Arial"/>
          <w:b/>
        </w:rPr>
      </w:pPr>
    </w:p>
    <w:p w:rsidR="00AC0F15" w:rsidRDefault="00AC0F15" w:rsidP="00A5273B">
      <w:pPr>
        <w:rPr>
          <w:rFonts w:ascii="Arial" w:hAnsi="Arial"/>
          <w:b/>
        </w:rPr>
      </w:pPr>
    </w:p>
    <w:p w:rsidR="00AC0F15" w:rsidRPr="00407F2D" w:rsidRDefault="00AC0F15" w:rsidP="00AC0F15">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E16EA8" w:rsidRPr="00E16EA8" w:rsidRDefault="00E16EA8" w:rsidP="00E16EA8">
      <w:pPr>
        <w:pStyle w:val="ListParagraph"/>
        <w:numPr>
          <w:ilvl w:val="1"/>
          <w:numId w:val="25"/>
        </w:numPr>
        <w:jc w:val="both"/>
        <w:rPr>
          <w:rFonts w:ascii="Arial" w:hAnsi="Arial"/>
          <w:sz w:val="22"/>
          <w:szCs w:val="22"/>
        </w:rPr>
      </w:pPr>
      <w:r w:rsidRPr="00E16EA8">
        <w:rPr>
          <w:rFonts w:ascii="Arial" w:hAnsi="Arial" w:cs="Arial"/>
          <w:sz w:val="22"/>
          <w:szCs w:val="22"/>
        </w:rPr>
        <w:t>To request a Restricted Benefit listing for the symptomatic treatment of chronic obstructive pulmonary disease (COPD), in patients where FEV</w:t>
      </w:r>
      <w:r w:rsidRPr="004352F4">
        <w:rPr>
          <w:rFonts w:ascii="Arial" w:hAnsi="Arial" w:cs="Arial"/>
          <w:sz w:val="22"/>
          <w:szCs w:val="22"/>
          <w:vertAlign w:val="subscript"/>
        </w:rPr>
        <w:t>1</w:t>
      </w:r>
      <w:r w:rsidRPr="00E16EA8">
        <w:rPr>
          <w:rFonts w:ascii="Arial" w:hAnsi="Arial" w:cs="Arial"/>
          <w:sz w:val="22"/>
          <w:szCs w:val="22"/>
        </w:rPr>
        <w:t xml:space="preserve"> is less than 50% of predicted normal, and where there is a history of repeated exacerbations with significant symptoms despite regular beta-</w:t>
      </w:r>
      <w:r w:rsidRPr="004352F4">
        <w:rPr>
          <w:rFonts w:ascii="Arial" w:hAnsi="Arial" w:cs="Arial"/>
          <w:sz w:val="22"/>
          <w:szCs w:val="22"/>
          <w:vertAlign w:val="subscript"/>
        </w:rPr>
        <w:t>2</w:t>
      </w:r>
      <w:r w:rsidR="00801965">
        <w:rPr>
          <w:rFonts w:ascii="Arial" w:hAnsi="Arial" w:cs="Arial"/>
          <w:sz w:val="22"/>
          <w:szCs w:val="22"/>
        </w:rPr>
        <w:t xml:space="preserve"> </w:t>
      </w:r>
      <w:r w:rsidRPr="00E16EA8">
        <w:rPr>
          <w:rFonts w:ascii="Arial" w:hAnsi="Arial" w:cs="Arial"/>
          <w:sz w:val="22"/>
          <w:szCs w:val="22"/>
        </w:rPr>
        <w:t>agonist bronchodilator therapy.</w:t>
      </w:r>
      <w:r w:rsidRPr="00E16EA8">
        <w:rPr>
          <w:rFonts w:ascii="Arial" w:hAnsi="Arial" w:cs="Arial"/>
          <w:color w:val="FF00FF"/>
          <w:sz w:val="22"/>
          <w:szCs w:val="22"/>
        </w:rPr>
        <w:t xml:space="preserve"> </w:t>
      </w:r>
    </w:p>
    <w:p w:rsidR="006A12A5" w:rsidRDefault="006A12A5" w:rsidP="00882085">
      <w:pPr>
        <w:jc w:val="both"/>
        <w:rPr>
          <w:rFonts w:ascii="Arial" w:hAnsi="Arial"/>
          <w:b/>
          <w:sz w:val="22"/>
          <w:szCs w:val="22"/>
        </w:rPr>
      </w:pPr>
    </w:p>
    <w:p w:rsidR="00AC0F15" w:rsidRPr="00882085" w:rsidRDefault="00AC0F15" w:rsidP="00882085">
      <w:pPr>
        <w:jc w:val="both"/>
        <w:rPr>
          <w:rFonts w:ascii="Arial" w:hAnsi="Arial"/>
          <w:b/>
          <w:sz w:val="22"/>
          <w:szCs w:val="22"/>
        </w:rPr>
      </w:pPr>
    </w:p>
    <w:p w:rsidR="00AC0F15" w:rsidRPr="00407F2D" w:rsidRDefault="00AC0F15" w:rsidP="00AC0F15">
      <w:pPr>
        <w:pStyle w:val="ListParagraph"/>
        <w:numPr>
          <w:ilvl w:val="0"/>
          <w:numId w:val="25"/>
        </w:numPr>
        <w:jc w:val="both"/>
        <w:rPr>
          <w:rFonts w:ascii="Arial" w:hAnsi="Arial"/>
          <w:b/>
          <w:sz w:val="22"/>
          <w:szCs w:val="22"/>
        </w:rPr>
      </w:pPr>
      <w:r w:rsidRPr="00407F2D">
        <w:rPr>
          <w:rFonts w:ascii="Arial" w:hAnsi="Arial"/>
          <w:b/>
          <w:sz w:val="22"/>
          <w:szCs w:val="22"/>
        </w:rPr>
        <w:t>Requested listing</w:t>
      </w:r>
    </w:p>
    <w:p w:rsidR="006A12A5" w:rsidRPr="00882085" w:rsidRDefault="006A12A5" w:rsidP="00882085">
      <w:pPr>
        <w:jc w:val="both"/>
        <w:rPr>
          <w:rFonts w:ascii="Arial" w:hAnsi="Arial"/>
          <w:b/>
          <w:sz w:val="22"/>
          <w:szCs w:val="22"/>
        </w:rPr>
      </w:pPr>
    </w:p>
    <w:p w:rsidR="002B1AE6" w:rsidRDefault="001B0505" w:rsidP="00882085">
      <w:pPr>
        <w:pStyle w:val="ListParagraph"/>
        <w:numPr>
          <w:ilvl w:val="1"/>
          <w:numId w:val="25"/>
        </w:numPr>
        <w:jc w:val="both"/>
        <w:rPr>
          <w:rFonts w:ascii="Arial" w:hAnsi="Arial"/>
          <w:sz w:val="22"/>
          <w:szCs w:val="22"/>
        </w:rPr>
      </w:pPr>
      <w:r>
        <w:rPr>
          <w:rFonts w:ascii="Arial" w:hAnsi="Arial"/>
          <w:sz w:val="22"/>
          <w:szCs w:val="22"/>
        </w:rPr>
        <w:t>The submission requested the following restriction:</w:t>
      </w:r>
    </w:p>
    <w:p w:rsidR="004465BD" w:rsidRDefault="004465BD" w:rsidP="004465BD">
      <w:pPr>
        <w:pStyle w:val="ListParagraph"/>
        <w:jc w:val="both"/>
        <w:rPr>
          <w:rFonts w:ascii="Arial" w:hAnsi="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fluticasone listing"/>
      </w:tblPr>
      <w:tblGrid>
        <w:gridCol w:w="3827"/>
        <w:gridCol w:w="851"/>
        <w:gridCol w:w="1134"/>
        <w:gridCol w:w="1559"/>
        <w:gridCol w:w="992"/>
      </w:tblGrid>
      <w:tr w:rsidR="000300CD" w:rsidRPr="00FB1003" w:rsidTr="00AC0F15">
        <w:trPr>
          <w:cantSplit/>
          <w:trHeight w:val="471"/>
        </w:trPr>
        <w:tc>
          <w:tcPr>
            <w:tcW w:w="3827" w:type="dxa"/>
          </w:tcPr>
          <w:p w:rsidR="000300CD" w:rsidRPr="00AC0F15" w:rsidRDefault="000300CD" w:rsidP="00D1241E">
            <w:pPr>
              <w:keepNext/>
              <w:ind w:left="-108"/>
              <w:jc w:val="both"/>
              <w:rPr>
                <w:rFonts w:ascii="Arial Narrow" w:hAnsi="Arial Narrow" w:cs="Arial"/>
                <w:b/>
                <w:sz w:val="20"/>
                <w:szCs w:val="20"/>
              </w:rPr>
            </w:pPr>
            <w:r w:rsidRPr="00AC0F15">
              <w:rPr>
                <w:rFonts w:ascii="Arial Narrow" w:hAnsi="Arial Narrow" w:cs="Arial"/>
                <w:b/>
                <w:sz w:val="20"/>
                <w:szCs w:val="20"/>
              </w:rPr>
              <w:t>Name, Restriction,</w:t>
            </w:r>
          </w:p>
          <w:p w:rsidR="000300CD" w:rsidRPr="00AC0F15" w:rsidRDefault="000300CD" w:rsidP="00D1241E">
            <w:pPr>
              <w:keepNext/>
              <w:ind w:left="-108"/>
              <w:jc w:val="both"/>
              <w:rPr>
                <w:rFonts w:ascii="Arial Narrow" w:hAnsi="Arial Narrow" w:cs="Arial"/>
                <w:b/>
                <w:sz w:val="20"/>
                <w:szCs w:val="20"/>
              </w:rPr>
            </w:pPr>
            <w:r w:rsidRPr="00AC0F15">
              <w:rPr>
                <w:rFonts w:ascii="Arial Narrow" w:hAnsi="Arial Narrow" w:cs="Arial"/>
                <w:b/>
                <w:sz w:val="20"/>
                <w:szCs w:val="20"/>
              </w:rPr>
              <w:t>Manner of administration and form</w:t>
            </w:r>
          </w:p>
        </w:tc>
        <w:tc>
          <w:tcPr>
            <w:tcW w:w="851" w:type="dxa"/>
          </w:tcPr>
          <w:p w:rsidR="000300CD" w:rsidRPr="00AC0F15" w:rsidRDefault="000300CD" w:rsidP="000300CD">
            <w:pPr>
              <w:keepNext/>
              <w:ind w:left="-108"/>
              <w:jc w:val="center"/>
              <w:rPr>
                <w:rFonts w:ascii="Arial Narrow" w:hAnsi="Arial Narrow" w:cs="Arial"/>
                <w:b/>
                <w:sz w:val="20"/>
                <w:szCs w:val="20"/>
              </w:rPr>
            </w:pPr>
            <w:r w:rsidRPr="00AC0F15">
              <w:rPr>
                <w:rFonts w:ascii="Arial Narrow" w:hAnsi="Arial Narrow" w:cs="Arial"/>
                <w:b/>
                <w:sz w:val="20"/>
                <w:szCs w:val="20"/>
              </w:rPr>
              <w:t>Max.</w:t>
            </w:r>
          </w:p>
          <w:p w:rsidR="000300CD" w:rsidRPr="00AC0F15" w:rsidRDefault="000300CD" w:rsidP="000300CD">
            <w:pPr>
              <w:keepNext/>
              <w:ind w:left="-108"/>
              <w:jc w:val="center"/>
              <w:rPr>
                <w:rFonts w:ascii="Arial Narrow" w:hAnsi="Arial Narrow" w:cs="Arial"/>
                <w:b/>
                <w:sz w:val="20"/>
                <w:szCs w:val="20"/>
              </w:rPr>
            </w:pPr>
            <w:proofErr w:type="spellStart"/>
            <w:r w:rsidRPr="00AC0F15">
              <w:rPr>
                <w:rFonts w:ascii="Arial Narrow" w:hAnsi="Arial Narrow" w:cs="Arial"/>
                <w:b/>
                <w:sz w:val="20"/>
                <w:szCs w:val="20"/>
              </w:rPr>
              <w:t>Qty</w:t>
            </w:r>
            <w:proofErr w:type="spellEnd"/>
          </w:p>
        </w:tc>
        <w:tc>
          <w:tcPr>
            <w:tcW w:w="1134" w:type="dxa"/>
          </w:tcPr>
          <w:p w:rsidR="000300CD" w:rsidRPr="00AC0F15" w:rsidRDefault="000300CD" w:rsidP="000300CD">
            <w:pPr>
              <w:keepNext/>
              <w:ind w:left="-108"/>
              <w:jc w:val="center"/>
              <w:rPr>
                <w:rFonts w:ascii="Arial Narrow" w:hAnsi="Arial Narrow" w:cs="Arial"/>
                <w:b/>
                <w:sz w:val="20"/>
                <w:szCs w:val="20"/>
              </w:rPr>
            </w:pPr>
            <w:r w:rsidRPr="00AC0F15">
              <w:rPr>
                <w:rFonts w:ascii="Arial Narrow" w:hAnsi="Arial Narrow" w:cs="Arial"/>
                <w:b/>
                <w:sz w:val="20"/>
                <w:szCs w:val="20"/>
              </w:rPr>
              <w:t>№.of</w:t>
            </w:r>
          </w:p>
          <w:p w:rsidR="000300CD" w:rsidRPr="00AC0F15" w:rsidRDefault="000300CD" w:rsidP="000300CD">
            <w:pPr>
              <w:keepNext/>
              <w:ind w:left="-108"/>
              <w:jc w:val="center"/>
              <w:rPr>
                <w:rFonts w:ascii="Arial Narrow" w:hAnsi="Arial Narrow" w:cs="Arial"/>
                <w:b/>
                <w:sz w:val="20"/>
                <w:szCs w:val="20"/>
              </w:rPr>
            </w:pPr>
            <w:proofErr w:type="spellStart"/>
            <w:r w:rsidRPr="00AC0F15">
              <w:rPr>
                <w:rFonts w:ascii="Arial Narrow" w:hAnsi="Arial Narrow" w:cs="Arial"/>
                <w:b/>
                <w:sz w:val="20"/>
                <w:szCs w:val="20"/>
              </w:rPr>
              <w:t>Rpts</w:t>
            </w:r>
            <w:proofErr w:type="spellEnd"/>
          </w:p>
        </w:tc>
        <w:tc>
          <w:tcPr>
            <w:tcW w:w="2551" w:type="dxa"/>
            <w:gridSpan w:val="2"/>
          </w:tcPr>
          <w:p w:rsidR="000300CD" w:rsidRPr="00AC0F15" w:rsidRDefault="000300CD" w:rsidP="00D1241E">
            <w:pPr>
              <w:keepNext/>
              <w:jc w:val="both"/>
              <w:rPr>
                <w:rFonts w:ascii="Arial Narrow" w:hAnsi="Arial Narrow" w:cs="Arial"/>
                <w:b/>
                <w:sz w:val="20"/>
                <w:szCs w:val="20"/>
                <w:lang w:val="fr-FR"/>
              </w:rPr>
            </w:pPr>
            <w:r w:rsidRPr="00AC0F15">
              <w:rPr>
                <w:rFonts w:ascii="Arial Narrow" w:hAnsi="Arial Narrow" w:cs="Arial"/>
                <w:b/>
                <w:sz w:val="20"/>
                <w:szCs w:val="20"/>
              </w:rPr>
              <w:t>Proprietary Name and Manufacturer</w:t>
            </w:r>
          </w:p>
        </w:tc>
      </w:tr>
      <w:tr w:rsidR="000300CD" w:rsidRPr="00FB1003" w:rsidTr="00AC0F15">
        <w:trPr>
          <w:cantSplit/>
          <w:trHeight w:val="577"/>
        </w:trPr>
        <w:tc>
          <w:tcPr>
            <w:tcW w:w="3827" w:type="dxa"/>
          </w:tcPr>
          <w:p w:rsidR="000300CD" w:rsidRPr="001B0505" w:rsidRDefault="000300CD" w:rsidP="00D1241E">
            <w:pPr>
              <w:keepNext/>
              <w:ind w:left="-108"/>
              <w:jc w:val="both"/>
              <w:rPr>
                <w:rFonts w:ascii="Arial Narrow" w:hAnsi="Arial Narrow" w:cs="Arial"/>
                <w:sz w:val="20"/>
                <w:szCs w:val="20"/>
              </w:rPr>
            </w:pPr>
            <w:r w:rsidRPr="001B0505">
              <w:rPr>
                <w:rFonts w:ascii="Arial Narrow" w:hAnsi="Arial Narrow" w:cs="Arial"/>
                <w:smallCaps/>
                <w:sz w:val="20"/>
                <w:szCs w:val="20"/>
              </w:rPr>
              <w:t>FLUTICASONE AND VILANTEROL</w:t>
            </w:r>
          </w:p>
          <w:p w:rsidR="000300CD" w:rsidRPr="001B0505" w:rsidRDefault="000300CD" w:rsidP="00D1241E">
            <w:pPr>
              <w:keepNext/>
              <w:ind w:left="-108"/>
              <w:jc w:val="both"/>
              <w:rPr>
                <w:rFonts w:ascii="Arial Narrow" w:hAnsi="Arial Narrow" w:cs="Arial"/>
                <w:sz w:val="20"/>
                <w:szCs w:val="20"/>
              </w:rPr>
            </w:pPr>
            <w:r w:rsidRPr="001B0505">
              <w:rPr>
                <w:rFonts w:ascii="Arial Narrow" w:hAnsi="Arial Narrow" w:cs="Arial"/>
                <w:sz w:val="20"/>
                <w:szCs w:val="20"/>
              </w:rPr>
              <w:t xml:space="preserve">fluticasone </w:t>
            </w:r>
            <w:proofErr w:type="spellStart"/>
            <w:r w:rsidRPr="001B0505">
              <w:rPr>
                <w:rFonts w:ascii="Arial Narrow" w:hAnsi="Arial Narrow" w:cs="Arial"/>
                <w:sz w:val="20"/>
                <w:szCs w:val="20"/>
              </w:rPr>
              <w:t>furoate</w:t>
            </w:r>
            <w:proofErr w:type="spellEnd"/>
            <w:r w:rsidRPr="001B0505">
              <w:rPr>
                <w:rFonts w:ascii="Arial Narrow" w:hAnsi="Arial Narrow" w:cs="Arial"/>
                <w:sz w:val="20"/>
                <w:szCs w:val="20"/>
              </w:rPr>
              <w:t xml:space="preserve"> 100 microgram + </w:t>
            </w:r>
            <w:proofErr w:type="spellStart"/>
            <w:r w:rsidRPr="001B0505">
              <w:rPr>
                <w:rFonts w:ascii="Arial Narrow" w:hAnsi="Arial Narrow" w:cs="Arial"/>
                <w:sz w:val="20"/>
                <w:szCs w:val="20"/>
              </w:rPr>
              <w:t>vilanterol</w:t>
            </w:r>
            <w:proofErr w:type="spellEnd"/>
            <w:r w:rsidRPr="001B0505">
              <w:rPr>
                <w:rFonts w:ascii="Arial Narrow" w:hAnsi="Arial Narrow" w:cs="Arial"/>
                <w:sz w:val="20"/>
                <w:szCs w:val="20"/>
              </w:rPr>
              <w:t xml:space="preserve"> (as </w:t>
            </w:r>
            <w:proofErr w:type="spellStart"/>
            <w:r w:rsidRPr="001B0505">
              <w:rPr>
                <w:rFonts w:ascii="Arial Narrow" w:hAnsi="Arial Narrow" w:cs="Arial"/>
                <w:sz w:val="20"/>
                <w:szCs w:val="20"/>
              </w:rPr>
              <w:t>trifenatate</w:t>
            </w:r>
            <w:proofErr w:type="spellEnd"/>
            <w:r w:rsidRPr="001B0505">
              <w:rPr>
                <w:rFonts w:ascii="Arial Narrow" w:hAnsi="Arial Narrow" w:cs="Arial"/>
                <w:sz w:val="20"/>
                <w:szCs w:val="20"/>
              </w:rPr>
              <w:t>) 25 microgram inhalation: powder for, 30 actuations</w:t>
            </w:r>
          </w:p>
        </w:tc>
        <w:tc>
          <w:tcPr>
            <w:tcW w:w="851" w:type="dxa"/>
          </w:tcPr>
          <w:p w:rsidR="000300CD" w:rsidRPr="001B0505" w:rsidRDefault="000300CD" w:rsidP="001B0505">
            <w:pPr>
              <w:keepNext/>
              <w:ind w:left="-108"/>
              <w:jc w:val="center"/>
              <w:rPr>
                <w:rFonts w:ascii="Arial Narrow" w:hAnsi="Arial Narrow" w:cs="Arial"/>
                <w:sz w:val="20"/>
                <w:szCs w:val="20"/>
              </w:rPr>
            </w:pPr>
          </w:p>
          <w:p w:rsidR="000300CD" w:rsidRPr="001B0505" w:rsidRDefault="000300CD" w:rsidP="001B0505">
            <w:pPr>
              <w:keepNext/>
              <w:ind w:left="-108"/>
              <w:jc w:val="center"/>
              <w:rPr>
                <w:rFonts w:ascii="Arial Narrow" w:hAnsi="Arial Narrow" w:cs="Arial"/>
                <w:sz w:val="20"/>
                <w:szCs w:val="20"/>
              </w:rPr>
            </w:pPr>
            <w:r w:rsidRPr="001B0505">
              <w:rPr>
                <w:rFonts w:ascii="Arial Narrow" w:hAnsi="Arial Narrow" w:cs="Arial"/>
                <w:sz w:val="20"/>
                <w:szCs w:val="20"/>
              </w:rPr>
              <w:t>1</w:t>
            </w:r>
          </w:p>
        </w:tc>
        <w:tc>
          <w:tcPr>
            <w:tcW w:w="1134" w:type="dxa"/>
          </w:tcPr>
          <w:p w:rsidR="000300CD" w:rsidRPr="001B0505" w:rsidRDefault="000300CD" w:rsidP="001B0505">
            <w:pPr>
              <w:keepNext/>
              <w:ind w:left="-108"/>
              <w:jc w:val="center"/>
              <w:rPr>
                <w:rFonts w:ascii="Arial Narrow" w:hAnsi="Arial Narrow" w:cs="Arial"/>
                <w:sz w:val="20"/>
                <w:szCs w:val="20"/>
              </w:rPr>
            </w:pPr>
          </w:p>
          <w:p w:rsidR="000300CD" w:rsidRPr="001B0505" w:rsidRDefault="000300CD" w:rsidP="001B0505">
            <w:pPr>
              <w:keepNext/>
              <w:ind w:left="-108"/>
              <w:jc w:val="center"/>
              <w:rPr>
                <w:rFonts w:ascii="Arial Narrow" w:hAnsi="Arial Narrow" w:cs="Arial"/>
                <w:sz w:val="20"/>
                <w:szCs w:val="20"/>
              </w:rPr>
            </w:pPr>
            <w:r w:rsidRPr="001B0505">
              <w:rPr>
                <w:rFonts w:ascii="Arial Narrow" w:hAnsi="Arial Narrow" w:cs="Arial"/>
                <w:sz w:val="20"/>
                <w:szCs w:val="20"/>
              </w:rPr>
              <w:t>5</w:t>
            </w:r>
          </w:p>
        </w:tc>
        <w:tc>
          <w:tcPr>
            <w:tcW w:w="1559" w:type="dxa"/>
          </w:tcPr>
          <w:p w:rsidR="000300CD" w:rsidRPr="001B0505" w:rsidRDefault="000300CD" w:rsidP="00D1241E">
            <w:pPr>
              <w:keepNext/>
              <w:jc w:val="both"/>
              <w:rPr>
                <w:rFonts w:ascii="Arial Narrow" w:hAnsi="Arial Narrow" w:cs="Arial"/>
                <w:sz w:val="20"/>
                <w:szCs w:val="20"/>
              </w:rPr>
            </w:pPr>
          </w:p>
          <w:p w:rsidR="000300CD" w:rsidRPr="001B0505" w:rsidRDefault="000300CD" w:rsidP="00D1241E">
            <w:pPr>
              <w:keepNext/>
              <w:jc w:val="both"/>
              <w:rPr>
                <w:rFonts w:ascii="Arial Narrow" w:hAnsi="Arial Narrow" w:cs="Arial"/>
                <w:sz w:val="20"/>
                <w:szCs w:val="20"/>
              </w:rPr>
            </w:pPr>
            <w:proofErr w:type="spellStart"/>
            <w:r w:rsidRPr="001B0505">
              <w:rPr>
                <w:rFonts w:ascii="Arial Narrow" w:hAnsi="Arial Narrow" w:cs="Arial"/>
                <w:sz w:val="20"/>
                <w:szCs w:val="20"/>
              </w:rPr>
              <w:t>Breo</w:t>
            </w:r>
            <w:proofErr w:type="spellEnd"/>
            <w:r w:rsidR="001B0505" w:rsidRPr="001B0505">
              <w:rPr>
                <w:rFonts w:ascii="Arial Narrow" w:hAnsi="Arial Narrow" w:cs="Arial"/>
                <w:b/>
                <w:sz w:val="20"/>
                <w:szCs w:val="20"/>
                <w:vertAlign w:val="superscript"/>
              </w:rPr>
              <w:t>®</w:t>
            </w:r>
            <w:r w:rsidRPr="001B0505">
              <w:rPr>
                <w:rFonts w:ascii="Arial Narrow" w:hAnsi="Arial Narrow" w:cs="Arial"/>
                <w:sz w:val="20"/>
                <w:szCs w:val="20"/>
              </w:rPr>
              <w:t xml:space="preserve"> </w:t>
            </w:r>
            <w:proofErr w:type="spellStart"/>
            <w:r w:rsidRPr="001B0505">
              <w:rPr>
                <w:rFonts w:ascii="Arial Narrow" w:hAnsi="Arial Narrow" w:cs="Arial"/>
                <w:sz w:val="20"/>
                <w:szCs w:val="20"/>
              </w:rPr>
              <w:t>Ellipta</w:t>
            </w:r>
            <w:proofErr w:type="spellEnd"/>
            <w:r w:rsidR="001B0505" w:rsidRPr="001B0505">
              <w:rPr>
                <w:rFonts w:ascii="Arial Narrow" w:hAnsi="Arial Narrow" w:cs="Arial"/>
                <w:b/>
                <w:sz w:val="20"/>
                <w:szCs w:val="20"/>
                <w:vertAlign w:val="superscript"/>
              </w:rPr>
              <w:t>®</w:t>
            </w:r>
          </w:p>
        </w:tc>
        <w:tc>
          <w:tcPr>
            <w:tcW w:w="992" w:type="dxa"/>
          </w:tcPr>
          <w:p w:rsidR="000300CD" w:rsidRPr="001B0505" w:rsidRDefault="000300CD" w:rsidP="00D1241E">
            <w:pPr>
              <w:keepNext/>
              <w:jc w:val="both"/>
              <w:rPr>
                <w:rFonts w:ascii="Arial Narrow" w:hAnsi="Arial Narrow" w:cs="Arial"/>
                <w:sz w:val="20"/>
                <w:szCs w:val="20"/>
              </w:rPr>
            </w:pPr>
          </w:p>
          <w:p w:rsidR="000300CD" w:rsidRPr="001B0505" w:rsidRDefault="000300CD" w:rsidP="00D1241E">
            <w:pPr>
              <w:keepNext/>
              <w:jc w:val="both"/>
              <w:rPr>
                <w:rFonts w:ascii="Arial Narrow" w:hAnsi="Arial Narrow" w:cs="Arial"/>
                <w:sz w:val="20"/>
                <w:szCs w:val="20"/>
              </w:rPr>
            </w:pPr>
            <w:r w:rsidRPr="001B0505">
              <w:rPr>
                <w:rFonts w:ascii="Arial Narrow" w:hAnsi="Arial Narrow" w:cs="Arial"/>
                <w:sz w:val="20"/>
                <w:szCs w:val="20"/>
              </w:rPr>
              <w:t>GSK</w:t>
            </w:r>
          </w:p>
        </w:tc>
      </w:tr>
    </w:tbl>
    <w:p w:rsidR="00E16910" w:rsidRPr="00E16EA8" w:rsidRDefault="00E16910" w:rsidP="00E16EA8">
      <w:pPr>
        <w:jc w:val="both"/>
        <w:rPr>
          <w:rFonts w:ascii="Arial" w:hAnsi="Arial"/>
          <w:sz w:val="22"/>
          <w:szCs w:val="22"/>
        </w:rPr>
      </w:pPr>
    </w:p>
    <w:p w:rsidR="00196307" w:rsidRPr="00882085" w:rsidRDefault="00E16EA8" w:rsidP="00882085">
      <w:pPr>
        <w:pStyle w:val="ListParagraph"/>
        <w:numPr>
          <w:ilvl w:val="1"/>
          <w:numId w:val="25"/>
        </w:numPr>
        <w:jc w:val="both"/>
        <w:rPr>
          <w:rFonts w:ascii="Arial" w:hAnsi="Arial"/>
          <w:sz w:val="22"/>
          <w:szCs w:val="22"/>
        </w:rPr>
      </w:pPr>
      <w:r>
        <w:rPr>
          <w:rFonts w:ascii="Arial" w:hAnsi="Arial"/>
          <w:sz w:val="22"/>
          <w:szCs w:val="22"/>
        </w:rPr>
        <w:t>Listing was sought on a cost-minimisation basis with fluticasone/</w:t>
      </w:r>
      <w:proofErr w:type="spellStart"/>
      <w:r>
        <w:rPr>
          <w:rFonts w:ascii="Arial" w:hAnsi="Arial"/>
          <w:sz w:val="22"/>
          <w:szCs w:val="22"/>
        </w:rPr>
        <w:t>vilanterol</w:t>
      </w:r>
      <w:proofErr w:type="spellEnd"/>
      <w:r>
        <w:rPr>
          <w:rFonts w:ascii="Arial" w:hAnsi="Arial"/>
          <w:sz w:val="22"/>
          <w:szCs w:val="22"/>
        </w:rPr>
        <w:t xml:space="preserve"> (FF/VI) 100/25 compared to fluticasone/</w:t>
      </w:r>
      <w:proofErr w:type="spellStart"/>
      <w:r>
        <w:rPr>
          <w:rFonts w:ascii="Arial" w:hAnsi="Arial"/>
          <w:sz w:val="22"/>
          <w:szCs w:val="22"/>
        </w:rPr>
        <w:t>salmeterol</w:t>
      </w:r>
      <w:proofErr w:type="spellEnd"/>
      <w:r>
        <w:rPr>
          <w:rFonts w:ascii="Arial" w:hAnsi="Arial"/>
          <w:sz w:val="22"/>
          <w:szCs w:val="22"/>
        </w:rPr>
        <w:t xml:space="preserve"> (FP/SAL) 500/50 in the treatment of COPD. </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AC0F15" w:rsidRPr="00882085" w:rsidRDefault="00AC0F15"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E16EA8" w:rsidRPr="00E16EA8" w:rsidRDefault="00E16EA8" w:rsidP="00E16EA8">
      <w:pPr>
        <w:pStyle w:val="ListParagraph"/>
        <w:numPr>
          <w:ilvl w:val="1"/>
          <w:numId w:val="25"/>
        </w:numPr>
        <w:jc w:val="both"/>
        <w:rPr>
          <w:rFonts w:ascii="Arial" w:hAnsi="Arial"/>
          <w:sz w:val="22"/>
          <w:szCs w:val="22"/>
        </w:rPr>
      </w:pPr>
      <w:r w:rsidRPr="00E16EA8">
        <w:rPr>
          <w:rFonts w:ascii="Arial" w:hAnsi="Arial"/>
          <w:sz w:val="22"/>
          <w:szCs w:val="22"/>
        </w:rPr>
        <w:t>Fluticasone/</w:t>
      </w:r>
      <w:proofErr w:type="spellStart"/>
      <w:r w:rsidRPr="00E16EA8">
        <w:rPr>
          <w:rFonts w:ascii="Arial" w:hAnsi="Arial"/>
          <w:sz w:val="22"/>
          <w:szCs w:val="22"/>
        </w:rPr>
        <w:t>vilanterol</w:t>
      </w:r>
      <w:proofErr w:type="spellEnd"/>
      <w:r w:rsidR="002B1AE6" w:rsidRPr="00E16EA8">
        <w:rPr>
          <w:rFonts w:ascii="Arial" w:hAnsi="Arial"/>
          <w:sz w:val="22"/>
          <w:szCs w:val="22"/>
        </w:rPr>
        <w:t xml:space="preserve"> was TGA registered on </w:t>
      </w:r>
      <w:r w:rsidRPr="00E16EA8">
        <w:rPr>
          <w:rFonts w:ascii="Arial" w:hAnsi="Arial"/>
          <w:sz w:val="22"/>
          <w:szCs w:val="22"/>
        </w:rPr>
        <w:t>17 April 2014</w:t>
      </w:r>
      <w:r w:rsidR="002B1AE6" w:rsidRPr="00E16EA8">
        <w:rPr>
          <w:rFonts w:ascii="Arial" w:hAnsi="Arial"/>
          <w:sz w:val="22"/>
          <w:szCs w:val="22"/>
        </w:rPr>
        <w:t xml:space="preserve"> for</w:t>
      </w:r>
      <w:r w:rsidRPr="00E16EA8">
        <w:rPr>
          <w:rFonts w:ascii="Arial" w:hAnsi="Arial"/>
          <w:sz w:val="22"/>
          <w:szCs w:val="22"/>
        </w:rPr>
        <w:t xml:space="preserve"> symptomatic treatment of patients with COPD with a FEV</w:t>
      </w:r>
      <w:r w:rsidRPr="004352F4">
        <w:rPr>
          <w:rFonts w:ascii="Arial" w:hAnsi="Arial"/>
          <w:sz w:val="22"/>
          <w:szCs w:val="22"/>
          <w:vertAlign w:val="subscript"/>
        </w:rPr>
        <w:t>1</w:t>
      </w:r>
      <w:r w:rsidRPr="00E16EA8">
        <w:rPr>
          <w:rFonts w:ascii="Arial" w:hAnsi="Arial"/>
          <w:sz w:val="22"/>
          <w:szCs w:val="22"/>
        </w:rPr>
        <w:t xml:space="preserve"> &lt;70% predicted normal (post-bronchodilator) in patients with an exacerbation history despite regular bronchodilator therapy. Fluticasone/</w:t>
      </w:r>
      <w:proofErr w:type="spellStart"/>
      <w:r w:rsidRPr="00E16EA8">
        <w:rPr>
          <w:rFonts w:ascii="Arial" w:hAnsi="Arial"/>
          <w:sz w:val="22"/>
          <w:szCs w:val="22"/>
        </w:rPr>
        <w:t>vilanterol</w:t>
      </w:r>
      <w:proofErr w:type="spellEnd"/>
      <w:r w:rsidRPr="00E16EA8">
        <w:rPr>
          <w:rFonts w:ascii="Arial" w:hAnsi="Arial"/>
          <w:sz w:val="22"/>
          <w:szCs w:val="22"/>
        </w:rPr>
        <w:t xml:space="preserve"> is not indicated for the initiation of bronchodilator therapy in COPD. </w:t>
      </w:r>
    </w:p>
    <w:p w:rsidR="006B0D94" w:rsidRPr="00882085" w:rsidRDefault="006B0D94" w:rsidP="00882085">
      <w:pPr>
        <w:pStyle w:val="ListParagraph"/>
        <w:jc w:val="both"/>
        <w:rPr>
          <w:rFonts w:ascii="Arial" w:hAnsi="Arial"/>
          <w:sz w:val="22"/>
          <w:szCs w:val="22"/>
        </w:rPr>
      </w:pPr>
    </w:p>
    <w:p w:rsidR="00BB7EC3" w:rsidRPr="008B70E0" w:rsidRDefault="00E16EA8" w:rsidP="008B70E0">
      <w:pPr>
        <w:pStyle w:val="ListParagraph"/>
        <w:numPr>
          <w:ilvl w:val="1"/>
          <w:numId w:val="25"/>
        </w:numPr>
        <w:jc w:val="both"/>
        <w:rPr>
          <w:rFonts w:ascii="Arial" w:hAnsi="Arial"/>
          <w:sz w:val="20"/>
          <w:szCs w:val="22"/>
        </w:rPr>
      </w:pPr>
      <w:r w:rsidRPr="008B70E0">
        <w:rPr>
          <w:rFonts w:ascii="Arial" w:hAnsi="Arial" w:cs="Arial"/>
          <w:sz w:val="22"/>
        </w:rPr>
        <w:t>A m</w:t>
      </w:r>
      <w:r w:rsidR="00916E13">
        <w:rPr>
          <w:rFonts w:ascii="Arial" w:hAnsi="Arial" w:cs="Arial"/>
          <w:sz w:val="22"/>
        </w:rPr>
        <w:t>ajor submission for fluticasone/</w:t>
      </w:r>
      <w:proofErr w:type="spellStart"/>
      <w:r w:rsidRPr="008B70E0">
        <w:rPr>
          <w:rFonts w:ascii="Arial" w:hAnsi="Arial" w:cs="Arial"/>
          <w:sz w:val="22"/>
        </w:rPr>
        <w:t>vilanterol</w:t>
      </w:r>
      <w:proofErr w:type="spellEnd"/>
      <w:r w:rsidRPr="008B70E0">
        <w:rPr>
          <w:rFonts w:ascii="Arial" w:hAnsi="Arial" w:cs="Arial"/>
          <w:sz w:val="22"/>
        </w:rPr>
        <w:t xml:space="preserve"> (FF/VI) 100/25 for the treatment of COPD was considered and rejected by the PBAC at its March 2014 meeting. The PBAC did not accept the submission’s claim that FF/VI 100/25 is non-inferior in terms of safety compared to fluticasone </w:t>
      </w:r>
      <w:r w:rsidR="00D81540">
        <w:rPr>
          <w:rFonts w:ascii="Arial" w:hAnsi="Arial" w:cs="Arial"/>
          <w:sz w:val="22"/>
        </w:rPr>
        <w:t>propionate</w:t>
      </w:r>
      <w:r w:rsidRPr="008B70E0">
        <w:rPr>
          <w:rFonts w:ascii="Arial" w:hAnsi="Arial" w:cs="Arial"/>
          <w:sz w:val="22"/>
        </w:rPr>
        <w:t xml:space="preserve"> and </w:t>
      </w:r>
      <w:proofErr w:type="spellStart"/>
      <w:r w:rsidRPr="008B70E0">
        <w:rPr>
          <w:rFonts w:ascii="Arial" w:hAnsi="Arial" w:cs="Arial"/>
          <w:sz w:val="22"/>
        </w:rPr>
        <w:t>salmeterol</w:t>
      </w:r>
      <w:proofErr w:type="spellEnd"/>
      <w:r w:rsidRPr="008B70E0">
        <w:rPr>
          <w:rFonts w:ascii="Arial" w:hAnsi="Arial" w:cs="Arial"/>
          <w:sz w:val="22"/>
        </w:rPr>
        <w:t xml:space="preserve"> (FP/SAL) 500/50.  Furthermore, the PBAC considered that there was no clear unmet clinical need for FF/VI in COPD particularly in light of the changing clinical place of inhaled corticosteroids (ICS) in COPD</w:t>
      </w:r>
      <w:r w:rsidR="008B70E0">
        <w:rPr>
          <w:rFonts w:ascii="Arial" w:hAnsi="Arial" w:cs="Arial"/>
          <w:sz w:val="22"/>
        </w:rPr>
        <w:t>.</w:t>
      </w:r>
    </w:p>
    <w:p w:rsidR="00BB7EC3" w:rsidRDefault="00BB7EC3" w:rsidP="00882085">
      <w:pPr>
        <w:jc w:val="both"/>
        <w:rPr>
          <w:rFonts w:ascii="Arial" w:hAnsi="Arial"/>
          <w:b/>
          <w:sz w:val="22"/>
          <w:szCs w:val="22"/>
        </w:rPr>
      </w:pPr>
    </w:p>
    <w:p w:rsidR="00AC0F15" w:rsidRPr="00882085" w:rsidRDefault="00AC0F15" w:rsidP="00882085">
      <w:pPr>
        <w:jc w:val="both"/>
        <w:rPr>
          <w:rFonts w:ascii="Arial" w:hAnsi="Arial"/>
          <w:b/>
          <w:sz w:val="22"/>
          <w:szCs w:val="22"/>
        </w:rPr>
      </w:pPr>
    </w:p>
    <w:p w:rsidR="00AC0F15" w:rsidRPr="00407F2D" w:rsidRDefault="00AC0F15" w:rsidP="00AC0F15">
      <w:pPr>
        <w:pStyle w:val="ListParagraph"/>
        <w:numPr>
          <w:ilvl w:val="0"/>
          <w:numId w:val="25"/>
        </w:numPr>
        <w:jc w:val="both"/>
        <w:rPr>
          <w:rFonts w:ascii="Arial" w:hAnsi="Arial"/>
          <w:b/>
          <w:sz w:val="22"/>
          <w:szCs w:val="22"/>
        </w:rPr>
      </w:pPr>
      <w:r w:rsidRPr="00407F2D">
        <w:rPr>
          <w:rFonts w:ascii="Arial" w:hAnsi="Arial"/>
          <w:b/>
          <w:sz w:val="22"/>
          <w:szCs w:val="22"/>
        </w:rPr>
        <w:t>Clinical place for the proposed therapy</w:t>
      </w:r>
    </w:p>
    <w:p w:rsidR="00CE10C4" w:rsidRPr="00882085" w:rsidRDefault="00CE10C4" w:rsidP="00882085">
      <w:pPr>
        <w:jc w:val="both"/>
        <w:rPr>
          <w:rFonts w:ascii="Arial" w:hAnsi="Arial"/>
          <w:sz w:val="22"/>
          <w:szCs w:val="22"/>
        </w:rPr>
      </w:pPr>
    </w:p>
    <w:p w:rsidR="006A12A5" w:rsidRPr="00882085" w:rsidRDefault="00123A3E" w:rsidP="00882085">
      <w:pPr>
        <w:pStyle w:val="ListParagraph"/>
        <w:numPr>
          <w:ilvl w:val="1"/>
          <w:numId w:val="25"/>
        </w:numPr>
        <w:jc w:val="both"/>
        <w:rPr>
          <w:rFonts w:ascii="Arial" w:hAnsi="Arial"/>
          <w:sz w:val="22"/>
          <w:szCs w:val="22"/>
        </w:rPr>
      </w:pPr>
      <w:r>
        <w:rPr>
          <w:rFonts w:ascii="Arial" w:hAnsi="Arial"/>
          <w:sz w:val="22"/>
          <w:szCs w:val="22"/>
        </w:rPr>
        <w:t xml:space="preserve">This has not been changed from the March 2014 submission. </w:t>
      </w:r>
    </w:p>
    <w:p w:rsidR="00BB7EC3" w:rsidRDefault="00BB7EC3" w:rsidP="00882085">
      <w:pPr>
        <w:pStyle w:val="Header"/>
        <w:tabs>
          <w:tab w:val="clear" w:pos="4153"/>
          <w:tab w:val="clear" w:pos="8306"/>
        </w:tabs>
        <w:jc w:val="both"/>
        <w:rPr>
          <w:rFonts w:ascii="Arial" w:hAnsi="Arial"/>
          <w:sz w:val="22"/>
          <w:szCs w:val="22"/>
        </w:rPr>
      </w:pPr>
    </w:p>
    <w:p w:rsidR="00AC0F15" w:rsidRPr="00882085" w:rsidRDefault="00AC0F15" w:rsidP="00882085">
      <w:pPr>
        <w:pStyle w:val="Header"/>
        <w:tabs>
          <w:tab w:val="clear" w:pos="4153"/>
          <w:tab w:val="clear" w:pos="8306"/>
        </w:tabs>
        <w:jc w:val="both"/>
        <w:rPr>
          <w:rFonts w:ascii="Arial" w:hAnsi="Arial"/>
          <w:sz w:val="22"/>
          <w:szCs w:val="22"/>
        </w:rPr>
      </w:pPr>
    </w:p>
    <w:p w:rsidR="00AC0F15" w:rsidRPr="00407F2D" w:rsidRDefault="00AC0F15" w:rsidP="00AC0F15">
      <w:pPr>
        <w:pStyle w:val="Header"/>
        <w:numPr>
          <w:ilvl w:val="0"/>
          <w:numId w:val="25"/>
        </w:numPr>
        <w:tabs>
          <w:tab w:val="clear" w:pos="4153"/>
          <w:tab w:val="clear" w:pos="8306"/>
        </w:tabs>
        <w:jc w:val="both"/>
        <w:rPr>
          <w:rFonts w:ascii="Arial" w:hAnsi="Arial"/>
          <w:b/>
          <w:sz w:val="22"/>
          <w:szCs w:val="22"/>
        </w:rPr>
      </w:pPr>
      <w:r w:rsidRPr="00407F2D">
        <w:rPr>
          <w:rFonts w:ascii="Arial" w:hAnsi="Arial"/>
          <w:b/>
          <w:sz w:val="22"/>
          <w:szCs w:val="22"/>
        </w:rPr>
        <w:lastRenderedPageBreak/>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123A3E" w:rsidP="00882085">
      <w:pPr>
        <w:pStyle w:val="ListParagraph"/>
        <w:numPr>
          <w:ilvl w:val="1"/>
          <w:numId w:val="25"/>
        </w:numPr>
        <w:jc w:val="both"/>
        <w:rPr>
          <w:rFonts w:ascii="Arial" w:hAnsi="Arial"/>
          <w:sz w:val="22"/>
          <w:szCs w:val="22"/>
        </w:rPr>
      </w:pPr>
      <w:r>
        <w:rPr>
          <w:rFonts w:ascii="Arial" w:hAnsi="Arial"/>
          <w:sz w:val="22"/>
          <w:szCs w:val="22"/>
        </w:rPr>
        <w:t xml:space="preserve">The main comparator is </w:t>
      </w:r>
      <w:r w:rsidR="00801965">
        <w:rPr>
          <w:rFonts w:ascii="Arial" w:hAnsi="Arial"/>
          <w:sz w:val="22"/>
          <w:szCs w:val="22"/>
        </w:rPr>
        <w:t>FP/SAL</w:t>
      </w:r>
      <w:r>
        <w:rPr>
          <w:rFonts w:ascii="Arial" w:hAnsi="Arial"/>
          <w:sz w:val="22"/>
          <w:szCs w:val="22"/>
        </w:rPr>
        <w:t xml:space="preserve"> 500/50. This was considered appropriate by the PBAC in March 2014. </w:t>
      </w:r>
    </w:p>
    <w:p w:rsidR="00BB7EC3" w:rsidRDefault="00BB7EC3" w:rsidP="008D447E">
      <w:pPr>
        <w:pStyle w:val="ListParagraph"/>
        <w:jc w:val="both"/>
        <w:rPr>
          <w:rFonts w:ascii="Arial" w:hAnsi="Arial"/>
          <w:sz w:val="22"/>
          <w:szCs w:val="22"/>
        </w:rPr>
      </w:pPr>
    </w:p>
    <w:p w:rsidR="00BB7EC3" w:rsidRPr="00801965" w:rsidRDefault="00BB7EC3" w:rsidP="00AC0F15">
      <w:pPr>
        <w:ind w:firstLine="720"/>
        <w:rPr>
          <w:rFonts w:ascii="Arial" w:hAnsi="Arial"/>
          <w:i/>
          <w:sz w:val="22"/>
          <w:szCs w:val="22"/>
        </w:rPr>
      </w:pPr>
      <w:r w:rsidRPr="00801965">
        <w:rPr>
          <w:rFonts w:ascii="Arial" w:hAnsi="Arial"/>
          <w:i/>
          <w:sz w:val="22"/>
          <w:szCs w:val="22"/>
        </w:rPr>
        <w:t>For more detail on PBAC’s view, see section 7 “PBAC outcome”</w:t>
      </w:r>
    </w:p>
    <w:p w:rsidR="00AC0F15" w:rsidRPr="00882085" w:rsidRDefault="00AC0F15" w:rsidP="00AC0F15">
      <w:pPr>
        <w:pStyle w:val="Header"/>
        <w:tabs>
          <w:tab w:val="clear" w:pos="4153"/>
          <w:tab w:val="clear" w:pos="8306"/>
        </w:tabs>
        <w:jc w:val="both"/>
        <w:rPr>
          <w:rFonts w:ascii="Arial" w:hAnsi="Arial"/>
          <w:b/>
          <w:sz w:val="22"/>
          <w:szCs w:val="22"/>
        </w:rPr>
      </w:pPr>
    </w:p>
    <w:p w:rsidR="00AC0F15" w:rsidRPr="00882085" w:rsidRDefault="00AC0F15" w:rsidP="00AC0F15">
      <w:pPr>
        <w:pStyle w:val="Header"/>
        <w:tabs>
          <w:tab w:val="clear" w:pos="4153"/>
          <w:tab w:val="clear" w:pos="8306"/>
        </w:tabs>
        <w:jc w:val="both"/>
        <w:rPr>
          <w:rFonts w:ascii="Arial" w:hAnsi="Arial"/>
          <w:b/>
          <w:sz w:val="22"/>
          <w:szCs w:val="22"/>
        </w:rPr>
      </w:pPr>
    </w:p>
    <w:p w:rsidR="00AC0F15" w:rsidRPr="00407F2D" w:rsidRDefault="00AC0F15" w:rsidP="00AC0F15">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123A3E" w:rsidRDefault="00BB7EC3" w:rsidP="00123A3E">
      <w:pPr>
        <w:jc w:val="bot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Ther</w:t>
      </w:r>
      <w:r w:rsidR="00123A3E" w:rsidRPr="00AC0F15">
        <w:rPr>
          <w:rFonts w:ascii="Arial" w:hAnsi="Arial"/>
          <w:sz w:val="22"/>
          <w:szCs w:val="22"/>
        </w:rPr>
        <w:t>e was no hearing for this item.</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 PBAC noted that no consumer comments were received for this item.</w:t>
      </w:r>
    </w:p>
    <w:p w:rsidR="00BB7EC3" w:rsidRPr="00882085" w:rsidRDefault="00BB7EC3" w:rsidP="00801965">
      <w:pPr>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9F5F2E" w:rsidRPr="00AC0F15" w:rsidRDefault="00123A3E" w:rsidP="00AC0F15">
      <w:pPr>
        <w:pStyle w:val="ListParagraph"/>
        <w:numPr>
          <w:ilvl w:val="1"/>
          <w:numId w:val="25"/>
        </w:numPr>
        <w:jc w:val="both"/>
        <w:rPr>
          <w:rFonts w:ascii="Arial" w:hAnsi="Arial"/>
          <w:sz w:val="22"/>
          <w:szCs w:val="22"/>
        </w:rPr>
      </w:pPr>
      <w:r w:rsidRPr="00AC0F15">
        <w:rPr>
          <w:rFonts w:ascii="Arial" w:hAnsi="Arial"/>
          <w:sz w:val="22"/>
          <w:szCs w:val="22"/>
        </w:rPr>
        <w:t xml:space="preserve">No new trial data was presented. </w:t>
      </w:r>
    </w:p>
    <w:p w:rsidR="00882085" w:rsidRDefault="00882085" w:rsidP="00882085">
      <w:pPr>
        <w:jc w:val="both"/>
        <w:rPr>
          <w:rFonts w:ascii="Arial" w:hAnsi="Arial"/>
          <w:b/>
          <w:i/>
          <w:sz w:val="22"/>
          <w:szCs w:val="22"/>
        </w:rPr>
      </w:pPr>
    </w:p>
    <w:p w:rsidR="005055DB" w:rsidRPr="00882085" w:rsidRDefault="005055DB" w:rsidP="005055DB">
      <w:pPr>
        <w:jc w:val="both"/>
        <w:rPr>
          <w:rFonts w:ascii="Arial" w:hAnsi="Arial"/>
          <w:b/>
          <w:i/>
          <w:sz w:val="22"/>
          <w:szCs w:val="22"/>
        </w:rPr>
      </w:pPr>
      <w:r w:rsidRPr="00882085">
        <w:rPr>
          <w:rFonts w:ascii="Arial" w:hAnsi="Arial"/>
          <w:b/>
          <w:i/>
          <w:sz w:val="22"/>
          <w:szCs w:val="22"/>
        </w:rPr>
        <w:t>Comparative effectiveness</w:t>
      </w:r>
    </w:p>
    <w:p w:rsidR="005055DB" w:rsidRPr="00882085" w:rsidRDefault="005055DB" w:rsidP="005055DB">
      <w:pPr>
        <w:jc w:val="both"/>
        <w:rPr>
          <w:rFonts w:ascii="Arial" w:hAnsi="Arial"/>
          <w:sz w:val="22"/>
          <w:szCs w:val="22"/>
        </w:rPr>
      </w:pPr>
    </w:p>
    <w:p w:rsidR="005055DB" w:rsidRPr="00AC0F15" w:rsidRDefault="005055DB" w:rsidP="00AC0F15">
      <w:pPr>
        <w:pStyle w:val="ListParagraph"/>
        <w:numPr>
          <w:ilvl w:val="1"/>
          <w:numId w:val="25"/>
        </w:numPr>
        <w:jc w:val="both"/>
        <w:rPr>
          <w:rFonts w:ascii="Arial" w:hAnsi="Arial"/>
          <w:sz w:val="22"/>
          <w:szCs w:val="22"/>
        </w:rPr>
      </w:pPr>
      <w:r w:rsidRPr="00AC0F15">
        <w:rPr>
          <w:rFonts w:ascii="Arial" w:hAnsi="Arial"/>
          <w:sz w:val="22"/>
          <w:szCs w:val="22"/>
        </w:rPr>
        <w:t>In March 2014</w:t>
      </w:r>
      <w:r w:rsidR="00916E13" w:rsidRPr="00AC0F15">
        <w:rPr>
          <w:rFonts w:ascii="Arial" w:hAnsi="Arial"/>
          <w:sz w:val="22"/>
          <w:szCs w:val="22"/>
        </w:rPr>
        <w:t>,</w:t>
      </w:r>
      <w:r w:rsidRPr="00AC0F15">
        <w:rPr>
          <w:rFonts w:ascii="Arial" w:hAnsi="Arial"/>
          <w:sz w:val="22"/>
          <w:szCs w:val="22"/>
        </w:rPr>
        <w:t xml:space="preserve"> t</w:t>
      </w:r>
      <w:r w:rsidRPr="00AC0F15">
        <w:rPr>
          <w:rFonts w:ascii="Arial" w:hAnsi="Arial" w:cs="Arial"/>
          <w:sz w:val="22"/>
          <w:szCs w:val="22"/>
        </w:rPr>
        <w:t xml:space="preserve">he PBAC had been unable to assess the comparative efficacy of FF/VI FDC and the component therapies given concurrently. The PBAC advised that it would have been preferable to assess the components fluticasone </w:t>
      </w:r>
      <w:proofErr w:type="spellStart"/>
      <w:r w:rsidRPr="00AC0F15">
        <w:rPr>
          <w:rFonts w:ascii="Arial" w:hAnsi="Arial" w:cs="Arial"/>
          <w:sz w:val="22"/>
          <w:szCs w:val="22"/>
        </w:rPr>
        <w:t>furoate</w:t>
      </w:r>
      <w:proofErr w:type="spellEnd"/>
      <w:r w:rsidRPr="00AC0F15">
        <w:rPr>
          <w:rFonts w:ascii="Arial" w:hAnsi="Arial" w:cs="Arial"/>
          <w:sz w:val="22"/>
          <w:szCs w:val="22"/>
        </w:rPr>
        <w:t xml:space="preserve"> and </w:t>
      </w:r>
      <w:proofErr w:type="spellStart"/>
      <w:r w:rsidRPr="00AC0F15">
        <w:rPr>
          <w:rFonts w:ascii="Arial" w:hAnsi="Arial" w:cs="Arial"/>
          <w:sz w:val="22"/>
          <w:szCs w:val="22"/>
        </w:rPr>
        <w:t>vilanterol</w:t>
      </w:r>
      <w:proofErr w:type="spellEnd"/>
      <w:r w:rsidRPr="00AC0F15">
        <w:rPr>
          <w:rFonts w:ascii="Arial" w:hAnsi="Arial" w:cs="Arial"/>
          <w:sz w:val="22"/>
          <w:szCs w:val="22"/>
        </w:rPr>
        <w:t xml:space="preserve"> individually before undertaking an assessment of the FDC.  The minor resubmission did not address this. </w:t>
      </w:r>
    </w:p>
    <w:p w:rsidR="005055DB" w:rsidRDefault="005055DB" w:rsidP="005055DB">
      <w:pPr>
        <w:jc w:val="both"/>
        <w:rPr>
          <w:rFonts w:ascii="Arial" w:hAnsi="Arial"/>
          <w:sz w:val="22"/>
          <w:szCs w:val="22"/>
        </w:rPr>
      </w:pPr>
    </w:p>
    <w:p w:rsidR="005055DB" w:rsidRPr="00BB7EC3" w:rsidRDefault="005055DB" w:rsidP="005055DB">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055DB" w:rsidRPr="00882085" w:rsidRDefault="005055DB" w:rsidP="005055DB">
      <w:pPr>
        <w:ind w:left="709"/>
        <w:jc w:val="both"/>
        <w:rPr>
          <w:rFonts w:ascii="Arial" w:hAnsi="Arial"/>
          <w:sz w:val="22"/>
          <w:szCs w:val="22"/>
        </w:rPr>
      </w:pPr>
    </w:p>
    <w:p w:rsidR="005055DB" w:rsidRPr="00882085" w:rsidRDefault="005055DB" w:rsidP="005055DB">
      <w:pPr>
        <w:jc w:val="both"/>
        <w:rPr>
          <w:rFonts w:ascii="Arial" w:hAnsi="Arial"/>
          <w:b/>
          <w:i/>
          <w:sz w:val="22"/>
          <w:szCs w:val="22"/>
        </w:rPr>
      </w:pPr>
      <w:r w:rsidRPr="00882085">
        <w:rPr>
          <w:rFonts w:ascii="Arial" w:hAnsi="Arial"/>
          <w:b/>
          <w:i/>
          <w:sz w:val="22"/>
          <w:szCs w:val="22"/>
        </w:rPr>
        <w:t>Comparative harms</w:t>
      </w:r>
    </w:p>
    <w:p w:rsidR="005055DB" w:rsidRPr="00882085" w:rsidRDefault="005055DB" w:rsidP="005055DB">
      <w:pPr>
        <w:ind w:left="720" w:hanging="720"/>
        <w:jc w:val="both"/>
        <w:rPr>
          <w:rFonts w:ascii="Arial" w:hAnsi="Arial"/>
          <w:sz w:val="22"/>
          <w:szCs w:val="22"/>
        </w:rPr>
      </w:pPr>
    </w:p>
    <w:p w:rsidR="005055DB" w:rsidRPr="00AC0F15" w:rsidRDefault="005055DB" w:rsidP="00AC0F15">
      <w:pPr>
        <w:pStyle w:val="ListParagraph"/>
        <w:numPr>
          <w:ilvl w:val="1"/>
          <w:numId w:val="25"/>
        </w:numPr>
        <w:jc w:val="both"/>
        <w:rPr>
          <w:rFonts w:ascii="Arial" w:hAnsi="Arial"/>
          <w:sz w:val="22"/>
          <w:szCs w:val="22"/>
        </w:rPr>
      </w:pPr>
      <w:r w:rsidRPr="00AC0F15">
        <w:rPr>
          <w:rFonts w:ascii="Arial" w:hAnsi="Arial" w:cs="Arial"/>
          <w:sz w:val="22"/>
          <w:szCs w:val="22"/>
        </w:rPr>
        <w:t xml:space="preserve">The PBAC had considered the March 2014 submission’s claim with regard to comparative safety was not justified by the existing evidence. The PBAC noted the increased rate of cardiovascular events in the 12 week pivotal trial, and the risk of pneumonia associated with ICS use in COPD. Therefore, the PBAC did not accept the submission’s claim that FF/VI 100/25 is non-inferior in terms of safety compared to FP/SAL 500/50 (PBAC minutes, March 2014, paragraph 6.21).  Overall, the PBAC </w:t>
      </w:r>
      <w:proofErr w:type="gramStart"/>
      <w:r w:rsidRPr="00AC0F15">
        <w:rPr>
          <w:rFonts w:ascii="Arial" w:hAnsi="Arial" w:cs="Arial"/>
          <w:sz w:val="22"/>
          <w:szCs w:val="22"/>
        </w:rPr>
        <w:t>considered</w:t>
      </w:r>
      <w:proofErr w:type="gramEnd"/>
      <w:r w:rsidRPr="00AC0F15">
        <w:rPr>
          <w:rFonts w:ascii="Arial" w:hAnsi="Arial" w:cs="Arial"/>
          <w:sz w:val="22"/>
          <w:szCs w:val="22"/>
        </w:rPr>
        <w:t xml:space="preserve"> that the short duration of the trial precluded the possibility of concluding that FF/VI 100/25 and FP/SAL 500/50 are non-inferior in terms of comparative safety. The minor resubmission did not address the issue of the duration of the trial.</w:t>
      </w:r>
    </w:p>
    <w:p w:rsidR="005055DB" w:rsidRDefault="005055DB" w:rsidP="00882085">
      <w:pPr>
        <w:jc w:val="both"/>
        <w:rPr>
          <w:rFonts w:ascii="Arial" w:hAnsi="Arial"/>
          <w:b/>
          <w:i/>
          <w:sz w:val="22"/>
          <w:szCs w:val="22"/>
        </w:rPr>
      </w:pPr>
    </w:p>
    <w:p w:rsidR="005055DB" w:rsidRPr="00AC0F15" w:rsidRDefault="005055DB" w:rsidP="00AC0F15">
      <w:pPr>
        <w:pStyle w:val="ListParagraph"/>
        <w:numPr>
          <w:ilvl w:val="1"/>
          <w:numId w:val="25"/>
        </w:numPr>
        <w:jc w:val="both"/>
        <w:rPr>
          <w:rFonts w:ascii="Arial" w:hAnsi="Arial"/>
          <w:sz w:val="22"/>
          <w:szCs w:val="22"/>
        </w:rPr>
      </w:pPr>
      <w:r w:rsidRPr="00AC0F15">
        <w:rPr>
          <w:rFonts w:ascii="Arial" w:hAnsi="Arial" w:cs="Arial"/>
          <w:sz w:val="22"/>
          <w:szCs w:val="22"/>
        </w:rPr>
        <w:t>With regard to the PBAC’s concern about the increased rate of cardiovascular events in the pivotal trial, the current submission claimed:</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That this is due to a statistical anomaly plausibly explained by the low number of patients reporting cardiovascular events on the FP/SAL 500/50 arm</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This is supported by placebo controlled studies (HZC112206 and HZC112207) that show risk of cardiovascular events to be similar to placebo</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This is supported by analyses across the three FF/VI 100/25 vs. FP/SAL studies, showing the risk of cardiovascular events to be similar across all treatments. Viewed within the context of the two other FP/SAL studies (HZC113109 and HZC112352) it can be concluded that the number of events on FF/VI in HZC113107 was not </w:t>
      </w:r>
      <w:r w:rsidRPr="00CD7CCF">
        <w:rPr>
          <w:rFonts w:ascii="Arial" w:hAnsi="Arial" w:cs="Arial"/>
          <w:sz w:val="22"/>
          <w:szCs w:val="22"/>
        </w:rPr>
        <w:lastRenderedPageBreak/>
        <w:t xml:space="preserve">unusually high but rather the number of events on FP/SAL 500/50 was unusually low, with only 1 event recorded in 262 COPD patients over 12 weeks. </w:t>
      </w:r>
    </w:p>
    <w:p w:rsidR="005055DB"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That an agreed risk minimisation plan with the TGA will monitor cardiovascular safety through standard post-marketing surveillance mechanisms and was not deemed to require a specific safety program outside of ICS/LABA class related monitoring. </w:t>
      </w:r>
    </w:p>
    <w:p w:rsidR="005055DB" w:rsidRPr="00CD7CCF" w:rsidRDefault="005055DB" w:rsidP="005055DB">
      <w:pPr>
        <w:ind w:left="720"/>
        <w:jc w:val="both"/>
        <w:rPr>
          <w:rFonts w:ascii="Arial" w:hAnsi="Arial" w:cs="Arial"/>
          <w:sz w:val="22"/>
          <w:szCs w:val="22"/>
        </w:rPr>
      </w:pPr>
    </w:p>
    <w:p w:rsidR="005055DB" w:rsidRPr="00AC0F15" w:rsidRDefault="005055DB" w:rsidP="00AC0F15">
      <w:pPr>
        <w:pStyle w:val="ListParagraph"/>
        <w:numPr>
          <w:ilvl w:val="1"/>
          <w:numId w:val="25"/>
        </w:numPr>
        <w:jc w:val="both"/>
        <w:rPr>
          <w:rFonts w:ascii="Arial" w:hAnsi="Arial"/>
          <w:sz w:val="22"/>
          <w:szCs w:val="22"/>
        </w:rPr>
      </w:pPr>
      <w:r w:rsidRPr="00AC0F15">
        <w:rPr>
          <w:rFonts w:ascii="Arial" w:hAnsi="Arial" w:cs="Arial"/>
          <w:sz w:val="22"/>
          <w:szCs w:val="22"/>
        </w:rPr>
        <w:t>With regard to the PBAC’s concern about the risk of pneumonia in regard to the use of ICS in COPD, the submission claimed:</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That ICS/LABA associated pneumonia risk should be considered within the context of potential benefit and that ICS/LABA should be reserved for the treatment of high risk COPD patients in which the risk/benefit profile of increased pneumonia is off-set by a reduction in exacerbations and mortality. </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That FF/VI 100/25 does not pose an incremental pneumonia risk vs. FP/SAL 500/50. </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That the results of the direct comparison of pneumonia events on FF/VI 100/25 and FP/SAL 500/50 show that the incidence of pneumonia was comparable and that overall the exposure adjusted rate of pneumonia was similar across FF/VI 100/25 and FP/SAL 500/50 (</w:t>
      </w:r>
      <w:r w:rsidR="00451F73">
        <w:rPr>
          <w:rFonts w:ascii="Arial" w:hAnsi="Arial" w:cs="Arial"/>
          <w:noProof/>
          <w:color w:val="000000"/>
          <w:sz w:val="22"/>
          <w:szCs w:val="22"/>
          <w:highlight w:val="black"/>
        </w:rPr>
        <w:t>'''''''''''' ''''''''''''''''''' ''''''''''''''''''''''''' ''''''''''''''''''''' ''''''''''''''' '''''''''''''''''' ''''''''''''''''''' '''''''''''''''''''''''''' ''''''''''''''''''''''' ''''''''''''''</w:t>
      </w:r>
      <w:r w:rsidRPr="00CD7CCF">
        <w:rPr>
          <w:rFonts w:ascii="Arial" w:hAnsi="Arial" w:cs="Arial"/>
          <w:sz w:val="22"/>
          <w:szCs w:val="22"/>
        </w:rPr>
        <w:t>).</w:t>
      </w:r>
    </w:p>
    <w:p w:rsidR="005055DB" w:rsidRPr="00CD7CCF" w:rsidRDefault="005055DB" w:rsidP="005055DB">
      <w:pPr>
        <w:jc w:val="both"/>
        <w:rPr>
          <w:rFonts w:ascii="Arial" w:hAnsi="Arial" w:cs="Arial"/>
          <w:sz w:val="22"/>
          <w:szCs w:val="22"/>
        </w:rPr>
      </w:pPr>
    </w:p>
    <w:p w:rsidR="005055DB" w:rsidRPr="00AC0F15" w:rsidRDefault="005055DB" w:rsidP="00AC0F15">
      <w:pPr>
        <w:pStyle w:val="ListParagraph"/>
        <w:numPr>
          <w:ilvl w:val="1"/>
          <w:numId w:val="25"/>
        </w:numPr>
        <w:jc w:val="both"/>
        <w:rPr>
          <w:rFonts w:ascii="Arial" w:hAnsi="Arial"/>
          <w:sz w:val="22"/>
          <w:szCs w:val="22"/>
        </w:rPr>
      </w:pPr>
      <w:r w:rsidRPr="00AC0F15">
        <w:rPr>
          <w:rFonts w:ascii="Arial" w:hAnsi="Arial" w:cs="Arial"/>
          <w:sz w:val="22"/>
          <w:szCs w:val="22"/>
        </w:rPr>
        <w:t>In March 2014, the PBAC also raised the following safety concerns regarding the FF/</w:t>
      </w:r>
      <w:proofErr w:type="spellStart"/>
      <w:r w:rsidRPr="00AC0F15">
        <w:rPr>
          <w:rFonts w:ascii="Arial" w:hAnsi="Arial" w:cs="Arial"/>
          <w:sz w:val="22"/>
          <w:szCs w:val="22"/>
        </w:rPr>
        <w:t>Vl</w:t>
      </w:r>
      <w:proofErr w:type="spellEnd"/>
      <w:r w:rsidRPr="00AC0F15">
        <w:rPr>
          <w:rFonts w:ascii="Arial" w:hAnsi="Arial" w:cs="Arial"/>
          <w:sz w:val="22"/>
          <w:szCs w:val="22"/>
        </w:rPr>
        <w:t xml:space="preserve"> FDC: </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the different dosing in patients with asthma and COPD may be problematic in patients with both asthma and COPD </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that neither component of the FDC is available as a single product</w:t>
      </w:r>
    </w:p>
    <w:p w:rsidR="005055DB" w:rsidRPr="00CD7CCF" w:rsidRDefault="005055DB" w:rsidP="005055DB">
      <w:pPr>
        <w:numPr>
          <w:ilvl w:val="0"/>
          <w:numId w:val="38"/>
        </w:numPr>
        <w:jc w:val="both"/>
        <w:rPr>
          <w:rFonts w:ascii="Arial" w:hAnsi="Arial" w:cs="Arial"/>
          <w:sz w:val="22"/>
          <w:szCs w:val="22"/>
        </w:rPr>
      </w:pPr>
      <w:r w:rsidRPr="00CD7CCF">
        <w:rPr>
          <w:rFonts w:ascii="Arial" w:hAnsi="Arial" w:cs="Arial"/>
          <w:sz w:val="22"/>
          <w:szCs w:val="22"/>
        </w:rPr>
        <w:t xml:space="preserve">there is limited long term safety data for </w:t>
      </w:r>
      <w:proofErr w:type="spellStart"/>
      <w:r w:rsidRPr="00CD7CCF">
        <w:rPr>
          <w:rFonts w:ascii="Arial" w:hAnsi="Arial" w:cs="Arial"/>
          <w:sz w:val="22"/>
          <w:szCs w:val="22"/>
        </w:rPr>
        <w:t>vilanterol</w:t>
      </w:r>
      <w:proofErr w:type="spellEnd"/>
    </w:p>
    <w:p w:rsidR="005055DB" w:rsidRPr="00AF5432" w:rsidRDefault="005055DB" w:rsidP="005055DB">
      <w:pPr>
        <w:ind w:firstLine="709"/>
        <w:jc w:val="both"/>
        <w:rPr>
          <w:rFonts w:ascii="Arial" w:hAnsi="Arial"/>
          <w:sz w:val="22"/>
          <w:szCs w:val="22"/>
        </w:rPr>
      </w:pPr>
      <w:r w:rsidRPr="00AF5432">
        <w:rPr>
          <w:rFonts w:ascii="Arial" w:hAnsi="Arial" w:cs="Arial"/>
          <w:sz w:val="22"/>
          <w:szCs w:val="22"/>
        </w:rPr>
        <w:t>These concerns are not addressed in current submission.</w:t>
      </w:r>
    </w:p>
    <w:p w:rsidR="005055DB" w:rsidRDefault="005055DB"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CD7CCF" w:rsidRPr="00AC0F15" w:rsidRDefault="00123A3E" w:rsidP="00AC0F15">
      <w:pPr>
        <w:pStyle w:val="ListParagraph"/>
        <w:numPr>
          <w:ilvl w:val="1"/>
          <w:numId w:val="25"/>
        </w:numPr>
        <w:jc w:val="both"/>
        <w:rPr>
          <w:rFonts w:ascii="Arial" w:hAnsi="Arial"/>
          <w:sz w:val="22"/>
          <w:szCs w:val="22"/>
        </w:rPr>
      </w:pPr>
      <w:r w:rsidRPr="00AC0F15">
        <w:rPr>
          <w:rFonts w:ascii="Arial" w:hAnsi="Arial" w:cs="Arial"/>
          <w:sz w:val="22"/>
          <w:szCs w:val="22"/>
        </w:rPr>
        <w:t>The</w:t>
      </w:r>
      <w:r w:rsidR="0045060E" w:rsidRPr="00AC0F15">
        <w:rPr>
          <w:rFonts w:ascii="Arial" w:hAnsi="Arial" w:cs="Arial"/>
          <w:sz w:val="22"/>
          <w:szCs w:val="22"/>
        </w:rPr>
        <w:t> March 2014</w:t>
      </w:r>
      <w:r w:rsidRPr="00AC0F15">
        <w:rPr>
          <w:rFonts w:ascii="Arial" w:hAnsi="Arial" w:cs="Arial"/>
          <w:sz w:val="22"/>
          <w:szCs w:val="22"/>
        </w:rPr>
        <w:t xml:space="preserve"> submission claimed that FF/VI 100/25 FDC is non-inferior in terms of comparative effectiveness over the FP/SAL 500/50 FDC </w:t>
      </w:r>
      <w:r w:rsidR="00CD7CCF" w:rsidRPr="00AC0F15">
        <w:rPr>
          <w:rFonts w:ascii="Arial" w:hAnsi="Arial" w:cs="Arial"/>
          <w:sz w:val="22"/>
          <w:szCs w:val="22"/>
        </w:rPr>
        <w:t xml:space="preserve">in the treatment of COPD. </w:t>
      </w:r>
      <w:r w:rsidRPr="00AC0F15">
        <w:rPr>
          <w:rFonts w:ascii="Arial" w:hAnsi="Arial" w:cs="Arial"/>
          <w:sz w:val="22"/>
          <w:szCs w:val="22"/>
        </w:rPr>
        <w:t>The PBAC considered that the submission’s claim with regard to comparati</w:t>
      </w:r>
      <w:r w:rsidR="00170268" w:rsidRPr="00AC0F15">
        <w:rPr>
          <w:rFonts w:ascii="Arial" w:hAnsi="Arial" w:cs="Arial"/>
          <w:sz w:val="22"/>
          <w:szCs w:val="22"/>
        </w:rPr>
        <w:t xml:space="preserve">ve effectiveness was reasonable. </w:t>
      </w:r>
    </w:p>
    <w:p w:rsidR="00CD7CCF" w:rsidRDefault="00CD7CCF" w:rsidP="00CD7CCF">
      <w:pPr>
        <w:pStyle w:val="ListParagraph"/>
        <w:ind w:left="709"/>
        <w:jc w:val="bot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w:t>
      </w:r>
      <w:r w:rsidR="006A489A" w:rsidRPr="00AC0F15">
        <w:rPr>
          <w:rFonts w:ascii="Arial" w:hAnsi="Arial"/>
          <w:sz w:val="22"/>
          <w:szCs w:val="22"/>
        </w:rPr>
        <w:t xml:space="preserve">current </w:t>
      </w:r>
      <w:r w:rsidRPr="00AC0F15">
        <w:rPr>
          <w:rFonts w:ascii="Arial" w:hAnsi="Arial"/>
          <w:sz w:val="22"/>
          <w:szCs w:val="22"/>
        </w:rPr>
        <w:t>submission claimed non-inferior comparative effectiveness and non-inferior comparative safety of</w:t>
      </w:r>
      <w:r w:rsidR="00003DCA" w:rsidRPr="00AC0F15">
        <w:rPr>
          <w:rFonts w:ascii="Arial" w:hAnsi="Arial"/>
          <w:sz w:val="22"/>
          <w:szCs w:val="22"/>
        </w:rPr>
        <w:t xml:space="preserve"> fluticasone </w:t>
      </w:r>
      <w:proofErr w:type="spellStart"/>
      <w:r w:rsidR="00003DCA" w:rsidRPr="00AC0F15">
        <w:rPr>
          <w:rFonts w:ascii="Arial" w:hAnsi="Arial"/>
          <w:sz w:val="22"/>
          <w:szCs w:val="22"/>
        </w:rPr>
        <w:t>furoate</w:t>
      </w:r>
      <w:proofErr w:type="spellEnd"/>
      <w:r w:rsidR="00003DCA" w:rsidRPr="00AC0F15">
        <w:rPr>
          <w:rFonts w:ascii="Arial" w:hAnsi="Arial"/>
          <w:sz w:val="22"/>
          <w:szCs w:val="22"/>
        </w:rPr>
        <w:t>/</w:t>
      </w:r>
      <w:proofErr w:type="spellStart"/>
      <w:r w:rsidR="00003DCA" w:rsidRPr="00AC0F15">
        <w:rPr>
          <w:rFonts w:ascii="Arial" w:hAnsi="Arial"/>
          <w:sz w:val="22"/>
          <w:szCs w:val="22"/>
        </w:rPr>
        <w:t>vilanterol</w:t>
      </w:r>
      <w:proofErr w:type="spellEnd"/>
      <w:r w:rsidR="00003DCA" w:rsidRPr="00AC0F15">
        <w:rPr>
          <w:rFonts w:ascii="Arial" w:hAnsi="Arial"/>
          <w:sz w:val="22"/>
          <w:szCs w:val="22"/>
        </w:rPr>
        <w:t xml:space="preserve"> </w:t>
      </w:r>
      <w:r w:rsidRPr="00AC0F15">
        <w:rPr>
          <w:rFonts w:ascii="Arial" w:hAnsi="Arial"/>
          <w:sz w:val="22"/>
          <w:szCs w:val="22"/>
        </w:rPr>
        <w:t>compared with</w:t>
      </w:r>
      <w:r w:rsidR="00003DCA" w:rsidRPr="00AC0F15">
        <w:rPr>
          <w:rFonts w:ascii="Arial" w:hAnsi="Arial"/>
          <w:sz w:val="22"/>
          <w:szCs w:val="22"/>
        </w:rPr>
        <w:t xml:space="preserve"> fluticasone </w:t>
      </w:r>
      <w:r w:rsidR="00D81540" w:rsidRPr="00AC0F15">
        <w:rPr>
          <w:rFonts w:ascii="Arial" w:hAnsi="Arial"/>
          <w:sz w:val="22"/>
          <w:szCs w:val="22"/>
        </w:rPr>
        <w:t>propionate</w:t>
      </w:r>
      <w:r w:rsidR="00003DCA" w:rsidRPr="00AC0F15">
        <w:rPr>
          <w:rFonts w:ascii="Arial" w:hAnsi="Arial"/>
          <w:sz w:val="22"/>
          <w:szCs w:val="22"/>
        </w:rPr>
        <w:t>/</w:t>
      </w:r>
      <w:proofErr w:type="spellStart"/>
      <w:r w:rsidR="00003DCA" w:rsidRPr="00AC0F15">
        <w:rPr>
          <w:rFonts w:ascii="Arial" w:hAnsi="Arial"/>
          <w:sz w:val="22"/>
          <w:szCs w:val="22"/>
        </w:rPr>
        <w:t>salmeterol</w:t>
      </w:r>
      <w:proofErr w:type="spellEnd"/>
      <w:r w:rsidR="00003DCA" w:rsidRPr="00AC0F15">
        <w:rPr>
          <w:rFonts w:ascii="Arial" w:hAnsi="Arial"/>
          <w:sz w:val="22"/>
          <w:szCs w:val="22"/>
        </w:rPr>
        <w:t>.</w:t>
      </w:r>
    </w:p>
    <w:p w:rsidR="00BB7EC3" w:rsidRPr="00003DCA" w:rsidRDefault="00BB7EC3" w:rsidP="00BB7EC3">
      <w:pPr>
        <w:jc w:val="bot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 PBAC considered that the claim non-inferior comparative effectiveness was reasonable.</w:t>
      </w:r>
    </w:p>
    <w:p w:rsidR="00BB7EC3" w:rsidRPr="00003DCA" w:rsidRDefault="00BB7EC3" w:rsidP="00BB7EC3">
      <w:pPr>
        <w:pStyle w:val="ListParagrap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 PBAC considered that the claim of non-inferior comparative safety was reasonable.</w:t>
      </w:r>
    </w:p>
    <w:p w:rsidR="00A831A3" w:rsidRPr="00A831A3" w:rsidRDefault="00A831A3" w:rsidP="00A831A3">
      <w:pPr>
        <w:pStyle w:val="ListParagraph"/>
        <w:rPr>
          <w:rFonts w:ascii="Arial" w:hAnsi="Arial"/>
          <w:sz w:val="22"/>
          <w:szCs w:val="22"/>
        </w:rPr>
      </w:pPr>
    </w:p>
    <w:p w:rsidR="00A831A3" w:rsidRPr="00AC0F15" w:rsidRDefault="00A831A3"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recalled that in March 2014, </w:t>
      </w:r>
      <w:proofErr w:type="spellStart"/>
      <w:r w:rsidRPr="00AC0F15">
        <w:rPr>
          <w:rFonts w:ascii="Arial" w:hAnsi="Arial"/>
          <w:sz w:val="22"/>
          <w:szCs w:val="22"/>
        </w:rPr>
        <w:t>aclidinium</w:t>
      </w:r>
      <w:proofErr w:type="spellEnd"/>
      <w:r w:rsidRPr="00AC0F15">
        <w:rPr>
          <w:rFonts w:ascii="Arial" w:hAnsi="Arial"/>
          <w:sz w:val="22"/>
          <w:szCs w:val="22"/>
        </w:rPr>
        <w:t xml:space="preserve"> (a LAMA), was recommended for listing on the PBS at the lower price requested by the sponsor. The PBAC noted that the Department’s advice at the meeting that the Minister (through his Delegate) intends to declare </w:t>
      </w:r>
      <w:proofErr w:type="spellStart"/>
      <w:r w:rsidRPr="00AC0F15">
        <w:rPr>
          <w:rFonts w:ascii="Arial" w:hAnsi="Arial"/>
          <w:sz w:val="22"/>
          <w:szCs w:val="22"/>
        </w:rPr>
        <w:t>aclidinium</w:t>
      </w:r>
      <w:proofErr w:type="spellEnd"/>
      <w:r w:rsidRPr="00AC0F15">
        <w:rPr>
          <w:rFonts w:ascii="Arial" w:hAnsi="Arial"/>
          <w:sz w:val="22"/>
          <w:szCs w:val="22"/>
        </w:rPr>
        <w:t xml:space="preserve"> as a pharmaceutical benefit under section 85(2) of the </w:t>
      </w:r>
      <w:r w:rsidRPr="00AC0F15">
        <w:rPr>
          <w:rFonts w:ascii="Arial" w:hAnsi="Arial"/>
          <w:i/>
          <w:sz w:val="22"/>
          <w:szCs w:val="22"/>
        </w:rPr>
        <w:t>National Health Act 1953</w:t>
      </w:r>
      <w:r w:rsidRPr="00AC0F15">
        <w:rPr>
          <w:rFonts w:ascii="Arial" w:hAnsi="Arial"/>
          <w:sz w:val="22"/>
          <w:szCs w:val="22"/>
        </w:rPr>
        <w:t xml:space="preserve"> and that the PBS listing will proceed with the lower price.  As the main comparator in this submission,</w:t>
      </w:r>
      <w:r w:rsidRPr="00A831A3">
        <w:t xml:space="preserve"> </w:t>
      </w:r>
      <w:r w:rsidRPr="00AC0F15">
        <w:rPr>
          <w:rFonts w:ascii="Arial" w:hAnsi="Arial"/>
          <w:sz w:val="22"/>
          <w:szCs w:val="22"/>
        </w:rPr>
        <w:t xml:space="preserve">FP/SAL 500/50 is cost-minimised to </w:t>
      </w:r>
      <w:proofErr w:type="spellStart"/>
      <w:r w:rsidRPr="00AC0F15">
        <w:rPr>
          <w:rFonts w:ascii="Arial" w:hAnsi="Arial"/>
          <w:sz w:val="22"/>
          <w:szCs w:val="22"/>
        </w:rPr>
        <w:t>aclidinium</w:t>
      </w:r>
      <w:proofErr w:type="spellEnd"/>
      <w:r w:rsidRPr="00AC0F15">
        <w:rPr>
          <w:rFonts w:ascii="Arial" w:hAnsi="Arial"/>
          <w:sz w:val="22"/>
          <w:szCs w:val="22"/>
        </w:rPr>
        <w:t xml:space="preserve"> (via </w:t>
      </w:r>
      <w:proofErr w:type="spellStart"/>
      <w:r w:rsidRPr="00AC0F15">
        <w:rPr>
          <w:rFonts w:ascii="Arial" w:hAnsi="Arial"/>
          <w:sz w:val="22"/>
          <w:szCs w:val="22"/>
        </w:rPr>
        <w:t>tiotropium</w:t>
      </w:r>
      <w:proofErr w:type="spellEnd"/>
      <w:r w:rsidRPr="00AC0F15">
        <w:rPr>
          <w:rFonts w:ascii="Arial" w:hAnsi="Arial"/>
          <w:sz w:val="22"/>
          <w:szCs w:val="22"/>
        </w:rPr>
        <w:t>)</w:t>
      </w:r>
      <w:proofErr w:type="gramStart"/>
      <w:r w:rsidRPr="00AC0F15">
        <w:rPr>
          <w:rFonts w:ascii="Arial" w:hAnsi="Arial"/>
          <w:sz w:val="22"/>
          <w:szCs w:val="22"/>
        </w:rPr>
        <w:t>,</w:t>
      </w:r>
      <w:proofErr w:type="gramEnd"/>
      <w:r w:rsidRPr="00AC0F15">
        <w:rPr>
          <w:rFonts w:ascii="Arial" w:hAnsi="Arial"/>
          <w:sz w:val="22"/>
          <w:szCs w:val="22"/>
        </w:rPr>
        <w:t xml:space="preserve"> the PBAC considered it is appropriate for the new lower </w:t>
      </w:r>
      <w:proofErr w:type="spellStart"/>
      <w:r w:rsidRPr="00AC0F15">
        <w:rPr>
          <w:rFonts w:ascii="Arial" w:hAnsi="Arial"/>
          <w:sz w:val="22"/>
          <w:szCs w:val="22"/>
        </w:rPr>
        <w:t>aclidinium</w:t>
      </w:r>
      <w:proofErr w:type="spellEnd"/>
      <w:r w:rsidRPr="00AC0F15">
        <w:rPr>
          <w:rFonts w:ascii="Arial" w:hAnsi="Arial"/>
          <w:sz w:val="22"/>
          <w:szCs w:val="22"/>
        </w:rPr>
        <w:t xml:space="preserve"> price to be used in calculating the price for </w:t>
      </w:r>
      <w:r w:rsidR="00170268" w:rsidRPr="00AC0F15">
        <w:rPr>
          <w:rFonts w:ascii="Arial" w:hAnsi="Arial"/>
          <w:sz w:val="22"/>
          <w:szCs w:val="22"/>
        </w:rPr>
        <w:t>FF/VI</w:t>
      </w:r>
      <w:r w:rsidRPr="00AC0F15">
        <w:rPr>
          <w:rFonts w:ascii="Arial" w:hAnsi="Arial"/>
          <w:sz w:val="22"/>
          <w:szCs w:val="22"/>
        </w:rPr>
        <w:t>.</w:t>
      </w:r>
    </w:p>
    <w:p w:rsidR="00F57A6D" w:rsidRDefault="00F57A6D" w:rsidP="000E045A">
      <w:pPr>
        <w:jc w:val="both"/>
        <w:rPr>
          <w:rFonts w:ascii="Arial" w:hAnsi="Arial"/>
          <w:sz w:val="22"/>
          <w:szCs w:val="22"/>
        </w:rPr>
      </w:pPr>
    </w:p>
    <w:p w:rsidR="00286B22" w:rsidRPr="00BB7EC3" w:rsidRDefault="00286B22" w:rsidP="00286B22">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86B22" w:rsidRPr="00882085" w:rsidRDefault="00286B22" w:rsidP="000E045A">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lastRenderedPageBreak/>
        <w:t>Economic analysis</w:t>
      </w:r>
    </w:p>
    <w:p w:rsidR="005A3173" w:rsidRPr="00882085" w:rsidRDefault="005A3173" w:rsidP="00882085">
      <w:pPr>
        <w:ind w:left="720" w:hanging="720"/>
        <w:jc w:val="both"/>
        <w:rPr>
          <w:rFonts w:ascii="Arial" w:hAnsi="Arial"/>
          <w:sz w:val="22"/>
          <w:szCs w:val="22"/>
        </w:rPr>
      </w:pPr>
    </w:p>
    <w:p w:rsidR="00196307" w:rsidRPr="00AC0F15" w:rsidRDefault="00DA7E25" w:rsidP="00AC0F15">
      <w:pPr>
        <w:pStyle w:val="ListParagraph"/>
        <w:numPr>
          <w:ilvl w:val="1"/>
          <w:numId w:val="25"/>
        </w:numPr>
        <w:jc w:val="both"/>
        <w:rPr>
          <w:rFonts w:ascii="Arial" w:hAnsi="Arial"/>
          <w:sz w:val="22"/>
          <w:szCs w:val="22"/>
        </w:rPr>
      </w:pPr>
      <w:r w:rsidRPr="00AC0F15">
        <w:rPr>
          <w:rFonts w:ascii="Arial" w:hAnsi="Arial"/>
          <w:sz w:val="22"/>
          <w:szCs w:val="22"/>
        </w:rPr>
        <w:t>The minor submission did not present a new economic analysis.</w:t>
      </w:r>
    </w:p>
    <w:p w:rsidR="00A831A3" w:rsidRDefault="00A831A3" w:rsidP="00A831A3">
      <w:pPr>
        <w:pStyle w:val="ListParagraph"/>
        <w:ind w:left="36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5055DB" w:rsidRPr="00AC0F15" w:rsidRDefault="005055DB" w:rsidP="00AC0F15">
      <w:pPr>
        <w:pStyle w:val="ListParagraph"/>
        <w:numPr>
          <w:ilvl w:val="1"/>
          <w:numId w:val="25"/>
        </w:numPr>
        <w:jc w:val="both"/>
        <w:rPr>
          <w:rStyle w:val="Normalfont"/>
          <w:rFonts w:ascii="Arial" w:hAnsi="Arial"/>
          <w:sz w:val="22"/>
          <w:szCs w:val="22"/>
        </w:rPr>
      </w:pPr>
      <w:r w:rsidRPr="00AC0F15">
        <w:rPr>
          <w:rStyle w:val="Normalfont"/>
          <w:rFonts w:ascii="Arial" w:hAnsi="Arial" w:cs="Arial"/>
          <w:sz w:val="22"/>
          <w:szCs w:val="22"/>
        </w:rPr>
        <w:t xml:space="preserve">The PBAC noted that </w:t>
      </w:r>
      <w:r w:rsidR="006239C0" w:rsidRPr="00AC0F15">
        <w:rPr>
          <w:rStyle w:val="Normalfont"/>
          <w:rFonts w:ascii="Arial" w:hAnsi="Arial" w:cs="Arial"/>
          <w:sz w:val="22"/>
          <w:szCs w:val="22"/>
        </w:rPr>
        <w:t>as FF/VI was dosing once daily compared with twice daily for FP/</w:t>
      </w:r>
      <w:proofErr w:type="gramStart"/>
      <w:r w:rsidR="006239C0" w:rsidRPr="00AC0F15">
        <w:rPr>
          <w:rStyle w:val="Normalfont"/>
          <w:rFonts w:ascii="Arial" w:hAnsi="Arial" w:cs="Arial"/>
          <w:sz w:val="22"/>
          <w:szCs w:val="22"/>
        </w:rPr>
        <w:t>SAL,</w:t>
      </w:r>
      <w:proofErr w:type="gramEnd"/>
      <w:r w:rsidR="006239C0" w:rsidRPr="00AC0F15">
        <w:rPr>
          <w:rStyle w:val="Normalfont"/>
          <w:rFonts w:ascii="Arial" w:hAnsi="Arial" w:cs="Arial"/>
          <w:sz w:val="22"/>
          <w:szCs w:val="22"/>
        </w:rPr>
        <w:t xml:space="preserve"> patient preference for a once daily dose may drive utilisation.  The PBAC considered however that once daily compared with twice daily dosing was unlikely to yield an adherence benefit.</w:t>
      </w:r>
      <w:r w:rsidRPr="00AC0F15">
        <w:rPr>
          <w:rStyle w:val="Normalfont"/>
          <w:rFonts w:ascii="Arial" w:hAnsi="Arial" w:cs="Arial"/>
          <w:sz w:val="22"/>
          <w:szCs w:val="22"/>
        </w:rPr>
        <w:t xml:space="preserve"> </w:t>
      </w:r>
    </w:p>
    <w:p w:rsidR="00A831A3" w:rsidRPr="00A831A3" w:rsidRDefault="00A831A3" w:rsidP="00A831A3">
      <w:pPr>
        <w:pStyle w:val="ListParagraph"/>
        <w:ind w:left="709"/>
        <w:jc w:val="both"/>
        <w:rPr>
          <w:rStyle w:val="Normalfont"/>
          <w:rFonts w:ascii="Arial" w:hAnsi="Arial"/>
          <w:sz w:val="22"/>
          <w:szCs w:val="22"/>
        </w:rPr>
      </w:pPr>
    </w:p>
    <w:p w:rsidR="00A831A3" w:rsidRPr="00AC0F15" w:rsidRDefault="00A831A3" w:rsidP="00AC0F15">
      <w:pPr>
        <w:pStyle w:val="ListParagraph"/>
        <w:numPr>
          <w:ilvl w:val="1"/>
          <w:numId w:val="25"/>
        </w:numPr>
        <w:jc w:val="both"/>
        <w:rPr>
          <w:rStyle w:val="Normalfont"/>
          <w:rFonts w:ascii="Arial" w:hAnsi="Arial"/>
          <w:sz w:val="22"/>
          <w:szCs w:val="22"/>
        </w:rPr>
      </w:pPr>
      <w:r w:rsidRPr="00AC0F15">
        <w:rPr>
          <w:rStyle w:val="Normalfont"/>
          <w:rFonts w:ascii="Arial" w:hAnsi="Arial"/>
          <w:sz w:val="22"/>
          <w:szCs w:val="22"/>
        </w:rPr>
        <w:t>The PBAC noted that at the price recommended, the listing would be expected to result in a saving to Government.</w:t>
      </w:r>
    </w:p>
    <w:p w:rsidR="00BB7EC3" w:rsidRPr="00AF5432" w:rsidRDefault="00BB7EC3" w:rsidP="00AF5432">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B2964" w:rsidRDefault="002B2964" w:rsidP="00882085">
      <w:pPr>
        <w:jc w:val="both"/>
        <w:rPr>
          <w:rFonts w:ascii="Arial" w:hAnsi="Arial"/>
          <w:b/>
          <w:sz w:val="22"/>
          <w:szCs w:val="22"/>
        </w:rPr>
      </w:pPr>
    </w:p>
    <w:p w:rsidR="00AC0F15" w:rsidRPr="00882085" w:rsidRDefault="00AC0F15" w:rsidP="00882085">
      <w:pPr>
        <w:jc w:val="both"/>
        <w:rPr>
          <w:rFonts w:ascii="Arial" w:hAnsi="Arial"/>
          <w:b/>
          <w:sz w:val="22"/>
          <w:szCs w:val="22"/>
        </w:rPr>
      </w:pPr>
    </w:p>
    <w:p w:rsidR="00AC0F15" w:rsidRPr="00407F2D" w:rsidRDefault="00AC0F15" w:rsidP="00AC0F15">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BB7EC3" w:rsidRPr="009A216A" w:rsidRDefault="00BB7EC3" w:rsidP="002837E5">
      <w:pPr>
        <w:jc w:val="both"/>
        <w:rPr>
          <w:rFonts w:ascii="Arial" w:hAnsi="Arial"/>
          <w:sz w:val="22"/>
          <w:szCs w:val="22"/>
        </w:rPr>
      </w:pPr>
    </w:p>
    <w:p w:rsidR="006A489A"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 PBAC recommended the listing of</w:t>
      </w:r>
      <w:r w:rsidR="009A216A" w:rsidRPr="00AC0F15">
        <w:rPr>
          <w:rFonts w:ascii="Arial" w:hAnsi="Arial"/>
          <w:sz w:val="22"/>
          <w:szCs w:val="22"/>
        </w:rPr>
        <w:t xml:space="preserve"> fluticasone</w:t>
      </w:r>
      <w:r w:rsidR="000300CD" w:rsidRPr="00AC0F15">
        <w:rPr>
          <w:rFonts w:ascii="Arial" w:hAnsi="Arial"/>
          <w:sz w:val="22"/>
          <w:szCs w:val="22"/>
        </w:rPr>
        <w:t xml:space="preserve"> </w:t>
      </w:r>
      <w:r w:rsidR="009A216A" w:rsidRPr="00AC0F15">
        <w:rPr>
          <w:rFonts w:ascii="Arial" w:hAnsi="Arial"/>
          <w:sz w:val="22"/>
          <w:szCs w:val="22"/>
        </w:rPr>
        <w:t xml:space="preserve">with </w:t>
      </w:r>
      <w:proofErr w:type="spellStart"/>
      <w:r w:rsidR="009A216A" w:rsidRPr="00AC0F15">
        <w:rPr>
          <w:rFonts w:ascii="Arial" w:hAnsi="Arial"/>
          <w:sz w:val="22"/>
          <w:szCs w:val="22"/>
        </w:rPr>
        <w:t>vilanterol</w:t>
      </w:r>
      <w:proofErr w:type="spellEnd"/>
      <w:r w:rsidR="00711731" w:rsidRPr="00AC0F15">
        <w:rPr>
          <w:rFonts w:ascii="Arial" w:hAnsi="Arial"/>
          <w:sz w:val="22"/>
          <w:szCs w:val="22"/>
        </w:rPr>
        <w:t xml:space="preserve">, in the form fluticasone </w:t>
      </w:r>
      <w:proofErr w:type="spellStart"/>
      <w:r w:rsidR="00711731" w:rsidRPr="00AC0F15">
        <w:rPr>
          <w:rFonts w:ascii="Arial" w:hAnsi="Arial"/>
          <w:sz w:val="22"/>
          <w:szCs w:val="22"/>
        </w:rPr>
        <w:t>furoate</w:t>
      </w:r>
      <w:proofErr w:type="spellEnd"/>
      <w:r w:rsidR="00711731" w:rsidRPr="00AC0F15">
        <w:rPr>
          <w:rFonts w:ascii="Arial" w:hAnsi="Arial"/>
          <w:sz w:val="22"/>
          <w:szCs w:val="22"/>
        </w:rPr>
        <w:t xml:space="preserve"> with </w:t>
      </w:r>
      <w:proofErr w:type="spellStart"/>
      <w:r w:rsidR="00711731" w:rsidRPr="00AC0F15">
        <w:rPr>
          <w:rFonts w:ascii="Arial" w:hAnsi="Arial"/>
          <w:sz w:val="22"/>
          <w:szCs w:val="22"/>
        </w:rPr>
        <w:t>vilanterol</w:t>
      </w:r>
      <w:proofErr w:type="spellEnd"/>
      <w:r w:rsidR="00711731" w:rsidRPr="00AC0F15">
        <w:rPr>
          <w:rFonts w:ascii="Arial" w:hAnsi="Arial"/>
          <w:sz w:val="22"/>
          <w:szCs w:val="22"/>
        </w:rPr>
        <w:t xml:space="preserve"> (as </w:t>
      </w:r>
      <w:proofErr w:type="spellStart"/>
      <w:r w:rsidR="00711731" w:rsidRPr="00AC0F15">
        <w:rPr>
          <w:rFonts w:ascii="Arial" w:hAnsi="Arial"/>
          <w:sz w:val="22"/>
          <w:szCs w:val="22"/>
        </w:rPr>
        <w:t>trifenatate</w:t>
      </w:r>
      <w:proofErr w:type="spellEnd"/>
      <w:r w:rsidR="00711731" w:rsidRPr="00AC0F15">
        <w:rPr>
          <w:rFonts w:ascii="Arial" w:hAnsi="Arial"/>
          <w:sz w:val="22"/>
          <w:szCs w:val="22"/>
        </w:rPr>
        <w:t>),</w:t>
      </w:r>
      <w:r w:rsidR="009A216A" w:rsidRPr="00AC0F15">
        <w:rPr>
          <w:rFonts w:ascii="Arial" w:hAnsi="Arial"/>
          <w:sz w:val="22"/>
          <w:szCs w:val="22"/>
        </w:rPr>
        <w:t xml:space="preserve"> </w:t>
      </w:r>
      <w:r w:rsidR="000300CD" w:rsidRPr="00AC0F15">
        <w:rPr>
          <w:rFonts w:ascii="Arial" w:hAnsi="Arial"/>
          <w:sz w:val="22"/>
          <w:szCs w:val="22"/>
        </w:rPr>
        <w:t xml:space="preserve">100/25 </w:t>
      </w:r>
      <w:r w:rsidR="009A216A" w:rsidRPr="00AC0F15">
        <w:rPr>
          <w:rFonts w:ascii="Arial" w:hAnsi="Arial"/>
          <w:sz w:val="22"/>
          <w:szCs w:val="22"/>
        </w:rPr>
        <w:t xml:space="preserve">as a restricted benefit for the treatment of COPD with a maximum quantity of one pack with five repeats.  </w:t>
      </w:r>
    </w:p>
    <w:p w:rsidR="006A489A" w:rsidRDefault="006A489A" w:rsidP="006F1BE9">
      <w:pPr>
        <w:pStyle w:val="ListParagraph"/>
        <w:ind w:left="709"/>
        <w:jc w:val="both"/>
        <w:rPr>
          <w:rFonts w:ascii="Arial" w:hAnsi="Arial"/>
          <w:sz w:val="22"/>
          <w:szCs w:val="22"/>
        </w:rPr>
      </w:pPr>
    </w:p>
    <w:p w:rsidR="009A216A" w:rsidRPr="00AC0F15" w:rsidRDefault="009A216A"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agreed that the main comparator is </w:t>
      </w:r>
      <w:r w:rsidR="006F4808" w:rsidRPr="00AC0F15">
        <w:rPr>
          <w:rFonts w:ascii="Arial" w:hAnsi="Arial"/>
          <w:sz w:val="22"/>
          <w:szCs w:val="22"/>
        </w:rPr>
        <w:t xml:space="preserve">the existing ICS/LABA, </w:t>
      </w:r>
      <w:r w:rsidR="001B0505" w:rsidRPr="00AC0F15">
        <w:rPr>
          <w:rFonts w:ascii="Arial" w:hAnsi="Arial"/>
          <w:sz w:val="22"/>
          <w:szCs w:val="22"/>
        </w:rPr>
        <w:t>FP/SAL</w:t>
      </w:r>
      <w:r w:rsidRPr="00AC0F15">
        <w:rPr>
          <w:rFonts w:ascii="Arial" w:hAnsi="Arial"/>
          <w:sz w:val="22"/>
          <w:szCs w:val="22"/>
        </w:rPr>
        <w:t xml:space="preserve"> 500/50</w:t>
      </w:r>
      <w:r w:rsidR="006F4808" w:rsidRPr="00AC0F15">
        <w:rPr>
          <w:rFonts w:ascii="Arial" w:hAnsi="Arial"/>
          <w:sz w:val="22"/>
          <w:szCs w:val="22"/>
        </w:rPr>
        <w:t xml:space="preserve"> when used for the treatment of COPD.</w:t>
      </w:r>
    </w:p>
    <w:p w:rsidR="002B2964" w:rsidRPr="002B2964" w:rsidRDefault="002B2964" w:rsidP="002B2964">
      <w:pPr>
        <w:pStyle w:val="ListParagraph"/>
        <w:rPr>
          <w:rFonts w:ascii="Arial" w:hAnsi="Arial"/>
          <w:sz w:val="22"/>
          <w:szCs w:val="22"/>
        </w:rPr>
      </w:pPr>
    </w:p>
    <w:p w:rsidR="002B2964" w:rsidRPr="00AC0F15" w:rsidRDefault="002B2964"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considered that the cost-effectiveness of fluticasone with </w:t>
      </w:r>
      <w:proofErr w:type="spellStart"/>
      <w:r w:rsidRPr="00AC0F15">
        <w:rPr>
          <w:rFonts w:ascii="Arial" w:hAnsi="Arial"/>
          <w:sz w:val="22"/>
          <w:szCs w:val="22"/>
        </w:rPr>
        <w:t>vilanterol</w:t>
      </w:r>
      <w:proofErr w:type="spellEnd"/>
      <w:r w:rsidRPr="00AC0F15">
        <w:rPr>
          <w:rFonts w:ascii="Arial" w:hAnsi="Arial"/>
          <w:sz w:val="22"/>
          <w:szCs w:val="22"/>
        </w:rPr>
        <w:t xml:space="preserve"> would be acceptable if it were cost-minimised against </w:t>
      </w:r>
      <w:proofErr w:type="spellStart"/>
      <w:r w:rsidRPr="00AC0F15">
        <w:rPr>
          <w:rFonts w:ascii="Arial" w:hAnsi="Arial"/>
          <w:sz w:val="22"/>
          <w:szCs w:val="22"/>
        </w:rPr>
        <w:t>aclidinium</w:t>
      </w:r>
      <w:proofErr w:type="spellEnd"/>
      <w:r w:rsidRPr="00AC0F15">
        <w:rPr>
          <w:rFonts w:ascii="Arial" w:hAnsi="Arial"/>
          <w:sz w:val="22"/>
          <w:szCs w:val="22"/>
        </w:rPr>
        <w:t xml:space="preserve">, which was recommended for listing by PBAC in March 2014 for the same indication but at the lower price requested by the sponsor and which is, in turn, cost-minimised to the comparator via </w:t>
      </w:r>
      <w:proofErr w:type="spellStart"/>
      <w:r w:rsidRPr="00AC0F15">
        <w:rPr>
          <w:rFonts w:ascii="Arial" w:hAnsi="Arial"/>
          <w:sz w:val="22"/>
          <w:szCs w:val="22"/>
        </w:rPr>
        <w:t>tiotropium</w:t>
      </w:r>
      <w:proofErr w:type="spellEnd"/>
      <w:r w:rsidRPr="00AC0F15">
        <w:rPr>
          <w:rFonts w:ascii="Arial" w:hAnsi="Arial"/>
          <w:sz w:val="22"/>
          <w:szCs w:val="22"/>
        </w:rPr>
        <w:t xml:space="preserve">. The PBAC noted that the Department’s advice at the meeting that the Minister (through his Delegate) intends to declare </w:t>
      </w:r>
      <w:proofErr w:type="spellStart"/>
      <w:r w:rsidRPr="00AC0F15">
        <w:rPr>
          <w:rFonts w:ascii="Arial" w:hAnsi="Arial"/>
          <w:sz w:val="22"/>
          <w:szCs w:val="22"/>
        </w:rPr>
        <w:t>aclidinium</w:t>
      </w:r>
      <w:proofErr w:type="spellEnd"/>
      <w:r w:rsidRPr="00AC0F15">
        <w:rPr>
          <w:rFonts w:ascii="Arial" w:hAnsi="Arial"/>
          <w:sz w:val="22"/>
          <w:szCs w:val="22"/>
        </w:rPr>
        <w:t xml:space="preserve"> as a pharmaceutical benefit under section 85(2) of the </w:t>
      </w:r>
      <w:r w:rsidRPr="00AC0F15">
        <w:rPr>
          <w:rFonts w:ascii="Arial" w:hAnsi="Arial"/>
          <w:i/>
          <w:sz w:val="22"/>
          <w:szCs w:val="22"/>
        </w:rPr>
        <w:t>National Health Act 1953</w:t>
      </w:r>
      <w:r w:rsidRPr="00AC0F15">
        <w:rPr>
          <w:rFonts w:ascii="Arial" w:hAnsi="Arial"/>
          <w:sz w:val="22"/>
          <w:szCs w:val="22"/>
        </w:rPr>
        <w:t xml:space="preserve"> and that the PBS listing will proceed with the lower price.</w:t>
      </w:r>
    </w:p>
    <w:p w:rsidR="00BB7EC3" w:rsidRPr="000300CD" w:rsidRDefault="00BB7EC3" w:rsidP="000300CD">
      <w:pPr>
        <w:jc w:val="both"/>
        <w:rPr>
          <w:rFonts w:ascii="Arial" w:hAnsi="Arial"/>
          <w:sz w:val="22"/>
          <w:szCs w:val="22"/>
        </w:rPr>
      </w:pPr>
    </w:p>
    <w:p w:rsidR="00BB7EC3" w:rsidRPr="00AC0F15" w:rsidRDefault="009A216A"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w:t>
      </w:r>
      <w:proofErr w:type="spellStart"/>
      <w:r w:rsidRPr="00AC0F15">
        <w:rPr>
          <w:rFonts w:ascii="Arial" w:hAnsi="Arial"/>
          <w:sz w:val="22"/>
          <w:szCs w:val="22"/>
        </w:rPr>
        <w:t>equi</w:t>
      </w:r>
      <w:proofErr w:type="spellEnd"/>
      <w:r w:rsidRPr="00AC0F15">
        <w:rPr>
          <w:rFonts w:ascii="Arial" w:hAnsi="Arial"/>
          <w:sz w:val="22"/>
          <w:szCs w:val="22"/>
        </w:rPr>
        <w:t xml:space="preserve">-effective doses are </w:t>
      </w:r>
      <w:r w:rsidR="00286B22" w:rsidRPr="00AC0F15">
        <w:rPr>
          <w:rFonts w:ascii="Arial" w:hAnsi="Arial"/>
          <w:sz w:val="22"/>
          <w:szCs w:val="22"/>
        </w:rPr>
        <w:t>FF/VI 100/25</w:t>
      </w:r>
      <w:r w:rsidR="006F4808" w:rsidRPr="00AC0F15">
        <w:rPr>
          <w:rFonts w:ascii="Arial" w:hAnsi="Arial"/>
          <w:sz w:val="22"/>
          <w:szCs w:val="22"/>
        </w:rPr>
        <w:t xml:space="preserve"> once daily</w:t>
      </w:r>
      <w:r w:rsidR="00286B22" w:rsidRPr="00AC0F15">
        <w:rPr>
          <w:rFonts w:ascii="Arial" w:hAnsi="Arial"/>
          <w:sz w:val="22"/>
          <w:szCs w:val="22"/>
        </w:rPr>
        <w:t xml:space="preserve"> and FP/SAL 500/50</w:t>
      </w:r>
      <w:r w:rsidR="006F4808" w:rsidRPr="00AC0F15">
        <w:rPr>
          <w:rFonts w:ascii="Arial" w:hAnsi="Arial"/>
          <w:sz w:val="22"/>
          <w:szCs w:val="22"/>
        </w:rPr>
        <w:t xml:space="preserve"> twice daily.</w:t>
      </w:r>
      <w:r w:rsidR="00286B22" w:rsidRPr="00AC0F15">
        <w:rPr>
          <w:rFonts w:ascii="Arial" w:hAnsi="Arial"/>
          <w:sz w:val="22"/>
          <w:szCs w:val="22"/>
        </w:rPr>
        <w:t xml:space="preserve"> </w:t>
      </w:r>
    </w:p>
    <w:p w:rsidR="00BB7EC3" w:rsidRPr="00BB7EC3" w:rsidRDefault="00BB7EC3" w:rsidP="009A216A">
      <w:pPr>
        <w:pStyle w:val="ListParagraph"/>
        <w:ind w:left="709"/>
        <w:jc w:val="both"/>
        <w:rPr>
          <w:rFonts w:ascii="Arial" w:hAnsi="Arial"/>
          <w:sz w:val="22"/>
          <w:szCs w:val="22"/>
        </w:rPr>
      </w:pPr>
      <w:r>
        <w:rPr>
          <w:rFonts w:ascii="Arial" w:hAnsi="Arial"/>
          <w:sz w:val="22"/>
          <w:szCs w:val="22"/>
        </w:rPr>
        <w:t xml:space="preserve"> </w:t>
      </w:r>
    </w:p>
    <w:p w:rsidR="00AF5432" w:rsidRPr="00AC0F15" w:rsidRDefault="000300CD"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considered that the data presented adequately supported the submission’s claim that </w:t>
      </w:r>
      <w:r w:rsidR="001B0505" w:rsidRPr="00AC0F15">
        <w:rPr>
          <w:rFonts w:ascii="Arial" w:hAnsi="Arial"/>
          <w:sz w:val="22"/>
          <w:szCs w:val="22"/>
        </w:rPr>
        <w:t>FF/VI</w:t>
      </w:r>
      <w:r w:rsidRPr="00AC0F15">
        <w:rPr>
          <w:rFonts w:ascii="Arial" w:hAnsi="Arial"/>
          <w:sz w:val="22"/>
          <w:szCs w:val="22"/>
        </w:rPr>
        <w:t xml:space="preserve"> is non-inferior in terms of comparative effectiveness and comparative safety when compared to fluticasone/</w:t>
      </w:r>
      <w:proofErr w:type="spellStart"/>
      <w:r w:rsidRPr="00AC0F15">
        <w:rPr>
          <w:rFonts w:ascii="Arial" w:hAnsi="Arial"/>
          <w:sz w:val="22"/>
          <w:szCs w:val="22"/>
        </w:rPr>
        <w:t>salmeterol</w:t>
      </w:r>
      <w:proofErr w:type="spellEnd"/>
      <w:r w:rsidRPr="00AC0F15">
        <w:rPr>
          <w:rFonts w:ascii="Arial" w:hAnsi="Arial"/>
          <w:sz w:val="22"/>
          <w:szCs w:val="22"/>
        </w:rPr>
        <w:t>.</w:t>
      </w:r>
    </w:p>
    <w:p w:rsidR="004D0B53" w:rsidRPr="004D0B53" w:rsidRDefault="004D0B53" w:rsidP="004D0B53">
      <w:pPr>
        <w:pStyle w:val="ListParagraph"/>
        <w:rPr>
          <w:rFonts w:ascii="Arial" w:hAnsi="Arial"/>
          <w:sz w:val="22"/>
          <w:szCs w:val="22"/>
        </w:rPr>
      </w:pPr>
    </w:p>
    <w:p w:rsidR="004D0B53" w:rsidRPr="00AC0F15" w:rsidRDefault="004D0B53" w:rsidP="00AC0F15">
      <w:pPr>
        <w:pStyle w:val="ListParagraph"/>
        <w:numPr>
          <w:ilvl w:val="1"/>
          <w:numId w:val="25"/>
        </w:numPr>
        <w:jc w:val="both"/>
        <w:rPr>
          <w:rFonts w:ascii="Arial" w:hAnsi="Arial"/>
          <w:sz w:val="22"/>
          <w:szCs w:val="22"/>
        </w:rPr>
      </w:pPr>
      <w:r w:rsidRPr="00AC0F15">
        <w:rPr>
          <w:rFonts w:ascii="Arial" w:hAnsi="Arial"/>
          <w:sz w:val="22"/>
          <w:szCs w:val="22"/>
        </w:rPr>
        <w:t>The PBAC noted that at the time of its previous decision, FF/VI 100/</w:t>
      </w:r>
      <w:proofErr w:type="gramStart"/>
      <w:r w:rsidRPr="00AC0F15">
        <w:rPr>
          <w:rFonts w:ascii="Arial" w:hAnsi="Arial"/>
          <w:sz w:val="22"/>
          <w:szCs w:val="22"/>
        </w:rPr>
        <w:t>25,</w:t>
      </w:r>
      <w:proofErr w:type="gramEnd"/>
      <w:r w:rsidRPr="00AC0F15">
        <w:rPr>
          <w:rFonts w:ascii="Arial" w:hAnsi="Arial"/>
          <w:sz w:val="22"/>
          <w:szCs w:val="22"/>
        </w:rPr>
        <w:t xml:space="preserve"> was not yet TGA registered for the treatment of COPD.</w:t>
      </w:r>
      <w:r w:rsidR="004C6A20" w:rsidRPr="00AC0F15">
        <w:rPr>
          <w:rFonts w:ascii="Arial" w:hAnsi="Arial"/>
          <w:sz w:val="22"/>
          <w:szCs w:val="22"/>
        </w:rPr>
        <w:t xml:space="preserve">  The PBAC note the FF/VI 100/25 is now TGA registered for ‘</w:t>
      </w:r>
      <w:r w:rsidR="004C6A20" w:rsidRPr="00AC0F15">
        <w:rPr>
          <w:rFonts w:ascii="Arial" w:hAnsi="Arial"/>
          <w:i/>
          <w:sz w:val="22"/>
          <w:szCs w:val="22"/>
        </w:rPr>
        <w:t>symptomatic treatment of patients with COPD with a FEV</w:t>
      </w:r>
      <w:r w:rsidR="004C6A20" w:rsidRPr="00AC0F15">
        <w:rPr>
          <w:rFonts w:ascii="Arial" w:hAnsi="Arial"/>
          <w:i/>
          <w:sz w:val="22"/>
          <w:szCs w:val="22"/>
          <w:vertAlign w:val="subscript"/>
        </w:rPr>
        <w:t>1</w:t>
      </w:r>
      <w:r w:rsidR="004C6A20" w:rsidRPr="00AC0F15">
        <w:rPr>
          <w:rFonts w:ascii="Arial" w:hAnsi="Arial"/>
          <w:i/>
          <w:sz w:val="22"/>
          <w:szCs w:val="22"/>
        </w:rPr>
        <w:t xml:space="preserve"> &lt;70% predicted normal (post-bronchodilator) in patients with an exacerbation history despite regular bronchodilator therapy. Fluticasone/</w:t>
      </w:r>
      <w:proofErr w:type="spellStart"/>
      <w:r w:rsidR="004C6A20" w:rsidRPr="00AC0F15">
        <w:rPr>
          <w:rFonts w:ascii="Arial" w:hAnsi="Arial"/>
          <w:i/>
          <w:sz w:val="22"/>
          <w:szCs w:val="22"/>
        </w:rPr>
        <w:t>vilanterol</w:t>
      </w:r>
      <w:proofErr w:type="spellEnd"/>
      <w:r w:rsidR="004C6A20" w:rsidRPr="00AC0F15">
        <w:rPr>
          <w:rFonts w:ascii="Arial" w:hAnsi="Arial"/>
          <w:i/>
          <w:sz w:val="22"/>
          <w:szCs w:val="22"/>
        </w:rPr>
        <w:t xml:space="preserve"> is not indicated for the initiation of bronchodilator therapy in COPD’</w:t>
      </w:r>
      <w:r w:rsidR="004C6A20" w:rsidRPr="00AC0F15">
        <w:rPr>
          <w:rFonts w:ascii="Arial" w:hAnsi="Arial"/>
          <w:sz w:val="22"/>
          <w:szCs w:val="22"/>
        </w:rPr>
        <w:t>.</w:t>
      </w:r>
    </w:p>
    <w:p w:rsidR="00AF5432" w:rsidRPr="00AF5432" w:rsidRDefault="00AF5432" w:rsidP="00AF5432">
      <w:pPr>
        <w:pStyle w:val="ListParagraph"/>
        <w:rPr>
          <w:rFonts w:ascii="Arial" w:hAnsi="Arial"/>
          <w:sz w:val="22"/>
          <w:szCs w:val="22"/>
        </w:rPr>
      </w:pPr>
    </w:p>
    <w:p w:rsidR="00AF5432" w:rsidRPr="00AC0F15" w:rsidRDefault="00BA6534"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recalled that in March 2014 they had concerns about </w:t>
      </w:r>
      <w:r w:rsidR="00AF5432" w:rsidRPr="00AC0F15">
        <w:rPr>
          <w:rFonts w:ascii="Arial" w:hAnsi="Arial"/>
          <w:sz w:val="22"/>
          <w:szCs w:val="22"/>
        </w:rPr>
        <w:t>the comparative safety of FF/VI in relation to cardiovascular events.</w:t>
      </w:r>
      <w:r w:rsidRPr="00AC0F15">
        <w:rPr>
          <w:rFonts w:ascii="Arial" w:hAnsi="Arial"/>
          <w:sz w:val="22"/>
          <w:szCs w:val="22"/>
        </w:rPr>
        <w:t xml:space="preserve"> </w:t>
      </w:r>
      <w:r w:rsidR="00AF5432" w:rsidRPr="00AC0F15">
        <w:rPr>
          <w:rFonts w:ascii="Arial" w:hAnsi="Arial"/>
          <w:sz w:val="22"/>
          <w:szCs w:val="22"/>
        </w:rPr>
        <w:t xml:space="preserve">  The PBAC note that the increased risk of cardiovascular events was only seen in the </w:t>
      </w:r>
      <w:r w:rsidR="00AF5432" w:rsidRPr="00AC0F15">
        <w:rPr>
          <w:rFonts w:ascii="Arial" w:hAnsi="Arial" w:cs="Arial"/>
          <w:sz w:val="22"/>
          <w:szCs w:val="22"/>
        </w:rPr>
        <w:t xml:space="preserve">HZC113107 trial, and has not been seen or replicated in any other study.  The PBAC </w:t>
      </w:r>
      <w:r w:rsidR="00795EB7" w:rsidRPr="00AC0F15">
        <w:rPr>
          <w:rFonts w:ascii="Arial" w:hAnsi="Arial" w:cs="Arial"/>
          <w:sz w:val="22"/>
          <w:szCs w:val="22"/>
        </w:rPr>
        <w:t xml:space="preserve">was </w:t>
      </w:r>
      <w:r w:rsidR="00AF5432" w:rsidRPr="00AC0F15">
        <w:rPr>
          <w:rFonts w:ascii="Arial" w:hAnsi="Arial" w:cs="Arial"/>
          <w:sz w:val="22"/>
          <w:szCs w:val="22"/>
        </w:rPr>
        <w:t xml:space="preserve">further reassured in relation to the comparative safety of FF/VI by the fact that an agreed risk minimisation plan with the TGA will monitor cardiovascular safety through standard </w:t>
      </w:r>
      <w:r w:rsidR="00AF5432" w:rsidRPr="00AC0F15">
        <w:rPr>
          <w:rFonts w:ascii="Arial" w:hAnsi="Arial" w:cs="Arial"/>
          <w:sz w:val="22"/>
          <w:szCs w:val="22"/>
        </w:rPr>
        <w:lastRenderedPageBreak/>
        <w:t xml:space="preserve">post-marketing surveillance mechanisms and </w:t>
      </w:r>
      <w:r w:rsidR="00795EB7" w:rsidRPr="00AC0F15">
        <w:rPr>
          <w:rFonts w:ascii="Arial" w:hAnsi="Arial" w:cs="Arial"/>
          <w:sz w:val="22"/>
          <w:szCs w:val="22"/>
        </w:rPr>
        <w:t xml:space="preserve">it </w:t>
      </w:r>
      <w:r w:rsidR="00AF5432" w:rsidRPr="00AC0F15">
        <w:rPr>
          <w:rFonts w:ascii="Arial" w:hAnsi="Arial" w:cs="Arial"/>
          <w:sz w:val="22"/>
          <w:szCs w:val="22"/>
        </w:rPr>
        <w:t xml:space="preserve">was not deemed to require a specific safety program outside of ICS/LABA class related monitoring. </w:t>
      </w:r>
    </w:p>
    <w:p w:rsidR="00DA7E25" w:rsidRPr="00DA7E25" w:rsidRDefault="00DA7E25" w:rsidP="00DA7E25">
      <w:pPr>
        <w:pStyle w:val="ListParagraph"/>
        <w:rPr>
          <w:rFonts w:ascii="Arial" w:hAnsi="Arial"/>
          <w:sz w:val="22"/>
          <w:szCs w:val="22"/>
        </w:rPr>
      </w:pPr>
    </w:p>
    <w:p w:rsidR="00BB7EC3" w:rsidRPr="00AC0F15" w:rsidRDefault="00DA7E25" w:rsidP="00AC0F15">
      <w:pPr>
        <w:pStyle w:val="ListParagraph"/>
        <w:numPr>
          <w:ilvl w:val="1"/>
          <w:numId w:val="25"/>
        </w:numPr>
        <w:jc w:val="both"/>
        <w:rPr>
          <w:rFonts w:ascii="Arial" w:hAnsi="Arial"/>
          <w:sz w:val="22"/>
          <w:szCs w:val="22"/>
        </w:rPr>
      </w:pPr>
      <w:r w:rsidRPr="00AC0F15">
        <w:rPr>
          <w:rFonts w:ascii="Arial" w:hAnsi="Arial"/>
          <w:sz w:val="22"/>
          <w:szCs w:val="22"/>
        </w:rPr>
        <w:t>The PBAC acknowledged that increased risk of pneumonia with ICS preparations is not exclusive to FF/VI, but applies to all ICS/LABA preparations.  The PBAC also noted that the TORCH trial</w:t>
      </w:r>
      <w:r w:rsidR="004D0B53" w:rsidRPr="00AC0F15">
        <w:rPr>
          <w:rFonts w:ascii="Arial" w:hAnsi="Arial"/>
          <w:sz w:val="22"/>
          <w:szCs w:val="22"/>
        </w:rPr>
        <w:t xml:space="preserve"> showed</w:t>
      </w:r>
      <w:r w:rsidRPr="00AC0F15">
        <w:rPr>
          <w:rFonts w:ascii="Arial" w:hAnsi="Arial"/>
          <w:sz w:val="22"/>
          <w:szCs w:val="22"/>
        </w:rPr>
        <w:t xml:space="preserve"> that although the rates of pneumonia were increased in patients treated with ICS/LABA, this was offset by a 25% reduction in COPD related exacerbations.</w:t>
      </w:r>
      <w:r w:rsidR="004C6A20" w:rsidRPr="00AC0F15">
        <w:rPr>
          <w:rFonts w:ascii="Arial" w:hAnsi="Arial"/>
          <w:sz w:val="22"/>
          <w:szCs w:val="22"/>
        </w:rPr>
        <w:t xml:space="preserve">  </w:t>
      </w:r>
    </w:p>
    <w:p w:rsidR="00003DCA" w:rsidRPr="00003DCA" w:rsidRDefault="00003DCA" w:rsidP="00003DCA">
      <w:pPr>
        <w:pStyle w:val="ListParagraph"/>
        <w:rPr>
          <w:rFonts w:ascii="Arial" w:hAnsi="Arial"/>
          <w:sz w:val="22"/>
          <w:szCs w:val="22"/>
        </w:rPr>
      </w:pPr>
    </w:p>
    <w:p w:rsidR="00003DCA" w:rsidRPr="00AC0F15" w:rsidRDefault="00003DCA" w:rsidP="00AC0F15">
      <w:pPr>
        <w:pStyle w:val="ListParagraph"/>
        <w:numPr>
          <w:ilvl w:val="1"/>
          <w:numId w:val="25"/>
        </w:numPr>
        <w:jc w:val="both"/>
        <w:rPr>
          <w:rFonts w:ascii="Arial" w:hAnsi="Arial"/>
          <w:sz w:val="22"/>
          <w:szCs w:val="22"/>
        </w:rPr>
      </w:pPr>
      <w:r w:rsidRPr="00AC0F15">
        <w:rPr>
          <w:rFonts w:ascii="Arial" w:hAnsi="Arial"/>
          <w:sz w:val="22"/>
          <w:szCs w:val="22"/>
        </w:rPr>
        <w:t>The PBAC noted that the approved Product Information</w:t>
      </w:r>
      <w:r w:rsidR="001C235F" w:rsidRPr="00AC0F15">
        <w:rPr>
          <w:rFonts w:ascii="Arial" w:hAnsi="Arial"/>
          <w:sz w:val="22"/>
          <w:szCs w:val="22"/>
        </w:rPr>
        <w:t xml:space="preserve"> contains information for prescribers in relation to switching between other inhalers due to the unavailability of the individual components. The PBAC note</w:t>
      </w:r>
      <w:r w:rsidR="00F40B3E" w:rsidRPr="00AC0F15">
        <w:rPr>
          <w:rFonts w:ascii="Arial" w:hAnsi="Arial"/>
          <w:sz w:val="22"/>
          <w:szCs w:val="22"/>
        </w:rPr>
        <w:t>d</w:t>
      </w:r>
      <w:r w:rsidR="001C235F" w:rsidRPr="00AC0F15">
        <w:rPr>
          <w:rFonts w:ascii="Arial" w:hAnsi="Arial"/>
          <w:sz w:val="22"/>
          <w:szCs w:val="22"/>
        </w:rPr>
        <w:t xml:space="preserve"> that the </w:t>
      </w:r>
      <w:r w:rsidR="00F40B3E" w:rsidRPr="00AC0F15">
        <w:rPr>
          <w:rFonts w:ascii="Arial" w:hAnsi="Arial"/>
          <w:sz w:val="22"/>
          <w:szCs w:val="22"/>
        </w:rPr>
        <w:t xml:space="preserve">section of its Guidelines dealing with </w:t>
      </w:r>
      <w:r w:rsidR="001C235F" w:rsidRPr="00AC0F15">
        <w:rPr>
          <w:rFonts w:ascii="Arial" w:hAnsi="Arial"/>
          <w:sz w:val="22"/>
          <w:szCs w:val="22"/>
        </w:rPr>
        <w:t xml:space="preserve">fixed dose combination </w:t>
      </w:r>
      <w:r w:rsidR="00F40B3E" w:rsidRPr="00AC0F15">
        <w:rPr>
          <w:rFonts w:ascii="Arial" w:hAnsi="Arial"/>
          <w:sz w:val="22"/>
          <w:szCs w:val="22"/>
        </w:rPr>
        <w:t>products notes that it is preferable to have</w:t>
      </w:r>
      <w:r w:rsidR="001C235F" w:rsidRPr="00AC0F15">
        <w:rPr>
          <w:rFonts w:ascii="Arial" w:hAnsi="Arial"/>
          <w:sz w:val="22"/>
          <w:szCs w:val="22"/>
        </w:rPr>
        <w:t xml:space="preserve"> the individual components to available separately. </w:t>
      </w:r>
      <w:r w:rsidR="00875636" w:rsidRPr="00AC0F15">
        <w:rPr>
          <w:rFonts w:ascii="Arial" w:hAnsi="Arial"/>
          <w:sz w:val="22"/>
          <w:szCs w:val="22"/>
        </w:rPr>
        <w:t xml:space="preserve"> The PBAC considered that the concern in relation to the individual components not being available was less given </w:t>
      </w:r>
      <w:r w:rsidR="001C235F" w:rsidRPr="00AC0F15">
        <w:rPr>
          <w:rFonts w:ascii="Arial" w:hAnsi="Arial"/>
          <w:sz w:val="22"/>
          <w:szCs w:val="22"/>
        </w:rPr>
        <w:t xml:space="preserve">that this would not be the first ICS/LABA to be made available on the PBS.  </w:t>
      </w:r>
    </w:p>
    <w:p w:rsidR="001C235F" w:rsidRPr="00916E13" w:rsidRDefault="001C235F" w:rsidP="00916E13">
      <w:pPr>
        <w:rPr>
          <w:rFonts w:ascii="Arial" w:hAnsi="Arial"/>
          <w:sz w:val="22"/>
          <w:szCs w:val="22"/>
        </w:rPr>
      </w:pPr>
    </w:p>
    <w:p w:rsidR="00916E13" w:rsidRPr="00AC0F15" w:rsidRDefault="00875636"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considered that in light of this </w:t>
      </w:r>
      <w:r w:rsidR="00795EB7" w:rsidRPr="00AC0F15">
        <w:rPr>
          <w:rFonts w:ascii="Arial" w:hAnsi="Arial"/>
          <w:sz w:val="22"/>
          <w:szCs w:val="22"/>
        </w:rPr>
        <w:t>recommendation</w:t>
      </w:r>
      <w:r w:rsidRPr="00AC0F15">
        <w:rPr>
          <w:rFonts w:ascii="Arial" w:hAnsi="Arial"/>
          <w:sz w:val="22"/>
          <w:szCs w:val="22"/>
        </w:rPr>
        <w:t>, the fixed dose combination guidelines should be reviewed.</w:t>
      </w:r>
    </w:p>
    <w:p w:rsidR="00916E13" w:rsidRPr="00916E13" w:rsidRDefault="00916E13" w:rsidP="00916E13">
      <w:pPr>
        <w:pStyle w:val="ListParagraph"/>
        <w:rPr>
          <w:rFonts w:ascii="Arial" w:hAnsi="Arial"/>
          <w:sz w:val="22"/>
          <w:u w:val="single"/>
        </w:rPr>
      </w:pPr>
    </w:p>
    <w:p w:rsidR="00916E13" w:rsidRPr="00AC0F15" w:rsidRDefault="00916E13" w:rsidP="00AC0F15">
      <w:pPr>
        <w:pStyle w:val="ListParagraph"/>
        <w:numPr>
          <w:ilvl w:val="1"/>
          <w:numId w:val="25"/>
        </w:numPr>
        <w:jc w:val="both"/>
        <w:rPr>
          <w:rFonts w:ascii="Arial" w:hAnsi="Arial"/>
          <w:sz w:val="22"/>
          <w:szCs w:val="22"/>
        </w:rPr>
      </w:pPr>
      <w:r w:rsidRPr="00AC0F15">
        <w:rPr>
          <w:rFonts w:ascii="Arial" w:hAnsi="Arial"/>
          <w:sz w:val="22"/>
          <w:u w:val="single"/>
        </w:rPr>
        <w:t xml:space="preserve">Advice to the Minister under Subsection 101 3BA of the </w:t>
      </w:r>
      <w:r w:rsidRPr="00AC0F15">
        <w:rPr>
          <w:rFonts w:ascii="Arial" w:hAnsi="Arial"/>
          <w:i/>
          <w:sz w:val="22"/>
          <w:u w:val="single"/>
        </w:rPr>
        <w:t>National Health Act</w:t>
      </w:r>
      <w:r w:rsidRPr="00AC0F15">
        <w:rPr>
          <w:rFonts w:ascii="Arial" w:hAnsi="Arial"/>
          <w:sz w:val="22"/>
        </w:rPr>
        <w:t xml:space="preserve"> </w:t>
      </w:r>
    </w:p>
    <w:p w:rsidR="00BB7EC3" w:rsidRPr="00916E13" w:rsidRDefault="00916E13" w:rsidP="00916E13">
      <w:pPr>
        <w:ind w:left="720" w:hanging="11"/>
        <w:jc w:val="both"/>
        <w:rPr>
          <w:rFonts w:ascii="Arial" w:hAnsi="Arial"/>
          <w:sz w:val="22"/>
          <w:szCs w:val="22"/>
        </w:rPr>
      </w:pPr>
      <w:r w:rsidRPr="00916E13">
        <w:rPr>
          <w:rFonts w:ascii="Arial" w:hAnsi="Arial"/>
          <w:sz w:val="22"/>
        </w:rPr>
        <w:t xml:space="preserve">In accordance with subsection 101(3BA) of the </w:t>
      </w:r>
      <w:r w:rsidRPr="00916E13">
        <w:rPr>
          <w:rFonts w:ascii="Arial" w:hAnsi="Arial"/>
          <w:i/>
          <w:sz w:val="22"/>
        </w:rPr>
        <w:t>National Health Act</w:t>
      </w:r>
      <w:r w:rsidRPr="00916E13">
        <w:rPr>
          <w:rFonts w:ascii="Arial" w:hAnsi="Arial"/>
          <w:sz w:val="22"/>
        </w:rPr>
        <w:t xml:space="preserve"> 1953, the PBAC advised that it is of the opinion that</w:t>
      </w:r>
      <w:r w:rsidRPr="00916E13">
        <w:rPr>
          <w:rFonts w:ascii="Arial" w:hAnsi="Arial"/>
          <w:sz w:val="22"/>
          <w:szCs w:val="22"/>
        </w:rPr>
        <w:t xml:space="preserve"> </w:t>
      </w:r>
      <w:r w:rsidR="000300CD" w:rsidRPr="00916E13">
        <w:rPr>
          <w:rFonts w:ascii="Arial" w:hAnsi="Arial"/>
          <w:sz w:val="22"/>
          <w:szCs w:val="22"/>
        </w:rPr>
        <w:t>fluticasone</w:t>
      </w:r>
      <w:r w:rsidR="004C6A20" w:rsidRPr="00916E13">
        <w:rPr>
          <w:rFonts w:ascii="Arial" w:hAnsi="Arial"/>
          <w:sz w:val="22"/>
          <w:szCs w:val="22"/>
        </w:rPr>
        <w:t xml:space="preserve"> </w:t>
      </w:r>
      <w:proofErr w:type="spellStart"/>
      <w:r w:rsidR="004C6A20" w:rsidRPr="00916E13">
        <w:rPr>
          <w:rFonts w:ascii="Arial" w:hAnsi="Arial"/>
          <w:sz w:val="22"/>
          <w:szCs w:val="22"/>
        </w:rPr>
        <w:t>furoate</w:t>
      </w:r>
      <w:proofErr w:type="spellEnd"/>
      <w:r w:rsidR="000300CD" w:rsidRPr="00916E13">
        <w:rPr>
          <w:rFonts w:ascii="Arial" w:hAnsi="Arial"/>
          <w:sz w:val="22"/>
          <w:szCs w:val="22"/>
        </w:rPr>
        <w:t>/</w:t>
      </w:r>
      <w:proofErr w:type="spellStart"/>
      <w:r w:rsidR="000300CD" w:rsidRPr="00916E13">
        <w:rPr>
          <w:rFonts w:ascii="Arial" w:hAnsi="Arial"/>
          <w:sz w:val="22"/>
          <w:szCs w:val="22"/>
        </w:rPr>
        <w:t>vilanterol</w:t>
      </w:r>
      <w:proofErr w:type="spellEnd"/>
      <w:r w:rsidR="00BA6534" w:rsidRPr="00916E13">
        <w:rPr>
          <w:rFonts w:ascii="Arial" w:hAnsi="Arial"/>
          <w:sz w:val="22"/>
          <w:szCs w:val="22"/>
        </w:rPr>
        <w:t xml:space="preserve"> </w:t>
      </w:r>
      <w:r w:rsidR="00BB7EC3" w:rsidRPr="00916E13">
        <w:rPr>
          <w:rFonts w:ascii="Arial" w:hAnsi="Arial"/>
          <w:sz w:val="22"/>
          <w:szCs w:val="22"/>
        </w:rPr>
        <w:t xml:space="preserve">should be treated as interchangeable on an individual patient basis with </w:t>
      </w:r>
      <w:r w:rsidR="000300CD" w:rsidRPr="00916E13">
        <w:rPr>
          <w:rFonts w:ascii="Arial" w:hAnsi="Arial"/>
          <w:sz w:val="22"/>
          <w:szCs w:val="22"/>
        </w:rPr>
        <w:t>fluticasone/</w:t>
      </w:r>
      <w:proofErr w:type="spellStart"/>
      <w:r w:rsidR="000300CD" w:rsidRPr="00916E13">
        <w:rPr>
          <w:rFonts w:ascii="Arial" w:hAnsi="Arial"/>
          <w:sz w:val="22"/>
          <w:szCs w:val="22"/>
        </w:rPr>
        <w:t>salmeterol</w:t>
      </w:r>
      <w:proofErr w:type="spellEnd"/>
      <w:r w:rsidR="000300CD" w:rsidRPr="00916E13">
        <w:rPr>
          <w:rFonts w:ascii="Arial" w:hAnsi="Arial"/>
          <w:sz w:val="22"/>
          <w:szCs w:val="22"/>
        </w:rPr>
        <w:t xml:space="preserve"> and budesonide/</w:t>
      </w:r>
      <w:proofErr w:type="spellStart"/>
      <w:r w:rsidR="000300CD" w:rsidRPr="00916E13">
        <w:rPr>
          <w:rFonts w:ascii="Arial" w:hAnsi="Arial"/>
          <w:sz w:val="22"/>
          <w:szCs w:val="22"/>
        </w:rPr>
        <w:t>eformoterol</w:t>
      </w:r>
      <w:proofErr w:type="spellEnd"/>
      <w:r w:rsidR="000300CD" w:rsidRPr="00916E13">
        <w:rPr>
          <w:rFonts w:ascii="Arial" w:hAnsi="Arial"/>
          <w:sz w:val="22"/>
          <w:szCs w:val="22"/>
        </w:rPr>
        <w:t xml:space="preserve"> for the treatment of COPD.</w:t>
      </w:r>
    </w:p>
    <w:p w:rsidR="00BB7EC3" w:rsidRPr="00BB7EC3" w:rsidRDefault="00BB7EC3" w:rsidP="00BB7EC3">
      <w:pPr>
        <w:jc w:val="bot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 xml:space="preserve">The PBAC advised that </w:t>
      </w:r>
      <w:r w:rsidR="000300CD" w:rsidRPr="00AC0F15">
        <w:rPr>
          <w:rFonts w:ascii="Arial" w:hAnsi="Arial"/>
          <w:sz w:val="22"/>
          <w:szCs w:val="22"/>
        </w:rPr>
        <w:t>fluticasone</w:t>
      </w:r>
      <w:r w:rsidR="004C6A20" w:rsidRPr="00AC0F15">
        <w:rPr>
          <w:rFonts w:ascii="Arial" w:hAnsi="Arial"/>
          <w:sz w:val="22"/>
          <w:szCs w:val="22"/>
        </w:rPr>
        <w:t xml:space="preserve"> </w:t>
      </w:r>
      <w:proofErr w:type="spellStart"/>
      <w:r w:rsidR="004C6A20" w:rsidRPr="00AC0F15">
        <w:rPr>
          <w:rFonts w:ascii="Arial" w:hAnsi="Arial"/>
          <w:sz w:val="22"/>
          <w:szCs w:val="22"/>
        </w:rPr>
        <w:t>furoate</w:t>
      </w:r>
      <w:proofErr w:type="spellEnd"/>
      <w:r w:rsidR="000300CD" w:rsidRPr="00AC0F15">
        <w:rPr>
          <w:rFonts w:ascii="Arial" w:hAnsi="Arial"/>
          <w:sz w:val="22"/>
          <w:szCs w:val="22"/>
        </w:rPr>
        <w:t>/</w:t>
      </w:r>
      <w:proofErr w:type="spellStart"/>
      <w:r w:rsidR="000300CD" w:rsidRPr="00AC0F15">
        <w:rPr>
          <w:rFonts w:ascii="Arial" w:hAnsi="Arial"/>
          <w:sz w:val="22"/>
          <w:szCs w:val="22"/>
        </w:rPr>
        <w:t>vilanterol</w:t>
      </w:r>
      <w:proofErr w:type="spellEnd"/>
      <w:r w:rsidRPr="00AC0F15">
        <w:rPr>
          <w:rFonts w:ascii="Arial" w:hAnsi="Arial"/>
          <w:sz w:val="22"/>
          <w:szCs w:val="22"/>
        </w:rPr>
        <w:t xml:space="preserve"> is suitable for prescribing by </w:t>
      </w:r>
      <w:r w:rsidR="00B43E90" w:rsidRPr="00AC0F15">
        <w:rPr>
          <w:rFonts w:ascii="Arial" w:hAnsi="Arial"/>
          <w:sz w:val="22"/>
          <w:szCs w:val="22"/>
        </w:rPr>
        <w:t>nurse practitioner</w:t>
      </w:r>
      <w:r w:rsidR="00BA6534" w:rsidRPr="00AC0F15">
        <w:rPr>
          <w:rFonts w:ascii="Arial" w:hAnsi="Arial"/>
          <w:sz w:val="22"/>
          <w:szCs w:val="22"/>
        </w:rPr>
        <w:t>s</w:t>
      </w:r>
      <w:r w:rsidR="000300CD" w:rsidRPr="00AC0F15">
        <w:rPr>
          <w:rFonts w:ascii="Arial" w:hAnsi="Arial"/>
          <w:sz w:val="22"/>
          <w:szCs w:val="22"/>
        </w:rPr>
        <w:t>.</w:t>
      </w:r>
    </w:p>
    <w:p w:rsidR="00BB7EC3" w:rsidRPr="00BB7EC3" w:rsidRDefault="00BB7EC3" w:rsidP="00BB7EC3">
      <w:pPr>
        <w:pStyle w:val="ListParagraph"/>
        <w:rPr>
          <w:rFonts w:ascii="Arial" w:hAnsi="Arial"/>
          <w:sz w:val="22"/>
          <w:szCs w:val="22"/>
        </w:rPr>
      </w:pPr>
    </w:p>
    <w:p w:rsidR="00BB7EC3" w:rsidRPr="00AC0F15" w:rsidRDefault="00BB7EC3" w:rsidP="00AC0F15">
      <w:pPr>
        <w:pStyle w:val="ListParagraph"/>
        <w:numPr>
          <w:ilvl w:val="1"/>
          <w:numId w:val="25"/>
        </w:numPr>
        <w:jc w:val="both"/>
        <w:rPr>
          <w:rFonts w:ascii="Arial" w:hAnsi="Arial"/>
          <w:sz w:val="22"/>
          <w:szCs w:val="22"/>
        </w:rPr>
      </w:pPr>
      <w:r w:rsidRPr="00AC0F15">
        <w:rPr>
          <w:rFonts w:ascii="Arial" w:hAnsi="Arial"/>
          <w:sz w:val="22"/>
          <w:szCs w:val="22"/>
        </w:rPr>
        <w:t>The PBAC recommended that th</w:t>
      </w:r>
      <w:r w:rsidR="000300CD" w:rsidRPr="00AC0F15">
        <w:rPr>
          <w:rFonts w:ascii="Arial" w:hAnsi="Arial"/>
          <w:sz w:val="22"/>
          <w:szCs w:val="22"/>
        </w:rPr>
        <w:t>e Safety Net 20 Day Rule should</w:t>
      </w:r>
      <w:r w:rsidR="00A57257" w:rsidRPr="00AC0F15">
        <w:rPr>
          <w:rFonts w:ascii="Arial" w:hAnsi="Arial"/>
          <w:sz w:val="22"/>
          <w:szCs w:val="22"/>
        </w:rPr>
        <w:t xml:space="preserve"> not</w:t>
      </w:r>
      <w:r w:rsidRPr="00AC0F15">
        <w:rPr>
          <w:rFonts w:ascii="Arial" w:hAnsi="Arial"/>
          <w:sz w:val="22"/>
          <w:szCs w:val="22"/>
        </w:rPr>
        <w:t xml:space="preserve"> apply.</w:t>
      </w:r>
      <w:r w:rsidR="00B43E90" w:rsidRPr="00AC0F15">
        <w:rPr>
          <w:rFonts w:ascii="Arial" w:hAnsi="Arial"/>
          <w:sz w:val="22"/>
          <w:szCs w:val="22"/>
        </w:rPr>
        <w:t xml:space="preserve"> </w:t>
      </w:r>
    </w:p>
    <w:p w:rsidR="00DF26A7" w:rsidRDefault="00DF26A7" w:rsidP="00882085">
      <w:pPr>
        <w:jc w:val="both"/>
        <w:rPr>
          <w:rFonts w:ascii="Arial" w:hAnsi="Arial"/>
          <w:sz w:val="22"/>
          <w:szCs w:val="22"/>
        </w:rPr>
      </w:pPr>
    </w:p>
    <w:p w:rsidR="00F1523A" w:rsidRPr="00882085" w:rsidRDefault="00F1523A"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BB7EC3" w:rsidRDefault="000300CD" w:rsidP="00882085">
      <w:pPr>
        <w:jc w:val="both"/>
        <w:rPr>
          <w:rFonts w:ascii="Arial" w:hAnsi="Arial"/>
          <w:sz w:val="22"/>
          <w:szCs w:val="22"/>
        </w:rPr>
      </w:pPr>
      <w:r>
        <w:rPr>
          <w:rFonts w:ascii="Arial" w:hAnsi="Arial"/>
          <w:sz w:val="22"/>
          <w:szCs w:val="22"/>
        </w:rPr>
        <w:t>Recommended</w:t>
      </w:r>
    </w:p>
    <w:p w:rsidR="000300CD" w:rsidRDefault="000300CD" w:rsidP="00882085">
      <w:pPr>
        <w:jc w:val="both"/>
        <w:rPr>
          <w:rFonts w:ascii="Arial" w:hAnsi="Arial"/>
          <w:sz w:val="22"/>
          <w:szCs w:val="22"/>
        </w:rPr>
      </w:pPr>
    </w:p>
    <w:p w:rsidR="00AC0F15" w:rsidRPr="00407F2D" w:rsidRDefault="00AC0F15" w:rsidP="00AC0F15">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882085" w:rsidRDefault="006906DB" w:rsidP="00882085">
      <w:pPr>
        <w:jc w:val="both"/>
        <w:rPr>
          <w:rFonts w:ascii="Arial" w:hAnsi="Arial"/>
          <w:sz w:val="22"/>
          <w:szCs w:val="22"/>
        </w:rPr>
      </w:pPr>
    </w:p>
    <w:p w:rsidR="00D0321E" w:rsidRPr="00AC0F15" w:rsidRDefault="00D0321E" w:rsidP="00AC0F15">
      <w:pPr>
        <w:pStyle w:val="ListParagraph"/>
        <w:numPr>
          <w:ilvl w:val="1"/>
          <w:numId w:val="25"/>
        </w:numPr>
        <w:jc w:val="both"/>
        <w:rPr>
          <w:rFonts w:ascii="Arial" w:hAnsi="Arial"/>
          <w:sz w:val="22"/>
          <w:szCs w:val="22"/>
        </w:rPr>
      </w:pPr>
      <w:r w:rsidRPr="00AC0F15">
        <w:rPr>
          <w:rFonts w:ascii="Arial" w:hAnsi="Arial"/>
          <w:sz w:val="22"/>
          <w:szCs w:val="22"/>
        </w:rPr>
        <w:t>Add new item:</w:t>
      </w:r>
    </w:p>
    <w:p w:rsidR="00B43E90" w:rsidRPr="00882085" w:rsidRDefault="00B43E90" w:rsidP="000300CD">
      <w:pPr>
        <w:pStyle w:val="ListParagraph"/>
        <w:ind w:left="709"/>
        <w:jc w:val="both"/>
        <w:rPr>
          <w:rFonts w:ascii="Arial" w:hAnsi="Arial"/>
          <w:sz w:val="22"/>
          <w:szCs w:val="22"/>
        </w:rPr>
      </w:pPr>
    </w:p>
    <w:tbl>
      <w:tblPr>
        <w:tblW w:w="8363" w:type="dxa"/>
        <w:tblInd w:w="817" w:type="dxa"/>
        <w:tblLayout w:type="fixed"/>
        <w:tblLook w:val="0000" w:firstRow="0" w:lastRow="0" w:firstColumn="0" w:lastColumn="0" w:noHBand="0" w:noVBand="0"/>
        <w:tblDescription w:val="fluticasone listing"/>
      </w:tblPr>
      <w:tblGrid>
        <w:gridCol w:w="2268"/>
        <w:gridCol w:w="1985"/>
        <w:gridCol w:w="850"/>
        <w:gridCol w:w="567"/>
        <w:gridCol w:w="1559"/>
        <w:gridCol w:w="1134"/>
      </w:tblGrid>
      <w:tr w:rsidR="00BA6534" w:rsidRPr="00AC0F15" w:rsidTr="00AC0F15">
        <w:trPr>
          <w:cantSplit/>
          <w:trHeight w:val="471"/>
        </w:trPr>
        <w:tc>
          <w:tcPr>
            <w:tcW w:w="4253" w:type="dxa"/>
            <w:gridSpan w:val="2"/>
            <w:tcBorders>
              <w:bottom w:val="single" w:sz="4" w:space="0" w:color="auto"/>
            </w:tcBorders>
          </w:tcPr>
          <w:p w:rsidR="00BA6534" w:rsidRPr="00AC0F15" w:rsidRDefault="00BA6534" w:rsidP="00D1241E">
            <w:pPr>
              <w:keepNext/>
              <w:ind w:left="-108"/>
              <w:jc w:val="both"/>
              <w:rPr>
                <w:rFonts w:ascii="Arial Narrow" w:hAnsi="Arial Narrow" w:cs="Arial"/>
                <w:sz w:val="20"/>
              </w:rPr>
            </w:pPr>
            <w:r w:rsidRPr="00AC0F15">
              <w:rPr>
                <w:rFonts w:ascii="Arial Narrow" w:hAnsi="Arial Narrow" w:cs="Arial"/>
                <w:sz w:val="20"/>
              </w:rPr>
              <w:t>Name, Restriction,</w:t>
            </w:r>
          </w:p>
          <w:p w:rsidR="00BA6534" w:rsidRPr="00AC0F15" w:rsidRDefault="00BA6534" w:rsidP="00D1241E">
            <w:pPr>
              <w:keepNext/>
              <w:ind w:left="-108"/>
              <w:jc w:val="both"/>
              <w:rPr>
                <w:rFonts w:ascii="Arial Narrow" w:hAnsi="Arial Narrow" w:cs="Arial"/>
                <w:sz w:val="20"/>
              </w:rPr>
            </w:pPr>
            <w:r w:rsidRPr="00AC0F15">
              <w:rPr>
                <w:rFonts w:ascii="Arial Narrow" w:hAnsi="Arial Narrow" w:cs="Arial"/>
                <w:sz w:val="20"/>
              </w:rPr>
              <w:t>Manner of administration and form</w:t>
            </w:r>
          </w:p>
        </w:tc>
        <w:tc>
          <w:tcPr>
            <w:tcW w:w="850" w:type="dxa"/>
            <w:tcBorders>
              <w:bottom w:val="single" w:sz="4" w:space="0" w:color="auto"/>
            </w:tcBorders>
          </w:tcPr>
          <w:p w:rsidR="00BA6534" w:rsidRPr="00AC0F15" w:rsidRDefault="00BA6534" w:rsidP="00AC0F15">
            <w:pPr>
              <w:keepNext/>
              <w:ind w:left="-108"/>
              <w:jc w:val="center"/>
              <w:rPr>
                <w:rFonts w:ascii="Arial Narrow" w:hAnsi="Arial Narrow" w:cs="Arial"/>
                <w:sz w:val="20"/>
              </w:rPr>
            </w:pPr>
            <w:r w:rsidRPr="00AC0F15">
              <w:rPr>
                <w:rFonts w:ascii="Arial Narrow" w:hAnsi="Arial Narrow" w:cs="Arial"/>
                <w:sz w:val="20"/>
              </w:rPr>
              <w:t>Max.</w:t>
            </w:r>
          </w:p>
          <w:p w:rsidR="00BA6534" w:rsidRPr="00AC0F15" w:rsidRDefault="00BA6534" w:rsidP="00AC0F15">
            <w:pPr>
              <w:keepNext/>
              <w:ind w:left="-108"/>
              <w:jc w:val="center"/>
              <w:rPr>
                <w:rFonts w:ascii="Arial Narrow" w:hAnsi="Arial Narrow" w:cs="Arial"/>
                <w:sz w:val="20"/>
              </w:rPr>
            </w:pPr>
            <w:proofErr w:type="spellStart"/>
            <w:r w:rsidRPr="00AC0F15">
              <w:rPr>
                <w:rFonts w:ascii="Arial Narrow" w:hAnsi="Arial Narrow" w:cs="Arial"/>
                <w:sz w:val="20"/>
              </w:rPr>
              <w:t>Qty</w:t>
            </w:r>
            <w:proofErr w:type="spellEnd"/>
          </w:p>
        </w:tc>
        <w:tc>
          <w:tcPr>
            <w:tcW w:w="567" w:type="dxa"/>
            <w:tcBorders>
              <w:bottom w:val="single" w:sz="4" w:space="0" w:color="auto"/>
            </w:tcBorders>
          </w:tcPr>
          <w:p w:rsidR="00BA6534" w:rsidRPr="00AC0F15" w:rsidRDefault="00BA6534" w:rsidP="00AC0F15">
            <w:pPr>
              <w:keepNext/>
              <w:ind w:left="-108"/>
              <w:jc w:val="center"/>
              <w:rPr>
                <w:rFonts w:ascii="Arial Narrow" w:hAnsi="Arial Narrow" w:cs="Arial"/>
                <w:sz w:val="20"/>
              </w:rPr>
            </w:pPr>
            <w:r w:rsidRPr="00AC0F15">
              <w:rPr>
                <w:rFonts w:ascii="Arial Narrow" w:hAnsi="Arial Narrow" w:cs="Arial"/>
                <w:sz w:val="20"/>
              </w:rPr>
              <w:t>№.of</w:t>
            </w:r>
          </w:p>
          <w:p w:rsidR="00BA6534" w:rsidRPr="00AC0F15" w:rsidRDefault="00BA6534" w:rsidP="00AC0F15">
            <w:pPr>
              <w:keepNext/>
              <w:ind w:left="-108"/>
              <w:jc w:val="center"/>
              <w:rPr>
                <w:rFonts w:ascii="Arial Narrow" w:hAnsi="Arial Narrow" w:cs="Arial"/>
                <w:sz w:val="20"/>
              </w:rPr>
            </w:pPr>
            <w:proofErr w:type="spellStart"/>
            <w:r w:rsidRPr="00AC0F15">
              <w:rPr>
                <w:rFonts w:ascii="Arial Narrow" w:hAnsi="Arial Narrow" w:cs="Arial"/>
                <w:sz w:val="20"/>
              </w:rPr>
              <w:t>Rpts</w:t>
            </w:r>
            <w:proofErr w:type="spellEnd"/>
          </w:p>
        </w:tc>
        <w:tc>
          <w:tcPr>
            <w:tcW w:w="2693" w:type="dxa"/>
            <w:gridSpan w:val="2"/>
            <w:tcBorders>
              <w:bottom w:val="single" w:sz="4" w:space="0" w:color="auto"/>
            </w:tcBorders>
          </w:tcPr>
          <w:p w:rsidR="00BA6534" w:rsidRPr="00AC0F15" w:rsidRDefault="00BA6534" w:rsidP="00D1241E">
            <w:pPr>
              <w:keepNext/>
              <w:jc w:val="both"/>
              <w:rPr>
                <w:rFonts w:ascii="Arial Narrow" w:hAnsi="Arial Narrow" w:cs="Arial"/>
                <w:sz w:val="20"/>
                <w:lang w:val="fr-FR"/>
              </w:rPr>
            </w:pPr>
            <w:r w:rsidRPr="00AC0F15">
              <w:rPr>
                <w:rFonts w:ascii="Arial Narrow" w:hAnsi="Arial Narrow" w:cs="Arial"/>
                <w:sz w:val="20"/>
              </w:rPr>
              <w:t>Proprietary Name and Manufacturer</w:t>
            </w:r>
          </w:p>
        </w:tc>
      </w:tr>
      <w:tr w:rsidR="00BA6534" w:rsidRPr="00AC0F15" w:rsidTr="00AC0F15">
        <w:trPr>
          <w:cantSplit/>
          <w:trHeight w:val="577"/>
        </w:trPr>
        <w:tc>
          <w:tcPr>
            <w:tcW w:w="4253" w:type="dxa"/>
            <w:gridSpan w:val="2"/>
          </w:tcPr>
          <w:p w:rsidR="00BA6534" w:rsidRPr="00AC0F15" w:rsidRDefault="00BA6534" w:rsidP="00D1241E">
            <w:pPr>
              <w:keepNext/>
              <w:ind w:left="-108"/>
              <w:jc w:val="both"/>
              <w:rPr>
                <w:rFonts w:ascii="Arial Narrow" w:hAnsi="Arial Narrow" w:cs="Arial"/>
                <w:sz w:val="20"/>
                <w:szCs w:val="20"/>
              </w:rPr>
            </w:pPr>
            <w:r w:rsidRPr="00AC0F15">
              <w:rPr>
                <w:rFonts w:ascii="Arial Narrow" w:hAnsi="Arial Narrow" w:cs="Arial"/>
                <w:smallCaps/>
                <w:sz w:val="20"/>
                <w:szCs w:val="20"/>
              </w:rPr>
              <w:t>FLUTICASONE FUROATE AND VILANTEROL</w:t>
            </w:r>
          </w:p>
          <w:p w:rsidR="00BA6534" w:rsidRPr="00AC0F15" w:rsidRDefault="00BA6534" w:rsidP="00D1241E">
            <w:pPr>
              <w:keepNext/>
              <w:ind w:left="-108"/>
              <w:jc w:val="both"/>
              <w:rPr>
                <w:rFonts w:ascii="Arial Narrow" w:hAnsi="Arial Narrow" w:cs="Arial"/>
                <w:sz w:val="20"/>
              </w:rPr>
            </w:pPr>
            <w:r w:rsidRPr="00AC0F15">
              <w:rPr>
                <w:rFonts w:ascii="Arial Narrow" w:hAnsi="Arial Narrow" w:cs="Arial"/>
                <w:sz w:val="20"/>
              </w:rPr>
              <w:t xml:space="preserve">fluticasone </w:t>
            </w:r>
            <w:proofErr w:type="spellStart"/>
            <w:r w:rsidRPr="00AC0F15">
              <w:rPr>
                <w:rFonts w:ascii="Arial Narrow" w:hAnsi="Arial Narrow" w:cs="Arial"/>
                <w:sz w:val="20"/>
              </w:rPr>
              <w:t>furoate</w:t>
            </w:r>
            <w:proofErr w:type="spellEnd"/>
            <w:r w:rsidRPr="00AC0F15">
              <w:rPr>
                <w:rFonts w:ascii="Arial Narrow" w:hAnsi="Arial Narrow" w:cs="Arial"/>
                <w:sz w:val="20"/>
              </w:rPr>
              <w:t xml:space="preserve"> 100 microgram + </w:t>
            </w:r>
            <w:proofErr w:type="spellStart"/>
            <w:r w:rsidRPr="00AC0F15">
              <w:rPr>
                <w:rFonts w:ascii="Arial Narrow" w:hAnsi="Arial Narrow" w:cs="Arial"/>
                <w:sz w:val="20"/>
              </w:rPr>
              <w:t>vilanterol</w:t>
            </w:r>
            <w:proofErr w:type="spellEnd"/>
            <w:r w:rsidRPr="00AC0F15">
              <w:rPr>
                <w:rFonts w:ascii="Arial Narrow" w:hAnsi="Arial Narrow" w:cs="Arial"/>
                <w:sz w:val="20"/>
              </w:rPr>
              <w:t xml:space="preserve"> (as </w:t>
            </w:r>
            <w:proofErr w:type="spellStart"/>
            <w:r w:rsidRPr="00AC0F15">
              <w:rPr>
                <w:rFonts w:ascii="Arial Narrow" w:hAnsi="Arial Narrow" w:cs="Arial"/>
                <w:sz w:val="20"/>
              </w:rPr>
              <w:t>trifenatate</w:t>
            </w:r>
            <w:proofErr w:type="spellEnd"/>
            <w:r w:rsidRPr="00AC0F15">
              <w:rPr>
                <w:rFonts w:ascii="Arial Narrow" w:hAnsi="Arial Narrow" w:cs="Arial"/>
                <w:sz w:val="20"/>
              </w:rPr>
              <w:t>) 25 microgram inhalation: powder for, 30 actuations</w:t>
            </w:r>
          </w:p>
        </w:tc>
        <w:tc>
          <w:tcPr>
            <w:tcW w:w="850" w:type="dxa"/>
          </w:tcPr>
          <w:p w:rsidR="00BA6534" w:rsidRPr="00AC0F15" w:rsidRDefault="00BA6534" w:rsidP="00AC0F15">
            <w:pPr>
              <w:keepNext/>
              <w:ind w:left="-108"/>
              <w:jc w:val="center"/>
              <w:rPr>
                <w:rFonts w:ascii="Arial Narrow" w:hAnsi="Arial Narrow" w:cs="Arial"/>
                <w:sz w:val="20"/>
              </w:rPr>
            </w:pPr>
          </w:p>
          <w:p w:rsidR="00BA6534" w:rsidRPr="00AC0F15" w:rsidRDefault="00BA6534" w:rsidP="00AC0F15">
            <w:pPr>
              <w:keepNext/>
              <w:ind w:left="-108"/>
              <w:jc w:val="center"/>
              <w:rPr>
                <w:rFonts w:ascii="Arial Narrow" w:hAnsi="Arial Narrow" w:cs="Arial"/>
                <w:sz w:val="20"/>
              </w:rPr>
            </w:pPr>
            <w:r w:rsidRPr="00AC0F15">
              <w:rPr>
                <w:rFonts w:ascii="Arial Narrow" w:hAnsi="Arial Narrow" w:cs="Arial"/>
                <w:sz w:val="20"/>
              </w:rPr>
              <w:t>1</w:t>
            </w:r>
          </w:p>
        </w:tc>
        <w:tc>
          <w:tcPr>
            <w:tcW w:w="567" w:type="dxa"/>
          </w:tcPr>
          <w:p w:rsidR="00BA6534" w:rsidRPr="00AC0F15" w:rsidRDefault="00BA6534" w:rsidP="00AC0F15">
            <w:pPr>
              <w:keepNext/>
              <w:ind w:left="-108"/>
              <w:jc w:val="center"/>
              <w:rPr>
                <w:rFonts w:ascii="Arial Narrow" w:hAnsi="Arial Narrow" w:cs="Arial"/>
                <w:sz w:val="20"/>
              </w:rPr>
            </w:pPr>
          </w:p>
          <w:p w:rsidR="00BA6534" w:rsidRPr="00AC0F15" w:rsidRDefault="00BA6534" w:rsidP="00AC0F15">
            <w:pPr>
              <w:keepNext/>
              <w:ind w:left="-108"/>
              <w:jc w:val="center"/>
              <w:rPr>
                <w:rFonts w:ascii="Arial Narrow" w:hAnsi="Arial Narrow" w:cs="Arial"/>
                <w:sz w:val="20"/>
              </w:rPr>
            </w:pPr>
            <w:r w:rsidRPr="00AC0F15">
              <w:rPr>
                <w:rFonts w:ascii="Arial Narrow" w:hAnsi="Arial Narrow" w:cs="Arial"/>
                <w:sz w:val="20"/>
              </w:rPr>
              <w:t>5</w:t>
            </w:r>
          </w:p>
        </w:tc>
        <w:tc>
          <w:tcPr>
            <w:tcW w:w="1559" w:type="dxa"/>
          </w:tcPr>
          <w:p w:rsidR="00AC0F15" w:rsidRDefault="00AC0F15" w:rsidP="00D1241E">
            <w:pPr>
              <w:keepNext/>
              <w:jc w:val="both"/>
              <w:rPr>
                <w:rFonts w:ascii="Arial Narrow" w:hAnsi="Arial Narrow" w:cs="Arial"/>
                <w:sz w:val="20"/>
              </w:rPr>
            </w:pPr>
          </w:p>
          <w:p w:rsidR="00BA6534" w:rsidRPr="00AC0F15" w:rsidRDefault="00BA6534" w:rsidP="00D1241E">
            <w:pPr>
              <w:keepNext/>
              <w:jc w:val="both"/>
              <w:rPr>
                <w:rFonts w:ascii="Arial Narrow" w:hAnsi="Arial Narrow" w:cs="Arial"/>
                <w:sz w:val="20"/>
              </w:rPr>
            </w:pPr>
            <w:proofErr w:type="spellStart"/>
            <w:r w:rsidRPr="00AC0F15">
              <w:rPr>
                <w:rFonts w:ascii="Arial Narrow" w:hAnsi="Arial Narrow" w:cs="Arial"/>
                <w:sz w:val="20"/>
              </w:rPr>
              <w:t>Breo</w:t>
            </w:r>
            <w:proofErr w:type="spellEnd"/>
            <w:r w:rsidR="00D81540" w:rsidRPr="00AC0F15">
              <w:rPr>
                <w:rFonts w:ascii="Arial Narrow" w:hAnsi="Arial Narrow" w:cs="Arial"/>
                <w:sz w:val="20"/>
                <w:vertAlign w:val="superscript"/>
              </w:rPr>
              <w:t>®</w:t>
            </w:r>
            <w:r w:rsidRPr="00AC0F15">
              <w:rPr>
                <w:rFonts w:ascii="Arial Narrow" w:hAnsi="Arial Narrow" w:cs="Arial"/>
                <w:sz w:val="20"/>
              </w:rPr>
              <w:t xml:space="preserve"> </w:t>
            </w:r>
            <w:proofErr w:type="spellStart"/>
            <w:r w:rsidRPr="00AC0F15">
              <w:rPr>
                <w:rFonts w:ascii="Arial Narrow" w:hAnsi="Arial Narrow" w:cs="Arial"/>
                <w:sz w:val="20"/>
              </w:rPr>
              <w:t>Ellipta</w:t>
            </w:r>
            <w:proofErr w:type="spellEnd"/>
            <w:r w:rsidR="00D81540" w:rsidRPr="00AC0F15">
              <w:rPr>
                <w:rFonts w:ascii="Arial Narrow" w:hAnsi="Arial Narrow" w:cs="Arial"/>
                <w:sz w:val="20"/>
                <w:vertAlign w:val="superscript"/>
              </w:rPr>
              <w:t>®</w:t>
            </w:r>
          </w:p>
        </w:tc>
        <w:tc>
          <w:tcPr>
            <w:tcW w:w="1134" w:type="dxa"/>
          </w:tcPr>
          <w:p w:rsidR="00AC0F15" w:rsidRDefault="00AC0F15" w:rsidP="00D1241E">
            <w:pPr>
              <w:keepNext/>
              <w:jc w:val="both"/>
              <w:rPr>
                <w:rFonts w:ascii="Arial Narrow" w:hAnsi="Arial Narrow" w:cs="Arial"/>
                <w:sz w:val="20"/>
              </w:rPr>
            </w:pPr>
          </w:p>
          <w:p w:rsidR="00BA6534" w:rsidRPr="00AC0F15" w:rsidRDefault="00BA6534" w:rsidP="00D1241E">
            <w:pPr>
              <w:keepNext/>
              <w:jc w:val="both"/>
              <w:rPr>
                <w:rFonts w:ascii="Arial Narrow" w:hAnsi="Arial Narrow" w:cs="Arial"/>
                <w:sz w:val="20"/>
              </w:rPr>
            </w:pPr>
            <w:r w:rsidRPr="00AC0F15">
              <w:rPr>
                <w:rFonts w:ascii="Arial Narrow" w:hAnsi="Arial Narrow" w:cs="Arial"/>
                <w:sz w:val="20"/>
              </w:rPr>
              <w:t>GSK</w:t>
            </w:r>
          </w:p>
        </w:tc>
      </w:tr>
      <w:tr w:rsidR="000300CD" w:rsidRPr="00AC0F15" w:rsidTr="00AC0F15">
        <w:trPr>
          <w:cantSplit/>
          <w:trHeight w:val="360"/>
        </w:trPr>
        <w:tc>
          <w:tcPr>
            <w:tcW w:w="8363" w:type="dxa"/>
            <w:gridSpan w:val="6"/>
            <w:tcBorders>
              <w:bottom w:val="single" w:sz="4" w:space="0" w:color="auto"/>
            </w:tcBorders>
          </w:tcPr>
          <w:p w:rsidR="000300CD" w:rsidRPr="00AC0F15" w:rsidRDefault="000300CD" w:rsidP="00D1241E">
            <w:pPr>
              <w:jc w:val="both"/>
              <w:rPr>
                <w:rFonts w:ascii="Arial Narrow" w:hAnsi="Arial Narrow" w:cs="Arial"/>
                <w:sz w:val="20"/>
              </w:rPr>
            </w:pPr>
          </w:p>
          <w:p w:rsidR="000300CD" w:rsidRPr="00AC0F15" w:rsidRDefault="00BA6534" w:rsidP="00BA6534">
            <w:pPr>
              <w:jc w:val="both"/>
              <w:rPr>
                <w:rFonts w:ascii="Arial Narrow" w:hAnsi="Arial Narrow" w:cs="Arial"/>
                <w:sz w:val="20"/>
              </w:rPr>
            </w:pPr>
            <w:r w:rsidRPr="00AC0F15">
              <w:rPr>
                <w:rFonts w:ascii="Arial Narrow" w:hAnsi="Arial Narrow" w:cs="Arial"/>
                <w:sz w:val="20"/>
              </w:rPr>
              <w:t xml:space="preserve"> </w:t>
            </w:r>
          </w:p>
        </w:tc>
      </w:tr>
      <w:tr w:rsidR="000300CD" w:rsidRPr="00AC0F15" w:rsidTr="00B1176B">
        <w:trPr>
          <w:cantSplit/>
          <w:trHeight w:val="360"/>
        </w:trPr>
        <w:tc>
          <w:tcPr>
            <w:tcW w:w="2268" w:type="dxa"/>
            <w:tcBorders>
              <w:top w:val="single" w:sz="4" w:space="0" w:color="auto"/>
              <w:left w:val="single" w:sz="4" w:space="0" w:color="auto"/>
              <w:bottom w:val="single" w:sz="4" w:space="0" w:color="auto"/>
              <w:right w:val="single" w:sz="4" w:space="0" w:color="auto"/>
            </w:tcBorders>
          </w:tcPr>
          <w:p w:rsidR="000300CD" w:rsidRPr="00AC0F15" w:rsidRDefault="000300CD" w:rsidP="00D1241E">
            <w:pPr>
              <w:jc w:val="both"/>
              <w:rPr>
                <w:rFonts w:ascii="Arial Narrow" w:hAnsi="Arial Narrow" w:cs="Arial"/>
                <w:b/>
                <w:sz w:val="20"/>
                <w:szCs w:val="20"/>
              </w:rPr>
            </w:pPr>
            <w:r w:rsidRPr="00AC0F15">
              <w:rPr>
                <w:rFonts w:ascii="Arial Narrow" w:hAnsi="Arial Narrow" w:cs="Arial"/>
                <w:b/>
                <w:sz w:val="20"/>
                <w:szCs w:val="20"/>
              </w:rPr>
              <w:t>Condition/Indication:</w:t>
            </w:r>
          </w:p>
        </w:tc>
        <w:tc>
          <w:tcPr>
            <w:tcW w:w="6095" w:type="dxa"/>
            <w:gridSpan w:val="5"/>
            <w:tcBorders>
              <w:top w:val="single" w:sz="4" w:space="0" w:color="auto"/>
              <w:left w:val="single" w:sz="4" w:space="0" w:color="auto"/>
              <w:bottom w:val="single" w:sz="4" w:space="0" w:color="auto"/>
              <w:right w:val="single" w:sz="4" w:space="0" w:color="auto"/>
            </w:tcBorders>
          </w:tcPr>
          <w:p w:rsidR="000300CD" w:rsidRPr="00AC0F15" w:rsidRDefault="000300CD" w:rsidP="00D1241E">
            <w:pPr>
              <w:rPr>
                <w:rFonts w:ascii="Arial Narrow" w:hAnsi="Arial Narrow" w:cs="Arial"/>
                <w:sz w:val="20"/>
              </w:rPr>
            </w:pPr>
            <w:r w:rsidRPr="00AC0F15">
              <w:rPr>
                <w:rFonts w:ascii="Arial Narrow" w:hAnsi="Arial Narrow" w:cs="Arial"/>
                <w:sz w:val="20"/>
              </w:rPr>
              <w:t>Chronic obstructive pulmonary disease (COPD)</w:t>
            </w:r>
          </w:p>
        </w:tc>
      </w:tr>
      <w:tr w:rsidR="000300CD" w:rsidRPr="00AC0F15" w:rsidTr="00B1176B">
        <w:trPr>
          <w:cantSplit/>
          <w:trHeight w:val="360"/>
        </w:trPr>
        <w:tc>
          <w:tcPr>
            <w:tcW w:w="2268" w:type="dxa"/>
            <w:tcBorders>
              <w:top w:val="single" w:sz="4" w:space="0" w:color="auto"/>
              <w:left w:val="single" w:sz="4" w:space="0" w:color="auto"/>
              <w:bottom w:val="single" w:sz="4" w:space="0" w:color="auto"/>
              <w:right w:val="single" w:sz="4" w:space="0" w:color="auto"/>
            </w:tcBorders>
          </w:tcPr>
          <w:p w:rsidR="000300CD" w:rsidRPr="00AC0F15" w:rsidRDefault="000300CD" w:rsidP="00D1241E">
            <w:pPr>
              <w:jc w:val="both"/>
              <w:rPr>
                <w:rFonts w:ascii="Arial Narrow" w:hAnsi="Arial Narrow" w:cs="Arial"/>
                <w:b/>
                <w:sz w:val="20"/>
                <w:szCs w:val="20"/>
              </w:rPr>
            </w:pPr>
            <w:r w:rsidRPr="00AC0F15">
              <w:rPr>
                <w:rFonts w:ascii="Arial Narrow" w:hAnsi="Arial Narrow" w:cs="Arial"/>
                <w:b/>
                <w:sz w:val="20"/>
                <w:szCs w:val="20"/>
              </w:rPr>
              <w:t>Restriction:</w:t>
            </w:r>
          </w:p>
          <w:p w:rsidR="000300CD" w:rsidRPr="00AC0F15" w:rsidRDefault="000300CD" w:rsidP="00D1241E">
            <w:pPr>
              <w:rPr>
                <w:rFonts w:ascii="Arial Narrow" w:hAnsi="Arial Narrow" w:cs="Arial"/>
                <w:sz w:val="20"/>
                <w:szCs w:val="20"/>
              </w:rPr>
            </w:pPr>
          </w:p>
        </w:tc>
        <w:tc>
          <w:tcPr>
            <w:tcW w:w="6095" w:type="dxa"/>
            <w:gridSpan w:val="5"/>
            <w:tcBorders>
              <w:top w:val="single" w:sz="4" w:space="0" w:color="auto"/>
              <w:left w:val="single" w:sz="4" w:space="0" w:color="auto"/>
              <w:bottom w:val="single" w:sz="4" w:space="0" w:color="auto"/>
              <w:right w:val="single" w:sz="4" w:space="0" w:color="auto"/>
            </w:tcBorders>
          </w:tcPr>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Restricted benefit</w:t>
            </w:r>
          </w:p>
          <w:p w:rsidR="000300CD" w:rsidRPr="00AC0F15" w:rsidRDefault="000300CD" w:rsidP="00D1241E">
            <w:pPr>
              <w:rPr>
                <w:rFonts w:ascii="Arial Narrow" w:hAnsi="Arial Narrow" w:cs="Arial"/>
                <w:sz w:val="20"/>
              </w:rPr>
            </w:pPr>
          </w:p>
        </w:tc>
      </w:tr>
      <w:tr w:rsidR="000300CD" w:rsidRPr="00AC0F15" w:rsidTr="00B1176B">
        <w:trPr>
          <w:cantSplit/>
          <w:trHeight w:val="360"/>
        </w:trPr>
        <w:tc>
          <w:tcPr>
            <w:tcW w:w="2268" w:type="dxa"/>
            <w:tcBorders>
              <w:top w:val="single" w:sz="4" w:space="0" w:color="auto"/>
              <w:left w:val="single" w:sz="4" w:space="0" w:color="auto"/>
              <w:bottom w:val="single" w:sz="4" w:space="0" w:color="auto"/>
              <w:right w:val="single" w:sz="4" w:space="0" w:color="auto"/>
            </w:tcBorders>
          </w:tcPr>
          <w:p w:rsidR="000300CD" w:rsidRPr="00AC0F15" w:rsidRDefault="000300CD" w:rsidP="00D1241E">
            <w:pPr>
              <w:jc w:val="both"/>
              <w:rPr>
                <w:rFonts w:ascii="Arial Narrow" w:hAnsi="Arial Narrow" w:cs="Arial"/>
                <w:b/>
                <w:sz w:val="20"/>
                <w:szCs w:val="20"/>
              </w:rPr>
            </w:pPr>
            <w:r w:rsidRPr="00AC0F15">
              <w:rPr>
                <w:rFonts w:ascii="Arial Narrow" w:hAnsi="Arial Narrow" w:cs="Arial"/>
                <w:b/>
                <w:sz w:val="20"/>
                <w:szCs w:val="20"/>
              </w:rPr>
              <w:lastRenderedPageBreak/>
              <w:t>Clinical criteria:</w:t>
            </w:r>
          </w:p>
          <w:p w:rsidR="000300CD" w:rsidRPr="00AC0F15" w:rsidRDefault="000300CD" w:rsidP="00D1241E">
            <w:pPr>
              <w:jc w:val="both"/>
              <w:rPr>
                <w:rFonts w:ascii="Arial Narrow" w:hAnsi="Arial Narrow" w:cs="Arial"/>
                <w:sz w:val="20"/>
                <w:szCs w:val="20"/>
              </w:rPr>
            </w:pPr>
            <w:bookmarkStart w:id="0" w:name="_GoBack"/>
            <w:bookmarkEnd w:id="0"/>
          </w:p>
        </w:tc>
        <w:tc>
          <w:tcPr>
            <w:tcW w:w="6095" w:type="dxa"/>
            <w:gridSpan w:val="5"/>
            <w:tcBorders>
              <w:top w:val="single" w:sz="4" w:space="0" w:color="auto"/>
              <w:left w:val="single" w:sz="4" w:space="0" w:color="auto"/>
              <w:bottom w:val="single" w:sz="4" w:space="0" w:color="auto"/>
              <w:right w:val="single" w:sz="4" w:space="0" w:color="auto"/>
            </w:tcBorders>
          </w:tcPr>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Patient must have a forced expiratory volume in 1 second (FEV</w:t>
            </w:r>
            <w:r w:rsidRPr="00AC0F15">
              <w:rPr>
                <w:rFonts w:ascii="Arial Narrow" w:hAnsi="Arial Narrow" w:cs="Arial"/>
                <w:sz w:val="20"/>
                <w:szCs w:val="20"/>
                <w:vertAlign w:val="subscript"/>
              </w:rPr>
              <w:t>1</w:t>
            </w:r>
            <w:r w:rsidRPr="00AC0F15">
              <w:rPr>
                <w:rFonts w:ascii="Arial Narrow" w:hAnsi="Arial Narrow" w:cs="Arial"/>
                <w:sz w:val="20"/>
                <w:szCs w:val="20"/>
              </w:rPr>
              <w:t>) less than 50% of predicted normal prior to therapy,</w:t>
            </w:r>
          </w:p>
          <w:p w:rsidR="000300CD" w:rsidRPr="00AC0F15" w:rsidRDefault="000300CD" w:rsidP="00D1241E">
            <w:pPr>
              <w:rPr>
                <w:rFonts w:ascii="Arial Narrow" w:hAnsi="Arial Narrow" w:cs="Arial"/>
                <w:sz w:val="20"/>
                <w:szCs w:val="20"/>
              </w:rPr>
            </w:pPr>
          </w:p>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AND</w:t>
            </w:r>
          </w:p>
          <w:p w:rsidR="000300CD" w:rsidRPr="00AC0F15" w:rsidRDefault="000300CD" w:rsidP="00D1241E">
            <w:pPr>
              <w:rPr>
                <w:rFonts w:ascii="Arial Narrow" w:hAnsi="Arial Narrow" w:cs="Arial"/>
                <w:sz w:val="20"/>
                <w:szCs w:val="20"/>
              </w:rPr>
            </w:pPr>
          </w:p>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Patient must have a history of repeated exacerbations with significant symptoms despite regular beta-</w:t>
            </w:r>
            <w:r w:rsidRPr="00AC0F15">
              <w:rPr>
                <w:rFonts w:ascii="Arial Narrow" w:hAnsi="Arial Narrow" w:cs="Arial"/>
                <w:sz w:val="20"/>
                <w:szCs w:val="20"/>
                <w:vertAlign w:val="subscript"/>
              </w:rPr>
              <w:t>2</w:t>
            </w:r>
            <w:r w:rsidRPr="00AC0F15">
              <w:rPr>
                <w:rFonts w:ascii="Arial Narrow" w:hAnsi="Arial Narrow" w:cs="Arial"/>
                <w:sz w:val="20"/>
                <w:szCs w:val="20"/>
              </w:rPr>
              <w:t xml:space="preserve"> agonist bronchodilator therapy,</w:t>
            </w:r>
          </w:p>
          <w:p w:rsidR="000300CD" w:rsidRPr="00AC0F15" w:rsidRDefault="000300CD" w:rsidP="00D1241E">
            <w:pPr>
              <w:rPr>
                <w:rFonts w:ascii="Arial Narrow" w:hAnsi="Arial Narrow" w:cs="Arial"/>
                <w:sz w:val="20"/>
                <w:szCs w:val="20"/>
              </w:rPr>
            </w:pPr>
          </w:p>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AND</w:t>
            </w:r>
          </w:p>
          <w:p w:rsidR="000300CD" w:rsidRPr="00AC0F15" w:rsidRDefault="000300CD" w:rsidP="00D1241E">
            <w:pPr>
              <w:rPr>
                <w:rFonts w:ascii="Arial Narrow" w:hAnsi="Arial Narrow" w:cs="Arial"/>
                <w:sz w:val="20"/>
                <w:szCs w:val="20"/>
              </w:rPr>
            </w:pPr>
          </w:p>
          <w:p w:rsidR="000300CD" w:rsidRPr="00AC0F15" w:rsidRDefault="000300CD" w:rsidP="00BA6534">
            <w:pPr>
              <w:rPr>
                <w:rFonts w:ascii="Arial Narrow" w:hAnsi="Arial Narrow" w:cs="Arial"/>
                <w:sz w:val="20"/>
                <w:szCs w:val="20"/>
              </w:rPr>
            </w:pPr>
            <w:r w:rsidRPr="00AC0F15">
              <w:rPr>
                <w:rFonts w:ascii="Arial Narrow" w:hAnsi="Arial Narrow" w:cs="Arial"/>
                <w:sz w:val="20"/>
                <w:szCs w:val="20"/>
              </w:rPr>
              <w:t>The treatment must be for symptomatic treatment.</w:t>
            </w:r>
          </w:p>
        </w:tc>
      </w:tr>
      <w:tr w:rsidR="000300CD" w:rsidRPr="00AC0F15" w:rsidTr="00B1176B">
        <w:trPr>
          <w:cantSplit/>
          <w:trHeight w:val="360"/>
        </w:trPr>
        <w:tc>
          <w:tcPr>
            <w:tcW w:w="2268" w:type="dxa"/>
            <w:tcBorders>
              <w:top w:val="single" w:sz="4" w:space="0" w:color="auto"/>
              <w:left w:val="single" w:sz="4" w:space="0" w:color="auto"/>
              <w:bottom w:val="single" w:sz="4" w:space="0" w:color="auto"/>
              <w:right w:val="single" w:sz="4" w:space="0" w:color="auto"/>
            </w:tcBorders>
          </w:tcPr>
          <w:p w:rsidR="000300CD" w:rsidRPr="00AC0F15" w:rsidRDefault="000300CD" w:rsidP="00D1241E">
            <w:pPr>
              <w:jc w:val="both"/>
              <w:rPr>
                <w:rFonts w:ascii="Arial Narrow" w:hAnsi="Arial Narrow" w:cs="Arial"/>
                <w:b/>
                <w:sz w:val="20"/>
                <w:szCs w:val="20"/>
              </w:rPr>
            </w:pPr>
            <w:r w:rsidRPr="00AC0F15">
              <w:rPr>
                <w:rFonts w:ascii="Arial Narrow" w:hAnsi="Arial Narrow" w:cs="Arial"/>
                <w:b/>
                <w:sz w:val="20"/>
                <w:szCs w:val="20"/>
              </w:rPr>
              <w:t>Administrative Advice</w:t>
            </w:r>
          </w:p>
          <w:p w:rsidR="000300CD" w:rsidRPr="00AC0F15" w:rsidRDefault="000300CD" w:rsidP="00D1241E">
            <w:pPr>
              <w:jc w:val="both"/>
              <w:rPr>
                <w:rFonts w:ascii="Arial Narrow" w:hAnsi="Arial Narrow" w:cs="Arial"/>
                <w:i/>
                <w:sz w:val="20"/>
                <w:szCs w:val="20"/>
              </w:rPr>
            </w:pPr>
            <w:r w:rsidRPr="00AC0F15">
              <w:rPr>
                <w:rFonts w:ascii="Arial Narrow" w:hAnsi="Arial Narrow" w:cs="Arial"/>
                <w:i/>
                <w:sz w:val="20"/>
                <w:szCs w:val="20"/>
              </w:rPr>
              <w:t>(not included in LI)</w:t>
            </w:r>
          </w:p>
          <w:p w:rsidR="000300CD" w:rsidRPr="00AC0F15" w:rsidRDefault="000300CD" w:rsidP="00D1241E">
            <w:pPr>
              <w:jc w:val="both"/>
              <w:rPr>
                <w:rFonts w:ascii="Arial Narrow" w:hAnsi="Arial Narrow" w:cs="Arial"/>
                <w:i/>
                <w:sz w:val="20"/>
                <w:szCs w:val="20"/>
              </w:rPr>
            </w:pPr>
          </w:p>
        </w:tc>
        <w:tc>
          <w:tcPr>
            <w:tcW w:w="6095" w:type="dxa"/>
            <w:gridSpan w:val="5"/>
            <w:tcBorders>
              <w:top w:val="single" w:sz="4" w:space="0" w:color="auto"/>
              <w:left w:val="single" w:sz="4" w:space="0" w:color="auto"/>
              <w:bottom w:val="single" w:sz="4" w:space="0" w:color="auto"/>
              <w:right w:val="single" w:sz="4" w:space="0" w:color="auto"/>
            </w:tcBorders>
          </w:tcPr>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Note: Patients must not be on a concomitant single agent long-acting beta-</w:t>
            </w:r>
            <w:r w:rsidRPr="00AC0F15">
              <w:rPr>
                <w:rFonts w:ascii="Arial Narrow" w:hAnsi="Arial Narrow" w:cs="Arial"/>
                <w:sz w:val="20"/>
                <w:szCs w:val="20"/>
                <w:vertAlign w:val="subscript"/>
              </w:rPr>
              <w:t>2</w:t>
            </w:r>
            <w:r w:rsidRPr="00AC0F15">
              <w:rPr>
                <w:rFonts w:ascii="Arial Narrow" w:hAnsi="Arial Narrow" w:cs="Arial"/>
                <w:sz w:val="20"/>
                <w:szCs w:val="20"/>
              </w:rPr>
              <w:t xml:space="preserve"> agonist. </w:t>
            </w:r>
          </w:p>
          <w:p w:rsidR="000300CD" w:rsidRPr="00AC0F15" w:rsidRDefault="000300CD" w:rsidP="00D1241E">
            <w:pPr>
              <w:rPr>
                <w:rFonts w:ascii="Arial Narrow" w:hAnsi="Arial Narrow" w:cs="Arial"/>
                <w:sz w:val="20"/>
                <w:szCs w:val="20"/>
              </w:rPr>
            </w:pPr>
          </w:p>
          <w:p w:rsidR="000300CD" w:rsidRPr="00AC0F15" w:rsidRDefault="000300CD" w:rsidP="00D1241E">
            <w:pPr>
              <w:rPr>
                <w:rFonts w:ascii="Arial Narrow" w:hAnsi="Arial Narrow" w:cs="Arial"/>
                <w:sz w:val="20"/>
                <w:szCs w:val="20"/>
              </w:rPr>
            </w:pPr>
            <w:r w:rsidRPr="00AC0F15">
              <w:rPr>
                <w:rFonts w:ascii="Arial Narrow" w:hAnsi="Arial Narrow" w:cs="Arial"/>
                <w:sz w:val="20"/>
                <w:szCs w:val="20"/>
              </w:rPr>
              <w:t>Note: This product is not indicated for the initiation of bronchodilator therapy in COPD.</w:t>
            </w:r>
          </w:p>
        </w:tc>
      </w:tr>
    </w:tbl>
    <w:p w:rsidR="009D3CAA" w:rsidRDefault="009D3CAA" w:rsidP="009D3CAA">
      <w:pPr>
        <w:rPr>
          <w:rFonts w:ascii="Arial" w:hAnsi="Arial"/>
        </w:rPr>
      </w:pPr>
    </w:p>
    <w:p w:rsidR="00A35734" w:rsidRPr="00A875B4" w:rsidRDefault="00A35734" w:rsidP="00A35734">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A35734" w:rsidRPr="00A875B4" w:rsidRDefault="00A35734" w:rsidP="00A35734">
      <w:pPr>
        <w:pStyle w:val="ListParagraph"/>
        <w:rPr>
          <w:rFonts w:ascii="Arial" w:hAnsi="Arial" w:cs="Arial"/>
          <w:b/>
          <w:sz w:val="22"/>
        </w:rPr>
      </w:pPr>
    </w:p>
    <w:p w:rsidR="00A35734" w:rsidRPr="00A875B4" w:rsidRDefault="00A35734" w:rsidP="00A35734">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35734" w:rsidRPr="00A875B4" w:rsidRDefault="00A35734" w:rsidP="00A35734">
      <w:pPr>
        <w:rPr>
          <w:rFonts w:ascii="Arial" w:hAnsi="Arial" w:cs="Arial"/>
          <w:sz w:val="22"/>
        </w:rPr>
      </w:pPr>
    </w:p>
    <w:p w:rsidR="00A35734" w:rsidRDefault="00A35734" w:rsidP="00A35734">
      <w:pPr>
        <w:pStyle w:val="ListParagraph"/>
        <w:numPr>
          <w:ilvl w:val="0"/>
          <w:numId w:val="25"/>
        </w:numPr>
        <w:jc w:val="both"/>
        <w:rPr>
          <w:rFonts w:ascii="Arial" w:hAnsi="Arial" w:cs="Arial"/>
          <w:b/>
          <w:sz w:val="22"/>
        </w:rPr>
      </w:pPr>
      <w:r w:rsidRPr="00A875B4">
        <w:rPr>
          <w:rFonts w:ascii="Arial" w:hAnsi="Arial" w:cs="Arial"/>
          <w:b/>
          <w:sz w:val="22"/>
        </w:rPr>
        <w:t>Sponsor’s Comment</w:t>
      </w:r>
    </w:p>
    <w:p w:rsidR="00EF545F" w:rsidRPr="00A875B4" w:rsidRDefault="00EF545F" w:rsidP="00EF545F">
      <w:pPr>
        <w:pStyle w:val="ListParagraph"/>
        <w:jc w:val="both"/>
        <w:rPr>
          <w:rFonts w:ascii="Arial" w:hAnsi="Arial" w:cs="Arial"/>
          <w:b/>
          <w:sz w:val="22"/>
        </w:rPr>
      </w:pPr>
    </w:p>
    <w:p w:rsidR="00A35734" w:rsidRPr="00FE06E6" w:rsidRDefault="00FE06E6" w:rsidP="00FE06E6">
      <w:pPr>
        <w:ind w:left="709"/>
        <w:rPr>
          <w:rFonts w:ascii="Arial" w:hAnsi="Arial"/>
        </w:rPr>
      </w:pPr>
      <w:r w:rsidRPr="00FE06E6">
        <w:rPr>
          <w:rFonts w:ascii="Arial" w:hAnsi="Arial"/>
          <w:sz w:val="22"/>
          <w:szCs w:val="22"/>
        </w:rPr>
        <w:t xml:space="preserve">GlaxoSmithKline welcomes the PBAC’s recommendation to list </w:t>
      </w:r>
      <w:proofErr w:type="spellStart"/>
      <w:r w:rsidRPr="00FE06E6">
        <w:rPr>
          <w:rFonts w:ascii="Arial" w:hAnsi="Arial"/>
          <w:sz w:val="22"/>
          <w:szCs w:val="22"/>
        </w:rPr>
        <w:t>Breo</w:t>
      </w:r>
      <w:proofErr w:type="spellEnd"/>
      <w:r w:rsidRPr="00FE06E6">
        <w:rPr>
          <w:rFonts w:ascii="Arial" w:hAnsi="Arial"/>
          <w:sz w:val="22"/>
          <w:szCs w:val="22"/>
        </w:rPr>
        <w:t xml:space="preserve"> 100/25mcg for the treatment of COPD on the PBS.</w:t>
      </w:r>
    </w:p>
    <w:sectPr w:rsidR="00A35734" w:rsidRPr="00FE06E6"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F73" w:rsidRDefault="00451F73">
      <w:r>
        <w:separator/>
      </w:r>
    </w:p>
  </w:endnote>
  <w:endnote w:type="continuationSeparator" w:id="0">
    <w:p w:rsidR="00451F73" w:rsidRDefault="0045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C0F15" w:rsidRDefault="00AC0F15">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B03661">
          <w:rPr>
            <w:rFonts w:ascii="Arial" w:hAnsi="Arial" w:cs="Arial"/>
            <w:noProof/>
            <w:sz w:val="20"/>
            <w:szCs w:val="20"/>
          </w:rPr>
          <w:t>6</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F73" w:rsidRDefault="00451F73">
      <w:r>
        <w:separator/>
      </w:r>
    </w:p>
  </w:footnote>
  <w:footnote w:type="continuationSeparator" w:id="0">
    <w:p w:rsidR="00451F73" w:rsidRDefault="00451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34" w:rsidRPr="00DF217D" w:rsidRDefault="00A35734" w:rsidP="00A35734">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A702109"/>
    <w:multiLevelType w:val="multilevel"/>
    <w:tmpl w:val="97F2B4B4"/>
    <w:lvl w:ilvl="0">
      <w:start w:val="7"/>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C925C25"/>
    <w:multiLevelType w:val="hybridMultilevel"/>
    <w:tmpl w:val="39C81F58"/>
    <w:lvl w:ilvl="0" w:tplc="49EC4F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4">
    <w:nsid w:val="784D033C"/>
    <w:multiLevelType w:val="multilevel"/>
    <w:tmpl w:val="6024B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30"/>
  </w:num>
  <w:num w:numId="3">
    <w:abstractNumId w:val="17"/>
  </w:num>
  <w:num w:numId="4">
    <w:abstractNumId w:val="0"/>
  </w:num>
  <w:num w:numId="5">
    <w:abstractNumId w:val="5"/>
  </w:num>
  <w:num w:numId="6">
    <w:abstractNumId w:val="16"/>
  </w:num>
  <w:num w:numId="7">
    <w:abstractNumId w:val="13"/>
  </w:num>
  <w:num w:numId="8">
    <w:abstractNumId w:val="4"/>
  </w:num>
  <w:num w:numId="9">
    <w:abstractNumId w:val="7"/>
  </w:num>
  <w:num w:numId="10">
    <w:abstractNumId w:val="28"/>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1"/>
  </w:num>
  <w:num w:numId="15">
    <w:abstractNumId w:val="24"/>
  </w:num>
  <w:num w:numId="16">
    <w:abstractNumId w:val="20"/>
  </w:num>
  <w:num w:numId="17">
    <w:abstractNumId w:val="33"/>
  </w:num>
  <w:num w:numId="18">
    <w:abstractNumId w:val="11"/>
  </w:num>
  <w:num w:numId="19">
    <w:abstractNumId w:val="14"/>
  </w:num>
  <w:num w:numId="20">
    <w:abstractNumId w:val="3"/>
  </w:num>
  <w:num w:numId="21">
    <w:abstractNumId w:val="27"/>
  </w:num>
  <w:num w:numId="22">
    <w:abstractNumId w:val="29"/>
  </w:num>
  <w:num w:numId="23">
    <w:abstractNumId w:val="35"/>
  </w:num>
  <w:num w:numId="24">
    <w:abstractNumId w:val="12"/>
  </w:num>
  <w:num w:numId="25">
    <w:abstractNumId w:val="34"/>
  </w:num>
  <w:num w:numId="26">
    <w:abstractNumId w:val="25"/>
  </w:num>
  <w:num w:numId="27">
    <w:abstractNumId w:val="10"/>
  </w:num>
  <w:num w:numId="28">
    <w:abstractNumId w:val="6"/>
  </w:num>
  <w:num w:numId="29">
    <w:abstractNumId w:val="22"/>
  </w:num>
  <w:num w:numId="30">
    <w:abstractNumId w:val="2"/>
  </w:num>
  <w:num w:numId="31">
    <w:abstractNumId w:val="23"/>
  </w:num>
  <w:num w:numId="32">
    <w:abstractNumId w:val="32"/>
  </w:num>
  <w:num w:numId="33">
    <w:abstractNumId w:val="21"/>
  </w:num>
  <w:num w:numId="34">
    <w:abstractNumId w:val="36"/>
  </w:num>
  <w:num w:numId="35">
    <w:abstractNumId w:val="9"/>
  </w:num>
  <w:num w:numId="36">
    <w:abstractNumId w:val="19"/>
  </w:num>
  <w:num w:numId="37">
    <w:abstractNumId w:val="26"/>
  </w:num>
  <w:num w:numId="38">
    <w:abstractNumId w:val="15"/>
  </w:num>
  <w:num w:numId="39">
    <w:abstractNumId w:val="1"/>
  </w:num>
  <w:num w:numId="4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DCA"/>
    <w:rsid w:val="00004679"/>
    <w:rsid w:val="0002464A"/>
    <w:rsid w:val="000300CD"/>
    <w:rsid w:val="0003106B"/>
    <w:rsid w:val="000421A1"/>
    <w:rsid w:val="0004240E"/>
    <w:rsid w:val="00045E26"/>
    <w:rsid w:val="000514B5"/>
    <w:rsid w:val="00060E64"/>
    <w:rsid w:val="00066755"/>
    <w:rsid w:val="000969AD"/>
    <w:rsid w:val="000B54F2"/>
    <w:rsid w:val="000B558D"/>
    <w:rsid w:val="000C6996"/>
    <w:rsid w:val="000D23BA"/>
    <w:rsid w:val="000E045A"/>
    <w:rsid w:val="000E681E"/>
    <w:rsid w:val="000F4E6A"/>
    <w:rsid w:val="001107BF"/>
    <w:rsid w:val="00123A3E"/>
    <w:rsid w:val="0012417C"/>
    <w:rsid w:val="00142395"/>
    <w:rsid w:val="00142714"/>
    <w:rsid w:val="001452ED"/>
    <w:rsid w:val="001579EF"/>
    <w:rsid w:val="00170268"/>
    <w:rsid w:val="001830CE"/>
    <w:rsid w:val="00196307"/>
    <w:rsid w:val="001B017F"/>
    <w:rsid w:val="001B0505"/>
    <w:rsid w:val="001B5129"/>
    <w:rsid w:val="001C1195"/>
    <w:rsid w:val="001C235F"/>
    <w:rsid w:val="00213CFB"/>
    <w:rsid w:val="00235E3D"/>
    <w:rsid w:val="00271BA1"/>
    <w:rsid w:val="00277505"/>
    <w:rsid w:val="002837E5"/>
    <w:rsid w:val="00286B22"/>
    <w:rsid w:val="0029458F"/>
    <w:rsid w:val="002A104C"/>
    <w:rsid w:val="002A4960"/>
    <w:rsid w:val="002B1AE6"/>
    <w:rsid w:val="002B2964"/>
    <w:rsid w:val="002B30F8"/>
    <w:rsid w:val="002C212F"/>
    <w:rsid w:val="002E72CA"/>
    <w:rsid w:val="002F06A3"/>
    <w:rsid w:val="00326E79"/>
    <w:rsid w:val="003367EF"/>
    <w:rsid w:val="00341AE4"/>
    <w:rsid w:val="003654D1"/>
    <w:rsid w:val="003A5B4A"/>
    <w:rsid w:val="003B23C5"/>
    <w:rsid w:val="003B2A75"/>
    <w:rsid w:val="003D4AC4"/>
    <w:rsid w:val="003D63B7"/>
    <w:rsid w:val="003E468B"/>
    <w:rsid w:val="003F5C8C"/>
    <w:rsid w:val="00434E8B"/>
    <w:rsid w:val="004352F4"/>
    <w:rsid w:val="004372DB"/>
    <w:rsid w:val="004465BD"/>
    <w:rsid w:val="0045060E"/>
    <w:rsid w:val="00451F73"/>
    <w:rsid w:val="00466ADA"/>
    <w:rsid w:val="00485940"/>
    <w:rsid w:val="004B5640"/>
    <w:rsid w:val="004C1BD7"/>
    <w:rsid w:val="004C691D"/>
    <w:rsid w:val="004C6A20"/>
    <w:rsid w:val="004D0B53"/>
    <w:rsid w:val="004E692D"/>
    <w:rsid w:val="005055DB"/>
    <w:rsid w:val="00514CD7"/>
    <w:rsid w:val="00534E2E"/>
    <w:rsid w:val="00544552"/>
    <w:rsid w:val="00581932"/>
    <w:rsid w:val="005963BB"/>
    <w:rsid w:val="005A0642"/>
    <w:rsid w:val="005A3173"/>
    <w:rsid w:val="005A3223"/>
    <w:rsid w:val="005A3DA3"/>
    <w:rsid w:val="005A52C4"/>
    <w:rsid w:val="005D03AB"/>
    <w:rsid w:val="005D5017"/>
    <w:rsid w:val="00601A91"/>
    <w:rsid w:val="00602BA3"/>
    <w:rsid w:val="00614159"/>
    <w:rsid w:val="00617C00"/>
    <w:rsid w:val="006239C0"/>
    <w:rsid w:val="006263BF"/>
    <w:rsid w:val="00630A2C"/>
    <w:rsid w:val="00651169"/>
    <w:rsid w:val="00653D69"/>
    <w:rsid w:val="00670A76"/>
    <w:rsid w:val="006711AA"/>
    <w:rsid w:val="006723CC"/>
    <w:rsid w:val="00675622"/>
    <w:rsid w:val="006906DB"/>
    <w:rsid w:val="006A12A5"/>
    <w:rsid w:val="006A489A"/>
    <w:rsid w:val="006B0D94"/>
    <w:rsid w:val="006B485D"/>
    <w:rsid w:val="006C708E"/>
    <w:rsid w:val="006D6EC7"/>
    <w:rsid w:val="006F1BE9"/>
    <w:rsid w:val="006F4808"/>
    <w:rsid w:val="006F5125"/>
    <w:rsid w:val="00711731"/>
    <w:rsid w:val="007174BB"/>
    <w:rsid w:val="007753C2"/>
    <w:rsid w:val="007838B8"/>
    <w:rsid w:val="00795EB7"/>
    <w:rsid w:val="007B37E4"/>
    <w:rsid w:val="007C0F57"/>
    <w:rsid w:val="007C40B6"/>
    <w:rsid w:val="007C729F"/>
    <w:rsid w:val="007E1D28"/>
    <w:rsid w:val="007F2641"/>
    <w:rsid w:val="007F7C36"/>
    <w:rsid w:val="00801965"/>
    <w:rsid w:val="00806796"/>
    <w:rsid w:val="00856DDD"/>
    <w:rsid w:val="00863E68"/>
    <w:rsid w:val="00875636"/>
    <w:rsid w:val="00882085"/>
    <w:rsid w:val="00883188"/>
    <w:rsid w:val="00897D58"/>
    <w:rsid w:val="008A44A9"/>
    <w:rsid w:val="008A4937"/>
    <w:rsid w:val="008B70E0"/>
    <w:rsid w:val="008D3C82"/>
    <w:rsid w:val="008D447E"/>
    <w:rsid w:val="008E3680"/>
    <w:rsid w:val="008E5870"/>
    <w:rsid w:val="008F1434"/>
    <w:rsid w:val="008F7355"/>
    <w:rsid w:val="009067B7"/>
    <w:rsid w:val="00916E13"/>
    <w:rsid w:val="00930937"/>
    <w:rsid w:val="00933E6C"/>
    <w:rsid w:val="00942160"/>
    <w:rsid w:val="009602C5"/>
    <w:rsid w:val="00974C21"/>
    <w:rsid w:val="009A216A"/>
    <w:rsid w:val="009C703C"/>
    <w:rsid w:val="009D3CAA"/>
    <w:rsid w:val="009F5B65"/>
    <w:rsid w:val="009F5F2E"/>
    <w:rsid w:val="00A06225"/>
    <w:rsid w:val="00A35734"/>
    <w:rsid w:val="00A37C8D"/>
    <w:rsid w:val="00A5273B"/>
    <w:rsid w:val="00A53A9D"/>
    <w:rsid w:val="00A57257"/>
    <w:rsid w:val="00A62C1A"/>
    <w:rsid w:val="00A6426D"/>
    <w:rsid w:val="00A70622"/>
    <w:rsid w:val="00A70977"/>
    <w:rsid w:val="00A831A3"/>
    <w:rsid w:val="00A8390C"/>
    <w:rsid w:val="00AA4D1C"/>
    <w:rsid w:val="00AC0F15"/>
    <w:rsid w:val="00AC5206"/>
    <w:rsid w:val="00AE11A5"/>
    <w:rsid w:val="00AE1CCE"/>
    <w:rsid w:val="00AF5432"/>
    <w:rsid w:val="00AF68CC"/>
    <w:rsid w:val="00B03661"/>
    <w:rsid w:val="00B1176B"/>
    <w:rsid w:val="00B205AA"/>
    <w:rsid w:val="00B25F75"/>
    <w:rsid w:val="00B43E90"/>
    <w:rsid w:val="00B56118"/>
    <w:rsid w:val="00B6773F"/>
    <w:rsid w:val="00BA6534"/>
    <w:rsid w:val="00BB6328"/>
    <w:rsid w:val="00BB69F5"/>
    <w:rsid w:val="00BB7EC3"/>
    <w:rsid w:val="00BC036C"/>
    <w:rsid w:val="00BC4B9A"/>
    <w:rsid w:val="00BD53FA"/>
    <w:rsid w:val="00BD784C"/>
    <w:rsid w:val="00BF4CB6"/>
    <w:rsid w:val="00C12768"/>
    <w:rsid w:val="00C35996"/>
    <w:rsid w:val="00C5342C"/>
    <w:rsid w:val="00C6256A"/>
    <w:rsid w:val="00C66665"/>
    <w:rsid w:val="00C91449"/>
    <w:rsid w:val="00C92D10"/>
    <w:rsid w:val="00CD7CCF"/>
    <w:rsid w:val="00CE10C4"/>
    <w:rsid w:val="00CE27B5"/>
    <w:rsid w:val="00CF2673"/>
    <w:rsid w:val="00D0321E"/>
    <w:rsid w:val="00D3280C"/>
    <w:rsid w:val="00D3406A"/>
    <w:rsid w:val="00D469B2"/>
    <w:rsid w:val="00D741EB"/>
    <w:rsid w:val="00D77921"/>
    <w:rsid w:val="00D81540"/>
    <w:rsid w:val="00D91271"/>
    <w:rsid w:val="00DA4BAC"/>
    <w:rsid w:val="00DA7E25"/>
    <w:rsid w:val="00DE6D27"/>
    <w:rsid w:val="00DF217D"/>
    <w:rsid w:val="00DF26A7"/>
    <w:rsid w:val="00E164B3"/>
    <w:rsid w:val="00E16910"/>
    <w:rsid w:val="00E16EA8"/>
    <w:rsid w:val="00E65E54"/>
    <w:rsid w:val="00E678DA"/>
    <w:rsid w:val="00E80155"/>
    <w:rsid w:val="00E848C0"/>
    <w:rsid w:val="00E91B96"/>
    <w:rsid w:val="00E941A1"/>
    <w:rsid w:val="00E95CE3"/>
    <w:rsid w:val="00EA2825"/>
    <w:rsid w:val="00EB5088"/>
    <w:rsid w:val="00ED1644"/>
    <w:rsid w:val="00EF545F"/>
    <w:rsid w:val="00F050BD"/>
    <w:rsid w:val="00F05657"/>
    <w:rsid w:val="00F1523A"/>
    <w:rsid w:val="00F25578"/>
    <w:rsid w:val="00F258E5"/>
    <w:rsid w:val="00F300BC"/>
    <w:rsid w:val="00F3334E"/>
    <w:rsid w:val="00F40B3E"/>
    <w:rsid w:val="00F50EC4"/>
    <w:rsid w:val="00F57A6D"/>
    <w:rsid w:val="00F638CC"/>
    <w:rsid w:val="00F8247A"/>
    <w:rsid w:val="00FA5883"/>
    <w:rsid w:val="00FA6055"/>
    <w:rsid w:val="00FB322F"/>
    <w:rsid w:val="00FB442F"/>
    <w:rsid w:val="00FC1929"/>
    <w:rsid w:val="00FC5B46"/>
    <w:rsid w:val="00FE06E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Normalfont">
    <w:name w:val="Normal font"/>
    <w:uiPriority w:val="1"/>
    <w:qFormat/>
    <w:rsid w:val="00CD7CCF"/>
    <w:rPr>
      <w:rFonts w:ascii="Candara" w:hAnsi="Candara"/>
      <w:sz w:val="24"/>
    </w:rPr>
  </w:style>
  <w:style w:type="paragraph" w:styleId="Revision">
    <w:name w:val="Revision"/>
    <w:hidden/>
    <w:uiPriority w:val="71"/>
    <w:rsid w:val="001B0505"/>
    <w:rPr>
      <w:sz w:val="24"/>
      <w:szCs w:val="24"/>
    </w:rPr>
  </w:style>
  <w:style w:type="character" w:customStyle="1" w:styleId="ListParagraphChar">
    <w:name w:val="List Paragraph Char"/>
    <w:link w:val="ListParagraph"/>
    <w:uiPriority w:val="72"/>
    <w:locked/>
    <w:rsid w:val="00A357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Normalfont">
    <w:name w:val="Normal font"/>
    <w:uiPriority w:val="1"/>
    <w:qFormat/>
    <w:rsid w:val="00CD7CCF"/>
    <w:rPr>
      <w:rFonts w:ascii="Candara" w:hAnsi="Candara"/>
      <w:sz w:val="24"/>
    </w:rPr>
  </w:style>
  <w:style w:type="paragraph" w:styleId="Revision">
    <w:name w:val="Revision"/>
    <w:hidden/>
    <w:uiPriority w:val="71"/>
    <w:rsid w:val="001B0505"/>
    <w:rPr>
      <w:sz w:val="24"/>
      <w:szCs w:val="24"/>
    </w:rPr>
  </w:style>
  <w:style w:type="character" w:customStyle="1" w:styleId="ListParagraphChar">
    <w:name w:val="List Paragraph Char"/>
    <w:link w:val="ListParagraph"/>
    <w:uiPriority w:val="72"/>
    <w:locked/>
    <w:rsid w:val="00A357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9477-C0CD-4ED9-83AF-BE6F05A8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2090</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2014-08-01T03:43:00Z</cp:lastPrinted>
  <dcterms:created xsi:type="dcterms:W3CDTF">2014-10-16T03:48:00Z</dcterms:created>
  <dcterms:modified xsi:type="dcterms:W3CDTF">2014-11-03T03:38:00Z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