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5B" w:rsidRPr="00B71C0A" w:rsidRDefault="006E0243" w:rsidP="00B71C0A">
      <w:pPr>
        <w:pStyle w:val="Heading1"/>
        <w:rPr>
          <w:sz w:val="32"/>
          <w:szCs w:val="32"/>
        </w:rPr>
      </w:pPr>
      <w:r w:rsidRPr="00B71C0A">
        <w:rPr>
          <w:sz w:val="32"/>
          <w:szCs w:val="32"/>
        </w:rPr>
        <w:t>14</w:t>
      </w:r>
      <w:r w:rsidR="0004240E" w:rsidRPr="00B71C0A">
        <w:rPr>
          <w:sz w:val="32"/>
          <w:szCs w:val="32"/>
        </w:rPr>
        <w:t>.</w:t>
      </w:r>
      <w:r w:rsidRPr="00B71C0A">
        <w:rPr>
          <w:sz w:val="32"/>
          <w:szCs w:val="32"/>
        </w:rPr>
        <w:t>2</w:t>
      </w:r>
      <w:r w:rsidR="007C0F57" w:rsidRPr="00B71C0A">
        <w:rPr>
          <w:sz w:val="32"/>
          <w:szCs w:val="32"/>
        </w:rPr>
        <w:tab/>
      </w:r>
      <w:r w:rsidRPr="00B71C0A">
        <w:rPr>
          <w:sz w:val="32"/>
          <w:szCs w:val="32"/>
        </w:rPr>
        <w:t xml:space="preserve">ESCITALOPRAM, 20 mg/mL oral liquid, 15 mL, </w:t>
      </w:r>
    </w:p>
    <w:p w:rsidR="006E0243" w:rsidRPr="00B71C0A" w:rsidRDefault="006E0243" w:rsidP="00B71C0A">
      <w:pPr>
        <w:pStyle w:val="Heading1"/>
        <w:rPr>
          <w:sz w:val="32"/>
          <w:szCs w:val="32"/>
        </w:rPr>
      </w:pPr>
      <w:r w:rsidRPr="00B71C0A">
        <w:rPr>
          <w:sz w:val="32"/>
          <w:szCs w:val="32"/>
        </w:rPr>
        <w:t>Lexapro</w:t>
      </w:r>
      <w:r w:rsidRPr="00B71C0A">
        <w:rPr>
          <w:sz w:val="32"/>
          <w:szCs w:val="32"/>
          <w:vertAlign w:val="superscript"/>
        </w:rPr>
        <w:t>®</w:t>
      </w:r>
      <w:r w:rsidRPr="00B71C0A">
        <w:rPr>
          <w:sz w:val="32"/>
          <w:szCs w:val="32"/>
        </w:rPr>
        <w:t>, Lundbeck Australia Pty Ltd</w:t>
      </w:r>
    </w:p>
    <w:p w:rsidR="00CE10C4" w:rsidRPr="008B43F9" w:rsidRDefault="00CE10C4" w:rsidP="00A5273B">
      <w:pPr>
        <w:rPr>
          <w:rFonts w:ascii="Arial" w:hAnsi="Arial"/>
          <w:b/>
        </w:rPr>
      </w:pPr>
    </w:p>
    <w:p w:rsidR="00CE10C4" w:rsidRPr="008B43F9" w:rsidRDefault="00CE10C4" w:rsidP="0047015B">
      <w:pPr>
        <w:pStyle w:val="ListParagraph"/>
        <w:numPr>
          <w:ilvl w:val="0"/>
          <w:numId w:val="25"/>
        </w:numPr>
        <w:jc w:val="both"/>
        <w:rPr>
          <w:rFonts w:ascii="Arial" w:hAnsi="Arial"/>
          <w:b/>
          <w:sz w:val="22"/>
          <w:szCs w:val="22"/>
        </w:rPr>
      </w:pPr>
      <w:r w:rsidRPr="008B43F9">
        <w:rPr>
          <w:rFonts w:ascii="Arial" w:hAnsi="Arial"/>
          <w:b/>
          <w:sz w:val="22"/>
          <w:szCs w:val="22"/>
        </w:rPr>
        <w:t xml:space="preserve">Purpose of </w:t>
      </w:r>
      <w:r w:rsidR="0004240E" w:rsidRPr="008B43F9">
        <w:rPr>
          <w:rFonts w:ascii="Arial" w:hAnsi="Arial"/>
          <w:b/>
          <w:sz w:val="22"/>
          <w:szCs w:val="22"/>
        </w:rPr>
        <w:t>Application</w:t>
      </w:r>
    </w:p>
    <w:p w:rsidR="006A12A5" w:rsidRPr="008B43F9" w:rsidRDefault="006A12A5" w:rsidP="00882085">
      <w:pPr>
        <w:jc w:val="both"/>
        <w:rPr>
          <w:rFonts w:ascii="Arial" w:hAnsi="Arial"/>
          <w:sz w:val="22"/>
          <w:szCs w:val="22"/>
        </w:rPr>
      </w:pPr>
    </w:p>
    <w:p w:rsidR="004E1B86" w:rsidRPr="008B43F9" w:rsidRDefault="004E1B86" w:rsidP="004E1B86">
      <w:pPr>
        <w:pStyle w:val="ListParagraph"/>
        <w:numPr>
          <w:ilvl w:val="1"/>
          <w:numId w:val="25"/>
        </w:numPr>
        <w:jc w:val="both"/>
        <w:rPr>
          <w:rFonts w:ascii="Arial" w:hAnsi="Arial"/>
          <w:sz w:val="22"/>
          <w:szCs w:val="22"/>
        </w:rPr>
      </w:pPr>
      <w:r w:rsidRPr="008B43F9">
        <w:rPr>
          <w:rFonts w:ascii="Arial" w:hAnsi="Arial"/>
          <w:sz w:val="22"/>
          <w:szCs w:val="22"/>
        </w:rPr>
        <w:t>To request listing of a new strength as a Restricted benefit for major depressive disorders, generalised anxiety disorders and social anxiety disorder. The submission also request</w:t>
      </w:r>
      <w:r w:rsidR="006E0243" w:rsidRPr="008B43F9">
        <w:rPr>
          <w:rFonts w:ascii="Arial" w:hAnsi="Arial"/>
          <w:sz w:val="22"/>
          <w:szCs w:val="22"/>
        </w:rPr>
        <w:t>ed</w:t>
      </w:r>
      <w:r w:rsidRPr="008B43F9">
        <w:rPr>
          <w:rFonts w:ascii="Arial" w:hAnsi="Arial"/>
          <w:sz w:val="22"/>
          <w:szCs w:val="22"/>
        </w:rPr>
        <w:t xml:space="preserve"> delisting the existing listed 10 mg/mL strength.</w:t>
      </w:r>
    </w:p>
    <w:p w:rsidR="004E1B86" w:rsidRPr="008B43F9" w:rsidRDefault="004E1B86" w:rsidP="004E1B86">
      <w:pPr>
        <w:pStyle w:val="ListParagraph"/>
        <w:jc w:val="both"/>
        <w:rPr>
          <w:rFonts w:ascii="Arial" w:hAnsi="Arial"/>
          <w:sz w:val="22"/>
          <w:szCs w:val="22"/>
        </w:rPr>
      </w:pPr>
    </w:p>
    <w:p w:rsidR="004E1B86" w:rsidRPr="008B43F9" w:rsidRDefault="004E1B86" w:rsidP="004E1B86">
      <w:pPr>
        <w:pStyle w:val="ListParagraph"/>
        <w:numPr>
          <w:ilvl w:val="1"/>
          <w:numId w:val="25"/>
        </w:numPr>
        <w:jc w:val="both"/>
        <w:rPr>
          <w:rFonts w:ascii="Arial" w:hAnsi="Arial"/>
          <w:sz w:val="22"/>
          <w:szCs w:val="22"/>
        </w:rPr>
      </w:pPr>
      <w:r w:rsidRPr="008B43F9">
        <w:rPr>
          <w:rFonts w:ascii="Arial" w:hAnsi="Arial"/>
          <w:sz w:val="22"/>
          <w:szCs w:val="22"/>
        </w:rPr>
        <w:t>The submission request</w:t>
      </w:r>
      <w:r w:rsidR="006E0243" w:rsidRPr="008B43F9">
        <w:rPr>
          <w:rFonts w:ascii="Arial" w:hAnsi="Arial"/>
          <w:sz w:val="22"/>
          <w:szCs w:val="22"/>
        </w:rPr>
        <w:t>ed</w:t>
      </w:r>
      <w:r w:rsidRPr="008B43F9">
        <w:rPr>
          <w:rFonts w:ascii="Arial" w:hAnsi="Arial"/>
          <w:sz w:val="22"/>
          <w:szCs w:val="22"/>
        </w:rPr>
        <w:t xml:space="preserve"> exempt item status</w:t>
      </w:r>
      <w:r w:rsidRPr="008B43F9">
        <w:rPr>
          <w:rFonts w:ascii="Arial" w:hAnsi="Arial"/>
          <w:sz w:val="22"/>
          <w:szCs w:val="22"/>
          <w:lang w:val="en-US"/>
        </w:rPr>
        <w:t xml:space="preserve"> and </w:t>
      </w:r>
      <w:r w:rsidR="00A15465" w:rsidRPr="008B43F9">
        <w:rPr>
          <w:rFonts w:ascii="Arial" w:hAnsi="Arial"/>
          <w:sz w:val="22"/>
          <w:szCs w:val="22"/>
          <w:lang w:val="en-US"/>
        </w:rPr>
        <w:t>sought</w:t>
      </w:r>
      <w:r w:rsidRPr="008B43F9">
        <w:rPr>
          <w:rFonts w:ascii="Arial" w:hAnsi="Arial"/>
          <w:sz w:val="22"/>
          <w:szCs w:val="22"/>
          <w:lang w:val="en-US"/>
        </w:rPr>
        <w:t xml:space="preserve"> the PBAC’s advice under subsection 101(4AB) of the </w:t>
      </w:r>
      <w:r w:rsidRPr="008B43F9">
        <w:rPr>
          <w:rFonts w:ascii="Arial" w:hAnsi="Arial"/>
          <w:i/>
          <w:sz w:val="22"/>
          <w:szCs w:val="22"/>
          <w:lang w:val="en-US"/>
        </w:rPr>
        <w:t>National Health Act 1953</w:t>
      </w:r>
      <w:r w:rsidRPr="008B43F9">
        <w:rPr>
          <w:rFonts w:ascii="Arial" w:hAnsi="Arial"/>
          <w:sz w:val="22"/>
          <w:szCs w:val="22"/>
          <w:lang w:val="en-US"/>
        </w:rPr>
        <w:t xml:space="preserve"> regarding Section 84AH exemption criteria</w:t>
      </w:r>
      <w:r w:rsidRPr="008B43F9">
        <w:rPr>
          <w:rFonts w:ascii="Arial" w:hAnsi="Arial"/>
          <w:sz w:val="22"/>
          <w:szCs w:val="22"/>
        </w:rPr>
        <w:t>.</w:t>
      </w:r>
    </w:p>
    <w:p w:rsidR="004E1B86" w:rsidRPr="008B43F9" w:rsidRDefault="004E1B86" w:rsidP="004E1B86">
      <w:pPr>
        <w:pStyle w:val="ListParagraph"/>
        <w:jc w:val="both"/>
        <w:rPr>
          <w:rFonts w:ascii="Arial" w:hAnsi="Arial"/>
          <w:sz w:val="22"/>
          <w:szCs w:val="22"/>
        </w:rPr>
      </w:pPr>
    </w:p>
    <w:p w:rsidR="004E1B86" w:rsidRPr="008B43F9" w:rsidRDefault="004E1B86" w:rsidP="004E1B86">
      <w:pPr>
        <w:pStyle w:val="ListParagraph"/>
        <w:numPr>
          <w:ilvl w:val="1"/>
          <w:numId w:val="25"/>
        </w:numPr>
        <w:jc w:val="both"/>
        <w:rPr>
          <w:rFonts w:ascii="Arial" w:hAnsi="Arial"/>
          <w:b/>
          <w:sz w:val="22"/>
          <w:szCs w:val="22"/>
        </w:rPr>
      </w:pPr>
      <w:r w:rsidRPr="008B43F9">
        <w:rPr>
          <w:rFonts w:ascii="Arial" w:hAnsi="Arial"/>
          <w:sz w:val="22"/>
          <w:szCs w:val="22"/>
        </w:rPr>
        <w:t>The submission also request</w:t>
      </w:r>
      <w:r w:rsidR="006E0243" w:rsidRPr="008B43F9">
        <w:rPr>
          <w:rFonts w:ascii="Arial" w:hAnsi="Arial"/>
          <w:sz w:val="22"/>
          <w:szCs w:val="22"/>
        </w:rPr>
        <w:t>ed</w:t>
      </w:r>
      <w:r w:rsidRPr="008B43F9">
        <w:rPr>
          <w:rFonts w:ascii="Arial" w:hAnsi="Arial"/>
          <w:sz w:val="22"/>
          <w:szCs w:val="22"/>
        </w:rPr>
        <w:t xml:space="preserve"> amendments to the Medicare item numbers for alignment with the Medicare Benefits Schedule. </w:t>
      </w:r>
    </w:p>
    <w:p w:rsidR="006A12A5" w:rsidRPr="008B43F9" w:rsidRDefault="006A12A5" w:rsidP="004E1B86">
      <w:pPr>
        <w:pStyle w:val="ListParagraph"/>
        <w:jc w:val="both"/>
        <w:rPr>
          <w:rFonts w:ascii="Arial" w:hAnsi="Arial"/>
          <w:b/>
          <w:sz w:val="22"/>
          <w:szCs w:val="22"/>
        </w:rPr>
      </w:pPr>
    </w:p>
    <w:p w:rsidR="00614159" w:rsidRPr="008B43F9" w:rsidRDefault="006A12A5" w:rsidP="00882085">
      <w:pPr>
        <w:pStyle w:val="ListParagraph"/>
        <w:numPr>
          <w:ilvl w:val="0"/>
          <w:numId w:val="25"/>
        </w:numPr>
        <w:jc w:val="both"/>
        <w:rPr>
          <w:rFonts w:ascii="Arial" w:hAnsi="Arial"/>
          <w:b/>
          <w:sz w:val="22"/>
          <w:szCs w:val="22"/>
        </w:rPr>
      </w:pPr>
      <w:r w:rsidRPr="008B43F9">
        <w:rPr>
          <w:rFonts w:ascii="Arial" w:hAnsi="Arial"/>
          <w:b/>
          <w:sz w:val="22"/>
          <w:szCs w:val="22"/>
        </w:rPr>
        <w:t>Requested listing</w:t>
      </w:r>
    </w:p>
    <w:p w:rsidR="006A12A5" w:rsidRPr="008B43F9" w:rsidRDefault="006A12A5" w:rsidP="00882085">
      <w:pPr>
        <w:jc w:val="both"/>
        <w:rPr>
          <w:rFonts w:ascii="Arial" w:hAnsi="Arial"/>
          <w:b/>
          <w:sz w:val="22"/>
          <w:szCs w:val="22"/>
        </w:rPr>
      </w:pPr>
    </w:p>
    <w:p w:rsidR="004E1B86" w:rsidRPr="008B43F9" w:rsidRDefault="004E1B86" w:rsidP="004E1B86">
      <w:pPr>
        <w:pStyle w:val="ListParagraph"/>
        <w:numPr>
          <w:ilvl w:val="1"/>
          <w:numId w:val="25"/>
        </w:numPr>
        <w:jc w:val="both"/>
        <w:rPr>
          <w:rFonts w:ascii="Arial" w:hAnsi="Arial"/>
          <w:bCs/>
          <w:sz w:val="22"/>
          <w:szCs w:val="22"/>
        </w:rPr>
      </w:pPr>
      <w:r w:rsidRPr="008B43F9">
        <w:rPr>
          <w:rFonts w:ascii="Arial" w:hAnsi="Arial"/>
          <w:bCs/>
          <w:sz w:val="22"/>
          <w:szCs w:val="22"/>
        </w:rPr>
        <w:t>The submission requested listing of the new strength formulation with similar restrictions as those applying to the current 10 mg/mL formulation as detailed in the table below.</w:t>
      </w:r>
    </w:p>
    <w:p w:rsidR="004E1B86" w:rsidRPr="008B43F9" w:rsidRDefault="004E1B86" w:rsidP="004E1B86">
      <w:pPr>
        <w:pStyle w:val="ListParagraph"/>
        <w:jc w:val="both"/>
        <w:rPr>
          <w:rFonts w:ascii="Arial" w:hAnsi="Arial"/>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current and proposed listing"/>
      </w:tblPr>
      <w:tblGrid>
        <w:gridCol w:w="1843"/>
        <w:gridCol w:w="3260"/>
        <w:gridCol w:w="3260"/>
      </w:tblGrid>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Current listing</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Proposed listing</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Aust approved name</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Escitalopram oxalate</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Escitalopram oxalate</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Brand name</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Lexapro</w:t>
            </w:r>
            <w:r w:rsidRPr="008B43F9">
              <w:rPr>
                <w:rFonts w:ascii="Arial Narrow" w:hAnsi="Arial Narrow"/>
                <w:b/>
                <w:sz w:val="20"/>
                <w:szCs w:val="20"/>
              </w:rPr>
              <w:t>®</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Lexapro</w:t>
            </w:r>
            <w:r w:rsidRPr="008B43F9">
              <w:rPr>
                <w:rFonts w:ascii="Arial Narrow" w:hAnsi="Arial Narrow"/>
                <w:b/>
                <w:sz w:val="20"/>
                <w:szCs w:val="20"/>
              </w:rPr>
              <w:t>®</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Pharmaceutical form</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Oral liquid</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Oral liquid</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Strength</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10 mg/mL</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20 mg/mL</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Pack size (mL)</w:t>
            </w:r>
          </w:p>
        </w:tc>
        <w:tc>
          <w:tcPr>
            <w:tcW w:w="3260" w:type="dxa"/>
            <w:shd w:val="clear" w:color="auto" w:fill="auto"/>
          </w:tcPr>
          <w:p w:rsidR="004E1B86" w:rsidRPr="008B43F9" w:rsidRDefault="004E1B86" w:rsidP="00B71C0A">
            <w:pPr>
              <w:tabs>
                <w:tab w:val="right" w:pos="3044"/>
              </w:tabs>
              <w:autoSpaceDE w:val="0"/>
              <w:autoSpaceDN w:val="0"/>
              <w:adjustRightInd w:val="0"/>
              <w:rPr>
                <w:rFonts w:ascii="Arial Narrow" w:hAnsi="Arial Narrow" w:cs="Calibri"/>
                <w:sz w:val="20"/>
                <w:szCs w:val="20"/>
              </w:rPr>
            </w:pPr>
            <w:r w:rsidRPr="008B43F9">
              <w:rPr>
                <w:rFonts w:ascii="Arial Narrow" w:hAnsi="Arial Narrow" w:cs="Calibri"/>
                <w:sz w:val="20"/>
                <w:szCs w:val="20"/>
              </w:rPr>
              <w:t>28</w:t>
            </w:r>
            <w:r w:rsidR="00B71C0A">
              <w:rPr>
                <w:rFonts w:ascii="Arial Narrow" w:hAnsi="Arial Narrow" w:cs="Calibri"/>
                <w:sz w:val="20"/>
                <w:szCs w:val="20"/>
              </w:rPr>
              <w:tab/>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15</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Pack size (mg)</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280</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300</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Maximum quantity</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1</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1</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Number of repeats</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5</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5</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PBS code</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8849R</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To be confirmed</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DPMQ</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$34.51</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$ 36.50 (requested)</w:t>
            </w:r>
          </w:p>
        </w:tc>
      </w:tr>
      <w:tr w:rsidR="004E1B86" w:rsidRPr="008B43F9" w:rsidTr="00EC3DB2">
        <w:tc>
          <w:tcPr>
            <w:tcW w:w="1843"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PBS restriction</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Major depressive disorders</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cs="Calibri"/>
                <w:sz w:val="20"/>
                <w:szCs w:val="20"/>
              </w:rPr>
            </w:pPr>
            <w:r w:rsidRPr="008B43F9">
              <w:rPr>
                <w:rFonts w:ascii="Arial Narrow" w:hAnsi="Arial Narrow" w:cs="Calibri"/>
                <w:sz w:val="20"/>
                <w:szCs w:val="20"/>
              </w:rPr>
              <w:t>Moderate to severe generalised anxiety disorder (GAD), as defined by Diagnostic and Statistical Manual of Mental Disorders, Fourth Edition (DSM-IV) criteria, in a patient who has not responded to non-pharmacological therapy and for whom a GP Mental Health Care Plan, as described under item 2710 of the Medicare Benefits Schedule, has been prepared.</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t xml:space="preserve">Moderate to severe generalised anxiety disorder (GAD), as defined by Diagnostic and Statistical Manual of Mental Disorders, Fourth Edition (DSM-IV) criteria, in a patient who has not responded to non-pharmacological therapy and who has been assessed by a psychiatrist </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lastRenderedPageBreak/>
              <w:t xml:space="preserve">Continuing PBS-subsidised treatment, for moderate to severe generalised anxiety disorder (GAD), of a patient commenced on escitalopram prior to 1 November 2008 </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t xml:space="preserve">Moderate to severe social anxiety disorder (social phobia, SAD), as described by Diagnostic and Statistical Manual of Mental Disorders, Fourth Edition (DSM-IV) criteria, in a patient who has not responded to non-pharmacological therapy and for whom a GP Mental Health Care Plan, as described under item 2710 of the Medicare Benefits Schedule, has been prepared </w:t>
            </w:r>
          </w:p>
          <w:p w:rsidR="004E1B86" w:rsidRPr="008B43F9" w:rsidRDefault="004E1B86" w:rsidP="004E1B86">
            <w:pPr>
              <w:shd w:val="clear" w:color="auto" w:fill="FFFFFF"/>
              <w:rPr>
                <w:rFonts w:ascii="Arial Narrow" w:hAnsi="Arial Narrow"/>
                <w:b/>
                <w:sz w:val="20"/>
                <w:szCs w:val="20"/>
              </w:rPr>
            </w:pPr>
            <w:r w:rsidRPr="008B43F9">
              <w:rPr>
                <w:rFonts w:ascii="Arial Narrow" w:hAnsi="Arial Narrow"/>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t xml:space="preserve">Moderate to severe social anxiety disorder (social phobia, SAD), as described by Diagnostic and Statistical Manual of Mental Disorders, Fourth Edition (DSM-IV) criteria, in a patient who has not responded to non-pharmacological therapy and who has been assessed by a psychiatrist </w:t>
            </w:r>
          </w:p>
          <w:p w:rsidR="004E1B86" w:rsidRPr="008B43F9" w:rsidRDefault="004E1B86" w:rsidP="004E1B86">
            <w:pPr>
              <w:shd w:val="clear" w:color="auto" w:fill="FFFFFF"/>
              <w:rPr>
                <w:rFonts w:ascii="Arial Narrow" w:hAnsi="Arial Narrow"/>
                <w:b/>
                <w:sz w:val="20"/>
                <w:szCs w:val="20"/>
              </w:rPr>
            </w:pPr>
            <w:r w:rsidRPr="008B43F9">
              <w:rPr>
                <w:rFonts w:ascii="Arial Narrow" w:hAnsi="Arial Narrow"/>
                <w:b/>
                <w:sz w:val="20"/>
                <w:szCs w:val="20"/>
              </w:rPr>
              <w:t>Restricted benefit</w:t>
            </w:r>
          </w:p>
          <w:p w:rsidR="004E1B86" w:rsidRPr="008B43F9" w:rsidRDefault="004E1B86" w:rsidP="004E1B86">
            <w:pPr>
              <w:shd w:val="clear" w:color="auto" w:fill="FFFFFF"/>
              <w:rPr>
                <w:rFonts w:ascii="Arial Narrow" w:hAnsi="Arial Narrow" w:cs="Calibri"/>
                <w:sz w:val="20"/>
                <w:szCs w:val="20"/>
              </w:rPr>
            </w:pPr>
            <w:r w:rsidRPr="008B43F9">
              <w:rPr>
                <w:rFonts w:ascii="Arial Narrow" w:hAnsi="Arial Narrow"/>
                <w:sz w:val="20"/>
                <w:szCs w:val="20"/>
              </w:rPr>
              <w:t>Continuing PBS-subsidised treatment, for moderate to severe social anxiety disorder (social phobia, SAD), of a patient commenced on escitalopram prior to 1 November 2008</w:t>
            </w:r>
          </w:p>
        </w:tc>
        <w:tc>
          <w:tcPr>
            <w:tcW w:w="3260" w:type="dxa"/>
            <w:shd w:val="clear" w:color="auto" w:fill="auto"/>
          </w:tcPr>
          <w:p w:rsidR="004E1B86" w:rsidRPr="008B43F9" w:rsidRDefault="004E1B86" w:rsidP="004E1B86">
            <w:pPr>
              <w:autoSpaceDE w:val="0"/>
              <w:autoSpaceDN w:val="0"/>
              <w:adjustRightInd w:val="0"/>
              <w:rPr>
                <w:rFonts w:ascii="Arial Narrow" w:hAnsi="Arial Narrow" w:cs="Calibri"/>
                <w:b/>
                <w:sz w:val="20"/>
                <w:szCs w:val="20"/>
              </w:rPr>
            </w:pPr>
            <w:r w:rsidRPr="008B43F9">
              <w:rPr>
                <w:rFonts w:ascii="Arial Narrow" w:hAnsi="Arial Narrow" w:cs="Calibri"/>
                <w:b/>
                <w:sz w:val="20"/>
                <w:szCs w:val="20"/>
              </w:rPr>
              <w:lastRenderedPageBreak/>
              <w:t>Restricted benefit</w:t>
            </w:r>
          </w:p>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cs="Calibri"/>
                <w:sz w:val="20"/>
                <w:szCs w:val="20"/>
              </w:rPr>
              <w:t>Major depressive disorders</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cs="Calibri"/>
                <w:sz w:val="20"/>
                <w:szCs w:val="20"/>
              </w:rPr>
            </w:pPr>
            <w:r w:rsidRPr="008B43F9">
              <w:rPr>
                <w:rFonts w:ascii="Arial Narrow" w:hAnsi="Arial Narrow" w:cs="Calibri"/>
                <w:sz w:val="20"/>
                <w:szCs w:val="20"/>
              </w:rPr>
              <w:t>Moderate to severe generalised anxiety disorder (GAD), as defined by Diagnostic and Statistical Manual of Mental Disorders, Fourth Edition (DSM-IV) criteria, in a patient who has not responded to non-pharmacological therapy and for whom a GP Mental Health Care Plan, as described under item 2715 or 2717 of the Medicare Benefits Schedule, has been prepared.</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t xml:space="preserve">Moderate to severe generalised anxiety disorder (GAD), as defined by Diagnostic and Statistical Manual of Mental Disorders, Fourth Edition (DSM-IV) criteria, in a patient who has not responded to non-pharmacological therapy and who has been assessed by a psychiatrist </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lastRenderedPageBreak/>
              <w:t xml:space="preserve">Continuing PBS-subsidised treatment, for moderate to severe generalised anxiety disorder (GAD), of a patient commenced on escitalopram prior to 1 November 2008 </w:t>
            </w:r>
          </w:p>
          <w:p w:rsidR="004E1B86" w:rsidRPr="008B43F9" w:rsidRDefault="004E1B86" w:rsidP="004E1B86">
            <w:pPr>
              <w:shd w:val="clear" w:color="auto" w:fill="FFFFFF"/>
              <w:rPr>
                <w:rFonts w:ascii="Arial Narrow" w:hAnsi="Arial Narrow" w:cs="Calibri"/>
                <w:b/>
                <w:sz w:val="20"/>
                <w:szCs w:val="20"/>
              </w:rPr>
            </w:pPr>
            <w:r w:rsidRPr="008B43F9">
              <w:rPr>
                <w:rFonts w:ascii="Arial Narrow" w:hAnsi="Arial Narrow" w:cs="Calibri"/>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t xml:space="preserve">Moderate to severe social anxiety disorder (social phobia, SAD), as described by Diagnostic and Statistical Manual of Mental Disorders, Fourth Edition (DSM-IV) criteria, in a patient who has not responded to non-pharmacological therapy and for whom a GP Mental Health Care Plan, as described under item 2715 or 2717 of the Medicare Benefits Schedule, has been prepared </w:t>
            </w:r>
          </w:p>
          <w:p w:rsidR="004E1B86" w:rsidRPr="008B43F9" w:rsidRDefault="004E1B86" w:rsidP="004E1B86">
            <w:pPr>
              <w:shd w:val="clear" w:color="auto" w:fill="FFFFFF"/>
              <w:rPr>
                <w:rFonts w:ascii="Arial Narrow" w:hAnsi="Arial Narrow"/>
                <w:b/>
                <w:sz w:val="20"/>
                <w:szCs w:val="20"/>
              </w:rPr>
            </w:pPr>
            <w:r w:rsidRPr="008B43F9">
              <w:rPr>
                <w:rFonts w:ascii="Arial Narrow" w:hAnsi="Arial Narrow"/>
                <w:b/>
                <w:sz w:val="20"/>
                <w:szCs w:val="20"/>
              </w:rPr>
              <w:t>Restricted benefit</w:t>
            </w:r>
          </w:p>
          <w:p w:rsidR="004E1B86" w:rsidRPr="008B43F9" w:rsidRDefault="004E1B86" w:rsidP="004E1B86">
            <w:pPr>
              <w:shd w:val="clear" w:color="auto" w:fill="FFFFFF"/>
              <w:rPr>
                <w:rFonts w:ascii="Arial Narrow" w:hAnsi="Arial Narrow"/>
                <w:sz w:val="20"/>
                <w:szCs w:val="20"/>
              </w:rPr>
            </w:pPr>
            <w:r w:rsidRPr="008B43F9">
              <w:rPr>
                <w:rFonts w:ascii="Arial Narrow" w:hAnsi="Arial Narrow"/>
                <w:sz w:val="20"/>
                <w:szCs w:val="20"/>
              </w:rPr>
              <w:t xml:space="preserve">Moderate to severe social anxiety disorder (social phobia, SAD), as described by Diagnostic and Statistical Manual of Mental Disorders, Fourth Edition (DSM-IV) criteria, in a patient who has not responded to non-pharmacological therapy and who has been assessed by a psychiatrist </w:t>
            </w:r>
          </w:p>
          <w:p w:rsidR="004E1B86" w:rsidRPr="008B43F9" w:rsidRDefault="004E1B86" w:rsidP="004E1B86">
            <w:pPr>
              <w:shd w:val="clear" w:color="auto" w:fill="FFFFFF"/>
              <w:rPr>
                <w:rFonts w:ascii="Arial Narrow" w:hAnsi="Arial Narrow"/>
                <w:b/>
                <w:sz w:val="20"/>
                <w:szCs w:val="20"/>
              </w:rPr>
            </w:pPr>
            <w:r w:rsidRPr="008B43F9">
              <w:rPr>
                <w:rFonts w:ascii="Arial Narrow" w:hAnsi="Arial Narrow"/>
                <w:b/>
                <w:sz w:val="20"/>
                <w:szCs w:val="20"/>
              </w:rPr>
              <w:t>Restricted benefit*</w:t>
            </w:r>
          </w:p>
          <w:p w:rsidR="004E1B86" w:rsidRPr="008B43F9" w:rsidRDefault="004E1B86" w:rsidP="004E1B86">
            <w:pPr>
              <w:autoSpaceDE w:val="0"/>
              <w:autoSpaceDN w:val="0"/>
              <w:adjustRightInd w:val="0"/>
              <w:rPr>
                <w:rFonts w:ascii="Arial Narrow" w:hAnsi="Arial Narrow" w:cs="Calibri"/>
                <w:sz w:val="20"/>
                <w:szCs w:val="20"/>
              </w:rPr>
            </w:pPr>
            <w:r w:rsidRPr="008B43F9">
              <w:rPr>
                <w:rFonts w:ascii="Arial Narrow" w:hAnsi="Arial Narrow"/>
                <w:sz w:val="20"/>
                <w:szCs w:val="20"/>
              </w:rPr>
              <w:t>Continuing PBS-subsidised treatment, for moderate to severe social anxiety disorder (social phobia, SAD), of a patient commenced on escitalopram prior to 1 November 2008</w:t>
            </w:r>
          </w:p>
        </w:tc>
      </w:tr>
    </w:tbl>
    <w:p w:rsidR="004E1B86" w:rsidRPr="008B43F9" w:rsidRDefault="004E1B86" w:rsidP="004E1B86">
      <w:pPr>
        <w:pStyle w:val="ListParagraph"/>
        <w:jc w:val="both"/>
        <w:rPr>
          <w:rFonts w:ascii="Arial" w:hAnsi="Arial"/>
          <w:sz w:val="22"/>
          <w:szCs w:val="22"/>
        </w:rPr>
      </w:pPr>
    </w:p>
    <w:p w:rsidR="004E1B86" w:rsidRPr="008B43F9" w:rsidRDefault="004E1B86" w:rsidP="004E1B86">
      <w:pPr>
        <w:pStyle w:val="ListParagraph"/>
        <w:numPr>
          <w:ilvl w:val="1"/>
          <w:numId w:val="25"/>
        </w:numPr>
        <w:jc w:val="both"/>
        <w:rPr>
          <w:rFonts w:ascii="Arial" w:hAnsi="Arial"/>
          <w:sz w:val="22"/>
          <w:szCs w:val="22"/>
        </w:rPr>
      </w:pPr>
      <w:r w:rsidRPr="008B43F9">
        <w:rPr>
          <w:rFonts w:ascii="Arial" w:hAnsi="Arial" w:cs="Arial"/>
          <w:snapToGrid w:val="0"/>
          <w:sz w:val="22"/>
          <w:szCs w:val="22"/>
          <w:lang w:eastAsia="en-US"/>
        </w:rPr>
        <w:t>The main differences between the new and existing listings are outlined as follows:</w:t>
      </w:r>
    </w:p>
    <w:p w:rsidR="004E1B86" w:rsidRPr="008B43F9" w:rsidRDefault="004E1B86" w:rsidP="004E1B86">
      <w:pPr>
        <w:pStyle w:val="ListParagraph"/>
        <w:numPr>
          <w:ilvl w:val="0"/>
          <w:numId w:val="40"/>
        </w:numPr>
        <w:spacing w:after="200"/>
        <w:jc w:val="both"/>
        <w:rPr>
          <w:rFonts w:ascii="Arial" w:hAnsi="Arial" w:cs="Arial"/>
          <w:snapToGrid w:val="0"/>
          <w:sz w:val="22"/>
          <w:szCs w:val="22"/>
          <w:lang w:eastAsia="en-US"/>
        </w:rPr>
      </w:pPr>
      <w:r w:rsidRPr="008B43F9">
        <w:rPr>
          <w:rFonts w:ascii="Arial" w:hAnsi="Arial" w:cs="Arial"/>
          <w:snapToGrid w:val="0"/>
          <w:sz w:val="22"/>
          <w:szCs w:val="22"/>
          <w:lang w:eastAsia="en-US"/>
        </w:rPr>
        <w:t xml:space="preserve">Medicare item 2710 for the preparation of a GP mental health treatment plan, as referred to in two of the current listings, was removed from the Medicare Benefits Schedule (MBS) in 2011 and replaced with two new time-tiered items, 2715 (for a consultation of between 20 and 39 minutes) or item 2717 (for a consultation of 40 minutes or more). </w:t>
      </w:r>
      <w:r w:rsidR="006E0243" w:rsidRPr="008B43F9">
        <w:rPr>
          <w:rFonts w:ascii="Arial" w:hAnsi="Arial" w:cs="Arial"/>
          <w:snapToGrid w:val="0"/>
          <w:sz w:val="22"/>
          <w:szCs w:val="22"/>
          <w:lang w:eastAsia="en-US"/>
        </w:rPr>
        <w:t>The sponsor</w:t>
      </w:r>
      <w:r w:rsidRPr="008B43F9">
        <w:rPr>
          <w:rFonts w:ascii="Arial" w:hAnsi="Arial" w:cs="Arial"/>
          <w:snapToGrid w:val="0"/>
          <w:sz w:val="22"/>
          <w:szCs w:val="22"/>
          <w:lang w:eastAsia="en-US"/>
        </w:rPr>
        <w:t xml:space="preserve"> request</w:t>
      </w:r>
      <w:r w:rsidR="006E0243" w:rsidRPr="008B43F9">
        <w:rPr>
          <w:rFonts w:ascii="Arial" w:hAnsi="Arial" w:cs="Arial"/>
          <w:snapToGrid w:val="0"/>
          <w:sz w:val="22"/>
          <w:szCs w:val="22"/>
          <w:lang w:eastAsia="en-US"/>
        </w:rPr>
        <w:t>ed</w:t>
      </w:r>
      <w:r w:rsidRPr="008B43F9">
        <w:rPr>
          <w:rFonts w:ascii="Arial" w:hAnsi="Arial" w:cs="Arial"/>
          <w:snapToGrid w:val="0"/>
          <w:sz w:val="22"/>
          <w:szCs w:val="22"/>
          <w:lang w:eastAsia="en-US"/>
        </w:rPr>
        <w:t xml:space="preserve"> that the listing reflect these two new item numbers;  </w:t>
      </w:r>
    </w:p>
    <w:p w:rsidR="004E1B86" w:rsidRPr="008B43F9" w:rsidRDefault="004E1B86" w:rsidP="004E1B86">
      <w:pPr>
        <w:pStyle w:val="ListParagraph"/>
        <w:numPr>
          <w:ilvl w:val="0"/>
          <w:numId w:val="40"/>
        </w:numPr>
        <w:spacing w:after="200"/>
        <w:jc w:val="both"/>
        <w:rPr>
          <w:rFonts w:ascii="Arial" w:hAnsi="Arial" w:cs="Arial"/>
          <w:snapToGrid w:val="0"/>
          <w:sz w:val="22"/>
          <w:szCs w:val="22"/>
          <w:lang w:eastAsia="en-US"/>
        </w:rPr>
      </w:pPr>
      <w:r w:rsidRPr="008B43F9">
        <w:rPr>
          <w:rFonts w:ascii="Arial" w:hAnsi="Arial" w:cs="Arial"/>
          <w:snapToGrid w:val="0"/>
          <w:sz w:val="22"/>
          <w:szCs w:val="22"/>
          <w:lang w:eastAsia="en-US"/>
        </w:rPr>
        <w:t>Those who commenced treatment before 1 November 2008 for generalised anxiety disorder or social anxiety disorder</w:t>
      </w:r>
      <w:r w:rsidR="006E0243" w:rsidRPr="008B43F9">
        <w:rPr>
          <w:rFonts w:ascii="Arial" w:hAnsi="Arial" w:cs="Arial"/>
          <w:snapToGrid w:val="0"/>
          <w:sz w:val="22"/>
          <w:szCs w:val="22"/>
          <w:lang w:eastAsia="en-US"/>
        </w:rPr>
        <w:t>.</w:t>
      </w:r>
      <w:r w:rsidRPr="008B43F9">
        <w:rPr>
          <w:rFonts w:ascii="Arial" w:hAnsi="Arial" w:cs="Arial"/>
          <w:snapToGrid w:val="0"/>
          <w:sz w:val="22"/>
          <w:szCs w:val="22"/>
          <w:lang w:eastAsia="en-US"/>
        </w:rPr>
        <w:t xml:space="preserve"> </w:t>
      </w:r>
      <w:r w:rsidR="006E0243" w:rsidRPr="008B43F9">
        <w:rPr>
          <w:rFonts w:ascii="Arial" w:hAnsi="Arial" w:cs="Arial"/>
          <w:snapToGrid w:val="0"/>
          <w:sz w:val="22"/>
          <w:szCs w:val="22"/>
          <w:lang w:eastAsia="en-US"/>
        </w:rPr>
        <w:t>The sponsor sought</w:t>
      </w:r>
      <w:r w:rsidRPr="008B43F9">
        <w:rPr>
          <w:rFonts w:ascii="Arial" w:hAnsi="Arial" w:cs="Arial"/>
          <w:snapToGrid w:val="0"/>
          <w:sz w:val="22"/>
          <w:szCs w:val="22"/>
          <w:lang w:eastAsia="en-US"/>
        </w:rPr>
        <w:t xml:space="preserve"> PBAC advice on whether the restrictions applying for patients who commenced escitalopram prior to 1 November 2008 would still be relevant to the new listing.</w:t>
      </w:r>
    </w:p>
    <w:p w:rsidR="004E1B86" w:rsidRPr="008B43F9" w:rsidRDefault="004E1B86" w:rsidP="004E1B86">
      <w:pPr>
        <w:pStyle w:val="ListParagraph"/>
        <w:jc w:val="both"/>
        <w:rPr>
          <w:rFonts w:ascii="Arial" w:hAnsi="Arial"/>
          <w:sz w:val="22"/>
          <w:szCs w:val="22"/>
        </w:rPr>
      </w:pPr>
    </w:p>
    <w:p w:rsidR="00196307" w:rsidRPr="008B43F9" w:rsidRDefault="004E1B86" w:rsidP="004E1B86">
      <w:pPr>
        <w:pStyle w:val="ListParagraph"/>
        <w:numPr>
          <w:ilvl w:val="1"/>
          <w:numId w:val="25"/>
        </w:numPr>
        <w:jc w:val="both"/>
        <w:rPr>
          <w:rFonts w:ascii="Arial" w:hAnsi="Arial"/>
          <w:sz w:val="22"/>
          <w:szCs w:val="22"/>
        </w:rPr>
      </w:pPr>
      <w:r w:rsidRPr="008B43F9">
        <w:rPr>
          <w:rFonts w:ascii="Arial" w:hAnsi="Arial" w:cs="Arial"/>
          <w:sz w:val="22"/>
          <w:szCs w:val="22"/>
        </w:rPr>
        <w:t xml:space="preserve">The Secretariat proposed that the current ‘grandfather’ restrictions for </w:t>
      </w:r>
      <w:r w:rsidR="00A15465" w:rsidRPr="008B43F9">
        <w:rPr>
          <w:rFonts w:ascii="Arial" w:hAnsi="Arial" w:cs="Arial"/>
          <w:sz w:val="22"/>
          <w:szCs w:val="22"/>
        </w:rPr>
        <w:t>generalised anxiety disorder (</w:t>
      </w:r>
      <w:r w:rsidRPr="008B43F9">
        <w:rPr>
          <w:rFonts w:ascii="Arial" w:hAnsi="Arial" w:cs="Arial"/>
          <w:sz w:val="22"/>
          <w:szCs w:val="22"/>
        </w:rPr>
        <w:t>GAD</w:t>
      </w:r>
      <w:r w:rsidR="00A15465" w:rsidRPr="008B43F9">
        <w:rPr>
          <w:rFonts w:ascii="Arial" w:hAnsi="Arial" w:cs="Arial"/>
          <w:sz w:val="22"/>
          <w:szCs w:val="22"/>
        </w:rPr>
        <w:t>)</w:t>
      </w:r>
      <w:r w:rsidRPr="008B43F9">
        <w:rPr>
          <w:rFonts w:ascii="Arial" w:hAnsi="Arial" w:cs="Arial"/>
          <w:sz w:val="22"/>
          <w:szCs w:val="22"/>
        </w:rPr>
        <w:t xml:space="preserve"> and </w:t>
      </w:r>
      <w:r w:rsidR="00A15465" w:rsidRPr="008B43F9">
        <w:rPr>
          <w:rFonts w:ascii="Arial" w:hAnsi="Arial" w:cs="Arial"/>
          <w:sz w:val="22"/>
          <w:szCs w:val="22"/>
        </w:rPr>
        <w:t>social anxiety disorder (</w:t>
      </w:r>
      <w:r w:rsidRPr="008B43F9">
        <w:rPr>
          <w:rFonts w:ascii="Arial" w:hAnsi="Arial" w:cs="Arial"/>
          <w:sz w:val="22"/>
          <w:szCs w:val="22"/>
        </w:rPr>
        <w:t>SAD</w:t>
      </w:r>
      <w:r w:rsidR="00A15465" w:rsidRPr="008B43F9">
        <w:rPr>
          <w:rFonts w:ascii="Arial" w:hAnsi="Arial" w:cs="Arial"/>
          <w:sz w:val="22"/>
          <w:szCs w:val="22"/>
        </w:rPr>
        <w:t>)</w:t>
      </w:r>
      <w:r w:rsidRPr="008B43F9">
        <w:rPr>
          <w:rFonts w:ascii="Arial" w:hAnsi="Arial" w:cs="Arial"/>
          <w:sz w:val="22"/>
          <w:szCs w:val="22"/>
        </w:rPr>
        <w:t xml:space="preserve"> indications could be removed as they are more than 12 months old.</w:t>
      </w:r>
    </w:p>
    <w:p w:rsidR="00614159" w:rsidRPr="008B43F9" w:rsidRDefault="00614159" w:rsidP="00882085">
      <w:pPr>
        <w:jc w:val="both"/>
        <w:rPr>
          <w:rFonts w:ascii="Arial" w:hAnsi="Arial"/>
          <w:b/>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BB7EC3" w:rsidRPr="008B43F9" w:rsidRDefault="00BB7EC3" w:rsidP="00882085">
      <w:pPr>
        <w:jc w:val="both"/>
        <w:rPr>
          <w:rFonts w:ascii="Arial" w:hAnsi="Arial"/>
          <w:b/>
          <w:sz w:val="22"/>
          <w:szCs w:val="22"/>
        </w:rPr>
      </w:pPr>
    </w:p>
    <w:p w:rsidR="00CE10C4" w:rsidRPr="008B43F9" w:rsidRDefault="00CE10C4" w:rsidP="00882085">
      <w:pPr>
        <w:pStyle w:val="ListParagraph"/>
        <w:numPr>
          <w:ilvl w:val="0"/>
          <w:numId w:val="25"/>
        </w:numPr>
        <w:jc w:val="both"/>
        <w:rPr>
          <w:rFonts w:ascii="Arial" w:hAnsi="Arial"/>
          <w:sz w:val="22"/>
          <w:szCs w:val="22"/>
        </w:rPr>
      </w:pPr>
      <w:r w:rsidRPr="008B43F9">
        <w:rPr>
          <w:rFonts w:ascii="Arial" w:hAnsi="Arial"/>
          <w:b/>
          <w:sz w:val="22"/>
          <w:szCs w:val="22"/>
        </w:rPr>
        <w:t>Background</w:t>
      </w:r>
    </w:p>
    <w:p w:rsidR="006A12A5" w:rsidRPr="008B43F9" w:rsidRDefault="006A12A5" w:rsidP="00882085">
      <w:pPr>
        <w:jc w:val="both"/>
        <w:rPr>
          <w:rFonts w:ascii="Arial" w:hAnsi="Arial"/>
          <w:sz w:val="22"/>
          <w:szCs w:val="22"/>
        </w:rPr>
      </w:pPr>
    </w:p>
    <w:p w:rsidR="004E1B86" w:rsidRPr="008B43F9" w:rsidRDefault="004E1B86" w:rsidP="004E1B86">
      <w:pPr>
        <w:pStyle w:val="ListParagraph"/>
        <w:numPr>
          <w:ilvl w:val="1"/>
          <w:numId w:val="25"/>
        </w:numPr>
        <w:jc w:val="both"/>
        <w:rPr>
          <w:rFonts w:ascii="Arial" w:hAnsi="Arial"/>
          <w:sz w:val="22"/>
          <w:szCs w:val="22"/>
        </w:rPr>
      </w:pPr>
      <w:r w:rsidRPr="008B43F9">
        <w:rPr>
          <w:rFonts w:ascii="Arial" w:hAnsi="Arial"/>
          <w:sz w:val="22"/>
          <w:szCs w:val="22"/>
        </w:rPr>
        <w:t xml:space="preserve">The PBAC recommended listing escitalopram 10 mg/mL oral solution for major depressive disorders in March 2005 and recommended extending the listing to include use in moderate to severe generalised anxiety disorder (GAD) and social anxiety disorder (SAD) in November 2008. The PBAC considered that there was a </w:t>
      </w:r>
      <w:r w:rsidRPr="008B43F9">
        <w:rPr>
          <w:rFonts w:ascii="Arial" w:hAnsi="Arial"/>
          <w:sz w:val="22"/>
          <w:szCs w:val="22"/>
        </w:rPr>
        <w:lastRenderedPageBreak/>
        <w:t xml:space="preserve">clinical need for the oral formulation, particularly for elderly patients and patients who are unable to swallow tablets. Listing of the oral solution for SAD and GAD was not expected to significantly increase costs to the PBS due to the small number of patients requiring the oral solution. </w:t>
      </w:r>
    </w:p>
    <w:p w:rsidR="004E1B86" w:rsidRPr="008B43F9" w:rsidRDefault="004E1B86" w:rsidP="004E1B86">
      <w:pPr>
        <w:pStyle w:val="ListParagraph"/>
        <w:jc w:val="both"/>
        <w:rPr>
          <w:rFonts w:ascii="Arial" w:hAnsi="Arial"/>
          <w:sz w:val="22"/>
          <w:szCs w:val="22"/>
        </w:rPr>
      </w:pPr>
    </w:p>
    <w:p w:rsidR="004E1B86" w:rsidRPr="008B43F9" w:rsidRDefault="004E1B86" w:rsidP="004E1B86">
      <w:pPr>
        <w:pStyle w:val="ListParagraph"/>
        <w:numPr>
          <w:ilvl w:val="1"/>
          <w:numId w:val="25"/>
        </w:numPr>
        <w:jc w:val="both"/>
        <w:rPr>
          <w:rFonts w:ascii="Arial" w:hAnsi="Arial"/>
          <w:sz w:val="22"/>
          <w:szCs w:val="22"/>
        </w:rPr>
      </w:pPr>
      <w:r w:rsidRPr="008B43F9">
        <w:rPr>
          <w:rFonts w:ascii="Arial" w:hAnsi="Arial"/>
          <w:sz w:val="22"/>
          <w:szCs w:val="22"/>
        </w:rPr>
        <w:t xml:space="preserve">Escitalopram oxalate 20 mg/mL formulation was registered by the TGA on 27 March 2014. </w:t>
      </w:r>
    </w:p>
    <w:p w:rsidR="00BB7EC3" w:rsidRPr="008B43F9" w:rsidRDefault="00BB7EC3" w:rsidP="00882085">
      <w:pPr>
        <w:jc w:val="both"/>
        <w:rPr>
          <w:rFonts w:ascii="Arial" w:hAnsi="Arial"/>
          <w:b/>
          <w:sz w:val="22"/>
          <w:szCs w:val="22"/>
        </w:rPr>
      </w:pPr>
    </w:p>
    <w:p w:rsidR="00CE10C4" w:rsidRPr="008B43F9" w:rsidRDefault="00CE10C4" w:rsidP="00882085">
      <w:pPr>
        <w:pStyle w:val="ListParagraph"/>
        <w:numPr>
          <w:ilvl w:val="0"/>
          <w:numId w:val="25"/>
        </w:numPr>
        <w:jc w:val="both"/>
        <w:rPr>
          <w:rFonts w:ascii="Arial" w:hAnsi="Arial"/>
          <w:b/>
          <w:sz w:val="22"/>
          <w:szCs w:val="22"/>
        </w:rPr>
      </w:pPr>
      <w:r w:rsidRPr="008B43F9">
        <w:rPr>
          <w:rFonts w:ascii="Arial" w:hAnsi="Arial"/>
          <w:b/>
          <w:sz w:val="22"/>
          <w:szCs w:val="22"/>
        </w:rPr>
        <w:t>Clinical place for the proposed ther</w:t>
      </w:r>
      <w:r w:rsidR="006A12A5" w:rsidRPr="008B43F9">
        <w:rPr>
          <w:rFonts w:ascii="Arial" w:hAnsi="Arial"/>
          <w:b/>
          <w:sz w:val="22"/>
          <w:szCs w:val="22"/>
        </w:rPr>
        <w:t>apy</w:t>
      </w:r>
    </w:p>
    <w:p w:rsidR="00CE10C4" w:rsidRPr="008B43F9" w:rsidRDefault="00CE10C4" w:rsidP="00882085">
      <w:pPr>
        <w:jc w:val="both"/>
        <w:rPr>
          <w:rFonts w:ascii="Arial" w:hAnsi="Arial"/>
          <w:sz w:val="22"/>
          <w:szCs w:val="22"/>
        </w:rPr>
      </w:pPr>
    </w:p>
    <w:p w:rsidR="00E431B1" w:rsidRPr="008B43F9" w:rsidRDefault="00E431B1" w:rsidP="00882085">
      <w:pPr>
        <w:pStyle w:val="ListParagraph"/>
        <w:numPr>
          <w:ilvl w:val="1"/>
          <w:numId w:val="25"/>
        </w:numPr>
        <w:jc w:val="both"/>
        <w:rPr>
          <w:rFonts w:ascii="Arial" w:hAnsi="Arial"/>
          <w:sz w:val="22"/>
          <w:szCs w:val="22"/>
        </w:rPr>
      </w:pPr>
      <w:r w:rsidRPr="008B43F9">
        <w:rPr>
          <w:rFonts w:ascii="Arial" w:hAnsi="Arial"/>
          <w:sz w:val="22"/>
          <w:szCs w:val="22"/>
        </w:rPr>
        <w:t>Escitalopram is listed on the PBS for the treatment of major depressive disorders, moderate to severe gen</w:t>
      </w:r>
      <w:r w:rsidR="00F240B8" w:rsidRPr="008B43F9">
        <w:rPr>
          <w:rFonts w:ascii="Arial" w:hAnsi="Arial"/>
          <w:sz w:val="22"/>
          <w:szCs w:val="22"/>
        </w:rPr>
        <w:t xml:space="preserve">eralised anxiety disorder </w:t>
      </w:r>
      <w:r w:rsidRPr="008B43F9">
        <w:rPr>
          <w:rFonts w:ascii="Arial" w:hAnsi="Arial"/>
          <w:sz w:val="22"/>
          <w:szCs w:val="22"/>
        </w:rPr>
        <w:t>and moderate to severe social anxiety disorder.</w:t>
      </w:r>
    </w:p>
    <w:p w:rsidR="00E431B1" w:rsidRPr="008B43F9" w:rsidRDefault="00E431B1" w:rsidP="00E431B1">
      <w:pPr>
        <w:pStyle w:val="ListParagraph"/>
        <w:jc w:val="both"/>
        <w:rPr>
          <w:rFonts w:ascii="Arial" w:hAnsi="Arial"/>
          <w:sz w:val="22"/>
          <w:szCs w:val="22"/>
        </w:rPr>
      </w:pPr>
    </w:p>
    <w:p w:rsidR="006A12A5" w:rsidRPr="008B43F9" w:rsidRDefault="00E431B1" w:rsidP="00882085">
      <w:pPr>
        <w:pStyle w:val="ListParagraph"/>
        <w:numPr>
          <w:ilvl w:val="1"/>
          <w:numId w:val="25"/>
        </w:numPr>
        <w:jc w:val="both"/>
        <w:rPr>
          <w:rFonts w:ascii="Arial" w:hAnsi="Arial"/>
          <w:sz w:val="22"/>
          <w:szCs w:val="22"/>
        </w:rPr>
      </w:pPr>
      <w:r w:rsidRPr="008B43F9">
        <w:rPr>
          <w:rFonts w:ascii="Arial" w:hAnsi="Arial"/>
          <w:sz w:val="22"/>
          <w:szCs w:val="22"/>
        </w:rPr>
        <w:t>The submission proposed that escitalporam 20mg/mL liquid will replace the current listing for escitalopram 10mg/mL, and requested the removal of the lower strength from the PBS.</w:t>
      </w:r>
      <w:r w:rsidR="00C35996" w:rsidRPr="008B43F9">
        <w:rPr>
          <w:rFonts w:ascii="Arial" w:hAnsi="Arial"/>
          <w:sz w:val="22"/>
          <w:szCs w:val="22"/>
        </w:rPr>
        <w:tab/>
      </w:r>
    </w:p>
    <w:p w:rsidR="006A12A5" w:rsidRPr="008B43F9" w:rsidRDefault="006A12A5" w:rsidP="00882085">
      <w:pPr>
        <w:pStyle w:val="Header"/>
        <w:tabs>
          <w:tab w:val="clear" w:pos="4153"/>
          <w:tab w:val="clear" w:pos="8306"/>
        </w:tabs>
        <w:jc w:val="both"/>
        <w:rPr>
          <w:rFonts w:ascii="Arial" w:hAnsi="Arial"/>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BB7EC3" w:rsidRPr="008B43F9" w:rsidRDefault="00BB7EC3" w:rsidP="00882085">
      <w:pPr>
        <w:pStyle w:val="Header"/>
        <w:tabs>
          <w:tab w:val="clear" w:pos="4153"/>
          <w:tab w:val="clear" w:pos="8306"/>
        </w:tabs>
        <w:jc w:val="both"/>
        <w:rPr>
          <w:rFonts w:ascii="Arial" w:hAnsi="Arial"/>
          <w:sz w:val="22"/>
          <w:szCs w:val="22"/>
        </w:rPr>
      </w:pPr>
    </w:p>
    <w:p w:rsidR="005A3173" w:rsidRPr="008B43F9" w:rsidRDefault="005A3173" w:rsidP="00882085">
      <w:pPr>
        <w:pStyle w:val="Header"/>
        <w:numPr>
          <w:ilvl w:val="0"/>
          <w:numId w:val="25"/>
        </w:numPr>
        <w:tabs>
          <w:tab w:val="clear" w:pos="4153"/>
          <w:tab w:val="clear" w:pos="8306"/>
        </w:tabs>
        <w:jc w:val="both"/>
        <w:rPr>
          <w:rFonts w:ascii="Arial" w:hAnsi="Arial"/>
          <w:b/>
          <w:sz w:val="22"/>
          <w:szCs w:val="22"/>
        </w:rPr>
      </w:pPr>
      <w:r w:rsidRPr="008B43F9">
        <w:rPr>
          <w:rFonts w:ascii="Arial" w:hAnsi="Arial"/>
          <w:b/>
          <w:sz w:val="22"/>
          <w:szCs w:val="22"/>
        </w:rPr>
        <w:t>Comparator</w:t>
      </w:r>
    </w:p>
    <w:p w:rsidR="005A3173" w:rsidRPr="008B43F9" w:rsidRDefault="005A3173" w:rsidP="00882085">
      <w:pPr>
        <w:pStyle w:val="Header"/>
        <w:tabs>
          <w:tab w:val="clear" w:pos="4153"/>
          <w:tab w:val="clear" w:pos="8306"/>
        </w:tabs>
        <w:jc w:val="both"/>
        <w:rPr>
          <w:rFonts w:ascii="Arial" w:hAnsi="Arial"/>
          <w:b/>
          <w:sz w:val="22"/>
          <w:szCs w:val="22"/>
        </w:rPr>
      </w:pPr>
    </w:p>
    <w:p w:rsidR="00C35996" w:rsidRPr="008B43F9" w:rsidRDefault="00E431B1" w:rsidP="00882085">
      <w:pPr>
        <w:pStyle w:val="ListParagraph"/>
        <w:numPr>
          <w:ilvl w:val="1"/>
          <w:numId w:val="25"/>
        </w:numPr>
        <w:jc w:val="both"/>
        <w:rPr>
          <w:rFonts w:ascii="Arial" w:hAnsi="Arial"/>
          <w:sz w:val="22"/>
          <w:szCs w:val="22"/>
        </w:rPr>
      </w:pPr>
      <w:r w:rsidRPr="008B43F9">
        <w:rPr>
          <w:rFonts w:ascii="Arial" w:hAnsi="Arial"/>
          <w:sz w:val="22"/>
          <w:szCs w:val="22"/>
        </w:rPr>
        <w:t>The submission did not nominate a comparator</w:t>
      </w:r>
      <w:r w:rsidR="005A3173" w:rsidRPr="008B43F9">
        <w:rPr>
          <w:rFonts w:ascii="Arial" w:hAnsi="Arial"/>
          <w:sz w:val="22"/>
          <w:szCs w:val="22"/>
        </w:rPr>
        <w:t>.</w:t>
      </w:r>
    </w:p>
    <w:p w:rsidR="00BB7EC3" w:rsidRPr="008B43F9" w:rsidRDefault="00BB7EC3" w:rsidP="008D447E">
      <w:pPr>
        <w:pStyle w:val="ListParagraph"/>
        <w:jc w:val="both"/>
        <w:rPr>
          <w:rFonts w:ascii="Arial" w:hAnsi="Arial"/>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DF26A7" w:rsidRPr="008B43F9" w:rsidRDefault="00DF26A7" w:rsidP="002514AB">
      <w:pPr>
        <w:jc w:val="both"/>
        <w:rPr>
          <w:rFonts w:ascii="Arial" w:hAnsi="Arial"/>
          <w:sz w:val="22"/>
          <w:szCs w:val="22"/>
        </w:rPr>
      </w:pPr>
    </w:p>
    <w:p w:rsidR="000B558D" w:rsidRPr="008B43F9" w:rsidRDefault="004E1B86" w:rsidP="0047015B">
      <w:pPr>
        <w:pStyle w:val="Header"/>
        <w:numPr>
          <w:ilvl w:val="0"/>
          <w:numId w:val="25"/>
        </w:numPr>
        <w:tabs>
          <w:tab w:val="clear" w:pos="4153"/>
          <w:tab w:val="clear" w:pos="8306"/>
        </w:tabs>
        <w:jc w:val="both"/>
        <w:rPr>
          <w:rFonts w:ascii="Arial" w:hAnsi="Arial"/>
          <w:b/>
          <w:sz w:val="22"/>
          <w:szCs w:val="22"/>
        </w:rPr>
      </w:pPr>
      <w:r w:rsidRPr="008B43F9">
        <w:rPr>
          <w:rFonts w:ascii="Arial" w:hAnsi="Arial"/>
          <w:b/>
          <w:sz w:val="22"/>
          <w:szCs w:val="22"/>
        </w:rPr>
        <w:t>C</w:t>
      </w:r>
      <w:r w:rsidR="000B558D" w:rsidRPr="008B43F9">
        <w:rPr>
          <w:rFonts w:ascii="Arial" w:hAnsi="Arial"/>
          <w:b/>
          <w:sz w:val="22"/>
          <w:szCs w:val="22"/>
        </w:rPr>
        <w:t>onsideration of the evidence</w:t>
      </w:r>
    </w:p>
    <w:p w:rsidR="00BB7EC3" w:rsidRPr="008B43F9" w:rsidRDefault="00BB7EC3" w:rsidP="00E431B1">
      <w:pPr>
        <w:jc w:val="both"/>
        <w:rPr>
          <w:rFonts w:ascii="Arial" w:hAnsi="Arial"/>
          <w:b/>
          <w:sz w:val="22"/>
          <w:szCs w:val="22"/>
        </w:rPr>
      </w:pPr>
    </w:p>
    <w:p w:rsidR="00BB7EC3" w:rsidRPr="008B43F9" w:rsidRDefault="00E431B1" w:rsidP="0047015B">
      <w:pPr>
        <w:pStyle w:val="ListParagraph"/>
        <w:numPr>
          <w:ilvl w:val="1"/>
          <w:numId w:val="25"/>
        </w:numPr>
        <w:jc w:val="both"/>
        <w:rPr>
          <w:rFonts w:ascii="Arial" w:hAnsi="Arial"/>
          <w:sz w:val="22"/>
          <w:szCs w:val="22"/>
        </w:rPr>
      </w:pPr>
      <w:r w:rsidRPr="008B43F9">
        <w:rPr>
          <w:rFonts w:ascii="Arial" w:hAnsi="Arial"/>
          <w:sz w:val="22"/>
          <w:szCs w:val="22"/>
        </w:rPr>
        <w:t>The new strength contains 300 mg escitalopram compared to 280 mg in the 10 mg/mL formulation. The product is therefore not bioequivalent for the purposes of the National Health Act. The TGA has accepted this justification for the sponsor’s not conducting a bioequivalence study.</w:t>
      </w:r>
    </w:p>
    <w:p w:rsidR="00BB7EC3" w:rsidRPr="008B43F9" w:rsidRDefault="00BB7EC3" w:rsidP="00BB7EC3">
      <w:pPr>
        <w:pStyle w:val="ListParagraph"/>
        <w:ind w:left="709"/>
        <w:jc w:val="both"/>
        <w:rPr>
          <w:rFonts w:ascii="Arial" w:hAnsi="Arial"/>
          <w:sz w:val="22"/>
          <w:szCs w:val="22"/>
        </w:rPr>
      </w:pPr>
    </w:p>
    <w:p w:rsidR="00BB7EC3" w:rsidRPr="008B43F9" w:rsidRDefault="00BB7EC3" w:rsidP="00BB7EC3">
      <w:pPr>
        <w:jc w:val="both"/>
        <w:rPr>
          <w:rFonts w:ascii="Arial" w:hAnsi="Arial"/>
          <w:b/>
          <w:i/>
          <w:sz w:val="22"/>
          <w:szCs w:val="22"/>
        </w:rPr>
      </w:pPr>
      <w:r w:rsidRPr="008B43F9">
        <w:rPr>
          <w:rFonts w:ascii="Arial" w:hAnsi="Arial"/>
          <w:b/>
          <w:i/>
          <w:sz w:val="22"/>
          <w:szCs w:val="22"/>
        </w:rPr>
        <w:t>Consumer comments</w:t>
      </w:r>
    </w:p>
    <w:p w:rsidR="00BB7EC3" w:rsidRPr="008B43F9" w:rsidRDefault="00BB7EC3" w:rsidP="00BB7EC3">
      <w:pPr>
        <w:pStyle w:val="ListParagraph"/>
        <w:ind w:left="709"/>
        <w:jc w:val="both"/>
        <w:rPr>
          <w:rFonts w:ascii="Arial" w:hAnsi="Arial"/>
          <w:sz w:val="22"/>
          <w:szCs w:val="22"/>
        </w:rPr>
      </w:pPr>
    </w:p>
    <w:p w:rsidR="00E431B1" w:rsidRPr="008B43F9" w:rsidRDefault="00E431B1" w:rsidP="00EC3DB2">
      <w:pPr>
        <w:pStyle w:val="ListParagraph"/>
        <w:numPr>
          <w:ilvl w:val="1"/>
          <w:numId w:val="25"/>
        </w:numPr>
        <w:jc w:val="both"/>
        <w:rPr>
          <w:rFonts w:ascii="Arial" w:hAnsi="Arial"/>
          <w:sz w:val="22"/>
          <w:szCs w:val="22"/>
        </w:rPr>
      </w:pPr>
      <w:r w:rsidRPr="008B43F9">
        <w:rPr>
          <w:rFonts w:ascii="Arial" w:hAnsi="Arial"/>
          <w:sz w:val="22"/>
          <w:szCs w:val="22"/>
        </w:rPr>
        <w:t xml:space="preserve">No consumer comments were received </w:t>
      </w:r>
    </w:p>
    <w:p w:rsidR="002B1AE6" w:rsidRPr="008B43F9" w:rsidRDefault="002B1AE6" w:rsidP="00882085">
      <w:pPr>
        <w:jc w:val="both"/>
        <w:rPr>
          <w:rFonts w:ascii="Arial" w:hAnsi="Arial"/>
          <w:b/>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BB7EC3" w:rsidRPr="008B43F9" w:rsidRDefault="00BB7EC3" w:rsidP="00BB7EC3">
      <w:pPr>
        <w:ind w:left="709"/>
        <w:jc w:val="both"/>
        <w:rPr>
          <w:rFonts w:ascii="Arial" w:hAnsi="Arial"/>
          <w:b/>
          <w:sz w:val="22"/>
          <w:szCs w:val="22"/>
        </w:rPr>
      </w:pPr>
    </w:p>
    <w:p w:rsidR="00B43E90" w:rsidRPr="008B43F9" w:rsidRDefault="00B43E90" w:rsidP="00882085">
      <w:pPr>
        <w:jc w:val="both"/>
        <w:rPr>
          <w:rFonts w:ascii="Arial" w:hAnsi="Arial"/>
          <w:b/>
          <w:i/>
          <w:sz w:val="22"/>
          <w:szCs w:val="22"/>
        </w:rPr>
      </w:pPr>
      <w:r w:rsidRPr="008B43F9">
        <w:rPr>
          <w:rFonts w:ascii="Arial" w:hAnsi="Arial"/>
          <w:b/>
          <w:i/>
          <w:sz w:val="22"/>
          <w:szCs w:val="22"/>
        </w:rPr>
        <w:t>Clinical trials</w:t>
      </w:r>
    </w:p>
    <w:p w:rsidR="002B1AE6" w:rsidRPr="008B43F9" w:rsidRDefault="002B1AE6" w:rsidP="00882085">
      <w:pPr>
        <w:jc w:val="both"/>
        <w:rPr>
          <w:rFonts w:ascii="Arial" w:hAnsi="Arial"/>
          <w:sz w:val="22"/>
          <w:szCs w:val="22"/>
        </w:rPr>
      </w:pPr>
    </w:p>
    <w:p w:rsidR="009F5F2E" w:rsidRPr="008B43F9" w:rsidRDefault="00E431B1" w:rsidP="0047015B">
      <w:pPr>
        <w:pStyle w:val="ListParagraph"/>
        <w:numPr>
          <w:ilvl w:val="1"/>
          <w:numId w:val="25"/>
        </w:numPr>
        <w:jc w:val="both"/>
        <w:rPr>
          <w:rFonts w:ascii="Arial" w:hAnsi="Arial"/>
          <w:sz w:val="22"/>
          <w:szCs w:val="22"/>
        </w:rPr>
      </w:pPr>
      <w:r w:rsidRPr="008B43F9">
        <w:rPr>
          <w:rFonts w:ascii="Arial" w:hAnsi="Arial"/>
          <w:sz w:val="22"/>
          <w:szCs w:val="22"/>
        </w:rPr>
        <w:t xml:space="preserve">No clinical data were presented in the submission. </w:t>
      </w:r>
    </w:p>
    <w:p w:rsidR="00E431B1" w:rsidRPr="008B43F9" w:rsidRDefault="00E431B1" w:rsidP="00E431B1">
      <w:pPr>
        <w:pStyle w:val="ListParagraph"/>
        <w:ind w:left="709"/>
        <w:jc w:val="both"/>
        <w:rPr>
          <w:rFonts w:ascii="Arial" w:hAnsi="Arial"/>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BB7EC3" w:rsidRPr="008B43F9" w:rsidRDefault="00BB7EC3" w:rsidP="00BB7EC3">
      <w:pPr>
        <w:ind w:left="709"/>
        <w:jc w:val="both"/>
        <w:rPr>
          <w:rFonts w:ascii="Arial" w:hAnsi="Arial"/>
          <w:sz w:val="22"/>
          <w:szCs w:val="22"/>
        </w:rPr>
      </w:pPr>
    </w:p>
    <w:p w:rsidR="005A3173" w:rsidRPr="008B43F9" w:rsidRDefault="005A3173" w:rsidP="00882085">
      <w:pPr>
        <w:jc w:val="both"/>
        <w:rPr>
          <w:rFonts w:ascii="Arial" w:hAnsi="Arial"/>
          <w:b/>
          <w:i/>
          <w:sz w:val="22"/>
          <w:szCs w:val="22"/>
        </w:rPr>
      </w:pPr>
      <w:r w:rsidRPr="008B43F9">
        <w:rPr>
          <w:rFonts w:ascii="Arial" w:hAnsi="Arial"/>
          <w:b/>
          <w:i/>
          <w:sz w:val="22"/>
          <w:szCs w:val="22"/>
        </w:rPr>
        <w:t>Comparative effectiveness</w:t>
      </w:r>
    </w:p>
    <w:p w:rsidR="005A3173" w:rsidRPr="008B43F9" w:rsidRDefault="005A3173" w:rsidP="00882085">
      <w:pPr>
        <w:jc w:val="both"/>
        <w:rPr>
          <w:rFonts w:ascii="Arial" w:hAnsi="Arial"/>
          <w:sz w:val="22"/>
          <w:szCs w:val="22"/>
        </w:rPr>
      </w:pPr>
    </w:p>
    <w:p w:rsidR="00DF26A7" w:rsidRPr="008B43F9" w:rsidRDefault="00E431B1" w:rsidP="0047015B">
      <w:pPr>
        <w:pStyle w:val="ListParagraph"/>
        <w:numPr>
          <w:ilvl w:val="1"/>
          <w:numId w:val="25"/>
        </w:numPr>
        <w:jc w:val="both"/>
        <w:rPr>
          <w:rFonts w:ascii="Arial" w:hAnsi="Arial"/>
          <w:sz w:val="22"/>
          <w:szCs w:val="22"/>
        </w:rPr>
      </w:pPr>
      <w:r w:rsidRPr="008B43F9">
        <w:rPr>
          <w:rFonts w:ascii="Arial" w:hAnsi="Arial"/>
          <w:sz w:val="22"/>
          <w:szCs w:val="22"/>
        </w:rPr>
        <w:t xml:space="preserve">No data on comparative effectiveness were presented. </w:t>
      </w:r>
    </w:p>
    <w:p w:rsidR="00E431B1" w:rsidRPr="008B43F9" w:rsidRDefault="00E431B1" w:rsidP="00E431B1">
      <w:pPr>
        <w:pStyle w:val="ListParagraph"/>
        <w:ind w:left="709"/>
        <w:jc w:val="both"/>
        <w:rPr>
          <w:rFonts w:ascii="Arial" w:hAnsi="Arial"/>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BB7EC3" w:rsidRPr="008B43F9" w:rsidRDefault="00BB7EC3" w:rsidP="00BB7EC3">
      <w:pPr>
        <w:ind w:left="709"/>
        <w:jc w:val="both"/>
        <w:rPr>
          <w:rFonts w:ascii="Arial" w:hAnsi="Arial"/>
          <w:sz w:val="22"/>
          <w:szCs w:val="22"/>
        </w:rPr>
      </w:pPr>
    </w:p>
    <w:p w:rsidR="005A3173" w:rsidRPr="008B43F9" w:rsidRDefault="005A3173" w:rsidP="00882085">
      <w:pPr>
        <w:jc w:val="both"/>
        <w:rPr>
          <w:rFonts w:ascii="Arial" w:hAnsi="Arial"/>
          <w:b/>
          <w:i/>
          <w:sz w:val="22"/>
          <w:szCs w:val="22"/>
        </w:rPr>
      </w:pPr>
      <w:r w:rsidRPr="008B43F9">
        <w:rPr>
          <w:rFonts w:ascii="Arial" w:hAnsi="Arial"/>
          <w:b/>
          <w:i/>
          <w:sz w:val="22"/>
          <w:szCs w:val="22"/>
        </w:rPr>
        <w:t>Comparative harms</w:t>
      </w:r>
    </w:p>
    <w:p w:rsidR="005A3173" w:rsidRPr="008B43F9" w:rsidRDefault="005A3173" w:rsidP="00882085">
      <w:pPr>
        <w:ind w:left="720" w:hanging="720"/>
        <w:jc w:val="both"/>
        <w:rPr>
          <w:rFonts w:ascii="Arial" w:hAnsi="Arial"/>
          <w:sz w:val="22"/>
          <w:szCs w:val="22"/>
        </w:rPr>
      </w:pPr>
    </w:p>
    <w:p w:rsidR="000B558D" w:rsidRPr="008B43F9" w:rsidRDefault="00E431B1" w:rsidP="00EC3DB2">
      <w:pPr>
        <w:pStyle w:val="ListParagraph"/>
        <w:numPr>
          <w:ilvl w:val="1"/>
          <w:numId w:val="25"/>
        </w:numPr>
        <w:jc w:val="both"/>
        <w:rPr>
          <w:rFonts w:ascii="Arial" w:hAnsi="Arial"/>
          <w:sz w:val="22"/>
          <w:szCs w:val="22"/>
        </w:rPr>
      </w:pPr>
      <w:r w:rsidRPr="008B43F9">
        <w:rPr>
          <w:rFonts w:ascii="Arial" w:hAnsi="Arial"/>
          <w:sz w:val="22"/>
          <w:szCs w:val="22"/>
        </w:rPr>
        <w:t>No data on comparative harms were presented.</w:t>
      </w:r>
    </w:p>
    <w:p w:rsidR="000914E4" w:rsidRPr="008B43F9" w:rsidRDefault="000914E4" w:rsidP="00B6773F">
      <w:pPr>
        <w:jc w:val="both"/>
        <w:rPr>
          <w:rFonts w:ascii="Arial" w:hAnsi="Arial"/>
          <w:b/>
          <w:i/>
          <w:sz w:val="22"/>
          <w:szCs w:val="22"/>
        </w:rPr>
      </w:pPr>
    </w:p>
    <w:p w:rsidR="00B6773F" w:rsidRPr="008B43F9" w:rsidRDefault="00B6773F" w:rsidP="00B6773F">
      <w:pPr>
        <w:jc w:val="both"/>
        <w:rPr>
          <w:rFonts w:ascii="Arial" w:hAnsi="Arial"/>
          <w:b/>
          <w:i/>
          <w:sz w:val="22"/>
          <w:szCs w:val="22"/>
        </w:rPr>
      </w:pPr>
      <w:r w:rsidRPr="008B43F9">
        <w:rPr>
          <w:rFonts w:ascii="Arial" w:hAnsi="Arial"/>
          <w:b/>
          <w:i/>
          <w:sz w:val="22"/>
          <w:szCs w:val="22"/>
        </w:rPr>
        <w:lastRenderedPageBreak/>
        <w:t>Benefits/harms</w:t>
      </w:r>
    </w:p>
    <w:p w:rsidR="00B6773F" w:rsidRPr="008B43F9" w:rsidRDefault="00B6773F" w:rsidP="00B6773F">
      <w:pPr>
        <w:jc w:val="both"/>
        <w:rPr>
          <w:rFonts w:ascii="Arial" w:hAnsi="Arial"/>
          <w:b/>
          <w:i/>
          <w:sz w:val="22"/>
          <w:szCs w:val="22"/>
        </w:rPr>
      </w:pPr>
    </w:p>
    <w:p w:rsidR="00E431B1" w:rsidRPr="008B43F9" w:rsidRDefault="00E431B1" w:rsidP="00EC3DB2">
      <w:pPr>
        <w:pStyle w:val="ListParagraph"/>
        <w:numPr>
          <w:ilvl w:val="1"/>
          <w:numId w:val="25"/>
        </w:numPr>
        <w:jc w:val="both"/>
        <w:rPr>
          <w:rFonts w:ascii="Arial" w:hAnsi="Arial"/>
          <w:sz w:val="22"/>
          <w:szCs w:val="22"/>
        </w:rPr>
      </w:pPr>
      <w:r w:rsidRPr="008B43F9">
        <w:rPr>
          <w:rFonts w:ascii="Arial" w:hAnsi="Arial"/>
          <w:sz w:val="22"/>
          <w:szCs w:val="22"/>
        </w:rPr>
        <w:t xml:space="preserve">No analysis of benefits and harms was conducted. </w:t>
      </w:r>
    </w:p>
    <w:p w:rsidR="00BB7EC3" w:rsidRPr="008B43F9" w:rsidRDefault="00BB7EC3" w:rsidP="00BB7EC3">
      <w:pPr>
        <w:jc w:val="both"/>
        <w:rPr>
          <w:rFonts w:ascii="Arial" w:hAnsi="Arial"/>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882085" w:rsidRPr="008B43F9" w:rsidRDefault="00882085" w:rsidP="00882085">
      <w:pPr>
        <w:jc w:val="both"/>
        <w:rPr>
          <w:rFonts w:ascii="Arial" w:hAnsi="Arial"/>
          <w:b/>
          <w:i/>
          <w:sz w:val="22"/>
          <w:szCs w:val="22"/>
        </w:rPr>
      </w:pPr>
    </w:p>
    <w:p w:rsidR="005A3173" w:rsidRPr="008B43F9" w:rsidRDefault="005A3173" w:rsidP="00882085">
      <w:pPr>
        <w:jc w:val="both"/>
        <w:rPr>
          <w:rFonts w:ascii="Arial" w:hAnsi="Arial"/>
          <w:b/>
          <w:i/>
          <w:sz w:val="22"/>
          <w:szCs w:val="22"/>
        </w:rPr>
      </w:pPr>
      <w:r w:rsidRPr="008B43F9">
        <w:rPr>
          <w:rFonts w:ascii="Arial" w:hAnsi="Arial"/>
          <w:b/>
          <w:i/>
          <w:sz w:val="22"/>
          <w:szCs w:val="22"/>
        </w:rPr>
        <w:t>Clinical claim</w:t>
      </w:r>
    </w:p>
    <w:p w:rsidR="005A3173" w:rsidRPr="008B43F9" w:rsidRDefault="005A3173" w:rsidP="00882085">
      <w:pPr>
        <w:ind w:left="720" w:hanging="720"/>
        <w:jc w:val="both"/>
        <w:rPr>
          <w:rFonts w:ascii="Arial" w:hAnsi="Arial"/>
          <w:sz w:val="22"/>
          <w:szCs w:val="22"/>
        </w:rPr>
      </w:pPr>
    </w:p>
    <w:p w:rsidR="00BB7EC3" w:rsidRPr="008B43F9" w:rsidRDefault="00E431B1" w:rsidP="0047015B">
      <w:pPr>
        <w:pStyle w:val="ListParagraph"/>
        <w:numPr>
          <w:ilvl w:val="1"/>
          <w:numId w:val="25"/>
        </w:numPr>
        <w:jc w:val="both"/>
        <w:rPr>
          <w:rFonts w:ascii="Arial" w:hAnsi="Arial"/>
          <w:sz w:val="22"/>
          <w:szCs w:val="22"/>
        </w:rPr>
      </w:pPr>
      <w:r w:rsidRPr="008B43F9">
        <w:rPr>
          <w:rFonts w:ascii="Arial" w:hAnsi="Arial"/>
          <w:sz w:val="22"/>
          <w:szCs w:val="22"/>
        </w:rPr>
        <w:t xml:space="preserve">The submission did not make a formal clinical claim. </w:t>
      </w:r>
    </w:p>
    <w:p w:rsidR="00F57A6D" w:rsidRPr="008B43F9" w:rsidRDefault="00F57A6D" w:rsidP="00882085">
      <w:pPr>
        <w:ind w:left="720" w:hanging="720"/>
        <w:jc w:val="both"/>
        <w:rPr>
          <w:rFonts w:ascii="Arial" w:hAnsi="Arial"/>
          <w:sz w:val="22"/>
          <w:szCs w:val="22"/>
        </w:rPr>
      </w:pPr>
    </w:p>
    <w:p w:rsidR="005A3173" w:rsidRPr="008B43F9" w:rsidRDefault="005A3173" w:rsidP="00882085">
      <w:pPr>
        <w:ind w:left="720" w:hanging="720"/>
        <w:jc w:val="both"/>
        <w:rPr>
          <w:rFonts w:ascii="Arial" w:hAnsi="Arial"/>
          <w:b/>
          <w:i/>
          <w:sz w:val="22"/>
          <w:szCs w:val="22"/>
        </w:rPr>
      </w:pPr>
      <w:r w:rsidRPr="008B43F9">
        <w:rPr>
          <w:rFonts w:ascii="Arial" w:hAnsi="Arial"/>
          <w:b/>
          <w:i/>
          <w:sz w:val="22"/>
          <w:szCs w:val="22"/>
        </w:rPr>
        <w:t>Economic analysis</w:t>
      </w:r>
    </w:p>
    <w:p w:rsidR="005A3173" w:rsidRPr="008B43F9" w:rsidRDefault="005A3173" w:rsidP="00882085">
      <w:pPr>
        <w:ind w:left="720" w:hanging="720"/>
        <w:jc w:val="both"/>
        <w:rPr>
          <w:rFonts w:ascii="Arial" w:hAnsi="Arial"/>
          <w:sz w:val="22"/>
          <w:szCs w:val="22"/>
        </w:rPr>
      </w:pPr>
    </w:p>
    <w:p w:rsidR="002D677E" w:rsidRPr="008B43F9" w:rsidRDefault="002D677E" w:rsidP="0047015B">
      <w:pPr>
        <w:pStyle w:val="ListParagraph"/>
        <w:numPr>
          <w:ilvl w:val="1"/>
          <w:numId w:val="25"/>
        </w:numPr>
        <w:jc w:val="both"/>
        <w:rPr>
          <w:rFonts w:ascii="Arial" w:hAnsi="Arial"/>
          <w:sz w:val="22"/>
          <w:szCs w:val="22"/>
        </w:rPr>
      </w:pPr>
      <w:r w:rsidRPr="008B43F9">
        <w:rPr>
          <w:rFonts w:ascii="Arial" w:hAnsi="Arial"/>
          <w:sz w:val="22"/>
          <w:szCs w:val="22"/>
        </w:rPr>
        <w:t>The submission did not present a formal economic analysis.</w:t>
      </w:r>
    </w:p>
    <w:p w:rsidR="00BB7EC3" w:rsidRPr="008B43F9" w:rsidRDefault="00BB7EC3" w:rsidP="006E0243">
      <w:pPr>
        <w:rPr>
          <w:rFonts w:ascii="Arial" w:hAnsi="Arial"/>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5963BB" w:rsidRPr="008B43F9" w:rsidRDefault="005963BB" w:rsidP="00882085">
      <w:pPr>
        <w:ind w:left="720" w:hanging="720"/>
        <w:jc w:val="both"/>
        <w:rPr>
          <w:rFonts w:ascii="Arial" w:hAnsi="Arial"/>
          <w:sz w:val="22"/>
          <w:szCs w:val="22"/>
        </w:rPr>
      </w:pPr>
    </w:p>
    <w:p w:rsidR="005A3173" w:rsidRPr="008B43F9" w:rsidRDefault="005A3173" w:rsidP="00882085">
      <w:pPr>
        <w:ind w:left="720" w:hanging="720"/>
        <w:jc w:val="both"/>
        <w:rPr>
          <w:rFonts w:ascii="Arial" w:hAnsi="Arial"/>
          <w:b/>
          <w:i/>
          <w:sz w:val="22"/>
          <w:szCs w:val="22"/>
        </w:rPr>
      </w:pPr>
      <w:r w:rsidRPr="008B43F9">
        <w:rPr>
          <w:rFonts w:ascii="Arial" w:hAnsi="Arial"/>
          <w:b/>
          <w:i/>
          <w:sz w:val="22"/>
          <w:szCs w:val="22"/>
        </w:rPr>
        <w:t>Estimated PBS usage &amp; financial implications</w:t>
      </w:r>
    </w:p>
    <w:p w:rsidR="005A3173" w:rsidRPr="008B43F9" w:rsidRDefault="005A3173" w:rsidP="00882085">
      <w:pPr>
        <w:ind w:left="720" w:hanging="720"/>
        <w:jc w:val="both"/>
        <w:rPr>
          <w:rFonts w:ascii="Arial" w:hAnsi="Arial"/>
          <w:b/>
          <w:i/>
          <w:sz w:val="22"/>
          <w:szCs w:val="22"/>
        </w:rPr>
      </w:pPr>
    </w:p>
    <w:p w:rsidR="003B5033" w:rsidRPr="008B43F9" w:rsidRDefault="003B5033" w:rsidP="0047015B">
      <w:pPr>
        <w:pStyle w:val="ListParagraph"/>
        <w:numPr>
          <w:ilvl w:val="1"/>
          <w:numId w:val="25"/>
        </w:numPr>
        <w:jc w:val="both"/>
        <w:rPr>
          <w:rFonts w:ascii="Arial" w:hAnsi="Arial"/>
          <w:sz w:val="22"/>
          <w:szCs w:val="22"/>
        </w:rPr>
      </w:pPr>
      <w:r w:rsidRPr="008B43F9">
        <w:rPr>
          <w:rFonts w:ascii="Arial" w:hAnsi="Arial"/>
          <w:sz w:val="22"/>
          <w:szCs w:val="22"/>
        </w:rPr>
        <w:t>The submission requested a minor price increase to reflect the larger pack size and number of treatment days (28 to 30 days). There was no difference in cost per day. The submission claimed a small savings to the PBS and potential savings in dispensing fees to the Commonwealth for concessional/repat patients.</w:t>
      </w:r>
    </w:p>
    <w:p w:rsidR="00BB7EC3" w:rsidRPr="008B43F9" w:rsidRDefault="00BB7EC3" w:rsidP="003B5033">
      <w:pPr>
        <w:jc w:val="both"/>
        <w:rPr>
          <w:rFonts w:ascii="Arial" w:hAnsi="Arial"/>
          <w:i/>
          <w:sz w:val="22"/>
          <w:szCs w:val="22"/>
        </w:rPr>
      </w:pPr>
    </w:p>
    <w:p w:rsidR="00BB7EC3" w:rsidRPr="008B43F9" w:rsidRDefault="00BB7EC3" w:rsidP="00BB7EC3">
      <w:pPr>
        <w:pStyle w:val="ListParagraph"/>
        <w:ind w:left="709"/>
        <w:jc w:val="both"/>
        <w:rPr>
          <w:rFonts w:ascii="Arial" w:hAnsi="Arial"/>
          <w:i/>
          <w:sz w:val="22"/>
          <w:szCs w:val="22"/>
        </w:rPr>
      </w:pPr>
      <w:r w:rsidRPr="008B43F9">
        <w:rPr>
          <w:rFonts w:ascii="Arial" w:hAnsi="Arial"/>
          <w:i/>
          <w:sz w:val="22"/>
          <w:szCs w:val="22"/>
        </w:rPr>
        <w:t>For more detail on PBAC’s view, see section 7 “PBAC outcome”</w:t>
      </w:r>
    </w:p>
    <w:p w:rsidR="00CE10C4" w:rsidRPr="008B43F9" w:rsidRDefault="00CE10C4" w:rsidP="00882085">
      <w:pPr>
        <w:jc w:val="both"/>
        <w:rPr>
          <w:rFonts w:ascii="Arial" w:hAnsi="Arial"/>
          <w:b/>
          <w:sz w:val="22"/>
          <w:szCs w:val="22"/>
        </w:rPr>
      </w:pPr>
    </w:p>
    <w:p w:rsidR="00326E79" w:rsidRPr="008B43F9" w:rsidRDefault="00A62C1A" w:rsidP="0047015B">
      <w:pPr>
        <w:pStyle w:val="Header"/>
        <w:numPr>
          <w:ilvl w:val="0"/>
          <w:numId w:val="25"/>
        </w:numPr>
        <w:tabs>
          <w:tab w:val="clear" w:pos="4153"/>
          <w:tab w:val="clear" w:pos="8306"/>
        </w:tabs>
        <w:jc w:val="both"/>
        <w:rPr>
          <w:rFonts w:ascii="Arial" w:hAnsi="Arial"/>
          <w:b/>
          <w:sz w:val="22"/>
          <w:szCs w:val="22"/>
        </w:rPr>
      </w:pPr>
      <w:r w:rsidRPr="008B43F9">
        <w:rPr>
          <w:rFonts w:ascii="Arial" w:hAnsi="Arial"/>
          <w:b/>
          <w:sz w:val="22"/>
          <w:szCs w:val="22"/>
        </w:rPr>
        <w:t xml:space="preserve">PBAC </w:t>
      </w:r>
      <w:r w:rsidR="00930937" w:rsidRPr="008B43F9">
        <w:rPr>
          <w:rFonts w:ascii="Arial" w:hAnsi="Arial"/>
          <w:b/>
          <w:sz w:val="22"/>
          <w:szCs w:val="22"/>
        </w:rPr>
        <w:t>Outcome</w:t>
      </w:r>
    </w:p>
    <w:p w:rsidR="009067B7" w:rsidRPr="008B43F9" w:rsidRDefault="009067B7" w:rsidP="00882085">
      <w:pPr>
        <w:jc w:val="both"/>
        <w:rPr>
          <w:rFonts w:ascii="Arial" w:hAnsi="Arial"/>
          <w:b/>
          <w:sz w:val="22"/>
          <w:szCs w:val="22"/>
        </w:rPr>
      </w:pPr>
    </w:p>
    <w:p w:rsidR="003B5033" w:rsidRPr="008B43F9" w:rsidRDefault="002D677E" w:rsidP="0047015B">
      <w:pPr>
        <w:pStyle w:val="ListParagraph"/>
        <w:numPr>
          <w:ilvl w:val="1"/>
          <w:numId w:val="25"/>
        </w:numPr>
        <w:jc w:val="both"/>
        <w:rPr>
          <w:rFonts w:ascii="Arial" w:hAnsi="Arial"/>
          <w:sz w:val="22"/>
          <w:szCs w:val="22"/>
        </w:rPr>
      </w:pPr>
      <w:r w:rsidRPr="008B43F9">
        <w:rPr>
          <w:rFonts w:ascii="Arial" w:hAnsi="Arial"/>
          <w:sz w:val="22"/>
          <w:szCs w:val="22"/>
        </w:rPr>
        <w:t>The PBAC recommended the listing of escitalopram 20mg/mL</w:t>
      </w:r>
      <w:r w:rsidR="003B5033" w:rsidRPr="008B43F9">
        <w:rPr>
          <w:rFonts w:ascii="Arial" w:hAnsi="Arial"/>
          <w:sz w:val="22"/>
          <w:szCs w:val="22"/>
        </w:rPr>
        <w:t xml:space="preserve">.  </w:t>
      </w:r>
      <w:r w:rsidR="006E0243" w:rsidRPr="008B43F9">
        <w:rPr>
          <w:rFonts w:ascii="Arial" w:hAnsi="Arial"/>
          <w:sz w:val="22"/>
          <w:szCs w:val="22"/>
        </w:rPr>
        <w:t xml:space="preserve">The PBAC recommended that the restriction be consistent and refer to definitions in Diagnostic and Statistical Manual of Mental Disorders, Fifth Edition (DSM-V) instead of DSM-IV. </w:t>
      </w:r>
      <w:r w:rsidR="000914E4" w:rsidRPr="008B43F9">
        <w:rPr>
          <w:rFonts w:ascii="Arial" w:hAnsi="Arial"/>
          <w:sz w:val="22"/>
          <w:szCs w:val="22"/>
        </w:rPr>
        <w:t xml:space="preserve"> The PBAC recommended the removal of the grandfather restrictions as suggested by the Secretariat.</w:t>
      </w:r>
    </w:p>
    <w:p w:rsidR="003B5033" w:rsidRPr="008B43F9" w:rsidRDefault="003B5033" w:rsidP="003B5033">
      <w:pPr>
        <w:pStyle w:val="ListParagraph"/>
        <w:ind w:left="709"/>
        <w:jc w:val="both"/>
        <w:rPr>
          <w:rFonts w:ascii="Arial" w:hAnsi="Arial"/>
          <w:sz w:val="22"/>
          <w:szCs w:val="22"/>
        </w:rPr>
      </w:pPr>
    </w:p>
    <w:p w:rsidR="003B5033" w:rsidRPr="008B43F9" w:rsidRDefault="002D677E" w:rsidP="0047015B">
      <w:pPr>
        <w:pStyle w:val="ListParagraph"/>
        <w:numPr>
          <w:ilvl w:val="1"/>
          <w:numId w:val="25"/>
        </w:numPr>
        <w:jc w:val="both"/>
        <w:rPr>
          <w:rFonts w:ascii="Arial" w:hAnsi="Arial"/>
          <w:sz w:val="22"/>
          <w:szCs w:val="22"/>
        </w:rPr>
      </w:pPr>
      <w:r w:rsidRPr="008B43F9">
        <w:rPr>
          <w:rFonts w:ascii="Arial" w:hAnsi="Arial"/>
          <w:sz w:val="22"/>
          <w:szCs w:val="22"/>
        </w:rPr>
        <w:t xml:space="preserve">The PBAC noted the sponsor’s intention for a period of overlap between the availability of the new product, </w:t>
      </w:r>
      <w:r w:rsidR="003B5033" w:rsidRPr="008B43F9">
        <w:rPr>
          <w:rFonts w:ascii="Arial" w:hAnsi="Arial"/>
          <w:sz w:val="22"/>
          <w:szCs w:val="22"/>
        </w:rPr>
        <w:t>with a requested</w:t>
      </w:r>
      <w:r w:rsidRPr="008B43F9">
        <w:rPr>
          <w:rFonts w:ascii="Arial" w:hAnsi="Arial"/>
          <w:sz w:val="22"/>
          <w:szCs w:val="22"/>
        </w:rPr>
        <w:t xml:space="preserve"> listing date of 1 December 2014 and de-listing of the old product on 1 April 2015. The PBAC agreed that the overlap would not be expected to have any financial implications.  The PBAC had no objection to the delisting of the 10mg/mL formulation on or about 1 April 2015.  </w:t>
      </w:r>
    </w:p>
    <w:p w:rsidR="00BB7EC3" w:rsidRPr="008B43F9" w:rsidRDefault="00BB7EC3" w:rsidP="000D3EC1">
      <w:pPr>
        <w:rPr>
          <w:rFonts w:ascii="Arial" w:hAnsi="Arial"/>
          <w:sz w:val="22"/>
          <w:szCs w:val="22"/>
        </w:rPr>
      </w:pPr>
    </w:p>
    <w:p w:rsidR="00BB7EC3" w:rsidRPr="008B43F9" w:rsidRDefault="00BB7EC3" w:rsidP="0047015B">
      <w:pPr>
        <w:pStyle w:val="ListParagraph"/>
        <w:numPr>
          <w:ilvl w:val="1"/>
          <w:numId w:val="25"/>
        </w:numPr>
        <w:jc w:val="both"/>
        <w:rPr>
          <w:rFonts w:ascii="Arial" w:hAnsi="Arial"/>
          <w:sz w:val="22"/>
          <w:szCs w:val="22"/>
        </w:rPr>
      </w:pPr>
      <w:r w:rsidRPr="008B43F9">
        <w:rPr>
          <w:rFonts w:ascii="Arial" w:hAnsi="Arial"/>
          <w:sz w:val="22"/>
          <w:szCs w:val="22"/>
        </w:rPr>
        <w:t xml:space="preserve">The PBAC </w:t>
      </w:r>
      <w:r w:rsidR="000D3EC1" w:rsidRPr="008B43F9">
        <w:rPr>
          <w:rFonts w:ascii="Arial" w:hAnsi="Arial"/>
          <w:sz w:val="22"/>
          <w:szCs w:val="22"/>
        </w:rPr>
        <w:t>noted the following circumstances specified</w:t>
      </w:r>
      <w:r w:rsidRPr="008B43F9">
        <w:rPr>
          <w:rFonts w:ascii="Arial" w:hAnsi="Arial"/>
          <w:sz w:val="22"/>
          <w:szCs w:val="22"/>
        </w:rPr>
        <w:t xml:space="preserve"> under Section 101 (4AB) of the National Health Act</w:t>
      </w:r>
      <w:r w:rsidR="000D3EC1" w:rsidRPr="008B43F9">
        <w:rPr>
          <w:rFonts w:ascii="Arial" w:hAnsi="Arial"/>
          <w:sz w:val="22"/>
          <w:szCs w:val="22"/>
        </w:rPr>
        <w:t xml:space="preserve"> with regard to exempt items</w:t>
      </w:r>
      <w:r w:rsidRPr="008B43F9">
        <w:rPr>
          <w:rFonts w:ascii="Arial" w:hAnsi="Arial"/>
          <w:sz w:val="22"/>
          <w:szCs w:val="22"/>
        </w:rPr>
        <w:t>:</w:t>
      </w:r>
    </w:p>
    <w:p w:rsidR="00BB7EC3" w:rsidRPr="008B43F9" w:rsidRDefault="00BB7EC3" w:rsidP="00BB7EC3">
      <w:pPr>
        <w:pStyle w:val="ListParagraph"/>
        <w:numPr>
          <w:ilvl w:val="0"/>
          <w:numId w:val="32"/>
        </w:numPr>
        <w:jc w:val="both"/>
        <w:rPr>
          <w:rFonts w:ascii="Arial" w:hAnsi="Arial"/>
          <w:sz w:val="22"/>
          <w:szCs w:val="22"/>
        </w:rPr>
      </w:pPr>
      <w:r w:rsidRPr="008B43F9">
        <w:rPr>
          <w:rFonts w:ascii="Arial" w:hAnsi="Arial"/>
          <w:sz w:val="22"/>
          <w:szCs w:val="22"/>
        </w:rPr>
        <w:t>The listed drug in the pharmaceutical item represents suitable therapy for a particular patient population;</w:t>
      </w:r>
    </w:p>
    <w:p w:rsidR="00BB7EC3" w:rsidRPr="008B43F9" w:rsidRDefault="00BB7EC3" w:rsidP="00BB7EC3">
      <w:pPr>
        <w:pStyle w:val="ListParagraph"/>
        <w:numPr>
          <w:ilvl w:val="0"/>
          <w:numId w:val="32"/>
        </w:numPr>
        <w:jc w:val="both"/>
        <w:rPr>
          <w:rFonts w:ascii="Arial" w:hAnsi="Arial"/>
          <w:sz w:val="22"/>
          <w:szCs w:val="22"/>
        </w:rPr>
      </w:pPr>
      <w:r w:rsidRPr="008B43F9">
        <w:rPr>
          <w:rFonts w:ascii="Arial" w:hAnsi="Arial"/>
          <w:sz w:val="22"/>
          <w:szCs w:val="22"/>
        </w:rPr>
        <w:t>The pharmaceutical item is suitable for use by a particular subgroup of that population because of either or both of the form and manner of administration of the drug in the item;</w:t>
      </w:r>
    </w:p>
    <w:p w:rsidR="00326E79" w:rsidRPr="008B43F9" w:rsidRDefault="00BB7EC3" w:rsidP="000D3EC1">
      <w:pPr>
        <w:pStyle w:val="ListParagraph"/>
        <w:numPr>
          <w:ilvl w:val="0"/>
          <w:numId w:val="32"/>
        </w:numPr>
        <w:jc w:val="both"/>
        <w:rPr>
          <w:rFonts w:ascii="Arial" w:hAnsi="Arial"/>
          <w:sz w:val="22"/>
          <w:szCs w:val="22"/>
        </w:rPr>
      </w:pPr>
      <w:r w:rsidRPr="008B43F9">
        <w:rPr>
          <w:rFonts w:ascii="Arial" w:hAnsi="Arial"/>
          <w:sz w:val="22"/>
          <w:szCs w:val="22"/>
        </w:rPr>
        <w:t>No other pharmaceutical item that has the drug is suitable for use by that subgroup because of either or both of the form and manner of administration of the drug in that other item.</w:t>
      </w:r>
    </w:p>
    <w:p w:rsidR="00BB7EC3" w:rsidRPr="008B43F9" w:rsidRDefault="00BB7EC3" w:rsidP="00BB7EC3">
      <w:pPr>
        <w:ind w:left="709"/>
        <w:jc w:val="both"/>
        <w:rPr>
          <w:rFonts w:ascii="Arial" w:hAnsi="Arial"/>
          <w:i/>
          <w:sz w:val="22"/>
          <w:szCs w:val="22"/>
        </w:rPr>
      </w:pPr>
    </w:p>
    <w:p w:rsidR="000D3EC1" w:rsidRPr="008B43F9" w:rsidRDefault="000D3EC1" w:rsidP="0047015B">
      <w:pPr>
        <w:pStyle w:val="ListParagraph"/>
        <w:numPr>
          <w:ilvl w:val="1"/>
          <w:numId w:val="25"/>
        </w:numPr>
        <w:jc w:val="both"/>
        <w:rPr>
          <w:rFonts w:ascii="Arial" w:hAnsi="Arial"/>
          <w:sz w:val="22"/>
          <w:szCs w:val="22"/>
        </w:rPr>
      </w:pPr>
      <w:r w:rsidRPr="008B43F9">
        <w:rPr>
          <w:rFonts w:ascii="Arial" w:hAnsi="Arial"/>
          <w:sz w:val="22"/>
          <w:szCs w:val="22"/>
        </w:rPr>
        <w:t>The PBAC advised in relation to the pharmaceutical item escitalopram 20mg/mL that parts (a) and (b) would be met in that escitalopram would be suitable therapy for a patient population unable to use solid dosage forms, due to the form and manner of administration.  However, the PBAC advised that while both the 10mg/mL and 20mg/mL formulations of escitalopram are listed on the PBS, part (c) is not met.</w:t>
      </w:r>
    </w:p>
    <w:p w:rsidR="000D3EC1" w:rsidRPr="008B43F9" w:rsidRDefault="000D3EC1" w:rsidP="000D3EC1">
      <w:pPr>
        <w:pStyle w:val="ListParagraph"/>
        <w:ind w:left="709"/>
        <w:jc w:val="both"/>
        <w:rPr>
          <w:rFonts w:ascii="Arial" w:hAnsi="Arial"/>
          <w:sz w:val="22"/>
          <w:szCs w:val="22"/>
        </w:rPr>
      </w:pPr>
    </w:p>
    <w:p w:rsidR="000D3EC1" w:rsidRPr="008B43F9" w:rsidRDefault="000D3EC1" w:rsidP="0047015B">
      <w:pPr>
        <w:pStyle w:val="ListParagraph"/>
        <w:numPr>
          <w:ilvl w:val="1"/>
          <w:numId w:val="25"/>
        </w:numPr>
        <w:jc w:val="both"/>
        <w:rPr>
          <w:rFonts w:ascii="Arial" w:hAnsi="Arial"/>
          <w:sz w:val="22"/>
          <w:szCs w:val="22"/>
        </w:rPr>
      </w:pPr>
      <w:r w:rsidRPr="008B43F9">
        <w:rPr>
          <w:rFonts w:ascii="Arial" w:hAnsi="Arial"/>
          <w:sz w:val="22"/>
          <w:szCs w:val="22"/>
        </w:rPr>
        <w:t xml:space="preserve">The PBAC considered that a minor submission following the delisting of the 10mg/mL formulation would be appropriate to seek advice under subsection 101(4AB) regarding the 20mg/mL formulation. </w:t>
      </w:r>
    </w:p>
    <w:p w:rsidR="000D3EC1" w:rsidRPr="008B43F9" w:rsidRDefault="000D3EC1" w:rsidP="000D3EC1">
      <w:pPr>
        <w:pStyle w:val="ListParagraph"/>
        <w:ind w:left="709"/>
        <w:jc w:val="both"/>
        <w:rPr>
          <w:rFonts w:ascii="Arial" w:hAnsi="Arial"/>
          <w:sz w:val="22"/>
          <w:szCs w:val="22"/>
        </w:rPr>
      </w:pPr>
    </w:p>
    <w:p w:rsidR="00BB7EC3" w:rsidRPr="008B43F9" w:rsidRDefault="00BB7EC3" w:rsidP="0047015B">
      <w:pPr>
        <w:pStyle w:val="ListParagraph"/>
        <w:numPr>
          <w:ilvl w:val="1"/>
          <w:numId w:val="25"/>
        </w:numPr>
        <w:jc w:val="both"/>
        <w:rPr>
          <w:rFonts w:ascii="Arial" w:hAnsi="Arial"/>
          <w:sz w:val="22"/>
          <w:szCs w:val="22"/>
        </w:rPr>
      </w:pPr>
      <w:r w:rsidRPr="008B43F9">
        <w:rPr>
          <w:rFonts w:ascii="Arial" w:hAnsi="Arial"/>
          <w:sz w:val="22"/>
          <w:szCs w:val="22"/>
        </w:rPr>
        <w:t xml:space="preserve">The PBAC advised that </w:t>
      </w:r>
      <w:r w:rsidR="003B5033" w:rsidRPr="008B43F9">
        <w:rPr>
          <w:rFonts w:ascii="Arial" w:hAnsi="Arial"/>
          <w:sz w:val="22"/>
          <w:szCs w:val="22"/>
        </w:rPr>
        <w:t>escitalopram 20mg/mL</w:t>
      </w:r>
      <w:r w:rsidRPr="008B43F9">
        <w:rPr>
          <w:rFonts w:ascii="Arial" w:hAnsi="Arial"/>
          <w:sz w:val="22"/>
          <w:szCs w:val="22"/>
        </w:rPr>
        <w:t xml:space="preserve"> is suitable for prescribing by </w:t>
      </w:r>
      <w:r w:rsidR="00B43E90" w:rsidRPr="008B43F9">
        <w:rPr>
          <w:rFonts w:ascii="Arial" w:hAnsi="Arial"/>
          <w:sz w:val="22"/>
          <w:szCs w:val="22"/>
        </w:rPr>
        <w:t>nurse practitioner</w:t>
      </w:r>
      <w:r w:rsidRPr="008B43F9">
        <w:rPr>
          <w:rFonts w:ascii="Arial" w:hAnsi="Arial"/>
          <w:sz w:val="22"/>
          <w:szCs w:val="22"/>
        </w:rPr>
        <w:t>s</w:t>
      </w:r>
      <w:r w:rsidR="003B5033" w:rsidRPr="008B43F9">
        <w:rPr>
          <w:rFonts w:ascii="Arial" w:hAnsi="Arial"/>
          <w:sz w:val="22"/>
          <w:szCs w:val="22"/>
        </w:rPr>
        <w:t>, consistent with the current listing for the 10mg/mL formulation</w:t>
      </w:r>
      <w:r w:rsidRPr="008B43F9">
        <w:rPr>
          <w:rFonts w:ascii="Arial" w:hAnsi="Arial"/>
          <w:sz w:val="22"/>
          <w:szCs w:val="22"/>
        </w:rPr>
        <w:t xml:space="preserve">. </w:t>
      </w:r>
      <w:r w:rsidR="00B43E90" w:rsidRPr="008B43F9">
        <w:rPr>
          <w:rFonts w:ascii="Arial" w:hAnsi="Arial"/>
          <w:sz w:val="22"/>
          <w:szCs w:val="22"/>
        </w:rPr>
        <w:t xml:space="preserve"> </w:t>
      </w:r>
    </w:p>
    <w:p w:rsidR="000D3EC1" w:rsidRPr="008B43F9" w:rsidRDefault="000D3EC1" w:rsidP="000D3EC1">
      <w:pPr>
        <w:jc w:val="both"/>
        <w:rPr>
          <w:rFonts w:ascii="Arial" w:hAnsi="Arial"/>
          <w:sz w:val="22"/>
          <w:szCs w:val="22"/>
        </w:rPr>
      </w:pPr>
    </w:p>
    <w:p w:rsidR="000D3EC1" w:rsidRPr="008B43F9" w:rsidRDefault="000D3EC1" w:rsidP="0047015B">
      <w:pPr>
        <w:pStyle w:val="ListParagraph"/>
        <w:numPr>
          <w:ilvl w:val="1"/>
          <w:numId w:val="25"/>
        </w:numPr>
        <w:jc w:val="both"/>
        <w:rPr>
          <w:rFonts w:ascii="Arial" w:hAnsi="Arial"/>
          <w:sz w:val="22"/>
          <w:szCs w:val="22"/>
        </w:rPr>
      </w:pPr>
      <w:r w:rsidRPr="008B43F9">
        <w:rPr>
          <w:rFonts w:ascii="Arial" w:hAnsi="Arial"/>
          <w:sz w:val="22"/>
          <w:szCs w:val="22"/>
        </w:rPr>
        <w:t xml:space="preserve">The PBAC recommended that escitalopram </w:t>
      </w:r>
      <w:r w:rsidR="000914E4" w:rsidRPr="008B43F9">
        <w:rPr>
          <w:rFonts w:ascii="Arial" w:hAnsi="Arial"/>
          <w:sz w:val="22"/>
          <w:szCs w:val="22"/>
        </w:rPr>
        <w:t xml:space="preserve">20mg/mL </w:t>
      </w:r>
      <w:r w:rsidRPr="008B43F9">
        <w:rPr>
          <w:rFonts w:ascii="Arial" w:hAnsi="Arial"/>
          <w:sz w:val="22"/>
          <w:szCs w:val="22"/>
        </w:rPr>
        <w:t xml:space="preserve">should </w:t>
      </w:r>
      <w:r w:rsidR="000914E4" w:rsidRPr="008B43F9">
        <w:rPr>
          <w:rFonts w:ascii="Arial" w:hAnsi="Arial"/>
          <w:sz w:val="22"/>
          <w:szCs w:val="22"/>
        </w:rPr>
        <w:t xml:space="preserve">not </w:t>
      </w:r>
      <w:r w:rsidRPr="008B43F9">
        <w:rPr>
          <w:rFonts w:ascii="Arial" w:hAnsi="Arial"/>
          <w:sz w:val="22"/>
          <w:szCs w:val="22"/>
        </w:rPr>
        <w:t>be treated as interchangeable on an individual patient basis with</w:t>
      </w:r>
      <w:r w:rsidR="000914E4" w:rsidRPr="008B43F9">
        <w:rPr>
          <w:rFonts w:ascii="Arial" w:hAnsi="Arial"/>
          <w:sz w:val="22"/>
          <w:szCs w:val="22"/>
        </w:rPr>
        <w:t xml:space="preserve"> any other drugs.</w:t>
      </w:r>
      <w:r w:rsidRPr="008B43F9">
        <w:rPr>
          <w:rFonts w:ascii="Arial" w:hAnsi="Arial"/>
          <w:sz w:val="22"/>
          <w:szCs w:val="22"/>
        </w:rPr>
        <w:t xml:space="preserve"> </w:t>
      </w:r>
    </w:p>
    <w:p w:rsidR="00BB7EC3" w:rsidRPr="008B43F9" w:rsidRDefault="00BB7EC3" w:rsidP="00BB7EC3">
      <w:pPr>
        <w:pStyle w:val="ListParagraph"/>
        <w:rPr>
          <w:rFonts w:ascii="Arial" w:hAnsi="Arial"/>
          <w:sz w:val="22"/>
          <w:szCs w:val="22"/>
        </w:rPr>
      </w:pPr>
    </w:p>
    <w:p w:rsidR="00BB7EC3" w:rsidRPr="008B43F9" w:rsidRDefault="00BB7EC3" w:rsidP="0047015B">
      <w:pPr>
        <w:pStyle w:val="ListParagraph"/>
        <w:numPr>
          <w:ilvl w:val="1"/>
          <w:numId w:val="25"/>
        </w:numPr>
        <w:jc w:val="both"/>
        <w:rPr>
          <w:rFonts w:ascii="Arial" w:hAnsi="Arial"/>
          <w:sz w:val="22"/>
          <w:szCs w:val="22"/>
        </w:rPr>
      </w:pPr>
      <w:r w:rsidRPr="008B43F9">
        <w:rPr>
          <w:rFonts w:ascii="Arial" w:hAnsi="Arial"/>
          <w:sz w:val="22"/>
          <w:szCs w:val="22"/>
        </w:rPr>
        <w:t>The PBAC recommended that the Safety Net 20 Day Rule should not apply</w:t>
      </w:r>
      <w:r w:rsidR="003B5033" w:rsidRPr="008B43F9">
        <w:rPr>
          <w:rFonts w:ascii="Arial" w:hAnsi="Arial"/>
          <w:sz w:val="22"/>
          <w:szCs w:val="22"/>
        </w:rPr>
        <w:t>, noting that it currently does not apply to the 10mg/mL formulation of escitalopram</w:t>
      </w:r>
      <w:r w:rsidRPr="008B43F9">
        <w:rPr>
          <w:rFonts w:ascii="Arial" w:hAnsi="Arial"/>
          <w:sz w:val="22"/>
          <w:szCs w:val="22"/>
        </w:rPr>
        <w:t>.</w:t>
      </w:r>
      <w:r w:rsidR="00B43E90" w:rsidRPr="008B43F9">
        <w:rPr>
          <w:rFonts w:ascii="Arial" w:hAnsi="Arial"/>
          <w:sz w:val="22"/>
          <w:szCs w:val="22"/>
        </w:rPr>
        <w:t xml:space="preserve"> </w:t>
      </w:r>
    </w:p>
    <w:p w:rsidR="00BB7EC3" w:rsidRPr="008B43F9" w:rsidRDefault="00BB7EC3" w:rsidP="00BB7EC3">
      <w:pPr>
        <w:pStyle w:val="ListParagraph"/>
        <w:rPr>
          <w:rFonts w:ascii="Arial" w:hAnsi="Arial"/>
          <w:sz w:val="22"/>
          <w:szCs w:val="22"/>
        </w:rPr>
      </w:pPr>
    </w:p>
    <w:p w:rsidR="00DF26A7" w:rsidRPr="008B43F9" w:rsidRDefault="00BB7EC3" w:rsidP="0047015B">
      <w:pPr>
        <w:pStyle w:val="ListParagraph"/>
        <w:numPr>
          <w:ilvl w:val="1"/>
          <w:numId w:val="25"/>
        </w:numPr>
        <w:jc w:val="both"/>
        <w:rPr>
          <w:rFonts w:ascii="Arial" w:hAnsi="Arial"/>
          <w:sz w:val="22"/>
          <w:szCs w:val="22"/>
        </w:rPr>
      </w:pPr>
      <w:r w:rsidRPr="008B43F9">
        <w:rPr>
          <w:rFonts w:ascii="Arial" w:hAnsi="Arial"/>
          <w:sz w:val="22"/>
          <w:szCs w:val="22"/>
        </w:rPr>
        <w:t xml:space="preserve">The PBAC noted that this submission is not </w:t>
      </w:r>
      <w:r w:rsidR="00B43E90" w:rsidRPr="008B43F9">
        <w:rPr>
          <w:rFonts w:ascii="Arial" w:hAnsi="Arial"/>
          <w:sz w:val="22"/>
          <w:szCs w:val="22"/>
        </w:rPr>
        <w:t>eligibl</w:t>
      </w:r>
      <w:r w:rsidRPr="008B43F9">
        <w:rPr>
          <w:rFonts w:ascii="Arial" w:hAnsi="Arial"/>
          <w:sz w:val="22"/>
          <w:szCs w:val="22"/>
        </w:rPr>
        <w:t>e</w:t>
      </w:r>
      <w:r w:rsidR="00B43E90" w:rsidRPr="008B43F9">
        <w:rPr>
          <w:rFonts w:ascii="Arial" w:hAnsi="Arial"/>
          <w:sz w:val="22"/>
          <w:szCs w:val="22"/>
        </w:rPr>
        <w:t xml:space="preserve"> for </w:t>
      </w:r>
      <w:r w:rsidRPr="008B43F9">
        <w:rPr>
          <w:rFonts w:ascii="Arial" w:hAnsi="Arial"/>
          <w:sz w:val="22"/>
          <w:szCs w:val="22"/>
        </w:rPr>
        <w:t xml:space="preserve">an </w:t>
      </w:r>
      <w:r w:rsidR="00B43E90" w:rsidRPr="008B43F9">
        <w:rPr>
          <w:rFonts w:ascii="Arial" w:hAnsi="Arial"/>
          <w:sz w:val="22"/>
          <w:szCs w:val="22"/>
        </w:rPr>
        <w:t>Independent Review</w:t>
      </w:r>
      <w:r w:rsidR="003B5033" w:rsidRPr="008B43F9">
        <w:rPr>
          <w:rFonts w:ascii="Arial" w:hAnsi="Arial"/>
          <w:sz w:val="22"/>
          <w:szCs w:val="22"/>
        </w:rPr>
        <w:t xml:space="preserve">, </w:t>
      </w:r>
      <w:r w:rsidR="000D3EC1" w:rsidRPr="008B43F9">
        <w:rPr>
          <w:rFonts w:ascii="Arial" w:hAnsi="Arial"/>
          <w:sz w:val="22"/>
          <w:szCs w:val="22"/>
        </w:rPr>
        <w:t>as</w:t>
      </w:r>
      <w:r w:rsidR="003B5033" w:rsidRPr="008B43F9">
        <w:rPr>
          <w:rFonts w:ascii="Arial" w:hAnsi="Arial"/>
          <w:sz w:val="22"/>
          <w:szCs w:val="22"/>
        </w:rPr>
        <w:t xml:space="preserve"> it was a positive recommendation</w:t>
      </w:r>
      <w:r w:rsidR="00B43E90" w:rsidRPr="008B43F9">
        <w:rPr>
          <w:rFonts w:ascii="Arial" w:hAnsi="Arial"/>
          <w:sz w:val="22"/>
          <w:szCs w:val="22"/>
        </w:rPr>
        <w:t>.</w:t>
      </w:r>
      <w:r w:rsidRPr="008B43F9">
        <w:rPr>
          <w:rFonts w:ascii="Arial" w:hAnsi="Arial"/>
          <w:sz w:val="22"/>
          <w:szCs w:val="22"/>
        </w:rPr>
        <w:t xml:space="preserve"> </w:t>
      </w:r>
    </w:p>
    <w:p w:rsidR="000D3EC1" w:rsidRPr="008B43F9" w:rsidRDefault="000D3EC1" w:rsidP="000D3EC1">
      <w:pPr>
        <w:pStyle w:val="ListParagraph"/>
        <w:rPr>
          <w:rFonts w:ascii="Arial" w:hAnsi="Arial"/>
          <w:sz w:val="22"/>
          <w:szCs w:val="22"/>
        </w:rPr>
      </w:pPr>
    </w:p>
    <w:p w:rsidR="000D3EC1" w:rsidRPr="008B43F9" w:rsidRDefault="000D3EC1" w:rsidP="000D3EC1">
      <w:pPr>
        <w:jc w:val="both"/>
        <w:rPr>
          <w:rFonts w:ascii="Arial" w:hAnsi="Arial"/>
          <w:sz w:val="22"/>
          <w:szCs w:val="22"/>
        </w:rPr>
      </w:pPr>
    </w:p>
    <w:p w:rsidR="009C703C" w:rsidRPr="008B43F9" w:rsidRDefault="009C703C" w:rsidP="00882085">
      <w:pPr>
        <w:jc w:val="both"/>
        <w:rPr>
          <w:rFonts w:ascii="Arial" w:hAnsi="Arial"/>
          <w:b/>
          <w:sz w:val="22"/>
          <w:szCs w:val="22"/>
        </w:rPr>
      </w:pPr>
      <w:r w:rsidRPr="008B43F9">
        <w:rPr>
          <w:rFonts w:ascii="Arial" w:hAnsi="Arial"/>
          <w:b/>
          <w:sz w:val="22"/>
          <w:szCs w:val="22"/>
        </w:rPr>
        <w:t>Outcome:</w:t>
      </w:r>
    </w:p>
    <w:p w:rsidR="009C703C" w:rsidRPr="008B43F9" w:rsidRDefault="009C703C" w:rsidP="00882085">
      <w:pPr>
        <w:jc w:val="both"/>
        <w:rPr>
          <w:rFonts w:ascii="Arial" w:hAnsi="Arial"/>
          <w:sz w:val="22"/>
          <w:szCs w:val="22"/>
        </w:rPr>
      </w:pPr>
      <w:r w:rsidRPr="008B43F9">
        <w:rPr>
          <w:rFonts w:ascii="Arial" w:hAnsi="Arial"/>
          <w:sz w:val="22"/>
          <w:szCs w:val="22"/>
        </w:rPr>
        <w:t xml:space="preserve">Recommended </w:t>
      </w:r>
    </w:p>
    <w:p w:rsidR="00BB7EC3" w:rsidRPr="008B43F9" w:rsidRDefault="00BB7EC3" w:rsidP="00882085">
      <w:pPr>
        <w:jc w:val="both"/>
        <w:rPr>
          <w:rFonts w:ascii="Arial" w:hAnsi="Arial"/>
          <w:sz w:val="22"/>
          <w:szCs w:val="22"/>
        </w:rPr>
      </w:pPr>
    </w:p>
    <w:p w:rsidR="00E16910" w:rsidRPr="008B43F9" w:rsidRDefault="00E16910" w:rsidP="00882085">
      <w:pPr>
        <w:jc w:val="both"/>
        <w:rPr>
          <w:rFonts w:ascii="Arial" w:hAnsi="Arial"/>
          <w:sz w:val="22"/>
          <w:szCs w:val="22"/>
        </w:rPr>
      </w:pPr>
    </w:p>
    <w:p w:rsidR="00E91B96" w:rsidRPr="008B43F9" w:rsidRDefault="007C0F57" w:rsidP="00EB182E">
      <w:pPr>
        <w:pStyle w:val="Header"/>
        <w:numPr>
          <w:ilvl w:val="0"/>
          <w:numId w:val="25"/>
        </w:numPr>
        <w:tabs>
          <w:tab w:val="clear" w:pos="4153"/>
          <w:tab w:val="clear" w:pos="8306"/>
        </w:tabs>
        <w:jc w:val="both"/>
        <w:rPr>
          <w:rFonts w:ascii="Arial" w:hAnsi="Arial"/>
          <w:b/>
          <w:sz w:val="22"/>
          <w:szCs w:val="22"/>
        </w:rPr>
      </w:pPr>
      <w:r w:rsidRPr="008B43F9">
        <w:rPr>
          <w:rFonts w:ascii="Arial" w:hAnsi="Arial"/>
          <w:b/>
          <w:sz w:val="22"/>
          <w:szCs w:val="22"/>
        </w:rPr>
        <w:t>Recommend</w:t>
      </w:r>
      <w:r w:rsidR="00B43E90" w:rsidRPr="008B43F9">
        <w:rPr>
          <w:rFonts w:ascii="Arial" w:hAnsi="Arial"/>
          <w:b/>
          <w:sz w:val="22"/>
          <w:szCs w:val="22"/>
        </w:rPr>
        <w:t>ed listing</w:t>
      </w:r>
    </w:p>
    <w:p w:rsidR="006906DB" w:rsidRPr="008B43F9" w:rsidRDefault="006906DB" w:rsidP="00882085">
      <w:pPr>
        <w:jc w:val="both"/>
        <w:rPr>
          <w:rFonts w:ascii="Arial" w:hAnsi="Arial"/>
          <w:sz w:val="22"/>
          <w:szCs w:val="22"/>
        </w:rPr>
      </w:pPr>
    </w:p>
    <w:p w:rsidR="00D0321E" w:rsidRPr="008B43F9" w:rsidRDefault="00D0321E" w:rsidP="00EB182E">
      <w:pPr>
        <w:pStyle w:val="ListParagraph"/>
        <w:numPr>
          <w:ilvl w:val="1"/>
          <w:numId w:val="25"/>
        </w:numPr>
        <w:jc w:val="both"/>
        <w:rPr>
          <w:rFonts w:ascii="Arial" w:hAnsi="Arial"/>
          <w:sz w:val="22"/>
          <w:szCs w:val="22"/>
        </w:rPr>
      </w:pPr>
      <w:r w:rsidRPr="008B43F9">
        <w:rPr>
          <w:rFonts w:ascii="Arial" w:hAnsi="Arial"/>
          <w:sz w:val="22"/>
          <w:szCs w:val="22"/>
        </w:rPr>
        <w:t>Add new item:</w:t>
      </w:r>
    </w:p>
    <w:p w:rsidR="008D447E" w:rsidRPr="008B43F9" w:rsidRDefault="008D447E" w:rsidP="009D3CAA">
      <w:pPr>
        <w:rPr>
          <w:rFonts w:ascii="Arial" w:hAnsi="Arial"/>
          <w:sz w:val="22"/>
          <w:szCs w:val="22"/>
        </w:rPr>
      </w:pPr>
    </w:p>
    <w:p w:rsidR="003B5033" w:rsidRPr="008B43F9" w:rsidRDefault="003B5033" w:rsidP="003B5033">
      <w:pPr>
        <w:rPr>
          <w:rFonts w:ascii="Arial" w:hAnsi="Arial" w:cs="Arial"/>
          <w:i/>
        </w:rPr>
      </w:pPr>
    </w:p>
    <w:tbl>
      <w:tblPr>
        <w:tblW w:w="8222" w:type="dxa"/>
        <w:tblInd w:w="817" w:type="dxa"/>
        <w:tblLayout w:type="fixed"/>
        <w:tblLook w:val="0000" w:firstRow="0" w:lastRow="0" w:firstColumn="0" w:lastColumn="0" w:noHBand="0" w:noVBand="0"/>
      </w:tblPr>
      <w:tblGrid>
        <w:gridCol w:w="4678"/>
        <w:gridCol w:w="709"/>
        <w:gridCol w:w="567"/>
        <w:gridCol w:w="1417"/>
        <w:gridCol w:w="851"/>
      </w:tblGrid>
      <w:tr w:rsidR="003B5033" w:rsidRPr="008B43F9" w:rsidTr="00B83D8A">
        <w:trPr>
          <w:cantSplit/>
          <w:trHeight w:val="471"/>
        </w:trPr>
        <w:tc>
          <w:tcPr>
            <w:tcW w:w="4678" w:type="dxa"/>
            <w:tcBorders>
              <w:bottom w:val="single" w:sz="4" w:space="0" w:color="auto"/>
            </w:tcBorders>
          </w:tcPr>
          <w:p w:rsidR="003B5033" w:rsidRPr="008B43F9" w:rsidRDefault="003B5033" w:rsidP="00D03BD1">
            <w:pPr>
              <w:keepNext/>
              <w:ind w:left="-108"/>
              <w:jc w:val="both"/>
              <w:rPr>
                <w:rFonts w:ascii="Arial" w:hAnsi="Arial" w:cs="Arial"/>
                <w:sz w:val="20"/>
              </w:rPr>
            </w:pPr>
            <w:r w:rsidRPr="008B43F9">
              <w:rPr>
                <w:rFonts w:ascii="Arial" w:hAnsi="Arial" w:cs="Arial"/>
                <w:sz w:val="20"/>
              </w:rPr>
              <w:t>Name, Restriction,</w:t>
            </w:r>
          </w:p>
          <w:p w:rsidR="003B5033" w:rsidRPr="008B43F9" w:rsidRDefault="003B5033" w:rsidP="00D03BD1">
            <w:pPr>
              <w:keepNext/>
              <w:ind w:left="-108"/>
              <w:jc w:val="both"/>
              <w:rPr>
                <w:rFonts w:ascii="Arial" w:hAnsi="Arial" w:cs="Arial"/>
                <w:sz w:val="20"/>
              </w:rPr>
            </w:pPr>
            <w:r w:rsidRPr="008B43F9">
              <w:rPr>
                <w:rFonts w:ascii="Arial" w:hAnsi="Arial" w:cs="Arial"/>
                <w:sz w:val="20"/>
              </w:rPr>
              <w:t xml:space="preserve">Manner of administration </w:t>
            </w:r>
          </w:p>
          <w:p w:rsidR="003B5033" w:rsidRPr="008B43F9" w:rsidRDefault="003B5033" w:rsidP="00D03BD1">
            <w:pPr>
              <w:keepNext/>
              <w:ind w:left="-108"/>
              <w:jc w:val="both"/>
              <w:rPr>
                <w:rFonts w:ascii="Arial" w:hAnsi="Arial" w:cs="Arial"/>
                <w:sz w:val="20"/>
              </w:rPr>
            </w:pPr>
            <w:r w:rsidRPr="008B43F9">
              <w:rPr>
                <w:rFonts w:ascii="Arial" w:hAnsi="Arial" w:cs="Arial"/>
                <w:sz w:val="20"/>
              </w:rPr>
              <w:t>and form</w:t>
            </w:r>
          </w:p>
        </w:tc>
        <w:tc>
          <w:tcPr>
            <w:tcW w:w="709" w:type="dxa"/>
            <w:tcBorders>
              <w:bottom w:val="single" w:sz="4" w:space="0" w:color="auto"/>
            </w:tcBorders>
          </w:tcPr>
          <w:p w:rsidR="003B5033" w:rsidRPr="008B43F9" w:rsidRDefault="003B5033" w:rsidP="00D03BD1">
            <w:pPr>
              <w:keepNext/>
              <w:ind w:left="-108"/>
              <w:jc w:val="both"/>
              <w:rPr>
                <w:rFonts w:ascii="Arial" w:hAnsi="Arial" w:cs="Arial"/>
                <w:sz w:val="20"/>
              </w:rPr>
            </w:pPr>
            <w:r w:rsidRPr="008B43F9">
              <w:rPr>
                <w:rFonts w:ascii="Arial" w:hAnsi="Arial" w:cs="Arial"/>
                <w:sz w:val="20"/>
              </w:rPr>
              <w:t xml:space="preserve">  Max.</w:t>
            </w:r>
          </w:p>
          <w:p w:rsidR="003B5033" w:rsidRPr="008B43F9" w:rsidRDefault="003B5033" w:rsidP="00D03BD1">
            <w:pPr>
              <w:keepNext/>
              <w:ind w:left="-108"/>
              <w:jc w:val="both"/>
              <w:rPr>
                <w:rFonts w:ascii="Arial" w:hAnsi="Arial" w:cs="Arial"/>
                <w:sz w:val="20"/>
              </w:rPr>
            </w:pPr>
            <w:r w:rsidRPr="008B43F9">
              <w:rPr>
                <w:rFonts w:ascii="Arial" w:hAnsi="Arial" w:cs="Arial"/>
                <w:sz w:val="20"/>
              </w:rPr>
              <w:t xml:space="preserve">  Qty</w:t>
            </w:r>
          </w:p>
        </w:tc>
        <w:tc>
          <w:tcPr>
            <w:tcW w:w="567" w:type="dxa"/>
            <w:tcBorders>
              <w:bottom w:val="single" w:sz="4" w:space="0" w:color="auto"/>
            </w:tcBorders>
          </w:tcPr>
          <w:p w:rsidR="003B5033" w:rsidRPr="008B43F9" w:rsidRDefault="003B5033" w:rsidP="00D03BD1">
            <w:pPr>
              <w:keepNext/>
              <w:ind w:left="-108"/>
              <w:jc w:val="both"/>
              <w:rPr>
                <w:rFonts w:ascii="Arial" w:hAnsi="Arial" w:cs="Arial"/>
                <w:sz w:val="20"/>
              </w:rPr>
            </w:pPr>
            <w:r w:rsidRPr="008B43F9">
              <w:rPr>
                <w:rFonts w:ascii="Arial" w:hAnsi="Arial" w:cs="Arial"/>
                <w:sz w:val="20"/>
              </w:rPr>
              <w:t>№.of</w:t>
            </w:r>
          </w:p>
          <w:p w:rsidR="003B5033" w:rsidRPr="008B43F9" w:rsidRDefault="003B5033" w:rsidP="00D03BD1">
            <w:pPr>
              <w:keepNext/>
              <w:ind w:left="-108"/>
              <w:jc w:val="both"/>
              <w:rPr>
                <w:rFonts w:ascii="Arial" w:hAnsi="Arial" w:cs="Arial"/>
                <w:sz w:val="20"/>
              </w:rPr>
            </w:pPr>
            <w:r w:rsidRPr="008B43F9">
              <w:rPr>
                <w:rFonts w:ascii="Arial" w:hAnsi="Arial" w:cs="Arial"/>
                <w:sz w:val="20"/>
              </w:rPr>
              <w:t>Rpts</w:t>
            </w:r>
          </w:p>
        </w:tc>
        <w:tc>
          <w:tcPr>
            <w:tcW w:w="2268" w:type="dxa"/>
            <w:gridSpan w:val="2"/>
            <w:tcBorders>
              <w:bottom w:val="single" w:sz="4" w:space="0" w:color="auto"/>
            </w:tcBorders>
          </w:tcPr>
          <w:p w:rsidR="003B5033" w:rsidRPr="008B43F9" w:rsidRDefault="003B5033" w:rsidP="00D03BD1">
            <w:pPr>
              <w:keepNext/>
              <w:jc w:val="both"/>
              <w:rPr>
                <w:rFonts w:ascii="Arial" w:hAnsi="Arial" w:cs="Arial"/>
                <w:sz w:val="20"/>
                <w:lang w:val="fr-FR"/>
              </w:rPr>
            </w:pPr>
            <w:r w:rsidRPr="008B43F9">
              <w:rPr>
                <w:rFonts w:ascii="Arial" w:hAnsi="Arial" w:cs="Arial"/>
                <w:sz w:val="20"/>
              </w:rPr>
              <w:t>Proprietary Name and Manufacturer</w:t>
            </w:r>
          </w:p>
        </w:tc>
      </w:tr>
      <w:tr w:rsidR="003B5033" w:rsidRPr="008B43F9" w:rsidTr="00B83D8A">
        <w:trPr>
          <w:cantSplit/>
          <w:trHeight w:val="809"/>
        </w:trPr>
        <w:tc>
          <w:tcPr>
            <w:tcW w:w="4678" w:type="dxa"/>
          </w:tcPr>
          <w:p w:rsidR="003B5033" w:rsidRPr="008B43F9" w:rsidRDefault="003B5033" w:rsidP="00D03BD1">
            <w:pPr>
              <w:keepNext/>
              <w:ind w:left="-108"/>
              <w:rPr>
                <w:rFonts w:ascii="Arial" w:hAnsi="Arial" w:cs="Arial"/>
                <w:sz w:val="20"/>
              </w:rPr>
            </w:pPr>
            <w:r w:rsidRPr="008B43F9">
              <w:rPr>
                <w:rFonts w:ascii="Arial" w:hAnsi="Arial" w:cs="Arial"/>
                <w:sz w:val="20"/>
              </w:rPr>
              <w:t xml:space="preserve">ESCITALOPRAM </w:t>
            </w:r>
          </w:p>
          <w:p w:rsidR="003B5033" w:rsidRPr="008B43F9" w:rsidRDefault="003B5033" w:rsidP="00D03BD1">
            <w:pPr>
              <w:keepNext/>
              <w:ind w:left="-108"/>
              <w:rPr>
                <w:rFonts w:ascii="Arial" w:hAnsi="Arial" w:cs="Arial"/>
                <w:sz w:val="20"/>
              </w:rPr>
            </w:pPr>
            <w:r w:rsidRPr="008B43F9">
              <w:rPr>
                <w:rFonts w:ascii="Arial" w:hAnsi="Arial" w:cs="Arial"/>
                <w:sz w:val="20"/>
              </w:rPr>
              <w:t>escitalopram 20 mg/mL oral liquid, 15mL</w:t>
            </w:r>
          </w:p>
          <w:p w:rsidR="003B5033" w:rsidRPr="008B43F9" w:rsidRDefault="003B5033" w:rsidP="00D03BD1">
            <w:pPr>
              <w:keepNext/>
              <w:ind w:left="-108"/>
              <w:rPr>
                <w:rFonts w:ascii="Arial" w:hAnsi="Arial" w:cs="Arial"/>
                <w:sz w:val="20"/>
              </w:rPr>
            </w:pPr>
          </w:p>
          <w:p w:rsidR="003B5033" w:rsidRPr="008B43F9" w:rsidRDefault="003B5033" w:rsidP="00D03BD1">
            <w:pPr>
              <w:keepNext/>
              <w:ind w:left="-108"/>
              <w:rPr>
                <w:rFonts w:ascii="Arial" w:hAnsi="Arial" w:cs="Arial"/>
                <w:sz w:val="20"/>
              </w:rPr>
            </w:pPr>
            <w:r w:rsidRPr="008B43F9">
              <w:rPr>
                <w:rFonts w:ascii="Arial" w:hAnsi="Arial" w:cs="Arial"/>
                <w:sz w:val="20"/>
              </w:rPr>
              <w:t>escitalopram 10 mg/mL oral liquid, 28mL</w:t>
            </w:r>
          </w:p>
          <w:p w:rsidR="003B5033" w:rsidRPr="008B43F9" w:rsidRDefault="003B5033" w:rsidP="00D03BD1">
            <w:pPr>
              <w:keepNext/>
              <w:ind w:left="-108"/>
              <w:rPr>
                <w:rFonts w:ascii="Arial" w:hAnsi="Arial" w:cs="Arial"/>
                <w:sz w:val="20"/>
              </w:rPr>
            </w:pPr>
          </w:p>
          <w:p w:rsidR="003B5033" w:rsidRPr="008B43F9" w:rsidRDefault="003B5033" w:rsidP="00D03BD1">
            <w:pPr>
              <w:keepNext/>
              <w:ind w:left="-108"/>
              <w:rPr>
                <w:rFonts w:ascii="Arial" w:hAnsi="Arial" w:cs="Arial"/>
                <w:sz w:val="20"/>
              </w:rPr>
            </w:pPr>
            <w:r w:rsidRPr="008B43F9">
              <w:rPr>
                <w:rFonts w:ascii="Arial" w:hAnsi="Arial" w:cs="Arial"/>
                <w:sz w:val="20"/>
              </w:rPr>
              <w:t>escitalopram 10 mg tablet, 28</w:t>
            </w:r>
          </w:p>
          <w:p w:rsidR="003B5033" w:rsidRPr="008B43F9" w:rsidRDefault="003B5033" w:rsidP="00D03BD1">
            <w:pPr>
              <w:keepNext/>
              <w:ind w:left="-108"/>
              <w:rPr>
                <w:rFonts w:ascii="Arial" w:hAnsi="Arial" w:cs="Arial"/>
                <w:sz w:val="20"/>
              </w:rPr>
            </w:pPr>
          </w:p>
          <w:p w:rsidR="00B83D8A" w:rsidRPr="008B43F9" w:rsidRDefault="00B83D8A" w:rsidP="00D03BD1">
            <w:pPr>
              <w:keepNext/>
              <w:ind w:left="-108"/>
              <w:rPr>
                <w:rFonts w:ascii="Arial" w:hAnsi="Arial" w:cs="Arial"/>
                <w:sz w:val="20"/>
              </w:rPr>
            </w:pPr>
          </w:p>
          <w:p w:rsidR="003B5033" w:rsidRPr="008B43F9" w:rsidRDefault="003B5033" w:rsidP="00D03BD1">
            <w:pPr>
              <w:keepNext/>
              <w:ind w:left="-108"/>
              <w:rPr>
                <w:rFonts w:ascii="Arial" w:hAnsi="Arial" w:cs="Arial"/>
                <w:sz w:val="20"/>
              </w:rPr>
            </w:pPr>
            <w:r w:rsidRPr="008B43F9">
              <w:rPr>
                <w:rFonts w:ascii="Arial" w:hAnsi="Arial" w:cs="Arial"/>
                <w:sz w:val="20"/>
              </w:rPr>
              <w:t>escitalopram 20 mg tablet, 28</w:t>
            </w:r>
          </w:p>
          <w:p w:rsidR="003B5033" w:rsidRPr="008B43F9" w:rsidRDefault="003B5033" w:rsidP="00D03BD1">
            <w:pPr>
              <w:keepNext/>
              <w:ind w:left="-108"/>
              <w:rPr>
                <w:rFonts w:ascii="Arial" w:hAnsi="Arial" w:cs="Arial"/>
                <w:sz w:val="20"/>
              </w:rPr>
            </w:pPr>
          </w:p>
        </w:tc>
        <w:tc>
          <w:tcPr>
            <w:tcW w:w="709" w:type="dxa"/>
          </w:tcPr>
          <w:p w:rsidR="003B5033" w:rsidRPr="008B43F9" w:rsidRDefault="003B5033" w:rsidP="00D03BD1">
            <w:pPr>
              <w:keepNext/>
              <w:ind w:left="-108"/>
              <w:jc w:val="both"/>
              <w:rPr>
                <w:rFonts w:ascii="Arial" w:hAnsi="Arial" w:cs="Arial"/>
                <w:sz w:val="20"/>
              </w:rPr>
            </w:pPr>
            <w:r w:rsidRPr="008B43F9">
              <w:rPr>
                <w:rFonts w:ascii="Arial" w:hAnsi="Arial" w:cs="Arial"/>
                <w:sz w:val="20"/>
              </w:rPr>
              <w:t xml:space="preserve">  </w:t>
            </w:r>
          </w:p>
          <w:p w:rsidR="003B5033" w:rsidRPr="008B43F9" w:rsidRDefault="003B5033" w:rsidP="00D03BD1">
            <w:pPr>
              <w:keepNext/>
              <w:jc w:val="both"/>
              <w:rPr>
                <w:rFonts w:ascii="Arial" w:hAnsi="Arial" w:cs="Arial"/>
                <w:sz w:val="20"/>
              </w:rPr>
            </w:pPr>
            <w:r w:rsidRPr="008B43F9">
              <w:rPr>
                <w:rFonts w:ascii="Arial" w:hAnsi="Arial" w:cs="Arial"/>
                <w:sz w:val="20"/>
              </w:rPr>
              <w:t xml:space="preserve"> 1</w:t>
            </w:r>
          </w:p>
          <w:p w:rsidR="003B5033" w:rsidRPr="008B43F9" w:rsidRDefault="003B5033" w:rsidP="00D03BD1">
            <w:pPr>
              <w:keepNext/>
              <w:ind w:left="-108"/>
              <w:jc w:val="both"/>
              <w:rPr>
                <w:rFonts w:ascii="Arial" w:hAnsi="Arial" w:cs="Arial"/>
                <w:sz w:val="20"/>
              </w:rPr>
            </w:pPr>
            <w:r w:rsidRPr="008B43F9">
              <w:rPr>
                <w:rFonts w:ascii="Arial" w:hAnsi="Arial" w:cs="Arial"/>
                <w:sz w:val="20"/>
              </w:rPr>
              <w:t xml:space="preserve">  </w:t>
            </w:r>
          </w:p>
          <w:p w:rsidR="003B5033" w:rsidRPr="008B43F9" w:rsidRDefault="003B5033" w:rsidP="00D03BD1">
            <w:pPr>
              <w:keepNext/>
              <w:ind w:left="-108"/>
              <w:jc w:val="both"/>
              <w:rPr>
                <w:rFonts w:ascii="Arial" w:hAnsi="Arial" w:cs="Arial"/>
                <w:sz w:val="20"/>
              </w:rPr>
            </w:pPr>
            <w:r w:rsidRPr="008B43F9">
              <w:rPr>
                <w:rFonts w:ascii="Arial" w:hAnsi="Arial" w:cs="Arial"/>
                <w:sz w:val="20"/>
              </w:rPr>
              <w:t xml:space="preserve">   1</w:t>
            </w:r>
          </w:p>
          <w:p w:rsidR="003B5033" w:rsidRPr="008B43F9" w:rsidRDefault="003B5033" w:rsidP="00D03BD1">
            <w:pPr>
              <w:keepNext/>
              <w:ind w:left="-108"/>
              <w:jc w:val="both"/>
              <w:rPr>
                <w:rFonts w:ascii="Arial" w:hAnsi="Arial" w:cs="Arial"/>
                <w:sz w:val="20"/>
              </w:rPr>
            </w:pPr>
          </w:p>
          <w:p w:rsidR="003B5033" w:rsidRPr="008B43F9" w:rsidRDefault="003B5033" w:rsidP="00D03BD1">
            <w:pPr>
              <w:keepNext/>
              <w:ind w:left="-108"/>
              <w:jc w:val="both"/>
              <w:rPr>
                <w:rFonts w:ascii="Arial" w:hAnsi="Arial" w:cs="Arial"/>
                <w:sz w:val="20"/>
              </w:rPr>
            </w:pPr>
            <w:r w:rsidRPr="008B43F9">
              <w:rPr>
                <w:rFonts w:ascii="Arial" w:hAnsi="Arial" w:cs="Arial"/>
                <w:sz w:val="20"/>
              </w:rPr>
              <w:t xml:space="preserve">   1</w:t>
            </w:r>
          </w:p>
          <w:p w:rsidR="00B83D8A" w:rsidRPr="008B43F9" w:rsidRDefault="00B83D8A" w:rsidP="00D03BD1">
            <w:pPr>
              <w:keepNext/>
              <w:ind w:left="-108"/>
              <w:jc w:val="both"/>
              <w:rPr>
                <w:rFonts w:ascii="Arial" w:hAnsi="Arial" w:cs="Arial"/>
                <w:sz w:val="20"/>
              </w:rPr>
            </w:pPr>
          </w:p>
          <w:p w:rsidR="00B83D8A" w:rsidRPr="008B43F9" w:rsidRDefault="00B83D8A" w:rsidP="00D03BD1">
            <w:pPr>
              <w:keepNext/>
              <w:ind w:left="-108"/>
              <w:jc w:val="both"/>
              <w:rPr>
                <w:rFonts w:ascii="Arial" w:hAnsi="Arial" w:cs="Arial"/>
                <w:sz w:val="20"/>
              </w:rPr>
            </w:pPr>
          </w:p>
          <w:p w:rsidR="003B5033" w:rsidRPr="008B43F9" w:rsidRDefault="003B5033" w:rsidP="00B83D8A">
            <w:pPr>
              <w:keepNext/>
              <w:ind w:left="-108"/>
              <w:jc w:val="both"/>
              <w:rPr>
                <w:rFonts w:ascii="Arial" w:hAnsi="Arial" w:cs="Arial"/>
                <w:sz w:val="20"/>
              </w:rPr>
            </w:pPr>
            <w:r w:rsidRPr="008B43F9">
              <w:rPr>
                <w:rFonts w:ascii="Arial" w:hAnsi="Arial" w:cs="Arial"/>
                <w:sz w:val="20"/>
              </w:rPr>
              <w:t xml:space="preserve">   1</w:t>
            </w:r>
          </w:p>
        </w:tc>
        <w:tc>
          <w:tcPr>
            <w:tcW w:w="567" w:type="dxa"/>
          </w:tcPr>
          <w:p w:rsidR="003B5033" w:rsidRPr="008B43F9" w:rsidRDefault="003B5033" w:rsidP="00D03BD1">
            <w:pPr>
              <w:keepNext/>
              <w:ind w:left="-108"/>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5</w:t>
            </w:r>
          </w:p>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5</w:t>
            </w:r>
          </w:p>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5</w:t>
            </w:r>
          </w:p>
          <w:p w:rsidR="00B83D8A" w:rsidRPr="008B43F9" w:rsidRDefault="00B83D8A" w:rsidP="00D03BD1">
            <w:pPr>
              <w:keepNext/>
              <w:jc w:val="both"/>
              <w:rPr>
                <w:rFonts w:ascii="Arial" w:hAnsi="Arial" w:cs="Arial"/>
                <w:sz w:val="20"/>
              </w:rPr>
            </w:pPr>
          </w:p>
          <w:p w:rsidR="00B83D8A" w:rsidRPr="008B43F9" w:rsidRDefault="00B83D8A"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5</w:t>
            </w:r>
          </w:p>
        </w:tc>
        <w:tc>
          <w:tcPr>
            <w:tcW w:w="1417" w:type="dxa"/>
          </w:tcPr>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Lexapro</w:t>
            </w:r>
          </w:p>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Lexapro</w:t>
            </w:r>
          </w:p>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vertAlign w:val="superscript"/>
              </w:rPr>
              <w:t>a</w:t>
            </w:r>
            <w:r w:rsidRPr="008B43F9">
              <w:rPr>
                <w:rFonts w:ascii="Arial" w:hAnsi="Arial" w:cs="Arial"/>
                <w:sz w:val="20"/>
              </w:rPr>
              <w:t>Lexapro</w:t>
            </w:r>
          </w:p>
          <w:p w:rsidR="003B5033" w:rsidRPr="008B43F9" w:rsidRDefault="003B5033" w:rsidP="00D03BD1">
            <w:pPr>
              <w:keepNext/>
              <w:jc w:val="both"/>
              <w:rPr>
                <w:rFonts w:ascii="Arial" w:hAnsi="Arial" w:cs="Arial"/>
                <w:sz w:val="20"/>
              </w:rPr>
            </w:pPr>
            <w:r w:rsidRPr="008B43F9">
              <w:rPr>
                <w:rFonts w:ascii="Arial" w:hAnsi="Arial" w:cs="Arial"/>
                <w:sz w:val="20"/>
                <w:vertAlign w:val="superscript"/>
              </w:rPr>
              <w:t>a</w:t>
            </w:r>
            <w:r w:rsidRPr="008B43F9">
              <w:rPr>
                <w:rFonts w:ascii="Arial" w:hAnsi="Arial" w:cs="Arial"/>
                <w:sz w:val="20"/>
              </w:rPr>
              <w:t>Esipram</w:t>
            </w:r>
          </w:p>
          <w:p w:rsidR="00B83D8A" w:rsidRPr="008B43F9" w:rsidRDefault="00B83D8A"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vertAlign w:val="superscript"/>
              </w:rPr>
              <w:t>a</w:t>
            </w:r>
            <w:r w:rsidRPr="008B43F9">
              <w:rPr>
                <w:rFonts w:ascii="Arial" w:hAnsi="Arial" w:cs="Arial"/>
                <w:sz w:val="20"/>
              </w:rPr>
              <w:t>Lexapro</w:t>
            </w:r>
          </w:p>
          <w:p w:rsidR="003B5033" w:rsidRPr="008B43F9" w:rsidRDefault="003B5033" w:rsidP="00D03BD1">
            <w:pPr>
              <w:keepNext/>
              <w:jc w:val="both"/>
              <w:rPr>
                <w:rFonts w:ascii="Arial" w:hAnsi="Arial" w:cs="Arial"/>
                <w:sz w:val="20"/>
              </w:rPr>
            </w:pPr>
            <w:r w:rsidRPr="008B43F9">
              <w:rPr>
                <w:rFonts w:ascii="Arial" w:hAnsi="Arial" w:cs="Arial"/>
                <w:sz w:val="20"/>
                <w:vertAlign w:val="superscript"/>
              </w:rPr>
              <w:t>a</w:t>
            </w:r>
            <w:r w:rsidRPr="008B43F9">
              <w:rPr>
                <w:rFonts w:ascii="Arial" w:hAnsi="Arial" w:cs="Arial"/>
                <w:sz w:val="20"/>
              </w:rPr>
              <w:t>Esipram</w:t>
            </w:r>
          </w:p>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p>
        </w:tc>
        <w:tc>
          <w:tcPr>
            <w:tcW w:w="851" w:type="dxa"/>
          </w:tcPr>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LU</w:t>
            </w:r>
          </w:p>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LU</w:t>
            </w:r>
          </w:p>
          <w:p w:rsidR="003B5033" w:rsidRPr="008B43F9" w:rsidRDefault="003B5033"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LU</w:t>
            </w:r>
          </w:p>
          <w:p w:rsidR="003B5033" w:rsidRPr="008B43F9" w:rsidRDefault="003B5033" w:rsidP="00D03BD1">
            <w:pPr>
              <w:keepNext/>
              <w:jc w:val="both"/>
              <w:rPr>
                <w:rFonts w:ascii="Arial" w:hAnsi="Arial" w:cs="Arial"/>
                <w:sz w:val="20"/>
              </w:rPr>
            </w:pPr>
            <w:r w:rsidRPr="008B43F9">
              <w:rPr>
                <w:rFonts w:ascii="Arial" w:hAnsi="Arial" w:cs="Arial"/>
                <w:sz w:val="20"/>
              </w:rPr>
              <w:t>UA</w:t>
            </w:r>
          </w:p>
          <w:p w:rsidR="00B83D8A" w:rsidRPr="008B43F9" w:rsidRDefault="00B83D8A" w:rsidP="00D03BD1">
            <w:pPr>
              <w:keepNext/>
              <w:jc w:val="both"/>
              <w:rPr>
                <w:rFonts w:ascii="Arial" w:hAnsi="Arial" w:cs="Arial"/>
                <w:sz w:val="20"/>
              </w:rPr>
            </w:pPr>
          </w:p>
          <w:p w:rsidR="003B5033" w:rsidRPr="008B43F9" w:rsidRDefault="003B5033" w:rsidP="00D03BD1">
            <w:pPr>
              <w:keepNext/>
              <w:jc w:val="both"/>
              <w:rPr>
                <w:rFonts w:ascii="Arial" w:hAnsi="Arial" w:cs="Arial"/>
                <w:sz w:val="20"/>
              </w:rPr>
            </w:pPr>
            <w:r w:rsidRPr="008B43F9">
              <w:rPr>
                <w:rFonts w:ascii="Arial" w:hAnsi="Arial" w:cs="Arial"/>
                <w:sz w:val="20"/>
              </w:rPr>
              <w:t>LU</w:t>
            </w:r>
          </w:p>
          <w:p w:rsidR="003B5033" w:rsidRPr="008B43F9" w:rsidRDefault="003B5033" w:rsidP="00D03BD1">
            <w:pPr>
              <w:keepNext/>
              <w:jc w:val="both"/>
              <w:rPr>
                <w:rFonts w:ascii="Arial" w:hAnsi="Arial" w:cs="Arial"/>
                <w:sz w:val="20"/>
              </w:rPr>
            </w:pPr>
            <w:r w:rsidRPr="008B43F9">
              <w:rPr>
                <w:rFonts w:ascii="Arial" w:hAnsi="Arial" w:cs="Arial"/>
                <w:sz w:val="20"/>
              </w:rPr>
              <w:t>UA</w:t>
            </w:r>
          </w:p>
        </w:tc>
      </w:tr>
    </w:tbl>
    <w:p w:rsidR="003B5033" w:rsidRPr="008B43F9" w:rsidRDefault="003B5033" w:rsidP="003B5033">
      <w:pPr>
        <w:rPr>
          <w:rFonts w:ascii="Arial" w:hAnsi="Arial" w:cs="Arial"/>
          <w:b/>
        </w:rPr>
      </w:pPr>
    </w:p>
    <w:tbl>
      <w:tblPr>
        <w:tblW w:w="8222" w:type="dxa"/>
        <w:tblInd w:w="817" w:type="dxa"/>
        <w:tblLayout w:type="fixed"/>
        <w:tblLook w:val="0000" w:firstRow="0" w:lastRow="0" w:firstColumn="0" w:lastColumn="0" w:noHBand="0" w:noVBand="0"/>
        <w:tblDescription w:val="recommeded listing"/>
      </w:tblPr>
      <w:tblGrid>
        <w:gridCol w:w="2268"/>
        <w:gridCol w:w="5954"/>
      </w:tblGrid>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Condition:</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color w:val="000000"/>
                <w:sz w:val="20"/>
                <w:shd w:val="clear" w:color="auto" w:fill="FFFFFF"/>
              </w:rPr>
              <w:t>Major depressive disorder</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Restriction:</w:t>
            </w:r>
          </w:p>
          <w:p w:rsidR="003B5033" w:rsidRPr="008B43F9" w:rsidRDefault="003B5033" w:rsidP="00D03BD1">
            <w:pPr>
              <w:rPr>
                <w:rFonts w:ascii="Arial" w:hAnsi="Arial" w:cs="Arial"/>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Restricted benefit</w:t>
            </w:r>
          </w:p>
        </w:tc>
      </w:tr>
    </w:tbl>
    <w:p w:rsidR="00B83D8A" w:rsidRPr="008B43F9" w:rsidRDefault="00B83D8A"/>
    <w:tbl>
      <w:tblPr>
        <w:tblW w:w="8222" w:type="dxa"/>
        <w:tblInd w:w="817" w:type="dxa"/>
        <w:tblLayout w:type="fixed"/>
        <w:tblLook w:val="0000" w:firstRow="0" w:lastRow="0" w:firstColumn="0" w:lastColumn="0" w:noHBand="0" w:noVBand="0"/>
      </w:tblPr>
      <w:tblGrid>
        <w:gridCol w:w="2268"/>
        <w:gridCol w:w="5954"/>
      </w:tblGrid>
      <w:tr w:rsidR="003B5033" w:rsidRPr="008B43F9" w:rsidTr="00B83D8A">
        <w:trPr>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Severity:</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Moderate to severe</w:t>
            </w:r>
          </w:p>
        </w:tc>
      </w:tr>
      <w:tr w:rsidR="003B5033" w:rsidRPr="008B43F9" w:rsidTr="00B83D8A">
        <w:trPr>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Condition/Indication:</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generalised anxiety disorder (GAD)</w:t>
            </w:r>
          </w:p>
        </w:tc>
      </w:tr>
      <w:tr w:rsidR="003B5033" w:rsidRPr="008B43F9" w:rsidTr="00B83D8A">
        <w:trPr>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Restriction:</w:t>
            </w:r>
          </w:p>
          <w:p w:rsidR="003B5033" w:rsidRPr="008B43F9" w:rsidRDefault="003B5033" w:rsidP="00D03BD1">
            <w:pPr>
              <w:rPr>
                <w:rFonts w:ascii="Arial" w:hAnsi="Arial" w:cs="Arial"/>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Restricted benefit</w:t>
            </w:r>
          </w:p>
        </w:tc>
      </w:tr>
      <w:tr w:rsidR="003B5033" w:rsidRPr="008B43F9" w:rsidTr="00B83D8A">
        <w:trPr>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Clinical criteria:</w:t>
            </w:r>
          </w:p>
          <w:p w:rsidR="003B5033" w:rsidRPr="008B43F9" w:rsidRDefault="003B5033" w:rsidP="00D03BD1">
            <w:pPr>
              <w:jc w:val="both"/>
              <w:rPr>
                <w:rFonts w:ascii="Arial" w:hAnsi="Arial" w:cs="Arial"/>
                <w:i/>
                <w:sz w:val="20"/>
              </w:rPr>
            </w:pPr>
          </w:p>
          <w:p w:rsidR="003B5033" w:rsidRPr="008B43F9" w:rsidRDefault="003B5033" w:rsidP="00D03BD1">
            <w:pPr>
              <w:jc w:val="both"/>
              <w:rPr>
                <w:rFonts w:ascii="Arial" w:hAnsi="Arial" w:cs="Arial"/>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The condition must be defined by Diagnostic and Statistical Manual of Mental Disorders, Fifth Edition (DSM-V) criteria.</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 xml:space="preserve">Patient must not have responded to non-pharmacological therapy </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 xml:space="preserve">Patient must be one for whom a GP Mental Health Care Plan, as described under </w:t>
            </w:r>
            <w:r w:rsidRPr="008B43F9">
              <w:rPr>
                <w:rFonts w:ascii="Arial" w:hAnsi="Arial" w:cs="Arial"/>
                <w:i/>
                <w:sz w:val="20"/>
              </w:rPr>
              <w:t>items 2715 or 2717</w:t>
            </w:r>
            <w:r w:rsidRPr="008B43F9">
              <w:rPr>
                <w:rFonts w:ascii="Arial" w:hAnsi="Arial" w:cs="Arial"/>
                <w:sz w:val="20"/>
              </w:rPr>
              <w:t xml:space="preserve"> of the Medicare Benefits Schedule, has been prepared.</w:t>
            </w:r>
          </w:p>
        </w:tc>
      </w:tr>
    </w:tbl>
    <w:p w:rsidR="003B5033" w:rsidRPr="008B43F9" w:rsidRDefault="003B5033" w:rsidP="003B5033">
      <w:pPr>
        <w:jc w:val="both"/>
        <w:rPr>
          <w:rFonts w:ascii="Arial" w:hAnsi="Arial" w:cs="Arial"/>
        </w:rPr>
      </w:pPr>
    </w:p>
    <w:tbl>
      <w:tblPr>
        <w:tblW w:w="8222" w:type="dxa"/>
        <w:tblInd w:w="817" w:type="dxa"/>
        <w:tblLayout w:type="fixed"/>
        <w:tblLook w:val="0000" w:firstRow="0" w:lastRow="0" w:firstColumn="0" w:lastColumn="0" w:noHBand="0" w:noVBand="0"/>
      </w:tblPr>
      <w:tblGrid>
        <w:gridCol w:w="2268"/>
        <w:gridCol w:w="5954"/>
      </w:tblGrid>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Severity:</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Moderate to severe</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Condition/Indication:</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generalised anxiety disorder (GAD)</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Restriction:</w:t>
            </w:r>
          </w:p>
          <w:p w:rsidR="003B5033" w:rsidRPr="008B43F9" w:rsidRDefault="003B5033" w:rsidP="00D03BD1">
            <w:pPr>
              <w:jc w:val="both"/>
              <w:rPr>
                <w:rFonts w:ascii="Arial" w:hAnsi="Arial" w:cs="Arial"/>
                <w:b/>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Restricted benefit</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Clinical criteria:</w:t>
            </w:r>
          </w:p>
          <w:p w:rsidR="003B5033" w:rsidRPr="008B43F9" w:rsidRDefault="003B5033" w:rsidP="00D03BD1">
            <w:pPr>
              <w:jc w:val="both"/>
              <w:rPr>
                <w:rFonts w:ascii="Arial" w:hAnsi="Arial" w:cs="Arial"/>
                <w:b/>
                <w:sz w:val="20"/>
              </w:rPr>
            </w:pPr>
          </w:p>
          <w:p w:rsidR="003B5033" w:rsidRPr="008B43F9" w:rsidRDefault="003B5033" w:rsidP="00D03BD1">
            <w:pPr>
              <w:jc w:val="both"/>
              <w:rPr>
                <w:rFonts w:ascii="Arial" w:hAnsi="Arial" w:cs="Arial"/>
                <w:b/>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The condition must be defined by Diagnostic and Statistical Manual of Mental Disorders, Fifth Edition (DSM-V) criteria.</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 xml:space="preserve">Patient must not have responded to non-pharmacological therapy </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Patient must have been assessed by a psychiatrist.</w:t>
            </w:r>
          </w:p>
        </w:tc>
      </w:tr>
    </w:tbl>
    <w:p w:rsidR="003B5033" w:rsidRPr="008B43F9" w:rsidRDefault="003B5033" w:rsidP="003B5033">
      <w:pPr>
        <w:jc w:val="both"/>
        <w:rPr>
          <w:rFonts w:ascii="Arial" w:hAnsi="Arial" w:cs="Arial"/>
        </w:rPr>
      </w:pPr>
    </w:p>
    <w:tbl>
      <w:tblPr>
        <w:tblW w:w="8222" w:type="dxa"/>
        <w:tblInd w:w="817" w:type="dxa"/>
        <w:tblLayout w:type="fixed"/>
        <w:tblLook w:val="0000" w:firstRow="0" w:lastRow="0" w:firstColumn="0" w:lastColumn="0" w:noHBand="0" w:noVBand="0"/>
      </w:tblPr>
      <w:tblGrid>
        <w:gridCol w:w="2268"/>
        <w:gridCol w:w="5954"/>
      </w:tblGrid>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Severity:</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Moderate to severe</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Condition/Indication:</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social anxiety disorder (social phobia, SAD)</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Restriction:</w:t>
            </w:r>
          </w:p>
          <w:p w:rsidR="003B5033" w:rsidRPr="008B43F9" w:rsidRDefault="003B5033" w:rsidP="00D03BD1">
            <w:pPr>
              <w:rPr>
                <w:rFonts w:ascii="Arial" w:hAnsi="Arial" w:cs="Arial"/>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Restricted benefit</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Clinical criteria:</w:t>
            </w:r>
          </w:p>
          <w:p w:rsidR="003B5033" w:rsidRPr="008B43F9" w:rsidRDefault="003B5033" w:rsidP="00D03BD1">
            <w:pPr>
              <w:jc w:val="both"/>
              <w:rPr>
                <w:rFonts w:ascii="Arial" w:hAnsi="Arial" w:cs="Arial"/>
                <w:i/>
                <w:sz w:val="20"/>
              </w:rPr>
            </w:pPr>
          </w:p>
          <w:p w:rsidR="003B5033" w:rsidRPr="008B43F9" w:rsidRDefault="003B5033" w:rsidP="00D03BD1">
            <w:pPr>
              <w:jc w:val="both"/>
              <w:rPr>
                <w:rFonts w:ascii="Arial" w:hAnsi="Arial" w:cs="Arial"/>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The condition must be defined by Diagnostic and Statistical Manual of Mental Disorders, Fifth Edition (DSM-V) criteria.</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 xml:space="preserve">Patient must not have responded to non-pharmacological therapy </w:t>
            </w:r>
          </w:p>
          <w:p w:rsidR="003B5033" w:rsidRPr="008B43F9" w:rsidRDefault="003B5033" w:rsidP="00D03BD1">
            <w:pPr>
              <w:rPr>
                <w:rFonts w:ascii="Arial" w:hAnsi="Arial" w:cs="Arial"/>
                <w:sz w:val="20"/>
              </w:rPr>
            </w:pPr>
            <w:bookmarkStart w:id="0" w:name="_GoBack"/>
            <w:bookmarkEnd w:id="0"/>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 xml:space="preserve">Patient must be one for whom a GP Mental Health Care Plan, as described under </w:t>
            </w:r>
            <w:r w:rsidRPr="008B43F9">
              <w:rPr>
                <w:rFonts w:ascii="Arial" w:hAnsi="Arial" w:cs="Arial"/>
                <w:i/>
                <w:sz w:val="20"/>
              </w:rPr>
              <w:t>items 2715 or 2717</w:t>
            </w:r>
            <w:r w:rsidRPr="008B43F9">
              <w:rPr>
                <w:rFonts w:ascii="Arial" w:hAnsi="Arial" w:cs="Arial"/>
                <w:sz w:val="20"/>
              </w:rPr>
              <w:t xml:space="preserve"> of the Medicare Benefits Schedule, has been prepared.</w:t>
            </w:r>
          </w:p>
        </w:tc>
      </w:tr>
    </w:tbl>
    <w:p w:rsidR="003B5033" w:rsidRPr="008B43F9" w:rsidRDefault="003B5033" w:rsidP="003B5033">
      <w:pPr>
        <w:jc w:val="both"/>
        <w:rPr>
          <w:rFonts w:ascii="Arial" w:hAnsi="Arial" w:cs="Arial"/>
        </w:rPr>
      </w:pPr>
    </w:p>
    <w:tbl>
      <w:tblPr>
        <w:tblW w:w="8222" w:type="dxa"/>
        <w:tblInd w:w="817" w:type="dxa"/>
        <w:tblLayout w:type="fixed"/>
        <w:tblLook w:val="0000" w:firstRow="0" w:lastRow="0" w:firstColumn="0" w:lastColumn="0" w:noHBand="0" w:noVBand="0"/>
      </w:tblPr>
      <w:tblGrid>
        <w:gridCol w:w="2268"/>
        <w:gridCol w:w="5954"/>
      </w:tblGrid>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Severity:</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Moderate to severe</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Condition/Indication:</w:t>
            </w: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social anxiety disorder (social phobia, SAD)</w:t>
            </w:r>
          </w:p>
        </w:tc>
      </w:tr>
      <w:tr w:rsidR="003B5033" w:rsidRPr="008B43F9"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t>Restriction:</w:t>
            </w:r>
          </w:p>
          <w:p w:rsidR="003B5033" w:rsidRPr="008B43F9" w:rsidRDefault="003B5033" w:rsidP="00D03BD1">
            <w:pPr>
              <w:jc w:val="both"/>
              <w:rPr>
                <w:rFonts w:ascii="Arial" w:hAnsi="Arial" w:cs="Arial"/>
                <w:b/>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Restricted benefit</w:t>
            </w:r>
          </w:p>
        </w:tc>
      </w:tr>
      <w:tr w:rsidR="003B5033" w:rsidRPr="008D5CB8" w:rsidTr="00B83D8A">
        <w:trPr>
          <w:cantSplit/>
          <w:trHeight w:val="360"/>
        </w:trPr>
        <w:tc>
          <w:tcPr>
            <w:tcW w:w="2268"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jc w:val="both"/>
              <w:rPr>
                <w:rFonts w:ascii="Arial" w:hAnsi="Arial" w:cs="Arial"/>
                <w:b/>
                <w:sz w:val="20"/>
              </w:rPr>
            </w:pPr>
            <w:r w:rsidRPr="008B43F9">
              <w:rPr>
                <w:rFonts w:ascii="Arial" w:hAnsi="Arial" w:cs="Arial"/>
                <w:b/>
                <w:sz w:val="20"/>
              </w:rPr>
              <w:lastRenderedPageBreak/>
              <w:t>Clinical criteria:</w:t>
            </w:r>
          </w:p>
          <w:p w:rsidR="003B5033" w:rsidRPr="008B43F9" w:rsidRDefault="003B5033" w:rsidP="00D03BD1">
            <w:pPr>
              <w:jc w:val="both"/>
              <w:rPr>
                <w:rFonts w:ascii="Arial" w:hAnsi="Arial" w:cs="Arial"/>
                <w:b/>
                <w:sz w:val="20"/>
              </w:rPr>
            </w:pPr>
          </w:p>
          <w:p w:rsidR="003B5033" w:rsidRPr="008B43F9" w:rsidRDefault="003B5033" w:rsidP="00D03BD1">
            <w:pPr>
              <w:jc w:val="both"/>
              <w:rPr>
                <w:rFonts w:ascii="Arial" w:hAnsi="Arial" w:cs="Arial"/>
                <w:b/>
                <w:sz w:val="20"/>
              </w:rPr>
            </w:pPr>
          </w:p>
        </w:tc>
        <w:tc>
          <w:tcPr>
            <w:tcW w:w="5954" w:type="dxa"/>
            <w:tcBorders>
              <w:top w:val="single" w:sz="4" w:space="0" w:color="auto"/>
              <w:left w:val="single" w:sz="4" w:space="0" w:color="auto"/>
              <w:bottom w:val="single" w:sz="4" w:space="0" w:color="auto"/>
              <w:right w:val="single" w:sz="4" w:space="0" w:color="auto"/>
            </w:tcBorders>
          </w:tcPr>
          <w:p w:rsidR="003B5033" w:rsidRPr="008B43F9" w:rsidRDefault="003B5033" w:rsidP="00D03BD1">
            <w:pPr>
              <w:rPr>
                <w:rFonts w:ascii="Arial" w:hAnsi="Arial" w:cs="Arial"/>
                <w:sz w:val="20"/>
              </w:rPr>
            </w:pPr>
            <w:r w:rsidRPr="008B43F9">
              <w:rPr>
                <w:rFonts w:ascii="Arial" w:hAnsi="Arial" w:cs="Arial"/>
                <w:sz w:val="20"/>
              </w:rPr>
              <w:t>The condition must be defined by Diagnostic and Statistical Manual of Mental Disorders, Fifth Edition (DSM-V) criteria.</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 xml:space="preserve">Patient must not have responded to non-pharmacological therapy </w:t>
            </w:r>
          </w:p>
          <w:p w:rsidR="003B5033" w:rsidRPr="008B43F9" w:rsidRDefault="003B5033" w:rsidP="00D03BD1">
            <w:pPr>
              <w:rPr>
                <w:rFonts w:ascii="Arial" w:hAnsi="Arial" w:cs="Arial"/>
                <w:sz w:val="20"/>
              </w:rPr>
            </w:pPr>
          </w:p>
          <w:p w:rsidR="003B5033" w:rsidRPr="008B43F9" w:rsidRDefault="003B5033" w:rsidP="00D03BD1">
            <w:pPr>
              <w:rPr>
                <w:rFonts w:ascii="Arial" w:hAnsi="Arial" w:cs="Arial"/>
                <w:sz w:val="20"/>
              </w:rPr>
            </w:pPr>
            <w:r w:rsidRPr="008B43F9">
              <w:rPr>
                <w:rFonts w:ascii="Arial" w:hAnsi="Arial" w:cs="Arial"/>
                <w:sz w:val="20"/>
              </w:rPr>
              <w:t>AND</w:t>
            </w:r>
          </w:p>
          <w:p w:rsidR="003B5033" w:rsidRPr="008B43F9" w:rsidRDefault="003B5033" w:rsidP="00D03BD1">
            <w:pPr>
              <w:rPr>
                <w:rFonts w:ascii="Arial" w:hAnsi="Arial" w:cs="Arial"/>
                <w:sz w:val="20"/>
              </w:rPr>
            </w:pPr>
          </w:p>
          <w:p w:rsidR="003B5033" w:rsidRPr="008D5CB8" w:rsidRDefault="003B5033" w:rsidP="00D03BD1">
            <w:pPr>
              <w:rPr>
                <w:rFonts w:ascii="Arial" w:hAnsi="Arial" w:cs="Arial"/>
                <w:sz w:val="20"/>
              </w:rPr>
            </w:pPr>
            <w:r w:rsidRPr="008B43F9">
              <w:rPr>
                <w:rFonts w:ascii="Arial" w:hAnsi="Arial" w:cs="Arial"/>
                <w:sz w:val="20"/>
              </w:rPr>
              <w:t>Patient must have been assessed by a psychiatrist.</w:t>
            </w:r>
          </w:p>
        </w:tc>
      </w:tr>
    </w:tbl>
    <w:p w:rsidR="003B5033" w:rsidRDefault="003B5033" w:rsidP="00B83D8A">
      <w:pPr>
        <w:jc w:val="both"/>
        <w:rPr>
          <w:rFonts w:ascii="Arial" w:hAnsi="Arial" w:cs="Arial"/>
        </w:rPr>
      </w:pPr>
    </w:p>
    <w:p w:rsidR="00BB3FDC" w:rsidRPr="00A875B4" w:rsidRDefault="00BB3FDC" w:rsidP="00BB3FDC">
      <w:pPr>
        <w:pStyle w:val="ListParagraph"/>
        <w:numPr>
          <w:ilvl w:val="0"/>
          <w:numId w:val="25"/>
        </w:numPr>
        <w:jc w:val="both"/>
        <w:rPr>
          <w:rFonts w:ascii="Arial" w:hAnsi="Arial" w:cs="Arial"/>
          <w:b/>
          <w:sz w:val="22"/>
        </w:rPr>
      </w:pPr>
      <w:r w:rsidRPr="00A875B4">
        <w:rPr>
          <w:rFonts w:ascii="Arial" w:hAnsi="Arial" w:cs="Arial"/>
          <w:b/>
          <w:sz w:val="22"/>
        </w:rPr>
        <w:t>Context for Decision</w:t>
      </w:r>
    </w:p>
    <w:p w:rsidR="00BB3FDC" w:rsidRPr="00A875B4" w:rsidRDefault="00BB3FDC" w:rsidP="00BB3FDC">
      <w:pPr>
        <w:pStyle w:val="ListParagraph"/>
        <w:rPr>
          <w:rFonts w:ascii="Arial" w:hAnsi="Arial" w:cs="Arial"/>
          <w:b/>
          <w:sz w:val="22"/>
        </w:rPr>
      </w:pPr>
    </w:p>
    <w:p w:rsidR="00BB3FDC" w:rsidRPr="00A875B4" w:rsidRDefault="00BB3FDC" w:rsidP="00BB3FDC">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B3FDC" w:rsidRPr="00A875B4" w:rsidRDefault="00BB3FDC" w:rsidP="00BB3FDC">
      <w:pPr>
        <w:rPr>
          <w:rFonts w:ascii="Arial" w:hAnsi="Arial" w:cs="Arial"/>
          <w:sz w:val="22"/>
        </w:rPr>
      </w:pPr>
    </w:p>
    <w:p w:rsidR="00BB3FDC" w:rsidRPr="00A875B4" w:rsidRDefault="00BB3FDC" w:rsidP="00BB3FDC">
      <w:pPr>
        <w:pStyle w:val="ListParagraph"/>
        <w:numPr>
          <w:ilvl w:val="0"/>
          <w:numId w:val="25"/>
        </w:numPr>
        <w:jc w:val="both"/>
        <w:rPr>
          <w:rFonts w:ascii="Arial" w:hAnsi="Arial" w:cs="Arial"/>
          <w:b/>
          <w:sz w:val="22"/>
        </w:rPr>
      </w:pPr>
      <w:r w:rsidRPr="00A875B4">
        <w:rPr>
          <w:rFonts w:ascii="Arial" w:hAnsi="Arial" w:cs="Arial"/>
          <w:b/>
          <w:sz w:val="22"/>
        </w:rPr>
        <w:t>Sponsor’s Comment</w:t>
      </w:r>
    </w:p>
    <w:p w:rsidR="00BB3FDC" w:rsidRDefault="00BB3FDC" w:rsidP="00B83D8A">
      <w:pPr>
        <w:jc w:val="both"/>
        <w:rPr>
          <w:rFonts w:ascii="Arial" w:hAnsi="Arial" w:cs="Arial"/>
        </w:rPr>
      </w:pPr>
    </w:p>
    <w:p w:rsidR="00AC175A" w:rsidRPr="00AC175A" w:rsidRDefault="00AC175A" w:rsidP="00AC175A">
      <w:pPr>
        <w:rPr>
          <w:rFonts w:ascii="Arial" w:hAnsi="Arial"/>
          <w:sz w:val="22"/>
          <w:szCs w:val="22"/>
        </w:rPr>
      </w:pPr>
      <w:r>
        <w:rPr>
          <w:rFonts w:ascii="Arial" w:hAnsi="Arial" w:cs="Arial"/>
        </w:rPr>
        <w:tab/>
      </w:r>
      <w:r w:rsidRPr="00AC175A">
        <w:rPr>
          <w:rFonts w:ascii="Arial" w:hAnsi="Arial"/>
          <w:sz w:val="22"/>
          <w:szCs w:val="22"/>
        </w:rPr>
        <w:t xml:space="preserve">The sponsor had no comment. </w:t>
      </w:r>
    </w:p>
    <w:p w:rsidR="00AC175A" w:rsidRDefault="00AC175A" w:rsidP="00B83D8A">
      <w:pPr>
        <w:jc w:val="both"/>
        <w:rPr>
          <w:rFonts w:ascii="Arial" w:hAnsi="Arial" w:cs="Arial"/>
        </w:rPr>
      </w:pPr>
    </w:p>
    <w:sectPr w:rsidR="00AC175A"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8E" w:rsidRDefault="006C708E">
      <w:r>
        <w:separator/>
      </w:r>
    </w:p>
  </w:endnote>
  <w:endnote w:type="continuationSeparator" w:id="0">
    <w:p w:rsidR="006C708E" w:rsidRDefault="006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47015B" w:rsidRDefault="0047015B">
        <w:pPr>
          <w:pStyle w:val="Footer"/>
          <w:jc w:val="center"/>
        </w:pPr>
      </w:p>
      <w:p w:rsidR="00651169" w:rsidRPr="00651169" w:rsidRDefault="006511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B71C0A">
          <w:rPr>
            <w:rFonts w:ascii="Arial" w:hAnsi="Arial" w:cs="Arial"/>
            <w:noProof/>
            <w:sz w:val="20"/>
            <w:szCs w:val="20"/>
          </w:rPr>
          <w:t>6</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8E" w:rsidRDefault="006C708E">
      <w:r>
        <w:separator/>
      </w:r>
    </w:p>
  </w:footnote>
  <w:footnote w:type="continuationSeparator" w:id="0">
    <w:p w:rsidR="006C708E" w:rsidRDefault="006C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FDC" w:rsidRPr="00DF217D" w:rsidRDefault="00BB3FDC" w:rsidP="00BB3FDC">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6D6EC7" w:rsidRPr="00DF217D" w:rsidRDefault="006D6EC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2F520FF9"/>
    <w:multiLevelType w:val="hybridMultilevel"/>
    <w:tmpl w:val="FDCA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7127935"/>
    <w:multiLevelType w:val="hybridMultilevel"/>
    <w:tmpl w:val="1DD0271A"/>
    <w:lvl w:ilvl="0" w:tplc="DB04E53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7">
    <w:nsid w:val="44F103D9"/>
    <w:multiLevelType w:val="hybridMultilevel"/>
    <w:tmpl w:val="7FD0D5E0"/>
    <w:lvl w:ilvl="0" w:tplc="DB04E530">
      <w:numFmt w:val="bullet"/>
      <w:lvlText w:val="•"/>
      <w:lvlJc w:val="left"/>
      <w:pPr>
        <w:ind w:left="1429" w:hanging="72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0">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2">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CBB67B3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7"/>
  </w:num>
  <w:num w:numId="2">
    <w:abstractNumId w:val="31"/>
  </w:num>
  <w:num w:numId="3">
    <w:abstractNumId w:val="18"/>
  </w:num>
  <w:num w:numId="4">
    <w:abstractNumId w:val="0"/>
  </w:num>
  <w:num w:numId="5">
    <w:abstractNumId w:val="4"/>
  </w:num>
  <w:num w:numId="6">
    <w:abstractNumId w:val="16"/>
  </w:num>
  <w:num w:numId="7">
    <w:abstractNumId w:val="13"/>
  </w:num>
  <w:num w:numId="8">
    <w:abstractNumId w:val="3"/>
  </w:num>
  <w:num w:numId="9">
    <w:abstractNumId w:val="6"/>
  </w:num>
  <w:num w:numId="10">
    <w:abstractNumId w:val="29"/>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2"/>
  </w:num>
  <w:num w:numId="15">
    <w:abstractNumId w:val="25"/>
  </w:num>
  <w:num w:numId="16">
    <w:abstractNumId w:val="21"/>
  </w:num>
  <w:num w:numId="17">
    <w:abstractNumId w:val="34"/>
  </w:num>
  <w:num w:numId="18">
    <w:abstractNumId w:val="10"/>
  </w:num>
  <w:num w:numId="19">
    <w:abstractNumId w:val="15"/>
  </w:num>
  <w:num w:numId="20">
    <w:abstractNumId w:val="2"/>
  </w:num>
  <w:num w:numId="21">
    <w:abstractNumId w:val="28"/>
  </w:num>
  <w:num w:numId="22">
    <w:abstractNumId w:val="30"/>
  </w:num>
  <w:num w:numId="23">
    <w:abstractNumId w:val="36"/>
  </w:num>
  <w:num w:numId="24">
    <w:abstractNumId w:val="12"/>
  </w:num>
  <w:num w:numId="25">
    <w:abstractNumId w:val="35"/>
  </w:num>
  <w:num w:numId="26">
    <w:abstractNumId w:val="26"/>
  </w:num>
  <w:num w:numId="27">
    <w:abstractNumId w:val="9"/>
  </w:num>
  <w:num w:numId="28">
    <w:abstractNumId w:val="5"/>
  </w:num>
  <w:num w:numId="29">
    <w:abstractNumId w:val="23"/>
  </w:num>
  <w:num w:numId="30">
    <w:abstractNumId w:val="1"/>
  </w:num>
  <w:num w:numId="31">
    <w:abstractNumId w:val="24"/>
  </w:num>
  <w:num w:numId="32">
    <w:abstractNumId w:val="33"/>
  </w:num>
  <w:num w:numId="33">
    <w:abstractNumId w:val="22"/>
  </w:num>
  <w:num w:numId="34">
    <w:abstractNumId w:val="37"/>
  </w:num>
  <w:num w:numId="35">
    <w:abstractNumId w:val="8"/>
  </w:num>
  <w:num w:numId="36">
    <w:abstractNumId w:val="20"/>
  </w:num>
  <w:num w:numId="37">
    <w:abstractNumId w:val="27"/>
  </w:num>
  <w:num w:numId="38">
    <w:abstractNumId w:val="11"/>
  </w:num>
  <w:num w:numId="39">
    <w:abstractNumId w:val="1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914E4"/>
    <w:rsid w:val="000969AD"/>
    <w:rsid w:val="000B558D"/>
    <w:rsid w:val="000B77CC"/>
    <w:rsid w:val="000C6996"/>
    <w:rsid w:val="000D23BA"/>
    <w:rsid w:val="000D3EC1"/>
    <w:rsid w:val="000E681E"/>
    <w:rsid w:val="000F4E6A"/>
    <w:rsid w:val="001107BF"/>
    <w:rsid w:val="0012417C"/>
    <w:rsid w:val="00142395"/>
    <w:rsid w:val="00142714"/>
    <w:rsid w:val="001452ED"/>
    <w:rsid w:val="001830CE"/>
    <w:rsid w:val="00196307"/>
    <w:rsid w:val="001B017F"/>
    <w:rsid w:val="001B5129"/>
    <w:rsid w:val="001C1195"/>
    <w:rsid w:val="001F045D"/>
    <w:rsid w:val="00213CFB"/>
    <w:rsid w:val="002514AB"/>
    <w:rsid w:val="00271BA1"/>
    <w:rsid w:val="00277505"/>
    <w:rsid w:val="0029458F"/>
    <w:rsid w:val="002A104C"/>
    <w:rsid w:val="002A4960"/>
    <w:rsid w:val="002A59EB"/>
    <w:rsid w:val="002B1AE6"/>
    <w:rsid w:val="002B30F8"/>
    <w:rsid w:val="002C212F"/>
    <w:rsid w:val="002D677E"/>
    <w:rsid w:val="002E72CA"/>
    <w:rsid w:val="00326E79"/>
    <w:rsid w:val="003367EF"/>
    <w:rsid w:val="00341AE4"/>
    <w:rsid w:val="003A5B4A"/>
    <w:rsid w:val="003B23C5"/>
    <w:rsid w:val="003B2A75"/>
    <w:rsid w:val="003B5033"/>
    <w:rsid w:val="003D4AC4"/>
    <w:rsid w:val="003D63B7"/>
    <w:rsid w:val="003E468B"/>
    <w:rsid w:val="003F5C8C"/>
    <w:rsid w:val="004465BD"/>
    <w:rsid w:val="00466ADA"/>
    <w:rsid w:val="0047015B"/>
    <w:rsid w:val="00485940"/>
    <w:rsid w:val="004B5640"/>
    <w:rsid w:val="004C1BD7"/>
    <w:rsid w:val="004C691D"/>
    <w:rsid w:val="004E1B86"/>
    <w:rsid w:val="004E692D"/>
    <w:rsid w:val="00514CD7"/>
    <w:rsid w:val="00534E2E"/>
    <w:rsid w:val="00544552"/>
    <w:rsid w:val="00581932"/>
    <w:rsid w:val="005963BB"/>
    <w:rsid w:val="005A3173"/>
    <w:rsid w:val="005A3223"/>
    <w:rsid w:val="005A3DA3"/>
    <w:rsid w:val="005A52C4"/>
    <w:rsid w:val="005D03AB"/>
    <w:rsid w:val="005D5017"/>
    <w:rsid w:val="00601A91"/>
    <w:rsid w:val="00602BA3"/>
    <w:rsid w:val="00614159"/>
    <w:rsid w:val="00617C00"/>
    <w:rsid w:val="006263BF"/>
    <w:rsid w:val="00630A2C"/>
    <w:rsid w:val="00651169"/>
    <w:rsid w:val="00653D69"/>
    <w:rsid w:val="00670A76"/>
    <w:rsid w:val="006711AA"/>
    <w:rsid w:val="00675622"/>
    <w:rsid w:val="006906DB"/>
    <w:rsid w:val="006A12A5"/>
    <w:rsid w:val="006B0D94"/>
    <w:rsid w:val="006B485D"/>
    <w:rsid w:val="006C708E"/>
    <w:rsid w:val="006D090D"/>
    <w:rsid w:val="006D6EC7"/>
    <w:rsid w:val="006E0243"/>
    <w:rsid w:val="006F5125"/>
    <w:rsid w:val="007174BB"/>
    <w:rsid w:val="007753C2"/>
    <w:rsid w:val="007838B8"/>
    <w:rsid w:val="007C0F57"/>
    <w:rsid w:val="007C40B6"/>
    <w:rsid w:val="007C729F"/>
    <w:rsid w:val="007D1FBA"/>
    <w:rsid w:val="007E1D28"/>
    <w:rsid w:val="007F2641"/>
    <w:rsid w:val="007F7C36"/>
    <w:rsid w:val="00806796"/>
    <w:rsid w:val="00856DDD"/>
    <w:rsid w:val="00863E68"/>
    <w:rsid w:val="00882085"/>
    <w:rsid w:val="00883188"/>
    <w:rsid w:val="00897D58"/>
    <w:rsid w:val="008A4937"/>
    <w:rsid w:val="008B43F9"/>
    <w:rsid w:val="008D3C82"/>
    <w:rsid w:val="008D447E"/>
    <w:rsid w:val="008E3680"/>
    <w:rsid w:val="008E5870"/>
    <w:rsid w:val="008F1434"/>
    <w:rsid w:val="008F7355"/>
    <w:rsid w:val="009067B7"/>
    <w:rsid w:val="00930937"/>
    <w:rsid w:val="00933E6C"/>
    <w:rsid w:val="00942160"/>
    <w:rsid w:val="009602C5"/>
    <w:rsid w:val="00974C21"/>
    <w:rsid w:val="009C703C"/>
    <w:rsid w:val="009D3CAA"/>
    <w:rsid w:val="009F5B65"/>
    <w:rsid w:val="009F5F2E"/>
    <w:rsid w:val="00A06225"/>
    <w:rsid w:val="00A15465"/>
    <w:rsid w:val="00A34320"/>
    <w:rsid w:val="00A37C8D"/>
    <w:rsid w:val="00A5273B"/>
    <w:rsid w:val="00A53A9D"/>
    <w:rsid w:val="00A62C1A"/>
    <w:rsid w:val="00A6426D"/>
    <w:rsid w:val="00A70622"/>
    <w:rsid w:val="00A70977"/>
    <w:rsid w:val="00A8390C"/>
    <w:rsid w:val="00AA4D1C"/>
    <w:rsid w:val="00AC175A"/>
    <w:rsid w:val="00AC5206"/>
    <w:rsid w:val="00AE11A5"/>
    <w:rsid w:val="00AF68CC"/>
    <w:rsid w:val="00B205AA"/>
    <w:rsid w:val="00B25F75"/>
    <w:rsid w:val="00B43E90"/>
    <w:rsid w:val="00B56118"/>
    <w:rsid w:val="00B6773F"/>
    <w:rsid w:val="00B71C0A"/>
    <w:rsid w:val="00B83D8A"/>
    <w:rsid w:val="00BB3FDC"/>
    <w:rsid w:val="00BB69F5"/>
    <w:rsid w:val="00BB7EC3"/>
    <w:rsid w:val="00BC4B9A"/>
    <w:rsid w:val="00BD784C"/>
    <w:rsid w:val="00BF4CB6"/>
    <w:rsid w:val="00C12768"/>
    <w:rsid w:val="00C35996"/>
    <w:rsid w:val="00C5342C"/>
    <w:rsid w:val="00C6256A"/>
    <w:rsid w:val="00C91449"/>
    <w:rsid w:val="00C92D10"/>
    <w:rsid w:val="00CE10C4"/>
    <w:rsid w:val="00CE27B5"/>
    <w:rsid w:val="00D0321E"/>
    <w:rsid w:val="00D05964"/>
    <w:rsid w:val="00D3280C"/>
    <w:rsid w:val="00D3406A"/>
    <w:rsid w:val="00D469B2"/>
    <w:rsid w:val="00D741EB"/>
    <w:rsid w:val="00D91271"/>
    <w:rsid w:val="00DA4BAC"/>
    <w:rsid w:val="00DE6D27"/>
    <w:rsid w:val="00DF217D"/>
    <w:rsid w:val="00DF26A7"/>
    <w:rsid w:val="00E164B3"/>
    <w:rsid w:val="00E16910"/>
    <w:rsid w:val="00E431B1"/>
    <w:rsid w:val="00E65E54"/>
    <w:rsid w:val="00E80155"/>
    <w:rsid w:val="00E848C0"/>
    <w:rsid w:val="00E91B96"/>
    <w:rsid w:val="00E941A1"/>
    <w:rsid w:val="00E95CE3"/>
    <w:rsid w:val="00EA2825"/>
    <w:rsid w:val="00EB182E"/>
    <w:rsid w:val="00EB5088"/>
    <w:rsid w:val="00EC3DB2"/>
    <w:rsid w:val="00ED1644"/>
    <w:rsid w:val="00F050BD"/>
    <w:rsid w:val="00F05657"/>
    <w:rsid w:val="00F240B8"/>
    <w:rsid w:val="00F25578"/>
    <w:rsid w:val="00F258E5"/>
    <w:rsid w:val="00F300BC"/>
    <w:rsid w:val="00F3334E"/>
    <w:rsid w:val="00F50EC4"/>
    <w:rsid w:val="00F57A6D"/>
    <w:rsid w:val="00F638CC"/>
    <w:rsid w:val="00F8247A"/>
    <w:rsid w:val="00FA5883"/>
    <w:rsid w:val="00FA6055"/>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semiHidden/>
    <w:unhideWhenUsed/>
    <w:qFormat/>
    <w:rsid w:val="004E1B86"/>
    <w:pPr>
      <w:spacing w:after="200"/>
    </w:pPr>
    <w:rPr>
      <w:b/>
      <w:bCs/>
      <w:color w:val="4F81BD" w:themeColor="accent1"/>
      <w:sz w:val="18"/>
      <w:szCs w:val="18"/>
    </w:rPr>
  </w:style>
  <w:style w:type="character" w:customStyle="1" w:styleId="ListParagraphChar">
    <w:name w:val="List Paragraph Char"/>
    <w:link w:val="ListParagraph"/>
    <w:uiPriority w:val="72"/>
    <w:locked/>
    <w:rsid w:val="00BB3F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semiHidden/>
    <w:unhideWhenUsed/>
    <w:qFormat/>
    <w:rsid w:val="004E1B86"/>
    <w:pPr>
      <w:spacing w:after="200"/>
    </w:pPr>
    <w:rPr>
      <w:b/>
      <w:bCs/>
      <w:color w:val="4F81BD" w:themeColor="accent1"/>
      <w:sz w:val="18"/>
      <w:szCs w:val="18"/>
    </w:rPr>
  </w:style>
  <w:style w:type="character" w:customStyle="1" w:styleId="ListParagraphChar">
    <w:name w:val="List Paragraph Char"/>
    <w:link w:val="ListParagraph"/>
    <w:uiPriority w:val="72"/>
    <w:locked/>
    <w:rsid w:val="00BB3F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4540724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09C67-B678-45B2-803C-BA1C647C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2120</Words>
  <Characters>11797</Characters>
  <Application>Microsoft Office Word</Application>
  <DocSecurity>6</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Ameera</dc:creator>
  <cp:lastModifiedBy>Thomas Gareth</cp:lastModifiedBy>
  <cp:revision>2</cp:revision>
  <cp:lastPrinted>2013-02-09T16:16:00Z</cp:lastPrinted>
  <dcterms:created xsi:type="dcterms:W3CDTF">2014-11-02T23:04:00Z</dcterms:created>
  <dcterms:modified xsi:type="dcterms:W3CDTF">2014-11-02T23:04:00Z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