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B6" w:rsidRPr="00101CB6" w:rsidRDefault="00101CB6" w:rsidP="004E5F44">
      <w:pPr>
        <w:ind w:left="720" w:hanging="720"/>
        <w:jc w:val="both"/>
        <w:rPr>
          <w:rFonts w:ascii="Arial" w:hAnsi="Arial"/>
          <w:b/>
          <w:sz w:val="28"/>
          <w:szCs w:val="28"/>
        </w:rPr>
      </w:pPr>
      <w:r>
        <w:rPr>
          <w:rFonts w:ascii="Arial" w:hAnsi="Arial"/>
          <w:b/>
          <w:sz w:val="28"/>
          <w:szCs w:val="28"/>
        </w:rPr>
        <w:t>6.4</w:t>
      </w:r>
      <w:r w:rsidR="007C0F57" w:rsidRPr="006D6EC7">
        <w:rPr>
          <w:rFonts w:ascii="Arial" w:hAnsi="Arial"/>
          <w:b/>
          <w:sz w:val="28"/>
          <w:szCs w:val="28"/>
        </w:rPr>
        <w:tab/>
      </w:r>
      <w:r w:rsidRPr="00101CB6">
        <w:rPr>
          <w:rFonts w:ascii="Arial" w:hAnsi="Arial"/>
          <w:b/>
          <w:sz w:val="28"/>
          <w:szCs w:val="28"/>
        </w:rPr>
        <w:t>DASATINIB, tablets, 20 mg, 50 mg, 70 mg and 100 mg,</w:t>
      </w:r>
    </w:p>
    <w:p w:rsidR="00101CB6" w:rsidRPr="00101CB6" w:rsidRDefault="00101CB6" w:rsidP="004E5F44">
      <w:pPr>
        <w:ind w:left="720"/>
        <w:jc w:val="both"/>
        <w:rPr>
          <w:rFonts w:ascii="Arial" w:hAnsi="Arial"/>
          <w:b/>
          <w:sz w:val="28"/>
          <w:szCs w:val="28"/>
        </w:rPr>
      </w:pPr>
      <w:proofErr w:type="spellStart"/>
      <w:r w:rsidRPr="00101CB6">
        <w:rPr>
          <w:rFonts w:ascii="Arial" w:hAnsi="Arial"/>
          <w:b/>
          <w:sz w:val="28"/>
          <w:szCs w:val="28"/>
        </w:rPr>
        <w:t>Sprycel</w:t>
      </w:r>
      <w:proofErr w:type="spellEnd"/>
      <w:r w:rsidRPr="00101CB6">
        <w:rPr>
          <w:rFonts w:ascii="Arial" w:hAnsi="Arial"/>
          <w:b/>
          <w:sz w:val="28"/>
          <w:szCs w:val="28"/>
          <w:vertAlign w:val="superscript"/>
        </w:rPr>
        <w:t>®</w:t>
      </w:r>
      <w:r w:rsidRPr="00101CB6">
        <w:rPr>
          <w:rFonts w:ascii="Arial" w:hAnsi="Arial"/>
          <w:b/>
          <w:sz w:val="28"/>
          <w:szCs w:val="28"/>
        </w:rPr>
        <w:t>, Bristol Myers Squibb Australia Pty Ltd</w:t>
      </w:r>
    </w:p>
    <w:p w:rsidR="00CE10C4" w:rsidRDefault="00CE10C4" w:rsidP="00A5273B">
      <w:pPr>
        <w:rPr>
          <w:rFonts w:ascii="Arial" w:hAnsi="Arial"/>
          <w:b/>
        </w:rPr>
      </w:pPr>
    </w:p>
    <w:p w:rsidR="00A30ECD" w:rsidRDefault="00A30ECD"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880270" w:rsidRPr="00880270" w:rsidRDefault="00880270" w:rsidP="00880270">
      <w:pPr>
        <w:pStyle w:val="ListParagraph"/>
        <w:numPr>
          <w:ilvl w:val="1"/>
          <w:numId w:val="25"/>
        </w:numPr>
        <w:jc w:val="both"/>
        <w:rPr>
          <w:rFonts w:ascii="Arial" w:hAnsi="Arial"/>
          <w:sz w:val="22"/>
          <w:szCs w:val="22"/>
        </w:rPr>
      </w:pPr>
      <w:r w:rsidRPr="00880270">
        <w:rPr>
          <w:rFonts w:ascii="Arial" w:hAnsi="Arial"/>
          <w:sz w:val="22"/>
          <w:szCs w:val="22"/>
        </w:rPr>
        <w:t xml:space="preserve">The minor submission sought an amendment to the current first-line PBS restriction for </w:t>
      </w:r>
      <w:proofErr w:type="spellStart"/>
      <w:r w:rsidRPr="00880270">
        <w:rPr>
          <w:rFonts w:ascii="Arial" w:hAnsi="Arial"/>
          <w:sz w:val="22"/>
          <w:szCs w:val="22"/>
        </w:rPr>
        <w:t>dasatinib</w:t>
      </w:r>
      <w:proofErr w:type="spellEnd"/>
      <w:r w:rsidRPr="00880270">
        <w:rPr>
          <w:rFonts w:ascii="Arial" w:hAnsi="Arial"/>
          <w:sz w:val="22"/>
          <w:szCs w:val="22"/>
        </w:rPr>
        <w:t xml:space="preserve"> in the treatment of patients with chronic myeloid leukaemia (CML) to ensure consistency with the first-line listing for the alternative tyrosine kinase inhibitor (TKI) </w:t>
      </w:r>
      <w:proofErr w:type="spellStart"/>
      <w:r w:rsidRPr="00880270">
        <w:rPr>
          <w:rFonts w:ascii="Arial" w:hAnsi="Arial"/>
          <w:sz w:val="22"/>
          <w:szCs w:val="22"/>
        </w:rPr>
        <w:t>imatinib</w:t>
      </w:r>
      <w:proofErr w:type="spellEnd"/>
      <w:r w:rsidRPr="00880270">
        <w:rPr>
          <w:rFonts w:ascii="Arial" w:hAnsi="Arial"/>
          <w:sz w:val="22"/>
          <w:szCs w:val="22"/>
        </w:rPr>
        <w:t xml:space="preserve">, and to make it easier for patients to continue receiving </w:t>
      </w:r>
      <w:proofErr w:type="spellStart"/>
      <w:r w:rsidRPr="00880270">
        <w:rPr>
          <w:rFonts w:ascii="Arial" w:hAnsi="Arial"/>
          <w:sz w:val="22"/>
          <w:szCs w:val="22"/>
        </w:rPr>
        <w:t>dasatinib</w:t>
      </w:r>
      <w:proofErr w:type="spellEnd"/>
      <w:r w:rsidRPr="00880270">
        <w:rPr>
          <w:rFonts w:ascii="Arial" w:hAnsi="Arial"/>
          <w:sz w:val="22"/>
          <w:szCs w:val="22"/>
        </w:rPr>
        <w:t xml:space="preserve"> whilst they continue to respond to treatment in the first-line setting.</w:t>
      </w:r>
    </w:p>
    <w:p w:rsidR="006A12A5" w:rsidRDefault="006A12A5" w:rsidP="00880270">
      <w:pPr>
        <w:pStyle w:val="ListParagraph"/>
        <w:jc w:val="both"/>
        <w:rPr>
          <w:rFonts w:ascii="Arial" w:hAnsi="Arial"/>
          <w:b/>
          <w:sz w:val="22"/>
          <w:szCs w:val="22"/>
        </w:rPr>
      </w:pPr>
    </w:p>
    <w:p w:rsidR="002C5CB5" w:rsidRPr="00880270" w:rsidRDefault="002C5CB5" w:rsidP="00880270">
      <w:pPr>
        <w:pStyle w:val="ListParagraph"/>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80270" w:rsidRDefault="00880270" w:rsidP="00880270">
      <w:pPr>
        <w:pStyle w:val="ListParagraph"/>
        <w:numPr>
          <w:ilvl w:val="1"/>
          <w:numId w:val="25"/>
        </w:numPr>
        <w:jc w:val="both"/>
        <w:rPr>
          <w:rFonts w:ascii="Arial" w:hAnsi="Arial"/>
          <w:sz w:val="22"/>
          <w:szCs w:val="22"/>
        </w:rPr>
      </w:pPr>
      <w:r w:rsidRPr="00880270">
        <w:rPr>
          <w:rFonts w:ascii="Arial" w:hAnsi="Arial"/>
          <w:sz w:val="22"/>
          <w:szCs w:val="22"/>
        </w:rPr>
        <w:t xml:space="preserve">The submission sought provision for second and subsequent </w:t>
      </w:r>
      <w:proofErr w:type="spellStart"/>
      <w:r w:rsidRPr="00880270">
        <w:rPr>
          <w:rFonts w:ascii="Arial" w:hAnsi="Arial"/>
          <w:sz w:val="22"/>
          <w:szCs w:val="22"/>
        </w:rPr>
        <w:t>dasatinib</w:t>
      </w:r>
      <w:proofErr w:type="spellEnd"/>
      <w:r w:rsidRPr="00880270">
        <w:rPr>
          <w:rFonts w:ascii="Arial" w:hAnsi="Arial"/>
          <w:sz w:val="22"/>
          <w:szCs w:val="22"/>
        </w:rPr>
        <w:t xml:space="preserve"> Authority required applications to be made via telephone (as opposed to current written-only applications), consistent with </w:t>
      </w:r>
      <w:proofErr w:type="spellStart"/>
      <w:r w:rsidRPr="00880270">
        <w:rPr>
          <w:rFonts w:ascii="Arial" w:hAnsi="Arial"/>
          <w:sz w:val="22"/>
          <w:szCs w:val="22"/>
        </w:rPr>
        <w:t>imatinib</w:t>
      </w:r>
      <w:proofErr w:type="spellEnd"/>
      <w:r w:rsidRPr="00880270">
        <w:rPr>
          <w:rFonts w:ascii="Arial" w:hAnsi="Arial"/>
          <w:sz w:val="22"/>
          <w:szCs w:val="22"/>
        </w:rPr>
        <w:t xml:space="preserve">.  Bolded </w:t>
      </w:r>
      <w:r w:rsidR="003A2722">
        <w:rPr>
          <w:rFonts w:ascii="Arial" w:hAnsi="Arial"/>
          <w:sz w:val="22"/>
          <w:szCs w:val="22"/>
        </w:rPr>
        <w:t xml:space="preserve">italicised </w:t>
      </w:r>
      <w:r w:rsidRPr="00880270">
        <w:rPr>
          <w:rFonts w:ascii="Arial" w:hAnsi="Arial"/>
          <w:sz w:val="22"/>
          <w:szCs w:val="22"/>
        </w:rPr>
        <w:t>font (below) indicate</w:t>
      </w:r>
      <w:r w:rsidR="004E50E5">
        <w:rPr>
          <w:rFonts w:ascii="Arial" w:hAnsi="Arial"/>
          <w:sz w:val="22"/>
          <w:szCs w:val="22"/>
        </w:rPr>
        <w:t>s</w:t>
      </w:r>
      <w:r w:rsidRPr="00880270">
        <w:rPr>
          <w:rFonts w:ascii="Arial" w:hAnsi="Arial"/>
          <w:sz w:val="22"/>
          <w:szCs w:val="22"/>
        </w:rPr>
        <w:t xml:space="preserve"> additional text requested by the submission while deletion to existing text is shown in </w:t>
      </w:r>
      <w:r w:rsidRPr="00880270">
        <w:rPr>
          <w:rFonts w:ascii="Arial" w:hAnsi="Arial"/>
          <w:strike/>
          <w:sz w:val="22"/>
          <w:szCs w:val="22"/>
        </w:rPr>
        <w:t>strikethrough</w:t>
      </w:r>
      <w:r w:rsidRPr="00880270">
        <w:rPr>
          <w:rFonts w:ascii="Arial" w:hAnsi="Arial"/>
          <w:sz w:val="22"/>
          <w:szCs w:val="22"/>
        </w:rPr>
        <w:t xml:space="preserve">. The suggested changes were consistent with </w:t>
      </w:r>
      <w:proofErr w:type="spellStart"/>
      <w:r w:rsidRPr="00880270">
        <w:rPr>
          <w:rFonts w:ascii="Arial" w:hAnsi="Arial"/>
          <w:sz w:val="22"/>
          <w:szCs w:val="22"/>
        </w:rPr>
        <w:t>imatinib’s</w:t>
      </w:r>
      <w:proofErr w:type="spellEnd"/>
      <w:r w:rsidRPr="00880270">
        <w:rPr>
          <w:rFonts w:ascii="Arial" w:hAnsi="Arial"/>
          <w:sz w:val="22"/>
          <w:szCs w:val="22"/>
        </w:rPr>
        <w:t xml:space="preserve"> current text.</w:t>
      </w:r>
    </w:p>
    <w:p w:rsidR="00880270" w:rsidRDefault="00880270" w:rsidP="00880270">
      <w:pPr>
        <w:pStyle w:val="ListParagraph"/>
        <w:jc w:val="both"/>
        <w:rPr>
          <w:rFonts w:ascii="Arial" w:hAnsi="Arial"/>
          <w:sz w:val="22"/>
          <w:szCs w:val="22"/>
        </w:rPr>
      </w:pPr>
    </w:p>
    <w:p w:rsidR="004E50E5" w:rsidRDefault="004E50E5" w:rsidP="00880270">
      <w:pPr>
        <w:pStyle w:val="ListParagraph"/>
        <w:jc w:val="both"/>
        <w:rPr>
          <w:rFonts w:ascii="Arial" w:hAnsi="Arial"/>
          <w:sz w:val="22"/>
          <w:szCs w:val="22"/>
        </w:rPr>
      </w:pPr>
    </w:p>
    <w:tbl>
      <w:tblPr>
        <w:tblW w:w="8412" w:type="dxa"/>
        <w:tblInd w:w="817" w:type="dxa"/>
        <w:tblLayout w:type="fixed"/>
        <w:tblLook w:val="0000" w:firstRow="0" w:lastRow="0" w:firstColumn="0" w:lastColumn="0" w:noHBand="0" w:noVBand="0"/>
        <w:tblDescription w:val="Requested listing"/>
      </w:tblPr>
      <w:tblGrid>
        <w:gridCol w:w="3402"/>
        <w:gridCol w:w="974"/>
        <w:gridCol w:w="727"/>
        <w:gridCol w:w="851"/>
        <w:gridCol w:w="1636"/>
        <w:gridCol w:w="822"/>
      </w:tblGrid>
      <w:tr w:rsidR="004E50E5" w:rsidRPr="00FB1003" w:rsidTr="004E50E5">
        <w:trPr>
          <w:cantSplit/>
          <w:trHeight w:val="487"/>
        </w:trPr>
        <w:tc>
          <w:tcPr>
            <w:tcW w:w="3402" w:type="dxa"/>
            <w:tcBorders>
              <w:bottom w:val="single" w:sz="4" w:space="0" w:color="auto"/>
            </w:tcBorders>
          </w:tcPr>
          <w:p w:rsidR="00880270" w:rsidRPr="00FB1003" w:rsidRDefault="00880270" w:rsidP="00B71B35">
            <w:pPr>
              <w:keepNext/>
              <w:ind w:left="-108"/>
              <w:rPr>
                <w:rFonts w:ascii="Arial" w:hAnsi="Arial" w:cs="Arial"/>
                <w:sz w:val="20"/>
              </w:rPr>
            </w:pPr>
            <w:r w:rsidRPr="00FB1003">
              <w:rPr>
                <w:rFonts w:ascii="Arial" w:hAnsi="Arial" w:cs="Arial"/>
                <w:sz w:val="20"/>
              </w:rPr>
              <w:t>Name, Restriction,</w:t>
            </w:r>
          </w:p>
          <w:p w:rsidR="00880270" w:rsidRPr="00FB1003" w:rsidRDefault="00880270" w:rsidP="00B71B35">
            <w:pPr>
              <w:keepNext/>
              <w:ind w:left="-108"/>
              <w:jc w:val="both"/>
              <w:rPr>
                <w:rFonts w:ascii="Arial" w:hAnsi="Arial" w:cs="Arial"/>
                <w:sz w:val="20"/>
              </w:rPr>
            </w:pPr>
            <w:r w:rsidRPr="00FB1003">
              <w:rPr>
                <w:rFonts w:ascii="Arial" w:hAnsi="Arial" w:cs="Arial"/>
                <w:sz w:val="20"/>
              </w:rPr>
              <w:t>Manner of administration and form</w:t>
            </w:r>
          </w:p>
        </w:tc>
        <w:tc>
          <w:tcPr>
            <w:tcW w:w="974" w:type="dxa"/>
            <w:tcBorders>
              <w:bottom w:val="single" w:sz="4" w:space="0" w:color="auto"/>
            </w:tcBorders>
          </w:tcPr>
          <w:p w:rsidR="00880270" w:rsidRPr="00FB1003" w:rsidRDefault="00880270" w:rsidP="00B71B35">
            <w:pPr>
              <w:keepNext/>
              <w:ind w:left="-108"/>
              <w:jc w:val="both"/>
              <w:rPr>
                <w:rFonts w:ascii="Arial" w:hAnsi="Arial" w:cs="Arial"/>
                <w:sz w:val="20"/>
              </w:rPr>
            </w:pPr>
            <w:r w:rsidRPr="00FB1003">
              <w:rPr>
                <w:rFonts w:ascii="Arial" w:hAnsi="Arial" w:cs="Arial"/>
                <w:sz w:val="20"/>
              </w:rPr>
              <w:t>Max.</w:t>
            </w:r>
          </w:p>
          <w:p w:rsidR="00880270" w:rsidRPr="00FB1003" w:rsidRDefault="00880270" w:rsidP="00B71B35">
            <w:pPr>
              <w:keepNext/>
              <w:ind w:left="-108"/>
              <w:jc w:val="both"/>
              <w:rPr>
                <w:rFonts w:ascii="Arial" w:hAnsi="Arial" w:cs="Arial"/>
                <w:sz w:val="20"/>
              </w:rPr>
            </w:pPr>
            <w:proofErr w:type="spellStart"/>
            <w:r w:rsidRPr="00FB1003">
              <w:rPr>
                <w:rFonts w:ascii="Arial" w:hAnsi="Arial" w:cs="Arial"/>
                <w:sz w:val="20"/>
              </w:rPr>
              <w:t>Qty</w:t>
            </w:r>
            <w:proofErr w:type="spellEnd"/>
          </w:p>
        </w:tc>
        <w:tc>
          <w:tcPr>
            <w:tcW w:w="727" w:type="dxa"/>
            <w:tcBorders>
              <w:bottom w:val="single" w:sz="4" w:space="0" w:color="auto"/>
            </w:tcBorders>
          </w:tcPr>
          <w:p w:rsidR="00880270" w:rsidRPr="00FB1003" w:rsidRDefault="00880270" w:rsidP="00B71B35">
            <w:pPr>
              <w:keepNext/>
              <w:ind w:left="-108"/>
              <w:jc w:val="both"/>
              <w:rPr>
                <w:rFonts w:ascii="Arial" w:hAnsi="Arial" w:cs="Arial"/>
                <w:sz w:val="20"/>
              </w:rPr>
            </w:pPr>
            <w:r w:rsidRPr="00FB1003">
              <w:rPr>
                <w:rFonts w:ascii="Arial" w:hAnsi="Arial" w:cs="Arial"/>
                <w:sz w:val="20"/>
              </w:rPr>
              <w:t>№.of</w:t>
            </w:r>
          </w:p>
          <w:p w:rsidR="00880270" w:rsidRPr="00FB1003" w:rsidRDefault="00880270" w:rsidP="00B71B35">
            <w:pPr>
              <w:keepNext/>
              <w:ind w:left="-108"/>
              <w:jc w:val="both"/>
              <w:rPr>
                <w:rFonts w:ascii="Arial" w:hAnsi="Arial" w:cs="Arial"/>
                <w:sz w:val="20"/>
              </w:rPr>
            </w:pPr>
            <w:proofErr w:type="spellStart"/>
            <w:r w:rsidRPr="00FB1003">
              <w:rPr>
                <w:rFonts w:ascii="Arial" w:hAnsi="Arial" w:cs="Arial"/>
                <w:sz w:val="20"/>
              </w:rPr>
              <w:t>Rpts</w:t>
            </w:r>
            <w:proofErr w:type="spellEnd"/>
          </w:p>
        </w:tc>
        <w:tc>
          <w:tcPr>
            <w:tcW w:w="3309" w:type="dxa"/>
            <w:gridSpan w:val="3"/>
            <w:tcBorders>
              <w:bottom w:val="single" w:sz="4" w:space="0" w:color="auto"/>
            </w:tcBorders>
          </w:tcPr>
          <w:p w:rsidR="00880270" w:rsidRPr="00FB1003" w:rsidRDefault="00880270" w:rsidP="004E50E5">
            <w:pPr>
              <w:keepNext/>
              <w:ind w:left="743"/>
              <w:rPr>
                <w:rFonts w:ascii="Arial" w:hAnsi="Arial" w:cs="Arial"/>
                <w:sz w:val="20"/>
                <w:lang w:val="fr-FR"/>
              </w:rPr>
            </w:pPr>
            <w:r w:rsidRPr="00FB1003">
              <w:rPr>
                <w:rFonts w:ascii="Arial" w:hAnsi="Arial" w:cs="Arial"/>
                <w:sz w:val="20"/>
              </w:rPr>
              <w:t>Proprietary Name and Manufacturer</w:t>
            </w:r>
          </w:p>
        </w:tc>
      </w:tr>
      <w:tr w:rsidR="004E50E5" w:rsidTr="004E50E5">
        <w:trPr>
          <w:cantSplit/>
          <w:trHeight w:val="596"/>
        </w:trPr>
        <w:tc>
          <w:tcPr>
            <w:tcW w:w="3402" w:type="dxa"/>
          </w:tcPr>
          <w:p w:rsidR="00880270" w:rsidRDefault="00880270" w:rsidP="00B71B35">
            <w:pPr>
              <w:keepNext/>
              <w:ind w:left="-108"/>
              <w:jc w:val="both"/>
              <w:rPr>
                <w:rFonts w:ascii="Arial" w:hAnsi="Arial"/>
                <w:smallCaps/>
                <w:sz w:val="20"/>
                <w:szCs w:val="20"/>
              </w:rPr>
            </w:pPr>
            <w:r>
              <w:rPr>
                <w:rFonts w:ascii="Arial" w:hAnsi="Arial"/>
                <w:smallCaps/>
                <w:sz w:val="20"/>
                <w:szCs w:val="20"/>
              </w:rPr>
              <w:t>DASATINIB</w:t>
            </w:r>
          </w:p>
          <w:p w:rsidR="00880270" w:rsidRDefault="00880270" w:rsidP="00B71B35">
            <w:pPr>
              <w:keepNext/>
              <w:ind w:left="-108"/>
              <w:jc w:val="both"/>
              <w:rPr>
                <w:rFonts w:ascii="Arial" w:hAnsi="Arial"/>
                <w:sz w:val="20"/>
              </w:rPr>
            </w:pPr>
            <w:proofErr w:type="spellStart"/>
            <w:r>
              <w:rPr>
                <w:rFonts w:ascii="Arial" w:hAnsi="Arial"/>
                <w:sz w:val="20"/>
              </w:rPr>
              <w:t>dasatinib</w:t>
            </w:r>
            <w:proofErr w:type="spellEnd"/>
            <w:r>
              <w:rPr>
                <w:rFonts w:ascii="Arial" w:hAnsi="Arial"/>
                <w:sz w:val="20"/>
              </w:rPr>
              <w:t xml:space="preserve"> 20 mg tablet, 60</w:t>
            </w:r>
          </w:p>
          <w:p w:rsidR="00880270" w:rsidRDefault="00880270" w:rsidP="00B71B35">
            <w:pPr>
              <w:keepNext/>
              <w:ind w:left="-108"/>
              <w:jc w:val="both"/>
              <w:rPr>
                <w:rFonts w:ascii="Arial" w:hAnsi="Arial"/>
                <w:smallCaps/>
                <w:sz w:val="20"/>
                <w:szCs w:val="20"/>
              </w:rPr>
            </w:pPr>
            <w:proofErr w:type="spellStart"/>
            <w:r>
              <w:rPr>
                <w:rFonts w:ascii="Arial" w:hAnsi="Arial"/>
                <w:sz w:val="20"/>
              </w:rPr>
              <w:t>dasatinib</w:t>
            </w:r>
            <w:proofErr w:type="spellEnd"/>
            <w:r>
              <w:rPr>
                <w:rFonts w:ascii="Arial" w:hAnsi="Arial"/>
                <w:sz w:val="20"/>
              </w:rPr>
              <w:t xml:space="preserve"> 50 mg tablet, 60</w:t>
            </w:r>
          </w:p>
          <w:p w:rsidR="00880270" w:rsidRDefault="00880270" w:rsidP="00B71B35">
            <w:pPr>
              <w:keepNext/>
              <w:ind w:left="-108"/>
              <w:jc w:val="both"/>
              <w:rPr>
                <w:rFonts w:ascii="Arial" w:hAnsi="Arial"/>
                <w:smallCaps/>
                <w:sz w:val="20"/>
                <w:szCs w:val="20"/>
              </w:rPr>
            </w:pPr>
            <w:proofErr w:type="spellStart"/>
            <w:r>
              <w:rPr>
                <w:rFonts w:ascii="Arial" w:hAnsi="Arial"/>
                <w:sz w:val="20"/>
              </w:rPr>
              <w:t>dasatinib</w:t>
            </w:r>
            <w:proofErr w:type="spellEnd"/>
            <w:r>
              <w:rPr>
                <w:rFonts w:ascii="Arial" w:hAnsi="Arial"/>
                <w:sz w:val="20"/>
              </w:rPr>
              <w:t xml:space="preserve"> 70 mg tablet, 60</w:t>
            </w:r>
          </w:p>
          <w:p w:rsidR="00880270" w:rsidRDefault="00880270" w:rsidP="00B71B35">
            <w:pPr>
              <w:keepNext/>
              <w:ind w:left="-108"/>
              <w:jc w:val="both"/>
              <w:rPr>
                <w:rFonts w:ascii="Arial" w:hAnsi="Arial"/>
                <w:smallCaps/>
                <w:sz w:val="20"/>
                <w:szCs w:val="20"/>
              </w:rPr>
            </w:pPr>
            <w:proofErr w:type="spellStart"/>
            <w:r>
              <w:rPr>
                <w:rFonts w:ascii="Arial" w:hAnsi="Arial"/>
                <w:sz w:val="20"/>
              </w:rPr>
              <w:t>dasatinib</w:t>
            </w:r>
            <w:proofErr w:type="spellEnd"/>
            <w:r>
              <w:rPr>
                <w:rFonts w:ascii="Arial" w:hAnsi="Arial"/>
                <w:sz w:val="20"/>
              </w:rPr>
              <w:t xml:space="preserve"> 100 mg tablet, 30</w:t>
            </w:r>
          </w:p>
          <w:p w:rsidR="00880270" w:rsidRDefault="00880270" w:rsidP="002C5CB5">
            <w:pPr>
              <w:keepNext/>
              <w:jc w:val="both"/>
              <w:rPr>
                <w:rFonts w:ascii="Arial" w:hAnsi="Arial"/>
                <w:sz w:val="20"/>
              </w:rPr>
            </w:pPr>
          </w:p>
        </w:tc>
        <w:tc>
          <w:tcPr>
            <w:tcW w:w="974" w:type="dxa"/>
          </w:tcPr>
          <w:p w:rsidR="00880270" w:rsidRDefault="00880270" w:rsidP="00B71B35">
            <w:pPr>
              <w:keepNext/>
              <w:ind w:left="-108"/>
              <w:jc w:val="both"/>
              <w:rPr>
                <w:rFonts w:ascii="Arial" w:hAnsi="Arial"/>
                <w:sz w:val="20"/>
              </w:rPr>
            </w:pPr>
          </w:p>
          <w:p w:rsidR="00880270" w:rsidRDefault="00880270" w:rsidP="00B71B35">
            <w:pPr>
              <w:keepNext/>
              <w:ind w:left="-108"/>
              <w:jc w:val="both"/>
              <w:rPr>
                <w:rFonts w:ascii="Arial" w:hAnsi="Arial"/>
                <w:sz w:val="20"/>
              </w:rPr>
            </w:pPr>
            <w:r>
              <w:rPr>
                <w:rFonts w:ascii="Arial" w:hAnsi="Arial"/>
                <w:sz w:val="20"/>
              </w:rPr>
              <w:t>1</w:t>
            </w:r>
          </w:p>
          <w:p w:rsidR="00880270" w:rsidRDefault="00880270" w:rsidP="00B71B35">
            <w:pPr>
              <w:keepNext/>
              <w:ind w:left="-108"/>
              <w:jc w:val="both"/>
              <w:rPr>
                <w:rFonts w:ascii="Arial" w:hAnsi="Arial"/>
                <w:sz w:val="20"/>
              </w:rPr>
            </w:pPr>
            <w:r>
              <w:rPr>
                <w:rFonts w:ascii="Arial" w:hAnsi="Arial"/>
                <w:sz w:val="20"/>
              </w:rPr>
              <w:t>1</w:t>
            </w:r>
          </w:p>
          <w:p w:rsidR="00880270" w:rsidRDefault="00880270" w:rsidP="00B71B35">
            <w:pPr>
              <w:keepNext/>
              <w:ind w:left="-108"/>
              <w:jc w:val="both"/>
              <w:rPr>
                <w:rFonts w:ascii="Arial" w:hAnsi="Arial"/>
                <w:sz w:val="20"/>
              </w:rPr>
            </w:pPr>
            <w:r>
              <w:rPr>
                <w:rFonts w:ascii="Arial" w:hAnsi="Arial"/>
                <w:sz w:val="20"/>
              </w:rPr>
              <w:t>1</w:t>
            </w:r>
          </w:p>
          <w:p w:rsidR="00880270" w:rsidRDefault="00880270" w:rsidP="00B71B35">
            <w:pPr>
              <w:keepNext/>
              <w:ind w:left="-108"/>
              <w:jc w:val="both"/>
              <w:rPr>
                <w:rFonts w:ascii="Arial" w:hAnsi="Arial"/>
                <w:sz w:val="20"/>
              </w:rPr>
            </w:pPr>
            <w:r>
              <w:rPr>
                <w:rFonts w:ascii="Arial" w:hAnsi="Arial"/>
                <w:sz w:val="20"/>
              </w:rPr>
              <w:t>1</w:t>
            </w:r>
          </w:p>
        </w:tc>
        <w:tc>
          <w:tcPr>
            <w:tcW w:w="1578" w:type="dxa"/>
            <w:gridSpan w:val="2"/>
          </w:tcPr>
          <w:p w:rsidR="00880270" w:rsidRDefault="00880270" w:rsidP="00B71B35">
            <w:pPr>
              <w:keepNext/>
              <w:ind w:left="-108"/>
              <w:jc w:val="both"/>
              <w:rPr>
                <w:rFonts w:ascii="Arial" w:hAnsi="Arial"/>
                <w:sz w:val="20"/>
              </w:rPr>
            </w:pPr>
          </w:p>
          <w:p w:rsidR="00880270" w:rsidRDefault="00880270" w:rsidP="00B71B35">
            <w:pPr>
              <w:keepNext/>
              <w:ind w:left="-108"/>
              <w:jc w:val="both"/>
              <w:rPr>
                <w:rFonts w:ascii="Arial" w:hAnsi="Arial"/>
                <w:sz w:val="20"/>
              </w:rPr>
            </w:pPr>
            <w:r>
              <w:rPr>
                <w:rFonts w:ascii="Arial" w:hAnsi="Arial"/>
                <w:sz w:val="20"/>
              </w:rPr>
              <w:t>5</w:t>
            </w:r>
          </w:p>
          <w:p w:rsidR="00880270" w:rsidRDefault="00880270" w:rsidP="00B71B35">
            <w:pPr>
              <w:keepNext/>
              <w:ind w:left="-108"/>
              <w:jc w:val="both"/>
              <w:rPr>
                <w:rFonts w:ascii="Arial" w:hAnsi="Arial"/>
                <w:sz w:val="20"/>
              </w:rPr>
            </w:pPr>
            <w:r>
              <w:rPr>
                <w:rFonts w:ascii="Arial" w:hAnsi="Arial"/>
                <w:sz w:val="20"/>
              </w:rPr>
              <w:t>5</w:t>
            </w:r>
          </w:p>
          <w:p w:rsidR="00880270" w:rsidRDefault="00880270" w:rsidP="00B71B35">
            <w:pPr>
              <w:keepNext/>
              <w:ind w:left="-108"/>
              <w:jc w:val="both"/>
              <w:rPr>
                <w:rFonts w:ascii="Arial" w:hAnsi="Arial"/>
                <w:sz w:val="20"/>
              </w:rPr>
            </w:pPr>
            <w:r>
              <w:rPr>
                <w:rFonts w:ascii="Arial" w:hAnsi="Arial"/>
                <w:sz w:val="20"/>
              </w:rPr>
              <w:t>5</w:t>
            </w:r>
          </w:p>
          <w:p w:rsidR="00880270" w:rsidRDefault="00880270" w:rsidP="00B71B35">
            <w:pPr>
              <w:keepNext/>
              <w:ind w:left="-108"/>
              <w:jc w:val="both"/>
              <w:rPr>
                <w:rFonts w:ascii="Arial" w:hAnsi="Arial"/>
                <w:sz w:val="20"/>
              </w:rPr>
            </w:pPr>
            <w:r>
              <w:rPr>
                <w:rFonts w:ascii="Arial" w:hAnsi="Arial"/>
                <w:sz w:val="20"/>
              </w:rPr>
              <w:t>5</w:t>
            </w:r>
          </w:p>
        </w:tc>
        <w:tc>
          <w:tcPr>
            <w:tcW w:w="1636" w:type="dxa"/>
          </w:tcPr>
          <w:p w:rsidR="00880270" w:rsidRDefault="00880270" w:rsidP="00B71B35">
            <w:pPr>
              <w:keepNext/>
              <w:jc w:val="both"/>
              <w:rPr>
                <w:rFonts w:ascii="Arial" w:hAnsi="Arial"/>
                <w:sz w:val="20"/>
              </w:rPr>
            </w:pPr>
          </w:p>
          <w:p w:rsidR="00880270" w:rsidRDefault="00880270" w:rsidP="004E50E5">
            <w:pPr>
              <w:keepNext/>
              <w:ind w:left="-485" w:firstLine="485"/>
              <w:jc w:val="both"/>
              <w:rPr>
                <w:rFonts w:ascii="Arial" w:hAnsi="Arial"/>
                <w:sz w:val="20"/>
              </w:rPr>
            </w:pPr>
            <w:proofErr w:type="spellStart"/>
            <w:r>
              <w:rPr>
                <w:rFonts w:ascii="Arial" w:hAnsi="Arial"/>
                <w:sz w:val="20"/>
              </w:rPr>
              <w:t>Sprycel</w:t>
            </w:r>
            <w:proofErr w:type="spellEnd"/>
          </w:p>
          <w:p w:rsidR="002C5CB5" w:rsidRDefault="002C5CB5" w:rsidP="004E50E5">
            <w:pPr>
              <w:keepNext/>
              <w:ind w:left="-485" w:firstLine="485"/>
              <w:jc w:val="both"/>
              <w:rPr>
                <w:rFonts w:ascii="Arial" w:hAnsi="Arial"/>
                <w:sz w:val="20"/>
              </w:rPr>
            </w:pPr>
            <w:proofErr w:type="spellStart"/>
            <w:r>
              <w:rPr>
                <w:rFonts w:ascii="Arial" w:hAnsi="Arial"/>
                <w:sz w:val="20"/>
              </w:rPr>
              <w:t>Spyrcel</w:t>
            </w:r>
            <w:proofErr w:type="spellEnd"/>
          </w:p>
          <w:p w:rsidR="002C5CB5" w:rsidRDefault="002C5CB5" w:rsidP="004E50E5">
            <w:pPr>
              <w:keepNext/>
              <w:ind w:left="-485" w:firstLine="485"/>
              <w:jc w:val="both"/>
              <w:rPr>
                <w:rFonts w:ascii="Arial" w:hAnsi="Arial"/>
                <w:sz w:val="20"/>
              </w:rPr>
            </w:pPr>
            <w:proofErr w:type="spellStart"/>
            <w:r>
              <w:rPr>
                <w:rFonts w:ascii="Arial" w:hAnsi="Arial"/>
                <w:sz w:val="20"/>
              </w:rPr>
              <w:t>Spyrcel</w:t>
            </w:r>
            <w:proofErr w:type="spellEnd"/>
          </w:p>
          <w:p w:rsidR="00880270" w:rsidRDefault="002C5CB5" w:rsidP="002C5CB5">
            <w:pPr>
              <w:keepNext/>
              <w:ind w:left="-485" w:firstLine="485"/>
              <w:jc w:val="both"/>
              <w:rPr>
                <w:rFonts w:ascii="Arial" w:hAnsi="Arial"/>
                <w:sz w:val="20"/>
              </w:rPr>
            </w:pPr>
            <w:proofErr w:type="spellStart"/>
            <w:r>
              <w:rPr>
                <w:rFonts w:ascii="Arial" w:hAnsi="Arial"/>
                <w:sz w:val="20"/>
              </w:rPr>
              <w:t>Spyrcel</w:t>
            </w:r>
            <w:proofErr w:type="spellEnd"/>
          </w:p>
          <w:p w:rsidR="00880270" w:rsidRDefault="00880270" w:rsidP="00B71B35">
            <w:pPr>
              <w:keepNext/>
              <w:jc w:val="both"/>
              <w:rPr>
                <w:rFonts w:ascii="Arial" w:hAnsi="Arial"/>
                <w:sz w:val="20"/>
              </w:rPr>
            </w:pPr>
          </w:p>
        </w:tc>
        <w:tc>
          <w:tcPr>
            <w:tcW w:w="822" w:type="dxa"/>
          </w:tcPr>
          <w:p w:rsidR="00880270" w:rsidRDefault="00880270" w:rsidP="00B71B35">
            <w:pPr>
              <w:keepNext/>
              <w:jc w:val="both"/>
              <w:rPr>
                <w:rFonts w:ascii="Arial" w:hAnsi="Arial"/>
                <w:sz w:val="20"/>
              </w:rPr>
            </w:pPr>
          </w:p>
          <w:p w:rsidR="002C5CB5" w:rsidRDefault="00880270" w:rsidP="00B71B35">
            <w:pPr>
              <w:keepNext/>
              <w:jc w:val="both"/>
              <w:rPr>
                <w:rFonts w:ascii="Arial" w:hAnsi="Arial"/>
                <w:sz w:val="20"/>
              </w:rPr>
            </w:pPr>
            <w:r>
              <w:rPr>
                <w:rFonts w:ascii="Arial" w:hAnsi="Arial"/>
                <w:sz w:val="20"/>
              </w:rPr>
              <w:t>BQ</w:t>
            </w:r>
          </w:p>
          <w:p w:rsidR="00880270" w:rsidRDefault="002C5CB5" w:rsidP="00B71B35">
            <w:pPr>
              <w:keepNext/>
              <w:jc w:val="both"/>
              <w:rPr>
                <w:rFonts w:ascii="Arial" w:hAnsi="Arial"/>
                <w:sz w:val="20"/>
              </w:rPr>
            </w:pPr>
            <w:r>
              <w:rPr>
                <w:rFonts w:ascii="Arial" w:hAnsi="Arial"/>
                <w:sz w:val="20"/>
              </w:rPr>
              <w:t>BQ</w:t>
            </w:r>
            <w:r w:rsidR="00880270">
              <w:rPr>
                <w:rFonts w:ascii="Arial" w:hAnsi="Arial"/>
                <w:sz w:val="20"/>
              </w:rPr>
              <w:br/>
            </w:r>
            <w:proofErr w:type="spellStart"/>
            <w:r>
              <w:rPr>
                <w:rFonts w:ascii="Arial" w:hAnsi="Arial"/>
                <w:sz w:val="20"/>
              </w:rPr>
              <w:t>BQ</w:t>
            </w:r>
            <w:proofErr w:type="spellEnd"/>
          </w:p>
          <w:p w:rsidR="002C5CB5" w:rsidRDefault="002C5CB5" w:rsidP="00B71B35">
            <w:pPr>
              <w:keepNext/>
              <w:jc w:val="both"/>
              <w:rPr>
                <w:rFonts w:ascii="Arial" w:hAnsi="Arial"/>
                <w:sz w:val="20"/>
              </w:rPr>
            </w:pPr>
            <w:r>
              <w:rPr>
                <w:rFonts w:ascii="Arial" w:hAnsi="Arial"/>
                <w:sz w:val="20"/>
              </w:rPr>
              <w:t>BQ</w:t>
            </w:r>
          </w:p>
        </w:tc>
      </w:tr>
    </w:tbl>
    <w:p w:rsidR="004E50E5" w:rsidRPr="001412AA" w:rsidRDefault="004E50E5" w:rsidP="004E50E5">
      <w:pPr>
        <w:pStyle w:val="ListParagraph"/>
        <w:ind w:left="709"/>
        <w:jc w:val="both"/>
        <w:rPr>
          <w:rFonts w:ascii="Arial Narrow" w:hAnsi="Arial Narrow"/>
          <w:sz w:val="20"/>
          <w:szCs w:val="20"/>
          <w:u w:val="single"/>
        </w:rPr>
      </w:pPr>
      <w:r w:rsidRPr="001412AA">
        <w:rPr>
          <w:rFonts w:ascii="Arial Narrow" w:hAnsi="Arial Narrow"/>
          <w:sz w:val="20"/>
          <w:szCs w:val="20"/>
          <w:u w:val="single"/>
        </w:rPr>
        <w:t>Authority required</w:t>
      </w:r>
    </w:p>
    <w:p w:rsidR="004E50E5" w:rsidRPr="000E44CA" w:rsidRDefault="004E50E5" w:rsidP="004E50E5">
      <w:pPr>
        <w:pStyle w:val="ListParagraph"/>
        <w:ind w:left="709"/>
        <w:jc w:val="both"/>
        <w:rPr>
          <w:rFonts w:ascii="Arial Narrow" w:hAnsi="Arial Narrow"/>
          <w:sz w:val="20"/>
          <w:szCs w:val="20"/>
        </w:rPr>
      </w:pPr>
      <w:proofErr w:type="gramStart"/>
      <w:r w:rsidRPr="000E44CA">
        <w:rPr>
          <w:rFonts w:ascii="Arial Narrow" w:hAnsi="Arial Narrow"/>
          <w:sz w:val="20"/>
          <w:szCs w:val="20"/>
        </w:rPr>
        <w:t>Initial treatment, as the sole PBS-subsidised therapy, of a patient in the chronic phase of chronic myeloid leukaemia expressing the Philadelphia chromosome or the transcript, BCR-ABL tyrosine kinase, and who has a primary diagnosis of chronic myeloid leukaemia.</w:t>
      </w:r>
      <w:proofErr w:type="gramEnd"/>
    </w:p>
    <w:p w:rsidR="004E50E5" w:rsidRPr="000E44CA" w:rsidRDefault="004E50E5" w:rsidP="004E50E5">
      <w:pPr>
        <w:pStyle w:val="ListParagraph"/>
        <w:ind w:left="709"/>
        <w:jc w:val="both"/>
        <w:rPr>
          <w:rFonts w:ascii="Arial Narrow" w:hAnsi="Arial Narrow"/>
          <w:sz w:val="20"/>
          <w:szCs w:val="20"/>
        </w:rPr>
      </w:pP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 xml:space="preserve">Applications under this restriction will be limited to provide patients with a maximum of 18 months of therapy with </w:t>
      </w:r>
      <w:proofErr w:type="spellStart"/>
      <w:r w:rsidRPr="000E44CA">
        <w:rPr>
          <w:rFonts w:ascii="Arial Narrow" w:hAnsi="Arial Narrow"/>
          <w:sz w:val="20"/>
          <w:szCs w:val="20"/>
        </w:rPr>
        <w:t>dasatinib</w:t>
      </w:r>
      <w:proofErr w:type="spellEnd"/>
      <w:r w:rsidRPr="000E44CA">
        <w:rPr>
          <w:rFonts w:ascii="Arial Narrow" w:hAnsi="Arial Narrow"/>
          <w:sz w:val="20"/>
          <w:szCs w:val="20"/>
        </w:rPr>
        <w:t xml:space="preserve">, </w:t>
      </w:r>
      <w:proofErr w:type="spellStart"/>
      <w:r w:rsidRPr="000E44CA">
        <w:rPr>
          <w:rFonts w:ascii="Arial Narrow" w:hAnsi="Arial Narrow"/>
          <w:sz w:val="20"/>
          <w:szCs w:val="20"/>
        </w:rPr>
        <w:t>imatinib</w:t>
      </w:r>
      <w:proofErr w:type="spellEnd"/>
      <w:r w:rsidRPr="000E44CA">
        <w:rPr>
          <w:rFonts w:ascii="Arial Narrow" w:hAnsi="Arial Narrow"/>
          <w:sz w:val="20"/>
          <w:szCs w:val="20"/>
        </w:rPr>
        <w:t xml:space="preserve"> or </w:t>
      </w:r>
      <w:proofErr w:type="spellStart"/>
      <w:r w:rsidRPr="000E44CA">
        <w:rPr>
          <w:rFonts w:ascii="Arial Narrow" w:hAnsi="Arial Narrow"/>
          <w:sz w:val="20"/>
          <w:szCs w:val="20"/>
        </w:rPr>
        <w:t>nilotinib</w:t>
      </w:r>
      <w:proofErr w:type="spellEnd"/>
      <w:r w:rsidRPr="000E44CA">
        <w:rPr>
          <w:rFonts w:ascii="Arial Narrow" w:hAnsi="Arial Narrow"/>
          <w:sz w:val="20"/>
          <w:szCs w:val="20"/>
        </w:rPr>
        <w:t xml:space="preserve"> from the date the first application for initial treatment was approved.</w:t>
      </w:r>
    </w:p>
    <w:p w:rsidR="004E50E5" w:rsidRPr="000E44CA" w:rsidRDefault="004E50E5" w:rsidP="004E50E5">
      <w:pPr>
        <w:pStyle w:val="ListParagraph"/>
        <w:ind w:left="709"/>
        <w:jc w:val="both"/>
        <w:rPr>
          <w:rFonts w:ascii="Arial Narrow" w:hAnsi="Arial Narrow"/>
          <w:sz w:val="20"/>
          <w:szCs w:val="20"/>
        </w:rPr>
      </w:pP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 xml:space="preserve">Patients should be commenced on a dose of </w:t>
      </w:r>
      <w:proofErr w:type="spellStart"/>
      <w:r w:rsidRPr="000E44CA">
        <w:rPr>
          <w:rFonts w:ascii="Arial Narrow" w:hAnsi="Arial Narrow"/>
          <w:sz w:val="20"/>
          <w:szCs w:val="20"/>
        </w:rPr>
        <w:t>dasatinib</w:t>
      </w:r>
      <w:proofErr w:type="spellEnd"/>
      <w:r w:rsidRPr="000E44CA">
        <w:rPr>
          <w:rFonts w:ascii="Arial Narrow" w:hAnsi="Arial Narrow"/>
          <w:sz w:val="20"/>
          <w:szCs w:val="20"/>
        </w:rPr>
        <w:t xml:space="preserve"> of at least 100 mg (base) daily. Continuing therapy is dependent on patients demonstrating a response to </w:t>
      </w:r>
      <w:proofErr w:type="spellStart"/>
      <w:r w:rsidRPr="000E44CA">
        <w:rPr>
          <w:rFonts w:ascii="Arial Narrow" w:hAnsi="Arial Narrow"/>
          <w:sz w:val="20"/>
          <w:szCs w:val="20"/>
        </w:rPr>
        <w:t>dasatinib</w:t>
      </w:r>
      <w:proofErr w:type="spellEnd"/>
      <w:r w:rsidRPr="000E44CA">
        <w:rPr>
          <w:rFonts w:ascii="Arial Narrow" w:hAnsi="Arial Narrow"/>
          <w:sz w:val="20"/>
          <w:szCs w:val="20"/>
        </w:rPr>
        <w:t xml:space="preserve"> therapy following the initial 18 months of treatment and at 12 monthly intervals thereafter.</w:t>
      </w:r>
    </w:p>
    <w:p w:rsidR="004E50E5" w:rsidRPr="000E44CA" w:rsidRDefault="004E50E5" w:rsidP="004E50E5">
      <w:pPr>
        <w:pStyle w:val="ListParagraph"/>
        <w:ind w:left="709"/>
        <w:jc w:val="both"/>
        <w:rPr>
          <w:rFonts w:ascii="Arial Narrow" w:hAnsi="Arial Narrow"/>
          <w:sz w:val="20"/>
          <w:szCs w:val="20"/>
        </w:rPr>
      </w:pP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Applications for authorisation must be in writing and must include:</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 xml:space="preserve">(1) </w:t>
      </w:r>
      <w:proofErr w:type="gramStart"/>
      <w:r w:rsidRPr="000E44CA">
        <w:rPr>
          <w:rFonts w:ascii="Arial Narrow" w:hAnsi="Arial Narrow"/>
          <w:sz w:val="20"/>
          <w:szCs w:val="20"/>
        </w:rPr>
        <w:t>a</w:t>
      </w:r>
      <w:proofErr w:type="gramEnd"/>
      <w:r w:rsidRPr="000E44CA">
        <w:rPr>
          <w:rFonts w:ascii="Arial Narrow" w:hAnsi="Arial Narrow"/>
          <w:sz w:val="20"/>
          <w:szCs w:val="20"/>
        </w:rPr>
        <w:t xml:space="preserve"> completed authority prescription form; and</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(2) a completed Chronic Myeloid Leukaemia - Chronic Phase, First Line - Supporting Information form [may be downloaded from the Medicare Australia website (www.medicareaustralia.gov.au)]; and</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(3) a pathology cytogenetic report conducted on peripheral blood or bone marrow supporting the diagnosis of chronic myeloid leukaemia to confirm eligibility for treatment, or a qualitative PCR report documenting the presence of the BCR-ABL transcript in either peripheral blood or bone marrow; and</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 xml:space="preserve">(4) </w:t>
      </w:r>
      <w:proofErr w:type="gramStart"/>
      <w:r w:rsidRPr="000E44CA">
        <w:rPr>
          <w:rFonts w:ascii="Arial Narrow" w:hAnsi="Arial Narrow"/>
          <w:sz w:val="20"/>
          <w:szCs w:val="20"/>
        </w:rPr>
        <w:t>a</w:t>
      </w:r>
      <w:proofErr w:type="gramEnd"/>
      <w:r w:rsidRPr="000E44CA">
        <w:rPr>
          <w:rFonts w:ascii="Arial Narrow" w:hAnsi="Arial Narrow"/>
          <w:sz w:val="20"/>
          <w:szCs w:val="20"/>
        </w:rPr>
        <w:t xml:space="preserve"> signed patient acknowledgement form</w:t>
      </w:r>
    </w:p>
    <w:p w:rsidR="004E50E5" w:rsidRPr="000E44CA" w:rsidRDefault="004E50E5" w:rsidP="004E50E5">
      <w:pPr>
        <w:pStyle w:val="ListParagraph"/>
        <w:ind w:left="709"/>
        <w:jc w:val="both"/>
        <w:rPr>
          <w:rFonts w:ascii="Arial Narrow" w:hAnsi="Arial Narrow"/>
          <w:sz w:val="20"/>
          <w:szCs w:val="20"/>
        </w:rPr>
      </w:pPr>
    </w:p>
    <w:p w:rsidR="004E50E5" w:rsidRPr="001412AA" w:rsidRDefault="004E50E5" w:rsidP="004E50E5">
      <w:pPr>
        <w:pStyle w:val="ListParagraph"/>
        <w:ind w:left="709"/>
        <w:jc w:val="both"/>
        <w:rPr>
          <w:rFonts w:ascii="Arial Narrow" w:hAnsi="Arial Narrow"/>
          <w:sz w:val="20"/>
          <w:szCs w:val="20"/>
          <w:u w:val="single"/>
        </w:rPr>
      </w:pPr>
      <w:r w:rsidRPr="001412AA">
        <w:rPr>
          <w:rFonts w:ascii="Arial Narrow" w:hAnsi="Arial Narrow"/>
          <w:sz w:val="20"/>
          <w:szCs w:val="20"/>
          <w:u w:val="single"/>
        </w:rPr>
        <w:t>Authority Required</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 xml:space="preserve">Continuing treatment, as the sole PBS-subsidised therapy, of a patient who has received initial PBS-subsidised treatment with </w:t>
      </w:r>
      <w:proofErr w:type="spellStart"/>
      <w:r w:rsidRPr="000E44CA">
        <w:rPr>
          <w:rFonts w:ascii="Arial Narrow" w:hAnsi="Arial Narrow"/>
          <w:sz w:val="20"/>
          <w:szCs w:val="20"/>
        </w:rPr>
        <w:t>dasatinib</w:t>
      </w:r>
      <w:proofErr w:type="spellEnd"/>
      <w:r w:rsidRPr="000E44CA">
        <w:rPr>
          <w:rFonts w:ascii="Arial Narrow" w:hAnsi="Arial Narrow"/>
          <w:sz w:val="20"/>
          <w:szCs w:val="20"/>
        </w:rPr>
        <w:t xml:space="preserve"> for the chronic phase of chronic myeloid leukaemia and who has demonstrated either a major cytogenetic response or less than 1% BCR-ABL level in the blood.</w:t>
      </w:r>
    </w:p>
    <w:p w:rsidR="004E50E5" w:rsidRPr="000E44CA" w:rsidRDefault="004E50E5" w:rsidP="004E50E5">
      <w:pPr>
        <w:pStyle w:val="ListParagraph"/>
        <w:ind w:left="709"/>
        <w:jc w:val="both"/>
        <w:rPr>
          <w:rFonts w:ascii="Arial Narrow" w:hAnsi="Arial Narrow"/>
          <w:sz w:val="20"/>
          <w:szCs w:val="20"/>
        </w:rPr>
      </w:pP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First continuing applications for authorisation must be in writing and must include:</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lastRenderedPageBreak/>
        <w:t xml:space="preserve">(1) </w:t>
      </w:r>
      <w:proofErr w:type="gramStart"/>
      <w:r w:rsidRPr="000E44CA">
        <w:rPr>
          <w:rFonts w:ascii="Arial Narrow" w:hAnsi="Arial Narrow"/>
          <w:sz w:val="20"/>
          <w:szCs w:val="20"/>
        </w:rPr>
        <w:t>a</w:t>
      </w:r>
      <w:proofErr w:type="gramEnd"/>
      <w:r w:rsidRPr="000E44CA">
        <w:rPr>
          <w:rFonts w:ascii="Arial Narrow" w:hAnsi="Arial Narrow"/>
          <w:sz w:val="20"/>
          <w:szCs w:val="20"/>
        </w:rPr>
        <w:t xml:space="preserve"> completed authority prescription form; and</w:t>
      </w:r>
    </w:p>
    <w:p w:rsidR="004E50E5" w:rsidRPr="000E44CA" w:rsidRDefault="004E50E5" w:rsidP="004E50E5">
      <w:pPr>
        <w:pStyle w:val="ListParagraph"/>
        <w:ind w:left="709"/>
        <w:jc w:val="both"/>
        <w:rPr>
          <w:rFonts w:ascii="Arial Narrow" w:hAnsi="Arial Narrow"/>
          <w:sz w:val="20"/>
          <w:szCs w:val="20"/>
        </w:rPr>
      </w:pPr>
      <w:r w:rsidRPr="000E44CA">
        <w:rPr>
          <w:rFonts w:ascii="Arial Narrow" w:hAnsi="Arial Narrow"/>
          <w:sz w:val="20"/>
          <w:szCs w:val="20"/>
        </w:rPr>
        <w:t xml:space="preserve">(2) </w:t>
      </w:r>
      <w:proofErr w:type="gramStart"/>
      <w:r w:rsidRPr="000E44CA">
        <w:rPr>
          <w:rFonts w:ascii="Arial Narrow" w:hAnsi="Arial Narrow"/>
          <w:sz w:val="20"/>
          <w:szCs w:val="20"/>
        </w:rPr>
        <w:t>demonstration</w:t>
      </w:r>
      <w:proofErr w:type="gramEnd"/>
      <w:r w:rsidRPr="000E44CA">
        <w:rPr>
          <w:rFonts w:ascii="Arial Narrow" w:hAnsi="Arial Narrow"/>
          <w:sz w:val="20"/>
          <w:szCs w:val="20"/>
        </w:rPr>
        <w:t xml:space="preserve"> of a response to treatment as evidenced by either:</w:t>
      </w:r>
    </w:p>
    <w:p w:rsidR="004E50E5" w:rsidRPr="001412AA" w:rsidRDefault="004E50E5" w:rsidP="004E50E5">
      <w:pPr>
        <w:ind w:left="709"/>
        <w:jc w:val="both"/>
        <w:rPr>
          <w:rFonts w:ascii="Arial Narrow" w:hAnsi="Arial Narrow" w:cs="Arial"/>
          <w:sz w:val="20"/>
        </w:rPr>
      </w:pPr>
      <w:r w:rsidRPr="001412AA">
        <w:rPr>
          <w:rFonts w:ascii="Arial Narrow" w:hAnsi="Arial Narrow" w:cs="Arial"/>
          <w:sz w:val="20"/>
        </w:rPr>
        <w:t>(a) major cytogenetic response [see Note explaining requirements];</w:t>
      </w:r>
      <w:r w:rsidRPr="001412AA">
        <w:rPr>
          <w:rFonts w:ascii="Arial Narrow" w:hAnsi="Arial Narrow" w:cs="Arial"/>
          <w:b/>
          <w:sz w:val="20"/>
        </w:rPr>
        <w:t xml:space="preserve"> </w:t>
      </w:r>
      <w:r w:rsidRPr="001412AA">
        <w:rPr>
          <w:rFonts w:ascii="Arial Narrow" w:hAnsi="Arial Narrow" w:cs="Arial"/>
          <w:strike/>
          <w:sz w:val="20"/>
        </w:rPr>
        <w:t>Where this has been supplied within the previous 12 months, only the date of the relevant pathology report need be provided;</w:t>
      </w:r>
      <w:r w:rsidRPr="001412AA">
        <w:rPr>
          <w:rFonts w:ascii="Arial Narrow" w:hAnsi="Arial Narrow" w:cs="Arial"/>
          <w:sz w:val="20"/>
        </w:rPr>
        <w:t xml:space="preserve"> or</w:t>
      </w:r>
    </w:p>
    <w:p w:rsidR="004E50E5" w:rsidRPr="001412AA" w:rsidRDefault="004E50E5" w:rsidP="004E50E5">
      <w:pPr>
        <w:ind w:left="709"/>
        <w:jc w:val="both"/>
        <w:rPr>
          <w:rFonts w:ascii="Arial Narrow" w:hAnsi="Arial Narrow" w:cs="Arial"/>
          <w:b/>
          <w:sz w:val="20"/>
        </w:rPr>
      </w:pPr>
      <w:r w:rsidRPr="001412AA">
        <w:rPr>
          <w:rFonts w:ascii="Arial Narrow" w:hAnsi="Arial Narrow" w:cs="Arial"/>
          <w:sz w:val="20"/>
        </w:rPr>
        <w:t>(b)</w:t>
      </w:r>
      <w:r w:rsidRPr="001412AA">
        <w:rPr>
          <w:rFonts w:ascii="Arial Narrow" w:hAnsi="Arial Narrow" w:cs="Arial"/>
          <w:b/>
          <w:sz w:val="20"/>
        </w:rPr>
        <w:t xml:space="preserve"> </w:t>
      </w:r>
      <w:proofErr w:type="gramStart"/>
      <w:r w:rsidRPr="001412AA">
        <w:rPr>
          <w:rFonts w:ascii="Arial Narrow" w:hAnsi="Arial Narrow" w:cs="Arial"/>
          <w:sz w:val="20"/>
        </w:rPr>
        <w:t>a</w:t>
      </w:r>
      <w:proofErr w:type="gramEnd"/>
      <w:r w:rsidRPr="001412AA">
        <w:rPr>
          <w:rFonts w:ascii="Arial Narrow" w:hAnsi="Arial Narrow" w:cs="Arial"/>
          <w:sz w:val="20"/>
        </w:rPr>
        <w:t xml:space="preserve"> peripheral blood level of BCR-ABL of less than 1% on the international scale [see Note explaining requirements].</w:t>
      </w:r>
      <w:r w:rsidRPr="001412AA">
        <w:rPr>
          <w:rFonts w:ascii="Arial Narrow" w:hAnsi="Arial Narrow" w:cs="Arial"/>
          <w:b/>
          <w:sz w:val="20"/>
        </w:rPr>
        <w:t xml:space="preserve"> </w:t>
      </w:r>
      <w:r w:rsidRPr="001412AA">
        <w:rPr>
          <w:rFonts w:ascii="Arial Narrow" w:hAnsi="Arial Narrow" w:cs="Arial"/>
          <w:strike/>
          <w:sz w:val="20"/>
        </w:rPr>
        <w:t>Where this has been supplied within the previous 12 months, only the date of the relevant pathology report need be provided.</w:t>
      </w:r>
    </w:p>
    <w:p w:rsidR="004E50E5" w:rsidRPr="000E44CA" w:rsidRDefault="004E50E5" w:rsidP="004E50E5">
      <w:pPr>
        <w:pStyle w:val="ListParagraph"/>
        <w:ind w:left="709"/>
        <w:jc w:val="both"/>
        <w:rPr>
          <w:rFonts w:ascii="Arial Narrow" w:hAnsi="Arial Narrow"/>
          <w:b/>
          <w:sz w:val="20"/>
          <w:szCs w:val="20"/>
        </w:rPr>
      </w:pPr>
    </w:p>
    <w:p w:rsidR="004E50E5" w:rsidRPr="00BC2D06" w:rsidRDefault="004E50E5" w:rsidP="004E50E5">
      <w:pPr>
        <w:pStyle w:val="ListParagraph"/>
        <w:ind w:left="709"/>
        <w:jc w:val="both"/>
        <w:rPr>
          <w:rFonts w:ascii="Arial" w:hAnsi="Arial" w:cs="Arial"/>
          <w:b/>
          <w:sz w:val="20"/>
          <w:szCs w:val="20"/>
        </w:rPr>
      </w:pPr>
      <w:r w:rsidRPr="00BC2D06">
        <w:rPr>
          <w:rFonts w:ascii="Arial" w:hAnsi="Arial" w:cs="Arial"/>
          <w:b/>
          <w:i/>
          <w:sz w:val="20"/>
          <w:szCs w:val="20"/>
        </w:rPr>
        <w:t xml:space="preserve">Second and subsequent authority applications for continuing therapy with </w:t>
      </w:r>
      <w:proofErr w:type="spellStart"/>
      <w:r w:rsidRPr="00BC2D06">
        <w:rPr>
          <w:rFonts w:ascii="Arial" w:hAnsi="Arial" w:cs="Arial"/>
          <w:b/>
          <w:i/>
          <w:sz w:val="20"/>
          <w:szCs w:val="20"/>
        </w:rPr>
        <w:t>dasatinib</w:t>
      </w:r>
      <w:proofErr w:type="spellEnd"/>
      <w:r w:rsidRPr="00BC2D06">
        <w:rPr>
          <w:rFonts w:ascii="Arial" w:hAnsi="Arial" w:cs="Arial"/>
          <w:b/>
          <w:i/>
          <w:sz w:val="20"/>
          <w:szCs w:val="20"/>
        </w:rPr>
        <w:t xml:space="preserve"> may be made on the telephone by contacting Medicare Australia on 1800 700 720 (hours of operation 8 a.m. to 5 p.m. EST Monday to Friday). Patients must maintain a major cytogenetic response or have a peripheral blood BCR-ABL of less than 1% to receive continuing therapy</w:t>
      </w:r>
      <w:r w:rsidRPr="00BC2D06">
        <w:rPr>
          <w:rFonts w:ascii="Arial" w:hAnsi="Arial" w:cs="Arial"/>
          <w:b/>
          <w:sz w:val="20"/>
          <w:szCs w:val="20"/>
        </w:rPr>
        <w:t>.</w:t>
      </w: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 xml:space="preserve">For more detail on PBAC’s view, see section </w:t>
      </w:r>
      <w:r w:rsidR="00416BD3">
        <w:rPr>
          <w:rFonts w:ascii="Arial" w:hAnsi="Arial"/>
          <w:i/>
          <w:sz w:val="22"/>
          <w:szCs w:val="22"/>
        </w:rPr>
        <w:t>5</w:t>
      </w:r>
      <w:r>
        <w:rPr>
          <w:rFonts w:ascii="Arial" w:hAnsi="Arial"/>
          <w:i/>
          <w:sz w:val="22"/>
          <w:szCs w:val="22"/>
        </w:rPr>
        <w:t xml:space="preserve"> “PBAC outcome”</w:t>
      </w:r>
    </w:p>
    <w:p w:rsidR="00640576" w:rsidRPr="00882085" w:rsidRDefault="00640576"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4E50E5" w:rsidRPr="004E50E5" w:rsidRDefault="004E50E5" w:rsidP="004E50E5">
      <w:pPr>
        <w:pStyle w:val="ListParagraph"/>
        <w:numPr>
          <w:ilvl w:val="1"/>
          <w:numId w:val="25"/>
        </w:numPr>
        <w:jc w:val="both"/>
        <w:rPr>
          <w:rFonts w:ascii="Arial" w:hAnsi="Arial"/>
          <w:sz w:val="22"/>
          <w:szCs w:val="22"/>
        </w:rPr>
      </w:pPr>
      <w:r w:rsidRPr="004E50E5">
        <w:rPr>
          <w:rFonts w:ascii="Arial" w:hAnsi="Arial"/>
          <w:sz w:val="22"/>
          <w:szCs w:val="22"/>
        </w:rPr>
        <w:t xml:space="preserve">This was the PBAC’s first consideration of a submission seeking to allow second and subsequent </w:t>
      </w:r>
      <w:proofErr w:type="spellStart"/>
      <w:r w:rsidRPr="004E50E5">
        <w:rPr>
          <w:rFonts w:ascii="Arial" w:hAnsi="Arial"/>
          <w:sz w:val="22"/>
          <w:szCs w:val="22"/>
        </w:rPr>
        <w:t>dasatinib</w:t>
      </w:r>
      <w:proofErr w:type="spellEnd"/>
      <w:r w:rsidRPr="004E50E5">
        <w:rPr>
          <w:rFonts w:ascii="Arial" w:hAnsi="Arial"/>
          <w:sz w:val="22"/>
          <w:szCs w:val="22"/>
        </w:rPr>
        <w:t xml:space="preserve"> Authority required applications to be made via telephone.</w:t>
      </w:r>
    </w:p>
    <w:p w:rsidR="00BB7EC3" w:rsidRDefault="00BB7EC3" w:rsidP="004E50E5">
      <w:pPr>
        <w:pStyle w:val="ListParagraph"/>
        <w:jc w:val="both"/>
        <w:rPr>
          <w:rFonts w:ascii="Arial" w:hAnsi="Arial"/>
          <w:b/>
          <w:sz w:val="22"/>
          <w:szCs w:val="22"/>
        </w:rPr>
      </w:pPr>
    </w:p>
    <w:p w:rsidR="002C5CB5" w:rsidRPr="00882085" w:rsidRDefault="002C5CB5" w:rsidP="004E50E5">
      <w:pPr>
        <w:pStyle w:val="ListParagraph"/>
        <w:jc w:val="both"/>
        <w:rPr>
          <w:rFonts w:ascii="Arial" w:hAnsi="Arial"/>
          <w:b/>
          <w:sz w:val="22"/>
          <w:szCs w:val="22"/>
        </w:rPr>
      </w:pPr>
    </w:p>
    <w:p w:rsidR="004E50E5" w:rsidRPr="00416BD3" w:rsidRDefault="004E50E5" w:rsidP="00416BD3">
      <w:pPr>
        <w:pStyle w:val="ListParagraph"/>
        <w:numPr>
          <w:ilvl w:val="0"/>
          <w:numId w:val="25"/>
        </w:numPr>
        <w:jc w:val="both"/>
        <w:rPr>
          <w:rFonts w:ascii="Arial" w:hAnsi="Arial"/>
          <w:sz w:val="22"/>
          <w:szCs w:val="22"/>
        </w:rPr>
      </w:pPr>
      <w:r>
        <w:rPr>
          <w:rFonts w:ascii="Arial" w:hAnsi="Arial"/>
          <w:b/>
          <w:sz w:val="22"/>
          <w:szCs w:val="22"/>
        </w:rPr>
        <w:t>Summary of submission</w:t>
      </w:r>
    </w:p>
    <w:p w:rsidR="00416BD3" w:rsidRDefault="00416BD3" w:rsidP="00882085">
      <w:pPr>
        <w:jc w:val="both"/>
        <w:rPr>
          <w:rFonts w:ascii="Arial" w:hAnsi="Arial"/>
          <w:b/>
          <w:i/>
          <w:sz w:val="22"/>
          <w:szCs w:val="22"/>
        </w:rPr>
      </w:pPr>
    </w:p>
    <w:p w:rsidR="004E50E5" w:rsidRPr="004E50E5" w:rsidRDefault="00416BD3" w:rsidP="00882085">
      <w:pPr>
        <w:jc w:val="both"/>
        <w:rPr>
          <w:rFonts w:ascii="Arial" w:hAnsi="Arial"/>
          <w:b/>
          <w:i/>
          <w:sz w:val="22"/>
          <w:szCs w:val="22"/>
        </w:rPr>
      </w:pPr>
      <w:r>
        <w:rPr>
          <w:rFonts w:ascii="Arial" w:hAnsi="Arial"/>
          <w:b/>
          <w:i/>
          <w:sz w:val="22"/>
          <w:szCs w:val="22"/>
        </w:rPr>
        <w:t>Sponsor hearing</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416BD3" w:rsidRDefault="00416BD3" w:rsidP="00416BD3">
      <w:pPr>
        <w:pStyle w:val="ListParagraph"/>
        <w:numPr>
          <w:ilvl w:val="1"/>
          <w:numId w:val="25"/>
        </w:numPr>
        <w:jc w:val="both"/>
        <w:rPr>
          <w:rFonts w:ascii="Arial" w:hAnsi="Arial"/>
          <w:sz w:val="22"/>
          <w:szCs w:val="22"/>
        </w:rPr>
      </w:pPr>
      <w:r w:rsidRPr="00416BD3">
        <w:rPr>
          <w:rFonts w:ascii="Arial" w:hAnsi="Arial"/>
          <w:sz w:val="22"/>
          <w:szCs w:val="22"/>
        </w:rPr>
        <w:t>As a minor submission, there was no hearing for this item</w:t>
      </w:r>
      <w:r w:rsidR="00CF36AA">
        <w:rPr>
          <w:rFonts w:ascii="Arial" w:hAnsi="Arial"/>
          <w:sz w:val="22"/>
          <w:szCs w:val="22"/>
        </w:rPr>
        <w:t>.</w:t>
      </w:r>
    </w:p>
    <w:p w:rsidR="00416BD3" w:rsidRDefault="00416BD3" w:rsidP="00416BD3">
      <w:pPr>
        <w:pStyle w:val="ListParagraph"/>
        <w:jc w:val="both"/>
        <w:rPr>
          <w:rFonts w:ascii="Arial" w:hAnsi="Arial"/>
          <w:sz w:val="22"/>
          <w:szCs w:val="22"/>
        </w:rPr>
      </w:pPr>
    </w:p>
    <w:p w:rsidR="00416BD3" w:rsidRPr="00416BD3" w:rsidRDefault="00416BD3" w:rsidP="00416BD3">
      <w:pPr>
        <w:pStyle w:val="ListParagraph"/>
        <w:ind w:left="0"/>
        <w:jc w:val="both"/>
        <w:rPr>
          <w:rFonts w:ascii="Arial" w:hAnsi="Arial"/>
          <w:b/>
          <w:i/>
          <w:sz w:val="22"/>
          <w:szCs w:val="22"/>
        </w:rPr>
      </w:pPr>
      <w:r w:rsidRPr="00416BD3">
        <w:rPr>
          <w:rFonts w:ascii="Arial" w:hAnsi="Arial"/>
          <w:b/>
          <w:i/>
          <w:sz w:val="22"/>
          <w:szCs w:val="22"/>
        </w:rPr>
        <w:t>Consumer comments</w:t>
      </w:r>
    </w:p>
    <w:p w:rsidR="00416BD3" w:rsidRDefault="00416BD3" w:rsidP="00416BD3">
      <w:pPr>
        <w:pStyle w:val="ListParagraph"/>
        <w:jc w:val="both"/>
        <w:rPr>
          <w:rFonts w:ascii="Arial" w:hAnsi="Arial"/>
          <w:sz w:val="22"/>
          <w:szCs w:val="22"/>
        </w:rPr>
      </w:pPr>
    </w:p>
    <w:p w:rsidR="004E50E5" w:rsidRDefault="00416BD3" w:rsidP="004E50E5">
      <w:pPr>
        <w:pStyle w:val="ListParagraph"/>
        <w:numPr>
          <w:ilvl w:val="1"/>
          <w:numId w:val="25"/>
        </w:numPr>
        <w:jc w:val="both"/>
        <w:rPr>
          <w:rFonts w:ascii="Arial" w:hAnsi="Arial"/>
          <w:sz w:val="22"/>
          <w:szCs w:val="22"/>
        </w:rPr>
      </w:pPr>
      <w:r>
        <w:rPr>
          <w:rFonts w:ascii="Arial" w:hAnsi="Arial"/>
          <w:sz w:val="22"/>
          <w:szCs w:val="22"/>
        </w:rPr>
        <w:t>T</w:t>
      </w:r>
      <w:r w:rsidR="004E50E5" w:rsidRPr="004E50E5">
        <w:rPr>
          <w:rFonts w:ascii="Arial" w:hAnsi="Arial"/>
          <w:sz w:val="22"/>
          <w:szCs w:val="22"/>
        </w:rPr>
        <w:t>he PBAC noted that no consumer comments were received for this item.</w:t>
      </w:r>
    </w:p>
    <w:p w:rsidR="004E50E5" w:rsidRDefault="004E50E5" w:rsidP="004E50E5">
      <w:pPr>
        <w:jc w:val="both"/>
        <w:rPr>
          <w:rFonts w:ascii="Arial" w:hAnsi="Arial"/>
          <w:sz w:val="22"/>
          <w:szCs w:val="22"/>
        </w:rPr>
      </w:pPr>
    </w:p>
    <w:p w:rsidR="004E50E5" w:rsidRPr="003820D9" w:rsidRDefault="004E50E5" w:rsidP="004E50E5">
      <w:pPr>
        <w:jc w:val="both"/>
        <w:rPr>
          <w:rFonts w:ascii="Arial" w:hAnsi="Arial"/>
          <w:b/>
          <w:i/>
          <w:sz w:val="22"/>
          <w:szCs w:val="22"/>
        </w:rPr>
      </w:pPr>
      <w:r w:rsidRPr="003820D9">
        <w:rPr>
          <w:rFonts w:ascii="Arial" w:hAnsi="Arial"/>
          <w:b/>
          <w:i/>
          <w:sz w:val="22"/>
          <w:szCs w:val="22"/>
        </w:rPr>
        <w:t>Basis of request</w:t>
      </w:r>
    </w:p>
    <w:p w:rsidR="004E50E5" w:rsidRPr="004E50E5" w:rsidRDefault="004E50E5" w:rsidP="004E50E5">
      <w:pPr>
        <w:jc w:val="both"/>
        <w:rPr>
          <w:rFonts w:ascii="Arial" w:hAnsi="Arial"/>
          <w:sz w:val="22"/>
          <w:szCs w:val="22"/>
        </w:rPr>
      </w:pPr>
    </w:p>
    <w:p w:rsidR="004E50E5" w:rsidRPr="004E50E5" w:rsidRDefault="004E50E5" w:rsidP="004E50E5">
      <w:pPr>
        <w:pStyle w:val="ListParagraph"/>
        <w:numPr>
          <w:ilvl w:val="1"/>
          <w:numId w:val="25"/>
        </w:numPr>
        <w:jc w:val="both"/>
        <w:rPr>
          <w:rFonts w:ascii="Arial" w:hAnsi="Arial"/>
          <w:sz w:val="22"/>
          <w:szCs w:val="22"/>
        </w:rPr>
      </w:pPr>
      <w:r w:rsidRPr="004E50E5">
        <w:rPr>
          <w:rFonts w:ascii="Arial" w:hAnsi="Arial"/>
          <w:sz w:val="22"/>
          <w:szCs w:val="22"/>
        </w:rPr>
        <w:t xml:space="preserve">The submission requested the amendment to the </w:t>
      </w:r>
      <w:proofErr w:type="spellStart"/>
      <w:r w:rsidRPr="004E50E5">
        <w:rPr>
          <w:rFonts w:ascii="Arial" w:hAnsi="Arial"/>
          <w:sz w:val="22"/>
          <w:szCs w:val="22"/>
        </w:rPr>
        <w:t>dasatinib</w:t>
      </w:r>
      <w:proofErr w:type="spellEnd"/>
      <w:r w:rsidRPr="004E50E5">
        <w:rPr>
          <w:rFonts w:ascii="Arial" w:hAnsi="Arial"/>
          <w:sz w:val="22"/>
          <w:szCs w:val="22"/>
        </w:rPr>
        <w:t xml:space="preserve"> restriction on the grounds that:</w:t>
      </w:r>
    </w:p>
    <w:p w:rsidR="004E50E5" w:rsidRPr="004E50E5" w:rsidRDefault="004E50E5" w:rsidP="004E50E5">
      <w:pPr>
        <w:pStyle w:val="ListParagraph"/>
        <w:numPr>
          <w:ilvl w:val="0"/>
          <w:numId w:val="39"/>
        </w:numPr>
        <w:ind w:left="1134" w:hanging="425"/>
        <w:jc w:val="both"/>
        <w:rPr>
          <w:rFonts w:ascii="Arial" w:hAnsi="Arial"/>
          <w:sz w:val="22"/>
          <w:szCs w:val="22"/>
        </w:rPr>
      </w:pPr>
      <w:r w:rsidRPr="004E50E5">
        <w:rPr>
          <w:rFonts w:ascii="Arial" w:hAnsi="Arial"/>
          <w:sz w:val="22"/>
          <w:szCs w:val="22"/>
        </w:rPr>
        <w:t xml:space="preserve">the PBAC has previously found </w:t>
      </w:r>
      <w:proofErr w:type="spellStart"/>
      <w:r w:rsidRPr="004E50E5">
        <w:rPr>
          <w:rFonts w:ascii="Arial" w:hAnsi="Arial"/>
          <w:sz w:val="22"/>
          <w:szCs w:val="22"/>
        </w:rPr>
        <w:t>dasatinib</w:t>
      </w:r>
      <w:proofErr w:type="spellEnd"/>
      <w:r w:rsidRPr="004E50E5">
        <w:rPr>
          <w:rFonts w:ascii="Arial" w:hAnsi="Arial"/>
          <w:sz w:val="22"/>
          <w:szCs w:val="22"/>
        </w:rPr>
        <w:t xml:space="preserve"> to be non-inferior to </w:t>
      </w:r>
      <w:proofErr w:type="spellStart"/>
      <w:r w:rsidRPr="004E50E5">
        <w:rPr>
          <w:rFonts w:ascii="Arial" w:hAnsi="Arial"/>
          <w:sz w:val="22"/>
          <w:szCs w:val="22"/>
        </w:rPr>
        <w:t>imatinib</w:t>
      </w:r>
      <w:proofErr w:type="spellEnd"/>
      <w:r w:rsidRPr="004E50E5">
        <w:rPr>
          <w:rFonts w:ascii="Arial" w:hAnsi="Arial"/>
          <w:sz w:val="22"/>
          <w:szCs w:val="22"/>
        </w:rPr>
        <w:t xml:space="preserve"> in the first-line treatment of CML;</w:t>
      </w:r>
    </w:p>
    <w:p w:rsidR="004E50E5" w:rsidRPr="004E50E5" w:rsidRDefault="004E50E5" w:rsidP="004E50E5">
      <w:pPr>
        <w:pStyle w:val="ListParagraph"/>
        <w:numPr>
          <w:ilvl w:val="0"/>
          <w:numId w:val="39"/>
        </w:numPr>
        <w:ind w:left="1134" w:hanging="425"/>
        <w:jc w:val="both"/>
        <w:rPr>
          <w:rFonts w:ascii="Arial" w:hAnsi="Arial"/>
          <w:sz w:val="22"/>
          <w:szCs w:val="22"/>
        </w:rPr>
      </w:pPr>
      <w:r w:rsidRPr="004E50E5">
        <w:rPr>
          <w:rFonts w:ascii="Arial" w:hAnsi="Arial"/>
          <w:sz w:val="22"/>
          <w:szCs w:val="22"/>
        </w:rPr>
        <w:t>both treatments are equally available for the first-line treatment of CML; and</w:t>
      </w:r>
    </w:p>
    <w:p w:rsidR="004E50E5" w:rsidRDefault="004E50E5" w:rsidP="004E50E5">
      <w:pPr>
        <w:pStyle w:val="ListParagraph"/>
        <w:numPr>
          <w:ilvl w:val="0"/>
          <w:numId w:val="39"/>
        </w:numPr>
        <w:ind w:left="1134" w:hanging="425"/>
        <w:jc w:val="both"/>
        <w:rPr>
          <w:rFonts w:ascii="Arial" w:hAnsi="Arial"/>
          <w:sz w:val="22"/>
          <w:szCs w:val="22"/>
        </w:rPr>
      </w:pPr>
      <w:proofErr w:type="spellStart"/>
      <w:proofErr w:type="gramStart"/>
      <w:r w:rsidRPr="004E50E5">
        <w:rPr>
          <w:rFonts w:ascii="Arial" w:hAnsi="Arial"/>
          <w:sz w:val="22"/>
          <w:szCs w:val="22"/>
        </w:rPr>
        <w:t>dasatinib</w:t>
      </w:r>
      <w:proofErr w:type="spellEnd"/>
      <w:proofErr w:type="gramEnd"/>
      <w:r w:rsidRPr="004E50E5">
        <w:rPr>
          <w:rFonts w:ascii="Arial" w:hAnsi="Arial"/>
          <w:sz w:val="22"/>
          <w:szCs w:val="22"/>
        </w:rPr>
        <w:t xml:space="preserve"> has been available on the PBS for the treatment of CML since 2007 and therefore its safety profile is well characterised by Australia physicians.</w:t>
      </w:r>
    </w:p>
    <w:p w:rsidR="004E50E5" w:rsidRPr="004E50E5" w:rsidRDefault="004E50E5" w:rsidP="004E50E5">
      <w:pPr>
        <w:pStyle w:val="ListParagraph"/>
        <w:ind w:left="1134"/>
        <w:jc w:val="both"/>
        <w:rPr>
          <w:rFonts w:ascii="Arial" w:hAnsi="Arial"/>
          <w:sz w:val="22"/>
          <w:szCs w:val="22"/>
        </w:rPr>
      </w:pPr>
    </w:p>
    <w:p w:rsidR="004E50E5" w:rsidRDefault="004E50E5" w:rsidP="00D31F50">
      <w:pPr>
        <w:pStyle w:val="ListParagraph"/>
        <w:numPr>
          <w:ilvl w:val="1"/>
          <w:numId w:val="25"/>
        </w:numPr>
        <w:jc w:val="both"/>
        <w:rPr>
          <w:rFonts w:ascii="Arial" w:hAnsi="Arial"/>
          <w:sz w:val="22"/>
          <w:szCs w:val="22"/>
        </w:rPr>
      </w:pPr>
      <w:r w:rsidRPr="004E50E5">
        <w:rPr>
          <w:rFonts w:ascii="Arial" w:hAnsi="Arial"/>
          <w:sz w:val="22"/>
          <w:szCs w:val="22"/>
        </w:rPr>
        <w:t xml:space="preserve">The submission asserted that there is no basis for a difference in restrictions which may encourage the use of </w:t>
      </w:r>
      <w:proofErr w:type="spellStart"/>
      <w:r w:rsidRPr="004E50E5">
        <w:rPr>
          <w:rFonts w:ascii="Arial" w:hAnsi="Arial"/>
          <w:sz w:val="22"/>
          <w:szCs w:val="22"/>
        </w:rPr>
        <w:t>imatinib</w:t>
      </w:r>
      <w:proofErr w:type="spellEnd"/>
      <w:r w:rsidRPr="004E50E5">
        <w:rPr>
          <w:rFonts w:ascii="Arial" w:hAnsi="Arial"/>
          <w:sz w:val="22"/>
          <w:szCs w:val="22"/>
        </w:rPr>
        <w:t xml:space="preserve"> in place of </w:t>
      </w:r>
      <w:proofErr w:type="spellStart"/>
      <w:r w:rsidRPr="004E50E5">
        <w:rPr>
          <w:rFonts w:ascii="Arial" w:hAnsi="Arial"/>
          <w:sz w:val="22"/>
          <w:szCs w:val="22"/>
        </w:rPr>
        <w:t>das</w:t>
      </w:r>
      <w:r w:rsidR="0028061E">
        <w:rPr>
          <w:rFonts w:ascii="Arial" w:hAnsi="Arial"/>
          <w:sz w:val="22"/>
          <w:szCs w:val="22"/>
        </w:rPr>
        <w:t>atinib</w:t>
      </w:r>
      <w:proofErr w:type="spellEnd"/>
      <w:r w:rsidR="0028061E">
        <w:rPr>
          <w:rFonts w:ascii="Arial" w:hAnsi="Arial"/>
          <w:sz w:val="22"/>
          <w:szCs w:val="22"/>
        </w:rPr>
        <w:t>.  The submission claimed</w:t>
      </w:r>
      <w:r w:rsidRPr="004E50E5">
        <w:rPr>
          <w:rFonts w:ascii="Arial" w:hAnsi="Arial"/>
          <w:sz w:val="22"/>
          <w:szCs w:val="22"/>
        </w:rPr>
        <w:t xml:space="preserve"> that by normalising the restrictions, physicians can make treatment decisions free of </w:t>
      </w:r>
      <w:proofErr w:type="gramStart"/>
      <w:r w:rsidRPr="004E50E5">
        <w:rPr>
          <w:rFonts w:ascii="Arial" w:hAnsi="Arial"/>
          <w:sz w:val="22"/>
          <w:szCs w:val="22"/>
        </w:rPr>
        <w:t>other</w:t>
      </w:r>
      <w:proofErr w:type="gramEnd"/>
      <w:r w:rsidRPr="004E50E5">
        <w:rPr>
          <w:rFonts w:ascii="Arial" w:hAnsi="Arial"/>
          <w:sz w:val="22"/>
          <w:szCs w:val="22"/>
        </w:rPr>
        <w:t xml:space="preserve"> concerns and focus on achieving optimal outcomes for patients in their care.</w:t>
      </w:r>
    </w:p>
    <w:p w:rsidR="00D31F50" w:rsidRDefault="00D31F50" w:rsidP="004E5F44">
      <w:pPr>
        <w:jc w:val="both"/>
        <w:rPr>
          <w:rFonts w:ascii="Arial" w:hAnsi="Arial"/>
          <w:sz w:val="22"/>
          <w:szCs w:val="22"/>
        </w:rPr>
      </w:pPr>
    </w:p>
    <w:p w:rsidR="00E376B8" w:rsidRPr="00E376B8" w:rsidRDefault="00E376B8" w:rsidP="00E376B8">
      <w:pPr>
        <w:ind w:firstLine="720"/>
        <w:jc w:val="both"/>
        <w:rPr>
          <w:rFonts w:ascii="Arial" w:hAnsi="Arial"/>
          <w:i/>
          <w:sz w:val="22"/>
          <w:szCs w:val="22"/>
        </w:rPr>
      </w:pPr>
      <w:r w:rsidRPr="00E376B8">
        <w:rPr>
          <w:rFonts w:ascii="Arial" w:hAnsi="Arial"/>
          <w:i/>
          <w:sz w:val="22"/>
          <w:szCs w:val="22"/>
        </w:rPr>
        <w:t>For more detail on PBAC’s view, see section 5 “PBAC outcome”</w:t>
      </w:r>
    </w:p>
    <w:p w:rsidR="00E376B8" w:rsidRPr="004E5F44" w:rsidRDefault="00E376B8" w:rsidP="004E5F44">
      <w:pPr>
        <w:jc w:val="both"/>
        <w:rPr>
          <w:rFonts w:ascii="Arial" w:hAnsi="Arial"/>
          <w:sz w:val="22"/>
          <w:szCs w:val="22"/>
        </w:rPr>
      </w:pPr>
    </w:p>
    <w:p w:rsidR="00D31F50" w:rsidRPr="00D31F50" w:rsidRDefault="00D31F50" w:rsidP="00D31F50">
      <w:pPr>
        <w:jc w:val="both"/>
        <w:rPr>
          <w:rFonts w:ascii="Arial" w:hAnsi="Arial"/>
          <w:sz w:val="22"/>
          <w:szCs w:val="22"/>
        </w:rPr>
      </w:pPr>
      <w:r w:rsidRPr="00882085">
        <w:rPr>
          <w:rFonts w:ascii="Arial" w:hAnsi="Arial"/>
          <w:b/>
          <w:i/>
          <w:sz w:val="22"/>
          <w:szCs w:val="22"/>
        </w:rPr>
        <w:t>Estimated PBS usage &amp; financial implications</w:t>
      </w:r>
    </w:p>
    <w:p w:rsidR="00D31F50" w:rsidRPr="004E50E5" w:rsidRDefault="00D31F50" w:rsidP="00D31F50">
      <w:pPr>
        <w:pStyle w:val="ListParagraph"/>
        <w:jc w:val="both"/>
        <w:rPr>
          <w:rFonts w:ascii="Arial" w:hAnsi="Arial"/>
          <w:sz w:val="22"/>
          <w:szCs w:val="22"/>
        </w:rPr>
      </w:pPr>
    </w:p>
    <w:p w:rsidR="00C35996" w:rsidRPr="00A1219E" w:rsidRDefault="00D31F50" w:rsidP="004E50E5">
      <w:pPr>
        <w:pStyle w:val="ListParagraph"/>
        <w:numPr>
          <w:ilvl w:val="1"/>
          <w:numId w:val="25"/>
        </w:numPr>
        <w:jc w:val="both"/>
        <w:rPr>
          <w:rFonts w:ascii="Arial" w:hAnsi="Arial"/>
          <w:sz w:val="22"/>
          <w:szCs w:val="22"/>
        </w:rPr>
      </w:pPr>
      <w:r w:rsidRPr="00A1219E">
        <w:rPr>
          <w:rFonts w:ascii="Arial" w:hAnsi="Arial"/>
          <w:sz w:val="22"/>
          <w:szCs w:val="22"/>
        </w:rPr>
        <w:t xml:space="preserve">The submission stated that the proposed amendment was highly unlikely to change the utilisation of </w:t>
      </w:r>
      <w:proofErr w:type="spellStart"/>
      <w:r w:rsidRPr="00A1219E">
        <w:rPr>
          <w:rFonts w:ascii="Arial" w:hAnsi="Arial"/>
          <w:sz w:val="22"/>
          <w:szCs w:val="22"/>
        </w:rPr>
        <w:t>dasatinib</w:t>
      </w:r>
      <w:proofErr w:type="spellEnd"/>
      <w:r w:rsidRPr="00A1219E">
        <w:rPr>
          <w:rFonts w:ascii="Arial" w:hAnsi="Arial"/>
          <w:sz w:val="22"/>
          <w:szCs w:val="22"/>
        </w:rPr>
        <w:t xml:space="preserve"> individually and of the TKIs as a class.</w:t>
      </w:r>
    </w:p>
    <w:p w:rsidR="00BB7EC3" w:rsidRPr="00882085" w:rsidRDefault="00BB7EC3" w:rsidP="00882085">
      <w:pPr>
        <w:pStyle w:val="Header"/>
        <w:tabs>
          <w:tab w:val="clear" w:pos="4153"/>
          <w:tab w:val="clear" w:pos="8306"/>
        </w:tabs>
        <w:jc w:val="both"/>
        <w:rPr>
          <w:rFonts w:ascii="Arial" w:hAnsi="Arial"/>
          <w:sz w:val="22"/>
          <w:szCs w:val="22"/>
        </w:rPr>
      </w:pPr>
    </w:p>
    <w:p w:rsidR="00326E79" w:rsidRPr="00D31F50" w:rsidRDefault="00A62C1A" w:rsidP="00D31F50">
      <w:pPr>
        <w:pStyle w:val="Header"/>
        <w:numPr>
          <w:ilvl w:val="0"/>
          <w:numId w:val="25"/>
        </w:numPr>
        <w:tabs>
          <w:tab w:val="clear" w:pos="4153"/>
          <w:tab w:val="clear" w:pos="8306"/>
        </w:tabs>
        <w:jc w:val="both"/>
        <w:rPr>
          <w:rFonts w:ascii="Arial" w:hAnsi="Arial"/>
          <w:b/>
          <w:sz w:val="22"/>
          <w:szCs w:val="22"/>
        </w:rPr>
      </w:pPr>
      <w:r w:rsidRPr="00D31F50">
        <w:rPr>
          <w:rFonts w:ascii="Arial" w:hAnsi="Arial"/>
          <w:b/>
          <w:sz w:val="22"/>
          <w:szCs w:val="22"/>
        </w:rPr>
        <w:t xml:space="preserve">PBAC </w:t>
      </w:r>
      <w:r w:rsidR="00930937" w:rsidRPr="00D31F50">
        <w:rPr>
          <w:rFonts w:ascii="Arial" w:hAnsi="Arial"/>
          <w:b/>
          <w:sz w:val="22"/>
          <w:szCs w:val="22"/>
        </w:rPr>
        <w:t>Outcome</w:t>
      </w:r>
      <w:r w:rsidR="00B43E90" w:rsidRPr="00D31F50">
        <w:rPr>
          <w:rFonts w:ascii="Arial" w:hAnsi="Arial"/>
          <w:b/>
          <w:sz w:val="22"/>
          <w:szCs w:val="22"/>
        </w:rPr>
        <w:t xml:space="preserve"> </w:t>
      </w:r>
    </w:p>
    <w:p w:rsidR="009067B7" w:rsidRPr="00882085" w:rsidRDefault="009067B7" w:rsidP="00882085">
      <w:pPr>
        <w:jc w:val="both"/>
        <w:rPr>
          <w:rFonts w:ascii="Arial" w:hAnsi="Arial"/>
          <w:b/>
          <w:sz w:val="22"/>
          <w:szCs w:val="22"/>
        </w:rPr>
      </w:pPr>
    </w:p>
    <w:p w:rsidR="005C036D" w:rsidRPr="005C036D" w:rsidRDefault="005C036D" w:rsidP="005C036D">
      <w:pPr>
        <w:pStyle w:val="ListParagraph"/>
        <w:numPr>
          <w:ilvl w:val="1"/>
          <w:numId w:val="26"/>
        </w:numPr>
        <w:ind w:left="709" w:hanging="709"/>
        <w:jc w:val="both"/>
        <w:rPr>
          <w:rFonts w:ascii="Arial" w:hAnsi="Arial"/>
          <w:sz w:val="22"/>
          <w:szCs w:val="22"/>
        </w:rPr>
      </w:pPr>
      <w:r w:rsidRPr="005C036D">
        <w:rPr>
          <w:rFonts w:ascii="Arial" w:hAnsi="Arial"/>
          <w:sz w:val="22"/>
          <w:szCs w:val="22"/>
        </w:rPr>
        <w:lastRenderedPageBreak/>
        <w:t xml:space="preserve">It was the PBAC’s view that the existing written-only Authority approval arrangements for second and subsequent </w:t>
      </w:r>
      <w:proofErr w:type="spellStart"/>
      <w:r w:rsidRPr="005C036D">
        <w:rPr>
          <w:rFonts w:ascii="Arial" w:hAnsi="Arial"/>
          <w:sz w:val="22"/>
          <w:szCs w:val="22"/>
        </w:rPr>
        <w:t>dasatinib</w:t>
      </w:r>
      <w:proofErr w:type="spellEnd"/>
      <w:r w:rsidRPr="005C036D">
        <w:rPr>
          <w:rFonts w:ascii="Arial" w:hAnsi="Arial"/>
          <w:sz w:val="22"/>
          <w:szCs w:val="22"/>
        </w:rPr>
        <w:t xml:space="preserve"> prescriptions are not a barrier to prescribing </w:t>
      </w:r>
      <w:proofErr w:type="spellStart"/>
      <w:r w:rsidRPr="005C036D">
        <w:rPr>
          <w:rFonts w:ascii="Arial" w:hAnsi="Arial"/>
          <w:sz w:val="22"/>
          <w:szCs w:val="22"/>
        </w:rPr>
        <w:t>dasatinib</w:t>
      </w:r>
      <w:proofErr w:type="spellEnd"/>
      <w:r w:rsidRPr="005C036D">
        <w:rPr>
          <w:rFonts w:ascii="Arial" w:hAnsi="Arial"/>
          <w:sz w:val="22"/>
          <w:szCs w:val="22"/>
        </w:rPr>
        <w:t xml:space="preserve">. The PBAC rejected the request to amend </w:t>
      </w:r>
      <w:proofErr w:type="spellStart"/>
      <w:r w:rsidRPr="005C036D">
        <w:rPr>
          <w:rFonts w:ascii="Arial" w:hAnsi="Arial"/>
          <w:sz w:val="22"/>
          <w:szCs w:val="22"/>
        </w:rPr>
        <w:t>dasatinib’s</w:t>
      </w:r>
      <w:proofErr w:type="spellEnd"/>
      <w:r w:rsidRPr="005C036D">
        <w:rPr>
          <w:rFonts w:ascii="Arial" w:hAnsi="Arial"/>
          <w:sz w:val="22"/>
          <w:szCs w:val="22"/>
        </w:rPr>
        <w:t xml:space="preserve"> restriction to allow Authority for second and subsequent continuing prescriptions to be sought via telephone or other non-written methods on the basis that drug utilisation data on patient persistence with drug therapy was not presented to support the request. However, the PBAC indicated that it would be prepared to reconsider the requested change if drug utilisation data provided by the sponsor and/or the Drug Utilisation Sub-Committee on patient persistence rates for </w:t>
      </w:r>
      <w:proofErr w:type="spellStart"/>
      <w:r w:rsidRPr="005C036D">
        <w:rPr>
          <w:rFonts w:ascii="Arial" w:hAnsi="Arial"/>
          <w:sz w:val="22"/>
          <w:szCs w:val="22"/>
        </w:rPr>
        <w:t>dasatinib</w:t>
      </w:r>
      <w:proofErr w:type="spellEnd"/>
      <w:r w:rsidRPr="005C036D">
        <w:rPr>
          <w:rFonts w:ascii="Arial" w:hAnsi="Arial"/>
          <w:sz w:val="22"/>
          <w:szCs w:val="22"/>
        </w:rPr>
        <w:t xml:space="preserve"> and </w:t>
      </w:r>
      <w:proofErr w:type="spellStart"/>
      <w:r w:rsidRPr="005C036D">
        <w:rPr>
          <w:rFonts w:ascii="Arial" w:hAnsi="Arial"/>
          <w:sz w:val="22"/>
          <w:szCs w:val="22"/>
        </w:rPr>
        <w:t>imatinib</w:t>
      </w:r>
      <w:proofErr w:type="spellEnd"/>
      <w:r w:rsidRPr="005C036D">
        <w:rPr>
          <w:rFonts w:ascii="Arial" w:hAnsi="Arial"/>
          <w:sz w:val="22"/>
          <w:szCs w:val="22"/>
        </w:rPr>
        <w:t xml:space="preserve"> indicate no discernable difference.</w:t>
      </w:r>
    </w:p>
    <w:p w:rsidR="005C036D" w:rsidRPr="005C036D" w:rsidRDefault="005C036D" w:rsidP="005C036D">
      <w:pPr>
        <w:pStyle w:val="ListParagraph"/>
        <w:ind w:left="709"/>
        <w:jc w:val="both"/>
        <w:rPr>
          <w:rFonts w:ascii="Arial" w:hAnsi="Arial"/>
          <w:sz w:val="22"/>
          <w:szCs w:val="22"/>
        </w:rPr>
      </w:pPr>
    </w:p>
    <w:p w:rsidR="003245BD" w:rsidRDefault="00234BA7" w:rsidP="005C036D">
      <w:pPr>
        <w:pStyle w:val="ListParagraph"/>
        <w:numPr>
          <w:ilvl w:val="1"/>
          <w:numId w:val="26"/>
        </w:numPr>
        <w:ind w:left="709" w:hanging="709"/>
        <w:jc w:val="both"/>
        <w:rPr>
          <w:rFonts w:ascii="Arial" w:hAnsi="Arial"/>
          <w:sz w:val="22"/>
          <w:szCs w:val="22"/>
        </w:rPr>
      </w:pPr>
      <w:r>
        <w:rPr>
          <w:rFonts w:ascii="Arial" w:hAnsi="Arial"/>
          <w:sz w:val="22"/>
          <w:szCs w:val="22"/>
        </w:rPr>
        <w:t>The</w:t>
      </w:r>
      <w:r w:rsidR="00BB7EC3" w:rsidRPr="00234BA7">
        <w:rPr>
          <w:rFonts w:ascii="Arial" w:hAnsi="Arial"/>
          <w:sz w:val="22"/>
          <w:szCs w:val="22"/>
        </w:rPr>
        <w:t xml:space="preserve"> PBAC </w:t>
      </w:r>
      <w:r w:rsidR="00C83892">
        <w:rPr>
          <w:rFonts w:ascii="Arial" w:hAnsi="Arial"/>
          <w:sz w:val="22"/>
          <w:szCs w:val="22"/>
        </w:rPr>
        <w:t xml:space="preserve">noted the current high PBS expenditure on TKIs </w:t>
      </w:r>
      <w:r w:rsidR="003245BD">
        <w:rPr>
          <w:rFonts w:ascii="Arial" w:hAnsi="Arial"/>
          <w:sz w:val="22"/>
          <w:szCs w:val="22"/>
        </w:rPr>
        <w:t xml:space="preserve">in CML </w:t>
      </w:r>
      <w:r w:rsidR="00C83892">
        <w:rPr>
          <w:rFonts w:ascii="Arial" w:hAnsi="Arial"/>
          <w:sz w:val="22"/>
          <w:szCs w:val="22"/>
        </w:rPr>
        <w:t xml:space="preserve">and expressed a desire to consider the request in a manner that is informed by drug utilisation data. </w:t>
      </w:r>
    </w:p>
    <w:p w:rsidR="003245BD" w:rsidRDefault="003245BD" w:rsidP="003245BD">
      <w:pPr>
        <w:pStyle w:val="ListParagraph"/>
        <w:ind w:left="709"/>
        <w:jc w:val="both"/>
        <w:rPr>
          <w:rFonts w:ascii="Arial" w:hAnsi="Arial"/>
          <w:sz w:val="22"/>
          <w:szCs w:val="22"/>
        </w:rPr>
      </w:pPr>
    </w:p>
    <w:p w:rsidR="00FA6055" w:rsidRPr="005C036D" w:rsidRDefault="00C83892" w:rsidP="005C036D">
      <w:pPr>
        <w:pStyle w:val="ListParagraph"/>
        <w:numPr>
          <w:ilvl w:val="1"/>
          <w:numId w:val="26"/>
        </w:numPr>
        <w:ind w:left="709" w:hanging="709"/>
        <w:jc w:val="both"/>
        <w:rPr>
          <w:rFonts w:ascii="Arial" w:hAnsi="Arial"/>
          <w:sz w:val="22"/>
          <w:szCs w:val="22"/>
        </w:rPr>
      </w:pPr>
      <w:r>
        <w:rPr>
          <w:rFonts w:ascii="Arial" w:hAnsi="Arial"/>
          <w:sz w:val="22"/>
          <w:szCs w:val="22"/>
        </w:rPr>
        <w:t xml:space="preserve">The PBAC </w:t>
      </w:r>
      <w:r w:rsidR="00572B19">
        <w:rPr>
          <w:rFonts w:ascii="Arial" w:hAnsi="Arial"/>
          <w:sz w:val="22"/>
          <w:szCs w:val="22"/>
        </w:rPr>
        <w:t xml:space="preserve">considered that </w:t>
      </w:r>
      <w:r w:rsidR="00B176DF">
        <w:rPr>
          <w:rFonts w:ascii="Arial" w:hAnsi="Arial"/>
          <w:sz w:val="22"/>
          <w:szCs w:val="22"/>
        </w:rPr>
        <w:t xml:space="preserve">to justify alignment of the restrictions for </w:t>
      </w:r>
      <w:proofErr w:type="spellStart"/>
      <w:r w:rsidR="003245BD">
        <w:rPr>
          <w:rFonts w:ascii="Arial" w:hAnsi="Arial"/>
          <w:sz w:val="22"/>
          <w:szCs w:val="22"/>
        </w:rPr>
        <w:t>dasatinib</w:t>
      </w:r>
      <w:proofErr w:type="spellEnd"/>
      <w:r w:rsidR="003245BD">
        <w:rPr>
          <w:rFonts w:ascii="Arial" w:hAnsi="Arial"/>
          <w:sz w:val="22"/>
          <w:szCs w:val="22"/>
        </w:rPr>
        <w:t xml:space="preserve"> </w:t>
      </w:r>
      <w:r w:rsidR="00B176DF">
        <w:rPr>
          <w:rFonts w:ascii="Arial" w:hAnsi="Arial"/>
          <w:sz w:val="22"/>
          <w:szCs w:val="22"/>
        </w:rPr>
        <w:t xml:space="preserve">and </w:t>
      </w:r>
      <w:proofErr w:type="spellStart"/>
      <w:r w:rsidR="00B176DF">
        <w:rPr>
          <w:rFonts w:ascii="Arial" w:hAnsi="Arial"/>
          <w:sz w:val="22"/>
          <w:szCs w:val="22"/>
        </w:rPr>
        <w:t>imatinib</w:t>
      </w:r>
      <w:proofErr w:type="spellEnd"/>
      <w:r w:rsidR="00B176DF">
        <w:rPr>
          <w:rFonts w:ascii="Arial" w:hAnsi="Arial"/>
          <w:sz w:val="22"/>
          <w:szCs w:val="22"/>
        </w:rPr>
        <w:t xml:space="preserve">, it </w:t>
      </w:r>
      <w:r w:rsidR="0009006D">
        <w:rPr>
          <w:rFonts w:ascii="Arial" w:hAnsi="Arial"/>
          <w:sz w:val="22"/>
          <w:szCs w:val="22"/>
        </w:rPr>
        <w:t xml:space="preserve">may </w:t>
      </w:r>
      <w:r w:rsidR="00B176DF">
        <w:rPr>
          <w:rFonts w:ascii="Arial" w:hAnsi="Arial"/>
          <w:sz w:val="22"/>
          <w:szCs w:val="22"/>
        </w:rPr>
        <w:t xml:space="preserve">be </w:t>
      </w:r>
      <w:r w:rsidR="00416BD3">
        <w:rPr>
          <w:rFonts w:ascii="Arial" w:hAnsi="Arial"/>
          <w:sz w:val="22"/>
          <w:szCs w:val="22"/>
        </w:rPr>
        <w:t>reasonable</w:t>
      </w:r>
      <w:r w:rsidR="00B176DF">
        <w:rPr>
          <w:rFonts w:ascii="Arial" w:hAnsi="Arial"/>
          <w:sz w:val="22"/>
          <w:szCs w:val="22"/>
        </w:rPr>
        <w:t xml:space="preserve"> </w:t>
      </w:r>
      <w:r w:rsidR="00FA167E">
        <w:rPr>
          <w:rFonts w:ascii="Arial" w:hAnsi="Arial"/>
          <w:sz w:val="22"/>
          <w:szCs w:val="22"/>
        </w:rPr>
        <w:t>to expect that the</w:t>
      </w:r>
      <w:r w:rsidR="00A23316">
        <w:rPr>
          <w:rFonts w:ascii="Arial" w:hAnsi="Arial"/>
          <w:sz w:val="22"/>
          <w:szCs w:val="22"/>
        </w:rPr>
        <w:t xml:space="preserve"> </w:t>
      </w:r>
      <w:r w:rsidR="00A23316" w:rsidRPr="00A23316">
        <w:rPr>
          <w:rFonts w:ascii="Arial" w:hAnsi="Arial"/>
          <w:sz w:val="22"/>
          <w:szCs w:val="22"/>
        </w:rPr>
        <w:t xml:space="preserve">pattern of usage of </w:t>
      </w:r>
      <w:proofErr w:type="spellStart"/>
      <w:r w:rsidR="00A23316" w:rsidRPr="00A23316">
        <w:rPr>
          <w:rFonts w:ascii="Arial" w:hAnsi="Arial"/>
          <w:sz w:val="22"/>
          <w:szCs w:val="22"/>
        </w:rPr>
        <w:t>dasatinib</w:t>
      </w:r>
      <w:proofErr w:type="spellEnd"/>
      <w:r w:rsidR="00A23316" w:rsidRPr="00A23316">
        <w:rPr>
          <w:rFonts w:ascii="Arial" w:hAnsi="Arial"/>
          <w:sz w:val="22"/>
          <w:szCs w:val="22"/>
        </w:rPr>
        <w:t xml:space="preserve"> should be similar to the established pattern for </w:t>
      </w:r>
      <w:proofErr w:type="spellStart"/>
      <w:r w:rsidR="00A23316" w:rsidRPr="00A23316">
        <w:rPr>
          <w:rFonts w:ascii="Arial" w:hAnsi="Arial"/>
          <w:sz w:val="22"/>
          <w:szCs w:val="22"/>
        </w:rPr>
        <w:t>imatinib</w:t>
      </w:r>
      <w:proofErr w:type="spellEnd"/>
      <w:r w:rsidR="00A23316" w:rsidRPr="00A23316">
        <w:rPr>
          <w:rFonts w:ascii="Arial" w:hAnsi="Arial"/>
          <w:sz w:val="22"/>
          <w:szCs w:val="22"/>
        </w:rPr>
        <w:t xml:space="preserve">. In particular, information about persistence on </w:t>
      </w:r>
      <w:proofErr w:type="spellStart"/>
      <w:r w:rsidR="00A23316" w:rsidRPr="00A23316">
        <w:rPr>
          <w:rFonts w:ascii="Arial" w:hAnsi="Arial"/>
          <w:sz w:val="22"/>
          <w:szCs w:val="22"/>
        </w:rPr>
        <w:t>dasatinib</w:t>
      </w:r>
      <w:proofErr w:type="spellEnd"/>
      <w:r w:rsidR="00A23316" w:rsidRPr="00A23316">
        <w:rPr>
          <w:rFonts w:ascii="Arial" w:hAnsi="Arial"/>
          <w:sz w:val="22"/>
          <w:szCs w:val="22"/>
        </w:rPr>
        <w:t xml:space="preserve">, as judged by continuing prescriptions in the years after initiation, would be informative. Confirmation that </w:t>
      </w:r>
      <w:proofErr w:type="spellStart"/>
      <w:r w:rsidR="00A23316" w:rsidRPr="00A23316">
        <w:rPr>
          <w:rFonts w:ascii="Arial" w:hAnsi="Arial"/>
          <w:sz w:val="22"/>
          <w:szCs w:val="22"/>
        </w:rPr>
        <w:t>dasatinib</w:t>
      </w:r>
      <w:proofErr w:type="spellEnd"/>
      <w:r w:rsidR="00A23316" w:rsidRPr="00A23316">
        <w:rPr>
          <w:rFonts w:ascii="Arial" w:hAnsi="Arial"/>
          <w:sz w:val="22"/>
          <w:szCs w:val="22"/>
        </w:rPr>
        <w:t xml:space="preserve"> usage in the Australian population of CML patients reflects the data from the randomised trial is also desirable</w:t>
      </w:r>
      <w:r w:rsidR="00FA167E">
        <w:rPr>
          <w:rFonts w:ascii="Arial" w:hAnsi="Arial"/>
          <w:sz w:val="22"/>
          <w:szCs w:val="22"/>
        </w:rPr>
        <w:t xml:space="preserve">. </w:t>
      </w:r>
      <w:r w:rsidR="006E793F">
        <w:rPr>
          <w:rFonts w:ascii="Arial" w:hAnsi="Arial"/>
          <w:sz w:val="22"/>
          <w:szCs w:val="22"/>
        </w:rPr>
        <w:t xml:space="preserve">The PBAC noted that no drug utilisation data had been presented in the submission and considered that such data </w:t>
      </w:r>
      <w:r w:rsidR="007B2A16">
        <w:rPr>
          <w:rFonts w:ascii="Arial" w:hAnsi="Arial"/>
          <w:sz w:val="22"/>
          <w:szCs w:val="22"/>
        </w:rPr>
        <w:t xml:space="preserve">could </w:t>
      </w:r>
      <w:r w:rsidR="00344AD6">
        <w:rPr>
          <w:rFonts w:ascii="Arial" w:hAnsi="Arial"/>
          <w:sz w:val="22"/>
          <w:szCs w:val="22"/>
        </w:rPr>
        <w:t xml:space="preserve">provide </w:t>
      </w:r>
      <w:r w:rsidR="006E793F">
        <w:rPr>
          <w:rFonts w:ascii="Arial" w:hAnsi="Arial"/>
          <w:sz w:val="22"/>
          <w:szCs w:val="22"/>
        </w:rPr>
        <w:t xml:space="preserve">reassurance that there are no differences </w:t>
      </w:r>
      <w:r w:rsidR="00FA167E">
        <w:rPr>
          <w:rFonts w:ascii="Arial" w:hAnsi="Arial"/>
          <w:sz w:val="22"/>
          <w:szCs w:val="22"/>
        </w:rPr>
        <w:t xml:space="preserve">in terms of utilisation in clinical practice </w:t>
      </w:r>
      <w:r w:rsidR="006E793F">
        <w:rPr>
          <w:rFonts w:ascii="Arial" w:hAnsi="Arial"/>
          <w:sz w:val="22"/>
          <w:szCs w:val="22"/>
        </w:rPr>
        <w:t>between the TKIs in CML.</w:t>
      </w:r>
    </w:p>
    <w:p w:rsidR="00BB7EC3" w:rsidRPr="00234BA7" w:rsidRDefault="00BB7EC3" w:rsidP="00234BA7">
      <w:pPr>
        <w:rPr>
          <w:rFonts w:ascii="Arial" w:hAnsi="Arial"/>
          <w:sz w:val="22"/>
          <w:szCs w:val="22"/>
        </w:rPr>
      </w:pPr>
    </w:p>
    <w:p w:rsidR="005A3223" w:rsidRPr="005A3223" w:rsidRDefault="00BB7EC3" w:rsidP="005A3223">
      <w:pPr>
        <w:pStyle w:val="ListParagraph"/>
        <w:numPr>
          <w:ilvl w:val="1"/>
          <w:numId w:val="26"/>
        </w:numPr>
        <w:ind w:left="709" w:hanging="709"/>
        <w:jc w:val="both"/>
        <w:rPr>
          <w:rFonts w:ascii="Arial" w:hAnsi="Arial"/>
          <w:sz w:val="22"/>
          <w:szCs w:val="22"/>
        </w:rPr>
      </w:pPr>
      <w:r>
        <w:rPr>
          <w:rFonts w:ascii="Arial" w:hAnsi="Arial"/>
          <w:sz w:val="22"/>
          <w:szCs w:val="22"/>
        </w:rPr>
        <w:t>The PBA</w:t>
      </w:r>
      <w:r w:rsidR="00183D79">
        <w:rPr>
          <w:rFonts w:ascii="Arial" w:hAnsi="Arial"/>
          <w:sz w:val="22"/>
          <w:szCs w:val="22"/>
        </w:rPr>
        <w:t xml:space="preserve">C noted that this submission </w:t>
      </w:r>
      <w:r>
        <w:rPr>
          <w:rFonts w:ascii="Arial" w:hAnsi="Arial"/>
          <w:sz w:val="22"/>
          <w:szCs w:val="22"/>
        </w:rPr>
        <w:t xml:space="preserve">is not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r w:rsidR="00183D79">
        <w:rPr>
          <w:rFonts w:ascii="Arial" w:hAnsi="Arial"/>
          <w:sz w:val="22"/>
          <w:szCs w:val="22"/>
        </w:rPr>
        <w:t xml:space="preserve"> as it did not seek to list </w:t>
      </w:r>
      <w:proofErr w:type="spellStart"/>
      <w:r w:rsidR="00183D79">
        <w:rPr>
          <w:rFonts w:ascii="Arial" w:hAnsi="Arial"/>
          <w:sz w:val="22"/>
          <w:szCs w:val="22"/>
        </w:rPr>
        <w:t>dasatinib</w:t>
      </w:r>
      <w:proofErr w:type="spellEnd"/>
      <w:r w:rsidR="00183D79">
        <w:rPr>
          <w:rFonts w:ascii="Arial" w:hAnsi="Arial"/>
          <w:sz w:val="22"/>
          <w:szCs w:val="22"/>
        </w:rPr>
        <w:t xml:space="preserve"> for:</w:t>
      </w:r>
    </w:p>
    <w:p w:rsidR="006906DB" w:rsidRPr="005A3223" w:rsidRDefault="005A3223" w:rsidP="00572B19">
      <w:pPr>
        <w:pStyle w:val="ListParagraph"/>
        <w:numPr>
          <w:ilvl w:val="0"/>
          <w:numId w:val="35"/>
        </w:numPr>
        <w:ind w:left="993" w:hanging="284"/>
        <w:jc w:val="both"/>
        <w:rPr>
          <w:rFonts w:ascii="Arial" w:hAnsi="Arial"/>
          <w:sz w:val="22"/>
          <w:szCs w:val="22"/>
        </w:rPr>
      </w:pPr>
      <w:r w:rsidRPr="005A3223">
        <w:rPr>
          <w:rFonts w:ascii="Arial" w:hAnsi="Arial"/>
          <w:bCs/>
          <w:sz w:val="22"/>
          <w:szCs w:val="22"/>
        </w:rPr>
        <w:t xml:space="preserve">an entirely different disease or condition </w:t>
      </w:r>
      <w:r w:rsidRPr="005A3223">
        <w:rPr>
          <w:rFonts w:ascii="Arial" w:hAnsi="Arial"/>
          <w:sz w:val="22"/>
          <w:szCs w:val="22"/>
        </w:rPr>
        <w:t xml:space="preserve">than </w:t>
      </w:r>
      <w:r w:rsidR="00183D79">
        <w:rPr>
          <w:rFonts w:ascii="Arial" w:hAnsi="Arial"/>
          <w:sz w:val="22"/>
          <w:szCs w:val="22"/>
        </w:rPr>
        <w:t xml:space="preserve">CML for which </w:t>
      </w:r>
      <w:proofErr w:type="spellStart"/>
      <w:r w:rsidR="00183D79">
        <w:rPr>
          <w:rFonts w:ascii="Arial" w:hAnsi="Arial"/>
          <w:sz w:val="22"/>
          <w:szCs w:val="22"/>
        </w:rPr>
        <w:t>dasatinib</w:t>
      </w:r>
      <w:proofErr w:type="spellEnd"/>
      <w:r w:rsidRPr="005A3223">
        <w:rPr>
          <w:rFonts w:ascii="Arial" w:hAnsi="Arial"/>
          <w:sz w:val="22"/>
          <w:szCs w:val="22"/>
        </w:rPr>
        <w:t xml:space="preserve"> is already subsidised;</w:t>
      </w:r>
      <w:r w:rsidR="00183D79">
        <w:rPr>
          <w:rFonts w:ascii="Arial" w:hAnsi="Arial"/>
          <w:sz w:val="22"/>
          <w:szCs w:val="22"/>
        </w:rPr>
        <w:t xml:space="preserve"> or</w:t>
      </w:r>
    </w:p>
    <w:p w:rsidR="005A3223" w:rsidRPr="005A3223" w:rsidRDefault="005A3223" w:rsidP="00572B19">
      <w:pPr>
        <w:pStyle w:val="ListParagraph"/>
        <w:numPr>
          <w:ilvl w:val="0"/>
          <w:numId w:val="35"/>
        </w:numPr>
        <w:ind w:left="993" w:hanging="284"/>
        <w:jc w:val="both"/>
        <w:rPr>
          <w:rFonts w:ascii="Arial" w:hAnsi="Arial"/>
          <w:sz w:val="22"/>
          <w:szCs w:val="22"/>
        </w:rPr>
      </w:pPr>
      <w:r w:rsidRPr="005A3223">
        <w:rPr>
          <w:rFonts w:ascii="Arial" w:hAnsi="Arial"/>
          <w:bCs/>
          <w:sz w:val="22"/>
          <w:szCs w:val="22"/>
        </w:rPr>
        <w:t xml:space="preserve">an objectively different subtype </w:t>
      </w:r>
      <w:r w:rsidRPr="005A3223">
        <w:rPr>
          <w:rFonts w:ascii="Arial" w:hAnsi="Arial"/>
          <w:sz w:val="22"/>
          <w:szCs w:val="22"/>
        </w:rPr>
        <w:t xml:space="preserve">of </w:t>
      </w:r>
      <w:r w:rsidR="00183D79">
        <w:rPr>
          <w:rFonts w:ascii="Arial" w:hAnsi="Arial"/>
          <w:sz w:val="22"/>
          <w:szCs w:val="22"/>
        </w:rPr>
        <w:t>CML; or</w:t>
      </w:r>
    </w:p>
    <w:p w:rsidR="00DF26A7" w:rsidRPr="00E376B8" w:rsidRDefault="00183D79" w:rsidP="00882085">
      <w:pPr>
        <w:pStyle w:val="ListParagraph"/>
        <w:numPr>
          <w:ilvl w:val="0"/>
          <w:numId w:val="35"/>
        </w:numPr>
        <w:ind w:left="993" w:hanging="284"/>
        <w:jc w:val="both"/>
        <w:rPr>
          <w:rFonts w:ascii="Arial" w:hAnsi="Arial"/>
          <w:bCs/>
          <w:sz w:val="22"/>
          <w:szCs w:val="22"/>
        </w:rPr>
      </w:pPr>
      <w:r>
        <w:rPr>
          <w:rFonts w:ascii="Arial" w:hAnsi="Arial"/>
          <w:bCs/>
          <w:sz w:val="22"/>
          <w:szCs w:val="22"/>
        </w:rPr>
        <w:t>CML</w:t>
      </w:r>
      <w:r w:rsidR="005A3223" w:rsidRPr="005A3223">
        <w:rPr>
          <w:rFonts w:ascii="Arial" w:hAnsi="Arial"/>
          <w:bCs/>
          <w:sz w:val="22"/>
          <w:szCs w:val="22"/>
        </w:rPr>
        <w:t xml:space="preserve"> but where treatment is target</w:t>
      </w:r>
      <w:r>
        <w:rPr>
          <w:rFonts w:ascii="Arial" w:hAnsi="Arial"/>
          <w:bCs/>
          <w:sz w:val="22"/>
          <w:szCs w:val="22"/>
        </w:rPr>
        <w:t>ed</w:t>
      </w:r>
      <w:r w:rsidR="005A3223" w:rsidRPr="005A3223">
        <w:rPr>
          <w:rFonts w:ascii="Arial" w:hAnsi="Arial"/>
          <w:bCs/>
          <w:sz w:val="22"/>
          <w:szCs w:val="22"/>
        </w:rPr>
        <w:t xml:space="preserve"> </w:t>
      </w:r>
      <w:r>
        <w:rPr>
          <w:rFonts w:ascii="Arial" w:hAnsi="Arial"/>
          <w:bCs/>
          <w:sz w:val="22"/>
          <w:szCs w:val="22"/>
        </w:rPr>
        <w:t xml:space="preserve">at </w:t>
      </w:r>
      <w:r w:rsidR="005A3223" w:rsidRPr="005A3223">
        <w:rPr>
          <w:rFonts w:ascii="Arial" w:hAnsi="Arial"/>
          <w:bCs/>
          <w:sz w:val="22"/>
          <w:szCs w:val="22"/>
        </w:rPr>
        <w:t xml:space="preserve">a different population or a different stage of </w:t>
      </w:r>
      <w:r>
        <w:rPr>
          <w:rFonts w:ascii="Arial" w:hAnsi="Arial"/>
          <w:bCs/>
          <w:sz w:val="22"/>
          <w:szCs w:val="22"/>
        </w:rPr>
        <w:t>CML.</w:t>
      </w:r>
    </w:p>
    <w:p w:rsidR="00A30ECD" w:rsidRPr="00882085" w:rsidRDefault="00A30ECD" w:rsidP="00882085">
      <w:pPr>
        <w:jc w:val="both"/>
        <w:rPr>
          <w:rFonts w:ascii="Arial" w:hAnsi="Arial"/>
          <w:sz w:val="22"/>
          <w:szCs w:val="22"/>
        </w:rPr>
      </w:pPr>
    </w:p>
    <w:p w:rsidR="00E376B8" w:rsidRDefault="009C703C" w:rsidP="00882085">
      <w:pPr>
        <w:jc w:val="both"/>
        <w:rPr>
          <w:rFonts w:ascii="Arial" w:hAnsi="Arial"/>
          <w:b/>
          <w:sz w:val="22"/>
          <w:szCs w:val="22"/>
        </w:rPr>
      </w:pPr>
      <w:r w:rsidRPr="00882085">
        <w:rPr>
          <w:rFonts w:ascii="Arial" w:hAnsi="Arial"/>
          <w:b/>
          <w:sz w:val="22"/>
          <w:szCs w:val="22"/>
        </w:rPr>
        <w:t>Outcome:</w:t>
      </w:r>
    </w:p>
    <w:p w:rsidR="00127785" w:rsidRDefault="00183D79" w:rsidP="00882085">
      <w:pPr>
        <w:jc w:val="both"/>
        <w:rPr>
          <w:rFonts w:ascii="Arial" w:hAnsi="Arial"/>
          <w:sz w:val="22"/>
          <w:szCs w:val="22"/>
        </w:rPr>
      </w:pPr>
      <w:r>
        <w:rPr>
          <w:rFonts w:ascii="Arial" w:hAnsi="Arial"/>
          <w:sz w:val="22"/>
          <w:szCs w:val="22"/>
        </w:rPr>
        <w:t>Rejected</w:t>
      </w:r>
    </w:p>
    <w:p w:rsidR="00696B11" w:rsidRDefault="00696B11" w:rsidP="00882085">
      <w:pPr>
        <w:jc w:val="both"/>
        <w:rPr>
          <w:rFonts w:ascii="Arial" w:hAnsi="Arial"/>
          <w:sz w:val="22"/>
          <w:szCs w:val="22"/>
        </w:rPr>
      </w:pPr>
    </w:p>
    <w:p w:rsidR="00696B11" w:rsidRDefault="00696B11" w:rsidP="00696B11">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696B11" w:rsidRPr="00D4420F" w:rsidRDefault="00696B11" w:rsidP="00696B11">
      <w:pPr>
        <w:pStyle w:val="ListParagraph"/>
        <w:jc w:val="both"/>
        <w:rPr>
          <w:rFonts w:ascii="Arial" w:hAnsi="Arial" w:cs="Arial"/>
          <w:b/>
          <w:sz w:val="22"/>
        </w:rPr>
      </w:pPr>
    </w:p>
    <w:p w:rsidR="00696B11" w:rsidRPr="00D4420F" w:rsidRDefault="00696B11" w:rsidP="00696B11">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96B11" w:rsidRPr="00D4420F" w:rsidRDefault="00696B11" w:rsidP="00696B11">
      <w:pPr>
        <w:jc w:val="both"/>
        <w:rPr>
          <w:rFonts w:ascii="Arial" w:hAnsi="Arial" w:cs="Arial"/>
          <w:sz w:val="22"/>
        </w:rPr>
      </w:pPr>
    </w:p>
    <w:p w:rsidR="00696B11" w:rsidRPr="00D4420F" w:rsidRDefault="00696B11" w:rsidP="00696B11">
      <w:pPr>
        <w:pStyle w:val="ListParagraph"/>
        <w:numPr>
          <w:ilvl w:val="0"/>
          <w:numId w:val="25"/>
        </w:numPr>
        <w:jc w:val="both"/>
        <w:rPr>
          <w:rFonts w:ascii="Arial" w:hAnsi="Arial" w:cs="Arial"/>
          <w:b/>
          <w:sz w:val="22"/>
        </w:rPr>
      </w:pPr>
      <w:r w:rsidRPr="00D4420F">
        <w:rPr>
          <w:rFonts w:ascii="Arial" w:hAnsi="Arial" w:cs="Arial"/>
          <w:b/>
          <w:sz w:val="22"/>
        </w:rPr>
        <w:t>Sponsor’s Comment</w:t>
      </w:r>
    </w:p>
    <w:p w:rsidR="00696B11" w:rsidRPr="00E376B8" w:rsidRDefault="00AC5850" w:rsidP="00882085">
      <w:pPr>
        <w:jc w:val="both"/>
        <w:rPr>
          <w:rFonts w:ascii="Arial" w:hAnsi="Arial"/>
          <w:b/>
          <w:sz w:val="22"/>
          <w:szCs w:val="22"/>
        </w:rPr>
      </w:pPr>
      <w:r>
        <w:rPr>
          <w:rFonts w:ascii="Arial" w:hAnsi="Arial"/>
          <w:b/>
          <w:sz w:val="22"/>
          <w:szCs w:val="22"/>
        </w:rPr>
        <w:tab/>
      </w:r>
      <w:r w:rsidRPr="00B66F87">
        <w:rPr>
          <w:rFonts w:ascii="Arial" w:hAnsi="Arial"/>
          <w:sz w:val="22"/>
          <w:szCs w:val="22"/>
        </w:rPr>
        <w:t>The sponsor disagrees with the PBAC decision.</w:t>
      </w:r>
    </w:p>
    <w:sectPr w:rsidR="00696B11" w:rsidRPr="00E376B8"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8E" w:rsidRDefault="006C708E">
      <w:r>
        <w:separator/>
      </w:r>
    </w:p>
  </w:endnote>
  <w:endnote w:type="continuationSeparator" w:id="0">
    <w:p w:rsidR="006C708E" w:rsidRDefault="006C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30ECD" w:rsidRDefault="00A30ECD">
        <w:pPr>
          <w:pStyle w:val="Footer"/>
          <w:jc w:val="center"/>
        </w:pPr>
      </w:p>
      <w:p w:rsidR="00651169" w:rsidRPr="00651169" w:rsidRDefault="0065116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A1219E">
          <w:rPr>
            <w:rFonts w:ascii="Arial" w:hAnsi="Arial" w:cs="Arial"/>
            <w:noProof/>
            <w:sz w:val="20"/>
            <w:szCs w:val="20"/>
          </w:rPr>
          <w:t>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bookmarkStart w:id="0" w:name="_GoBack" w:colFirst="0" w:colLast="3"/>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bookmarkEnd w:id="0"/>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8E" w:rsidRDefault="006C708E">
      <w:r>
        <w:separator/>
      </w:r>
    </w:p>
  </w:footnote>
  <w:footnote w:type="continuationSeparator" w:id="0">
    <w:p w:rsidR="006C708E" w:rsidRDefault="006C7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11" w:rsidRPr="00DF217D" w:rsidRDefault="00696B11" w:rsidP="00696B11">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6D6EC7" w:rsidRPr="00DF217D" w:rsidRDefault="006D6EC7"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31C44ED"/>
    <w:multiLevelType w:val="hybridMultilevel"/>
    <w:tmpl w:val="12BAD4C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C1B79C3"/>
    <w:multiLevelType w:val="hybridMultilevel"/>
    <w:tmpl w:val="14FE91F4"/>
    <w:lvl w:ilvl="0" w:tplc="C838C876">
      <w:start w:val="1"/>
      <w:numFmt w:val="bullet"/>
      <w:lvlText w:val="–"/>
      <w:lvlJc w:val="left"/>
      <w:pPr>
        <w:tabs>
          <w:tab w:val="num" w:pos="720"/>
        </w:tabs>
        <w:ind w:left="720" w:hanging="360"/>
      </w:pPr>
      <w:rPr>
        <w:rFonts w:ascii="Arial" w:hAnsi="Arial" w:hint="default"/>
      </w:rPr>
    </w:lvl>
    <w:lvl w:ilvl="1" w:tplc="EF98507A">
      <w:start w:val="1"/>
      <w:numFmt w:val="bullet"/>
      <w:lvlText w:val="–"/>
      <w:lvlJc w:val="left"/>
      <w:pPr>
        <w:tabs>
          <w:tab w:val="num" w:pos="1440"/>
        </w:tabs>
        <w:ind w:left="1440" w:hanging="360"/>
      </w:pPr>
      <w:rPr>
        <w:rFonts w:ascii="Arial" w:hAnsi="Arial" w:hint="default"/>
      </w:rPr>
    </w:lvl>
    <w:lvl w:ilvl="2" w:tplc="AC560594" w:tentative="1">
      <w:start w:val="1"/>
      <w:numFmt w:val="bullet"/>
      <w:lvlText w:val="–"/>
      <w:lvlJc w:val="left"/>
      <w:pPr>
        <w:tabs>
          <w:tab w:val="num" w:pos="2160"/>
        </w:tabs>
        <w:ind w:left="2160" w:hanging="360"/>
      </w:pPr>
      <w:rPr>
        <w:rFonts w:ascii="Arial" w:hAnsi="Arial" w:hint="default"/>
      </w:rPr>
    </w:lvl>
    <w:lvl w:ilvl="3" w:tplc="5B60F29A" w:tentative="1">
      <w:start w:val="1"/>
      <w:numFmt w:val="bullet"/>
      <w:lvlText w:val="–"/>
      <w:lvlJc w:val="left"/>
      <w:pPr>
        <w:tabs>
          <w:tab w:val="num" w:pos="2880"/>
        </w:tabs>
        <w:ind w:left="2880" w:hanging="360"/>
      </w:pPr>
      <w:rPr>
        <w:rFonts w:ascii="Arial" w:hAnsi="Arial" w:hint="default"/>
      </w:rPr>
    </w:lvl>
    <w:lvl w:ilvl="4" w:tplc="A75CF942" w:tentative="1">
      <w:start w:val="1"/>
      <w:numFmt w:val="bullet"/>
      <w:lvlText w:val="–"/>
      <w:lvlJc w:val="left"/>
      <w:pPr>
        <w:tabs>
          <w:tab w:val="num" w:pos="3600"/>
        </w:tabs>
        <w:ind w:left="3600" w:hanging="360"/>
      </w:pPr>
      <w:rPr>
        <w:rFonts w:ascii="Arial" w:hAnsi="Arial" w:hint="default"/>
      </w:rPr>
    </w:lvl>
    <w:lvl w:ilvl="5" w:tplc="0420BAB0" w:tentative="1">
      <w:start w:val="1"/>
      <w:numFmt w:val="bullet"/>
      <w:lvlText w:val="–"/>
      <w:lvlJc w:val="left"/>
      <w:pPr>
        <w:tabs>
          <w:tab w:val="num" w:pos="4320"/>
        </w:tabs>
        <w:ind w:left="4320" w:hanging="360"/>
      </w:pPr>
      <w:rPr>
        <w:rFonts w:ascii="Arial" w:hAnsi="Arial" w:hint="default"/>
      </w:rPr>
    </w:lvl>
    <w:lvl w:ilvl="6" w:tplc="8DA8F96E" w:tentative="1">
      <w:start w:val="1"/>
      <w:numFmt w:val="bullet"/>
      <w:lvlText w:val="–"/>
      <w:lvlJc w:val="left"/>
      <w:pPr>
        <w:tabs>
          <w:tab w:val="num" w:pos="5040"/>
        </w:tabs>
        <w:ind w:left="5040" w:hanging="360"/>
      </w:pPr>
      <w:rPr>
        <w:rFonts w:ascii="Arial" w:hAnsi="Arial" w:hint="default"/>
      </w:rPr>
    </w:lvl>
    <w:lvl w:ilvl="7" w:tplc="96E66F9E" w:tentative="1">
      <w:start w:val="1"/>
      <w:numFmt w:val="bullet"/>
      <w:lvlText w:val="–"/>
      <w:lvlJc w:val="left"/>
      <w:pPr>
        <w:tabs>
          <w:tab w:val="num" w:pos="5760"/>
        </w:tabs>
        <w:ind w:left="5760" w:hanging="360"/>
      </w:pPr>
      <w:rPr>
        <w:rFonts w:ascii="Arial" w:hAnsi="Arial" w:hint="default"/>
      </w:rPr>
    </w:lvl>
    <w:lvl w:ilvl="8" w:tplc="936C3312" w:tentative="1">
      <w:start w:val="1"/>
      <w:numFmt w:val="bullet"/>
      <w:lvlText w:val="–"/>
      <w:lvlJc w:val="left"/>
      <w:pPr>
        <w:tabs>
          <w:tab w:val="num" w:pos="6480"/>
        </w:tabs>
        <w:ind w:left="6480" w:hanging="360"/>
      </w:pPr>
      <w:rPr>
        <w:rFonts w:ascii="Arial" w:hAnsi="Arial"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C061B25"/>
    <w:multiLevelType w:val="hybridMultilevel"/>
    <w:tmpl w:val="68588828"/>
    <w:lvl w:ilvl="0" w:tplc="82B4C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D551AC"/>
    <w:multiLevelType w:val="hybridMultilevel"/>
    <w:tmpl w:val="68588828"/>
    <w:lvl w:ilvl="0" w:tplc="82B4C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763B07"/>
    <w:multiLevelType w:val="hybridMultilevel"/>
    <w:tmpl w:val="8522D4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5CAA7538"/>
    <w:lvl w:ilvl="0">
      <w:start w:val="6"/>
      <w:numFmt w:val="decimal"/>
      <w:lvlText w:val="%1"/>
      <w:lvlJc w:val="left"/>
      <w:pPr>
        <w:ind w:left="360" w:hanging="360"/>
      </w:pPr>
      <w:rPr>
        <w:rFonts w:hint="default"/>
        <w:i w:val="0"/>
      </w:rPr>
    </w:lvl>
    <w:lvl w:ilvl="1">
      <w:start w:val="1"/>
      <w:numFmt w:val="decimal"/>
      <w:lvlText w:val="5.%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0BA0B23"/>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93A253D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4"/>
  </w:num>
  <w:num w:numId="3">
    <w:abstractNumId w:val="19"/>
  </w:num>
  <w:num w:numId="4">
    <w:abstractNumId w:val="0"/>
  </w:num>
  <w:num w:numId="5">
    <w:abstractNumId w:val="4"/>
  </w:num>
  <w:num w:numId="6">
    <w:abstractNumId w:val="18"/>
  </w:num>
  <w:num w:numId="7">
    <w:abstractNumId w:val="16"/>
  </w:num>
  <w:num w:numId="8">
    <w:abstractNumId w:val="3"/>
  </w:num>
  <w:num w:numId="9">
    <w:abstractNumId w:val="7"/>
  </w:num>
  <w:num w:numId="10">
    <w:abstractNumId w:val="32"/>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5"/>
  </w:num>
  <w:num w:numId="15">
    <w:abstractNumId w:val="27"/>
  </w:num>
  <w:num w:numId="16">
    <w:abstractNumId w:val="23"/>
  </w:num>
  <w:num w:numId="17">
    <w:abstractNumId w:val="37"/>
  </w:num>
  <w:num w:numId="18">
    <w:abstractNumId w:val="12"/>
  </w:num>
  <w:num w:numId="19">
    <w:abstractNumId w:val="17"/>
  </w:num>
  <w:num w:numId="20">
    <w:abstractNumId w:val="2"/>
  </w:num>
  <w:num w:numId="21">
    <w:abstractNumId w:val="31"/>
  </w:num>
  <w:num w:numId="22">
    <w:abstractNumId w:val="33"/>
  </w:num>
  <w:num w:numId="23">
    <w:abstractNumId w:val="39"/>
  </w:num>
  <w:num w:numId="24">
    <w:abstractNumId w:val="15"/>
  </w:num>
  <w:num w:numId="25">
    <w:abstractNumId w:val="38"/>
  </w:num>
  <w:num w:numId="26">
    <w:abstractNumId w:val="28"/>
  </w:num>
  <w:num w:numId="27">
    <w:abstractNumId w:val="11"/>
  </w:num>
  <w:num w:numId="28">
    <w:abstractNumId w:val="5"/>
  </w:num>
  <w:num w:numId="29">
    <w:abstractNumId w:val="25"/>
  </w:num>
  <w:num w:numId="30">
    <w:abstractNumId w:val="1"/>
  </w:num>
  <w:num w:numId="31">
    <w:abstractNumId w:val="26"/>
  </w:num>
  <w:num w:numId="32">
    <w:abstractNumId w:val="36"/>
  </w:num>
  <w:num w:numId="33">
    <w:abstractNumId w:val="24"/>
  </w:num>
  <w:num w:numId="34">
    <w:abstractNumId w:val="40"/>
  </w:num>
  <w:num w:numId="35">
    <w:abstractNumId w:val="10"/>
  </w:num>
  <w:num w:numId="36">
    <w:abstractNumId w:val="22"/>
  </w:num>
  <w:num w:numId="37">
    <w:abstractNumId w:val="29"/>
  </w:num>
  <w:num w:numId="38">
    <w:abstractNumId w:val="6"/>
  </w:num>
  <w:num w:numId="39">
    <w:abstractNumId w:val="21"/>
  </w:num>
  <w:num w:numId="40">
    <w:abstractNumId w:val="30"/>
  </w:num>
  <w:num w:numId="41">
    <w:abstractNumId w:val="13"/>
  </w:num>
  <w:num w:numId="42">
    <w:abstractNumId w:val="14"/>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117"/>
    <w:rsid w:val="0002464A"/>
    <w:rsid w:val="0003106B"/>
    <w:rsid w:val="000421A1"/>
    <w:rsid w:val="0004240E"/>
    <w:rsid w:val="00045E26"/>
    <w:rsid w:val="000514B5"/>
    <w:rsid w:val="00060E64"/>
    <w:rsid w:val="00066755"/>
    <w:rsid w:val="0009006D"/>
    <w:rsid w:val="000969AD"/>
    <w:rsid w:val="000A3821"/>
    <w:rsid w:val="000B558D"/>
    <w:rsid w:val="000C6996"/>
    <w:rsid w:val="000D23BA"/>
    <w:rsid w:val="000E681E"/>
    <w:rsid w:val="000F4E6A"/>
    <w:rsid w:val="00101CB6"/>
    <w:rsid w:val="001107BF"/>
    <w:rsid w:val="0012417C"/>
    <w:rsid w:val="00127785"/>
    <w:rsid w:val="00142395"/>
    <w:rsid w:val="00142714"/>
    <w:rsid w:val="001452ED"/>
    <w:rsid w:val="001548B8"/>
    <w:rsid w:val="001830CE"/>
    <w:rsid w:val="00183D79"/>
    <w:rsid w:val="00196307"/>
    <w:rsid w:val="001B017F"/>
    <w:rsid w:val="001B5129"/>
    <w:rsid w:val="001C1195"/>
    <w:rsid w:val="00213CFB"/>
    <w:rsid w:val="00221B87"/>
    <w:rsid w:val="00234BA7"/>
    <w:rsid w:val="00271BA1"/>
    <w:rsid w:val="00277505"/>
    <w:rsid w:val="0028061E"/>
    <w:rsid w:val="0029458F"/>
    <w:rsid w:val="002A104C"/>
    <w:rsid w:val="002A4960"/>
    <w:rsid w:val="002A75CC"/>
    <w:rsid w:val="002B1AE6"/>
    <w:rsid w:val="002B30F8"/>
    <w:rsid w:val="002C212F"/>
    <w:rsid w:val="002C5CB5"/>
    <w:rsid w:val="002E72CA"/>
    <w:rsid w:val="003245BD"/>
    <w:rsid w:val="00326E79"/>
    <w:rsid w:val="003367EF"/>
    <w:rsid w:val="003376CF"/>
    <w:rsid w:val="00341AE4"/>
    <w:rsid w:val="00344AD6"/>
    <w:rsid w:val="003820D9"/>
    <w:rsid w:val="003A2722"/>
    <w:rsid w:val="003A5B4A"/>
    <w:rsid w:val="003B23C5"/>
    <w:rsid w:val="003B2411"/>
    <w:rsid w:val="003B2A75"/>
    <w:rsid w:val="003D4AC4"/>
    <w:rsid w:val="003D63B7"/>
    <w:rsid w:val="003E468B"/>
    <w:rsid w:val="003F5C8C"/>
    <w:rsid w:val="00416BD3"/>
    <w:rsid w:val="004465BD"/>
    <w:rsid w:val="00466ADA"/>
    <w:rsid w:val="00485940"/>
    <w:rsid w:val="004B5640"/>
    <w:rsid w:val="004C1BD7"/>
    <w:rsid w:val="004C691D"/>
    <w:rsid w:val="004E50E5"/>
    <w:rsid w:val="004E5F44"/>
    <w:rsid w:val="004E692D"/>
    <w:rsid w:val="00514CD7"/>
    <w:rsid w:val="00526580"/>
    <w:rsid w:val="00527EBC"/>
    <w:rsid w:val="00534E2E"/>
    <w:rsid w:val="00544552"/>
    <w:rsid w:val="00572B19"/>
    <w:rsid w:val="00581932"/>
    <w:rsid w:val="005963BB"/>
    <w:rsid w:val="005A3173"/>
    <w:rsid w:val="005A3223"/>
    <w:rsid w:val="005A3DA3"/>
    <w:rsid w:val="005A52C4"/>
    <w:rsid w:val="005C036D"/>
    <w:rsid w:val="005C634A"/>
    <w:rsid w:val="005D03AB"/>
    <w:rsid w:val="005D5017"/>
    <w:rsid w:val="00601A91"/>
    <w:rsid w:val="00602BA3"/>
    <w:rsid w:val="00607032"/>
    <w:rsid w:val="00614159"/>
    <w:rsid w:val="00617C00"/>
    <w:rsid w:val="006263BF"/>
    <w:rsid w:val="00630A2C"/>
    <w:rsid w:val="00640576"/>
    <w:rsid w:val="0065080D"/>
    <w:rsid w:val="00651169"/>
    <w:rsid w:val="00653D69"/>
    <w:rsid w:val="00670A76"/>
    <w:rsid w:val="006711AA"/>
    <w:rsid w:val="00675622"/>
    <w:rsid w:val="006906DB"/>
    <w:rsid w:val="00696B11"/>
    <w:rsid w:val="006A12A5"/>
    <w:rsid w:val="006B0D94"/>
    <w:rsid w:val="006B485D"/>
    <w:rsid w:val="006C708E"/>
    <w:rsid w:val="006D6EC7"/>
    <w:rsid w:val="006E793F"/>
    <w:rsid w:val="006F5125"/>
    <w:rsid w:val="007174BB"/>
    <w:rsid w:val="007753C2"/>
    <w:rsid w:val="007838B8"/>
    <w:rsid w:val="00784D3E"/>
    <w:rsid w:val="007B2A16"/>
    <w:rsid w:val="007C0F57"/>
    <w:rsid w:val="007C40B6"/>
    <w:rsid w:val="007C729F"/>
    <w:rsid w:val="007E1D28"/>
    <w:rsid w:val="007F2641"/>
    <w:rsid w:val="007F7C36"/>
    <w:rsid w:val="00806796"/>
    <w:rsid w:val="0083578D"/>
    <w:rsid w:val="00856DDD"/>
    <w:rsid w:val="00863E68"/>
    <w:rsid w:val="00880270"/>
    <w:rsid w:val="00882085"/>
    <w:rsid w:val="00883188"/>
    <w:rsid w:val="00897D58"/>
    <w:rsid w:val="008A4937"/>
    <w:rsid w:val="008D3C82"/>
    <w:rsid w:val="008D447E"/>
    <w:rsid w:val="008E3680"/>
    <w:rsid w:val="008E5870"/>
    <w:rsid w:val="008F1434"/>
    <w:rsid w:val="008F7355"/>
    <w:rsid w:val="009067B7"/>
    <w:rsid w:val="00930937"/>
    <w:rsid w:val="00933E6C"/>
    <w:rsid w:val="00942160"/>
    <w:rsid w:val="009602C5"/>
    <w:rsid w:val="00974C21"/>
    <w:rsid w:val="009C703C"/>
    <w:rsid w:val="009D3CAA"/>
    <w:rsid w:val="009F5B65"/>
    <w:rsid w:val="009F5F2E"/>
    <w:rsid w:val="00A06225"/>
    <w:rsid w:val="00A1219E"/>
    <w:rsid w:val="00A23316"/>
    <w:rsid w:val="00A30ECD"/>
    <w:rsid w:val="00A37C8D"/>
    <w:rsid w:val="00A5273B"/>
    <w:rsid w:val="00A53A9D"/>
    <w:rsid w:val="00A62C1A"/>
    <w:rsid w:val="00A6426D"/>
    <w:rsid w:val="00A70622"/>
    <w:rsid w:val="00A70977"/>
    <w:rsid w:val="00A8390C"/>
    <w:rsid w:val="00AA4D1C"/>
    <w:rsid w:val="00AC5206"/>
    <w:rsid w:val="00AC5850"/>
    <w:rsid w:val="00AE11A5"/>
    <w:rsid w:val="00AF68CC"/>
    <w:rsid w:val="00B176DF"/>
    <w:rsid w:val="00B205AA"/>
    <w:rsid w:val="00B25F75"/>
    <w:rsid w:val="00B43E90"/>
    <w:rsid w:val="00B56118"/>
    <w:rsid w:val="00B6773F"/>
    <w:rsid w:val="00BB69F5"/>
    <w:rsid w:val="00BB7EC3"/>
    <w:rsid w:val="00BC2D06"/>
    <w:rsid w:val="00BC4B9A"/>
    <w:rsid w:val="00BD784C"/>
    <w:rsid w:val="00BF4CB6"/>
    <w:rsid w:val="00C12768"/>
    <w:rsid w:val="00C32154"/>
    <w:rsid w:val="00C35996"/>
    <w:rsid w:val="00C5342C"/>
    <w:rsid w:val="00C6256A"/>
    <w:rsid w:val="00C83892"/>
    <w:rsid w:val="00C91449"/>
    <w:rsid w:val="00C92D10"/>
    <w:rsid w:val="00CE10C4"/>
    <w:rsid w:val="00CE27B5"/>
    <w:rsid w:val="00CF36AA"/>
    <w:rsid w:val="00D0321E"/>
    <w:rsid w:val="00D31F50"/>
    <w:rsid w:val="00D3280C"/>
    <w:rsid w:val="00D3406A"/>
    <w:rsid w:val="00D469B2"/>
    <w:rsid w:val="00D741EB"/>
    <w:rsid w:val="00D91271"/>
    <w:rsid w:val="00DA4BAC"/>
    <w:rsid w:val="00DE1E5E"/>
    <w:rsid w:val="00DE6D27"/>
    <w:rsid w:val="00DF217D"/>
    <w:rsid w:val="00DF26A7"/>
    <w:rsid w:val="00E164B3"/>
    <w:rsid w:val="00E16910"/>
    <w:rsid w:val="00E376B8"/>
    <w:rsid w:val="00E52FBB"/>
    <w:rsid w:val="00E65E54"/>
    <w:rsid w:val="00E80155"/>
    <w:rsid w:val="00E848C0"/>
    <w:rsid w:val="00E91B96"/>
    <w:rsid w:val="00E941A1"/>
    <w:rsid w:val="00E95CE3"/>
    <w:rsid w:val="00EA2825"/>
    <w:rsid w:val="00EB5088"/>
    <w:rsid w:val="00ED1644"/>
    <w:rsid w:val="00F050BD"/>
    <w:rsid w:val="00F05657"/>
    <w:rsid w:val="00F25578"/>
    <w:rsid w:val="00F258E5"/>
    <w:rsid w:val="00F300BC"/>
    <w:rsid w:val="00F3334E"/>
    <w:rsid w:val="00F50EC4"/>
    <w:rsid w:val="00F57A6D"/>
    <w:rsid w:val="00F638CC"/>
    <w:rsid w:val="00F8247A"/>
    <w:rsid w:val="00FA167E"/>
    <w:rsid w:val="00FA5883"/>
    <w:rsid w:val="00FA6055"/>
    <w:rsid w:val="00FB322F"/>
    <w:rsid w:val="00FB442F"/>
    <w:rsid w:val="00FC1929"/>
    <w:rsid w:val="00FC5B46"/>
    <w:rsid w:val="00FD0BB5"/>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376B8"/>
    <w:rPr>
      <w:sz w:val="24"/>
      <w:szCs w:val="24"/>
    </w:rPr>
  </w:style>
  <w:style w:type="paragraph" w:styleId="Heading1">
    <w:name w:val="heading 1"/>
    <w:basedOn w:val="Normal"/>
    <w:next w:val="Normal"/>
    <w:qFormat/>
    <w:rsid w:val="00A1219E"/>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376B8"/>
    <w:rPr>
      <w:sz w:val="24"/>
      <w:szCs w:val="24"/>
    </w:rPr>
  </w:style>
  <w:style w:type="paragraph" w:styleId="Heading1">
    <w:name w:val="heading 1"/>
    <w:basedOn w:val="Normal"/>
    <w:next w:val="Normal"/>
    <w:qFormat/>
    <w:rsid w:val="00A1219E"/>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1538606">
      <w:bodyDiv w:val="1"/>
      <w:marLeft w:val="0"/>
      <w:marRight w:val="0"/>
      <w:marTop w:val="0"/>
      <w:marBottom w:val="0"/>
      <w:divBdr>
        <w:top w:val="none" w:sz="0" w:space="0" w:color="auto"/>
        <w:left w:val="none" w:sz="0" w:space="0" w:color="auto"/>
        <w:bottom w:val="none" w:sz="0" w:space="0" w:color="auto"/>
        <w:right w:val="none" w:sz="0" w:space="0" w:color="auto"/>
      </w:divBdr>
      <w:divsChild>
        <w:div w:id="1121655963">
          <w:marLeft w:val="1166"/>
          <w:marRight w:val="0"/>
          <w:marTop w:val="125"/>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EAE1-EE53-4810-91C9-FC02BE4E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6765</Characters>
  <Application>Microsoft Office Word</Application>
  <DocSecurity>2</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Mareddy Shobha</cp:lastModifiedBy>
  <cp:revision>3</cp:revision>
  <cp:lastPrinted>2013-02-09T16:16:00Z</cp:lastPrinted>
  <dcterms:created xsi:type="dcterms:W3CDTF">2014-10-03T00:29:00Z</dcterms:created>
  <dcterms:modified xsi:type="dcterms:W3CDTF">2014-11-10T00:21:00Z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