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FE" w:rsidRDefault="00265AFC" w:rsidP="00136CA5">
      <w:pPr>
        <w:pStyle w:val="Heading1"/>
      </w:pPr>
      <w:r>
        <w:t>5.3</w:t>
      </w:r>
      <w:r>
        <w:tab/>
      </w:r>
      <w:r w:rsidR="008C1BFE" w:rsidRPr="00136CA5">
        <w:rPr>
          <w:sz w:val="32"/>
          <w:szCs w:val="32"/>
        </w:rPr>
        <w:t>DAPAGLIFLOZIN AND METFORMIN XR (FDC)</w:t>
      </w:r>
      <w:r w:rsidRPr="00136CA5">
        <w:rPr>
          <w:sz w:val="32"/>
          <w:szCs w:val="32"/>
        </w:rPr>
        <w:t>, modified</w:t>
      </w:r>
      <w:r w:rsidR="008C1BFE" w:rsidRPr="00136CA5">
        <w:rPr>
          <w:sz w:val="32"/>
          <w:szCs w:val="32"/>
        </w:rPr>
        <w:t xml:space="preserve"> release tablets</w:t>
      </w:r>
      <w:r w:rsidRPr="00136CA5">
        <w:rPr>
          <w:sz w:val="32"/>
          <w:szCs w:val="32"/>
        </w:rPr>
        <w:t>, 10</w:t>
      </w:r>
      <w:r w:rsidR="008C1BFE" w:rsidRPr="00136CA5">
        <w:rPr>
          <w:sz w:val="32"/>
          <w:szCs w:val="32"/>
        </w:rPr>
        <w:t xml:space="preserve"> mg/500 mg, 10 mg/1000 mg, 5 mg/1000 mg</w:t>
      </w:r>
      <w:r w:rsidRPr="00136CA5">
        <w:rPr>
          <w:sz w:val="32"/>
          <w:szCs w:val="32"/>
        </w:rPr>
        <w:t xml:space="preserve">, </w:t>
      </w:r>
      <w:proofErr w:type="spellStart"/>
      <w:r w:rsidRPr="00136CA5">
        <w:rPr>
          <w:sz w:val="32"/>
          <w:szCs w:val="32"/>
        </w:rPr>
        <w:t>Xigduo</w:t>
      </w:r>
      <w:proofErr w:type="spellEnd"/>
      <w:r w:rsidR="008C1BFE" w:rsidRPr="00136CA5">
        <w:rPr>
          <w:sz w:val="32"/>
          <w:szCs w:val="32"/>
        </w:rPr>
        <w:t xml:space="preserve"> XR</w:t>
      </w:r>
      <w:r w:rsidR="008C1BFE" w:rsidRPr="00136CA5">
        <w:rPr>
          <w:sz w:val="32"/>
          <w:szCs w:val="32"/>
          <w:vertAlign w:val="superscript"/>
        </w:rPr>
        <w:t>®</w:t>
      </w:r>
      <w:r w:rsidR="008C1BFE" w:rsidRPr="00136CA5">
        <w:rPr>
          <w:sz w:val="32"/>
          <w:szCs w:val="32"/>
        </w:rPr>
        <w:t>, AstraZeneca Pty Ltd</w:t>
      </w:r>
    </w:p>
    <w:p w:rsidR="008D447E" w:rsidRPr="001D4227" w:rsidRDefault="008D447E" w:rsidP="00A5273B">
      <w:pPr>
        <w:rPr>
          <w:rFonts w:ascii="Arial" w:hAnsi="Arial"/>
          <w:b/>
        </w:rPr>
      </w:pPr>
    </w:p>
    <w:p w:rsidR="00CE10C4" w:rsidRPr="001D4227" w:rsidRDefault="00CE10C4" w:rsidP="00872291">
      <w:pPr>
        <w:pStyle w:val="ListParagraph"/>
        <w:numPr>
          <w:ilvl w:val="0"/>
          <w:numId w:val="1"/>
        </w:numPr>
        <w:jc w:val="both"/>
        <w:rPr>
          <w:rFonts w:ascii="Arial" w:hAnsi="Arial"/>
          <w:b/>
          <w:sz w:val="22"/>
          <w:szCs w:val="22"/>
        </w:rPr>
      </w:pPr>
      <w:r w:rsidRPr="001D4227">
        <w:rPr>
          <w:rFonts w:ascii="Arial" w:hAnsi="Arial"/>
          <w:b/>
          <w:sz w:val="22"/>
          <w:szCs w:val="22"/>
        </w:rPr>
        <w:t xml:space="preserve">Purpose of </w:t>
      </w:r>
      <w:r w:rsidR="0004240E" w:rsidRPr="001D4227">
        <w:rPr>
          <w:rFonts w:ascii="Arial" w:hAnsi="Arial"/>
          <w:b/>
          <w:sz w:val="22"/>
          <w:szCs w:val="22"/>
        </w:rPr>
        <w:t>Application</w:t>
      </w:r>
    </w:p>
    <w:p w:rsidR="008C1BFE" w:rsidRPr="001D4227" w:rsidRDefault="008C1BFE" w:rsidP="008C1BFE">
      <w:pPr>
        <w:pStyle w:val="ListParagraph"/>
        <w:jc w:val="both"/>
        <w:rPr>
          <w:rFonts w:ascii="Arial" w:hAnsi="Arial"/>
          <w:b/>
          <w:sz w:val="22"/>
          <w:szCs w:val="22"/>
        </w:rPr>
      </w:pPr>
    </w:p>
    <w:p w:rsidR="00E16910" w:rsidRPr="001D4227" w:rsidRDefault="00727845" w:rsidP="00872291">
      <w:pPr>
        <w:pStyle w:val="ListParagraph"/>
        <w:numPr>
          <w:ilvl w:val="1"/>
          <w:numId w:val="1"/>
        </w:numPr>
        <w:jc w:val="both"/>
        <w:rPr>
          <w:rFonts w:ascii="Arial" w:hAnsi="Arial"/>
          <w:color w:val="FF0000"/>
          <w:sz w:val="22"/>
          <w:szCs w:val="22"/>
        </w:rPr>
      </w:pPr>
      <w:r w:rsidRPr="001D4227">
        <w:rPr>
          <w:rFonts w:ascii="Arial" w:hAnsi="Arial"/>
          <w:sz w:val="22"/>
          <w:szCs w:val="22"/>
        </w:rPr>
        <w:t xml:space="preserve">The submission requested an </w:t>
      </w:r>
      <w:r w:rsidR="008C1BFE" w:rsidRPr="001D4227">
        <w:rPr>
          <w:rFonts w:ascii="Arial" w:hAnsi="Arial"/>
          <w:sz w:val="22"/>
          <w:szCs w:val="22"/>
        </w:rPr>
        <w:t xml:space="preserve">Authority </w:t>
      </w:r>
      <w:proofErr w:type="gramStart"/>
      <w:r w:rsidRPr="001D4227">
        <w:rPr>
          <w:rFonts w:ascii="Arial" w:hAnsi="Arial"/>
          <w:sz w:val="22"/>
          <w:szCs w:val="22"/>
        </w:rPr>
        <w:t>R</w:t>
      </w:r>
      <w:r w:rsidR="00E03C50" w:rsidRPr="001D4227">
        <w:rPr>
          <w:rFonts w:ascii="Arial" w:hAnsi="Arial"/>
          <w:sz w:val="22"/>
          <w:szCs w:val="22"/>
        </w:rPr>
        <w:t>equired</w:t>
      </w:r>
      <w:proofErr w:type="gramEnd"/>
      <w:r w:rsidR="008C1BFE" w:rsidRPr="001D4227">
        <w:rPr>
          <w:rFonts w:ascii="Arial" w:hAnsi="Arial"/>
          <w:sz w:val="22"/>
          <w:szCs w:val="22"/>
        </w:rPr>
        <w:t xml:space="preserve"> listing for </w:t>
      </w:r>
      <w:proofErr w:type="spellStart"/>
      <w:r w:rsidR="008C1BFE" w:rsidRPr="001D4227">
        <w:rPr>
          <w:rFonts w:ascii="Arial" w:hAnsi="Arial"/>
          <w:sz w:val="22"/>
          <w:szCs w:val="22"/>
        </w:rPr>
        <w:t>dapagliflozin</w:t>
      </w:r>
      <w:proofErr w:type="spellEnd"/>
      <w:r w:rsidR="008C1BFE" w:rsidRPr="001D4227">
        <w:rPr>
          <w:rFonts w:ascii="Arial" w:hAnsi="Arial"/>
          <w:sz w:val="22"/>
          <w:szCs w:val="22"/>
        </w:rPr>
        <w:t xml:space="preserve">/metformin XR fixed dose combination (FDC) for treatment of type 2 diabetes. </w:t>
      </w:r>
    </w:p>
    <w:p w:rsidR="006A12A5" w:rsidRDefault="006A12A5" w:rsidP="00882085">
      <w:pPr>
        <w:jc w:val="both"/>
        <w:rPr>
          <w:rFonts w:ascii="Arial" w:hAnsi="Arial"/>
          <w:b/>
          <w:sz w:val="22"/>
          <w:szCs w:val="22"/>
        </w:rPr>
      </w:pPr>
    </w:p>
    <w:p w:rsidR="00D5205B" w:rsidRPr="001D4227" w:rsidRDefault="00D5205B" w:rsidP="00882085">
      <w:pPr>
        <w:jc w:val="both"/>
        <w:rPr>
          <w:rFonts w:ascii="Arial" w:hAnsi="Arial"/>
          <w:b/>
          <w:sz w:val="22"/>
          <w:szCs w:val="22"/>
        </w:rPr>
      </w:pPr>
    </w:p>
    <w:p w:rsidR="00614159" w:rsidRPr="001D4227" w:rsidRDefault="006A12A5" w:rsidP="00872291">
      <w:pPr>
        <w:pStyle w:val="ListParagraph"/>
        <w:numPr>
          <w:ilvl w:val="0"/>
          <w:numId w:val="1"/>
        </w:numPr>
        <w:jc w:val="both"/>
        <w:rPr>
          <w:rFonts w:ascii="Arial" w:hAnsi="Arial"/>
          <w:b/>
          <w:sz w:val="22"/>
          <w:szCs w:val="22"/>
        </w:rPr>
      </w:pPr>
      <w:r w:rsidRPr="001D4227">
        <w:rPr>
          <w:rFonts w:ascii="Arial" w:hAnsi="Arial"/>
          <w:b/>
          <w:sz w:val="22"/>
          <w:szCs w:val="22"/>
        </w:rPr>
        <w:t>Requested listing</w:t>
      </w:r>
    </w:p>
    <w:p w:rsidR="006A12A5" w:rsidRPr="001D4227" w:rsidRDefault="006A12A5" w:rsidP="00882085">
      <w:pPr>
        <w:jc w:val="both"/>
        <w:rPr>
          <w:rFonts w:ascii="Arial" w:hAnsi="Arial"/>
          <w:b/>
          <w:sz w:val="22"/>
          <w:szCs w:val="22"/>
        </w:rPr>
      </w:pPr>
    </w:p>
    <w:p w:rsidR="004B5CEA" w:rsidRPr="001D4227" w:rsidRDefault="004B5CEA" w:rsidP="00872291">
      <w:pPr>
        <w:pStyle w:val="ListParagraph"/>
        <w:numPr>
          <w:ilvl w:val="1"/>
          <w:numId w:val="1"/>
        </w:numPr>
        <w:jc w:val="both"/>
        <w:rPr>
          <w:rFonts w:ascii="Arial" w:hAnsi="Arial"/>
          <w:sz w:val="22"/>
          <w:szCs w:val="22"/>
        </w:rPr>
      </w:pPr>
      <w:r w:rsidRPr="001D4227">
        <w:rPr>
          <w:rFonts w:ascii="Arial" w:hAnsi="Arial"/>
          <w:sz w:val="22"/>
          <w:szCs w:val="22"/>
        </w:rPr>
        <w:t>The submission sought the following listing:</w:t>
      </w:r>
    </w:p>
    <w:p w:rsidR="002B1AE6" w:rsidRPr="001D4227" w:rsidRDefault="002B1AE6" w:rsidP="004B5CEA">
      <w:pPr>
        <w:pStyle w:val="ListParagraph"/>
        <w:jc w:val="both"/>
        <w:rPr>
          <w:rFonts w:ascii="Arial" w:hAnsi="Arial"/>
          <w:sz w:val="22"/>
          <w:szCs w:val="22"/>
        </w:rPr>
      </w:pPr>
    </w:p>
    <w:tbl>
      <w:tblPr>
        <w:tblW w:w="4527" w:type="pct"/>
        <w:tblInd w:w="737" w:type="dxa"/>
        <w:tblLayout w:type="fixed"/>
        <w:tblCellMar>
          <w:left w:w="28" w:type="dxa"/>
          <w:right w:w="28" w:type="dxa"/>
        </w:tblCellMar>
        <w:tblLook w:val="0000" w:firstRow="0" w:lastRow="0" w:firstColumn="0" w:lastColumn="0" w:noHBand="0" w:noVBand="0"/>
        <w:tblDescription w:val="dapagliflozin listing"/>
      </w:tblPr>
      <w:tblGrid>
        <w:gridCol w:w="3385"/>
        <w:gridCol w:w="719"/>
        <w:gridCol w:w="1076"/>
        <w:gridCol w:w="1768"/>
        <w:gridCol w:w="1275"/>
      </w:tblGrid>
      <w:tr w:rsidR="00D279AC" w:rsidRPr="00D5205B" w:rsidTr="00D5205B">
        <w:trPr>
          <w:cantSplit/>
          <w:trHeight w:val="490"/>
        </w:trPr>
        <w:tc>
          <w:tcPr>
            <w:tcW w:w="2059" w:type="pct"/>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rPr>
                <w:rFonts w:ascii="Arial Narrow" w:hAnsi="Arial Narrow"/>
                <w:b/>
                <w:iCs/>
                <w:sz w:val="20"/>
              </w:rPr>
            </w:pPr>
            <w:r w:rsidRPr="00D5205B">
              <w:rPr>
                <w:rFonts w:ascii="Arial Narrow" w:hAnsi="Arial Narrow"/>
                <w:b/>
                <w:iCs/>
                <w:sz w:val="20"/>
              </w:rPr>
              <w:t>Name, Restriction,</w:t>
            </w:r>
          </w:p>
          <w:p w:rsidR="00D279AC" w:rsidRPr="00D5205B" w:rsidRDefault="00D279AC" w:rsidP="00065AEF">
            <w:pPr>
              <w:keepNext/>
              <w:rPr>
                <w:rFonts w:ascii="Arial Narrow" w:hAnsi="Arial Narrow"/>
                <w:b/>
                <w:iCs/>
                <w:sz w:val="20"/>
              </w:rPr>
            </w:pPr>
            <w:r w:rsidRPr="00D5205B">
              <w:rPr>
                <w:rFonts w:ascii="Arial Narrow" w:hAnsi="Arial Narrow"/>
                <w:b/>
                <w:iCs/>
                <w:sz w:val="20"/>
              </w:rPr>
              <w:t>Manner of administration and form</w:t>
            </w:r>
          </w:p>
        </w:tc>
        <w:tc>
          <w:tcPr>
            <w:tcW w:w="437" w:type="pct"/>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jc w:val="center"/>
              <w:rPr>
                <w:rFonts w:ascii="Arial Narrow" w:hAnsi="Arial Narrow"/>
                <w:b/>
                <w:sz w:val="20"/>
              </w:rPr>
            </w:pPr>
            <w:r w:rsidRPr="00D5205B">
              <w:rPr>
                <w:rFonts w:ascii="Arial Narrow" w:hAnsi="Arial Narrow"/>
                <w:b/>
                <w:sz w:val="20"/>
              </w:rPr>
              <w:t>Max.</w:t>
            </w:r>
          </w:p>
          <w:p w:rsidR="00D279AC" w:rsidRPr="00D5205B" w:rsidRDefault="00D279AC" w:rsidP="00065AEF">
            <w:pPr>
              <w:keepNext/>
              <w:jc w:val="center"/>
              <w:rPr>
                <w:rFonts w:ascii="Arial Narrow" w:hAnsi="Arial Narrow"/>
                <w:b/>
                <w:sz w:val="20"/>
              </w:rPr>
            </w:pPr>
            <w:proofErr w:type="spellStart"/>
            <w:r w:rsidRPr="00D5205B">
              <w:rPr>
                <w:rFonts w:ascii="Arial Narrow" w:hAnsi="Arial Narrow"/>
                <w:b/>
                <w:sz w:val="20"/>
              </w:rPr>
              <w:t>Qty</w:t>
            </w:r>
            <w:proofErr w:type="spellEnd"/>
          </w:p>
        </w:tc>
        <w:tc>
          <w:tcPr>
            <w:tcW w:w="654" w:type="pct"/>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jc w:val="center"/>
              <w:rPr>
                <w:rFonts w:ascii="Arial Narrow" w:hAnsi="Arial Narrow"/>
                <w:b/>
                <w:sz w:val="20"/>
              </w:rPr>
            </w:pPr>
            <w:r w:rsidRPr="00D5205B">
              <w:rPr>
                <w:rFonts w:ascii="Arial Narrow" w:hAnsi="Arial Narrow"/>
                <w:b/>
                <w:sz w:val="20"/>
              </w:rPr>
              <w:t>№.of</w:t>
            </w:r>
          </w:p>
          <w:p w:rsidR="00D279AC" w:rsidRPr="00D5205B" w:rsidRDefault="00D279AC" w:rsidP="00065AEF">
            <w:pPr>
              <w:keepNext/>
              <w:jc w:val="center"/>
              <w:rPr>
                <w:rFonts w:ascii="Arial Narrow" w:hAnsi="Arial Narrow"/>
                <w:b/>
                <w:sz w:val="20"/>
              </w:rPr>
            </w:pPr>
            <w:proofErr w:type="spellStart"/>
            <w:r w:rsidRPr="00D5205B">
              <w:rPr>
                <w:rFonts w:ascii="Arial Narrow" w:hAnsi="Arial Narrow"/>
                <w:b/>
                <w:sz w:val="20"/>
              </w:rPr>
              <w:t>Rpts</w:t>
            </w:r>
            <w:proofErr w:type="spellEnd"/>
          </w:p>
        </w:tc>
        <w:tc>
          <w:tcPr>
            <w:tcW w:w="1851" w:type="pct"/>
            <w:gridSpan w:val="2"/>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jc w:val="center"/>
              <w:rPr>
                <w:rFonts w:ascii="Arial Narrow" w:hAnsi="Arial Narrow"/>
                <w:b/>
                <w:sz w:val="20"/>
                <w:lang w:val="fr-FR"/>
              </w:rPr>
            </w:pPr>
            <w:r w:rsidRPr="00D5205B">
              <w:rPr>
                <w:rFonts w:ascii="Arial Narrow" w:hAnsi="Arial Narrow"/>
                <w:b/>
                <w:sz w:val="20"/>
              </w:rPr>
              <w:t>Proprietary Name and Manufacturer</w:t>
            </w:r>
          </w:p>
        </w:tc>
      </w:tr>
      <w:tr w:rsidR="00D279AC" w:rsidRPr="00D5205B" w:rsidTr="00D5205B">
        <w:trPr>
          <w:cantSplit/>
          <w:trHeight w:val="601"/>
        </w:trPr>
        <w:tc>
          <w:tcPr>
            <w:tcW w:w="2059" w:type="pct"/>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rPr>
                <w:rFonts w:ascii="Arial Narrow" w:hAnsi="Arial Narrow"/>
                <w:sz w:val="20"/>
              </w:rPr>
            </w:pPr>
            <w:proofErr w:type="spellStart"/>
            <w:r w:rsidRPr="00D5205B">
              <w:rPr>
                <w:rFonts w:ascii="Arial Narrow" w:hAnsi="Arial Narrow"/>
                <w:smallCaps/>
                <w:sz w:val="20"/>
              </w:rPr>
              <w:t>Dapagliflozin</w:t>
            </w:r>
            <w:proofErr w:type="spellEnd"/>
            <w:r w:rsidRPr="00D5205B">
              <w:rPr>
                <w:rFonts w:ascii="Arial Narrow" w:hAnsi="Arial Narrow"/>
                <w:smallCaps/>
                <w:sz w:val="20"/>
              </w:rPr>
              <w:t xml:space="preserve"> / Metformin hydrochloride extended release</w:t>
            </w:r>
          </w:p>
          <w:p w:rsidR="00D279AC" w:rsidRPr="00D5205B" w:rsidRDefault="00D279AC" w:rsidP="00065AEF">
            <w:pPr>
              <w:keepNext/>
              <w:rPr>
                <w:rFonts w:ascii="Arial Narrow" w:hAnsi="Arial Narrow"/>
                <w:iCs/>
                <w:sz w:val="20"/>
              </w:rPr>
            </w:pPr>
            <w:r w:rsidRPr="00D5205B">
              <w:rPr>
                <w:rFonts w:ascii="Arial Narrow" w:hAnsi="Arial Narrow"/>
                <w:iCs/>
                <w:sz w:val="20"/>
              </w:rPr>
              <w:t>Tablet, 10mg/500mg</w:t>
            </w:r>
          </w:p>
        </w:tc>
        <w:tc>
          <w:tcPr>
            <w:tcW w:w="437" w:type="pct"/>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jc w:val="center"/>
              <w:rPr>
                <w:rFonts w:ascii="Arial Narrow" w:hAnsi="Arial Narrow"/>
                <w:sz w:val="20"/>
              </w:rPr>
            </w:pPr>
          </w:p>
          <w:p w:rsidR="00D279AC" w:rsidRPr="00D5205B" w:rsidRDefault="00D279AC" w:rsidP="00065AEF">
            <w:pPr>
              <w:keepNext/>
              <w:jc w:val="center"/>
              <w:rPr>
                <w:rFonts w:ascii="Arial Narrow" w:hAnsi="Arial Narrow"/>
                <w:sz w:val="20"/>
              </w:rPr>
            </w:pPr>
            <w:r w:rsidRPr="00D5205B">
              <w:rPr>
                <w:rFonts w:ascii="Arial Narrow" w:hAnsi="Arial Narrow"/>
                <w:sz w:val="20"/>
              </w:rPr>
              <w:t>28</w:t>
            </w:r>
          </w:p>
        </w:tc>
        <w:tc>
          <w:tcPr>
            <w:tcW w:w="654" w:type="pct"/>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jc w:val="center"/>
              <w:rPr>
                <w:rFonts w:ascii="Arial Narrow" w:hAnsi="Arial Narrow"/>
                <w:sz w:val="20"/>
              </w:rPr>
            </w:pPr>
          </w:p>
          <w:p w:rsidR="00D279AC" w:rsidRPr="00D5205B" w:rsidRDefault="00D279AC" w:rsidP="00065AEF">
            <w:pPr>
              <w:keepNext/>
              <w:jc w:val="center"/>
              <w:rPr>
                <w:rFonts w:ascii="Arial Narrow" w:hAnsi="Arial Narrow"/>
                <w:sz w:val="20"/>
              </w:rPr>
            </w:pPr>
            <w:r w:rsidRPr="00D5205B">
              <w:rPr>
                <w:rFonts w:ascii="Arial Narrow" w:hAnsi="Arial Narrow"/>
                <w:sz w:val="20"/>
              </w:rPr>
              <w:t>5</w:t>
            </w:r>
          </w:p>
        </w:tc>
        <w:tc>
          <w:tcPr>
            <w:tcW w:w="1075" w:type="pct"/>
            <w:vMerge w:val="restart"/>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jc w:val="center"/>
              <w:rPr>
                <w:rFonts w:ascii="Arial Narrow" w:hAnsi="Arial Narrow"/>
                <w:sz w:val="20"/>
              </w:rPr>
            </w:pPr>
            <w:proofErr w:type="spellStart"/>
            <w:r w:rsidRPr="00D5205B">
              <w:rPr>
                <w:rFonts w:ascii="Arial Narrow" w:hAnsi="Arial Narrow"/>
                <w:sz w:val="20"/>
              </w:rPr>
              <w:t>Xigduo</w:t>
            </w:r>
            <w:proofErr w:type="spellEnd"/>
            <w:r w:rsidRPr="00D5205B">
              <w:rPr>
                <w:rFonts w:ascii="Arial Narrow" w:hAnsi="Arial Narrow"/>
                <w:sz w:val="20"/>
              </w:rPr>
              <w:t>® XR</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jc w:val="center"/>
              <w:rPr>
                <w:rFonts w:ascii="Arial Narrow" w:hAnsi="Arial Narrow"/>
                <w:sz w:val="20"/>
              </w:rPr>
            </w:pPr>
            <w:r w:rsidRPr="00D5205B">
              <w:rPr>
                <w:rFonts w:ascii="Arial Narrow" w:hAnsi="Arial Narrow"/>
                <w:sz w:val="20"/>
              </w:rPr>
              <w:t>AstraZeneca</w:t>
            </w:r>
          </w:p>
        </w:tc>
      </w:tr>
      <w:tr w:rsidR="00D279AC" w:rsidRPr="00D5205B" w:rsidTr="00D5205B">
        <w:trPr>
          <w:cantSplit/>
          <w:trHeight w:val="601"/>
        </w:trPr>
        <w:tc>
          <w:tcPr>
            <w:tcW w:w="2059" w:type="pct"/>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rPr>
                <w:rFonts w:ascii="Arial Narrow" w:hAnsi="Arial Narrow"/>
                <w:sz w:val="20"/>
              </w:rPr>
            </w:pPr>
            <w:proofErr w:type="spellStart"/>
            <w:r w:rsidRPr="00D5205B">
              <w:rPr>
                <w:rFonts w:ascii="Arial Narrow" w:hAnsi="Arial Narrow"/>
                <w:smallCaps/>
                <w:sz w:val="20"/>
              </w:rPr>
              <w:t>Dapagliflozin</w:t>
            </w:r>
            <w:proofErr w:type="spellEnd"/>
            <w:r w:rsidRPr="00D5205B">
              <w:rPr>
                <w:rFonts w:ascii="Arial Narrow" w:hAnsi="Arial Narrow"/>
                <w:smallCaps/>
                <w:sz w:val="20"/>
              </w:rPr>
              <w:t xml:space="preserve"> / Metformin hydrochloride extended release</w:t>
            </w:r>
          </w:p>
          <w:p w:rsidR="00D279AC" w:rsidRPr="00D5205B" w:rsidRDefault="00D279AC" w:rsidP="00065AEF">
            <w:pPr>
              <w:keepNext/>
              <w:rPr>
                <w:rFonts w:ascii="Arial Narrow" w:hAnsi="Arial Narrow"/>
                <w:smallCaps/>
                <w:sz w:val="20"/>
              </w:rPr>
            </w:pPr>
            <w:r w:rsidRPr="00D5205B">
              <w:rPr>
                <w:rFonts w:ascii="Arial Narrow" w:hAnsi="Arial Narrow"/>
                <w:iCs/>
                <w:sz w:val="20"/>
              </w:rPr>
              <w:t>Tablet, 10mg/1000mg</w:t>
            </w:r>
          </w:p>
        </w:tc>
        <w:tc>
          <w:tcPr>
            <w:tcW w:w="437" w:type="pct"/>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jc w:val="center"/>
              <w:rPr>
                <w:rFonts w:ascii="Arial Narrow" w:hAnsi="Arial Narrow"/>
                <w:sz w:val="20"/>
              </w:rPr>
            </w:pPr>
          </w:p>
          <w:p w:rsidR="00D279AC" w:rsidRPr="00D5205B" w:rsidRDefault="00D279AC" w:rsidP="00065AEF">
            <w:pPr>
              <w:keepNext/>
              <w:jc w:val="center"/>
              <w:rPr>
                <w:rFonts w:ascii="Arial Narrow" w:hAnsi="Arial Narrow"/>
                <w:sz w:val="20"/>
              </w:rPr>
            </w:pPr>
            <w:r w:rsidRPr="00D5205B">
              <w:rPr>
                <w:rFonts w:ascii="Arial Narrow" w:hAnsi="Arial Narrow"/>
                <w:sz w:val="20"/>
              </w:rPr>
              <w:t>28</w:t>
            </w:r>
          </w:p>
        </w:tc>
        <w:tc>
          <w:tcPr>
            <w:tcW w:w="654" w:type="pct"/>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jc w:val="center"/>
              <w:rPr>
                <w:rFonts w:ascii="Arial Narrow" w:hAnsi="Arial Narrow"/>
                <w:sz w:val="20"/>
              </w:rPr>
            </w:pPr>
          </w:p>
          <w:p w:rsidR="00D279AC" w:rsidRPr="00D5205B" w:rsidRDefault="00D279AC" w:rsidP="00065AEF">
            <w:pPr>
              <w:keepNext/>
              <w:jc w:val="center"/>
              <w:rPr>
                <w:rFonts w:ascii="Arial Narrow" w:hAnsi="Arial Narrow"/>
                <w:sz w:val="20"/>
              </w:rPr>
            </w:pPr>
            <w:r w:rsidRPr="00D5205B">
              <w:rPr>
                <w:rFonts w:ascii="Arial Narrow" w:hAnsi="Arial Narrow"/>
                <w:sz w:val="20"/>
              </w:rPr>
              <w:t>5</w:t>
            </w:r>
          </w:p>
        </w:tc>
        <w:tc>
          <w:tcPr>
            <w:tcW w:w="1075" w:type="pct"/>
            <w:vMerge/>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jc w:val="center"/>
              <w:rPr>
                <w:rFonts w:ascii="Arial Narrow" w:hAnsi="Arial Narrow"/>
                <w:sz w:val="20"/>
              </w:rPr>
            </w:pPr>
          </w:p>
        </w:tc>
        <w:tc>
          <w:tcPr>
            <w:tcW w:w="776" w:type="pct"/>
            <w:vMerge/>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jc w:val="center"/>
              <w:rPr>
                <w:rFonts w:ascii="Arial Narrow" w:hAnsi="Arial Narrow"/>
                <w:sz w:val="20"/>
              </w:rPr>
            </w:pPr>
          </w:p>
        </w:tc>
      </w:tr>
      <w:tr w:rsidR="00D279AC" w:rsidRPr="00D5205B" w:rsidTr="00D5205B">
        <w:trPr>
          <w:cantSplit/>
          <w:trHeight w:val="601"/>
        </w:trPr>
        <w:tc>
          <w:tcPr>
            <w:tcW w:w="2059" w:type="pct"/>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rPr>
                <w:rFonts w:ascii="Arial Narrow" w:hAnsi="Arial Narrow"/>
                <w:sz w:val="20"/>
              </w:rPr>
            </w:pPr>
            <w:proofErr w:type="spellStart"/>
            <w:r w:rsidRPr="00D5205B">
              <w:rPr>
                <w:rFonts w:ascii="Arial Narrow" w:hAnsi="Arial Narrow"/>
                <w:smallCaps/>
                <w:sz w:val="20"/>
              </w:rPr>
              <w:t>Dapagliflozin</w:t>
            </w:r>
            <w:proofErr w:type="spellEnd"/>
            <w:r w:rsidRPr="00D5205B">
              <w:rPr>
                <w:rFonts w:ascii="Arial Narrow" w:hAnsi="Arial Narrow"/>
                <w:smallCaps/>
                <w:sz w:val="20"/>
              </w:rPr>
              <w:t xml:space="preserve"> / Metformin hydrochloride extended release</w:t>
            </w:r>
          </w:p>
          <w:p w:rsidR="00D279AC" w:rsidRPr="00D5205B" w:rsidRDefault="00D279AC" w:rsidP="00065AEF">
            <w:pPr>
              <w:keepNext/>
              <w:rPr>
                <w:rFonts w:ascii="Arial Narrow" w:hAnsi="Arial Narrow"/>
                <w:smallCaps/>
                <w:sz w:val="20"/>
              </w:rPr>
            </w:pPr>
            <w:r w:rsidRPr="00D5205B">
              <w:rPr>
                <w:rFonts w:ascii="Arial Narrow" w:hAnsi="Arial Narrow"/>
                <w:iCs/>
                <w:sz w:val="20"/>
              </w:rPr>
              <w:t>Tablet, 5mg/1000mg</w:t>
            </w:r>
          </w:p>
        </w:tc>
        <w:tc>
          <w:tcPr>
            <w:tcW w:w="437" w:type="pct"/>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jc w:val="center"/>
              <w:rPr>
                <w:rFonts w:ascii="Arial Narrow" w:hAnsi="Arial Narrow"/>
                <w:sz w:val="20"/>
              </w:rPr>
            </w:pPr>
          </w:p>
          <w:p w:rsidR="00D279AC" w:rsidRPr="00D5205B" w:rsidRDefault="00D279AC" w:rsidP="00065AEF">
            <w:pPr>
              <w:keepNext/>
              <w:jc w:val="center"/>
              <w:rPr>
                <w:rFonts w:ascii="Arial Narrow" w:hAnsi="Arial Narrow"/>
                <w:sz w:val="20"/>
              </w:rPr>
            </w:pPr>
            <w:r w:rsidRPr="00D5205B">
              <w:rPr>
                <w:rFonts w:ascii="Arial Narrow" w:hAnsi="Arial Narrow"/>
                <w:sz w:val="20"/>
              </w:rPr>
              <w:t>56</w:t>
            </w:r>
          </w:p>
        </w:tc>
        <w:tc>
          <w:tcPr>
            <w:tcW w:w="654" w:type="pct"/>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jc w:val="center"/>
              <w:rPr>
                <w:rFonts w:ascii="Arial Narrow" w:hAnsi="Arial Narrow"/>
                <w:sz w:val="20"/>
              </w:rPr>
            </w:pPr>
          </w:p>
          <w:p w:rsidR="00D279AC" w:rsidRPr="00D5205B" w:rsidRDefault="00D279AC" w:rsidP="00065AEF">
            <w:pPr>
              <w:keepNext/>
              <w:jc w:val="center"/>
              <w:rPr>
                <w:rFonts w:ascii="Arial Narrow" w:hAnsi="Arial Narrow"/>
                <w:sz w:val="20"/>
              </w:rPr>
            </w:pPr>
            <w:r w:rsidRPr="00D5205B">
              <w:rPr>
                <w:rFonts w:ascii="Arial Narrow" w:hAnsi="Arial Narrow"/>
                <w:sz w:val="20"/>
              </w:rPr>
              <w:t>5</w:t>
            </w:r>
          </w:p>
        </w:tc>
        <w:tc>
          <w:tcPr>
            <w:tcW w:w="1075" w:type="pct"/>
            <w:vMerge/>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jc w:val="center"/>
              <w:rPr>
                <w:rFonts w:ascii="Arial Narrow" w:hAnsi="Arial Narrow"/>
                <w:sz w:val="20"/>
              </w:rPr>
            </w:pPr>
          </w:p>
        </w:tc>
        <w:tc>
          <w:tcPr>
            <w:tcW w:w="776" w:type="pct"/>
            <w:vMerge/>
            <w:tcBorders>
              <w:top w:val="single" w:sz="4" w:space="0" w:color="auto"/>
              <w:left w:val="single" w:sz="4" w:space="0" w:color="auto"/>
              <w:bottom w:val="single" w:sz="4" w:space="0" w:color="auto"/>
              <w:right w:val="single" w:sz="4" w:space="0" w:color="auto"/>
            </w:tcBorders>
            <w:vAlign w:val="center"/>
          </w:tcPr>
          <w:p w:rsidR="00D279AC" w:rsidRPr="00D5205B" w:rsidRDefault="00D279AC" w:rsidP="00065AEF">
            <w:pPr>
              <w:keepNext/>
              <w:jc w:val="center"/>
              <w:rPr>
                <w:rFonts w:ascii="Arial Narrow" w:hAnsi="Arial Narrow"/>
                <w:sz w:val="20"/>
              </w:rPr>
            </w:pPr>
          </w:p>
        </w:tc>
      </w:tr>
      <w:tr w:rsidR="00C86A1A" w:rsidRPr="00D5205B" w:rsidTr="00D5205B">
        <w:trPr>
          <w:cantSplit/>
          <w:trHeight w:val="360"/>
        </w:trPr>
        <w:tc>
          <w:tcPr>
            <w:tcW w:w="5000" w:type="pct"/>
            <w:gridSpan w:val="5"/>
            <w:tcBorders>
              <w:top w:val="single" w:sz="4" w:space="0" w:color="auto"/>
              <w:left w:val="single" w:sz="4" w:space="0" w:color="auto"/>
              <w:right w:val="single" w:sz="4" w:space="0" w:color="auto"/>
            </w:tcBorders>
            <w:vAlign w:val="center"/>
          </w:tcPr>
          <w:p w:rsidR="00C86A1A" w:rsidRPr="00D5205B" w:rsidRDefault="00C86A1A" w:rsidP="00265AFC">
            <w:pPr>
              <w:rPr>
                <w:rFonts w:ascii="Arial Narrow" w:hAnsi="Arial Narrow"/>
                <w:sz w:val="20"/>
              </w:rPr>
            </w:pPr>
            <w:r w:rsidRPr="00D5205B">
              <w:rPr>
                <w:rFonts w:ascii="Arial Narrow" w:hAnsi="Arial Narrow"/>
                <w:b/>
                <w:sz w:val="20"/>
                <w:u w:val="single"/>
              </w:rPr>
              <w:t>Authority required</w:t>
            </w:r>
            <w:r w:rsidRPr="00D5205B">
              <w:rPr>
                <w:rFonts w:ascii="Arial Narrow" w:hAnsi="Arial Narrow"/>
                <w:sz w:val="20"/>
              </w:rPr>
              <w:t xml:space="preserve"> </w:t>
            </w:r>
          </w:p>
        </w:tc>
      </w:tr>
      <w:tr w:rsidR="00C86A1A" w:rsidRPr="00D5205B" w:rsidTr="00D5205B">
        <w:trPr>
          <w:cantSplit/>
          <w:trHeight w:val="3479"/>
        </w:trPr>
        <w:tc>
          <w:tcPr>
            <w:tcW w:w="5000" w:type="pct"/>
            <w:gridSpan w:val="5"/>
            <w:tcBorders>
              <w:left w:val="single" w:sz="4" w:space="0" w:color="auto"/>
              <w:bottom w:val="single" w:sz="4" w:space="0" w:color="auto"/>
              <w:right w:val="single" w:sz="4" w:space="0" w:color="auto"/>
            </w:tcBorders>
            <w:vAlign w:val="center"/>
          </w:tcPr>
          <w:p w:rsidR="00C86A1A" w:rsidRPr="00D5205B" w:rsidRDefault="00C86A1A" w:rsidP="00265AFC">
            <w:pPr>
              <w:rPr>
                <w:rFonts w:ascii="Arial Narrow" w:hAnsi="Arial Narrow"/>
                <w:sz w:val="20"/>
              </w:rPr>
            </w:pPr>
            <w:r w:rsidRPr="00D5205B">
              <w:rPr>
                <w:rFonts w:ascii="Arial Narrow" w:hAnsi="Arial Narrow"/>
                <w:sz w:val="20"/>
              </w:rPr>
              <w:t>Clinical criteria:</w:t>
            </w:r>
          </w:p>
          <w:p w:rsidR="00C86A1A" w:rsidRPr="00D5205B" w:rsidRDefault="00C86A1A" w:rsidP="00265AFC">
            <w:pPr>
              <w:rPr>
                <w:rFonts w:ascii="Arial Narrow" w:hAnsi="Arial Narrow"/>
                <w:sz w:val="20"/>
              </w:rPr>
            </w:pPr>
            <w:r w:rsidRPr="00D5205B">
              <w:rPr>
                <w:rFonts w:ascii="Arial Narrow" w:hAnsi="Arial Narrow"/>
                <w:sz w:val="20"/>
              </w:rPr>
              <w:t>The condition must not be able to be adequately controlled by treatment with metformin and a sulfonylurea</w:t>
            </w:r>
          </w:p>
          <w:p w:rsidR="00C86A1A" w:rsidRPr="00D5205B" w:rsidRDefault="00C86A1A" w:rsidP="00265AFC">
            <w:pPr>
              <w:rPr>
                <w:rFonts w:ascii="Arial Narrow" w:hAnsi="Arial Narrow"/>
                <w:sz w:val="20"/>
              </w:rPr>
            </w:pPr>
            <w:r w:rsidRPr="00D5205B">
              <w:rPr>
                <w:rFonts w:ascii="Arial Narrow" w:hAnsi="Arial Narrow"/>
                <w:sz w:val="20"/>
              </w:rPr>
              <w:t>AND</w:t>
            </w:r>
          </w:p>
          <w:p w:rsidR="00C86A1A" w:rsidRPr="00D5205B" w:rsidRDefault="00C86A1A" w:rsidP="00265AFC">
            <w:pPr>
              <w:rPr>
                <w:rFonts w:ascii="Arial Narrow" w:hAnsi="Arial Narrow"/>
                <w:sz w:val="20"/>
              </w:rPr>
            </w:pPr>
            <w:r w:rsidRPr="00D5205B">
              <w:rPr>
                <w:rFonts w:ascii="Arial Narrow" w:hAnsi="Arial Narrow"/>
                <w:sz w:val="20"/>
              </w:rPr>
              <w:t xml:space="preserve">Patient must have, or have had, a HbA1c measurement greater than 7% prior to the initiation of a </w:t>
            </w:r>
            <w:proofErr w:type="spellStart"/>
            <w:r w:rsidRPr="00D5205B">
              <w:rPr>
                <w:rFonts w:ascii="Arial Narrow" w:hAnsi="Arial Narrow"/>
                <w:sz w:val="20"/>
              </w:rPr>
              <w:t>dipeptidyl</w:t>
            </w:r>
            <w:proofErr w:type="spellEnd"/>
            <w:r w:rsidRPr="00D5205B">
              <w:rPr>
                <w:rFonts w:ascii="Arial Narrow" w:hAnsi="Arial Narrow"/>
                <w:sz w:val="20"/>
              </w:rPr>
              <w:t xml:space="preserve"> peptidase 4 inhibitor (</w:t>
            </w:r>
            <w:proofErr w:type="spellStart"/>
            <w:r w:rsidRPr="00D5205B">
              <w:rPr>
                <w:rFonts w:ascii="Arial Narrow" w:hAnsi="Arial Narrow"/>
                <w:sz w:val="20"/>
              </w:rPr>
              <w:t>gliptin</w:t>
            </w:r>
            <w:proofErr w:type="spellEnd"/>
            <w:r w:rsidRPr="00D5205B">
              <w:rPr>
                <w:rFonts w:ascii="Arial Narrow" w:hAnsi="Arial Narrow"/>
                <w:sz w:val="20"/>
              </w:rPr>
              <w:t>), a thiazolidinedione (</w:t>
            </w:r>
            <w:proofErr w:type="spellStart"/>
            <w:r w:rsidRPr="00D5205B">
              <w:rPr>
                <w:rFonts w:ascii="Arial Narrow" w:hAnsi="Arial Narrow"/>
                <w:sz w:val="20"/>
              </w:rPr>
              <w:t>glitazone</w:t>
            </w:r>
            <w:proofErr w:type="spellEnd"/>
            <w:r w:rsidRPr="00D5205B">
              <w:rPr>
                <w:rFonts w:ascii="Arial Narrow" w:hAnsi="Arial Narrow"/>
                <w:sz w:val="20"/>
              </w:rPr>
              <w:t>), a glucagon-like peptide-1 (GLP1) or a sodium-glucose co-transporter-2 (SGLT2) inhibitor; OR</w:t>
            </w:r>
          </w:p>
          <w:p w:rsidR="00C86A1A" w:rsidRPr="00D5205B" w:rsidRDefault="00C86A1A" w:rsidP="00265AFC">
            <w:pPr>
              <w:rPr>
                <w:rFonts w:ascii="Arial Narrow" w:hAnsi="Arial Narrow"/>
                <w:sz w:val="20"/>
              </w:rPr>
            </w:pPr>
            <w:r w:rsidRPr="00D5205B">
              <w:rPr>
                <w:rFonts w:ascii="Arial Narrow" w:hAnsi="Arial Narrow"/>
                <w:sz w:val="20"/>
              </w:rPr>
              <w:t xml:space="preserve">Patient must have, or have had, where HbA1c measurement is clinically inappropriate, blood glucose levels greater than 10mmol per L in more than 20% of tests over a 2 week period prior to initiation with a </w:t>
            </w:r>
            <w:proofErr w:type="spellStart"/>
            <w:r w:rsidRPr="00D5205B">
              <w:rPr>
                <w:rFonts w:ascii="Arial Narrow" w:hAnsi="Arial Narrow"/>
                <w:sz w:val="20"/>
              </w:rPr>
              <w:t>gliptin</w:t>
            </w:r>
            <w:proofErr w:type="spellEnd"/>
            <w:r w:rsidRPr="00D5205B">
              <w:rPr>
                <w:rFonts w:ascii="Arial Narrow" w:hAnsi="Arial Narrow"/>
                <w:sz w:val="20"/>
              </w:rPr>
              <w:t xml:space="preserve">, </w:t>
            </w:r>
            <w:proofErr w:type="spellStart"/>
            <w:r w:rsidRPr="00D5205B">
              <w:rPr>
                <w:rFonts w:ascii="Arial Narrow" w:hAnsi="Arial Narrow"/>
                <w:sz w:val="20"/>
              </w:rPr>
              <w:t>glitazone</w:t>
            </w:r>
            <w:proofErr w:type="spellEnd"/>
            <w:r w:rsidRPr="00D5205B">
              <w:rPr>
                <w:rFonts w:ascii="Arial Narrow" w:hAnsi="Arial Narrow"/>
                <w:sz w:val="20"/>
              </w:rPr>
              <w:t>, glucagon-like peptide-1 or an SGLT2 inhibitor.</w:t>
            </w:r>
          </w:p>
          <w:p w:rsidR="00C86A1A" w:rsidRPr="00D5205B" w:rsidRDefault="00C86A1A" w:rsidP="00265AFC">
            <w:pPr>
              <w:rPr>
                <w:rFonts w:ascii="Arial Narrow" w:hAnsi="Arial Narrow"/>
                <w:sz w:val="20"/>
              </w:rPr>
            </w:pPr>
          </w:p>
          <w:p w:rsidR="00C86A1A" w:rsidRPr="00D5205B" w:rsidRDefault="00C86A1A" w:rsidP="00265AFC">
            <w:pPr>
              <w:rPr>
                <w:rFonts w:ascii="Arial Narrow" w:hAnsi="Arial Narrow"/>
                <w:sz w:val="20"/>
              </w:rPr>
            </w:pPr>
            <w:r w:rsidRPr="00D5205B">
              <w:rPr>
                <w:rFonts w:ascii="Arial Narrow" w:hAnsi="Arial Narrow"/>
                <w:sz w:val="20"/>
              </w:rPr>
              <w:t>Administrative advice:</w:t>
            </w:r>
          </w:p>
          <w:p w:rsidR="00C86A1A" w:rsidRPr="00D5205B" w:rsidRDefault="00C86A1A" w:rsidP="00265AFC">
            <w:pPr>
              <w:rPr>
                <w:rFonts w:ascii="Arial Narrow" w:hAnsi="Arial Narrow"/>
                <w:sz w:val="20"/>
              </w:rPr>
            </w:pPr>
            <w:proofErr w:type="spellStart"/>
            <w:r w:rsidRPr="00D5205B">
              <w:rPr>
                <w:rFonts w:ascii="Arial Narrow" w:hAnsi="Arial Narrow"/>
                <w:sz w:val="20"/>
              </w:rPr>
              <w:t>Dapagliflozin</w:t>
            </w:r>
            <w:proofErr w:type="spellEnd"/>
            <w:r w:rsidRPr="00D5205B">
              <w:rPr>
                <w:rFonts w:ascii="Arial Narrow" w:hAnsi="Arial Narrow"/>
                <w:sz w:val="20"/>
              </w:rPr>
              <w:t xml:space="preserve">/metformin XR FDC is not subsidised for use in combination with a sulfonylurea, insulin, a </w:t>
            </w:r>
            <w:proofErr w:type="spellStart"/>
            <w:r w:rsidRPr="00D5205B">
              <w:rPr>
                <w:rFonts w:ascii="Arial Narrow" w:hAnsi="Arial Narrow"/>
                <w:sz w:val="20"/>
              </w:rPr>
              <w:t>glitazone</w:t>
            </w:r>
            <w:proofErr w:type="spellEnd"/>
            <w:r w:rsidRPr="00D5205B">
              <w:rPr>
                <w:rFonts w:ascii="Arial Narrow" w:hAnsi="Arial Narrow"/>
                <w:sz w:val="20"/>
              </w:rPr>
              <w:t xml:space="preserve">, a </w:t>
            </w:r>
            <w:proofErr w:type="spellStart"/>
            <w:r w:rsidRPr="00D5205B">
              <w:rPr>
                <w:rFonts w:ascii="Arial Narrow" w:hAnsi="Arial Narrow"/>
                <w:sz w:val="20"/>
              </w:rPr>
              <w:t>gliptin</w:t>
            </w:r>
            <w:proofErr w:type="spellEnd"/>
            <w:r w:rsidRPr="00D5205B">
              <w:rPr>
                <w:rFonts w:ascii="Arial Narrow" w:hAnsi="Arial Narrow"/>
                <w:sz w:val="20"/>
              </w:rPr>
              <w:t>, a GLP1 or another SGLT2 inhibitor.</w:t>
            </w:r>
          </w:p>
          <w:p w:rsidR="00C86A1A" w:rsidRPr="00D5205B" w:rsidRDefault="00C86A1A" w:rsidP="00265AFC">
            <w:pPr>
              <w:rPr>
                <w:rFonts w:ascii="Arial Narrow" w:hAnsi="Arial Narrow"/>
                <w:sz w:val="20"/>
              </w:rPr>
            </w:pPr>
          </w:p>
        </w:tc>
      </w:tr>
    </w:tbl>
    <w:p w:rsidR="00E16910" w:rsidRPr="001D4227" w:rsidRDefault="00E16910" w:rsidP="004B5CEA">
      <w:pPr>
        <w:jc w:val="both"/>
        <w:rPr>
          <w:rFonts w:ascii="Arial" w:hAnsi="Arial"/>
          <w:sz w:val="22"/>
          <w:szCs w:val="22"/>
        </w:rPr>
      </w:pPr>
    </w:p>
    <w:p w:rsidR="00CF5AB7" w:rsidRPr="001D4227" w:rsidRDefault="00065AEF" w:rsidP="00CF5AB7">
      <w:pPr>
        <w:pStyle w:val="ListParagraph"/>
        <w:numPr>
          <w:ilvl w:val="1"/>
          <w:numId w:val="1"/>
        </w:numPr>
        <w:jc w:val="both"/>
        <w:rPr>
          <w:rFonts w:ascii="Arial" w:hAnsi="Arial" w:cs="Arial"/>
          <w:sz w:val="20"/>
          <w:szCs w:val="22"/>
        </w:rPr>
      </w:pPr>
      <w:r w:rsidRPr="001D4227">
        <w:rPr>
          <w:rFonts w:ascii="Arial" w:hAnsi="Arial" w:cs="Arial"/>
          <w:sz w:val="22"/>
        </w:rPr>
        <w:t xml:space="preserve">The </w:t>
      </w:r>
      <w:r w:rsidR="00CF5AB7" w:rsidRPr="001D4227">
        <w:rPr>
          <w:rFonts w:ascii="Arial" w:hAnsi="Arial" w:cs="Arial"/>
          <w:sz w:val="22"/>
        </w:rPr>
        <w:t xml:space="preserve">evaluation noted the </w:t>
      </w:r>
      <w:r w:rsidR="00E85A40" w:rsidRPr="001D4227">
        <w:rPr>
          <w:rFonts w:ascii="Arial" w:hAnsi="Arial" w:cs="Arial"/>
          <w:sz w:val="22"/>
        </w:rPr>
        <w:t>submission’s</w:t>
      </w:r>
      <w:r w:rsidR="00CF5AB7" w:rsidRPr="001D4227">
        <w:rPr>
          <w:rFonts w:ascii="Arial" w:hAnsi="Arial" w:cs="Arial"/>
          <w:sz w:val="22"/>
        </w:rPr>
        <w:t xml:space="preserve"> </w:t>
      </w:r>
      <w:r w:rsidRPr="001D4227">
        <w:rPr>
          <w:rFonts w:ascii="Arial" w:hAnsi="Arial" w:cs="Arial"/>
          <w:sz w:val="22"/>
        </w:rPr>
        <w:t xml:space="preserve">requested listing is consistent with the current restriction for </w:t>
      </w:r>
      <w:proofErr w:type="spellStart"/>
      <w:r w:rsidRPr="001D4227">
        <w:rPr>
          <w:rFonts w:ascii="Arial" w:hAnsi="Arial" w:cs="Arial"/>
          <w:sz w:val="22"/>
        </w:rPr>
        <w:t>dapaglif</w:t>
      </w:r>
      <w:r w:rsidR="00B74B7D" w:rsidRPr="001D4227">
        <w:rPr>
          <w:rFonts w:ascii="Arial" w:hAnsi="Arial" w:cs="Arial"/>
          <w:sz w:val="22"/>
        </w:rPr>
        <w:t>l</w:t>
      </w:r>
      <w:r w:rsidRPr="001D4227">
        <w:rPr>
          <w:rFonts w:ascii="Arial" w:hAnsi="Arial" w:cs="Arial"/>
          <w:sz w:val="22"/>
        </w:rPr>
        <w:t>ozin</w:t>
      </w:r>
      <w:proofErr w:type="spellEnd"/>
      <w:r w:rsidRPr="001D4227">
        <w:rPr>
          <w:rFonts w:ascii="Arial" w:hAnsi="Arial" w:cs="Arial"/>
          <w:sz w:val="22"/>
        </w:rPr>
        <w:t>, which is as a third</w:t>
      </w:r>
      <w:r w:rsidRPr="001D4227">
        <w:rPr>
          <w:rFonts w:ascii="Arial" w:hAnsi="Arial" w:cs="Arial"/>
          <w:sz w:val="22"/>
        </w:rPr>
        <w:noBreakHyphen/>
        <w:t xml:space="preserve">line treatment. </w:t>
      </w:r>
      <w:r w:rsidRPr="001D4227">
        <w:rPr>
          <w:rFonts w:ascii="Arial" w:hAnsi="Arial" w:cs="Arial"/>
          <w:sz w:val="22"/>
          <w:szCs w:val="22"/>
        </w:rPr>
        <w:t xml:space="preserve">The PBAC recently made a recommendation to amend the PBS restrictions of </w:t>
      </w:r>
      <w:proofErr w:type="spellStart"/>
      <w:r w:rsidRPr="001D4227">
        <w:rPr>
          <w:rFonts w:ascii="Arial" w:hAnsi="Arial" w:cs="Arial"/>
          <w:sz w:val="22"/>
          <w:szCs w:val="22"/>
        </w:rPr>
        <w:t>dipeptidyl</w:t>
      </w:r>
      <w:proofErr w:type="spellEnd"/>
      <w:r w:rsidRPr="001D4227">
        <w:rPr>
          <w:rFonts w:ascii="Arial" w:hAnsi="Arial" w:cs="Arial"/>
          <w:sz w:val="22"/>
          <w:szCs w:val="22"/>
        </w:rPr>
        <w:t xml:space="preserve"> peptidase 4 inhibitors (</w:t>
      </w:r>
      <w:proofErr w:type="spellStart"/>
      <w:r w:rsidRPr="001D4227">
        <w:rPr>
          <w:rFonts w:ascii="Arial" w:hAnsi="Arial" w:cs="Arial"/>
          <w:sz w:val="22"/>
          <w:szCs w:val="22"/>
        </w:rPr>
        <w:t>gliptins</w:t>
      </w:r>
      <w:proofErr w:type="spellEnd"/>
      <w:r w:rsidRPr="001D4227">
        <w:rPr>
          <w:rFonts w:ascii="Arial" w:hAnsi="Arial" w:cs="Arial"/>
          <w:sz w:val="22"/>
          <w:szCs w:val="22"/>
        </w:rPr>
        <w:t xml:space="preserve">) for the treatment of type 2 diabetes mellitus. The change to listings took effect on 1 April 2014. The change positions </w:t>
      </w:r>
      <w:proofErr w:type="spellStart"/>
      <w:r w:rsidRPr="001D4227">
        <w:rPr>
          <w:rFonts w:ascii="Arial" w:hAnsi="Arial" w:cs="Arial"/>
          <w:sz w:val="22"/>
          <w:szCs w:val="22"/>
        </w:rPr>
        <w:t>gliptins</w:t>
      </w:r>
      <w:proofErr w:type="spellEnd"/>
      <w:r w:rsidRPr="001D4227">
        <w:rPr>
          <w:rFonts w:ascii="Arial" w:hAnsi="Arial" w:cs="Arial"/>
          <w:sz w:val="22"/>
          <w:szCs w:val="22"/>
        </w:rPr>
        <w:t xml:space="preserve"> earlier in the PBS-subsidised treatment algorithm as second-line treatment options rather than third-line treatment options. The Department has reviewed the current restrictions for PBS-subsidised third</w:t>
      </w:r>
      <w:r w:rsidRPr="001D4227">
        <w:rPr>
          <w:rFonts w:ascii="Arial" w:hAnsi="Arial" w:cs="Arial"/>
          <w:sz w:val="22"/>
          <w:szCs w:val="22"/>
        </w:rPr>
        <w:noBreakHyphen/>
        <w:t xml:space="preserve">line treatment options for type 2 diabetes mellitus to reflect the change in the PBS availability of the </w:t>
      </w:r>
      <w:proofErr w:type="spellStart"/>
      <w:r w:rsidRPr="001D4227">
        <w:rPr>
          <w:rFonts w:ascii="Arial" w:hAnsi="Arial" w:cs="Arial"/>
          <w:sz w:val="22"/>
          <w:szCs w:val="22"/>
        </w:rPr>
        <w:t>gliptins</w:t>
      </w:r>
      <w:proofErr w:type="spellEnd"/>
      <w:r w:rsidRPr="001D4227">
        <w:rPr>
          <w:rFonts w:ascii="Arial" w:hAnsi="Arial" w:cs="Arial"/>
          <w:sz w:val="22"/>
          <w:szCs w:val="22"/>
        </w:rPr>
        <w:t xml:space="preserve">. Drafts of the revised restrictions were provided to the relevant sponsors for consideration and comment, including sponsors who have applications for a PBS-subsidised third-line treatment for type 2 diabetes currently before the PBAC. </w:t>
      </w:r>
    </w:p>
    <w:p w:rsidR="00CF5AB7" w:rsidRPr="001D4227" w:rsidRDefault="00CF5AB7" w:rsidP="00E85A40">
      <w:pPr>
        <w:pStyle w:val="ListParagraph"/>
        <w:jc w:val="both"/>
        <w:rPr>
          <w:rFonts w:ascii="Arial" w:hAnsi="Arial" w:cs="Arial"/>
          <w:sz w:val="20"/>
          <w:szCs w:val="22"/>
        </w:rPr>
      </w:pPr>
    </w:p>
    <w:p w:rsidR="00065AEF" w:rsidRPr="001D4227" w:rsidRDefault="008104C8" w:rsidP="00CF5AB7">
      <w:pPr>
        <w:pStyle w:val="ListParagraph"/>
        <w:numPr>
          <w:ilvl w:val="1"/>
          <w:numId w:val="1"/>
        </w:numPr>
        <w:jc w:val="both"/>
        <w:rPr>
          <w:rFonts w:ascii="Arial" w:hAnsi="Arial" w:cs="Arial"/>
          <w:sz w:val="20"/>
          <w:szCs w:val="22"/>
        </w:rPr>
      </w:pPr>
      <w:r w:rsidRPr="001D4227">
        <w:rPr>
          <w:rFonts w:ascii="Arial" w:hAnsi="Arial" w:cs="Arial"/>
          <w:sz w:val="22"/>
          <w:szCs w:val="22"/>
        </w:rPr>
        <w:lastRenderedPageBreak/>
        <w:t xml:space="preserve">The PBAC noted the </w:t>
      </w:r>
      <w:r w:rsidR="001E3DDD" w:rsidRPr="001D4227">
        <w:rPr>
          <w:rFonts w:ascii="Arial" w:hAnsi="Arial" w:cs="Arial"/>
          <w:sz w:val="22"/>
          <w:szCs w:val="22"/>
        </w:rPr>
        <w:t>sponsor’s</w:t>
      </w:r>
      <w:r w:rsidRPr="001D4227">
        <w:rPr>
          <w:rFonts w:ascii="Arial" w:hAnsi="Arial" w:cs="Arial"/>
          <w:sz w:val="22"/>
          <w:szCs w:val="22"/>
        </w:rPr>
        <w:t xml:space="preserve"> request</w:t>
      </w:r>
      <w:r w:rsidR="00467B85" w:rsidRPr="001D4227">
        <w:rPr>
          <w:rFonts w:ascii="Arial" w:hAnsi="Arial" w:cs="Arial"/>
          <w:sz w:val="22"/>
          <w:szCs w:val="22"/>
        </w:rPr>
        <w:t>,</w:t>
      </w:r>
      <w:r w:rsidRPr="001D4227">
        <w:rPr>
          <w:rFonts w:ascii="Arial" w:hAnsi="Arial" w:cs="Arial"/>
          <w:sz w:val="22"/>
          <w:szCs w:val="22"/>
        </w:rPr>
        <w:t xml:space="preserve"> in its pre-PBAC response</w:t>
      </w:r>
      <w:r w:rsidR="00467B85" w:rsidRPr="001D4227">
        <w:rPr>
          <w:rFonts w:ascii="Arial" w:hAnsi="Arial" w:cs="Arial"/>
          <w:sz w:val="22"/>
          <w:szCs w:val="22"/>
        </w:rPr>
        <w:t>,</w:t>
      </w:r>
      <w:r w:rsidRPr="001D4227">
        <w:rPr>
          <w:rFonts w:ascii="Arial" w:hAnsi="Arial" w:cs="Arial"/>
          <w:sz w:val="22"/>
          <w:szCs w:val="22"/>
        </w:rPr>
        <w:t xml:space="preserve"> </w:t>
      </w:r>
      <w:r w:rsidR="00467B85" w:rsidRPr="001D4227">
        <w:rPr>
          <w:rFonts w:ascii="Arial" w:hAnsi="Arial" w:cs="Arial"/>
          <w:sz w:val="22"/>
          <w:szCs w:val="22"/>
        </w:rPr>
        <w:t xml:space="preserve">for </w:t>
      </w:r>
      <w:r w:rsidR="00CF5AB7" w:rsidRPr="001D4227">
        <w:rPr>
          <w:rFonts w:ascii="Arial" w:hAnsi="Arial" w:cs="Arial"/>
          <w:sz w:val="22"/>
          <w:szCs w:val="22"/>
        </w:rPr>
        <w:t>a listing for</w:t>
      </w:r>
      <w:r w:rsidR="00467B85" w:rsidRPr="001D4227">
        <w:rPr>
          <w:rFonts w:ascii="Arial" w:hAnsi="Arial" w:cs="Arial"/>
          <w:sz w:val="22"/>
          <w:szCs w:val="22"/>
        </w:rPr>
        <w:t xml:space="preserve"> </w:t>
      </w:r>
      <w:proofErr w:type="spellStart"/>
      <w:r w:rsidRPr="001D4227">
        <w:rPr>
          <w:rFonts w:ascii="Arial" w:hAnsi="Arial" w:cs="Arial"/>
          <w:sz w:val="22"/>
          <w:szCs w:val="22"/>
        </w:rPr>
        <w:t>dapagliflozin</w:t>
      </w:r>
      <w:proofErr w:type="spellEnd"/>
      <w:r w:rsidRPr="001D4227">
        <w:rPr>
          <w:rFonts w:ascii="Arial" w:hAnsi="Arial" w:cs="Arial"/>
          <w:sz w:val="22"/>
          <w:szCs w:val="22"/>
        </w:rPr>
        <w:t xml:space="preserve"> and </w:t>
      </w:r>
      <w:proofErr w:type="spellStart"/>
      <w:r w:rsidRPr="001D4227">
        <w:rPr>
          <w:rFonts w:ascii="Arial" w:hAnsi="Arial"/>
          <w:sz w:val="22"/>
          <w:szCs w:val="22"/>
        </w:rPr>
        <w:t>dapagliflozin</w:t>
      </w:r>
      <w:proofErr w:type="spellEnd"/>
      <w:r w:rsidRPr="001D4227">
        <w:rPr>
          <w:rFonts w:ascii="Arial" w:hAnsi="Arial"/>
          <w:sz w:val="22"/>
          <w:szCs w:val="22"/>
        </w:rPr>
        <w:t xml:space="preserve">/metformin XR </w:t>
      </w:r>
      <w:r w:rsidR="00467B85" w:rsidRPr="001D4227">
        <w:rPr>
          <w:rFonts w:ascii="Arial" w:hAnsi="Arial"/>
          <w:sz w:val="22"/>
          <w:szCs w:val="22"/>
        </w:rPr>
        <w:t xml:space="preserve">that is </w:t>
      </w:r>
      <w:r w:rsidR="00CF5AB7" w:rsidRPr="001D4227">
        <w:rPr>
          <w:rFonts w:ascii="Arial" w:hAnsi="Arial"/>
          <w:sz w:val="22"/>
          <w:szCs w:val="22"/>
        </w:rPr>
        <w:t xml:space="preserve">consistent with the current second-line </w:t>
      </w:r>
      <w:proofErr w:type="spellStart"/>
      <w:r w:rsidR="00CF5AB7" w:rsidRPr="001D4227">
        <w:rPr>
          <w:rFonts w:ascii="Arial" w:hAnsi="Arial"/>
          <w:sz w:val="22"/>
          <w:szCs w:val="22"/>
        </w:rPr>
        <w:t>gliptin</w:t>
      </w:r>
      <w:proofErr w:type="spellEnd"/>
      <w:r w:rsidR="00CF5AB7" w:rsidRPr="001D4227">
        <w:rPr>
          <w:rFonts w:ascii="Arial" w:hAnsi="Arial"/>
          <w:sz w:val="22"/>
          <w:szCs w:val="22"/>
        </w:rPr>
        <w:t xml:space="preserve"> listing at a price also consistent with the current </w:t>
      </w:r>
      <w:proofErr w:type="spellStart"/>
      <w:r w:rsidR="00CF5AB7" w:rsidRPr="001D4227">
        <w:rPr>
          <w:rFonts w:ascii="Arial" w:hAnsi="Arial"/>
          <w:sz w:val="22"/>
          <w:szCs w:val="22"/>
        </w:rPr>
        <w:t>gliptin</w:t>
      </w:r>
      <w:proofErr w:type="spellEnd"/>
      <w:r w:rsidR="00CF5AB7" w:rsidRPr="001D4227">
        <w:rPr>
          <w:rFonts w:ascii="Arial" w:hAnsi="Arial"/>
          <w:sz w:val="22"/>
          <w:szCs w:val="22"/>
        </w:rPr>
        <w:t xml:space="preserve"> price </w:t>
      </w:r>
      <w:r w:rsidR="00467B85" w:rsidRPr="001D4227">
        <w:rPr>
          <w:rFonts w:ascii="Arial" w:hAnsi="Arial"/>
          <w:sz w:val="22"/>
          <w:szCs w:val="22"/>
        </w:rPr>
        <w:t>(</w:t>
      </w:r>
      <w:r w:rsidR="00CF5AB7" w:rsidRPr="001D4227">
        <w:rPr>
          <w:rFonts w:ascii="Arial" w:hAnsi="Arial"/>
          <w:sz w:val="22"/>
          <w:szCs w:val="22"/>
        </w:rPr>
        <w:t xml:space="preserve">and taking into account the current offsets of </w:t>
      </w:r>
      <w:proofErr w:type="spellStart"/>
      <w:r w:rsidR="00CF5AB7" w:rsidRPr="001D4227">
        <w:rPr>
          <w:rFonts w:ascii="Arial" w:hAnsi="Arial"/>
          <w:sz w:val="22"/>
          <w:szCs w:val="22"/>
        </w:rPr>
        <w:t>dapagliflozin</w:t>
      </w:r>
      <w:proofErr w:type="spellEnd"/>
      <w:r w:rsidR="00467B85" w:rsidRPr="001D4227">
        <w:rPr>
          <w:rFonts w:ascii="Arial" w:hAnsi="Arial"/>
          <w:sz w:val="22"/>
          <w:szCs w:val="22"/>
        </w:rPr>
        <w:t>)</w:t>
      </w:r>
      <w:r w:rsidRPr="001D4227">
        <w:rPr>
          <w:rFonts w:ascii="Arial" w:hAnsi="Arial"/>
          <w:sz w:val="22"/>
          <w:szCs w:val="22"/>
        </w:rPr>
        <w:t xml:space="preserve">. </w:t>
      </w:r>
    </w:p>
    <w:p w:rsidR="00D279AC" w:rsidRPr="001D4227" w:rsidRDefault="00D279AC" w:rsidP="00D279AC">
      <w:pPr>
        <w:pStyle w:val="ListParagraph"/>
        <w:jc w:val="both"/>
        <w:rPr>
          <w:rFonts w:ascii="Arial" w:hAnsi="Arial" w:cs="Arial"/>
          <w:sz w:val="20"/>
          <w:szCs w:val="22"/>
        </w:rPr>
      </w:pPr>
    </w:p>
    <w:p w:rsidR="008104C8" w:rsidRPr="001D4227" w:rsidRDefault="00467B85" w:rsidP="00467B85">
      <w:pPr>
        <w:pStyle w:val="ListParagraph"/>
        <w:numPr>
          <w:ilvl w:val="1"/>
          <w:numId w:val="1"/>
        </w:numPr>
        <w:jc w:val="both"/>
        <w:rPr>
          <w:rFonts w:ascii="Arial" w:hAnsi="Arial" w:cs="Arial"/>
          <w:sz w:val="22"/>
          <w:szCs w:val="22"/>
        </w:rPr>
      </w:pPr>
      <w:r w:rsidRPr="001D4227">
        <w:rPr>
          <w:rFonts w:ascii="Arial" w:hAnsi="Arial" w:cs="Arial"/>
          <w:sz w:val="22"/>
          <w:szCs w:val="22"/>
        </w:rPr>
        <w:t>The Department’s proposed amendments to the restrictions for PBS-subsidised third-line treatments for type 2 diabetes and s</w:t>
      </w:r>
      <w:r w:rsidR="00065AEF" w:rsidRPr="001D4227">
        <w:rPr>
          <w:rFonts w:ascii="Arial" w:hAnsi="Arial" w:cs="Arial"/>
          <w:sz w:val="22"/>
          <w:szCs w:val="22"/>
        </w:rPr>
        <w:t xml:space="preserve">ponsor responses </w:t>
      </w:r>
      <w:r w:rsidR="008104C8" w:rsidRPr="001D4227">
        <w:rPr>
          <w:rFonts w:ascii="Arial" w:hAnsi="Arial" w:cs="Arial"/>
          <w:sz w:val="22"/>
          <w:szCs w:val="22"/>
        </w:rPr>
        <w:t>to</w:t>
      </w:r>
      <w:r w:rsidRPr="001D4227">
        <w:rPr>
          <w:rFonts w:ascii="Arial" w:hAnsi="Arial" w:cs="Arial"/>
          <w:sz w:val="22"/>
          <w:szCs w:val="22"/>
        </w:rPr>
        <w:t xml:space="preserve"> consultation on </w:t>
      </w:r>
      <w:r w:rsidR="008104C8" w:rsidRPr="001D4227">
        <w:rPr>
          <w:rFonts w:ascii="Arial" w:hAnsi="Arial" w:cs="Arial"/>
          <w:sz w:val="22"/>
          <w:szCs w:val="22"/>
        </w:rPr>
        <w:t>the proposed</w:t>
      </w:r>
      <w:r w:rsidR="001C6158" w:rsidRPr="001D4227">
        <w:rPr>
          <w:rFonts w:ascii="Arial" w:hAnsi="Arial" w:cs="Arial"/>
          <w:sz w:val="22"/>
          <w:szCs w:val="22"/>
        </w:rPr>
        <w:t xml:space="preserve"> </w:t>
      </w:r>
      <w:r w:rsidRPr="001D4227">
        <w:rPr>
          <w:rFonts w:ascii="Arial" w:hAnsi="Arial" w:cs="Arial"/>
          <w:sz w:val="22"/>
          <w:szCs w:val="22"/>
        </w:rPr>
        <w:t>changes</w:t>
      </w:r>
      <w:r w:rsidR="008104C8" w:rsidRPr="001D4227">
        <w:rPr>
          <w:rFonts w:ascii="Arial" w:hAnsi="Arial" w:cs="Arial"/>
          <w:sz w:val="22"/>
          <w:szCs w:val="22"/>
        </w:rPr>
        <w:t xml:space="preserve"> </w:t>
      </w:r>
      <w:r w:rsidR="00872291" w:rsidRPr="001D4227">
        <w:rPr>
          <w:rFonts w:ascii="Arial" w:hAnsi="Arial" w:cs="Arial"/>
          <w:sz w:val="22"/>
          <w:szCs w:val="22"/>
        </w:rPr>
        <w:t>were</w:t>
      </w:r>
      <w:r w:rsidR="00065AEF" w:rsidRPr="001D4227">
        <w:rPr>
          <w:rFonts w:ascii="Arial" w:hAnsi="Arial" w:cs="Arial"/>
          <w:sz w:val="22"/>
          <w:szCs w:val="22"/>
        </w:rPr>
        <w:t xml:space="preserve"> </w:t>
      </w:r>
      <w:r w:rsidR="001C6158" w:rsidRPr="001D4227">
        <w:rPr>
          <w:rFonts w:ascii="Arial" w:hAnsi="Arial" w:cs="Arial"/>
          <w:sz w:val="22"/>
          <w:szCs w:val="22"/>
        </w:rPr>
        <w:t xml:space="preserve">considered </w:t>
      </w:r>
      <w:r w:rsidRPr="001D4227">
        <w:rPr>
          <w:rFonts w:ascii="Arial" w:hAnsi="Arial" w:cs="Arial"/>
          <w:sz w:val="22"/>
          <w:szCs w:val="22"/>
        </w:rPr>
        <w:t xml:space="preserve">by PBAC </w:t>
      </w:r>
      <w:r w:rsidR="00065AEF" w:rsidRPr="001D4227">
        <w:rPr>
          <w:rFonts w:ascii="Arial" w:hAnsi="Arial" w:cs="Arial"/>
          <w:sz w:val="22"/>
          <w:szCs w:val="22"/>
        </w:rPr>
        <w:t>in a separate item on this agenda.</w:t>
      </w:r>
      <w:r w:rsidR="008104C8" w:rsidRPr="001D4227">
        <w:rPr>
          <w:rFonts w:ascii="Arial" w:hAnsi="Arial" w:cs="Arial"/>
          <w:sz w:val="22"/>
          <w:szCs w:val="22"/>
        </w:rPr>
        <w:t xml:space="preserve"> </w:t>
      </w:r>
      <w:r w:rsidR="00065AEF" w:rsidRPr="001D4227">
        <w:rPr>
          <w:rFonts w:ascii="Arial" w:hAnsi="Arial" w:cs="Arial"/>
          <w:sz w:val="22"/>
          <w:szCs w:val="22"/>
        </w:rPr>
        <w:t xml:space="preserve"> </w:t>
      </w:r>
    </w:p>
    <w:p w:rsidR="00065AEF" w:rsidRPr="001D4227" w:rsidRDefault="00065AEF" w:rsidP="00065AEF">
      <w:pPr>
        <w:pStyle w:val="ListParagraph"/>
        <w:jc w:val="both"/>
        <w:rPr>
          <w:rFonts w:ascii="Arial" w:hAnsi="Arial" w:cs="Arial"/>
          <w:sz w:val="22"/>
          <w:szCs w:val="22"/>
        </w:rPr>
      </w:pPr>
    </w:p>
    <w:p w:rsidR="00614159" w:rsidRPr="00C86A1A" w:rsidRDefault="00065AEF" w:rsidP="001D4227">
      <w:pPr>
        <w:pStyle w:val="ListParagraph"/>
        <w:numPr>
          <w:ilvl w:val="1"/>
          <w:numId w:val="1"/>
        </w:numPr>
        <w:jc w:val="both"/>
        <w:rPr>
          <w:rFonts w:ascii="Arial" w:hAnsi="Arial"/>
          <w:b/>
          <w:sz w:val="22"/>
          <w:szCs w:val="22"/>
        </w:rPr>
      </w:pPr>
      <w:r w:rsidRPr="001D4227">
        <w:rPr>
          <w:rFonts w:ascii="Arial" w:hAnsi="Arial" w:cs="Arial"/>
          <w:sz w:val="22"/>
          <w:szCs w:val="22"/>
        </w:rPr>
        <w:t xml:space="preserve">The requested basis for listing is a cost minimisation with </w:t>
      </w:r>
      <w:r w:rsidRPr="001D4227">
        <w:rPr>
          <w:rFonts w:ascii="Arial" w:hAnsi="Arial" w:cs="Arial"/>
          <w:iCs/>
          <w:sz w:val="22"/>
          <w:szCs w:val="22"/>
        </w:rPr>
        <w:t>the individual components</w:t>
      </w:r>
      <w:r w:rsidRPr="001D4227">
        <w:rPr>
          <w:rFonts w:ascii="Arial" w:hAnsi="Arial" w:cs="Arial"/>
          <w:sz w:val="22"/>
          <w:szCs w:val="22"/>
        </w:rPr>
        <w:t xml:space="preserve"> of the fixed dose combination (FDC). </w:t>
      </w:r>
    </w:p>
    <w:p w:rsidR="00C86A1A" w:rsidRPr="00C86A1A" w:rsidRDefault="00C86A1A" w:rsidP="00C86A1A">
      <w:pPr>
        <w:jc w:val="both"/>
        <w:rPr>
          <w:rFonts w:ascii="Arial" w:hAnsi="Arial"/>
          <w:b/>
          <w:sz w:val="22"/>
          <w:szCs w:val="22"/>
        </w:rPr>
      </w:pPr>
    </w:p>
    <w:p w:rsidR="00BB7EC3" w:rsidRPr="001D4227" w:rsidRDefault="00BB7EC3" w:rsidP="00BB7EC3">
      <w:pPr>
        <w:pStyle w:val="ListParagraph"/>
        <w:ind w:left="709"/>
        <w:jc w:val="both"/>
        <w:rPr>
          <w:rFonts w:ascii="Arial" w:hAnsi="Arial"/>
          <w:i/>
          <w:sz w:val="22"/>
          <w:szCs w:val="22"/>
        </w:rPr>
      </w:pPr>
      <w:r w:rsidRPr="001D4227">
        <w:rPr>
          <w:rFonts w:ascii="Arial" w:hAnsi="Arial"/>
          <w:i/>
          <w:sz w:val="22"/>
          <w:szCs w:val="22"/>
        </w:rPr>
        <w:t>For more detail on PBAC’s view, see section 7 “PBAC outcome”</w:t>
      </w:r>
    </w:p>
    <w:p w:rsidR="00BB7EC3" w:rsidRPr="001D4227" w:rsidRDefault="00BB7EC3" w:rsidP="00882085">
      <w:pPr>
        <w:jc w:val="both"/>
        <w:rPr>
          <w:rFonts w:ascii="Arial" w:hAnsi="Arial"/>
          <w:b/>
          <w:sz w:val="22"/>
          <w:szCs w:val="22"/>
        </w:rPr>
      </w:pPr>
    </w:p>
    <w:p w:rsidR="00D5205B" w:rsidRPr="00407F2D" w:rsidRDefault="00D5205B" w:rsidP="00D5205B">
      <w:pPr>
        <w:pStyle w:val="ListParagraph"/>
        <w:numPr>
          <w:ilvl w:val="0"/>
          <w:numId w:val="1"/>
        </w:numPr>
        <w:jc w:val="both"/>
        <w:rPr>
          <w:rFonts w:ascii="Arial" w:hAnsi="Arial"/>
          <w:sz w:val="22"/>
          <w:szCs w:val="22"/>
        </w:rPr>
      </w:pPr>
      <w:r w:rsidRPr="00407F2D">
        <w:rPr>
          <w:rFonts w:ascii="Arial" w:hAnsi="Arial"/>
          <w:b/>
          <w:sz w:val="22"/>
          <w:szCs w:val="22"/>
        </w:rPr>
        <w:t>Background</w:t>
      </w:r>
    </w:p>
    <w:p w:rsidR="007B0D70" w:rsidRPr="001D4227" w:rsidRDefault="007B0D70" w:rsidP="007B0D70">
      <w:pPr>
        <w:pStyle w:val="ListParagraph"/>
        <w:jc w:val="both"/>
        <w:rPr>
          <w:rFonts w:ascii="Arial" w:hAnsi="Arial"/>
          <w:b/>
          <w:sz w:val="22"/>
          <w:szCs w:val="22"/>
        </w:rPr>
      </w:pPr>
    </w:p>
    <w:p w:rsidR="007B0D70" w:rsidRPr="001D4227" w:rsidRDefault="002B1AE6" w:rsidP="00872291">
      <w:pPr>
        <w:pStyle w:val="ListParagraph"/>
        <w:numPr>
          <w:ilvl w:val="1"/>
          <w:numId w:val="1"/>
        </w:numPr>
        <w:jc w:val="both"/>
        <w:rPr>
          <w:rFonts w:ascii="Arial" w:hAnsi="Arial"/>
          <w:sz w:val="22"/>
          <w:szCs w:val="22"/>
        </w:rPr>
      </w:pPr>
      <w:r w:rsidRPr="001D4227">
        <w:rPr>
          <w:rFonts w:ascii="Arial" w:hAnsi="Arial"/>
          <w:sz w:val="22"/>
          <w:szCs w:val="22"/>
        </w:rPr>
        <w:t>The submission was made under TGA/PBAC Parallel Process.  At the time of PBAC consideration,</w:t>
      </w:r>
      <w:r w:rsidR="00E03C50" w:rsidRPr="001D4227">
        <w:rPr>
          <w:rFonts w:ascii="Arial" w:hAnsi="Arial"/>
          <w:sz w:val="22"/>
          <w:szCs w:val="22"/>
        </w:rPr>
        <w:t xml:space="preserve"> </w:t>
      </w:r>
      <w:r w:rsidR="00735D38" w:rsidRPr="001D4227">
        <w:rPr>
          <w:rFonts w:ascii="Arial" w:hAnsi="Arial"/>
          <w:sz w:val="22"/>
          <w:szCs w:val="22"/>
        </w:rPr>
        <w:t xml:space="preserve">the </w:t>
      </w:r>
      <w:r w:rsidR="00710FA6" w:rsidRPr="001D4227">
        <w:rPr>
          <w:rFonts w:ascii="Arial" w:hAnsi="Arial"/>
          <w:sz w:val="22"/>
          <w:szCs w:val="22"/>
        </w:rPr>
        <w:t xml:space="preserve">TGA Delegates Overview and the </w:t>
      </w:r>
      <w:r w:rsidR="00735D38" w:rsidRPr="001D4227">
        <w:rPr>
          <w:rFonts w:ascii="Arial" w:hAnsi="Arial"/>
          <w:sz w:val="22"/>
          <w:szCs w:val="22"/>
        </w:rPr>
        <w:t xml:space="preserve">ACPM minutes </w:t>
      </w:r>
      <w:r w:rsidR="00710FA6" w:rsidRPr="001D4227">
        <w:rPr>
          <w:rFonts w:ascii="Arial" w:hAnsi="Arial"/>
          <w:sz w:val="22"/>
          <w:szCs w:val="22"/>
        </w:rPr>
        <w:t>were</w:t>
      </w:r>
      <w:r w:rsidR="00735D38" w:rsidRPr="001D4227">
        <w:rPr>
          <w:rFonts w:ascii="Arial" w:hAnsi="Arial"/>
          <w:sz w:val="22"/>
          <w:szCs w:val="22"/>
        </w:rPr>
        <w:t xml:space="preserve"> available</w:t>
      </w:r>
      <w:r w:rsidRPr="001D4227">
        <w:rPr>
          <w:rFonts w:ascii="Arial" w:hAnsi="Arial"/>
          <w:sz w:val="22"/>
          <w:szCs w:val="22"/>
        </w:rPr>
        <w:t xml:space="preserve">.  </w:t>
      </w:r>
    </w:p>
    <w:p w:rsidR="007B0D70" w:rsidRPr="001D4227" w:rsidRDefault="007B0D70" w:rsidP="007B0D70">
      <w:pPr>
        <w:pStyle w:val="ListParagraph"/>
        <w:jc w:val="both"/>
        <w:rPr>
          <w:rFonts w:ascii="Arial" w:hAnsi="Arial"/>
          <w:sz w:val="22"/>
          <w:szCs w:val="22"/>
        </w:rPr>
      </w:pPr>
    </w:p>
    <w:p w:rsidR="00065AEF" w:rsidRPr="001D4227" w:rsidRDefault="007B0D70" w:rsidP="00872291">
      <w:pPr>
        <w:pStyle w:val="ListParagraph"/>
        <w:numPr>
          <w:ilvl w:val="1"/>
          <w:numId w:val="1"/>
        </w:numPr>
        <w:jc w:val="both"/>
        <w:rPr>
          <w:rFonts w:ascii="Arial" w:hAnsi="Arial" w:cs="Arial"/>
          <w:sz w:val="22"/>
          <w:szCs w:val="22"/>
        </w:rPr>
      </w:pPr>
      <w:r w:rsidRPr="001D4227">
        <w:rPr>
          <w:rFonts w:ascii="Arial" w:hAnsi="Arial" w:cs="Arial"/>
          <w:sz w:val="22"/>
          <w:szCs w:val="22"/>
        </w:rPr>
        <w:t xml:space="preserve">In March 2012, the PBAC rejected a submission for </w:t>
      </w:r>
      <w:proofErr w:type="spellStart"/>
      <w:r w:rsidRPr="001D4227">
        <w:rPr>
          <w:rFonts w:ascii="Arial" w:hAnsi="Arial" w:cs="Arial"/>
          <w:sz w:val="22"/>
          <w:szCs w:val="22"/>
        </w:rPr>
        <w:t>dapagliflozin</w:t>
      </w:r>
      <w:proofErr w:type="spellEnd"/>
      <w:r w:rsidRPr="001D4227">
        <w:rPr>
          <w:rFonts w:ascii="Arial" w:hAnsi="Arial" w:cs="Arial"/>
          <w:sz w:val="22"/>
          <w:szCs w:val="22"/>
        </w:rPr>
        <w:t xml:space="preserve"> in dual oral therapy with metformin or a sulfonylurea on the basis of uncertain comparative effectiveness and uncertain cost-effectiveness. In July 2013, the PBAC recommended listing of </w:t>
      </w:r>
      <w:proofErr w:type="spellStart"/>
      <w:r w:rsidRPr="001D4227">
        <w:rPr>
          <w:rFonts w:ascii="Arial" w:hAnsi="Arial" w:cs="Arial"/>
          <w:sz w:val="22"/>
          <w:szCs w:val="22"/>
        </w:rPr>
        <w:t>dapagliflozin</w:t>
      </w:r>
      <w:proofErr w:type="spellEnd"/>
      <w:r w:rsidRPr="001D4227">
        <w:rPr>
          <w:rFonts w:ascii="Arial" w:hAnsi="Arial" w:cs="Arial"/>
          <w:sz w:val="22"/>
          <w:szCs w:val="22"/>
        </w:rPr>
        <w:t xml:space="preserve"> and </w:t>
      </w:r>
      <w:proofErr w:type="spellStart"/>
      <w:r w:rsidRPr="001D4227">
        <w:rPr>
          <w:rFonts w:ascii="Arial" w:hAnsi="Arial" w:cs="Arial"/>
          <w:sz w:val="22"/>
          <w:szCs w:val="22"/>
        </w:rPr>
        <w:t>canagliflozin</w:t>
      </w:r>
      <w:proofErr w:type="spellEnd"/>
      <w:r w:rsidRPr="001D4227">
        <w:rPr>
          <w:rFonts w:ascii="Arial" w:hAnsi="Arial" w:cs="Arial"/>
          <w:sz w:val="22"/>
          <w:szCs w:val="22"/>
        </w:rPr>
        <w:t xml:space="preserve"> on a cost minimisation basis with </w:t>
      </w:r>
      <w:proofErr w:type="spellStart"/>
      <w:r w:rsidRPr="001D4227">
        <w:rPr>
          <w:rFonts w:ascii="Arial" w:hAnsi="Arial" w:cs="Arial"/>
          <w:sz w:val="22"/>
          <w:szCs w:val="22"/>
        </w:rPr>
        <w:t>sitagliptin</w:t>
      </w:r>
      <w:proofErr w:type="spellEnd"/>
      <w:r w:rsidRPr="001D4227">
        <w:rPr>
          <w:rFonts w:ascii="Arial" w:hAnsi="Arial" w:cs="Arial"/>
          <w:sz w:val="22"/>
          <w:szCs w:val="22"/>
        </w:rPr>
        <w:t xml:space="preserve">; with an Authority </w:t>
      </w:r>
      <w:proofErr w:type="gramStart"/>
      <w:r w:rsidRPr="001D4227">
        <w:rPr>
          <w:rFonts w:ascii="Arial" w:hAnsi="Arial" w:cs="Arial"/>
          <w:sz w:val="22"/>
          <w:szCs w:val="22"/>
        </w:rPr>
        <w:t>Required</w:t>
      </w:r>
      <w:proofErr w:type="gramEnd"/>
      <w:r w:rsidRPr="001D4227">
        <w:rPr>
          <w:rFonts w:ascii="Arial" w:hAnsi="Arial" w:cs="Arial"/>
          <w:sz w:val="22"/>
          <w:szCs w:val="22"/>
        </w:rPr>
        <w:t xml:space="preserve"> restriction for use in combination with metformin or a sulfonylurea, where the patient is unable to be controlled by treatment with metformin and a sulfonylurea. The PBAC recommended cost-offsets for </w:t>
      </w:r>
      <w:proofErr w:type="spellStart"/>
      <w:r w:rsidRPr="001D4227">
        <w:rPr>
          <w:rFonts w:ascii="Arial" w:hAnsi="Arial" w:cs="Arial"/>
          <w:sz w:val="22"/>
          <w:szCs w:val="22"/>
        </w:rPr>
        <w:t>dapagliflozin</w:t>
      </w:r>
      <w:proofErr w:type="spellEnd"/>
      <w:r w:rsidRPr="001D4227">
        <w:rPr>
          <w:rFonts w:ascii="Arial" w:hAnsi="Arial" w:cs="Arial"/>
          <w:sz w:val="22"/>
          <w:szCs w:val="22"/>
        </w:rPr>
        <w:t xml:space="preserve"> and </w:t>
      </w:r>
      <w:proofErr w:type="spellStart"/>
      <w:r w:rsidRPr="001D4227">
        <w:rPr>
          <w:rFonts w:ascii="Arial" w:hAnsi="Arial" w:cs="Arial"/>
          <w:sz w:val="22"/>
          <w:szCs w:val="22"/>
        </w:rPr>
        <w:t>canagliflozin</w:t>
      </w:r>
      <w:proofErr w:type="spellEnd"/>
      <w:r w:rsidRPr="001D4227">
        <w:rPr>
          <w:rFonts w:ascii="Arial" w:hAnsi="Arial" w:cs="Arial"/>
          <w:sz w:val="22"/>
          <w:szCs w:val="22"/>
        </w:rPr>
        <w:t xml:space="preserve"> to account for an increased rate of adverse events (compared to </w:t>
      </w:r>
      <w:proofErr w:type="spellStart"/>
      <w:r w:rsidRPr="001D4227">
        <w:rPr>
          <w:rFonts w:ascii="Arial" w:hAnsi="Arial" w:cs="Arial"/>
          <w:sz w:val="22"/>
          <w:szCs w:val="22"/>
        </w:rPr>
        <w:t>sitagliptin</w:t>
      </w:r>
      <w:proofErr w:type="spellEnd"/>
      <w:r w:rsidRPr="001D4227">
        <w:rPr>
          <w:rFonts w:ascii="Arial" w:hAnsi="Arial" w:cs="Arial"/>
          <w:sz w:val="22"/>
          <w:szCs w:val="22"/>
        </w:rPr>
        <w:t xml:space="preserve">). The PBAC considered that the risk of use of the </w:t>
      </w:r>
      <w:proofErr w:type="spellStart"/>
      <w:r w:rsidR="001C6158" w:rsidRPr="001D4227">
        <w:rPr>
          <w:rFonts w:ascii="Arial" w:hAnsi="Arial" w:cs="Arial"/>
          <w:sz w:val="22"/>
          <w:szCs w:val="22"/>
        </w:rPr>
        <w:t>gli</w:t>
      </w:r>
      <w:r w:rsidRPr="001D4227">
        <w:rPr>
          <w:rFonts w:ascii="Arial" w:hAnsi="Arial" w:cs="Arial"/>
          <w:sz w:val="22"/>
          <w:szCs w:val="22"/>
        </w:rPr>
        <w:t>flozins</w:t>
      </w:r>
      <w:proofErr w:type="spellEnd"/>
      <w:r w:rsidRPr="001D4227">
        <w:rPr>
          <w:rFonts w:ascii="Arial" w:hAnsi="Arial" w:cs="Arial"/>
          <w:sz w:val="22"/>
          <w:szCs w:val="22"/>
        </w:rPr>
        <w:t xml:space="preserve"> outside of the restriction could be managed through a risk share agreement. </w:t>
      </w:r>
    </w:p>
    <w:p w:rsidR="00065AEF" w:rsidRPr="001D4227" w:rsidRDefault="00065AEF" w:rsidP="00065AEF">
      <w:pPr>
        <w:pStyle w:val="ListParagraph"/>
      </w:pPr>
    </w:p>
    <w:p w:rsidR="00065AEF" w:rsidRPr="001D4227" w:rsidRDefault="00065AEF" w:rsidP="00872291">
      <w:pPr>
        <w:pStyle w:val="ListParagraph"/>
        <w:numPr>
          <w:ilvl w:val="1"/>
          <w:numId w:val="1"/>
        </w:numPr>
        <w:jc w:val="both"/>
        <w:rPr>
          <w:rFonts w:ascii="Arial" w:hAnsi="Arial" w:cs="Arial"/>
          <w:sz w:val="20"/>
          <w:szCs w:val="22"/>
        </w:rPr>
      </w:pPr>
      <w:r w:rsidRPr="001D4227">
        <w:rPr>
          <w:rFonts w:ascii="Arial" w:hAnsi="Arial" w:cs="Arial"/>
          <w:sz w:val="22"/>
        </w:rPr>
        <w:t xml:space="preserve">In July 2013, the PBAC recommended listing of </w:t>
      </w:r>
      <w:proofErr w:type="spellStart"/>
      <w:r w:rsidRPr="001D4227">
        <w:rPr>
          <w:rFonts w:ascii="Arial" w:hAnsi="Arial" w:cs="Arial"/>
          <w:sz w:val="22"/>
        </w:rPr>
        <w:t>alogliptin</w:t>
      </w:r>
      <w:proofErr w:type="spellEnd"/>
      <w:r w:rsidRPr="001D4227">
        <w:rPr>
          <w:rFonts w:ascii="Arial" w:hAnsi="Arial" w:cs="Arial"/>
          <w:sz w:val="22"/>
        </w:rPr>
        <w:t xml:space="preserve"> for treatment in combination with metformin or a sulfonylurea, without the requirement for patients to have contraindications to, or be intolerant of a combination of metformin and a sulfonylurea. The PBAC stated that the listing should be at a reduced price, which takes into account the likely proportion of use in patients who have not trialled a sulfonylurea and where cost-effectiveness has not been established. On 1 April 2014, the PBS listings for all other </w:t>
      </w:r>
      <w:proofErr w:type="spellStart"/>
      <w:r w:rsidRPr="001D4227">
        <w:rPr>
          <w:rFonts w:ascii="Arial" w:hAnsi="Arial" w:cs="Arial"/>
          <w:sz w:val="22"/>
        </w:rPr>
        <w:t>gliptins</w:t>
      </w:r>
      <w:proofErr w:type="spellEnd"/>
      <w:r w:rsidRPr="001D4227">
        <w:rPr>
          <w:rFonts w:ascii="Arial" w:hAnsi="Arial" w:cs="Arial"/>
          <w:sz w:val="22"/>
        </w:rPr>
        <w:t xml:space="preserve"> (</w:t>
      </w:r>
      <w:proofErr w:type="spellStart"/>
      <w:r w:rsidRPr="001D4227">
        <w:rPr>
          <w:rFonts w:ascii="Arial" w:hAnsi="Arial" w:cs="Arial"/>
          <w:sz w:val="22"/>
        </w:rPr>
        <w:t>sitagliptin</w:t>
      </w:r>
      <w:proofErr w:type="spellEnd"/>
      <w:r w:rsidRPr="001D4227">
        <w:rPr>
          <w:rFonts w:ascii="Arial" w:hAnsi="Arial" w:cs="Arial"/>
          <w:sz w:val="22"/>
        </w:rPr>
        <w:t xml:space="preserve">, </w:t>
      </w:r>
      <w:proofErr w:type="spellStart"/>
      <w:r w:rsidRPr="001D4227">
        <w:rPr>
          <w:rFonts w:ascii="Arial" w:hAnsi="Arial" w:cs="Arial"/>
          <w:sz w:val="22"/>
        </w:rPr>
        <w:t>saxagliptin</w:t>
      </w:r>
      <w:proofErr w:type="spellEnd"/>
      <w:r w:rsidRPr="001D4227">
        <w:rPr>
          <w:rFonts w:ascii="Arial" w:hAnsi="Arial" w:cs="Arial"/>
          <w:sz w:val="22"/>
        </w:rPr>
        <w:t xml:space="preserve">, </w:t>
      </w:r>
      <w:proofErr w:type="spellStart"/>
      <w:r w:rsidRPr="001D4227">
        <w:rPr>
          <w:rFonts w:ascii="Arial" w:hAnsi="Arial" w:cs="Arial"/>
          <w:sz w:val="22"/>
        </w:rPr>
        <w:t>linagliptin</w:t>
      </w:r>
      <w:proofErr w:type="spellEnd"/>
      <w:r w:rsidRPr="001D4227">
        <w:rPr>
          <w:rFonts w:ascii="Arial" w:hAnsi="Arial" w:cs="Arial"/>
          <w:sz w:val="22"/>
        </w:rPr>
        <w:t xml:space="preserve">, </w:t>
      </w:r>
      <w:proofErr w:type="spellStart"/>
      <w:r w:rsidRPr="001D4227">
        <w:rPr>
          <w:rFonts w:ascii="Arial" w:hAnsi="Arial" w:cs="Arial"/>
          <w:sz w:val="22"/>
        </w:rPr>
        <w:t>vildagliptin</w:t>
      </w:r>
      <w:proofErr w:type="spellEnd"/>
      <w:r w:rsidRPr="001D4227">
        <w:rPr>
          <w:rFonts w:ascii="Arial" w:hAnsi="Arial" w:cs="Arial"/>
          <w:sz w:val="22"/>
        </w:rPr>
        <w:t xml:space="preserve">), including fixed dose combinations of </w:t>
      </w:r>
      <w:proofErr w:type="spellStart"/>
      <w:r w:rsidRPr="001D4227">
        <w:rPr>
          <w:rFonts w:ascii="Arial" w:hAnsi="Arial" w:cs="Arial"/>
          <w:sz w:val="22"/>
        </w:rPr>
        <w:t>gliptins</w:t>
      </w:r>
      <w:proofErr w:type="spellEnd"/>
      <w:r w:rsidRPr="001D4227">
        <w:rPr>
          <w:rFonts w:ascii="Arial" w:hAnsi="Arial" w:cs="Arial"/>
          <w:sz w:val="22"/>
        </w:rPr>
        <w:t xml:space="preserve"> and metformin, were amended in line with the restriction and price for </w:t>
      </w:r>
      <w:proofErr w:type="spellStart"/>
      <w:r w:rsidRPr="001D4227">
        <w:rPr>
          <w:rFonts w:ascii="Arial" w:hAnsi="Arial" w:cs="Arial"/>
          <w:sz w:val="22"/>
        </w:rPr>
        <w:t>alogliptin</w:t>
      </w:r>
      <w:proofErr w:type="spellEnd"/>
      <w:r w:rsidRPr="001D4227">
        <w:rPr>
          <w:rFonts w:ascii="Arial" w:hAnsi="Arial" w:cs="Arial"/>
          <w:sz w:val="22"/>
        </w:rPr>
        <w:t xml:space="preserve">. </w:t>
      </w:r>
    </w:p>
    <w:p w:rsidR="00065AEF" w:rsidRPr="001D4227" w:rsidRDefault="00065AEF" w:rsidP="00065AEF">
      <w:pPr>
        <w:pStyle w:val="ListParagraph"/>
      </w:pPr>
    </w:p>
    <w:p w:rsidR="00065AEF" w:rsidRPr="001D4227" w:rsidRDefault="00065AEF" w:rsidP="00872291">
      <w:pPr>
        <w:pStyle w:val="ListParagraph"/>
        <w:numPr>
          <w:ilvl w:val="1"/>
          <w:numId w:val="1"/>
        </w:numPr>
        <w:jc w:val="both"/>
        <w:rPr>
          <w:rFonts w:ascii="Arial" w:hAnsi="Arial" w:cs="Arial"/>
          <w:sz w:val="18"/>
          <w:szCs w:val="22"/>
        </w:rPr>
      </w:pPr>
      <w:r w:rsidRPr="001D4227">
        <w:rPr>
          <w:rFonts w:ascii="Arial" w:hAnsi="Arial" w:cs="Arial"/>
          <w:sz w:val="22"/>
        </w:rPr>
        <w:t xml:space="preserve">A submission for another </w:t>
      </w:r>
      <w:proofErr w:type="spellStart"/>
      <w:r w:rsidRPr="001D4227">
        <w:rPr>
          <w:rFonts w:ascii="Arial" w:hAnsi="Arial" w:cs="Arial"/>
          <w:sz w:val="22"/>
        </w:rPr>
        <w:t>gliflozin</w:t>
      </w:r>
      <w:proofErr w:type="spellEnd"/>
      <w:r w:rsidRPr="001D4227">
        <w:rPr>
          <w:rFonts w:ascii="Arial" w:hAnsi="Arial" w:cs="Arial"/>
          <w:sz w:val="22"/>
        </w:rPr>
        <w:t xml:space="preserve">, </w:t>
      </w:r>
      <w:proofErr w:type="spellStart"/>
      <w:r w:rsidRPr="001D4227">
        <w:rPr>
          <w:rFonts w:ascii="Arial" w:hAnsi="Arial" w:cs="Arial"/>
          <w:sz w:val="22"/>
        </w:rPr>
        <w:t>empagliflozin</w:t>
      </w:r>
      <w:proofErr w:type="spellEnd"/>
      <w:r w:rsidRPr="001D4227">
        <w:rPr>
          <w:rFonts w:ascii="Arial" w:hAnsi="Arial" w:cs="Arial"/>
          <w:sz w:val="22"/>
        </w:rPr>
        <w:t xml:space="preserve"> for dual therapy with metformin or a sulfonylurea, </w:t>
      </w:r>
      <w:r w:rsidR="00872291" w:rsidRPr="001D4227">
        <w:rPr>
          <w:rFonts w:ascii="Arial" w:hAnsi="Arial" w:cs="Arial"/>
          <w:sz w:val="22"/>
        </w:rPr>
        <w:t xml:space="preserve">was </w:t>
      </w:r>
      <w:r w:rsidRPr="001D4227">
        <w:rPr>
          <w:rFonts w:ascii="Arial" w:hAnsi="Arial" w:cs="Arial"/>
          <w:sz w:val="22"/>
        </w:rPr>
        <w:t>also considered at the July 2014 PBAC Meeting.</w:t>
      </w:r>
      <w:r w:rsidRPr="001D4227">
        <w:rPr>
          <w:rFonts w:ascii="Arial" w:hAnsi="Arial" w:cs="Arial"/>
          <w:color w:val="3366FF"/>
          <w:sz w:val="22"/>
        </w:rPr>
        <w:t xml:space="preserve">  </w:t>
      </w:r>
    </w:p>
    <w:p w:rsidR="00EF1F25" w:rsidRDefault="00EF1F25" w:rsidP="00882085">
      <w:pPr>
        <w:jc w:val="both"/>
        <w:rPr>
          <w:rFonts w:ascii="Arial" w:hAnsi="Arial"/>
          <w:b/>
          <w:sz w:val="22"/>
          <w:szCs w:val="22"/>
        </w:rPr>
      </w:pPr>
    </w:p>
    <w:p w:rsidR="00D5205B" w:rsidRPr="00407F2D" w:rsidRDefault="00D5205B" w:rsidP="00D5205B">
      <w:pPr>
        <w:pStyle w:val="ListParagraph"/>
        <w:numPr>
          <w:ilvl w:val="0"/>
          <w:numId w:val="1"/>
        </w:numPr>
        <w:jc w:val="both"/>
        <w:rPr>
          <w:rFonts w:ascii="Arial" w:hAnsi="Arial"/>
          <w:b/>
          <w:sz w:val="22"/>
          <w:szCs w:val="22"/>
        </w:rPr>
      </w:pPr>
      <w:r w:rsidRPr="00407F2D">
        <w:rPr>
          <w:rFonts w:ascii="Arial" w:hAnsi="Arial"/>
          <w:b/>
          <w:sz w:val="22"/>
          <w:szCs w:val="22"/>
        </w:rPr>
        <w:t>Clinical place for the proposed therapy</w:t>
      </w:r>
    </w:p>
    <w:p w:rsidR="00CE10C4" w:rsidRPr="001D4227" w:rsidRDefault="00CE10C4" w:rsidP="00882085">
      <w:pPr>
        <w:jc w:val="both"/>
        <w:rPr>
          <w:rFonts w:ascii="Arial" w:hAnsi="Arial"/>
          <w:sz w:val="22"/>
          <w:szCs w:val="22"/>
        </w:rPr>
      </w:pPr>
    </w:p>
    <w:p w:rsidR="006A12A5" w:rsidRPr="00D5205B" w:rsidRDefault="007B0D70" w:rsidP="00D5205B">
      <w:pPr>
        <w:pStyle w:val="ListParagraph"/>
        <w:numPr>
          <w:ilvl w:val="1"/>
          <w:numId w:val="1"/>
        </w:numPr>
        <w:jc w:val="both"/>
        <w:rPr>
          <w:rFonts w:ascii="Arial" w:hAnsi="Arial"/>
          <w:sz w:val="22"/>
          <w:szCs w:val="22"/>
        </w:rPr>
      </w:pPr>
      <w:proofErr w:type="spellStart"/>
      <w:r w:rsidRPr="00D5205B">
        <w:rPr>
          <w:rFonts w:ascii="Arial" w:hAnsi="Arial" w:cs="Arial"/>
          <w:sz w:val="22"/>
          <w:szCs w:val="22"/>
        </w:rPr>
        <w:t>Dapagliflozin</w:t>
      </w:r>
      <w:proofErr w:type="spellEnd"/>
      <w:r w:rsidRPr="00D5205B">
        <w:rPr>
          <w:rFonts w:ascii="Arial" w:hAnsi="Arial" w:cs="Arial"/>
          <w:sz w:val="22"/>
          <w:szCs w:val="22"/>
        </w:rPr>
        <w:t xml:space="preserve">/metformin XR fixed dose combination (FDC) will provide a treatment </w:t>
      </w:r>
      <w:proofErr w:type="gramStart"/>
      <w:r w:rsidRPr="00D5205B">
        <w:rPr>
          <w:rFonts w:ascii="Arial" w:hAnsi="Arial" w:cs="Arial"/>
          <w:sz w:val="22"/>
          <w:szCs w:val="22"/>
        </w:rPr>
        <w:t>alternative</w:t>
      </w:r>
      <w:proofErr w:type="gramEnd"/>
      <w:r w:rsidRPr="00D5205B">
        <w:rPr>
          <w:rFonts w:ascii="Arial" w:hAnsi="Arial" w:cs="Arial"/>
          <w:sz w:val="22"/>
          <w:szCs w:val="22"/>
        </w:rPr>
        <w:t xml:space="preserve"> for patients taking concomitant </w:t>
      </w:r>
      <w:proofErr w:type="spellStart"/>
      <w:r w:rsidRPr="00D5205B">
        <w:rPr>
          <w:rFonts w:ascii="Arial" w:hAnsi="Arial" w:cs="Arial"/>
          <w:sz w:val="22"/>
          <w:szCs w:val="22"/>
        </w:rPr>
        <w:t>dapagliflozin</w:t>
      </w:r>
      <w:proofErr w:type="spellEnd"/>
      <w:r w:rsidRPr="00D5205B">
        <w:rPr>
          <w:rFonts w:ascii="Arial" w:hAnsi="Arial" w:cs="Arial"/>
          <w:sz w:val="22"/>
          <w:szCs w:val="22"/>
        </w:rPr>
        <w:t xml:space="preserve"> and either metformin extended release (XR) or metformin immediate release (IR) for the treatment of type 2 diabetes.</w:t>
      </w:r>
      <w:r w:rsidRPr="001D4227">
        <w:t xml:space="preserve"> </w:t>
      </w:r>
      <w:r w:rsidR="00C35996" w:rsidRPr="00D5205B">
        <w:rPr>
          <w:rFonts w:ascii="Arial" w:hAnsi="Arial"/>
          <w:sz w:val="22"/>
          <w:szCs w:val="22"/>
        </w:rPr>
        <w:tab/>
      </w:r>
    </w:p>
    <w:p w:rsidR="006A12A5" w:rsidRPr="001D4227" w:rsidRDefault="006A12A5" w:rsidP="00882085">
      <w:pPr>
        <w:pStyle w:val="Header"/>
        <w:tabs>
          <w:tab w:val="clear" w:pos="4153"/>
          <w:tab w:val="clear" w:pos="8306"/>
        </w:tabs>
        <w:jc w:val="both"/>
        <w:rPr>
          <w:rFonts w:ascii="Arial" w:hAnsi="Arial"/>
          <w:sz w:val="22"/>
          <w:szCs w:val="22"/>
        </w:rPr>
      </w:pPr>
    </w:p>
    <w:p w:rsidR="00BB7EC3" w:rsidRPr="001D4227" w:rsidRDefault="00BB7EC3" w:rsidP="00BB7EC3">
      <w:pPr>
        <w:pStyle w:val="ListParagraph"/>
        <w:ind w:left="709"/>
        <w:jc w:val="both"/>
        <w:rPr>
          <w:rFonts w:ascii="Arial" w:hAnsi="Arial"/>
          <w:i/>
          <w:sz w:val="22"/>
          <w:szCs w:val="22"/>
        </w:rPr>
      </w:pPr>
      <w:r w:rsidRPr="001D4227">
        <w:rPr>
          <w:rFonts w:ascii="Arial" w:hAnsi="Arial"/>
          <w:i/>
          <w:sz w:val="22"/>
          <w:szCs w:val="22"/>
        </w:rPr>
        <w:t>For PBAC’s view, see section 7 “PBAC outcome”</w:t>
      </w:r>
    </w:p>
    <w:p w:rsidR="00BB7EC3" w:rsidRDefault="00BB7EC3" w:rsidP="00882085">
      <w:pPr>
        <w:pStyle w:val="Header"/>
        <w:tabs>
          <w:tab w:val="clear" w:pos="4153"/>
          <w:tab w:val="clear" w:pos="8306"/>
        </w:tabs>
        <w:jc w:val="both"/>
        <w:rPr>
          <w:rFonts w:ascii="Arial" w:hAnsi="Arial"/>
          <w:sz w:val="22"/>
          <w:szCs w:val="22"/>
        </w:rPr>
      </w:pPr>
    </w:p>
    <w:p w:rsidR="00D5205B" w:rsidRPr="001D4227" w:rsidRDefault="00D5205B" w:rsidP="00882085">
      <w:pPr>
        <w:pStyle w:val="Header"/>
        <w:tabs>
          <w:tab w:val="clear" w:pos="4153"/>
          <w:tab w:val="clear" w:pos="8306"/>
        </w:tabs>
        <w:jc w:val="both"/>
        <w:rPr>
          <w:rFonts w:ascii="Arial" w:hAnsi="Arial"/>
          <w:sz w:val="22"/>
          <w:szCs w:val="22"/>
        </w:rPr>
      </w:pPr>
    </w:p>
    <w:p w:rsidR="00D5205B" w:rsidRPr="00407F2D" w:rsidRDefault="00D5205B" w:rsidP="00D5205B">
      <w:pPr>
        <w:pStyle w:val="Header"/>
        <w:numPr>
          <w:ilvl w:val="0"/>
          <w:numId w:val="1"/>
        </w:numPr>
        <w:tabs>
          <w:tab w:val="clear" w:pos="4153"/>
          <w:tab w:val="clear" w:pos="8306"/>
        </w:tabs>
        <w:jc w:val="both"/>
        <w:rPr>
          <w:rFonts w:ascii="Arial" w:hAnsi="Arial"/>
          <w:b/>
          <w:sz w:val="22"/>
          <w:szCs w:val="22"/>
        </w:rPr>
      </w:pPr>
      <w:r w:rsidRPr="00407F2D">
        <w:rPr>
          <w:rFonts w:ascii="Arial" w:hAnsi="Arial"/>
          <w:b/>
          <w:sz w:val="22"/>
          <w:szCs w:val="22"/>
        </w:rPr>
        <w:t>Comparator</w:t>
      </w:r>
    </w:p>
    <w:p w:rsidR="007B0D70" w:rsidRPr="001D4227" w:rsidRDefault="007B0D70" w:rsidP="007B0D70">
      <w:pPr>
        <w:pStyle w:val="Header"/>
        <w:tabs>
          <w:tab w:val="clear" w:pos="4153"/>
          <w:tab w:val="clear" w:pos="8306"/>
        </w:tabs>
        <w:ind w:left="720"/>
        <w:jc w:val="both"/>
        <w:rPr>
          <w:rFonts w:ascii="Arial" w:hAnsi="Arial"/>
          <w:b/>
          <w:sz w:val="22"/>
          <w:szCs w:val="22"/>
        </w:rPr>
      </w:pPr>
    </w:p>
    <w:p w:rsidR="007B0D70" w:rsidRPr="00D5205B" w:rsidRDefault="009C2E00" w:rsidP="00D5205B">
      <w:pPr>
        <w:pStyle w:val="ListParagraph"/>
        <w:numPr>
          <w:ilvl w:val="1"/>
          <w:numId w:val="1"/>
        </w:numPr>
        <w:jc w:val="both"/>
        <w:rPr>
          <w:rFonts w:ascii="Arial" w:hAnsi="Arial"/>
          <w:sz w:val="22"/>
          <w:szCs w:val="22"/>
        </w:rPr>
      </w:pPr>
      <w:r w:rsidRPr="00D5205B">
        <w:rPr>
          <w:rFonts w:ascii="Arial" w:hAnsi="Arial" w:cs="Arial"/>
          <w:sz w:val="22"/>
        </w:rPr>
        <w:lastRenderedPageBreak/>
        <w:t xml:space="preserve">The submission nominated the corresponding doses of the individual components of </w:t>
      </w:r>
      <w:proofErr w:type="spellStart"/>
      <w:r w:rsidRPr="00D5205B">
        <w:rPr>
          <w:rFonts w:ascii="Arial" w:hAnsi="Arial" w:cs="Arial"/>
          <w:sz w:val="22"/>
        </w:rPr>
        <w:t>dapagliflozin</w:t>
      </w:r>
      <w:proofErr w:type="spellEnd"/>
      <w:r w:rsidRPr="00D5205B">
        <w:rPr>
          <w:rFonts w:ascii="Arial" w:hAnsi="Arial" w:cs="Arial"/>
          <w:sz w:val="22"/>
        </w:rPr>
        <w:t xml:space="preserve"> and metformin XR as the comparator.</w:t>
      </w:r>
      <w:r w:rsidRPr="00D5205B">
        <w:rPr>
          <w:sz w:val="22"/>
        </w:rPr>
        <w:t xml:space="preserve"> </w:t>
      </w:r>
      <w:r w:rsidR="00872291" w:rsidRPr="00D5205B">
        <w:rPr>
          <w:rFonts w:ascii="Arial" w:hAnsi="Arial" w:cs="Arial"/>
          <w:sz w:val="22"/>
        </w:rPr>
        <w:t>The submission also suggested</w:t>
      </w:r>
      <w:r w:rsidR="007B0D70" w:rsidRPr="00D5205B">
        <w:rPr>
          <w:rFonts w:ascii="Arial" w:hAnsi="Arial" w:cs="Arial"/>
          <w:sz w:val="22"/>
        </w:rPr>
        <w:t xml:space="preserve"> that co-administered </w:t>
      </w:r>
      <w:proofErr w:type="spellStart"/>
      <w:r w:rsidR="007B0D70" w:rsidRPr="00D5205B">
        <w:rPr>
          <w:rFonts w:ascii="Arial" w:hAnsi="Arial" w:cs="Arial"/>
          <w:sz w:val="22"/>
        </w:rPr>
        <w:t>dapagliflozin</w:t>
      </w:r>
      <w:proofErr w:type="spellEnd"/>
      <w:r w:rsidR="007B0D70" w:rsidRPr="00D5205B">
        <w:rPr>
          <w:rFonts w:ascii="Arial" w:hAnsi="Arial" w:cs="Arial"/>
          <w:sz w:val="22"/>
        </w:rPr>
        <w:t xml:space="preserve"> and metformin IR would be an appropriate comparator. </w:t>
      </w:r>
      <w:r w:rsidR="00065AEF" w:rsidRPr="00D5205B">
        <w:rPr>
          <w:rFonts w:ascii="Arial" w:hAnsi="Arial" w:cs="Arial"/>
          <w:sz w:val="22"/>
        </w:rPr>
        <w:t>The ESC agreed that these were both relevant comparators.</w:t>
      </w:r>
      <w:r w:rsidR="00065AEF" w:rsidRPr="00D5205B">
        <w:rPr>
          <w:rFonts w:ascii="Arial" w:hAnsi="Arial" w:cs="Arial"/>
          <w:b/>
          <w:sz w:val="22"/>
        </w:rPr>
        <w:t xml:space="preserve"> </w:t>
      </w:r>
    </w:p>
    <w:p w:rsidR="00BB7EC3" w:rsidRPr="001D4227" w:rsidRDefault="00BB7EC3" w:rsidP="008D447E">
      <w:pPr>
        <w:pStyle w:val="ListParagraph"/>
        <w:jc w:val="both"/>
        <w:rPr>
          <w:rFonts w:ascii="Arial" w:hAnsi="Arial"/>
          <w:sz w:val="22"/>
          <w:szCs w:val="22"/>
        </w:rPr>
      </w:pPr>
    </w:p>
    <w:p w:rsidR="00BB7EC3" w:rsidRPr="001D4227" w:rsidRDefault="00BB7EC3" w:rsidP="00BB7EC3">
      <w:pPr>
        <w:pStyle w:val="ListParagraph"/>
        <w:ind w:left="709"/>
        <w:jc w:val="both"/>
        <w:rPr>
          <w:rFonts w:ascii="Arial" w:hAnsi="Arial"/>
          <w:i/>
          <w:sz w:val="22"/>
          <w:szCs w:val="22"/>
        </w:rPr>
      </w:pPr>
      <w:r w:rsidRPr="001D4227">
        <w:rPr>
          <w:rFonts w:ascii="Arial" w:hAnsi="Arial"/>
          <w:i/>
          <w:sz w:val="22"/>
          <w:szCs w:val="22"/>
        </w:rPr>
        <w:t>For PBAC’s view, see section 7 “PBAC outcome”</w:t>
      </w:r>
    </w:p>
    <w:p w:rsidR="00DF26A7" w:rsidRDefault="00DF26A7" w:rsidP="00D5205B">
      <w:pPr>
        <w:jc w:val="both"/>
        <w:rPr>
          <w:rFonts w:ascii="Arial" w:hAnsi="Arial"/>
          <w:sz w:val="22"/>
          <w:szCs w:val="22"/>
        </w:rPr>
      </w:pPr>
    </w:p>
    <w:p w:rsidR="00D5205B" w:rsidRPr="00D5205B" w:rsidRDefault="00D5205B" w:rsidP="00D5205B">
      <w:pPr>
        <w:jc w:val="both"/>
        <w:rPr>
          <w:rFonts w:ascii="Arial" w:hAnsi="Arial"/>
          <w:sz w:val="22"/>
          <w:szCs w:val="22"/>
        </w:rPr>
      </w:pPr>
    </w:p>
    <w:p w:rsidR="00D5205B" w:rsidRPr="00407F2D" w:rsidRDefault="00D5205B" w:rsidP="00D5205B">
      <w:pPr>
        <w:pStyle w:val="Header"/>
        <w:numPr>
          <w:ilvl w:val="0"/>
          <w:numId w:val="1"/>
        </w:numPr>
        <w:tabs>
          <w:tab w:val="clear" w:pos="4153"/>
          <w:tab w:val="clear" w:pos="8306"/>
        </w:tabs>
        <w:jc w:val="both"/>
        <w:rPr>
          <w:rFonts w:ascii="Arial" w:hAnsi="Arial"/>
          <w:b/>
          <w:sz w:val="22"/>
          <w:szCs w:val="22"/>
        </w:rPr>
      </w:pPr>
      <w:r w:rsidRPr="00407F2D">
        <w:rPr>
          <w:rFonts w:ascii="Arial" w:hAnsi="Arial"/>
          <w:b/>
          <w:sz w:val="22"/>
          <w:szCs w:val="22"/>
        </w:rPr>
        <w:t>PBAC consideration of the evidence</w:t>
      </w:r>
    </w:p>
    <w:p w:rsidR="00D5205B" w:rsidRDefault="00D5205B" w:rsidP="00D5205B">
      <w:pPr>
        <w:jc w:val="both"/>
        <w:rPr>
          <w:rFonts w:ascii="Arial" w:hAnsi="Arial"/>
          <w:b/>
          <w:sz w:val="22"/>
          <w:szCs w:val="22"/>
        </w:rPr>
      </w:pPr>
    </w:p>
    <w:p w:rsidR="00BB7EC3" w:rsidRPr="001D4227" w:rsidRDefault="00BB7EC3" w:rsidP="00D5205B">
      <w:pPr>
        <w:jc w:val="both"/>
        <w:rPr>
          <w:rFonts w:ascii="Arial" w:hAnsi="Arial"/>
          <w:b/>
          <w:i/>
          <w:sz w:val="22"/>
          <w:szCs w:val="22"/>
        </w:rPr>
      </w:pPr>
      <w:r w:rsidRPr="001D4227">
        <w:rPr>
          <w:rFonts w:ascii="Arial" w:hAnsi="Arial"/>
          <w:b/>
          <w:i/>
          <w:sz w:val="22"/>
          <w:szCs w:val="22"/>
        </w:rPr>
        <w:t>Sponsor hearing</w:t>
      </w:r>
    </w:p>
    <w:p w:rsidR="00BB7EC3" w:rsidRPr="001D4227" w:rsidRDefault="00BB7EC3" w:rsidP="00065AEF">
      <w:pPr>
        <w:jc w:val="both"/>
        <w:rPr>
          <w:rFonts w:ascii="Arial" w:hAnsi="Arial"/>
          <w:sz w:val="22"/>
          <w:szCs w:val="22"/>
        </w:rPr>
      </w:pPr>
    </w:p>
    <w:p w:rsidR="00BB7EC3" w:rsidRPr="002E7872" w:rsidRDefault="00BB7EC3" w:rsidP="002E7872">
      <w:pPr>
        <w:pStyle w:val="ListParagraph"/>
        <w:numPr>
          <w:ilvl w:val="1"/>
          <w:numId w:val="1"/>
        </w:numPr>
        <w:jc w:val="both"/>
        <w:rPr>
          <w:rFonts w:ascii="Arial" w:hAnsi="Arial"/>
          <w:sz w:val="22"/>
          <w:szCs w:val="22"/>
        </w:rPr>
      </w:pPr>
      <w:r w:rsidRPr="002E7872">
        <w:rPr>
          <w:rFonts w:ascii="Arial" w:hAnsi="Arial"/>
          <w:sz w:val="22"/>
          <w:szCs w:val="22"/>
        </w:rPr>
        <w:t>There was no hearing for this item.</w:t>
      </w:r>
    </w:p>
    <w:p w:rsidR="00D5205B" w:rsidRDefault="00D5205B" w:rsidP="00D5205B">
      <w:pPr>
        <w:jc w:val="both"/>
        <w:rPr>
          <w:rFonts w:ascii="Arial" w:hAnsi="Arial"/>
          <w:sz w:val="22"/>
          <w:szCs w:val="22"/>
        </w:rPr>
      </w:pPr>
    </w:p>
    <w:p w:rsidR="00BB7EC3" w:rsidRPr="001D4227" w:rsidRDefault="00BB7EC3" w:rsidP="00D5205B">
      <w:pPr>
        <w:jc w:val="both"/>
        <w:rPr>
          <w:rFonts w:ascii="Arial" w:hAnsi="Arial"/>
          <w:b/>
          <w:i/>
          <w:sz w:val="22"/>
          <w:szCs w:val="22"/>
        </w:rPr>
      </w:pPr>
      <w:r w:rsidRPr="001D4227">
        <w:rPr>
          <w:rFonts w:ascii="Arial" w:hAnsi="Arial"/>
          <w:b/>
          <w:i/>
          <w:sz w:val="22"/>
          <w:szCs w:val="22"/>
        </w:rPr>
        <w:t>Consumer comments</w:t>
      </w:r>
    </w:p>
    <w:p w:rsidR="00BB7EC3" w:rsidRPr="001D4227" w:rsidRDefault="00BB7EC3" w:rsidP="00BB7EC3">
      <w:pPr>
        <w:pStyle w:val="ListParagraph"/>
        <w:ind w:left="709"/>
        <w:jc w:val="both"/>
        <w:rPr>
          <w:rFonts w:ascii="Arial" w:hAnsi="Arial"/>
          <w:sz w:val="22"/>
          <w:szCs w:val="22"/>
        </w:rPr>
      </w:pPr>
    </w:p>
    <w:p w:rsidR="00BB7EC3" w:rsidRPr="002E7872" w:rsidRDefault="00BB7EC3" w:rsidP="002E7872">
      <w:pPr>
        <w:pStyle w:val="ListParagraph"/>
        <w:numPr>
          <w:ilvl w:val="1"/>
          <w:numId w:val="1"/>
        </w:numPr>
        <w:jc w:val="both"/>
        <w:rPr>
          <w:rFonts w:ascii="Arial" w:hAnsi="Arial"/>
          <w:sz w:val="22"/>
          <w:szCs w:val="22"/>
        </w:rPr>
      </w:pPr>
      <w:r w:rsidRPr="002E7872">
        <w:rPr>
          <w:rFonts w:ascii="Arial" w:hAnsi="Arial"/>
          <w:sz w:val="22"/>
          <w:szCs w:val="22"/>
        </w:rPr>
        <w:t>The PBAC noted that no consumer commen</w:t>
      </w:r>
      <w:r w:rsidR="007D142F" w:rsidRPr="002E7872">
        <w:rPr>
          <w:rFonts w:ascii="Arial" w:hAnsi="Arial"/>
          <w:sz w:val="22"/>
          <w:szCs w:val="22"/>
        </w:rPr>
        <w:t>ts were received for this item.</w:t>
      </w:r>
    </w:p>
    <w:p w:rsidR="002B1AE6" w:rsidRPr="001D4227" w:rsidRDefault="002B1AE6" w:rsidP="00882085">
      <w:pPr>
        <w:jc w:val="both"/>
        <w:rPr>
          <w:rFonts w:ascii="Arial" w:hAnsi="Arial"/>
          <w:b/>
          <w:sz w:val="22"/>
          <w:szCs w:val="22"/>
        </w:rPr>
      </w:pPr>
    </w:p>
    <w:p w:rsidR="00B43E90" w:rsidRPr="001D4227" w:rsidRDefault="00B43E90" w:rsidP="00882085">
      <w:pPr>
        <w:jc w:val="both"/>
        <w:rPr>
          <w:rFonts w:ascii="Arial" w:hAnsi="Arial"/>
          <w:b/>
          <w:i/>
          <w:sz w:val="22"/>
          <w:szCs w:val="22"/>
        </w:rPr>
      </w:pPr>
      <w:r w:rsidRPr="001D4227">
        <w:rPr>
          <w:rFonts w:ascii="Arial" w:hAnsi="Arial"/>
          <w:b/>
          <w:i/>
          <w:sz w:val="22"/>
          <w:szCs w:val="22"/>
        </w:rPr>
        <w:t>Clinical trials</w:t>
      </w:r>
    </w:p>
    <w:p w:rsidR="002B1AE6" w:rsidRPr="001D4227" w:rsidRDefault="002B1AE6" w:rsidP="00882085">
      <w:pPr>
        <w:jc w:val="both"/>
        <w:rPr>
          <w:rFonts w:ascii="Arial" w:hAnsi="Arial"/>
          <w:sz w:val="22"/>
          <w:szCs w:val="22"/>
        </w:rPr>
      </w:pPr>
    </w:p>
    <w:p w:rsidR="00361845" w:rsidRPr="002E7872" w:rsidRDefault="00872291" w:rsidP="002E7872">
      <w:pPr>
        <w:pStyle w:val="ListParagraph"/>
        <w:numPr>
          <w:ilvl w:val="1"/>
          <w:numId w:val="1"/>
        </w:numPr>
        <w:jc w:val="both"/>
        <w:rPr>
          <w:rFonts w:ascii="Arial" w:hAnsi="Arial"/>
          <w:sz w:val="22"/>
          <w:szCs w:val="22"/>
        </w:rPr>
      </w:pPr>
      <w:r w:rsidRPr="002E7872">
        <w:rPr>
          <w:rFonts w:ascii="Arial" w:hAnsi="Arial" w:cs="Arial"/>
          <w:sz w:val="22"/>
        </w:rPr>
        <w:t>The submission presented</w:t>
      </w:r>
      <w:r w:rsidR="007D142F" w:rsidRPr="002E7872">
        <w:rPr>
          <w:rFonts w:ascii="Arial" w:hAnsi="Arial" w:cs="Arial"/>
          <w:sz w:val="22"/>
        </w:rPr>
        <w:t xml:space="preserve"> data from three bioequivalence trials (CT-092, CT-100, CT-125) comparing </w:t>
      </w:r>
      <w:proofErr w:type="spellStart"/>
      <w:r w:rsidR="007D142F" w:rsidRPr="002E7872">
        <w:rPr>
          <w:rFonts w:ascii="Arial" w:hAnsi="Arial" w:cs="Arial"/>
          <w:sz w:val="22"/>
        </w:rPr>
        <w:t>dapagliflozin</w:t>
      </w:r>
      <w:proofErr w:type="spellEnd"/>
      <w:r w:rsidR="007D142F" w:rsidRPr="002E7872">
        <w:rPr>
          <w:rFonts w:ascii="Arial" w:hAnsi="Arial" w:cs="Arial"/>
          <w:sz w:val="22"/>
        </w:rPr>
        <w:t>/metformin XR with concomitant treatment using individual components.</w:t>
      </w:r>
      <w:r w:rsidR="00361845" w:rsidRPr="002E7872">
        <w:rPr>
          <w:rFonts w:ascii="Arial" w:hAnsi="Arial" w:cs="Arial"/>
          <w:sz w:val="22"/>
        </w:rPr>
        <w:t xml:space="preserve"> Details of the trials presented in the submission are below.</w:t>
      </w:r>
    </w:p>
    <w:p w:rsidR="008104C8" w:rsidRPr="001D4227" w:rsidRDefault="008104C8" w:rsidP="008104C8">
      <w:pPr>
        <w:pStyle w:val="ListParagraph"/>
        <w:ind w:left="709"/>
        <w:jc w:val="both"/>
        <w:rPr>
          <w:rFonts w:ascii="Arial" w:hAnsi="Arial" w:cs="Arial"/>
          <w:sz w:val="20"/>
          <w:szCs w:val="22"/>
        </w:rPr>
      </w:pPr>
    </w:p>
    <w:p w:rsidR="008104C8" w:rsidRPr="002E7872" w:rsidRDefault="008104C8" w:rsidP="002E7872">
      <w:pPr>
        <w:pStyle w:val="ListParagraph"/>
        <w:numPr>
          <w:ilvl w:val="1"/>
          <w:numId w:val="1"/>
        </w:numPr>
        <w:jc w:val="both"/>
        <w:rPr>
          <w:rFonts w:ascii="Arial" w:hAnsi="Arial"/>
          <w:sz w:val="22"/>
          <w:szCs w:val="22"/>
        </w:rPr>
      </w:pPr>
      <w:r w:rsidRPr="002E7872">
        <w:rPr>
          <w:rFonts w:ascii="Arial" w:hAnsi="Arial" w:cs="Arial"/>
          <w:sz w:val="22"/>
        </w:rPr>
        <w:t>The submission</w:t>
      </w:r>
      <w:r w:rsidR="00E15B82" w:rsidRPr="002E7872">
        <w:rPr>
          <w:rFonts w:ascii="Arial" w:hAnsi="Arial" w:cs="Arial"/>
          <w:sz w:val="22"/>
        </w:rPr>
        <w:t xml:space="preserve"> also</w:t>
      </w:r>
      <w:r w:rsidRPr="002E7872">
        <w:rPr>
          <w:rFonts w:ascii="Arial" w:hAnsi="Arial" w:cs="Arial"/>
          <w:sz w:val="22"/>
        </w:rPr>
        <w:t xml:space="preserve"> presented data from Trial CT-014 to support a claim of additive efficacy when </w:t>
      </w:r>
      <w:proofErr w:type="spellStart"/>
      <w:r w:rsidRPr="002E7872">
        <w:rPr>
          <w:rFonts w:ascii="Arial" w:hAnsi="Arial" w:cs="Arial"/>
          <w:sz w:val="22"/>
        </w:rPr>
        <w:t>dapagliflozin</w:t>
      </w:r>
      <w:proofErr w:type="spellEnd"/>
      <w:r w:rsidRPr="002E7872">
        <w:rPr>
          <w:rFonts w:ascii="Arial" w:hAnsi="Arial" w:cs="Arial"/>
          <w:sz w:val="22"/>
        </w:rPr>
        <w:t xml:space="preserve"> is added to metformin. This trial was previously assessed by the PBAC as part of the </w:t>
      </w:r>
      <w:proofErr w:type="spellStart"/>
      <w:r w:rsidRPr="002E7872">
        <w:rPr>
          <w:rFonts w:ascii="Arial" w:hAnsi="Arial" w:cs="Arial"/>
          <w:sz w:val="22"/>
        </w:rPr>
        <w:t>dapagliflozin</w:t>
      </w:r>
      <w:proofErr w:type="spellEnd"/>
      <w:r w:rsidRPr="002E7872">
        <w:rPr>
          <w:rFonts w:ascii="Arial" w:hAnsi="Arial" w:cs="Arial"/>
          <w:sz w:val="22"/>
        </w:rPr>
        <w:t xml:space="preserve"> submission that received a positive recommendation for dual oral therapy with metformin or a sulfonylurea at the July 2013 PBAC meeting. </w:t>
      </w:r>
    </w:p>
    <w:p w:rsidR="008104C8" w:rsidRPr="001D4227" w:rsidRDefault="008104C8" w:rsidP="008104C8">
      <w:pPr>
        <w:jc w:val="both"/>
        <w:rPr>
          <w:rFonts w:ascii="Arial" w:hAnsi="Arial" w:cs="Arial"/>
          <w:sz w:val="20"/>
          <w:szCs w:val="22"/>
        </w:rPr>
      </w:pPr>
    </w:p>
    <w:p w:rsidR="00361845" w:rsidRPr="001D4227" w:rsidRDefault="00361845" w:rsidP="00361845">
      <w:pPr>
        <w:pStyle w:val="COMBody"/>
        <w:ind w:firstLine="709"/>
        <w:rPr>
          <w:rFonts w:ascii="Arial Narrow" w:hAnsi="Arial Narrow"/>
          <w:b/>
          <w:sz w:val="20"/>
        </w:rPr>
      </w:pPr>
      <w:r w:rsidRPr="001D4227">
        <w:rPr>
          <w:b/>
          <w:sz w:val="20"/>
        </w:rPr>
        <w:t xml:space="preserve">Trials and associated reports presented in the submission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Trials and associated reports presented in the submission"/>
      </w:tblPr>
      <w:tblGrid>
        <w:gridCol w:w="997"/>
        <w:gridCol w:w="5666"/>
        <w:gridCol w:w="1682"/>
      </w:tblGrid>
      <w:tr w:rsidR="00361845" w:rsidRPr="001D4227" w:rsidTr="00D5205B">
        <w:trPr>
          <w:tblHeader/>
        </w:trPr>
        <w:tc>
          <w:tcPr>
            <w:tcW w:w="597" w:type="pct"/>
          </w:tcPr>
          <w:p w:rsidR="00361845" w:rsidRPr="001D4227" w:rsidRDefault="00361845" w:rsidP="00735D38">
            <w:pPr>
              <w:pStyle w:val="COMtbl-HEADLeftAligned"/>
            </w:pPr>
            <w:r w:rsidRPr="001D4227">
              <w:t>Trial ID</w:t>
            </w:r>
          </w:p>
        </w:tc>
        <w:tc>
          <w:tcPr>
            <w:tcW w:w="3395" w:type="pct"/>
          </w:tcPr>
          <w:p w:rsidR="00361845" w:rsidRPr="001D4227" w:rsidRDefault="00361845" w:rsidP="00735D38">
            <w:pPr>
              <w:pStyle w:val="COMtbl-HEADCentred"/>
            </w:pPr>
            <w:r w:rsidRPr="001D4227">
              <w:t>Protocol title/ Publication title</w:t>
            </w:r>
          </w:p>
        </w:tc>
        <w:tc>
          <w:tcPr>
            <w:tcW w:w="1008" w:type="pct"/>
          </w:tcPr>
          <w:p w:rsidR="00361845" w:rsidRPr="001D4227" w:rsidRDefault="00361845" w:rsidP="00735D38">
            <w:pPr>
              <w:pStyle w:val="COMtbl-HEADCentred"/>
            </w:pPr>
            <w:r w:rsidRPr="001D4227">
              <w:t>Publication citation</w:t>
            </w:r>
          </w:p>
        </w:tc>
      </w:tr>
      <w:tr w:rsidR="00361845" w:rsidRPr="001D4227" w:rsidTr="00C86A1A">
        <w:tc>
          <w:tcPr>
            <w:tcW w:w="5000" w:type="pct"/>
            <w:gridSpan w:val="3"/>
          </w:tcPr>
          <w:p w:rsidR="00361845" w:rsidRPr="001D4227" w:rsidRDefault="00361845" w:rsidP="00735D38">
            <w:pPr>
              <w:pStyle w:val="COMtbl-HEADLeftAligned"/>
            </w:pPr>
            <w:r w:rsidRPr="001D4227">
              <w:t>Bioequivalence trials</w:t>
            </w:r>
          </w:p>
        </w:tc>
      </w:tr>
      <w:tr w:rsidR="00361845" w:rsidRPr="001D4227" w:rsidTr="00D5205B">
        <w:tc>
          <w:tcPr>
            <w:tcW w:w="597" w:type="pct"/>
          </w:tcPr>
          <w:p w:rsidR="00361845" w:rsidRPr="001D4227" w:rsidRDefault="00361845" w:rsidP="00735D38">
            <w:pPr>
              <w:pStyle w:val="COMtbl-textLeftAligned"/>
            </w:pPr>
            <w:r w:rsidRPr="001D4227">
              <w:t>CT-065</w:t>
            </w:r>
          </w:p>
        </w:tc>
        <w:tc>
          <w:tcPr>
            <w:tcW w:w="3395" w:type="pct"/>
          </w:tcPr>
          <w:p w:rsidR="00361845" w:rsidRPr="001D4227" w:rsidRDefault="00361845" w:rsidP="00735D38">
            <w:pPr>
              <w:pStyle w:val="COMtbl-textLeftAligned"/>
            </w:pPr>
            <w:r w:rsidRPr="001D4227">
              <w:t xml:space="preserve">Bioavailability study of two prototype fixed dose combination (FDC) formulations of 10mg </w:t>
            </w:r>
            <w:proofErr w:type="spellStart"/>
            <w:r w:rsidRPr="001D4227">
              <w:t>dapagliflozin</w:t>
            </w:r>
            <w:proofErr w:type="spellEnd"/>
            <w:r w:rsidRPr="001D4227">
              <w:t xml:space="preserve"> and 1000mg metformin extended release (XR) tablet relative to </w:t>
            </w:r>
            <w:proofErr w:type="spellStart"/>
            <w:r w:rsidRPr="001D4227">
              <w:t>dapagliflozin</w:t>
            </w:r>
            <w:proofErr w:type="spellEnd"/>
            <w:r w:rsidRPr="001D4227">
              <w:t xml:space="preserve"> 10mg tablet and Glucophage® XR x 2 500mg tablets co-administered to healthy subjects in a fasted state.</w:t>
            </w:r>
          </w:p>
        </w:tc>
        <w:tc>
          <w:tcPr>
            <w:tcW w:w="1008" w:type="pct"/>
          </w:tcPr>
          <w:p w:rsidR="00361845" w:rsidRPr="001D4227" w:rsidRDefault="00361845" w:rsidP="00735D38">
            <w:pPr>
              <w:rPr>
                <w:rFonts w:ascii="Arial Narrow" w:hAnsi="Arial Narrow"/>
                <w:b/>
                <w:sz w:val="20"/>
              </w:rPr>
            </w:pPr>
            <w:r w:rsidRPr="001D4227">
              <w:rPr>
                <w:rFonts w:ascii="Arial Narrow" w:hAnsi="Arial Narrow"/>
                <w:iCs/>
                <w:sz w:val="20"/>
              </w:rPr>
              <w:t>Internal study report</w:t>
            </w:r>
          </w:p>
        </w:tc>
      </w:tr>
      <w:tr w:rsidR="00361845" w:rsidRPr="001D4227" w:rsidTr="00D5205B">
        <w:tc>
          <w:tcPr>
            <w:tcW w:w="597" w:type="pct"/>
          </w:tcPr>
          <w:p w:rsidR="00361845" w:rsidRPr="001D4227" w:rsidRDefault="00361845" w:rsidP="00735D38">
            <w:pPr>
              <w:pStyle w:val="COMtbl-textLeftAligned"/>
            </w:pPr>
            <w:r w:rsidRPr="001D4227">
              <w:t>CT-071</w:t>
            </w:r>
          </w:p>
        </w:tc>
        <w:tc>
          <w:tcPr>
            <w:tcW w:w="3395" w:type="pct"/>
          </w:tcPr>
          <w:p w:rsidR="00361845" w:rsidRPr="001D4227" w:rsidRDefault="00361845" w:rsidP="00735D38">
            <w:pPr>
              <w:pStyle w:val="COMtbl-textLeftAligned"/>
            </w:pPr>
            <w:r w:rsidRPr="001D4227">
              <w:t xml:space="preserve">Bioavailability study of two prototype fixed dose combination (FDC) formulations of 10mg </w:t>
            </w:r>
            <w:proofErr w:type="spellStart"/>
            <w:r w:rsidRPr="001D4227">
              <w:t>dapagliflozin</w:t>
            </w:r>
            <w:proofErr w:type="spellEnd"/>
            <w:r w:rsidRPr="001D4227">
              <w:t xml:space="preserve"> and 500mg metformin extended release (XR) tablet relative to </w:t>
            </w:r>
            <w:proofErr w:type="spellStart"/>
            <w:r w:rsidRPr="001D4227">
              <w:t>dapagliflozin</w:t>
            </w:r>
            <w:proofErr w:type="spellEnd"/>
            <w:r w:rsidRPr="001D4227">
              <w:t xml:space="preserve"> 10mg tablet and a 500mg Glucophage® XR tablet, in healthy subjects in a fasted state.</w:t>
            </w:r>
          </w:p>
        </w:tc>
        <w:tc>
          <w:tcPr>
            <w:tcW w:w="1008" w:type="pct"/>
          </w:tcPr>
          <w:p w:rsidR="00361845" w:rsidRPr="001D4227" w:rsidRDefault="00361845" w:rsidP="00735D38">
            <w:pPr>
              <w:rPr>
                <w:rFonts w:ascii="Arial Narrow" w:hAnsi="Arial Narrow"/>
                <w:iCs/>
                <w:sz w:val="20"/>
              </w:rPr>
            </w:pPr>
            <w:r w:rsidRPr="001D4227">
              <w:rPr>
                <w:rFonts w:ascii="Arial Narrow" w:hAnsi="Arial Narrow"/>
                <w:iCs/>
                <w:sz w:val="20"/>
              </w:rPr>
              <w:t>Internal study report</w:t>
            </w:r>
          </w:p>
        </w:tc>
      </w:tr>
      <w:tr w:rsidR="00361845" w:rsidRPr="001D4227" w:rsidTr="00D5205B">
        <w:tc>
          <w:tcPr>
            <w:tcW w:w="597" w:type="pct"/>
          </w:tcPr>
          <w:p w:rsidR="00361845" w:rsidRPr="001D4227" w:rsidRDefault="00361845" w:rsidP="00735D38">
            <w:pPr>
              <w:pStyle w:val="COMtbl-textLeftAligned"/>
            </w:pPr>
            <w:r w:rsidRPr="001D4227">
              <w:t>CT-092</w:t>
            </w:r>
          </w:p>
        </w:tc>
        <w:tc>
          <w:tcPr>
            <w:tcW w:w="3395" w:type="pct"/>
          </w:tcPr>
          <w:p w:rsidR="00361845" w:rsidRPr="001D4227" w:rsidRDefault="00361845" w:rsidP="00735D38">
            <w:pPr>
              <w:pStyle w:val="COMtbl-textLeftAligned"/>
            </w:pPr>
            <w:r w:rsidRPr="001D4227">
              <w:t xml:space="preserve">Bioequivalence study of a fixed-dose combination tablet of 10mg </w:t>
            </w:r>
            <w:proofErr w:type="spellStart"/>
            <w:r w:rsidRPr="001D4227">
              <w:t>dapagliflozin</w:t>
            </w:r>
            <w:proofErr w:type="spellEnd"/>
            <w:r w:rsidRPr="001D4227">
              <w:t xml:space="preserve">/1000mg metformin XR relative to a single 10mg </w:t>
            </w:r>
            <w:proofErr w:type="spellStart"/>
            <w:r w:rsidRPr="001D4227">
              <w:t>dapagliflozin</w:t>
            </w:r>
            <w:proofErr w:type="spellEnd"/>
            <w:r w:rsidRPr="001D4227">
              <w:t xml:space="preserve"> tablet and two 500mg Glucophage® XR tablets co-administered to healthy subjects in the fed and fasted states and steady-state pharmacokinetic assessment of the fixed-dose combination of 10mg </w:t>
            </w:r>
            <w:proofErr w:type="spellStart"/>
            <w:r w:rsidRPr="001D4227">
              <w:t>dapagliflozin</w:t>
            </w:r>
            <w:proofErr w:type="spellEnd"/>
            <w:r w:rsidRPr="001D4227">
              <w:t xml:space="preserve"> /1000mg metformin XR.</w:t>
            </w:r>
          </w:p>
        </w:tc>
        <w:tc>
          <w:tcPr>
            <w:tcW w:w="1008" w:type="pct"/>
          </w:tcPr>
          <w:p w:rsidR="00361845" w:rsidRPr="001D4227" w:rsidRDefault="00361845" w:rsidP="00735D38">
            <w:pPr>
              <w:rPr>
                <w:rFonts w:ascii="Arial Narrow" w:hAnsi="Arial Narrow"/>
                <w:iCs/>
                <w:sz w:val="20"/>
              </w:rPr>
            </w:pPr>
            <w:r w:rsidRPr="001D4227">
              <w:rPr>
                <w:rFonts w:ascii="Arial Narrow" w:hAnsi="Arial Narrow"/>
                <w:iCs/>
                <w:sz w:val="20"/>
              </w:rPr>
              <w:t>Internal study report</w:t>
            </w:r>
          </w:p>
        </w:tc>
      </w:tr>
      <w:tr w:rsidR="00361845" w:rsidRPr="001D4227" w:rsidTr="00D5205B">
        <w:tc>
          <w:tcPr>
            <w:tcW w:w="597" w:type="pct"/>
          </w:tcPr>
          <w:p w:rsidR="00361845" w:rsidRPr="001D4227" w:rsidRDefault="00361845" w:rsidP="00735D38">
            <w:pPr>
              <w:pStyle w:val="COMtbl-textLeftAligned"/>
            </w:pPr>
            <w:r w:rsidRPr="001D4227">
              <w:t>CT-100</w:t>
            </w:r>
          </w:p>
        </w:tc>
        <w:tc>
          <w:tcPr>
            <w:tcW w:w="3395" w:type="pct"/>
          </w:tcPr>
          <w:p w:rsidR="00361845" w:rsidRPr="001D4227" w:rsidRDefault="00361845" w:rsidP="00735D38">
            <w:pPr>
              <w:pStyle w:val="COMtbl-textLeftAligned"/>
            </w:pPr>
            <w:r w:rsidRPr="001D4227">
              <w:t xml:space="preserve">Bioequivalence study of a fixed-dose combination tablet of 5mg </w:t>
            </w:r>
            <w:proofErr w:type="spellStart"/>
            <w:r w:rsidRPr="001D4227">
              <w:t>dapagliflozin</w:t>
            </w:r>
            <w:proofErr w:type="spellEnd"/>
            <w:r w:rsidRPr="001D4227">
              <w:t xml:space="preserve">/500mg metformin XR relative to a single 5mg </w:t>
            </w:r>
            <w:proofErr w:type="spellStart"/>
            <w:r w:rsidRPr="001D4227">
              <w:t>dapagliflozin</w:t>
            </w:r>
            <w:proofErr w:type="spellEnd"/>
            <w:r w:rsidRPr="001D4227">
              <w:t xml:space="preserve"> tablet and a single 500mg Glucophage® XR tablet co-administered to health subjects in the fed and fasted states and steady-state pharmacokinetic assessment of the fixed dose combination of 5mg </w:t>
            </w:r>
            <w:proofErr w:type="spellStart"/>
            <w:r w:rsidRPr="001D4227">
              <w:t>dapagliflozin</w:t>
            </w:r>
            <w:proofErr w:type="spellEnd"/>
            <w:r w:rsidRPr="001D4227">
              <w:t>/500mg metformin XR.</w:t>
            </w:r>
          </w:p>
        </w:tc>
        <w:tc>
          <w:tcPr>
            <w:tcW w:w="1008" w:type="pct"/>
          </w:tcPr>
          <w:p w:rsidR="00361845" w:rsidRPr="001D4227" w:rsidRDefault="00361845" w:rsidP="00735D38">
            <w:pPr>
              <w:rPr>
                <w:rFonts w:ascii="Arial Narrow" w:hAnsi="Arial Narrow"/>
                <w:iCs/>
                <w:sz w:val="20"/>
              </w:rPr>
            </w:pPr>
            <w:r w:rsidRPr="001D4227">
              <w:rPr>
                <w:rFonts w:ascii="Arial Narrow" w:hAnsi="Arial Narrow"/>
                <w:iCs/>
                <w:sz w:val="20"/>
              </w:rPr>
              <w:t>Internal study report</w:t>
            </w:r>
          </w:p>
        </w:tc>
      </w:tr>
      <w:tr w:rsidR="00361845" w:rsidRPr="001D4227" w:rsidTr="00D5205B">
        <w:tc>
          <w:tcPr>
            <w:tcW w:w="597" w:type="pct"/>
          </w:tcPr>
          <w:p w:rsidR="00361845" w:rsidRPr="001D4227" w:rsidRDefault="00361845" w:rsidP="00735D38">
            <w:pPr>
              <w:pStyle w:val="COMtbl-textLeftAligned"/>
            </w:pPr>
            <w:r w:rsidRPr="001D4227">
              <w:t>CT-125</w:t>
            </w:r>
          </w:p>
        </w:tc>
        <w:tc>
          <w:tcPr>
            <w:tcW w:w="3395" w:type="pct"/>
          </w:tcPr>
          <w:p w:rsidR="00361845" w:rsidRPr="001D4227" w:rsidRDefault="00361845" w:rsidP="00735D38">
            <w:pPr>
              <w:pStyle w:val="COMtbl-textLeftAligned"/>
            </w:pPr>
            <w:r w:rsidRPr="001D4227">
              <w:t xml:space="preserve">Bioequivalence study of a </w:t>
            </w:r>
            <w:proofErr w:type="spellStart"/>
            <w:r w:rsidRPr="001D4227">
              <w:t>dapagliflozin</w:t>
            </w:r>
            <w:proofErr w:type="spellEnd"/>
            <w:r w:rsidRPr="001D4227">
              <w:t xml:space="preserve">/metformin XR fixed-dose combination tablet relative to a single </w:t>
            </w:r>
            <w:proofErr w:type="spellStart"/>
            <w:r w:rsidRPr="001D4227">
              <w:t>dapagliflozin</w:t>
            </w:r>
            <w:proofErr w:type="spellEnd"/>
            <w:r w:rsidRPr="001D4227">
              <w:t xml:space="preserve"> and a single </w:t>
            </w:r>
            <w:proofErr w:type="spellStart"/>
            <w:r w:rsidRPr="001D4227">
              <w:t>Diabex</w:t>
            </w:r>
            <w:proofErr w:type="spellEnd"/>
            <w:r w:rsidRPr="001D4227">
              <w:t>® XR tablet at 2 dose strengths co-administered to healthy subjects under fed conditions.</w:t>
            </w:r>
          </w:p>
        </w:tc>
        <w:tc>
          <w:tcPr>
            <w:tcW w:w="1008" w:type="pct"/>
          </w:tcPr>
          <w:p w:rsidR="00361845" w:rsidRPr="001D4227" w:rsidRDefault="00361845" w:rsidP="00735D38">
            <w:pPr>
              <w:rPr>
                <w:rFonts w:ascii="Arial Narrow" w:hAnsi="Arial Narrow"/>
                <w:iCs/>
                <w:sz w:val="20"/>
              </w:rPr>
            </w:pPr>
            <w:r w:rsidRPr="001D4227">
              <w:rPr>
                <w:rFonts w:ascii="Arial Narrow" w:hAnsi="Arial Narrow"/>
                <w:iCs/>
                <w:sz w:val="20"/>
              </w:rPr>
              <w:t>Internal study report</w:t>
            </w:r>
          </w:p>
        </w:tc>
      </w:tr>
      <w:tr w:rsidR="00361845" w:rsidRPr="001D4227" w:rsidTr="00D5205B">
        <w:tc>
          <w:tcPr>
            <w:tcW w:w="597" w:type="pct"/>
          </w:tcPr>
          <w:p w:rsidR="00361845" w:rsidRPr="001D4227" w:rsidRDefault="00361845" w:rsidP="00735D38">
            <w:pPr>
              <w:pStyle w:val="COMtbl-textLeftAligned"/>
            </w:pPr>
            <w:r w:rsidRPr="001D4227">
              <w:t>CT-691</w:t>
            </w:r>
          </w:p>
        </w:tc>
        <w:tc>
          <w:tcPr>
            <w:tcW w:w="3395" w:type="pct"/>
          </w:tcPr>
          <w:p w:rsidR="00361845" w:rsidRPr="001D4227" w:rsidRDefault="00361845" w:rsidP="00735D38">
            <w:pPr>
              <w:pStyle w:val="COMtbl-textLeftAligned"/>
              <w:rPr>
                <w:b/>
              </w:rPr>
            </w:pPr>
            <w:r w:rsidRPr="001D4227">
              <w:t xml:space="preserve">A two part, open label, randomized, </w:t>
            </w:r>
            <w:proofErr w:type="gramStart"/>
            <w:r w:rsidRPr="001D4227">
              <w:t>Phase</w:t>
            </w:r>
            <w:proofErr w:type="gramEnd"/>
            <w:r w:rsidRPr="001D4227">
              <w:t xml:space="preserve"> I bioequivalence study comparing </w:t>
            </w:r>
            <w:r w:rsidRPr="001D4227">
              <w:lastRenderedPageBreak/>
              <w:t xml:space="preserve">the fixed dose combination </w:t>
            </w:r>
            <w:proofErr w:type="spellStart"/>
            <w:r w:rsidRPr="001D4227">
              <w:t>dapagliflozin</w:t>
            </w:r>
            <w:proofErr w:type="spellEnd"/>
            <w:r w:rsidRPr="001D4227">
              <w:t xml:space="preserve">/metformin IR tablet (2.5mg/850mg or 5mg/1000mg) vs. the free combination of </w:t>
            </w:r>
            <w:proofErr w:type="spellStart"/>
            <w:r w:rsidRPr="001D4227">
              <w:t>dapagliflozin</w:t>
            </w:r>
            <w:proofErr w:type="spellEnd"/>
            <w:r w:rsidRPr="001D4227">
              <w:t xml:space="preserve"> and metformin IR tablets, in healthy volunteers, in the fed state.</w:t>
            </w:r>
          </w:p>
        </w:tc>
        <w:tc>
          <w:tcPr>
            <w:tcW w:w="1008" w:type="pct"/>
          </w:tcPr>
          <w:p w:rsidR="00361845" w:rsidRPr="001D4227" w:rsidRDefault="00361845" w:rsidP="00735D38">
            <w:pPr>
              <w:rPr>
                <w:rFonts w:ascii="Arial Narrow" w:hAnsi="Arial Narrow"/>
                <w:i/>
                <w:sz w:val="20"/>
              </w:rPr>
            </w:pPr>
            <w:r w:rsidRPr="001D4227">
              <w:rPr>
                <w:rFonts w:ascii="Arial Narrow" w:hAnsi="Arial Narrow"/>
                <w:iCs/>
                <w:sz w:val="20"/>
              </w:rPr>
              <w:lastRenderedPageBreak/>
              <w:t>Internal study report</w:t>
            </w:r>
          </w:p>
        </w:tc>
      </w:tr>
      <w:tr w:rsidR="00361845" w:rsidRPr="001D4227" w:rsidTr="00C86A1A">
        <w:tc>
          <w:tcPr>
            <w:tcW w:w="5000" w:type="pct"/>
            <w:gridSpan w:val="3"/>
            <w:tcBorders>
              <w:bottom w:val="single" w:sz="4" w:space="0" w:color="auto"/>
            </w:tcBorders>
          </w:tcPr>
          <w:p w:rsidR="00361845" w:rsidRPr="001D4227" w:rsidRDefault="00361845" w:rsidP="00735D38">
            <w:pPr>
              <w:pStyle w:val="COMtbl-HEADLeftAligned"/>
            </w:pPr>
            <w:r w:rsidRPr="001D4227">
              <w:lastRenderedPageBreak/>
              <w:t>Randomised trials assessing additive efficacy</w:t>
            </w:r>
          </w:p>
        </w:tc>
      </w:tr>
      <w:tr w:rsidR="00361845" w:rsidRPr="001D4227" w:rsidTr="00D5205B">
        <w:tc>
          <w:tcPr>
            <w:tcW w:w="597" w:type="pct"/>
            <w:tcBorders>
              <w:bottom w:val="nil"/>
            </w:tcBorders>
          </w:tcPr>
          <w:p w:rsidR="00361845" w:rsidRPr="001D4227" w:rsidRDefault="00361845" w:rsidP="00735D38">
            <w:pPr>
              <w:pStyle w:val="COMtbl-textLeftAligned"/>
            </w:pPr>
            <w:r w:rsidRPr="001D4227">
              <w:t>CT-014</w:t>
            </w:r>
          </w:p>
        </w:tc>
        <w:tc>
          <w:tcPr>
            <w:tcW w:w="3395" w:type="pct"/>
            <w:tcBorders>
              <w:bottom w:val="nil"/>
            </w:tcBorders>
          </w:tcPr>
          <w:p w:rsidR="00361845" w:rsidRPr="001D4227" w:rsidRDefault="00361845" w:rsidP="00735D38">
            <w:pPr>
              <w:pStyle w:val="COMtbl-textLeftAligned"/>
            </w:pPr>
            <w:r w:rsidRPr="001D4227">
              <w:t xml:space="preserve">A </w:t>
            </w:r>
            <w:proofErr w:type="spellStart"/>
            <w:r w:rsidRPr="001D4227">
              <w:t>multicenter</w:t>
            </w:r>
            <w:proofErr w:type="spellEnd"/>
            <w:r w:rsidRPr="001D4227">
              <w:t xml:space="preserve">, randomized, double-blind, placebo-controlled, parallel group, phase 3 trial to evaluate the safety and efficacy of </w:t>
            </w:r>
            <w:proofErr w:type="spellStart"/>
            <w:r w:rsidRPr="001D4227">
              <w:t>dapagliflozin</w:t>
            </w:r>
            <w:proofErr w:type="spellEnd"/>
            <w:r w:rsidRPr="001D4227">
              <w:t xml:space="preserve"> in combination with metformin in subjects with type 2 diabetes who have inadequate </w:t>
            </w:r>
            <w:proofErr w:type="spellStart"/>
            <w:r w:rsidRPr="001D4227">
              <w:t>glycemic</w:t>
            </w:r>
            <w:proofErr w:type="spellEnd"/>
            <w:r w:rsidRPr="001D4227">
              <w:t xml:space="preserve"> control on metformin alone. (NCT00528879)</w:t>
            </w:r>
          </w:p>
        </w:tc>
        <w:tc>
          <w:tcPr>
            <w:tcW w:w="1008" w:type="pct"/>
            <w:tcBorders>
              <w:bottom w:val="nil"/>
            </w:tcBorders>
          </w:tcPr>
          <w:p w:rsidR="00361845" w:rsidRPr="001D4227" w:rsidRDefault="00361845" w:rsidP="00735D38">
            <w:pPr>
              <w:rPr>
                <w:rFonts w:ascii="Arial Narrow" w:hAnsi="Arial Narrow"/>
                <w:iCs/>
                <w:sz w:val="20"/>
              </w:rPr>
            </w:pPr>
            <w:r w:rsidRPr="001D4227">
              <w:rPr>
                <w:rFonts w:ascii="Arial Narrow" w:hAnsi="Arial Narrow"/>
                <w:iCs/>
                <w:sz w:val="20"/>
              </w:rPr>
              <w:t>Internal study report</w:t>
            </w:r>
          </w:p>
          <w:p w:rsidR="00361845" w:rsidRPr="001D4227" w:rsidRDefault="00361845" w:rsidP="00735D38">
            <w:pPr>
              <w:rPr>
                <w:rFonts w:ascii="Arial Narrow" w:hAnsi="Arial Narrow"/>
                <w:b/>
                <w:sz w:val="20"/>
              </w:rPr>
            </w:pPr>
          </w:p>
        </w:tc>
      </w:tr>
      <w:tr w:rsidR="00361845" w:rsidRPr="001D4227" w:rsidTr="00D5205B">
        <w:tc>
          <w:tcPr>
            <w:tcW w:w="597" w:type="pct"/>
            <w:tcBorders>
              <w:top w:val="nil"/>
              <w:bottom w:val="nil"/>
            </w:tcBorders>
          </w:tcPr>
          <w:p w:rsidR="00361845" w:rsidRPr="001D4227" w:rsidRDefault="00361845" w:rsidP="00735D38">
            <w:pPr>
              <w:pStyle w:val="COMtbl-textLeftAligned"/>
            </w:pPr>
            <w:r w:rsidRPr="001D4227">
              <w:t>Bailey 2010</w:t>
            </w:r>
          </w:p>
        </w:tc>
        <w:tc>
          <w:tcPr>
            <w:tcW w:w="3395" w:type="pct"/>
            <w:tcBorders>
              <w:top w:val="nil"/>
              <w:bottom w:val="nil"/>
            </w:tcBorders>
          </w:tcPr>
          <w:p w:rsidR="00361845" w:rsidRPr="001D4227" w:rsidRDefault="00361845" w:rsidP="00735D38">
            <w:pPr>
              <w:pStyle w:val="COMtbl-textLeftAligned"/>
            </w:pPr>
            <w:r w:rsidRPr="001D4227">
              <w:t xml:space="preserve">Bailey, C. J., et al. Effect of </w:t>
            </w:r>
            <w:proofErr w:type="spellStart"/>
            <w:r w:rsidRPr="001D4227">
              <w:t>dapagliflozin</w:t>
            </w:r>
            <w:proofErr w:type="spellEnd"/>
            <w:r w:rsidRPr="001D4227">
              <w:t xml:space="preserve"> in patients with type 2 diabetes who have inadequate glycaemic control with metformin: a randomised, double-blind, placebo-controlled trial.</w:t>
            </w:r>
          </w:p>
        </w:tc>
        <w:tc>
          <w:tcPr>
            <w:tcW w:w="1008" w:type="pct"/>
            <w:tcBorders>
              <w:top w:val="nil"/>
              <w:bottom w:val="nil"/>
            </w:tcBorders>
          </w:tcPr>
          <w:p w:rsidR="00361845" w:rsidRPr="001D4227" w:rsidRDefault="00361845" w:rsidP="00735D38">
            <w:pPr>
              <w:rPr>
                <w:rFonts w:ascii="Arial Narrow" w:hAnsi="Arial Narrow"/>
                <w:iCs/>
                <w:sz w:val="20"/>
              </w:rPr>
            </w:pPr>
            <w:r w:rsidRPr="001D4227">
              <w:rPr>
                <w:rFonts w:ascii="Arial Narrow" w:hAnsi="Arial Narrow"/>
                <w:i/>
                <w:sz w:val="20"/>
              </w:rPr>
              <w:t>The Lancet</w:t>
            </w:r>
            <w:r w:rsidRPr="001D4227">
              <w:rPr>
                <w:rFonts w:ascii="Arial Narrow" w:hAnsi="Arial Narrow"/>
                <w:sz w:val="20"/>
              </w:rPr>
              <w:t xml:space="preserve"> 2010; 375(9733): 2223-2233.</w:t>
            </w:r>
          </w:p>
        </w:tc>
      </w:tr>
      <w:tr w:rsidR="00361845" w:rsidRPr="001D4227" w:rsidTr="00D5205B">
        <w:tc>
          <w:tcPr>
            <w:tcW w:w="597" w:type="pct"/>
            <w:tcBorders>
              <w:top w:val="nil"/>
              <w:bottom w:val="nil"/>
            </w:tcBorders>
          </w:tcPr>
          <w:p w:rsidR="00361845" w:rsidRPr="001D4227" w:rsidRDefault="00361845" w:rsidP="00735D38">
            <w:pPr>
              <w:pStyle w:val="COMtbl-textLeftAligned"/>
            </w:pPr>
            <w:r w:rsidRPr="001D4227">
              <w:t>Bailey 2011</w:t>
            </w:r>
          </w:p>
        </w:tc>
        <w:tc>
          <w:tcPr>
            <w:tcW w:w="3395" w:type="pct"/>
            <w:tcBorders>
              <w:top w:val="nil"/>
              <w:bottom w:val="nil"/>
            </w:tcBorders>
          </w:tcPr>
          <w:p w:rsidR="00361845" w:rsidRPr="001D4227" w:rsidRDefault="00361845" w:rsidP="00735D38">
            <w:pPr>
              <w:pStyle w:val="COMtbl-textLeftAligned"/>
            </w:pPr>
            <w:r w:rsidRPr="001D4227">
              <w:t xml:space="preserve">Bailey, C. J., et al. Long-term efficacy of </w:t>
            </w:r>
            <w:proofErr w:type="spellStart"/>
            <w:r w:rsidRPr="001D4227">
              <w:t>dapagliflozin</w:t>
            </w:r>
            <w:proofErr w:type="spellEnd"/>
            <w:r w:rsidRPr="001D4227">
              <w:t xml:space="preserve"> as add-on to metformin (MET) in T2DM inadequately controlled with MET alone.  </w:t>
            </w:r>
          </w:p>
        </w:tc>
        <w:tc>
          <w:tcPr>
            <w:tcW w:w="1008" w:type="pct"/>
            <w:tcBorders>
              <w:top w:val="nil"/>
              <w:bottom w:val="nil"/>
            </w:tcBorders>
          </w:tcPr>
          <w:p w:rsidR="00361845" w:rsidRPr="001D4227" w:rsidRDefault="00361845" w:rsidP="00735D38">
            <w:pPr>
              <w:pStyle w:val="COMtbl-textLeftAligned"/>
              <w:rPr>
                <w:iCs/>
              </w:rPr>
            </w:pPr>
            <w:r w:rsidRPr="001D4227">
              <w:rPr>
                <w:i/>
              </w:rPr>
              <w:t>Diabetes</w:t>
            </w:r>
            <w:r w:rsidRPr="001D4227">
              <w:t xml:space="preserve"> 2011; (60): A271</w:t>
            </w:r>
          </w:p>
        </w:tc>
      </w:tr>
      <w:tr w:rsidR="00361845" w:rsidRPr="001D4227" w:rsidTr="00D5205B">
        <w:tc>
          <w:tcPr>
            <w:tcW w:w="597" w:type="pct"/>
            <w:tcBorders>
              <w:top w:val="nil"/>
              <w:bottom w:val="nil"/>
            </w:tcBorders>
          </w:tcPr>
          <w:p w:rsidR="00361845" w:rsidRPr="001D4227" w:rsidRDefault="00361845" w:rsidP="00735D38">
            <w:pPr>
              <w:pStyle w:val="COMtbl-textLeftAligned"/>
            </w:pPr>
            <w:r w:rsidRPr="001D4227">
              <w:t>Bailey 2013</w:t>
            </w:r>
          </w:p>
        </w:tc>
        <w:tc>
          <w:tcPr>
            <w:tcW w:w="3395" w:type="pct"/>
            <w:tcBorders>
              <w:top w:val="nil"/>
              <w:bottom w:val="nil"/>
            </w:tcBorders>
          </w:tcPr>
          <w:p w:rsidR="00361845" w:rsidRPr="001D4227" w:rsidRDefault="00361845" w:rsidP="00735D38">
            <w:pPr>
              <w:pStyle w:val="COMtbl-textLeftAligned"/>
            </w:pPr>
            <w:r w:rsidRPr="001D4227">
              <w:t xml:space="preserve">Bailey, C. J. et al. </w:t>
            </w:r>
            <w:proofErr w:type="spellStart"/>
            <w:r w:rsidRPr="001D4227">
              <w:t>Dapagliflozin</w:t>
            </w:r>
            <w:proofErr w:type="spellEnd"/>
            <w:r w:rsidRPr="001D4227">
              <w:t xml:space="preserve"> add-on to metformin in type 2 diabetes inadequately controlled with metformin: A randomized, double-blind, placebo-controlled 102-week trial.</w:t>
            </w:r>
          </w:p>
        </w:tc>
        <w:tc>
          <w:tcPr>
            <w:tcW w:w="1008" w:type="pct"/>
            <w:tcBorders>
              <w:top w:val="nil"/>
              <w:bottom w:val="nil"/>
            </w:tcBorders>
          </w:tcPr>
          <w:p w:rsidR="00361845" w:rsidRPr="001D4227" w:rsidRDefault="00361845" w:rsidP="00735D38">
            <w:pPr>
              <w:pStyle w:val="COMtbl-textLeftAligned"/>
              <w:rPr>
                <w:iCs/>
              </w:rPr>
            </w:pPr>
            <w:r w:rsidRPr="001D4227">
              <w:rPr>
                <w:i/>
              </w:rPr>
              <w:t>BMC Medicine</w:t>
            </w:r>
            <w:r w:rsidRPr="001D4227">
              <w:t xml:space="preserve"> 2013; (11): 43</w:t>
            </w:r>
          </w:p>
        </w:tc>
      </w:tr>
      <w:tr w:rsidR="00361845" w:rsidRPr="001D4227" w:rsidTr="00D5205B">
        <w:tc>
          <w:tcPr>
            <w:tcW w:w="597" w:type="pct"/>
            <w:tcBorders>
              <w:top w:val="nil"/>
              <w:bottom w:val="nil"/>
            </w:tcBorders>
          </w:tcPr>
          <w:p w:rsidR="00361845" w:rsidRPr="001D4227" w:rsidRDefault="00361845" w:rsidP="00735D38">
            <w:pPr>
              <w:pStyle w:val="COMtbl-textLeftAligned"/>
            </w:pPr>
            <w:proofErr w:type="spellStart"/>
            <w:r w:rsidRPr="001D4227">
              <w:t>Bastien</w:t>
            </w:r>
            <w:proofErr w:type="spellEnd"/>
            <w:r w:rsidRPr="001D4227">
              <w:t xml:space="preserve"> 2009a</w:t>
            </w:r>
          </w:p>
        </w:tc>
        <w:tc>
          <w:tcPr>
            <w:tcW w:w="3395" w:type="pct"/>
            <w:tcBorders>
              <w:top w:val="nil"/>
              <w:bottom w:val="nil"/>
            </w:tcBorders>
          </w:tcPr>
          <w:p w:rsidR="00361845" w:rsidRPr="001D4227" w:rsidRDefault="00361845" w:rsidP="00735D38">
            <w:pPr>
              <w:pStyle w:val="COMtbl-textLeftAligned"/>
            </w:pPr>
            <w:proofErr w:type="spellStart"/>
            <w:r w:rsidRPr="001D4227">
              <w:t>Bastien</w:t>
            </w:r>
            <w:proofErr w:type="spellEnd"/>
            <w:r w:rsidRPr="001D4227">
              <w:t xml:space="preserve">, A., et al. Incidence of urinary tract infections and of genital infections in two T2DM populations </w:t>
            </w:r>
            <w:proofErr w:type="spellStart"/>
            <w:r w:rsidRPr="001D4227">
              <w:t>cotreated</w:t>
            </w:r>
            <w:proofErr w:type="spellEnd"/>
            <w:r w:rsidRPr="001D4227">
              <w:t xml:space="preserve"> with </w:t>
            </w:r>
            <w:proofErr w:type="spellStart"/>
            <w:r w:rsidRPr="001D4227">
              <w:t>dapagliflozin</w:t>
            </w:r>
            <w:proofErr w:type="spellEnd"/>
            <w:r w:rsidRPr="001D4227">
              <w:t xml:space="preserve"> and oral </w:t>
            </w:r>
            <w:proofErr w:type="spellStart"/>
            <w:r w:rsidRPr="001D4227">
              <w:t>antidiabetics</w:t>
            </w:r>
            <w:proofErr w:type="spellEnd"/>
            <w:r w:rsidRPr="001D4227">
              <w:t xml:space="preserve"> +/- insulin.</w:t>
            </w:r>
          </w:p>
        </w:tc>
        <w:tc>
          <w:tcPr>
            <w:tcW w:w="1008" w:type="pct"/>
            <w:tcBorders>
              <w:top w:val="nil"/>
              <w:bottom w:val="nil"/>
            </w:tcBorders>
          </w:tcPr>
          <w:p w:rsidR="00361845" w:rsidRPr="001D4227" w:rsidRDefault="00361845" w:rsidP="00735D38">
            <w:pPr>
              <w:pStyle w:val="COMtbl-textLeftAligned"/>
              <w:rPr>
                <w:iCs/>
              </w:rPr>
            </w:pPr>
            <w:r w:rsidRPr="001D4227">
              <w:rPr>
                <w:i/>
              </w:rPr>
              <w:t>Canadian Journal of Diabetes</w:t>
            </w:r>
            <w:r w:rsidRPr="001D4227">
              <w:t xml:space="preserve"> 2009; 33(3): 233-234.</w:t>
            </w:r>
          </w:p>
        </w:tc>
      </w:tr>
      <w:tr w:rsidR="00361845" w:rsidRPr="001D4227" w:rsidTr="00D5205B">
        <w:tc>
          <w:tcPr>
            <w:tcW w:w="597" w:type="pct"/>
            <w:tcBorders>
              <w:top w:val="nil"/>
              <w:bottom w:val="single" w:sz="4" w:space="0" w:color="auto"/>
            </w:tcBorders>
          </w:tcPr>
          <w:p w:rsidR="00361845" w:rsidRPr="001D4227" w:rsidRDefault="00361845" w:rsidP="00735D38">
            <w:pPr>
              <w:pStyle w:val="COMtbl-textLeftAligned"/>
            </w:pPr>
            <w:proofErr w:type="spellStart"/>
            <w:r w:rsidRPr="001D4227">
              <w:t>Bastien</w:t>
            </w:r>
            <w:proofErr w:type="spellEnd"/>
            <w:r w:rsidRPr="001D4227">
              <w:t xml:space="preserve"> 2009b</w:t>
            </w:r>
          </w:p>
        </w:tc>
        <w:tc>
          <w:tcPr>
            <w:tcW w:w="3395" w:type="pct"/>
            <w:tcBorders>
              <w:top w:val="nil"/>
              <w:bottom w:val="single" w:sz="4" w:space="0" w:color="auto"/>
            </w:tcBorders>
          </w:tcPr>
          <w:p w:rsidR="00361845" w:rsidRPr="001D4227" w:rsidRDefault="00361845" w:rsidP="00735D38">
            <w:pPr>
              <w:pStyle w:val="COMtbl-textLeftAligned"/>
            </w:pPr>
            <w:proofErr w:type="spellStart"/>
            <w:r w:rsidRPr="001D4227">
              <w:t>Bastien</w:t>
            </w:r>
            <w:proofErr w:type="spellEnd"/>
            <w:r w:rsidRPr="001D4227">
              <w:t xml:space="preserve">, A., et al. Efficacy of </w:t>
            </w:r>
            <w:proofErr w:type="spellStart"/>
            <w:r w:rsidRPr="001D4227">
              <w:t>dapagliflozin</w:t>
            </w:r>
            <w:proofErr w:type="spellEnd"/>
            <w:r w:rsidRPr="001D4227">
              <w:t xml:space="preserve"> in three populations of patients on different treatment regimens for various stages of T2DM.</w:t>
            </w:r>
          </w:p>
        </w:tc>
        <w:tc>
          <w:tcPr>
            <w:tcW w:w="1008" w:type="pct"/>
            <w:tcBorders>
              <w:top w:val="nil"/>
              <w:bottom w:val="single" w:sz="4" w:space="0" w:color="auto"/>
            </w:tcBorders>
          </w:tcPr>
          <w:p w:rsidR="00361845" w:rsidRPr="001D4227" w:rsidRDefault="00361845" w:rsidP="00735D38">
            <w:pPr>
              <w:pStyle w:val="COMtbl-textLeftAligned"/>
              <w:rPr>
                <w:iCs/>
              </w:rPr>
            </w:pPr>
            <w:r w:rsidRPr="001D4227">
              <w:t>Canadian Journal of Diabetes 2009; 33(3): 233.</w:t>
            </w:r>
          </w:p>
        </w:tc>
      </w:tr>
      <w:tr w:rsidR="00361845" w:rsidRPr="001D4227" w:rsidTr="00D5205B">
        <w:tc>
          <w:tcPr>
            <w:tcW w:w="597" w:type="pct"/>
            <w:tcBorders>
              <w:bottom w:val="nil"/>
            </w:tcBorders>
          </w:tcPr>
          <w:p w:rsidR="00361845" w:rsidRPr="001D4227" w:rsidRDefault="00361845" w:rsidP="00735D38">
            <w:pPr>
              <w:pStyle w:val="COMtbl-textLeftAligned"/>
            </w:pPr>
            <w:r w:rsidRPr="001D4227">
              <w:t>CT-012</w:t>
            </w:r>
          </w:p>
        </w:tc>
        <w:tc>
          <w:tcPr>
            <w:tcW w:w="3395" w:type="pct"/>
            <w:tcBorders>
              <w:bottom w:val="nil"/>
            </w:tcBorders>
          </w:tcPr>
          <w:p w:rsidR="00361845" w:rsidRPr="001D4227" w:rsidRDefault="00361845" w:rsidP="00735D38">
            <w:pPr>
              <w:pStyle w:val="COMtbl-textLeftAligned"/>
            </w:pPr>
            <w:r w:rsidRPr="001D4227">
              <w:t xml:space="preserve">A 24-week, Multi-centre, International, Double-blind, Randomized, Parallel-group, Placebo-controlled, Phase III Study with a 78-week Extension Period to Evaluate the Effect of </w:t>
            </w:r>
            <w:proofErr w:type="spellStart"/>
            <w:r w:rsidRPr="001D4227">
              <w:t>Dapagliflozin</w:t>
            </w:r>
            <w:proofErr w:type="spellEnd"/>
            <w:r w:rsidRPr="001D4227">
              <w:t xml:space="preserve"> in Combination with Metformin on Body Weight in Subjects with Type 2 Diabetes Mellitus Who Have Inadequate Glycaemic Control on Metformin Alone.  </w:t>
            </w:r>
          </w:p>
          <w:p w:rsidR="00361845" w:rsidRPr="001D4227" w:rsidRDefault="00361845" w:rsidP="00735D38">
            <w:pPr>
              <w:pStyle w:val="COMtbl-textLeftAligned"/>
            </w:pPr>
            <w:r w:rsidRPr="001D4227">
              <w:t>Clinicaltrials.gov ID NCT00855166</w:t>
            </w:r>
          </w:p>
        </w:tc>
        <w:tc>
          <w:tcPr>
            <w:tcW w:w="1008" w:type="pct"/>
            <w:tcBorders>
              <w:bottom w:val="nil"/>
            </w:tcBorders>
          </w:tcPr>
          <w:p w:rsidR="00361845" w:rsidRPr="001D4227" w:rsidRDefault="00361845" w:rsidP="00735D38">
            <w:pPr>
              <w:pStyle w:val="COMtbl-textLeftAligned"/>
              <w:rPr>
                <w:iCs/>
              </w:rPr>
            </w:pPr>
            <w:r w:rsidRPr="001D4227">
              <w:rPr>
                <w:iCs/>
              </w:rPr>
              <w:t>Internal study report</w:t>
            </w:r>
          </w:p>
        </w:tc>
      </w:tr>
      <w:tr w:rsidR="00361845" w:rsidRPr="001D4227" w:rsidTr="00D5205B">
        <w:tc>
          <w:tcPr>
            <w:tcW w:w="597" w:type="pct"/>
            <w:tcBorders>
              <w:top w:val="nil"/>
              <w:bottom w:val="nil"/>
            </w:tcBorders>
          </w:tcPr>
          <w:p w:rsidR="00361845" w:rsidRPr="001D4227" w:rsidRDefault="00361845" w:rsidP="00735D38">
            <w:pPr>
              <w:pStyle w:val="COMtbl-textLeftAligned"/>
            </w:pPr>
            <w:proofErr w:type="spellStart"/>
            <w:r w:rsidRPr="001D4227">
              <w:t>Bolinder</w:t>
            </w:r>
            <w:proofErr w:type="spellEnd"/>
            <w:r w:rsidRPr="001D4227">
              <w:t xml:space="preserve"> 2014</w:t>
            </w:r>
          </w:p>
        </w:tc>
        <w:tc>
          <w:tcPr>
            <w:tcW w:w="3395" w:type="pct"/>
            <w:tcBorders>
              <w:top w:val="nil"/>
              <w:bottom w:val="nil"/>
            </w:tcBorders>
          </w:tcPr>
          <w:p w:rsidR="00361845" w:rsidRPr="001D4227" w:rsidRDefault="00361845" w:rsidP="00735D38">
            <w:pPr>
              <w:pStyle w:val="COMtbl-textLeftAligned"/>
            </w:pPr>
            <w:proofErr w:type="spellStart"/>
            <w:r w:rsidRPr="001D4227">
              <w:t>Bolinder</w:t>
            </w:r>
            <w:proofErr w:type="spellEnd"/>
            <w:r w:rsidRPr="001D4227">
              <w:t xml:space="preserve">, J., et al. </w:t>
            </w:r>
            <w:proofErr w:type="spellStart"/>
            <w:r w:rsidRPr="001D4227">
              <w:t>Dapagliflozin</w:t>
            </w:r>
            <w:proofErr w:type="spellEnd"/>
            <w:r w:rsidRPr="001D4227">
              <w:t xml:space="preserve"> maintains glycaemic control while reducing weight and body fat mass over 2 years in patients with type 2 diabetes mellitus inadequately controlled on metformin.</w:t>
            </w:r>
          </w:p>
        </w:tc>
        <w:tc>
          <w:tcPr>
            <w:tcW w:w="1008" w:type="pct"/>
            <w:tcBorders>
              <w:top w:val="nil"/>
              <w:bottom w:val="nil"/>
            </w:tcBorders>
          </w:tcPr>
          <w:p w:rsidR="00361845" w:rsidRPr="001D4227" w:rsidRDefault="00361845" w:rsidP="00735D38">
            <w:pPr>
              <w:pStyle w:val="COMtbl-textLeftAligned"/>
              <w:rPr>
                <w:iCs/>
              </w:rPr>
            </w:pPr>
            <w:r w:rsidRPr="001D4227">
              <w:rPr>
                <w:i/>
              </w:rPr>
              <w:t xml:space="preserve">Diabetes, Obesity and </w:t>
            </w:r>
            <w:proofErr w:type="gramStart"/>
            <w:r w:rsidRPr="001D4227">
              <w:rPr>
                <w:i/>
              </w:rPr>
              <w:t>Metabolism</w:t>
            </w:r>
            <w:r w:rsidRPr="001D4227">
              <w:t xml:space="preserve">  2014</w:t>
            </w:r>
            <w:proofErr w:type="gramEnd"/>
            <w:r w:rsidRPr="001D4227">
              <w:t>; 16(2): 159-169.</w:t>
            </w:r>
          </w:p>
        </w:tc>
      </w:tr>
      <w:tr w:rsidR="00361845" w:rsidRPr="001D4227" w:rsidTr="00D5205B">
        <w:tc>
          <w:tcPr>
            <w:tcW w:w="597" w:type="pct"/>
            <w:tcBorders>
              <w:top w:val="nil"/>
              <w:bottom w:val="nil"/>
            </w:tcBorders>
          </w:tcPr>
          <w:p w:rsidR="00361845" w:rsidRPr="001D4227" w:rsidRDefault="00361845" w:rsidP="00735D38">
            <w:pPr>
              <w:pStyle w:val="COMtbl-textLeftAligned"/>
            </w:pPr>
            <w:proofErr w:type="spellStart"/>
            <w:r w:rsidRPr="001D4227">
              <w:t>Bolinder</w:t>
            </w:r>
            <w:proofErr w:type="spellEnd"/>
            <w:r w:rsidRPr="001D4227">
              <w:t xml:space="preserve"> 2012a</w:t>
            </w:r>
          </w:p>
        </w:tc>
        <w:tc>
          <w:tcPr>
            <w:tcW w:w="3395" w:type="pct"/>
            <w:tcBorders>
              <w:top w:val="nil"/>
              <w:bottom w:val="nil"/>
            </w:tcBorders>
          </w:tcPr>
          <w:p w:rsidR="00361845" w:rsidRPr="001D4227" w:rsidRDefault="00361845" w:rsidP="00735D38">
            <w:pPr>
              <w:pStyle w:val="COMtbl-textLeftAligned"/>
            </w:pPr>
            <w:proofErr w:type="spellStart"/>
            <w:r w:rsidRPr="001D4227">
              <w:t>Bolinder</w:t>
            </w:r>
            <w:proofErr w:type="spellEnd"/>
            <w:r w:rsidRPr="001D4227">
              <w:t xml:space="preserve">, J., et al. </w:t>
            </w:r>
            <w:proofErr w:type="spellStart"/>
            <w:r w:rsidRPr="001D4227">
              <w:t>Dapagliflozin</w:t>
            </w:r>
            <w:proofErr w:type="spellEnd"/>
            <w:r w:rsidRPr="001D4227">
              <w:t xml:space="preserve"> produces long-term reductions in body weight, waist circumference and total fat mass in patients with type 2 diabetes inadequately controlled on metformin.</w:t>
            </w:r>
          </w:p>
        </w:tc>
        <w:tc>
          <w:tcPr>
            <w:tcW w:w="1008" w:type="pct"/>
            <w:tcBorders>
              <w:top w:val="nil"/>
              <w:bottom w:val="nil"/>
            </w:tcBorders>
          </w:tcPr>
          <w:p w:rsidR="00361845" w:rsidRPr="001D4227" w:rsidRDefault="00361845" w:rsidP="00735D38">
            <w:pPr>
              <w:pStyle w:val="COMtbl-textLeftAligned"/>
              <w:rPr>
                <w:iCs/>
              </w:rPr>
            </w:pPr>
            <w:proofErr w:type="spellStart"/>
            <w:r w:rsidRPr="001D4227">
              <w:rPr>
                <w:i/>
              </w:rPr>
              <w:t>Diabetologia</w:t>
            </w:r>
            <w:proofErr w:type="spellEnd"/>
            <w:r w:rsidRPr="001D4227">
              <w:t xml:space="preserve"> 2012; 55: S308.</w:t>
            </w:r>
          </w:p>
        </w:tc>
      </w:tr>
      <w:tr w:rsidR="00361845" w:rsidRPr="001D4227" w:rsidTr="00D5205B">
        <w:tc>
          <w:tcPr>
            <w:tcW w:w="597" w:type="pct"/>
            <w:tcBorders>
              <w:top w:val="nil"/>
              <w:bottom w:val="nil"/>
            </w:tcBorders>
          </w:tcPr>
          <w:p w:rsidR="00361845" w:rsidRPr="001D4227" w:rsidRDefault="00361845" w:rsidP="00735D38">
            <w:pPr>
              <w:pStyle w:val="COMtbl-textLeftAligned"/>
            </w:pPr>
            <w:proofErr w:type="spellStart"/>
            <w:r w:rsidRPr="001D4227">
              <w:t>Bolinder</w:t>
            </w:r>
            <w:proofErr w:type="spellEnd"/>
            <w:r w:rsidRPr="001D4227">
              <w:t xml:space="preserve"> 2012b</w:t>
            </w:r>
          </w:p>
        </w:tc>
        <w:tc>
          <w:tcPr>
            <w:tcW w:w="3395" w:type="pct"/>
            <w:tcBorders>
              <w:top w:val="nil"/>
              <w:bottom w:val="nil"/>
            </w:tcBorders>
          </w:tcPr>
          <w:p w:rsidR="00361845" w:rsidRPr="001D4227" w:rsidRDefault="00361845" w:rsidP="00735D38">
            <w:pPr>
              <w:pStyle w:val="COMtbl-textLeftAligned"/>
            </w:pPr>
            <w:proofErr w:type="spellStart"/>
            <w:r w:rsidRPr="001D4227">
              <w:t>Bolinder</w:t>
            </w:r>
            <w:proofErr w:type="spellEnd"/>
            <w:r w:rsidRPr="001D4227">
              <w:t xml:space="preserve">, J., et al. Effects of </w:t>
            </w:r>
            <w:proofErr w:type="spellStart"/>
            <w:r w:rsidRPr="001D4227">
              <w:t>dapagliflozin</w:t>
            </w:r>
            <w:proofErr w:type="spellEnd"/>
            <w:r w:rsidRPr="001D4227">
              <w:t xml:space="preserve"> on body weight, total fat mass, and regional adipose tissue distribution in patients with type 2 diabetes mellitus with inadequate </w:t>
            </w:r>
            <w:proofErr w:type="spellStart"/>
            <w:r w:rsidRPr="001D4227">
              <w:t>glycemic</w:t>
            </w:r>
            <w:proofErr w:type="spellEnd"/>
            <w:r w:rsidRPr="001D4227">
              <w:t xml:space="preserve"> control on metformin.</w:t>
            </w:r>
          </w:p>
        </w:tc>
        <w:tc>
          <w:tcPr>
            <w:tcW w:w="1008" w:type="pct"/>
            <w:tcBorders>
              <w:top w:val="nil"/>
              <w:bottom w:val="nil"/>
            </w:tcBorders>
          </w:tcPr>
          <w:p w:rsidR="00361845" w:rsidRPr="001D4227" w:rsidRDefault="00361845" w:rsidP="00735D38">
            <w:pPr>
              <w:pStyle w:val="COMtbl-textLeftAligned"/>
              <w:rPr>
                <w:iCs/>
              </w:rPr>
            </w:pPr>
            <w:r w:rsidRPr="001D4227">
              <w:rPr>
                <w:i/>
              </w:rPr>
              <w:t xml:space="preserve">Journal of Clinical Endocrinology and </w:t>
            </w:r>
            <w:proofErr w:type="gramStart"/>
            <w:r w:rsidRPr="001D4227">
              <w:rPr>
                <w:i/>
              </w:rPr>
              <w:t>Metabolism</w:t>
            </w:r>
            <w:r w:rsidRPr="001D4227">
              <w:t xml:space="preserve">  2012</w:t>
            </w:r>
            <w:proofErr w:type="gramEnd"/>
            <w:r w:rsidRPr="001D4227">
              <w:t>; 97(3): 1020-1031.</w:t>
            </w:r>
          </w:p>
        </w:tc>
      </w:tr>
      <w:tr w:rsidR="00361845" w:rsidRPr="001D4227" w:rsidTr="00D5205B">
        <w:tc>
          <w:tcPr>
            <w:tcW w:w="597" w:type="pct"/>
            <w:tcBorders>
              <w:top w:val="nil"/>
              <w:bottom w:val="nil"/>
            </w:tcBorders>
          </w:tcPr>
          <w:p w:rsidR="00361845" w:rsidRPr="001D4227" w:rsidRDefault="00361845" w:rsidP="00735D38">
            <w:pPr>
              <w:pStyle w:val="COMtbl-textLeftAligned"/>
            </w:pPr>
            <w:proofErr w:type="spellStart"/>
            <w:r w:rsidRPr="001D4227">
              <w:t>Grandy</w:t>
            </w:r>
            <w:proofErr w:type="spellEnd"/>
            <w:r w:rsidRPr="001D4227">
              <w:t xml:space="preserve"> 2014</w:t>
            </w:r>
          </w:p>
        </w:tc>
        <w:tc>
          <w:tcPr>
            <w:tcW w:w="3395" w:type="pct"/>
            <w:tcBorders>
              <w:top w:val="nil"/>
              <w:bottom w:val="nil"/>
            </w:tcBorders>
          </w:tcPr>
          <w:p w:rsidR="00361845" w:rsidRPr="001D4227" w:rsidRDefault="00361845" w:rsidP="00735D38">
            <w:pPr>
              <w:pStyle w:val="COMtbl-textLeftAligned"/>
            </w:pPr>
            <w:proofErr w:type="spellStart"/>
            <w:r w:rsidRPr="001D4227">
              <w:t>Grandy</w:t>
            </w:r>
            <w:proofErr w:type="spellEnd"/>
            <w:r w:rsidRPr="001D4227">
              <w:t xml:space="preserve">, S., et al. Changes in weight loss-related quality of life among type 2 diabetes mellitus patients treated with </w:t>
            </w:r>
            <w:proofErr w:type="spellStart"/>
            <w:r w:rsidRPr="001D4227">
              <w:t>dapagliflozin</w:t>
            </w:r>
            <w:proofErr w:type="spellEnd"/>
            <w:r w:rsidRPr="001D4227">
              <w:t>.</w:t>
            </w:r>
          </w:p>
        </w:tc>
        <w:tc>
          <w:tcPr>
            <w:tcW w:w="1008" w:type="pct"/>
            <w:tcBorders>
              <w:top w:val="nil"/>
              <w:bottom w:val="nil"/>
            </w:tcBorders>
          </w:tcPr>
          <w:p w:rsidR="00361845" w:rsidRPr="001D4227" w:rsidRDefault="00361845" w:rsidP="00735D38">
            <w:pPr>
              <w:pStyle w:val="COMtbl-textLeftAligned"/>
              <w:rPr>
                <w:iCs/>
              </w:rPr>
            </w:pPr>
            <w:r w:rsidRPr="001D4227">
              <w:rPr>
                <w:i/>
              </w:rPr>
              <w:t>Diabetes, Obesity and Metabolism</w:t>
            </w:r>
            <w:r w:rsidRPr="001D4227">
              <w:t xml:space="preserve"> 2014; </w:t>
            </w:r>
            <w:proofErr w:type="spellStart"/>
            <w:r w:rsidRPr="001D4227">
              <w:t>Epublication</w:t>
            </w:r>
            <w:proofErr w:type="spellEnd"/>
            <w:r w:rsidRPr="001D4227">
              <w:t xml:space="preserve"> ahead of print</w:t>
            </w:r>
          </w:p>
        </w:tc>
      </w:tr>
      <w:tr w:rsidR="00361845" w:rsidRPr="001D4227" w:rsidTr="00D5205B">
        <w:tc>
          <w:tcPr>
            <w:tcW w:w="597" w:type="pct"/>
            <w:tcBorders>
              <w:top w:val="nil"/>
              <w:bottom w:val="nil"/>
            </w:tcBorders>
          </w:tcPr>
          <w:p w:rsidR="00361845" w:rsidRPr="001D4227" w:rsidRDefault="00361845" w:rsidP="00735D38">
            <w:pPr>
              <w:pStyle w:val="COMtbl-textLeftAligned"/>
            </w:pPr>
            <w:proofErr w:type="spellStart"/>
            <w:r w:rsidRPr="001D4227">
              <w:t>Grandy</w:t>
            </w:r>
            <w:proofErr w:type="spellEnd"/>
            <w:r w:rsidRPr="001D4227">
              <w:t xml:space="preserve"> 2013</w:t>
            </w:r>
          </w:p>
        </w:tc>
        <w:tc>
          <w:tcPr>
            <w:tcW w:w="3395" w:type="pct"/>
            <w:tcBorders>
              <w:top w:val="nil"/>
              <w:bottom w:val="nil"/>
            </w:tcBorders>
          </w:tcPr>
          <w:p w:rsidR="00361845" w:rsidRPr="001D4227" w:rsidRDefault="00361845" w:rsidP="00735D38">
            <w:pPr>
              <w:pStyle w:val="COMtbl-textLeftAligned"/>
            </w:pPr>
            <w:proofErr w:type="spellStart"/>
            <w:r w:rsidRPr="001D4227">
              <w:t>Grandy</w:t>
            </w:r>
            <w:proofErr w:type="spellEnd"/>
            <w:r w:rsidRPr="001D4227">
              <w:t xml:space="preserve">, S., et al. Weight loss-related quality of life among type 2 diabetes mellitus (T2DM) patients treated with </w:t>
            </w:r>
            <w:proofErr w:type="spellStart"/>
            <w:r w:rsidRPr="001D4227">
              <w:t>dapagliflozin</w:t>
            </w:r>
            <w:proofErr w:type="spellEnd"/>
            <w:r w:rsidRPr="001D4227">
              <w:t>.</w:t>
            </w:r>
          </w:p>
        </w:tc>
        <w:tc>
          <w:tcPr>
            <w:tcW w:w="1008" w:type="pct"/>
            <w:tcBorders>
              <w:top w:val="nil"/>
              <w:bottom w:val="nil"/>
            </w:tcBorders>
          </w:tcPr>
          <w:p w:rsidR="00361845" w:rsidRPr="001D4227" w:rsidRDefault="00361845" w:rsidP="00735D38">
            <w:pPr>
              <w:pStyle w:val="COMtbl-textLeftAligned"/>
              <w:rPr>
                <w:iCs/>
              </w:rPr>
            </w:pPr>
            <w:r w:rsidRPr="001D4227">
              <w:rPr>
                <w:i/>
              </w:rPr>
              <w:t>Diabetes</w:t>
            </w:r>
            <w:r w:rsidRPr="001D4227">
              <w:t xml:space="preserve"> 2013; 62: A667-A668.</w:t>
            </w:r>
          </w:p>
        </w:tc>
      </w:tr>
      <w:tr w:rsidR="00361845" w:rsidRPr="001D4227" w:rsidTr="00D5205B">
        <w:tc>
          <w:tcPr>
            <w:tcW w:w="597" w:type="pct"/>
            <w:tcBorders>
              <w:top w:val="nil"/>
              <w:bottom w:val="nil"/>
            </w:tcBorders>
          </w:tcPr>
          <w:p w:rsidR="00361845" w:rsidRPr="001D4227" w:rsidRDefault="00361845" w:rsidP="00735D38">
            <w:pPr>
              <w:pStyle w:val="COMtbl-textLeftAligned"/>
            </w:pPr>
            <w:proofErr w:type="spellStart"/>
            <w:r w:rsidRPr="001D4227">
              <w:t>Ingelganullrd</w:t>
            </w:r>
            <w:proofErr w:type="spellEnd"/>
            <w:r w:rsidRPr="001D4227">
              <w:t xml:space="preserve"> 2012</w:t>
            </w:r>
          </w:p>
        </w:tc>
        <w:tc>
          <w:tcPr>
            <w:tcW w:w="3395" w:type="pct"/>
            <w:tcBorders>
              <w:top w:val="nil"/>
              <w:bottom w:val="nil"/>
            </w:tcBorders>
          </w:tcPr>
          <w:p w:rsidR="00361845" w:rsidRPr="001D4227" w:rsidRDefault="00361845" w:rsidP="00735D38">
            <w:pPr>
              <w:pStyle w:val="COMtbl-textLeftAligned"/>
            </w:pPr>
            <w:proofErr w:type="spellStart"/>
            <w:r w:rsidRPr="001D4227">
              <w:t>Ingelganullrd</w:t>
            </w:r>
            <w:proofErr w:type="spellEnd"/>
            <w:r w:rsidRPr="001D4227">
              <w:t xml:space="preserve">, A., et al. Health-related quality of life (EQ-5D) among type 2 diabetes mellitus patients treated with </w:t>
            </w:r>
            <w:proofErr w:type="spellStart"/>
            <w:r w:rsidRPr="001D4227">
              <w:t>dapagliflozin</w:t>
            </w:r>
            <w:proofErr w:type="spellEnd"/>
            <w:r w:rsidRPr="001D4227">
              <w:t xml:space="preserve"> for 24 weeks.</w:t>
            </w:r>
          </w:p>
        </w:tc>
        <w:tc>
          <w:tcPr>
            <w:tcW w:w="1008" w:type="pct"/>
            <w:tcBorders>
              <w:top w:val="nil"/>
              <w:bottom w:val="nil"/>
            </w:tcBorders>
          </w:tcPr>
          <w:p w:rsidR="00361845" w:rsidRPr="001D4227" w:rsidRDefault="00361845" w:rsidP="00735D38">
            <w:pPr>
              <w:pStyle w:val="COMtbl-textLeftAligned"/>
              <w:rPr>
                <w:i/>
              </w:rPr>
            </w:pPr>
            <w:proofErr w:type="spellStart"/>
            <w:r w:rsidRPr="001D4227">
              <w:rPr>
                <w:i/>
              </w:rPr>
              <w:t>Diabetologia</w:t>
            </w:r>
            <w:proofErr w:type="spellEnd"/>
            <w:r w:rsidRPr="001D4227">
              <w:t xml:space="preserve"> 2012; 55: S320.</w:t>
            </w:r>
          </w:p>
        </w:tc>
      </w:tr>
      <w:tr w:rsidR="00361845" w:rsidRPr="001D4227" w:rsidTr="00D5205B">
        <w:tc>
          <w:tcPr>
            <w:tcW w:w="597" w:type="pct"/>
            <w:tcBorders>
              <w:top w:val="nil"/>
              <w:bottom w:val="nil"/>
            </w:tcBorders>
          </w:tcPr>
          <w:p w:rsidR="00361845" w:rsidRPr="001D4227" w:rsidRDefault="00361845" w:rsidP="00735D38">
            <w:pPr>
              <w:pStyle w:val="COMtbl-textLeftAligned"/>
            </w:pPr>
            <w:proofErr w:type="spellStart"/>
            <w:r w:rsidRPr="001D4227">
              <w:t>Ljunggren</w:t>
            </w:r>
            <w:proofErr w:type="spellEnd"/>
            <w:r w:rsidRPr="001D4227">
              <w:t xml:space="preserve"> 2012a</w:t>
            </w:r>
          </w:p>
        </w:tc>
        <w:tc>
          <w:tcPr>
            <w:tcW w:w="3395" w:type="pct"/>
            <w:tcBorders>
              <w:top w:val="nil"/>
              <w:bottom w:val="nil"/>
            </w:tcBorders>
          </w:tcPr>
          <w:p w:rsidR="00361845" w:rsidRPr="001D4227" w:rsidRDefault="00361845" w:rsidP="00735D38">
            <w:pPr>
              <w:pStyle w:val="COMtbl-textLeftAligned"/>
            </w:pPr>
            <w:proofErr w:type="spellStart"/>
            <w:r w:rsidRPr="001D4227">
              <w:t>Ljunggren</w:t>
            </w:r>
            <w:proofErr w:type="spellEnd"/>
            <w:r w:rsidRPr="001D4227">
              <w:t xml:space="preserve">, O., et al. </w:t>
            </w:r>
            <w:proofErr w:type="spellStart"/>
            <w:r w:rsidRPr="001D4227">
              <w:t>Dapagliflozin</w:t>
            </w:r>
            <w:proofErr w:type="spellEnd"/>
            <w:r w:rsidRPr="001D4227">
              <w:t xml:space="preserve"> has no effect on markers of bone formation and </w:t>
            </w:r>
            <w:proofErr w:type="spellStart"/>
            <w:r w:rsidRPr="001D4227">
              <w:t>resorption</w:t>
            </w:r>
            <w:proofErr w:type="spellEnd"/>
            <w:r w:rsidRPr="001D4227">
              <w:t xml:space="preserve"> or bone mineral density in patients with inadequately controlled type 2 diabetes mellitus on metformin.</w:t>
            </w:r>
          </w:p>
        </w:tc>
        <w:tc>
          <w:tcPr>
            <w:tcW w:w="1008" w:type="pct"/>
            <w:tcBorders>
              <w:top w:val="nil"/>
              <w:bottom w:val="nil"/>
            </w:tcBorders>
          </w:tcPr>
          <w:p w:rsidR="00361845" w:rsidRPr="001D4227" w:rsidRDefault="00361845" w:rsidP="00735D38">
            <w:pPr>
              <w:pStyle w:val="COMtbl-textLeftAligned"/>
              <w:rPr>
                <w:iCs/>
              </w:rPr>
            </w:pPr>
            <w:r w:rsidRPr="001D4227">
              <w:rPr>
                <w:i/>
              </w:rPr>
              <w:t>Diabetes, Obesity and Metabolism</w:t>
            </w:r>
            <w:r w:rsidRPr="001D4227">
              <w:t xml:space="preserve"> 2012; 14(11): 990-999.</w:t>
            </w:r>
          </w:p>
        </w:tc>
      </w:tr>
      <w:tr w:rsidR="00361845" w:rsidRPr="001D4227" w:rsidTr="00D5205B">
        <w:tc>
          <w:tcPr>
            <w:tcW w:w="597" w:type="pct"/>
            <w:tcBorders>
              <w:top w:val="nil"/>
            </w:tcBorders>
          </w:tcPr>
          <w:p w:rsidR="00361845" w:rsidRPr="001D4227" w:rsidRDefault="00361845" w:rsidP="00735D38">
            <w:pPr>
              <w:pStyle w:val="COMtbl-textLeftAligned"/>
            </w:pPr>
            <w:proofErr w:type="spellStart"/>
            <w:r w:rsidRPr="001D4227">
              <w:t>Ljunggren</w:t>
            </w:r>
            <w:proofErr w:type="spellEnd"/>
            <w:r w:rsidRPr="001D4227">
              <w:t xml:space="preserve"> 2012b</w:t>
            </w:r>
          </w:p>
        </w:tc>
        <w:tc>
          <w:tcPr>
            <w:tcW w:w="3395" w:type="pct"/>
            <w:tcBorders>
              <w:top w:val="nil"/>
            </w:tcBorders>
          </w:tcPr>
          <w:p w:rsidR="00361845" w:rsidRPr="001D4227" w:rsidRDefault="00361845" w:rsidP="00735D38">
            <w:pPr>
              <w:pStyle w:val="COMtbl-textLeftAligned"/>
            </w:pPr>
            <w:proofErr w:type="spellStart"/>
            <w:r w:rsidRPr="001D4227">
              <w:t>Ljunggren</w:t>
            </w:r>
            <w:proofErr w:type="spellEnd"/>
            <w:r w:rsidRPr="001D4227">
              <w:t xml:space="preserve">, O., et al. </w:t>
            </w:r>
            <w:proofErr w:type="spellStart"/>
            <w:r w:rsidRPr="001D4227">
              <w:t>Dapagliflozin</w:t>
            </w:r>
            <w:proofErr w:type="spellEnd"/>
            <w:r w:rsidRPr="001D4227">
              <w:t xml:space="preserve"> has no long-term effect on markers of bone turnover or bone mineral density in patients with inadequately controlled type 2 diabetes on metformin.</w:t>
            </w:r>
          </w:p>
        </w:tc>
        <w:tc>
          <w:tcPr>
            <w:tcW w:w="1008" w:type="pct"/>
            <w:tcBorders>
              <w:top w:val="nil"/>
            </w:tcBorders>
          </w:tcPr>
          <w:p w:rsidR="00361845" w:rsidRPr="001D4227" w:rsidRDefault="00361845" w:rsidP="00735D38">
            <w:pPr>
              <w:pStyle w:val="COMtbl-textLeftAligned"/>
              <w:rPr>
                <w:iCs/>
              </w:rPr>
            </w:pPr>
            <w:proofErr w:type="spellStart"/>
            <w:r w:rsidRPr="001D4227">
              <w:rPr>
                <w:i/>
              </w:rPr>
              <w:t>Diabetologia</w:t>
            </w:r>
            <w:proofErr w:type="spellEnd"/>
            <w:r w:rsidRPr="001D4227">
              <w:t xml:space="preserve"> 2012; 55: S306-S307.</w:t>
            </w:r>
          </w:p>
        </w:tc>
      </w:tr>
      <w:tr w:rsidR="00361845" w:rsidRPr="001D4227" w:rsidTr="00D5205B">
        <w:tc>
          <w:tcPr>
            <w:tcW w:w="597" w:type="pct"/>
          </w:tcPr>
          <w:p w:rsidR="00361845" w:rsidRPr="001D4227" w:rsidRDefault="00361845" w:rsidP="00735D38">
            <w:pPr>
              <w:pStyle w:val="COMtbl-textLeftAligned"/>
            </w:pPr>
            <w:r w:rsidRPr="001D4227">
              <w:t>CT-003</w:t>
            </w:r>
          </w:p>
        </w:tc>
        <w:tc>
          <w:tcPr>
            <w:tcW w:w="3395" w:type="pct"/>
          </w:tcPr>
          <w:p w:rsidR="00361845" w:rsidRPr="001D4227" w:rsidRDefault="00361845" w:rsidP="00735D38">
            <w:pPr>
              <w:pStyle w:val="COMtbl-textLeftAligned"/>
            </w:pPr>
            <w:r w:rsidRPr="001D4227">
              <w:t xml:space="preserve">A 16-week, Multicentre, Randomised, Double-Blind, Placebo-Controlled Phase III Study to Evaluate the Safety and Efficacy of </w:t>
            </w:r>
            <w:proofErr w:type="spellStart"/>
            <w:r w:rsidRPr="001D4227">
              <w:t>Dapagliflozin</w:t>
            </w:r>
            <w:proofErr w:type="spellEnd"/>
            <w:r w:rsidRPr="001D4227">
              <w:t xml:space="preserve"> 2.5 mg BID, 5 mg BID and 10 mg QD Versus Placebo in Patients with Type 2 Diabetes Who Are Inadequately Controlled on Metformin-IR Monotherapy. </w:t>
            </w:r>
          </w:p>
          <w:p w:rsidR="00361845" w:rsidRPr="001D4227" w:rsidRDefault="00361845" w:rsidP="00735D38">
            <w:pPr>
              <w:pStyle w:val="COMtbl-textLeftAligned"/>
              <w:rPr>
                <w:b/>
              </w:rPr>
            </w:pPr>
            <w:r w:rsidRPr="001D4227">
              <w:t>Clinicaltrials.gov ID NCT01217892</w:t>
            </w:r>
          </w:p>
        </w:tc>
        <w:tc>
          <w:tcPr>
            <w:tcW w:w="1008" w:type="pct"/>
          </w:tcPr>
          <w:p w:rsidR="00361845" w:rsidRPr="001D4227" w:rsidRDefault="00361845" w:rsidP="00735D38">
            <w:pPr>
              <w:pStyle w:val="COMtbl-textLeftAligned"/>
              <w:rPr>
                <w:b/>
              </w:rPr>
            </w:pPr>
            <w:r w:rsidRPr="001D4227">
              <w:rPr>
                <w:iCs/>
              </w:rPr>
              <w:t>Internal study report</w:t>
            </w:r>
          </w:p>
        </w:tc>
      </w:tr>
    </w:tbl>
    <w:p w:rsidR="007D142F" w:rsidRPr="001D4227" w:rsidRDefault="00361845" w:rsidP="00E15B82">
      <w:pPr>
        <w:pStyle w:val="ListParagraph"/>
        <w:ind w:left="360"/>
        <w:jc w:val="both"/>
        <w:rPr>
          <w:rFonts w:ascii="Arial" w:hAnsi="Arial"/>
          <w:sz w:val="22"/>
          <w:szCs w:val="22"/>
        </w:rPr>
      </w:pPr>
      <w:r w:rsidRPr="001D4227">
        <w:rPr>
          <w:rFonts w:ascii="Arial" w:hAnsi="Arial" w:cs="Arial"/>
          <w:sz w:val="22"/>
        </w:rPr>
        <w:t xml:space="preserve"> </w:t>
      </w:r>
    </w:p>
    <w:p w:rsidR="007D142F" w:rsidRPr="001D4227" w:rsidRDefault="007D142F" w:rsidP="00C86A1A">
      <w:pPr>
        <w:pStyle w:val="COMBody"/>
        <w:ind w:firstLine="720"/>
        <w:rPr>
          <w:rFonts w:ascii="Arial Narrow" w:hAnsi="Arial Narrow"/>
          <w:b/>
          <w:sz w:val="20"/>
        </w:rPr>
      </w:pPr>
      <w:r w:rsidRPr="001D4227">
        <w:rPr>
          <w:rFonts w:ascii="Arial Narrow" w:hAnsi="Arial Narrow"/>
          <w:b/>
          <w:sz w:val="20"/>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1005"/>
        <w:gridCol w:w="1786"/>
        <w:gridCol w:w="1377"/>
        <w:gridCol w:w="1838"/>
        <w:gridCol w:w="1609"/>
      </w:tblGrid>
      <w:tr w:rsidR="007D142F" w:rsidRPr="001D4227" w:rsidTr="00C86A1A">
        <w:tc>
          <w:tcPr>
            <w:tcW w:w="438" w:type="pct"/>
            <w:shd w:val="clear" w:color="auto" w:fill="auto"/>
            <w:vAlign w:val="center"/>
          </w:tcPr>
          <w:p w:rsidR="007D142F" w:rsidRPr="001D4227" w:rsidRDefault="007D142F" w:rsidP="00735D38">
            <w:pPr>
              <w:keepNext/>
              <w:keepLines/>
              <w:rPr>
                <w:rFonts w:ascii="Arial Narrow" w:hAnsi="Arial Narrow"/>
                <w:b/>
                <w:sz w:val="18"/>
                <w:szCs w:val="18"/>
                <w:lang w:val="en-US"/>
              </w:rPr>
            </w:pPr>
            <w:r w:rsidRPr="001D4227">
              <w:rPr>
                <w:rFonts w:ascii="Arial Narrow" w:hAnsi="Arial Narrow"/>
                <w:b/>
                <w:sz w:val="18"/>
                <w:szCs w:val="18"/>
                <w:lang w:val="en-US"/>
              </w:rPr>
              <w:lastRenderedPageBreak/>
              <w:t>Trial</w:t>
            </w:r>
          </w:p>
        </w:tc>
        <w:tc>
          <w:tcPr>
            <w:tcW w:w="602" w:type="pct"/>
            <w:shd w:val="clear" w:color="auto" w:fill="auto"/>
            <w:vAlign w:val="center"/>
          </w:tcPr>
          <w:p w:rsidR="007D142F" w:rsidRPr="001D4227" w:rsidRDefault="007D142F" w:rsidP="00735D38">
            <w:pPr>
              <w:keepNext/>
              <w:keepLines/>
              <w:jc w:val="center"/>
              <w:rPr>
                <w:rFonts w:ascii="Arial Narrow" w:hAnsi="Arial Narrow"/>
                <w:b/>
                <w:sz w:val="18"/>
                <w:szCs w:val="18"/>
                <w:lang w:val="en-US"/>
              </w:rPr>
            </w:pPr>
            <w:r w:rsidRPr="001D4227">
              <w:rPr>
                <w:rFonts w:ascii="Arial Narrow" w:hAnsi="Arial Narrow"/>
                <w:b/>
                <w:sz w:val="18"/>
                <w:szCs w:val="18"/>
                <w:lang w:val="en-US"/>
              </w:rPr>
              <w:t>N</w:t>
            </w:r>
          </w:p>
        </w:tc>
        <w:tc>
          <w:tcPr>
            <w:tcW w:w="1070" w:type="pct"/>
            <w:shd w:val="clear" w:color="auto" w:fill="auto"/>
            <w:vAlign w:val="center"/>
          </w:tcPr>
          <w:p w:rsidR="007D142F" w:rsidRPr="001D4227" w:rsidRDefault="007D142F" w:rsidP="00735D38">
            <w:pPr>
              <w:keepNext/>
              <w:keepLines/>
              <w:jc w:val="center"/>
              <w:rPr>
                <w:rFonts w:ascii="Arial Narrow" w:hAnsi="Arial Narrow"/>
                <w:b/>
                <w:sz w:val="18"/>
                <w:szCs w:val="18"/>
                <w:lang w:val="en-US"/>
              </w:rPr>
            </w:pPr>
            <w:r w:rsidRPr="001D4227">
              <w:rPr>
                <w:rFonts w:ascii="Arial Narrow" w:hAnsi="Arial Narrow"/>
                <w:b/>
                <w:sz w:val="18"/>
                <w:szCs w:val="18"/>
                <w:lang w:val="en-US"/>
              </w:rPr>
              <w:t>Design/ duration</w:t>
            </w:r>
          </w:p>
        </w:tc>
        <w:tc>
          <w:tcPr>
            <w:tcW w:w="825" w:type="pct"/>
            <w:shd w:val="clear" w:color="auto" w:fill="auto"/>
            <w:vAlign w:val="center"/>
          </w:tcPr>
          <w:p w:rsidR="007D142F" w:rsidRPr="001D4227" w:rsidRDefault="007D142F" w:rsidP="00735D38">
            <w:pPr>
              <w:keepNext/>
              <w:keepLines/>
              <w:jc w:val="center"/>
              <w:rPr>
                <w:rFonts w:ascii="Arial Narrow" w:hAnsi="Arial Narrow"/>
                <w:b/>
                <w:sz w:val="18"/>
                <w:szCs w:val="18"/>
                <w:lang w:val="en-US"/>
              </w:rPr>
            </w:pPr>
            <w:r w:rsidRPr="001D4227">
              <w:rPr>
                <w:rFonts w:ascii="Arial Narrow" w:hAnsi="Arial Narrow"/>
                <w:b/>
                <w:sz w:val="18"/>
                <w:szCs w:val="18"/>
                <w:lang w:val="en-US"/>
              </w:rPr>
              <w:t>Risk of bias</w:t>
            </w:r>
          </w:p>
        </w:tc>
        <w:tc>
          <w:tcPr>
            <w:tcW w:w="1101" w:type="pct"/>
            <w:shd w:val="clear" w:color="auto" w:fill="auto"/>
            <w:vAlign w:val="center"/>
          </w:tcPr>
          <w:p w:rsidR="007D142F" w:rsidRPr="001D4227" w:rsidRDefault="007D142F" w:rsidP="00735D38">
            <w:pPr>
              <w:keepNext/>
              <w:keepLines/>
              <w:jc w:val="center"/>
              <w:rPr>
                <w:rFonts w:ascii="Arial Narrow" w:hAnsi="Arial Narrow"/>
                <w:b/>
                <w:sz w:val="18"/>
                <w:szCs w:val="18"/>
                <w:lang w:val="en-US"/>
              </w:rPr>
            </w:pPr>
            <w:r w:rsidRPr="001D4227">
              <w:rPr>
                <w:rFonts w:ascii="Arial Narrow" w:hAnsi="Arial Narrow"/>
                <w:b/>
                <w:sz w:val="18"/>
                <w:szCs w:val="18"/>
                <w:lang w:val="en-US"/>
              </w:rPr>
              <w:t>Patient population</w:t>
            </w:r>
          </w:p>
        </w:tc>
        <w:tc>
          <w:tcPr>
            <w:tcW w:w="964" w:type="pct"/>
            <w:shd w:val="clear" w:color="auto" w:fill="auto"/>
            <w:vAlign w:val="center"/>
          </w:tcPr>
          <w:p w:rsidR="007D142F" w:rsidRPr="001D4227" w:rsidRDefault="007D142F" w:rsidP="00735D38">
            <w:pPr>
              <w:keepNext/>
              <w:keepLines/>
              <w:jc w:val="center"/>
              <w:rPr>
                <w:rFonts w:ascii="Arial Narrow" w:hAnsi="Arial Narrow"/>
                <w:b/>
                <w:sz w:val="18"/>
                <w:szCs w:val="18"/>
                <w:lang w:val="en-US"/>
              </w:rPr>
            </w:pPr>
            <w:r w:rsidRPr="001D4227">
              <w:rPr>
                <w:rFonts w:ascii="Arial Narrow" w:hAnsi="Arial Narrow"/>
                <w:b/>
                <w:sz w:val="18"/>
                <w:szCs w:val="18"/>
                <w:lang w:val="en-US"/>
              </w:rPr>
              <w:t>Outcome(s)</w:t>
            </w:r>
          </w:p>
        </w:tc>
      </w:tr>
      <w:tr w:rsidR="007D142F" w:rsidRPr="001D4227" w:rsidTr="00C86A1A">
        <w:tc>
          <w:tcPr>
            <w:tcW w:w="5000" w:type="pct"/>
            <w:gridSpan w:val="6"/>
            <w:shd w:val="clear" w:color="auto" w:fill="auto"/>
            <w:vAlign w:val="center"/>
          </w:tcPr>
          <w:p w:rsidR="007D142F" w:rsidRPr="001D4227" w:rsidRDefault="007D142F" w:rsidP="00735D38">
            <w:pPr>
              <w:keepNext/>
              <w:keepLines/>
              <w:rPr>
                <w:rFonts w:ascii="Arial Narrow" w:hAnsi="Arial Narrow"/>
                <w:b/>
                <w:sz w:val="18"/>
                <w:szCs w:val="18"/>
                <w:lang w:val="en-US"/>
              </w:rPr>
            </w:pPr>
            <w:proofErr w:type="spellStart"/>
            <w:r w:rsidRPr="001D4227">
              <w:rPr>
                <w:rFonts w:ascii="Arial Narrow" w:hAnsi="Arial Narrow"/>
                <w:b/>
                <w:sz w:val="18"/>
                <w:szCs w:val="18"/>
                <w:lang w:val="en-US"/>
              </w:rPr>
              <w:t>Dapagliflozin</w:t>
            </w:r>
            <w:proofErr w:type="spellEnd"/>
            <w:r w:rsidRPr="001D4227">
              <w:rPr>
                <w:rFonts w:ascii="Arial Narrow" w:hAnsi="Arial Narrow"/>
                <w:b/>
                <w:sz w:val="18"/>
                <w:szCs w:val="18"/>
                <w:lang w:val="en-US"/>
              </w:rPr>
              <w:t>/metformin XR FDC vs individual components</w:t>
            </w:r>
          </w:p>
        </w:tc>
      </w:tr>
      <w:tr w:rsidR="007D142F" w:rsidRPr="001D4227" w:rsidTr="00C86A1A">
        <w:tc>
          <w:tcPr>
            <w:tcW w:w="438" w:type="pct"/>
            <w:shd w:val="clear" w:color="auto" w:fill="auto"/>
            <w:vAlign w:val="center"/>
          </w:tcPr>
          <w:p w:rsidR="007D142F" w:rsidRPr="001D4227" w:rsidRDefault="007D142F" w:rsidP="00735D38">
            <w:pPr>
              <w:keepNext/>
              <w:keepLines/>
              <w:rPr>
                <w:rFonts w:ascii="Arial Narrow" w:hAnsi="Arial Narrow"/>
                <w:iCs/>
                <w:sz w:val="18"/>
                <w:szCs w:val="18"/>
                <w:lang w:val="en-US"/>
              </w:rPr>
            </w:pPr>
            <w:r w:rsidRPr="001D4227">
              <w:rPr>
                <w:rFonts w:ascii="Arial Narrow" w:hAnsi="Arial Narrow"/>
                <w:iCs/>
                <w:sz w:val="18"/>
                <w:szCs w:val="18"/>
                <w:lang w:val="en-US"/>
              </w:rPr>
              <w:t>CT-092</w:t>
            </w:r>
          </w:p>
        </w:tc>
        <w:tc>
          <w:tcPr>
            <w:tcW w:w="602"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36</w:t>
            </w:r>
          </w:p>
        </w:tc>
        <w:tc>
          <w:tcPr>
            <w:tcW w:w="1070"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BE</w:t>
            </w:r>
          </w:p>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Up to 7 days</w:t>
            </w:r>
          </w:p>
        </w:tc>
        <w:tc>
          <w:tcPr>
            <w:tcW w:w="825"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Low</w:t>
            </w:r>
          </w:p>
        </w:tc>
        <w:tc>
          <w:tcPr>
            <w:tcW w:w="1101"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Healthy adults</w:t>
            </w:r>
          </w:p>
        </w:tc>
        <w:tc>
          <w:tcPr>
            <w:tcW w:w="964"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PK</w:t>
            </w:r>
          </w:p>
        </w:tc>
      </w:tr>
      <w:tr w:rsidR="007D142F" w:rsidRPr="001D4227" w:rsidTr="00C86A1A">
        <w:tc>
          <w:tcPr>
            <w:tcW w:w="438" w:type="pct"/>
            <w:shd w:val="clear" w:color="auto" w:fill="auto"/>
            <w:vAlign w:val="center"/>
          </w:tcPr>
          <w:p w:rsidR="007D142F" w:rsidRPr="001D4227" w:rsidRDefault="007D142F" w:rsidP="00735D38">
            <w:pPr>
              <w:keepNext/>
              <w:keepLines/>
              <w:rPr>
                <w:rFonts w:ascii="Arial Narrow" w:hAnsi="Arial Narrow"/>
                <w:iCs/>
                <w:sz w:val="18"/>
                <w:szCs w:val="18"/>
                <w:lang w:val="en-US"/>
              </w:rPr>
            </w:pPr>
            <w:r w:rsidRPr="001D4227">
              <w:rPr>
                <w:rFonts w:ascii="Arial Narrow" w:hAnsi="Arial Narrow"/>
                <w:iCs/>
                <w:sz w:val="18"/>
                <w:szCs w:val="18"/>
                <w:lang w:val="en-US"/>
              </w:rPr>
              <w:t>CT-100</w:t>
            </w:r>
          </w:p>
        </w:tc>
        <w:tc>
          <w:tcPr>
            <w:tcW w:w="602"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36</w:t>
            </w:r>
          </w:p>
        </w:tc>
        <w:tc>
          <w:tcPr>
            <w:tcW w:w="1070"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BE</w:t>
            </w:r>
          </w:p>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Up to 7 days</w:t>
            </w:r>
          </w:p>
        </w:tc>
        <w:tc>
          <w:tcPr>
            <w:tcW w:w="825"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Low</w:t>
            </w:r>
          </w:p>
        </w:tc>
        <w:tc>
          <w:tcPr>
            <w:tcW w:w="1101"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Healthy adults</w:t>
            </w:r>
          </w:p>
        </w:tc>
        <w:tc>
          <w:tcPr>
            <w:tcW w:w="964"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PK</w:t>
            </w:r>
          </w:p>
        </w:tc>
      </w:tr>
      <w:tr w:rsidR="007D142F" w:rsidRPr="001D4227" w:rsidTr="00C86A1A">
        <w:tc>
          <w:tcPr>
            <w:tcW w:w="438" w:type="pct"/>
            <w:shd w:val="clear" w:color="auto" w:fill="auto"/>
            <w:vAlign w:val="center"/>
          </w:tcPr>
          <w:p w:rsidR="007D142F" w:rsidRPr="001D4227" w:rsidRDefault="007D142F" w:rsidP="00735D38">
            <w:pPr>
              <w:keepNext/>
              <w:keepLines/>
              <w:rPr>
                <w:rFonts w:ascii="Arial Narrow" w:hAnsi="Arial Narrow"/>
                <w:iCs/>
                <w:sz w:val="18"/>
                <w:szCs w:val="18"/>
                <w:lang w:val="en-US"/>
              </w:rPr>
            </w:pPr>
            <w:r w:rsidRPr="001D4227">
              <w:rPr>
                <w:rFonts w:ascii="Arial Narrow" w:hAnsi="Arial Narrow"/>
                <w:iCs/>
                <w:sz w:val="18"/>
                <w:szCs w:val="18"/>
                <w:lang w:val="en-US"/>
              </w:rPr>
              <w:t>CT-125</w:t>
            </w:r>
          </w:p>
        </w:tc>
        <w:tc>
          <w:tcPr>
            <w:tcW w:w="602"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72</w:t>
            </w:r>
          </w:p>
        </w:tc>
        <w:tc>
          <w:tcPr>
            <w:tcW w:w="1070"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BE</w:t>
            </w:r>
          </w:p>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10 days</w:t>
            </w:r>
          </w:p>
        </w:tc>
        <w:tc>
          <w:tcPr>
            <w:tcW w:w="825"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Low</w:t>
            </w:r>
          </w:p>
        </w:tc>
        <w:tc>
          <w:tcPr>
            <w:tcW w:w="1101"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Healthy adults</w:t>
            </w:r>
          </w:p>
        </w:tc>
        <w:tc>
          <w:tcPr>
            <w:tcW w:w="964"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PK</w:t>
            </w:r>
          </w:p>
        </w:tc>
      </w:tr>
      <w:tr w:rsidR="007D142F" w:rsidRPr="001D4227" w:rsidTr="00C86A1A">
        <w:tc>
          <w:tcPr>
            <w:tcW w:w="5000" w:type="pct"/>
            <w:gridSpan w:val="6"/>
            <w:shd w:val="clear" w:color="auto" w:fill="auto"/>
            <w:vAlign w:val="center"/>
          </w:tcPr>
          <w:p w:rsidR="007D142F" w:rsidRPr="001D4227" w:rsidRDefault="007D142F" w:rsidP="00735D38">
            <w:pPr>
              <w:keepNext/>
              <w:keepLines/>
              <w:rPr>
                <w:rFonts w:ascii="Arial Narrow" w:hAnsi="Arial Narrow"/>
                <w:b/>
                <w:sz w:val="18"/>
                <w:szCs w:val="18"/>
                <w:lang w:val="en-US"/>
              </w:rPr>
            </w:pPr>
            <w:proofErr w:type="spellStart"/>
            <w:r w:rsidRPr="001D4227">
              <w:rPr>
                <w:rFonts w:ascii="Arial Narrow" w:hAnsi="Arial Narrow"/>
                <w:b/>
                <w:sz w:val="18"/>
                <w:szCs w:val="18"/>
                <w:lang w:val="en-US"/>
              </w:rPr>
              <w:t>Dapagliflozin</w:t>
            </w:r>
            <w:proofErr w:type="spellEnd"/>
            <w:r w:rsidRPr="001D4227">
              <w:rPr>
                <w:rFonts w:ascii="Arial Narrow" w:hAnsi="Arial Narrow"/>
                <w:b/>
                <w:sz w:val="18"/>
                <w:szCs w:val="18"/>
                <w:lang w:val="en-US"/>
              </w:rPr>
              <w:t xml:space="preserve"> 10mg + metformin vs placebo + metformin</w:t>
            </w:r>
          </w:p>
        </w:tc>
      </w:tr>
      <w:tr w:rsidR="007D142F" w:rsidRPr="001D4227" w:rsidTr="00C86A1A">
        <w:tc>
          <w:tcPr>
            <w:tcW w:w="438" w:type="pct"/>
            <w:shd w:val="clear" w:color="auto" w:fill="auto"/>
            <w:vAlign w:val="center"/>
          </w:tcPr>
          <w:p w:rsidR="007D142F" w:rsidRPr="001D4227" w:rsidRDefault="007D142F" w:rsidP="00735D38">
            <w:pPr>
              <w:keepNext/>
              <w:keepLines/>
              <w:rPr>
                <w:rFonts w:ascii="Arial Narrow" w:hAnsi="Arial Narrow"/>
                <w:iCs/>
                <w:sz w:val="18"/>
                <w:szCs w:val="18"/>
                <w:lang w:val="en-US"/>
              </w:rPr>
            </w:pPr>
            <w:r w:rsidRPr="001D4227">
              <w:rPr>
                <w:rFonts w:ascii="Arial Narrow" w:hAnsi="Arial Narrow"/>
                <w:iCs/>
                <w:sz w:val="18"/>
                <w:szCs w:val="18"/>
                <w:lang w:val="en-US"/>
              </w:rPr>
              <w:t>CT-014</w:t>
            </w:r>
          </w:p>
        </w:tc>
        <w:tc>
          <w:tcPr>
            <w:tcW w:w="602" w:type="pct"/>
            <w:shd w:val="clear" w:color="auto" w:fill="auto"/>
            <w:vAlign w:val="center"/>
          </w:tcPr>
          <w:p w:rsidR="007D142F" w:rsidRPr="001D4227" w:rsidRDefault="007D142F" w:rsidP="00735D38">
            <w:pPr>
              <w:keepNext/>
              <w:keepLines/>
              <w:jc w:val="center"/>
              <w:rPr>
                <w:rFonts w:ascii="Arial Narrow" w:hAnsi="Arial Narrow"/>
                <w:sz w:val="18"/>
                <w:szCs w:val="18"/>
                <w:vertAlign w:val="superscript"/>
                <w:lang w:val="en-US"/>
              </w:rPr>
            </w:pPr>
            <w:r w:rsidRPr="001D4227">
              <w:rPr>
                <w:rFonts w:ascii="Arial Narrow" w:hAnsi="Arial Narrow"/>
                <w:sz w:val="18"/>
                <w:szCs w:val="18"/>
                <w:lang w:val="en-US"/>
              </w:rPr>
              <w:t>272</w:t>
            </w:r>
            <w:r w:rsidRPr="001D4227">
              <w:rPr>
                <w:rFonts w:ascii="Arial Narrow" w:hAnsi="Arial Narrow"/>
                <w:sz w:val="18"/>
                <w:szCs w:val="18"/>
                <w:vertAlign w:val="superscript"/>
                <w:lang w:val="en-US"/>
              </w:rPr>
              <w:t xml:space="preserve"> a</w:t>
            </w:r>
          </w:p>
        </w:tc>
        <w:tc>
          <w:tcPr>
            <w:tcW w:w="1070"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R, DB</w:t>
            </w:r>
          </w:p>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 xml:space="preserve">24 </w:t>
            </w:r>
            <w:proofErr w:type="spellStart"/>
            <w:r w:rsidRPr="001D4227">
              <w:rPr>
                <w:rFonts w:ascii="Arial Narrow" w:hAnsi="Arial Narrow"/>
                <w:sz w:val="18"/>
                <w:szCs w:val="18"/>
                <w:lang w:val="en-US"/>
              </w:rPr>
              <w:t>wks</w:t>
            </w:r>
            <w:proofErr w:type="spellEnd"/>
            <w:r w:rsidRPr="001D4227">
              <w:rPr>
                <w:rFonts w:ascii="Arial Narrow" w:hAnsi="Arial Narrow"/>
                <w:sz w:val="18"/>
                <w:szCs w:val="18"/>
                <w:lang w:val="en-US"/>
              </w:rPr>
              <w:t xml:space="preserve">, 102 </w:t>
            </w:r>
            <w:proofErr w:type="spellStart"/>
            <w:r w:rsidRPr="001D4227">
              <w:rPr>
                <w:rFonts w:ascii="Arial Narrow" w:hAnsi="Arial Narrow"/>
                <w:sz w:val="18"/>
                <w:szCs w:val="18"/>
                <w:lang w:val="en-US"/>
              </w:rPr>
              <w:t>wks</w:t>
            </w:r>
            <w:proofErr w:type="spellEnd"/>
          </w:p>
        </w:tc>
        <w:tc>
          <w:tcPr>
            <w:tcW w:w="825"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Low</w:t>
            </w:r>
          </w:p>
        </w:tc>
        <w:tc>
          <w:tcPr>
            <w:tcW w:w="1101"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Type 2 diabetes not controlled on metformin alone</w:t>
            </w:r>
          </w:p>
        </w:tc>
        <w:tc>
          <w:tcPr>
            <w:tcW w:w="964" w:type="pct"/>
            <w:shd w:val="clear" w:color="auto" w:fill="auto"/>
            <w:vAlign w:val="center"/>
          </w:tcPr>
          <w:p w:rsidR="007D142F" w:rsidRPr="001D4227" w:rsidRDefault="007D142F" w:rsidP="00735D38">
            <w:pPr>
              <w:keepNext/>
              <w:keepLines/>
              <w:jc w:val="center"/>
              <w:rPr>
                <w:rFonts w:ascii="Arial Narrow" w:hAnsi="Arial Narrow"/>
                <w:sz w:val="18"/>
                <w:szCs w:val="18"/>
                <w:lang w:val="en-US"/>
              </w:rPr>
            </w:pPr>
            <w:r w:rsidRPr="001D4227">
              <w:rPr>
                <w:rFonts w:ascii="Arial Narrow" w:hAnsi="Arial Narrow"/>
                <w:sz w:val="18"/>
                <w:szCs w:val="18"/>
                <w:lang w:val="en-US"/>
              </w:rPr>
              <w:t>Mean change in HbA1c; responder rate</w:t>
            </w:r>
          </w:p>
        </w:tc>
      </w:tr>
    </w:tbl>
    <w:p w:rsidR="007D142F" w:rsidRPr="001D4227" w:rsidRDefault="007D142F" w:rsidP="00011616">
      <w:pPr>
        <w:pStyle w:val="COMTbl-foot"/>
        <w:keepNext/>
        <w:keepLines/>
        <w:ind w:firstLine="720"/>
        <w:rPr>
          <w:szCs w:val="18"/>
        </w:rPr>
      </w:pPr>
      <w:proofErr w:type="gramStart"/>
      <w:r w:rsidRPr="001D4227">
        <w:rPr>
          <w:szCs w:val="18"/>
          <w:vertAlign w:val="superscript"/>
        </w:rPr>
        <w:t>a</w:t>
      </w:r>
      <w:proofErr w:type="gramEnd"/>
      <w:r w:rsidRPr="001D4227">
        <w:rPr>
          <w:szCs w:val="18"/>
          <w:vertAlign w:val="superscript"/>
        </w:rPr>
        <w:t xml:space="preserve"> </w:t>
      </w:r>
      <w:proofErr w:type="spellStart"/>
      <w:r w:rsidRPr="001D4227">
        <w:rPr>
          <w:szCs w:val="18"/>
        </w:rPr>
        <w:t>dapagliflozin</w:t>
      </w:r>
      <w:proofErr w:type="spellEnd"/>
      <w:r w:rsidRPr="001D4227">
        <w:rPr>
          <w:szCs w:val="18"/>
        </w:rPr>
        <w:t xml:space="preserve"> 10mg + metformin and placebo + metformin arms only.</w:t>
      </w:r>
    </w:p>
    <w:p w:rsidR="007D142F" w:rsidRPr="001D4227" w:rsidRDefault="007D142F" w:rsidP="00011616">
      <w:pPr>
        <w:pStyle w:val="COMTbl-foot"/>
        <w:keepNext/>
        <w:keepLines/>
        <w:ind w:firstLine="720"/>
        <w:rPr>
          <w:szCs w:val="18"/>
        </w:rPr>
      </w:pPr>
      <w:r w:rsidRPr="001D4227">
        <w:rPr>
          <w:szCs w:val="18"/>
        </w:rPr>
        <w:t xml:space="preserve">Abbreviations: </w:t>
      </w:r>
      <w:proofErr w:type="gramStart"/>
      <w:r w:rsidRPr="001D4227">
        <w:rPr>
          <w:szCs w:val="18"/>
        </w:rPr>
        <w:t>BE,</w:t>
      </w:r>
      <w:proofErr w:type="gramEnd"/>
      <w:r w:rsidRPr="001D4227">
        <w:rPr>
          <w:szCs w:val="18"/>
        </w:rPr>
        <w:t xml:space="preserve"> bioequivalence; DB, double blind; PK, pharmacokinetic measures; R, randomised.</w:t>
      </w:r>
    </w:p>
    <w:p w:rsidR="007D142F" w:rsidRPr="001D4227" w:rsidRDefault="007D142F" w:rsidP="00011616">
      <w:pPr>
        <w:pStyle w:val="COMTbl-foot"/>
        <w:keepNext/>
        <w:keepLines/>
        <w:ind w:firstLine="720"/>
      </w:pPr>
      <w:r w:rsidRPr="001D4227">
        <w:t>Source: compiled during the evaluation</w:t>
      </w:r>
    </w:p>
    <w:p w:rsidR="009A2A15" w:rsidRPr="001D4227" w:rsidRDefault="009A2A15" w:rsidP="007D142F">
      <w:pPr>
        <w:ind w:firstLine="720"/>
        <w:jc w:val="both"/>
        <w:rPr>
          <w:rFonts w:ascii="Arial" w:hAnsi="Arial"/>
          <w:i/>
          <w:sz w:val="22"/>
          <w:szCs w:val="22"/>
        </w:rPr>
      </w:pPr>
    </w:p>
    <w:p w:rsidR="00BB7EC3" w:rsidRPr="001D4227" w:rsidRDefault="00BB7EC3" w:rsidP="007D142F">
      <w:pPr>
        <w:ind w:firstLine="720"/>
        <w:jc w:val="both"/>
        <w:rPr>
          <w:rFonts w:ascii="Arial" w:hAnsi="Arial"/>
          <w:i/>
          <w:sz w:val="22"/>
          <w:szCs w:val="22"/>
        </w:rPr>
      </w:pPr>
      <w:r w:rsidRPr="001D4227">
        <w:rPr>
          <w:rFonts w:ascii="Arial" w:hAnsi="Arial"/>
          <w:i/>
          <w:sz w:val="22"/>
          <w:szCs w:val="22"/>
        </w:rPr>
        <w:t>For PBAC’s view, see section 7 “PBAC outcome”</w:t>
      </w:r>
    </w:p>
    <w:p w:rsidR="00BB7EC3" w:rsidRPr="001D4227" w:rsidRDefault="00BB7EC3" w:rsidP="00BB7EC3">
      <w:pPr>
        <w:ind w:left="709"/>
        <w:jc w:val="both"/>
        <w:rPr>
          <w:rFonts w:ascii="Arial" w:hAnsi="Arial"/>
          <w:sz w:val="22"/>
          <w:szCs w:val="22"/>
        </w:rPr>
      </w:pPr>
    </w:p>
    <w:p w:rsidR="005A3173" w:rsidRPr="001D4227" w:rsidRDefault="005A3173" w:rsidP="00882085">
      <w:pPr>
        <w:jc w:val="both"/>
        <w:rPr>
          <w:rFonts w:ascii="Arial" w:hAnsi="Arial"/>
          <w:b/>
          <w:i/>
          <w:sz w:val="22"/>
          <w:szCs w:val="22"/>
        </w:rPr>
      </w:pPr>
      <w:r w:rsidRPr="001D4227">
        <w:rPr>
          <w:rFonts w:ascii="Arial" w:hAnsi="Arial"/>
          <w:b/>
          <w:i/>
          <w:sz w:val="22"/>
          <w:szCs w:val="22"/>
        </w:rPr>
        <w:t>Comparative effectiveness</w:t>
      </w:r>
    </w:p>
    <w:p w:rsidR="005A3173" w:rsidRPr="001D4227" w:rsidRDefault="005A3173" w:rsidP="00882085">
      <w:pPr>
        <w:jc w:val="both"/>
        <w:rPr>
          <w:rFonts w:ascii="Arial" w:hAnsi="Arial"/>
          <w:sz w:val="22"/>
          <w:szCs w:val="22"/>
        </w:rPr>
      </w:pPr>
    </w:p>
    <w:p w:rsidR="00DF26A7" w:rsidRPr="002E7872" w:rsidRDefault="007A657F" w:rsidP="002E7872">
      <w:pPr>
        <w:pStyle w:val="ListParagraph"/>
        <w:numPr>
          <w:ilvl w:val="1"/>
          <w:numId w:val="1"/>
        </w:numPr>
        <w:jc w:val="both"/>
        <w:rPr>
          <w:rFonts w:ascii="Arial" w:hAnsi="Arial"/>
          <w:sz w:val="22"/>
          <w:szCs w:val="22"/>
        </w:rPr>
      </w:pPr>
      <w:r w:rsidRPr="002E7872">
        <w:rPr>
          <w:rFonts w:ascii="Arial" w:hAnsi="Arial" w:cs="Arial"/>
          <w:sz w:val="22"/>
          <w:szCs w:val="22"/>
        </w:rPr>
        <w:t>The PBAC noted that the TGA delegate concluded that bioequivalence has been established</w:t>
      </w:r>
      <w:r w:rsidR="00C86A1A" w:rsidRPr="002E7872">
        <w:rPr>
          <w:rFonts w:ascii="Arial" w:hAnsi="Arial" w:cs="Arial"/>
          <w:sz w:val="22"/>
          <w:szCs w:val="22"/>
        </w:rPr>
        <w:t>,</w:t>
      </w:r>
      <w:r w:rsidRPr="002E7872">
        <w:rPr>
          <w:rFonts w:ascii="Arial" w:hAnsi="Arial" w:cs="Arial"/>
          <w:sz w:val="22"/>
          <w:szCs w:val="22"/>
        </w:rPr>
        <w:t xml:space="preserve"> with t</w:t>
      </w:r>
      <w:r w:rsidR="00361845" w:rsidRPr="002E7872">
        <w:rPr>
          <w:rFonts w:ascii="Arial" w:hAnsi="Arial" w:cs="Arial"/>
          <w:sz w:val="22"/>
          <w:szCs w:val="22"/>
        </w:rPr>
        <w:t>he fixed dose combinations in Trials CT-092, CT-100 and CT-125 me</w:t>
      </w:r>
      <w:r w:rsidRPr="002E7872">
        <w:rPr>
          <w:rFonts w:ascii="Arial" w:hAnsi="Arial" w:cs="Arial"/>
          <w:sz w:val="22"/>
          <w:szCs w:val="22"/>
        </w:rPr>
        <w:t>e</w:t>
      </w:r>
      <w:r w:rsidR="00361845" w:rsidRPr="002E7872">
        <w:rPr>
          <w:rFonts w:ascii="Arial" w:hAnsi="Arial" w:cs="Arial"/>
          <w:sz w:val="22"/>
          <w:szCs w:val="22"/>
        </w:rPr>
        <w:t>t</w:t>
      </w:r>
      <w:r w:rsidRPr="002E7872">
        <w:rPr>
          <w:rFonts w:ascii="Arial" w:hAnsi="Arial" w:cs="Arial"/>
          <w:sz w:val="22"/>
          <w:szCs w:val="22"/>
        </w:rPr>
        <w:t>ing</w:t>
      </w:r>
      <w:r w:rsidR="00361845" w:rsidRPr="002E7872">
        <w:rPr>
          <w:rFonts w:ascii="Arial" w:hAnsi="Arial" w:cs="Arial"/>
          <w:sz w:val="22"/>
          <w:szCs w:val="22"/>
        </w:rPr>
        <w:t xml:space="preserve"> the pre-specified bioequivalence margins against the individual components.</w:t>
      </w:r>
      <w:r w:rsidR="006D56E9" w:rsidRPr="002E7872">
        <w:rPr>
          <w:rFonts w:ascii="Arial" w:hAnsi="Arial" w:cs="Arial"/>
          <w:sz w:val="22"/>
          <w:szCs w:val="22"/>
        </w:rPr>
        <w:t xml:space="preserve"> </w:t>
      </w:r>
      <w:r w:rsidR="00A6454E" w:rsidRPr="002E7872">
        <w:rPr>
          <w:rFonts w:ascii="Arial" w:hAnsi="Arial" w:cs="Arial"/>
          <w:iCs/>
          <w:color w:val="FF0000"/>
          <w:sz w:val="22"/>
        </w:rPr>
        <w:t xml:space="preserve"> </w:t>
      </w:r>
    </w:p>
    <w:p w:rsidR="001E3DDD" w:rsidRPr="001D4227" w:rsidRDefault="001E3DDD" w:rsidP="001E3DDD">
      <w:pPr>
        <w:pStyle w:val="ListParagraph"/>
        <w:ind w:left="709"/>
        <w:jc w:val="both"/>
        <w:rPr>
          <w:rFonts w:ascii="Arial" w:hAnsi="Arial"/>
          <w:sz w:val="22"/>
          <w:szCs w:val="22"/>
        </w:rPr>
      </w:pPr>
    </w:p>
    <w:p w:rsidR="00BB7EC3" w:rsidRPr="001D4227" w:rsidRDefault="00BB7EC3" w:rsidP="00BB7EC3">
      <w:pPr>
        <w:pStyle w:val="ListParagraph"/>
        <w:ind w:left="709"/>
        <w:jc w:val="both"/>
        <w:rPr>
          <w:rFonts w:ascii="Arial" w:hAnsi="Arial"/>
          <w:i/>
          <w:sz w:val="22"/>
          <w:szCs w:val="22"/>
        </w:rPr>
      </w:pPr>
      <w:r w:rsidRPr="001D4227">
        <w:rPr>
          <w:rFonts w:ascii="Arial" w:hAnsi="Arial"/>
          <w:i/>
          <w:sz w:val="22"/>
          <w:szCs w:val="22"/>
        </w:rPr>
        <w:t xml:space="preserve">For </w:t>
      </w:r>
      <w:r w:rsidR="007A657F" w:rsidRPr="001D4227">
        <w:rPr>
          <w:rFonts w:ascii="Arial" w:hAnsi="Arial"/>
          <w:i/>
          <w:sz w:val="22"/>
          <w:szCs w:val="22"/>
        </w:rPr>
        <w:t xml:space="preserve">more detail on </w:t>
      </w:r>
      <w:r w:rsidRPr="001D4227">
        <w:rPr>
          <w:rFonts w:ascii="Arial" w:hAnsi="Arial"/>
          <w:i/>
          <w:sz w:val="22"/>
          <w:szCs w:val="22"/>
        </w:rPr>
        <w:t>PBAC’s view, see section 7 “PBAC outcome”</w:t>
      </w:r>
    </w:p>
    <w:p w:rsidR="00BB7EC3" w:rsidRPr="001D4227" w:rsidRDefault="00BB7EC3" w:rsidP="00BB7EC3">
      <w:pPr>
        <w:ind w:left="709"/>
        <w:jc w:val="both"/>
        <w:rPr>
          <w:rFonts w:ascii="Arial" w:hAnsi="Arial"/>
          <w:sz w:val="22"/>
          <w:szCs w:val="22"/>
        </w:rPr>
      </w:pPr>
    </w:p>
    <w:p w:rsidR="005A3173" w:rsidRPr="001D4227" w:rsidRDefault="005A3173" w:rsidP="00882085">
      <w:pPr>
        <w:jc w:val="both"/>
        <w:rPr>
          <w:rFonts w:ascii="Arial" w:hAnsi="Arial"/>
          <w:b/>
          <w:i/>
          <w:sz w:val="22"/>
          <w:szCs w:val="22"/>
        </w:rPr>
      </w:pPr>
      <w:r w:rsidRPr="001D4227">
        <w:rPr>
          <w:rFonts w:ascii="Arial" w:hAnsi="Arial"/>
          <w:b/>
          <w:i/>
          <w:sz w:val="22"/>
          <w:szCs w:val="22"/>
        </w:rPr>
        <w:t>Comparative harms</w:t>
      </w:r>
    </w:p>
    <w:p w:rsidR="005A3173" w:rsidRPr="001D4227" w:rsidRDefault="005A3173" w:rsidP="00882085">
      <w:pPr>
        <w:ind w:left="720" w:hanging="720"/>
        <w:jc w:val="both"/>
        <w:rPr>
          <w:rFonts w:ascii="Arial" w:hAnsi="Arial"/>
          <w:sz w:val="22"/>
          <w:szCs w:val="22"/>
        </w:rPr>
      </w:pPr>
    </w:p>
    <w:p w:rsidR="00596015" w:rsidRPr="002E7872" w:rsidRDefault="00A6454E" w:rsidP="002E7872">
      <w:pPr>
        <w:pStyle w:val="ListParagraph"/>
        <w:numPr>
          <w:ilvl w:val="1"/>
          <w:numId w:val="1"/>
        </w:numPr>
        <w:jc w:val="both"/>
        <w:rPr>
          <w:rFonts w:ascii="Arial" w:hAnsi="Arial"/>
          <w:sz w:val="22"/>
          <w:szCs w:val="22"/>
        </w:rPr>
      </w:pPr>
      <w:r w:rsidRPr="002E7872">
        <w:rPr>
          <w:rFonts w:ascii="Arial" w:hAnsi="Arial" w:cs="Arial"/>
          <w:iCs/>
          <w:sz w:val="22"/>
        </w:rPr>
        <w:t xml:space="preserve">The submission claimed that the </w:t>
      </w:r>
      <w:r w:rsidR="00596015" w:rsidRPr="002E7872">
        <w:rPr>
          <w:rFonts w:ascii="Arial" w:hAnsi="Arial" w:cs="Arial"/>
          <w:iCs/>
          <w:sz w:val="22"/>
        </w:rPr>
        <w:t>safety profile of the FDC is consistent with that of the individual components.</w:t>
      </w:r>
      <w:r w:rsidR="00596015" w:rsidRPr="002E7872">
        <w:rPr>
          <w:rFonts w:ascii="Arial" w:hAnsi="Arial" w:cs="Arial"/>
          <w:sz w:val="22"/>
        </w:rPr>
        <w:t xml:space="preserve"> No deaths or serious adverse events were reported in any of the three bioequivalence trials. </w:t>
      </w:r>
    </w:p>
    <w:p w:rsidR="00BB7EC3" w:rsidRPr="001D4227" w:rsidRDefault="00BB7EC3" w:rsidP="00BB7EC3">
      <w:pPr>
        <w:jc w:val="both"/>
        <w:rPr>
          <w:rFonts w:ascii="Arial" w:hAnsi="Arial"/>
          <w:sz w:val="22"/>
          <w:szCs w:val="22"/>
        </w:rPr>
      </w:pPr>
    </w:p>
    <w:p w:rsidR="00BB7EC3" w:rsidRPr="001D4227" w:rsidRDefault="00BB7EC3" w:rsidP="00BB7EC3">
      <w:pPr>
        <w:pStyle w:val="ListParagraph"/>
        <w:ind w:left="709"/>
        <w:jc w:val="both"/>
        <w:rPr>
          <w:rFonts w:ascii="Arial" w:hAnsi="Arial"/>
          <w:i/>
          <w:sz w:val="22"/>
          <w:szCs w:val="22"/>
        </w:rPr>
      </w:pPr>
      <w:r w:rsidRPr="001D4227">
        <w:rPr>
          <w:rFonts w:ascii="Arial" w:hAnsi="Arial"/>
          <w:i/>
          <w:sz w:val="22"/>
          <w:szCs w:val="22"/>
        </w:rPr>
        <w:t>For PBAC’s view, see section 7 “PBAC outcome”</w:t>
      </w:r>
    </w:p>
    <w:p w:rsidR="00882085" w:rsidRPr="001D4227" w:rsidRDefault="00882085" w:rsidP="00882085">
      <w:pPr>
        <w:jc w:val="both"/>
        <w:rPr>
          <w:rFonts w:ascii="Arial" w:hAnsi="Arial"/>
          <w:b/>
          <w:i/>
          <w:sz w:val="22"/>
          <w:szCs w:val="22"/>
        </w:rPr>
      </w:pPr>
    </w:p>
    <w:p w:rsidR="005A3173" w:rsidRPr="001D4227" w:rsidRDefault="005A3173" w:rsidP="00882085">
      <w:pPr>
        <w:jc w:val="both"/>
        <w:rPr>
          <w:rFonts w:ascii="Arial" w:hAnsi="Arial"/>
          <w:b/>
          <w:i/>
          <w:sz w:val="22"/>
          <w:szCs w:val="22"/>
        </w:rPr>
      </w:pPr>
      <w:r w:rsidRPr="001D4227">
        <w:rPr>
          <w:rFonts w:ascii="Arial" w:hAnsi="Arial"/>
          <w:b/>
          <w:i/>
          <w:sz w:val="22"/>
          <w:szCs w:val="22"/>
        </w:rPr>
        <w:t>Clinical claim</w:t>
      </w:r>
    </w:p>
    <w:p w:rsidR="005A3173" w:rsidRPr="001D4227" w:rsidRDefault="005A3173" w:rsidP="00882085">
      <w:pPr>
        <w:ind w:left="720" w:hanging="720"/>
        <w:jc w:val="both"/>
        <w:rPr>
          <w:rFonts w:ascii="Arial" w:hAnsi="Arial"/>
          <w:sz w:val="22"/>
          <w:szCs w:val="22"/>
        </w:rPr>
      </w:pPr>
    </w:p>
    <w:p w:rsidR="000B558D" w:rsidRPr="002E7872" w:rsidRDefault="00872291" w:rsidP="002E7872">
      <w:pPr>
        <w:pStyle w:val="ListParagraph"/>
        <w:numPr>
          <w:ilvl w:val="1"/>
          <w:numId w:val="1"/>
        </w:numPr>
        <w:jc w:val="both"/>
        <w:rPr>
          <w:rFonts w:ascii="Arial" w:hAnsi="Arial"/>
          <w:sz w:val="22"/>
          <w:szCs w:val="22"/>
        </w:rPr>
      </w:pPr>
      <w:r w:rsidRPr="002E7872">
        <w:rPr>
          <w:rFonts w:ascii="Arial" w:hAnsi="Arial" w:cs="Arial"/>
          <w:sz w:val="22"/>
        </w:rPr>
        <w:t xml:space="preserve">The submission </w:t>
      </w:r>
      <w:r w:rsidR="003571D8" w:rsidRPr="002E7872">
        <w:rPr>
          <w:rFonts w:ascii="Arial" w:hAnsi="Arial" w:cs="Arial"/>
          <w:sz w:val="22"/>
        </w:rPr>
        <w:t>described</w:t>
      </w:r>
      <w:r w:rsidR="00596015" w:rsidRPr="002E7872">
        <w:rPr>
          <w:rFonts w:ascii="Arial" w:hAnsi="Arial" w:cs="Arial"/>
          <w:sz w:val="22"/>
        </w:rPr>
        <w:t xml:space="preserve"> </w:t>
      </w:r>
      <w:proofErr w:type="spellStart"/>
      <w:r w:rsidR="00596015" w:rsidRPr="002E7872">
        <w:rPr>
          <w:rFonts w:ascii="Arial" w:hAnsi="Arial" w:cs="Arial"/>
          <w:sz w:val="22"/>
        </w:rPr>
        <w:t>dapagliflozin</w:t>
      </w:r>
      <w:proofErr w:type="spellEnd"/>
      <w:r w:rsidR="00596015" w:rsidRPr="002E7872">
        <w:rPr>
          <w:rFonts w:ascii="Arial" w:hAnsi="Arial" w:cs="Arial"/>
          <w:sz w:val="22"/>
        </w:rPr>
        <w:t xml:space="preserve">/metformin XR FDC as bioequivalent to the individual components administered concomitantly. The submission makes no claims with regard to comparative safety. </w:t>
      </w:r>
      <w:r w:rsidR="00A6454E" w:rsidRPr="002E7872">
        <w:rPr>
          <w:rFonts w:ascii="Arial" w:hAnsi="Arial" w:cs="Arial"/>
          <w:sz w:val="22"/>
        </w:rPr>
        <w:t xml:space="preserve"> The PBAC noted that t</w:t>
      </w:r>
      <w:r w:rsidR="00596015" w:rsidRPr="002E7872">
        <w:rPr>
          <w:rFonts w:ascii="Arial" w:hAnsi="Arial" w:cs="Arial"/>
          <w:iCs/>
          <w:sz w:val="22"/>
        </w:rPr>
        <w:t xml:space="preserve">he claim of bioequivalence </w:t>
      </w:r>
      <w:r w:rsidR="00A6454E" w:rsidRPr="002E7872">
        <w:rPr>
          <w:rFonts w:ascii="Arial" w:hAnsi="Arial" w:cs="Arial"/>
          <w:iCs/>
          <w:sz w:val="22"/>
        </w:rPr>
        <w:t>has been accepted</w:t>
      </w:r>
      <w:r w:rsidR="00596015" w:rsidRPr="002E7872">
        <w:rPr>
          <w:rFonts w:ascii="Arial" w:hAnsi="Arial" w:cs="Arial"/>
          <w:iCs/>
          <w:sz w:val="22"/>
        </w:rPr>
        <w:t xml:space="preserve"> by the TGA. </w:t>
      </w:r>
    </w:p>
    <w:p w:rsidR="00BB7EC3" w:rsidRPr="001D4227" w:rsidRDefault="00FC793E" w:rsidP="003571D8">
      <w:pPr>
        <w:pStyle w:val="ListParagraph"/>
        <w:tabs>
          <w:tab w:val="left" w:pos="6450"/>
        </w:tabs>
        <w:ind w:left="709"/>
        <w:jc w:val="both"/>
        <w:rPr>
          <w:rFonts w:ascii="Arial" w:hAnsi="Arial"/>
          <w:sz w:val="22"/>
          <w:szCs w:val="22"/>
        </w:rPr>
      </w:pPr>
      <w:r w:rsidRPr="001D4227">
        <w:rPr>
          <w:rFonts w:ascii="Arial" w:hAnsi="Arial"/>
          <w:sz w:val="22"/>
          <w:szCs w:val="22"/>
        </w:rPr>
        <w:tab/>
      </w:r>
    </w:p>
    <w:p w:rsidR="00BB7EC3" w:rsidRPr="002E7872" w:rsidRDefault="00BB7EC3" w:rsidP="002E7872">
      <w:pPr>
        <w:pStyle w:val="ListParagraph"/>
        <w:numPr>
          <w:ilvl w:val="1"/>
          <w:numId w:val="1"/>
        </w:numPr>
        <w:jc w:val="both"/>
        <w:rPr>
          <w:rFonts w:ascii="Arial" w:hAnsi="Arial"/>
          <w:sz w:val="22"/>
          <w:szCs w:val="22"/>
        </w:rPr>
      </w:pPr>
      <w:r w:rsidRPr="002E7872">
        <w:rPr>
          <w:rFonts w:ascii="Arial" w:hAnsi="Arial"/>
          <w:sz w:val="22"/>
          <w:szCs w:val="22"/>
        </w:rPr>
        <w:t>The PBA</w:t>
      </w:r>
      <w:r w:rsidR="006D56E9" w:rsidRPr="002E7872">
        <w:rPr>
          <w:rFonts w:ascii="Arial" w:hAnsi="Arial"/>
          <w:sz w:val="22"/>
          <w:szCs w:val="22"/>
        </w:rPr>
        <w:t xml:space="preserve">C considered that </w:t>
      </w:r>
      <w:r w:rsidR="007A657F" w:rsidRPr="002E7872">
        <w:rPr>
          <w:rFonts w:ascii="Arial" w:hAnsi="Arial"/>
          <w:sz w:val="22"/>
          <w:szCs w:val="22"/>
        </w:rPr>
        <w:t>a conclusion of</w:t>
      </w:r>
      <w:r w:rsidRPr="002E7872">
        <w:rPr>
          <w:rFonts w:ascii="Arial" w:hAnsi="Arial"/>
          <w:sz w:val="22"/>
          <w:szCs w:val="22"/>
        </w:rPr>
        <w:t xml:space="preserve"> comparative effectiveness was reasonable.</w:t>
      </w:r>
    </w:p>
    <w:p w:rsidR="00BB7EC3" w:rsidRPr="001D4227" w:rsidRDefault="00BB7EC3" w:rsidP="00BB7EC3">
      <w:pPr>
        <w:pStyle w:val="ListParagraph"/>
        <w:rPr>
          <w:rFonts w:ascii="Arial" w:hAnsi="Arial"/>
          <w:sz w:val="22"/>
          <w:szCs w:val="22"/>
        </w:rPr>
      </w:pPr>
    </w:p>
    <w:p w:rsidR="00BB7EC3" w:rsidRPr="002E7872" w:rsidRDefault="00BB7EC3" w:rsidP="002E7872">
      <w:pPr>
        <w:pStyle w:val="ListParagraph"/>
        <w:numPr>
          <w:ilvl w:val="1"/>
          <w:numId w:val="1"/>
        </w:numPr>
        <w:jc w:val="both"/>
        <w:rPr>
          <w:rFonts w:ascii="Arial" w:hAnsi="Arial"/>
          <w:sz w:val="22"/>
          <w:szCs w:val="22"/>
        </w:rPr>
      </w:pPr>
      <w:r w:rsidRPr="002E7872">
        <w:rPr>
          <w:rFonts w:ascii="Arial" w:hAnsi="Arial"/>
          <w:sz w:val="22"/>
          <w:szCs w:val="22"/>
        </w:rPr>
        <w:t xml:space="preserve">The PBAC considered that </w:t>
      </w:r>
      <w:r w:rsidR="007A657F" w:rsidRPr="002E7872">
        <w:rPr>
          <w:rFonts w:ascii="Arial" w:hAnsi="Arial"/>
          <w:sz w:val="22"/>
          <w:szCs w:val="22"/>
        </w:rPr>
        <w:t xml:space="preserve">a conclusion </w:t>
      </w:r>
      <w:r w:rsidRPr="002E7872">
        <w:rPr>
          <w:rFonts w:ascii="Arial" w:hAnsi="Arial"/>
          <w:sz w:val="22"/>
          <w:szCs w:val="22"/>
        </w:rPr>
        <w:t>of non-inferior</w:t>
      </w:r>
      <w:r w:rsidR="006D56E9" w:rsidRPr="002E7872">
        <w:rPr>
          <w:rFonts w:ascii="Arial" w:hAnsi="Arial"/>
          <w:sz w:val="22"/>
          <w:szCs w:val="22"/>
        </w:rPr>
        <w:t xml:space="preserve"> </w:t>
      </w:r>
      <w:r w:rsidRPr="002E7872">
        <w:rPr>
          <w:rFonts w:ascii="Arial" w:hAnsi="Arial"/>
          <w:sz w:val="22"/>
          <w:szCs w:val="22"/>
        </w:rPr>
        <w:t>comparative safety was reasonable</w:t>
      </w:r>
      <w:r w:rsidR="006D56E9" w:rsidRPr="002E7872">
        <w:rPr>
          <w:rFonts w:ascii="Arial" w:hAnsi="Arial"/>
          <w:sz w:val="22"/>
          <w:szCs w:val="22"/>
        </w:rPr>
        <w:t>.</w:t>
      </w:r>
    </w:p>
    <w:p w:rsidR="00F57A6D" w:rsidRPr="001D4227" w:rsidRDefault="00F57A6D" w:rsidP="00882085">
      <w:pPr>
        <w:ind w:left="720" w:hanging="720"/>
        <w:jc w:val="both"/>
        <w:rPr>
          <w:rFonts w:ascii="Arial" w:hAnsi="Arial"/>
          <w:sz w:val="22"/>
          <w:szCs w:val="22"/>
        </w:rPr>
      </w:pPr>
    </w:p>
    <w:p w:rsidR="005A3173" w:rsidRPr="001D4227" w:rsidRDefault="005A3173" w:rsidP="00882085">
      <w:pPr>
        <w:ind w:left="720" w:hanging="720"/>
        <w:jc w:val="both"/>
        <w:rPr>
          <w:rFonts w:ascii="Arial" w:hAnsi="Arial"/>
          <w:b/>
          <w:i/>
          <w:sz w:val="22"/>
          <w:szCs w:val="22"/>
        </w:rPr>
      </w:pPr>
      <w:r w:rsidRPr="001D4227">
        <w:rPr>
          <w:rFonts w:ascii="Arial" w:hAnsi="Arial"/>
          <w:b/>
          <w:i/>
          <w:sz w:val="22"/>
          <w:szCs w:val="22"/>
        </w:rPr>
        <w:t>Economic analysis</w:t>
      </w:r>
    </w:p>
    <w:p w:rsidR="005A3173" w:rsidRPr="001D4227" w:rsidRDefault="005A3173" w:rsidP="00882085">
      <w:pPr>
        <w:ind w:left="720" w:hanging="720"/>
        <w:jc w:val="both"/>
        <w:rPr>
          <w:rFonts w:ascii="Arial" w:hAnsi="Arial"/>
          <w:sz w:val="22"/>
          <w:szCs w:val="22"/>
        </w:rPr>
      </w:pPr>
    </w:p>
    <w:p w:rsidR="00596015" w:rsidRPr="002E7872" w:rsidRDefault="00596015" w:rsidP="002E7872">
      <w:pPr>
        <w:pStyle w:val="ListParagraph"/>
        <w:numPr>
          <w:ilvl w:val="1"/>
          <w:numId w:val="1"/>
        </w:numPr>
        <w:jc w:val="both"/>
        <w:rPr>
          <w:rStyle w:val="COMBodyChar"/>
          <w:rFonts w:cs="Times New Roman"/>
          <w:snapToGrid/>
          <w:szCs w:val="22"/>
          <w:lang w:eastAsia="en-AU"/>
        </w:rPr>
      </w:pPr>
      <w:r w:rsidRPr="001D4227">
        <w:rPr>
          <w:rStyle w:val="COMBodyChar"/>
        </w:rPr>
        <w:t>Based on the results of the three bioequivalen</w:t>
      </w:r>
      <w:r w:rsidR="00872291" w:rsidRPr="001D4227">
        <w:rPr>
          <w:rStyle w:val="COMBodyChar"/>
        </w:rPr>
        <w:t>ce trials, the submission claimed</w:t>
      </w:r>
      <w:r w:rsidRPr="001D4227">
        <w:rPr>
          <w:rStyle w:val="COMBodyChar"/>
        </w:rPr>
        <w:t xml:space="preserve"> that </w:t>
      </w:r>
      <w:proofErr w:type="spellStart"/>
      <w:r w:rsidRPr="001D4227">
        <w:rPr>
          <w:rStyle w:val="COMBodyChar"/>
        </w:rPr>
        <w:t>dapagliflozin</w:t>
      </w:r>
      <w:proofErr w:type="spellEnd"/>
      <w:r w:rsidRPr="001D4227">
        <w:rPr>
          <w:rStyle w:val="COMBodyChar"/>
        </w:rPr>
        <w:t xml:space="preserve">/metformin XR FDC is equivalent on a milligram per milligram basis to corresponding doses of the individual components. </w:t>
      </w:r>
      <w:r w:rsidR="007A657F" w:rsidRPr="001D4227">
        <w:rPr>
          <w:rStyle w:val="COMBodyChar"/>
        </w:rPr>
        <w:t>The submission noted that m</w:t>
      </w:r>
      <w:r w:rsidRPr="001D4227">
        <w:rPr>
          <w:rStyle w:val="COMBodyChar"/>
        </w:rPr>
        <w:t xml:space="preserve">etformin XR and metformin IR are considered therapeutically equivalent on a milligram per milligram basis and thus </w:t>
      </w:r>
      <w:proofErr w:type="spellStart"/>
      <w:r w:rsidRPr="001D4227">
        <w:rPr>
          <w:rStyle w:val="COMBodyChar"/>
        </w:rPr>
        <w:t>dapagliflozin</w:t>
      </w:r>
      <w:proofErr w:type="spellEnd"/>
      <w:r w:rsidRPr="001D4227">
        <w:rPr>
          <w:rStyle w:val="COMBodyChar"/>
        </w:rPr>
        <w:t xml:space="preserve">/metformin XR FDC is also equivalent to corresponding doses of concomitant </w:t>
      </w:r>
      <w:proofErr w:type="spellStart"/>
      <w:r w:rsidRPr="001D4227">
        <w:rPr>
          <w:rStyle w:val="COMBodyChar"/>
        </w:rPr>
        <w:t>dapagliflozin</w:t>
      </w:r>
      <w:proofErr w:type="spellEnd"/>
      <w:r w:rsidRPr="001D4227">
        <w:rPr>
          <w:rStyle w:val="COMBodyChar"/>
        </w:rPr>
        <w:t xml:space="preserve"> and metformin IR. </w:t>
      </w:r>
      <w:proofErr w:type="spellStart"/>
      <w:r w:rsidRPr="001D4227">
        <w:rPr>
          <w:rStyle w:val="COMBodyChar"/>
        </w:rPr>
        <w:t>Equi</w:t>
      </w:r>
      <w:proofErr w:type="spellEnd"/>
      <w:r w:rsidRPr="001D4227">
        <w:rPr>
          <w:rStyle w:val="COMBodyChar"/>
        </w:rPr>
        <w:t>-effective doses are:</w:t>
      </w:r>
    </w:p>
    <w:p w:rsidR="00596015" w:rsidRPr="001D4227" w:rsidRDefault="00596015" w:rsidP="00872291">
      <w:pPr>
        <w:pStyle w:val="ListParagraph"/>
        <w:widowControl w:val="0"/>
        <w:numPr>
          <w:ilvl w:val="0"/>
          <w:numId w:val="4"/>
        </w:numPr>
        <w:jc w:val="both"/>
        <w:rPr>
          <w:rStyle w:val="COMBodyChar"/>
          <w:color w:val="3366FF"/>
        </w:rPr>
      </w:pPr>
      <w:proofErr w:type="spellStart"/>
      <w:r w:rsidRPr="001D4227">
        <w:rPr>
          <w:rStyle w:val="COMBodyChar"/>
        </w:rPr>
        <w:t>Dapagliflozin</w:t>
      </w:r>
      <w:proofErr w:type="spellEnd"/>
      <w:r w:rsidRPr="001D4227">
        <w:rPr>
          <w:rStyle w:val="COMBodyChar"/>
        </w:rPr>
        <w:t xml:space="preserve">/metformin XR FDC 10mg/500mg  and </w:t>
      </w:r>
      <w:proofErr w:type="spellStart"/>
      <w:r w:rsidRPr="001D4227">
        <w:rPr>
          <w:rStyle w:val="COMBodyChar"/>
        </w:rPr>
        <w:t>dapagliflozin</w:t>
      </w:r>
      <w:proofErr w:type="spellEnd"/>
      <w:r w:rsidRPr="001D4227">
        <w:rPr>
          <w:rStyle w:val="COMBodyChar"/>
        </w:rPr>
        <w:t xml:space="preserve"> 10mg with </w:t>
      </w:r>
      <w:r w:rsidRPr="001D4227">
        <w:rPr>
          <w:rStyle w:val="COMBodyChar"/>
        </w:rPr>
        <w:lastRenderedPageBreak/>
        <w:t>metformin XR 500mg (or metformin IR 500mg);</w:t>
      </w:r>
    </w:p>
    <w:p w:rsidR="00596015" w:rsidRPr="001D4227" w:rsidRDefault="00596015" w:rsidP="00872291">
      <w:pPr>
        <w:pStyle w:val="ListParagraph"/>
        <w:widowControl w:val="0"/>
        <w:numPr>
          <w:ilvl w:val="0"/>
          <w:numId w:val="4"/>
        </w:numPr>
        <w:jc w:val="both"/>
        <w:rPr>
          <w:rStyle w:val="COMBodyChar"/>
        </w:rPr>
      </w:pPr>
      <w:proofErr w:type="spellStart"/>
      <w:r w:rsidRPr="001D4227">
        <w:rPr>
          <w:rStyle w:val="COMBodyChar"/>
        </w:rPr>
        <w:t>Dapagliflozin</w:t>
      </w:r>
      <w:proofErr w:type="spellEnd"/>
      <w:r w:rsidRPr="001D4227">
        <w:rPr>
          <w:rStyle w:val="COMBodyChar"/>
        </w:rPr>
        <w:t xml:space="preserve">/metformin XR FDC 10mg/1000mg and </w:t>
      </w:r>
      <w:proofErr w:type="spellStart"/>
      <w:r w:rsidRPr="001D4227">
        <w:rPr>
          <w:rStyle w:val="COMBodyChar"/>
        </w:rPr>
        <w:t>dapagliflozin</w:t>
      </w:r>
      <w:proofErr w:type="spellEnd"/>
      <w:r w:rsidRPr="001D4227">
        <w:rPr>
          <w:rStyle w:val="COMBodyChar"/>
        </w:rPr>
        <w:t xml:space="preserve"> 10mg with metformin XR 1000mg (or metformin IR 1000mg);</w:t>
      </w:r>
    </w:p>
    <w:p w:rsidR="006D56E9" w:rsidRPr="001D4227" w:rsidRDefault="00596015" w:rsidP="00872291">
      <w:pPr>
        <w:pStyle w:val="ListParagraph"/>
        <w:widowControl w:val="0"/>
        <w:numPr>
          <w:ilvl w:val="0"/>
          <w:numId w:val="4"/>
        </w:numPr>
        <w:jc w:val="both"/>
        <w:rPr>
          <w:rStyle w:val="COMBodyChar"/>
        </w:rPr>
      </w:pPr>
      <w:proofErr w:type="spellStart"/>
      <w:r w:rsidRPr="001D4227">
        <w:rPr>
          <w:rStyle w:val="COMBodyChar"/>
        </w:rPr>
        <w:t>Dapagliflozin</w:t>
      </w:r>
      <w:proofErr w:type="spellEnd"/>
      <w:r w:rsidRPr="001D4227">
        <w:rPr>
          <w:rStyle w:val="COMBodyChar"/>
        </w:rPr>
        <w:t xml:space="preserve">/metformin XR FDC 2 × 5mg/1000mg and </w:t>
      </w:r>
      <w:proofErr w:type="spellStart"/>
      <w:r w:rsidRPr="001D4227">
        <w:rPr>
          <w:rStyle w:val="COMBodyChar"/>
        </w:rPr>
        <w:t>dapagliflozin</w:t>
      </w:r>
      <w:proofErr w:type="spellEnd"/>
      <w:r w:rsidRPr="001D4227">
        <w:rPr>
          <w:rStyle w:val="COMBodyChar"/>
        </w:rPr>
        <w:t xml:space="preserve"> 10mg with 2 × metformin XR 1000mg (or 2 × metformin IR 1000mg).</w:t>
      </w:r>
    </w:p>
    <w:p w:rsidR="00596015" w:rsidRPr="001D4227" w:rsidRDefault="006D56E9" w:rsidP="006D56E9">
      <w:pPr>
        <w:pStyle w:val="COMBody"/>
        <w:rPr>
          <w:iCs/>
          <w:color w:val="FF0000"/>
        </w:rPr>
      </w:pPr>
      <w:r w:rsidRPr="001D4227">
        <w:rPr>
          <w:iCs/>
          <w:color w:val="FF0000"/>
        </w:rPr>
        <w:t xml:space="preserve">            </w:t>
      </w:r>
      <w:r w:rsidR="00E620C6" w:rsidRPr="001D4227">
        <w:rPr>
          <w:iCs/>
        </w:rPr>
        <w:t>The ESC advised that t</w:t>
      </w:r>
      <w:r w:rsidRPr="001D4227">
        <w:t>his is reasonable.</w:t>
      </w:r>
      <w:r w:rsidR="00596015" w:rsidRPr="001D4227">
        <w:rPr>
          <w:iCs/>
          <w:color w:val="FF0000"/>
        </w:rPr>
        <w:t xml:space="preserve"> </w:t>
      </w:r>
    </w:p>
    <w:p w:rsidR="00BB7EC3" w:rsidRPr="001D4227" w:rsidRDefault="00BB7EC3" w:rsidP="00BB7EC3">
      <w:pPr>
        <w:pStyle w:val="ListParagraph"/>
        <w:ind w:left="709"/>
        <w:jc w:val="both"/>
        <w:rPr>
          <w:rFonts w:ascii="Arial" w:hAnsi="Arial"/>
          <w:sz w:val="22"/>
          <w:szCs w:val="22"/>
        </w:rPr>
      </w:pPr>
    </w:p>
    <w:p w:rsidR="006D56E9" w:rsidRPr="002E7872" w:rsidRDefault="00872291" w:rsidP="002E7872">
      <w:pPr>
        <w:pStyle w:val="ListParagraph"/>
        <w:numPr>
          <w:ilvl w:val="1"/>
          <w:numId w:val="1"/>
        </w:numPr>
        <w:jc w:val="both"/>
        <w:rPr>
          <w:rFonts w:ascii="Arial" w:hAnsi="Arial" w:cs="Arial"/>
          <w:sz w:val="20"/>
          <w:szCs w:val="22"/>
        </w:rPr>
      </w:pPr>
      <w:r w:rsidRPr="002E7872">
        <w:rPr>
          <w:rFonts w:ascii="Arial" w:hAnsi="Arial" w:cs="Arial"/>
          <w:sz w:val="22"/>
          <w:szCs w:val="22"/>
        </w:rPr>
        <w:t>The submission priced</w:t>
      </w:r>
      <w:r w:rsidR="006D56E9" w:rsidRPr="002E7872">
        <w:rPr>
          <w:rFonts w:ascii="Arial" w:hAnsi="Arial" w:cs="Arial"/>
          <w:sz w:val="22"/>
          <w:szCs w:val="22"/>
        </w:rPr>
        <w:t xml:space="preserve"> </w:t>
      </w:r>
      <w:proofErr w:type="spellStart"/>
      <w:r w:rsidR="006D56E9" w:rsidRPr="002E7872">
        <w:rPr>
          <w:rFonts w:ascii="Arial" w:hAnsi="Arial" w:cs="Arial"/>
          <w:sz w:val="22"/>
          <w:szCs w:val="22"/>
        </w:rPr>
        <w:t>dapagliflozin</w:t>
      </w:r>
      <w:proofErr w:type="spellEnd"/>
      <w:r w:rsidR="006D56E9" w:rsidRPr="002E7872">
        <w:rPr>
          <w:rFonts w:ascii="Arial" w:hAnsi="Arial" w:cs="Arial"/>
          <w:sz w:val="22"/>
          <w:szCs w:val="22"/>
        </w:rPr>
        <w:t xml:space="preserve"> and metformin FDC based on the component pro</w:t>
      </w:r>
      <w:r w:rsidRPr="002E7872">
        <w:rPr>
          <w:rFonts w:ascii="Arial" w:hAnsi="Arial" w:cs="Arial"/>
          <w:sz w:val="22"/>
          <w:szCs w:val="22"/>
        </w:rPr>
        <w:t>ducts. The submission recognised</w:t>
      </w:r>
      <w:r w:rsidR="006D56E9" w:rsidRPr="002E7872">
        <w:rPr>
          <w:rFonts w:ascii="Arial" w:hAnsi="Arial" w:cs="Arial"/>
          <w:sz w:val="22"/>
          <w:szCs w:val="22"/>
        </w:rPr>
        <w:t xml:space="preserve"> that the FDC will not only replace the individual components, </w:t>
      </w:r>
      <w:proofErr w:type="spellStart"/>
      <w:r w:rsidR="006D56E9" w:rsidRPr="002E7872">
        <w:rPr>
          <w:rFonts w:ascii="Arial" w:hAnsi="Arial" w:cs="Arial"/>
          <w:sz w:val="22"/>
          <w:szCs w:val="22"/>
        </w:rPr>
        <w:t>dapagliflozin</w:t>
      </w:r>
      <w:proofErr w:type="spellEnd"/>
      <w:r w:rsidR="006D56E9" w:rsidRPr="002E7872">
        <w:rPr>
          <w:rFonts w:ascii="Arial" w:hAnsi="Arial" w:cs="Arial"/>
          <w:sz w:val="22"/>
          <w:szCs w:val="22"/>
        </w:rPr>
        <w:t xml:space="preserve"> and metformin XR, it may also replace metformin IR formulations. </w:t>
      </w:r>
      <w:r w:rsidR="006D56E9" w:rsidRPr="002E7872">
        <w:rPr>
          <w:rFonts w:ascii="Arial" w:hAnsi="Arial" w:cs="Arial"/>
          <w:sz w:val="22"/>
        </w:rPr>
        <w:t>Because of the price difference between the single-agent metformin IR and metformin XR formu</w:t>
      </w:r>
      <w:r w:rsidRPr="002E7872">
        <w:rPr>
          <w:rFonts w:ascii="Arial" w:hAnsi="Arial" w:cs="Arial"/>
          <w:sz w:val="22"/>
        </w:rPr>
        <w:t>lations, the submission proposed</w:t>
      </w:r>
      <w:r w:rsidR="006D56E9" w:rsidRPr="002E7872">
        <w:rPr>
          <w:rFonts w:ascii="Arial" w:hAnsi="Arial" w:cs="Arial"/>
          <w:sz w:val="22"/>
        </w:rPr>
        <w:t xml:space="preserve"> a weighted price for the </w:t>
      </w:r>
      <w:r w:rsidR="006D56E9" w:rsidRPr="002E7872">
        <w:rPr>
          <w:rFonts w:ascii="Arial" w:hAnsi="Arial" w:cs="Arial"/>
          <w:sz w:val="22"/>
          <w:szCs w:val="22"/>
        </w:rPr>
        <w:t>metformin component based on the utilisation of metformin XR and IR (XR:IR ratio of 52:48 and 32:68 for the 500 mg and 1000 mg strengths, respectively). The Pre-Sub-Committee Response (PSCR, p2)</w:t>
      </w:r>
      <w:r w:rsidR="00E620C6" w:rsidRPr="002E7872">
        <w:rPr>
          <w:rFonts w:ascii="Arial" w:hAnsi="Arial" w:cs="Arial"/>
          <w:sz w:val="22"/>
          <w:szCs w:val="22"/>
        </w:rPr>
        <w:t xml:space="preserve"> and the pre-PBAC response</w:t>
      </w:r>
      <w:r w:rsidR="006D56E9" w:rsidRPr="002E7872">
        <w:rPr>
          <w:rFonts w:ascii="Arial" w:hAnsi="Arial" w:cs="Arial"/>
          <w:sz w:val="22"/>
          <w:szCs w:val="22"/>
        </w:rPr>
        <w:t xml:space="preserve"> argue that this is justified because </w:t>
      </w:r>
      <w:r w:rsidR="006D56E9" w:rsidRPr="002E7872">
        <w:rPr>
          <w:rFonts w:ascii="Arial" w:hAnsi="Arial" w:cs="Arial"/>
          <w:sz w:val="22"/>
          <w:szCs w:val="22"/>
          <w:lang w:val="en-GB"/>
        </w:rPr>
        <w:t>weighted prices are often used for ‘</w:t>
      </w:r>
      <w:proofErr w:type="spellStart"/>
      <w:r w:rsidR="006D56E9" w:rsidRPr="002E7872">
        <w:rPr>
          <w:rFonts w:ascii="Arial" w:hAnsi="Arial" w:cs="Arial"/>
          <w:sz w:val="22"/>
          <w:szCs w:val="22"/>
          <w:lang w:val="en-GB"/>
        </w:rPr>
        <w:t>monocomponent</w:t>
      </w:r>
      <w:proofErr w:type="spellEnd"/>
      <w:r w:rsidR="006D56E9" w:rsidRPr="002E7872">
        <w:rPr>
          <w:rFonts w:ascii="Arial" w:hAnsi="Arial" w:cs="Arial"/>
          <w:sz w:val="22"/>
          <w:szCs w:val="22"/>
          <w:lang w:val="en-GB"/>
        </w:rPr>
        <w:t xml:space="preserve">’ products.  </w:t>
      </w:r>
    </w:p>
    <w:p w:rsidR="006D56E9" w:rsidRPr="002E7872" w:rsidRDefault="006D56E9" w:rsidP="006D56E9">
      <w:pPr>
        <w:pStyle w:val="COMBody"/>
        <w:ind w:left="709"/>
        <w:rPr>
          <w:sz w:val="20"/>
          <w:szCs w:val="22"/>
        </w:rPr>
      </w:pPr>
    </w:p>
    <w:p w:rsidR="006D56E9" w:rsidRPr="002E7872" w:rsidRDefault="006D56E9" w:rsidP="002E7872">
      <w:pPr>
        <w:pStyle w:val="ListParagraph"/>
        <w:numPr>
          <w:ilvl w:val="1"/>
          <w:numId w:val="1"/>
        </w:numPr>
        <w:jc w:val="both"/>
        <w:rPr>
          <w:rFonts w:ascii="Arial" w:hAnsi="Arial" w:cs="Arial"/>
          <w:sz w:val="20"/>
          <w:szCs w:val="22"/>
        </w:rPr>
      </w:pPr>
      <w:r w:rsidRPr="002E7872">
        <w:rPr>
          <w:rFonts w:ascii="Arial" w:hAnsi="Arial" w:cs="Arial"/>
          <w:sz w:val="22"/>
        </w:rPr>
        <w:t>The</w:t>
      </w:r>
      <w:r w:rsidR="00E41564" w:rsidRPr="002E7872">
        <w:rPr>
          <w:rFonts w:ascii="Arial" w:hAnsi="Arial" w:cs="Arial"/>
          <w:sz w:val="22"/>
        </w:rPr>
        <w:t xml:space="preserve"> ESC noted that the</w:t>
      </w:r>
      <w:r w:rsidRPr="002E7872">
        <w:rPr>
          <w:rFonts w:ascii="Arial" w:hAnsi="Arial" w:cs="Arial"/>
          <w:sz w:val="22"/>
        </w:rPr>
        <w:t xml:space="preserve"> prices for </w:t>
      </w:r>
      <w:proofErr w:type="spellStart"/>
      <w:r w:rsidRPr="002E7872">
        <w:rPr>
          <w:rFonts w:ascii="Arial" w:hAnsi="Arial" w:cs="Arial"/>
          <w:sz w:val="22"/>
        </w:rPr>
        <w:t>dapagliflozin</w:t>
      </w:r>
      <w:proofErr w:type="spellEnd"/>
      <w:r w:rsidRPr="002E7872">
        <w:rPr>
          <w:rFonts w:ascii="Arial" w:hAnsi="Arial" w:cs="Arial"/>
          <w:sz w:val="22"/>
        </w:rPr>
        <w:t>/metformin XR FDC proposed by the submission are higher than the prices that would result from pricing the metformin component based on the</w:t>
      </w:r>
      <w:r w:rsidR="001E3DDD" w:rsidRPr="002E7872">
        <w:rPr>
          <w:rFonts w:ascii="Arial" w:hAnsi="Arial" w:cs="Arial"/>
          <w:sz w:val="22"/>
        </w:rPr>
        <w:t xml:space="preserve"> IR formulation only (refer to t</w:t>
      </w:r>
      <w:r w:rsidRPr="002E7872">
        <w:rPr>
          <w:rFonts w:ascii="Arial" w:hAnsi="Arial" w:cs="Arial"/>
          <w:sz w:val="22"/>
        </w:rPr>
        <w:t xml:space="preserve">able below). </w:t>
      </w:r>
    </w:p>
    <w:p w:rsidR="006D56E9" w:rsidRPr="001D4227" w:rsidRDefault="006D56E9" w:rsidP="006D56E9">
      <w:pPr>
        <w:pStyle w:val="COMBody"/>
        <w:ind w:left="360"/>
      </w:pPr>
    </w:p>
    <w:p w:rsidR="006D56E9" w:rsidRPr="001D4227" w:rsidRDefault="006D56E9" w:rsidP="006D56E9">
      <w:pPr>
        <w:pStyle w:val="COMtbl-HEADLeftAligned"/>
        <w:keepNext/>
        <w:keepLines/>
        <w:ind w:left="360"/>
      </w:pPr>
      <w:r w:rsidRPr="001D4227">
        <w:tab/>
      </w:r>
      <w:proofErr w:type="spellStart"/>
      <w:r w:rsidRPr="001D4227">
        <w:t>Dapagliflozin</w:t>
      </w:r>
      <w:proofErr w:type="spellEnd"/>
      <w:r w:rsidRPr="001D4227">
        <w:t>/metformin XR FDC price using metformin IR costs only</w:t>
      </w:r>
    </w:p>
    <w:tbl>
      <w:tblPr>
        <w:tblStyle w:val="TableGrid"/>
        <w:tblW w:w="4558" w:type="pct"/>
        <w:tblInd w:w="817" w:type="dxa"/>
        <w:tblLook w:val="04A0" w:firstRow="1" w:lastRow="0" w:firstColumn="1" w:lastColumn="0" w:noHBand="0" w:noVBand="1"/>
        <w:tblDescription w:val="Dapagliflozin/metformin XR FDC price using metformin IR costs only"/>
      </w:tblPr>
      <w:tblGrid>
        <w:gridCol w:w="1759"/>
        <w:gridCol w:w="1768"/>
        <w:gridCol w:w="1188"/>
        <w:gridCol w:w="1189"/>
        <w:gridCol w:w="901"/>
        <w:gridCol w:w="1620"/>
      </w:tblGrid>
      <w:tr w:rsidR="006D56E9" w:rsidRPr="001D4227" w:rsidTr="007D732A">
        <w:trPr>
          <w:trHeight w:val="469"/>
          <w:tblHeader/>
        </w:trPr>
        <w:tc>
          <w:tcPr>
            <w:tcW w:w="716" w:type="pct"/>
            <w:vMerge w:val="restart"/>
            <w:tcBorders>
              <w:top w:val="single" w:sz="4" w:space="0" w:color="auto"/>
              <w:left w:val="single" w:sz="4" w:space="0" w:color="auto"/>
              <w:bottom w:val="single" w:sz="4" w:space="0" w:color="auto"/>
              <w:right w:val="single" w:sz="4" w:space="0" w:color="auto"/>
            </w:tcBorders>
            <w:vAlign w:val="center"/>
            <w:hideMark/>
          </w:tcPr>
          <w:p w:rsidR="006D56E9" w:rsidRPr="001D4227" w:rsidRDefault="006D56E9" w:rsidP="005A59AB">
            <w:pPr>
              <w:pStyle w:val="COMtbl-HEADLeftAligned"/>
              <w:keepNext/>
              <w:keepLines/>
              <w:rPr>
                <w:sz w:val="18"/>
                <w:szCs w:val="18"/>
              </w:rPr>
            </w:pPr>
            <w:r w:rsidRPr="001D4227">
              <w:rPr>
                <w:sz w:val="18"/>
                <w:szCs w:val="18"/>
              </w:rPr>
              <w:t>Product</w:t>
            </w:r>
          </w:p>
        </w:tc>
        <w:tc>
          <w:tcPr>
            <w:tcW w:w="1885" w:type="pct"/>
            <w:gridSpan w:val="2"/>
            <w:tcBorders>
              <w:top w:val="single" w:sz="4" w:space="0" w:color="auto"/>
              <w:left w:val="single" w:sz="4" w:space="0" w:color="auto"/>
              <w:right w:val="single" w:sz="4" w:space="0" w:color="auto"/>
            </w:tcBorders>
            <w:vAlign w:val="center"/>
            <w:hideMark/>
          </w:tcPr>
          <w:p w:rsidR="006D56E9" w:rsidRPr="001D4227" w:rsidRDefault="006D56E9" w:rsidP="005A59AB">
            <w:pPr>
              <w:pStyle w:val="COMtbl-HEADCentred"/>
              <w:keepNext/>
              <w:keepLines/>
              <w:rPr>
                <w:sz w:val="18"/>
                <w:szCs w:val="18"/>
              </w:rPr>
            </w:pPr>
            <w:r w:rsidRPr="001D4227">
              <w:rPr>
                <w:sz w:val="18"/>
                <w:szCs w:val="18"/>
              </w:rPr>
              <w:t>Pricing based on weighted price of metformin (XR &amp;IR)</w:t>
            </w:r>
          </w:p>
        </w:tc>
        <w:tc>
          <w:tcPr>
            <w:tcW w:w="1371" w:type="pct"/>
            <w:gridSpan w:val="2"/>
            <w:tcBorders>
              <w:top w:val="single" w:sz="4" w:space="0" w:color="auto"/>
              <w:left w:val="single" w:sz="4" w:space="0" w:color="auto"/>
              <w:right w:val="single" w:sz="4" w:space="0" w:color="auto"/>
            </w:tcBorders>
            <w:vAlign w:val="center"/>
            <w:hideMark/>
          </w:tcPr>
          <w:p w:rsidR="006D56E9" w:rsidRPr="001D4227" w:rsidRDefault="006D56E9" w:rsidP="005A59AB">
            <w:pPr>
              <w:pStyle w:val="COMtbl-HEADCentred"/>
              <w:keepNext/>
              <w:keepLines/>
              <w:rPr>
                <w:sz w:val="18"/>
                <w:szCs w:val="18"/>
              </w:rPr>
            </w:pPr>
            <w:r w:rsidRPr="001D4227">
              <w:rPr>
                <w:sz w:val="18"/>
                <w:szCs w:val="18"/>
              </w:rPr>
              <w:t>Pricing based on IR metformin</w:t>
            </w:r>
          </w:p>
        </w:tc>
        <w:tc>
          <w:tcPr>
            <w:tcW w:w="1028" w:type="pct"/>
            <w:vMerge w:val="restart"/>
            <w:tcBorders>
              <w:top w:val="single" w:sz="4" w:space="0" w:color="auto"/>
              <w:left w:val="single" w:sz="4" w:space="0" w:color="auto"/>
              <w:right w:val="single" w:sz="4" w:space="0" w:color="auto"/>
            </w:tcBorders>
          </w:tcPr>
          <w:p w:rsidR="006D56E9" w:rsidRPr="001D4227" w:rsidRDefault="006D56E9" w:rsidP="005A59AB">
            <w:pPr>
              <w:pStyle w:val="COMtbl-HEADCentred"/>
              <w:keepNext/>
              <w:keepLines/>
              <w:rPr>
                <w:sz w:val="18"/>
                <w:szCs w:val="18"/>
              </w:rPr>
            </w:pPr>
            <w:r w:rsidRPr="001D4227">
              <w:rPr>
                <w:sz w:val="18"/>
                <w:szCs w:val="18"/>
              </w:rPr>
              <w:t>Difference in DPMQ compared to pricing proposed in the submission</w:t>
            </w:r>
          </w:p>
        </w:tc>
      </w:tr>
      <w:tr w:rsidR="006D56E9" w:rsidRPr="001D4227" w:rsidTr="007D732A">
        <w:trPr>
          <w:trHeight w:val="469"/>
          <w:tblHeader/>
        </w:trPr>
        <w:tc>
          <w:tcPr>
            <w:tcW w:w="716" w:type="pct"/>
            <w:vMerge/>
            <w:tcBorders>
              <w:top w:val="single" w:sz="4" w:space="0" w:color="auto"/>
              <w:left w:val="single" w:sz="4" w:space="0" w:color="auto"/>
              <w:bottom w:val="single" w:sz="4" w:space="0" w:color="auto"/>
              <w:right w:val="single" w:sz="4" w:space="0" w:color="auto"/>
            </w:tcBorders>
            <w:vAlign w:val="center"/>
            <w:hideMark/>
          </w:tcPr>
          <w:p w:rsidR="006D56E9" w:rsidRPr="001D4227" w:rsidRDefault="006D56E9" w:rsidP="005A59AB">
            <w:pPr>
              <w:keepNext/>
              <w:keepLines/>
              <w:rPr>
                <w:rFonts w:ascii="Arial Narrow" w:hAnsi="Arial Narrow"/>
                <w:b/>
                <w:sz w:val="18"/>
                <w:szCs w:val="18"/>
              </w:rPr>
            </w:pPr>
          </w:p>
        </w:tc>
        <w:tc>
          <w:tcPr>
            <w:tcW w:w="1115" w:type="pct"/>
            <w:tcBorders>
              <w:left w:val="single" w:sz="4" w:space="0" w:color="auto"/>
              <w:bottom w:val="single" w:sz="4" w:space="0" w:color="auto"/>
              <w:right w:val="single" w:sz="4" w:space="0" w:color="auto"/>
            </w:tcBorders>
            <w:hideMark/>
          </w:tcPr>
          <w:p w:rsidR="006D56E9" w:rsidRPr="001D4227" w:rsidRDefault="006D56E9" w:rsidP="005A59AB">
            <w:pPr>
              <w:pStyle w:val="COMtbl-HEADCentred"/>
              <w:keepNext/>
              <w:keepLines/>
              <w:rPr>
                <w:sz w:val="18"/>
                <w:szCs w:val="18"/>
              </w:rPr>
            </w:pPr>
            <w:r w:rsidRPr="001D4227">
              <w:rPr>
                <w:sz w:val="18"/>
                <w:szCs w:val="18"/>
              </w:rPr>
              <w:t>Ex-man metformin component price (weighted between XR &amp; IR)</w:t>
            </w:r>
          </w:p>
        </w:tc>
        <w:tc>
          <w:tcPr>
            <w:tcW w:w="771" w:type="pct"/>
            <w:tcBorders>
              <w:left w:val="single" w:sz="4" w:space="0" w:color="auto"/>
              <w:bottom w:val="single" w:sz="4" w:space="0" w:color="auto"/>
              <w:right w:val="single" w:sz="4" w:space="0" w:color="auto"/>
            </w:tcBorders>
          </w:tcPr>
          <w:p w:rsidR="006D56E9" w:rsidRPr="001D4227" w:rsidRDefault="006D56E9" w:rsidP="005A59AB">
            <w:pPr>
              <w:pStyle w:val="COMtbl-HEADCentred"/>
              <w:keepNext/>
              <w:keepLines/>
              <w:rPr>
                <w:sz w:val="18"/>
                <w:szCs w:val="18"/>
              </w:rPr>
            </w:pPr>
            <w:r w:rsidRPr="001D4227">
              <w:rPr>
                <w:sz w:val="18"/>
                <w:szCs w:val="18"/>
              </w:rPr>
              <w:t>DPMQ</w:t>
            </w:r>
          </w:p>
        </w:tc>
        <w:tc>
          <w:tcPr>
            <w:tcW w:w="771" w:type="pct"/>
            <w:tcBorders>
              <w:left w:val="single" w:sz="4" w:space="0" w:color="auto"/>
              <w:bottom w:val="single" w:sz="4" w:space="0" w:color="auto"/>
              <w:right w:val="single" w:sz="4" w:space="0" w:color="auto"/>
            </w:tcBorders>
            <w:hideMark/>
          </w:tcPr>
          <w:p w:rsidR="006D56E9" w:rsidRPr="001D4227" w:rsidRDefault="006D56E9" w:rsidP="005A59AB">
            <w:pPr>
              <w:pStyle w:val="COMtbl-HEADCentred"/>
              <w:keepNext/>
              <w:keepLines/>
              <w:rPr>
                <w:sz w:val="18"/>
                <w:szCs w:val="18"/>
              </w:rPr>
            </w:pPr>
            <w:r w:rsidRPr="001D4227">
              <w:rPr>
                <w:sz w:val="18"/>
                <w:szCs w:val="18"/>
              </w:rPr>
              <w:t>Ex-man price of metformin component (IR only)</w:t>
            </w:r>
          </w:p>
        </w:tc>
        <w:tc>
          <w:tcPr>
            <w:tcW w:w="600" w:type="pct"/>
            <w:tcBorders>
              <w:left w:val="single" w:sz="4" w:space="0" w:color="auto"/>
              <w:bottom w:val="single" w:sz="4" w:space="0" w:color="auto"/>
              <w:right w:val="single" w:sz="4" w:space="0" w:color="auto"/>
            </w:tcBorders>
          </w:tcPr>
          <w:p w:rsidR="006D56E9" w:rsidRPr="001D4227" w:rsidRDefault="006D56E9" w:rsidP="005A59AB">
            <w:pPr>
              <w:pStyle w:val="COMtbl-HEADCentred"/>
              <w:keepNext/>
              <w:keepLines/>
              <w:rPr>
                <w:sz w:val="18"/>
                <w:szCs w:val="18"/>
              </w:rPr>
            </w:pPr>
            <w:r w:rsidRPr="001D4227">
              <w:rPr>
                <w:sz w:val="18"/>
                <w:szCs w:val="18"/>
              </w:rPr>
              <w:t>DPMQ</w:t>
            </w:r>
          </w:p>
        </w:tc>
        <w:tc>
          <w:tcPr>
            <w:tcW w:w="1028" w:type="pct"/>
            <w:vMerge/>
            <w:tcBorders>
              <w:left w:val="single" w:sz="4" w:space="0" w:color="auto"/>
              <w:bottom w:val="single" w:sz="4" w:space="0" w:color="auto"/>
              <w:right w:val="single" w:sz="4" w:space="0" w:color="auto"/>
            </w:tcBorders>
          </w:tcPr>
          <w:p w:rsidR="006D56E9" w:rsidRPr="001D4227" w:rsidRDefault="006D56E9" w:rsidP="005A59AB">
            <w:pPr>
              <w:keepNext/>
              <w:keepLines/>
              <w:rPr>
                <w:rFonts w:ascii="Arial Narrow" w:hAnsi="Arial Narrow"/>
                <w:b/>
                <w:sz w:val="18"/>
                <w:szCs w:val="18"/>
              </w:rPr>
            </w:pPr>
          </w:p>
        </w:tc>
      </w:tr>
      <w:tr w:rsidR="006D56E9" w:rsidRPr="001D4227" w:rsidTr="00C86A1A">
        <w:tc>
          <w:tcPr>
            <w:tcW w:w="716" w:type="pct"/>
            <w:tcBorders>
              <w:top w:val="single" w:sz="4" w:space="0" w:color="auto"/>
              <w:left w:val="single" w:sz="4" w:space="0" w:color="auto"/>
              <w:bottom w:val="single" w:sz="4" w:space="0" w:color="auto"/>
              <w:right w:val="single" w:sz="4" w:space="0" w:color="auto"/>
            </w:tcBorders>
            <w:hideMark/>
          </w:tcPr>
          <w:p w:rsidR="006D56E9" w:rsidRPr="001D4227" w:rsidRDefault="006D56E9" w:rsidP="005A59AB">
            <w:pPr>
              <w:pStyle w:val="COMtbl-textLeftAligned"/>
              <w:keepNext/>
              <w:keepLines/>
              <w:rPr>
                <w:sz w:val="18"/>
                <w:szCs w:val="18"/>
              </w:rPr>
            </w:pPr>
            <w:proofErr w:type="spellStart"/>
            <w:r w:rsidRPr="001D4227">
              <w:rPr>
                <w:sz w:val="18"/>
                <w:szCs w:val="18"/>
              </w:rPr>
              <w:t>Dapagliflozin</w:t>
            </w:r>
            <w:proofErr w:type="spellEnd"/>
            <w:r w:rsidRPr="001D4227">
              <w:rPr>
                <w:sz w:val="18"/>
                <w:szCs w:val="18"/>
              </w:rPr>
              <w:t>/metformin XR 10mg/500mg FDC</w:t>
            </w:r>
          </w:p>
        </w:tc>
        <w:tc>
          <w:tcPr>
            <w:tcW w:w="1115" w:type="pct"/>
            <w:tcBorders>
              <w:top w:val="single" w:sz="4" w:space="0" w:color="auto"/>
              <w:left w:val="single" w:sz="4" w:space="0" w:color="auto"/>
              <w:bottom w:val="single" w:sz="4" w:space="0" w:color="auto"/>
              <w:right w:val="single" w:sz="4" w:space="0" w:color="auto"/>
            </w:tcBorders>
            <w:vAlign w:val="center"/>
            <w:hideMark/>
          </w:tcPr>
          <w:p w:rsidR="006D56E9" w:rsidRPr="001D4227" w:rsidRDefault="006D56E9" w:rsidP="005A59AB">
            <w:pPr>
              <w:pStyle w:val="COMtbl-textCentred"/>
              <w:keepNext/>
              <w:keepLines/>
              <w:rPr>
                <w:sz w:val="18"/>
                <w:szCs w:val="18"/>
              </w:rPr>
            </w:pPr>
            <w:r w:rsidRPr="001D4227">
              <w:rPr>
                <w:sz w:val="18"/>
                <w:szCs w:val="18"/>
              </w:rPr>
              <w:t>$1.12</w:t>
            </w:r>
          </w:p>
        </w:tc>
        <w:tc>
          <w:tcPr>
            <w:tcW w:w="771" w:type="pct"/>
            <w:tcBorders>
              <w:top w:val="single" w:sz="4" w:space="0" w:color="auto"/>
              <w:left w:val="single" w:sz="4" w:space="0" w:color="auto"/>
              <w:bottom w:val="single" w:sz="4" w:space="0" w:color="auto"/>
              <w:right w:val="single" w:sz="4" w:space="0" w:color="auto"/>
            </w:tcBorders>
            <w:vAlign w:val="center"/>
            <w:hideMark/>
          </w:tcPr>
          <w:p w:rsidR="006D56E9" w:rsidRPr="001D4227" w:rsidRDefault="006D56E9" w:rsidP="005A59AB">
            <w:pPr>
              <w:pStyle w:val="COMtbl-textCentred"/>
              <w:keepNext/>
              <w:keepLines/>
              <w:rPr>
                <w:sz w:val="18"/>
                <w:szCs w:val="18"/>
              </w:rPr>
            </w:pPr>
            <w:r w:rsidRPr="001D4227">
              <w:rPr>
                <w:sz w:val="18"/>
                <w:szCs w:val="18"/>
              </w:rPr>
              <w:t>$91.59</w:t>
            </w:r>
          </w:p>
        </w:tc>
        <w:tc>
          <w:tcPr>
            <w:tcW w:w="771" w:type="pct"/>
            <w:tcBorders>
              <w:top w:val="single" w:sz="4" w:space="0" w:color="auto"/>
              <w:left w:val="single" w:sz="4" w:space="0" w:color="auto"/>
              <w:bottom w:val="single" w:sz="4" w:space="0" w:color="auto"/>
              <w:right w:val="single" w:sz="4" w:space="0" w:color="auto"/>
            </w:tcBorders>
            <w:vAlign w:val="center"/>
            <w:hideMark/>
          </w:tcPr>
          <w:p w:rsidR="006D56E9" w:rsidRPr="001D4227" w:rsidRDefault="006D56E9" w:rsidP="005A59AB">
            <w:pPr>
              <w:pStyle w:val="COMtbl-textCentred"/>
              <w:keepNext/>
              <w:keepLines/>
              <w:rPr>
                <w:i/>
                <w:sz w:val="18"/>
                <w:szCs w:val="18"/>
              </w:rPr>
            </w:pPr>
            <w:r w:rsidRPr="001D4227">
              <w:rPr>
                <w:i/>
                <w:sz w:val="18"/>
                <w:szCs w:val="18"/>
              </w:rPr>
              <w:t>$0.8848</w:t>
            </w:r>
          </w:p>
        </w:tc>
        <w:tc>
          <w:tcPr>
            <w:tcW w:w="600" w:type="pct"/>
            <w:tcBorders>
              <w:top w:val="single" w:sz="4" w:space="0" w:color="auto"/>
              <w:left w:val="single" w:sz="4" w:space="0" w:color="auto"/>
              <w:bottom w:val="single" w:sz="4" w:space="0" w:color="auto"/>
              <w:right w:val="single" w:sz="4" w:space="0" w:color="auto"/>
            </w:tcBorders>
            <w:vAlign w:val="center"/>
          </w:tcPr>
          <w:p w:rsidR="006D56E9" w:rsidRPr="001D4227" w:rsidRDefault="006D56E9" w:rsidP="005A59AB">
            <w:pPr>
              <w:pStyle w:val="COMtbl-textCentred"/>
              <w:keepNext/>
              <w:keepLines/>
              <w:rPr>
                <w:i/>
                <w:sz w:val="18"/>
                <w:szCs w:val="18"/>
              </w:rPr>
            </w:pPr>
            <w:r w:rsidRPr="001D4227">
              <w:rPr>
                <w:i/>
                <w:sz w:val="18"/>
                <w:szCs w:val="18"/>
              </w:rPr>
              <w:t>$91.3184</w:t>
            </w:r>
          </w:p>
        </w:tc>
        <w:tc>
          <w:tcPr>
            <w:tcW w:w="1028" w:type="pct"/>
            <w:tcBorders>
              <w:top w:val="single" w:sz="4" w:space="0" w:color="auto"/>
              <w:left w:val="single" w:sz="4" w:space="0" w:color="auto"/>
              <w:bottom w:val="single" w:sz="4" w:space="0" w:color="auto"/>
              <w:right w:val="single" w:sz="4" w:space="0" w:color="auto"/>
            </w:tcBorders>
            <w:vAlign w:val="center"/>
          </w:tcPr>
          <w:p w:rsidR="006D56E9" w:rsidRPr="001D4227" w:rsidRDefault="006D56E9" w:rsidP="005A59AB">
            <w:pPr>
              <w:pStyle w:val="COMtbl-textCentred"/>
              <w:keepNext/>
              <w:keepLines/>
              <w:rPr>
                <w:b/>
                <w:i/>
                <w:sz w:val="18"/>
                <w:szCs w:val="18"/>
              </w:rPr>
            </w:pPr>
            <w:r w:rsidRPr="001D4227">
              <w:rPr>
                <w:b/>
                <w:i/>
                <w:sz w:val="18"/>
                <w:szCs w:val="18"/>
              </w:rPr>
              <w:t>$0.27</w:t>
            </w:r>
          </w:p>
        </w:tc>
      </w:tr>
      <w:tr w:rsidR="006D56E9" w:rsidRPr="001D4227" w:rsidTr="00C86A1A">
        <w:tc>
          <w:tcPr>
            <w:tcW w:w="716" w:type="pct"/>
            <w:tcBorders>
              <w:top w:val="single" w:sz="4" w:space="0" w:color="auto"/>
              <w:left w:val="single" w:sz="4" w:space="0" w:color="auto"/>
              <w:bottom w:val="single" w:sz="4" w:space="0" w:color="auto"/>
              <w:right w:val="single" w:sz="4" w:space="0" w:color="auto"/>
            </w:tcBorders>
            <w:hideMark/>
          </w:tcPr>
          <w:p w:rsidR="006D56E9" w:rsidRPr="001D4227" w:rsidRDefault="006D56E9" w:rsidP="005A59AB">
            <w:pPr>
              <w:pStyle w:val="COMtbl-textLeftAligned"/>
              <w:keepNext/>
              <w:keepLines/>
              <w:rPr>
                <w:sz w:val="18"/>
                <w:szCs w:val="18"/>
              </w:rPr>
            </w:pPr>
            <w:proofErr w:type="spellStart"/>
            <w:r w:rsidRPr="001D4227">
              <w:rPr>
                <w:sz w:val="18"/>
                <w:szCs w:val="18"/>
              </w:rPr>
              <w:t>Dapagliflozin</w:t>
            </w:r>
            <w:proofErr w:type="spellEnd"/>
            <w:r w:rsidRPr="001D4227">
              <w:rPr>
                <w:sz w:val="18"/>
                <w:szCs w:val="18"/>
              </w:rPr>
              <w:t>/metformin XR 10mg/1000mg FDC</w:t>
            </w:r>
          </w:p>
        </w:tc>
        <w:tc>
          <w:tcPr>
            <w:tcW w:w="1115" w:type="pct"/>
            <w:tcBorders>
              <w:top w:val="single" w:sz="4" w:space="0" w:color="auto"/>
              <w:left w:val="single" w:sz="4" w:space="0" w:color="auto"/>
              <w:bottom w:val="single" w:sz="4" w:space="0" w:color="auto"/>
              <w:right w:val="single" w:sz="4" w:space="0" w:color="auto"/>
            </w:tcBorders>
            <w:vAlign w:val="center"/>
            <w:hideMark/>
          </w:tcPr>
          <w:p w:rsidR="006D56E9" w:rsidRPr="001D4227" w:rsidRDefault="006D56E9" w:rsidP="005A59AB">
            <w:pPr>
              <w:pStyle w:val="COMtbl-textCentred"/>
              <w:keepNext/>
              <w:keepLines/>
              <w:rPr>
                <w:sz w:val="18"/>
                <w:szCs w:val="18"/>
              </w:rPr>
            </w:pPr>
            <w:r w:rsidRPr="001D4227">
              <w:rPr>
                <w:sz w:val="18"/>
                <w:szCs w:val="18"/>
              </w:rPr>
              <w:t>$1.96</w:t>
            </w:r>
          </w:p>
        </w:tc>
        <w:tc>
          <w:tcPr>
            <w:tcW w:w="771" w:type="pct"/>
            <w:tcBorders>
              <w:top w:val="single" w:sz="4" w:space="0" w:color="auto"/>
              <w:left w:val="single" w:sz="4" w:space="0" w:color="auto"/>
              <w:bottom w:val="single" w:sz="4" w:space="0" w:color="auto"/>
              <w:right w:val="single" w:sz="4" w:space="0" w:color="auto"/>
            </w:tcBorders>
            <w:vAlign w:val="center"/>
            <w:hideMark/>
          </w:tcPr>
          <w:p w:rsidR="006D56E9" w:rsidRPr="001D4227" w:rsidRDefault="006D56E9" w:rsidP="005A59AB">
            <w:pPr>
              <w:pStyle w:val="COMtbl-textCentred"/>
              <w:keepNext/>
              <w:keepLines/>
              <w:rPr>
                <w:sz w:val="18"/>
                <w:szCs w:val="18"/>
              </w:rPr>
            </w:pPr>
            <w:r w:rsidRPr="001D4227">
              <w:rPr>
                <w:sz w:val="18"/>
                <w:szCs w:val="18"/>
              </w:rPr>
              <w:t>$92.60</w:t>
            </w:r>
          </w:p>
        </w:tc>
        <w:tc>
          <w:tcPr>
            <w:tcW w:w="771" w:type="pct"/>
            <w:tcBorders>
              <w:top w:val="single" w:sz="4" w:space="0" w:color="auto"/>
              <w:left w:val="single" w:sz="4" w:space="0" w:color="auto"/>
              <w:bottom w:val="single" w:sz="4" w:space="0" w:color="auto"/>
              <w:right w:val="single" w:sz="4" w:space="0" w:color="auto"/>
            </w:tcBorders>
            <w:vAlign w:val="center"/>
            <w:hideMark/>
          </w:tcPr>
          <w:p w:rsidR="006D56E9" w:rsidRPr="001D4227" w:rsidRDefault="006D56E9" w:rsidP="005A59AB">
            <w:pPr>
              <w:pStyle w:val="COMtbl-textCentred"/>
              <w:keepNext/>
              <w:keepLines/>
              <w:rPr>
                <w:i/>
                <w:sz w:val="18"/>
                <w:szCs w:val="18"/>
              </w:rPr>
            </w:pPr>
            <w:r w:rsidRPr="001D4227">
              <w:rPr>
                <w:i/>
                <w:sz w:val="18"/>
                <w:szCs w:val="18"/>
              </w:rPr>
              <w:t>$1.7696</w:t>
            </w:r>
          </w:p>
        </w:tc>
        <w:tc>
          <w:tcPr>
            <w:tcW w:w="600" w:type="pct"/>
            <w:tcBorders>
              <w:top w:val="single" w:sz="4" w:space="0" w:color="auto"/>
              <w:left w:val="single" w:sz="4" w:space="0" w:color="auto"/>
              <w:bottom w:val="single" w:sz="4" w:space="0" w:color="auto"/>
              <w:right w:val="single" w:sz="4" w:space="0" w:color="auto"/>
            </w:tcBorders>
            <w:vAlign w:val="center"/>
          </w:tcPr>
          <w:p w:rsidR="006D56E9" w:rsidRPr="001D4227" w:rsidRDefault="006D56E9" w:rsidP="005A59AB">
            <w:pPr>
              <w:pStyle w:val="COMtbl-textCentred"/>
              <w:keepNext/>
              <w:keepLines/>
              <w:rPr>
                <w:i/>
                <w:sz w:val="18"/>
                <w:szCs w:val="18"/>
              </w:rPr>
            </w:pPr>
            <w:r w:rsidRPr="001D4227">
              <w:rPr>
                <w:i/>
                <w:sz w:val="18"/>
                <w:szCs w:val="18"/>
              </w:rPr>
              <w:t>$92.3649</w:t>
            </w:r>
          </w:p>
        </w:tc>
        <w:tc>
          <w:tcPr>
            <w:tcW w:w="1028" w:type="pct"/>
            <w:tcBorders>
              <w:top w:val="single" w:sz="4" w:space="0" w:color="auto"/>
              <w:left w:val="single" w:sz="4" w:space="0" w:color="auto"/>
              <w:bottom w:val="single" w:sz="4" w:space="0" w:color="auto"/>
              <w:right w:val="single" w:sz="4" w:space="0" w:color="auto"/>
            </w:tcBorders>
            <w:vAlign w:val="center"/>
          </w:tcPr>
          <w:p w:rsidR="006D56E9" w:rsidRPr="001D4227" w:rsidRDefault="006D56E9" w:rsidP="005A59AB">
            <w:pPr>
              <w:pStyle w:val="COMtbl-textCentred"/>
              <w:keepNext/>
              <w:keepLines/>
              <w:rPr>
                <w:b/>
                <w:i/>
                <w:sz w:val="18"/>
                <w:szCs w:val="18"/>
              </w:rPr>
            </w:pPr>
            <w:r w:rsidRPr="001D4227">
              <w:rPr>
                <w:b/>
                <w:i/>
                <w:sz w:val="18"/>
                <w:szCs w:val="18"/>
              </w:rPr>
              <w:t>$0.24</w:t>
            </w:r>
          </w:p>
        </w:tc>
      </w:tr>
      <w:tr w:rsidR="006D56E9" w:rsidRPr="001D4227" w:rsidTr="00C86A1A">
        <w:tc>
          <w:tcPr>
            <w:tcW w:w="716" w:type="pct"/>
            <w:tcBorders>
              <w:top w:val="single" w:sz="4" w:space="0" w:color="auto"/>
              <w:left w:val="single" w:sz="4" w:space="0" w:color="auto"/>
              <w:bottom w:val="single" w:sz="4" w:space="0" w:color="auto"/>
              <w:right w:val="single" w:sz="4" w:space="0" w:color="auto"/>
            </w:tcBorders>
            <w:hideMark/>
          </w:tcPr>
          <w:p w:rsidR="006D56E9" w:rsidRPr="001D4227" w:rsidRDefault="006D56E9" w:rsidP="005A59AB">
            <w:pPr>
              <w:pStyle w:val="COMtbl-textLeftAligned"/>
              <w:keepNext/>
              <w:keepLines/>
              <w:rPr>
                <w:sz w:val="18"/>
                <w:szCs w:val="18"/>
              </w:rPr>
            </w:pPr>
            <w:proofErr w:type="spellStart"/>
            <w:r w:rsidRPr="001D4227">
              <w:rPr>
                <w:sz w:val="18"/>
                <w:szCs w:val="18"/>
              </w:rPr>
              <w:t>Dapagliflozin</w:t>
            </w:r>
            <w:proofErr w:type="spellEnd"/>
            <w:r w:rsidRPr="001D4227">
              <w:rPr>
                <w:sz w:val="18"/>
                <w:szCs w:val="18"/>
              </w:rPr>
              <w:t>/metformin XR 5mg/1000mg FDC</w:t>
            </w:r>
          </w:p>
        </w:tc>
        <w:tc>
          <w:tcPr>
            <w:tcW w:w="1115" w:type="pct"/>
            <w:tcBorders>
              <w:top w:val="single" w:sz="4" w:space="0" w:color="auto"/>
              <w:left w:val="single" w:sz="4" w:space="0" w:color="auto"/>
              <w:bottom w:val="single" w:sz="4" w:space="0" w:color="auto"/>
              <w:right w:val="single" w:sz="4" w:space="0" w:color="auto"/>
            </w:tcBorders>
            <w:vAlign w:val="center"/>
            <w:hideMark/>
          </w:tcPr>
          <w:p w:rsidR="006D56E9" w:rsidRPr="001D4227" w:rsidRDefault="006D56E9" w:rsidP="005A59AB">
            <w:pPr>
              <w:pStyle w:val="COMtbl-textCentred"/>
              <w:keepNext/>
              <w:keepLines/>
              <w:rPr>
                <w:sz w:val="18"/>
                <w:szCs w:val="18"/>
              </w:rPr>
            </w:pPr>
            <w:r w:rsidRPr="001D4227">
              <w:rPr>
                <w:sz w:val="18"/>
                <w:szCs w:val="18"/>
              </w:rPr>
              <w:t>$3.92</w:t>
            </w:r>
          </w:p>
        </w:tc>
        <w:tc>
          <w:tcPr>
            <w:tcW w:w="771" w:type="pct"/>
            <w:tcBorders>
              <w:top w:val="single" w:sz="4" w:space="0" w:color="auto"/>
              <w:left w:val="single" w:sz="4" w:space="0" w:color="auto"/>
              <w:bottom w:val="single" w:sz="4" w:space="0" w:color="auto"/>
              <w:right w:val="single" w:sz="4" w:space="0" w:color="auto"/>
            </w:tcBorders>
            <w:vAlign w:val="center"/>
            <w:hideMark/>
          </w:tcPr>
          <w:p w:rsidR="006D56E9" w:rsidRPr="001D4227" w:rsidRDefault="006D56E9" w:rsidP="005A59AB">
            <w:pPr>
              <w:pStyle w:val="COMtbl-textCentred"/>
              <w:keepNext/>
              <w:keepLines/>
              <w:rPr>
                <w:sz w:val="18"/>
                <w:szCs w:val="18"/>
              </w:rPr>
            </w:pPr>
            <w:r w:rsidRPr="001D4227">
              <w:rPr>
                <w:sz w:val="18"/>
                <w:szCs w:val="18"/>
              </w:rPr>
              <w:t>$94.91</w:t>
            </w:r>
          </w:p>
        </w:tc>
        <w:tc>
          <w:tcPr>
            <w:tcW w:w="771" w:type="pct"/>
            <w:tcBorders>
              <w:top w:val="single" w:sz="4" w:space="0" w:color="auto"/>
              <w:left w:val="single" w:sz="4" w:space="0" w:color="auto"/>
              <w:bottom w:val="single" w:sz="4" w:space="0" w:color="auto"/>
              <w:right w:val="single" w:sz="4" w:space="0" w:color="auto"/>
            </w:tcBorders>
            <w:vAlign w:val="center"/>
            <w:hideMark/>
          </w:tcPr>
          <w:p w:rsidR="006D56E9" w:rsidRPr="001D4227" w:rsidRDefault="006D56E9" w:rsidP="005A59AB">
            <w:pPr>
              <w:pStyle w:val="COMtbl-textCentred"/>
              <w:keepNext/>
              <w:keepLines/>
              <w:rPr>
                <w:i/>
                <w:sz w:val="18"/>
                <w:szCs w:val="18"/>
              </w:rPr>
            </w:pPr>
            <w:r w:rsidRPr="001D4227">
              <w:rPr>
                <w:i/>
                <w:sz w:val="18"/>
                <w:szCs w:val="18"/>
              </w:rPr>
              <w:t>$3.4284</w:t>
            </w:r>
          </w:p>
        </w:tc>
        <w:tc>
          <w:tcPr>
            <w:tcW w:w="600" w:type="pct"/>
            <w:tcBorders>
              <w:top w:val="single" w:sz="4" w:space="0" w:color="auto"/>
              <w:left w:val="single" w:sz="4" w:space="0" w:color="auto"/>
              <w:bottom w:val="single" w:sz="4" w:space="0" w:color="auto"/>
              <w:right w:val="single" w:sz="4" w:space="0" w:color="auto"/>
            </w:tcBorders>
            <w:vAlign w:val="center"/>
          </w:tcPr>
          <w:p w:rsidR="006D56E9" w:rsidRPr="001D4227" w:rsidRDefault="006D56E9" w:rsidP="005A59AB">
            <w:pPr>
              <w:pStyle w:val="COMtbl-textCentred"/>
              <w:keepNext/>
              <w:keepLines/>
              <w:rPr>
                <w:i/>
                <w:sz w:val="18"/>
                <w:szCs w:val="18"/>
              </w:rPr>
            </w:pPr>
            <w:r w:rsidRPr="001D4227">
              <w:rPr>
                <w:i/>
                <w:sz w:val="18"/>
                <w:szCs w:val="18"/>
              </w:rPr>
              <w:t>$94.3268</w:t>
            </w:r>
          </w:p>
        </w:tc>
        <w:tc>
          <w:tcPr>
            <w:tcW w:w="1028" w:type="pct"/>
            <w:tcBorders>
              <w:top w:val="single" w:sz="4" w:space="0" w:color="auto"/>
              <w:left w:val="single" w:sz="4" w:space="0" w:color="auto"/>
              <w:bottom w:val="single" w:sz="4" w:space="0" w:color="auto"/>
              <w:right w:val="single" w:sz="4" w:space="0" w:color="auto"/>
            </w:tcBorders>
            <w:vAlign w:val="center"/>
          </w:tcPr>
          <w:p w:rsidR="006D56E9" w:rsidRPr="001D4227" w:rsidRDefault="006D56E9" w:rsidP="005A59AB">
            <w:pPr>
              <w:pStyle w:val="COMtbl-textCentred"/>
              <w:keepNext/>
              <w:keepLines/>
              <w:rPr>
                <w:b/>
                <w:i/>
                <w:sz w:val="18"/>
                <w:szCs w:val="18"/>
              </w:rPr>
            </w:pPr>
            <w:r w:rsidRPr="001D4227">
              <w:rPr>
                <w:b/>
                <w:i/>
                <w:sz w:val="18"/>
                <w:szCs w:val="18"/>
              </w:rPr>
              <w:t>$0.58</w:t>
            </w:r>
          </w:p>
        </w:tc>
      </w:tr>
    </w:tbl>
    <w:p w:rsidR="006D56E9" w:rsidRPr="001D4227" w:rsidRDefault="006D56E9" w:rsidP="006D56E9">
      <w:pPr>
        <w:pStyle w:val="COMTbl-foot"/>
        <w:keepNext/>
        <w:keepLines/>
        <w:ind w:left="720"/>
        <w:rPr>
          <w:szCs w:val="18"/>
        </w:rPr>
      </w:pPr>
      <w:r w:rsidRPr="001D4227">
        <w:rPr>
          <w:szCs w:val="18"/>
        </w:rPr>
        <w:t xml:space="preserve">Note: the </w:t>
      </w:r>
      <w:proofErr w:type="spellStart"/>
      <w:r w:rsidRPr="001D4227">
        <w:rPr>
          <w:szCs w:val="18"/>
        </w:rPr>
        <w:t>dapagliflozin</w:t>
      </w:r>
      <w:proofErr w:type="spellEnd"/>
      <w:r w:rsidRPr="001D4227">
        <w:rPr>
          <w:szCs w:val="18"/>
        </w:rPr>
        <w:t xml:space="preserve">/metformin XR 5mg/1000mg FDC is dosed as two tablets twice daily which corresponds to a daily dose of 10mg of </w:t>
      </w:r>
      <w:proofErr w:type="spellStart"/>
      <w:r w:rsidRPr="001D4227">
        <w:rPr>
          <w:szCs w:val="18"/>
        </w:rPr>
        <w:t>dapagliflozin</w:t>
      </w:r>
      <w:proofErr w:type="spellEnd"/>
      <w:r w:rsidRPr="001D4227">
        <w:rPr>
          <w:szCs w:val="18"/>
        </w:rPr>
        <w:t xml:space="preserve"> and 2000mg of metformin XR</w:t>
      </w:r>
    </w:p>
    <w:p w:rsidR="006D56E9" w:rsidRPr="001D4227" w:rsidRDefault="006D56E9" w:rsidP="006D56E9">
      <w:pPr>
        <w:pStyle w:val="COMTbl-foot"/>
        <w:keepNext/>
        <w:keepLines/>
        <w:ind w:left="720"/>
        <w:rPr>
          <w:szCs w:val="18"/>
        </w:rPr>
      </w:pPr>
      <w:r w:rsidRPr="001D4227">
        <w:rPr>
          <w:szCs w:val="18"/>
        </w:rPr>
        <w:t>Abbreviations: DPMQ, dispensed price per maximum quantity; ex-man, ex-manufacturer; FDC, fixed dose combination; IR, immediate release; XR, extended release</w:t>
      </w:r>
    </w:p>
    <w:p w:rsidR="006D56E9" w:rsidRPr="001D4227" w:rsidRDefault="006D56E9" w:rsidP="006D56E9">
      <w:pPr>
        <w:pStyle w:val="COMTbl-foot"/>
        <w:keepNext/>
        <w:keepLines/>
        <w:ind w:firstLine="709"/>
        <w:rPr>
          <w:szCs w:val="18"/>
        </w:rPr>
      </w:pPr>
      <w:r w:rsidRPr="001D4227">
        <w:rPr>
          <w:szCs w:val="18"/>
        </w:rPr>
        <w:t>Source: compiled during the evaluation</w:t>
      </w:r>
    </w:p>
    <w:p w:rsidR="006D56E9" w:rsidRPr="001D4227" w:rsidRDefault="006D56E9" w:rsidP="006D56E9">
      <w:pPr>
        <w:pStyle w:val="ListParagraph"/>
        <w:ind w:left="360"/>
        <w:rPr>
          <w:i/>
          <w:szCs w:val="22"/>
        </w:rPr>
      </w:pPr>
    </w:p>
    <w:p w:rsidR="006D56E9" w:rsidRPr="002E7872" w:rsidRDefault="006D56E9" w:rsidP="002E7872">
      <w:pPr>
        <w:pStyle w:val="ListParagraph"/>
        <w:numPr>
          <w:ilvl w:val="1"/>
          <w:numId w:val="1"/>
        </w:numPr>
        <w:jc w:val="both"/>
        <w:rPr>
          <w:rFonts w:ascii="Arial" w:hAnsi="Arial" w:cs="Arial"/>
          <w:sz w:val="22"/>
          <w:szCs w:val="22"/>
        </w:rPr>
      </w:pPr>
      <w:r w:rsidRPr="002E7872">
        <w:rPr>
          <w:rFonts w:ascii="Arial" w:hAnsi="Arial" w:cs="Arial"/>
          <w:sz w:val="22"/>
          <w:szCs w:val="22"/>
        </w:rPr>
        <w:t xml:space="preserve">The ESC </w:t>
      </w:r>
      <w:r w:rsidR="00E41564" w:rsidRPr="002E7872">
        <w:rPr>
          <w:rFonts w:ascii="Arial" w:hAnsi="Arial" w:cs="Arial"/>
          <w:sz w:val="22"/>
          <w:szCs w:val="22"/>
        </w:rPr>
        <w:t xml:space="preserve">further </w:t>
      </w:r>
      <w:r w:rsidRPr="002E7872">
        <w:rPr>
          <w:rFonts w:ascii="Arial" w:hAnsi="Arial" w:cs="Arial"/>
          <w:sz w:val="22"/>
          <w:szCs w:val="22"/>
        </w:rPr>
        <w:t xml:space="preserve">noted that the PBAC has previously considered FDCs containing metformin XR and FDCs containing metformin IR to be interchangeable. In its consideration of FDCs of metformin XR with </w:t>
      </w:r>
      <w:proofErr w:type="spellStart"/>
      <w:r w:rsidRPr="002E7872">
        <w:rPr>
          <w:rFonts w:ascii="Arial" w:hAnsi="Arial" w:cs="Arial"/>
          <w:sz w:val="22"/>
          <w:szCs w:val="22"/>
        </w:rPr>
        <w:t>saxagliptin</w:t>
      </w:r>
      <w:proofErr w:type="spellEnd"/>
      <w:r w:rsidRPr="002E7872">
        <w:rPr>
          <w:rFonts w:ascii="Arial" w:hAnsi="Arial" w:cs="Arial"/>
          <w:sz w:val="22"/>
          <w:szCs w:val="22"/>
        </w:rPr>
        <w:t xml:space="preserve"> and </w:t>
      </w:r>
      <w:proofErr w:type="spellStart"/>
      <w:r w:rsidRPr="002E7872">
        <w:rPr>
          <w:rFonts w:ascii="Arial" w:hAnsi="Arial" w:cs="Arial"/>
          <w:sz w:val="22"/>
          <w:szCs w:val="22"/>
        </w:rPr>
        <w:t>sitagliptin</w:t>
      </w:r>
      <w:proofErr w:type="spellEnd"/>
      <w:r w:rsidRPr="002E7872">
        <w:rPr>
          <w:rFonts w:ascii="Arial" w:hAnsi="Arial" w:cs="Arial"/>
          <w:sz w:val="22"/>
          <w:szCs w:val="22"/>
        </w:rPr>
        <w:t xml:space="preserve"> in November 2013, the PBAC recommended that the ex-manufacturer price of the metformin XR component should be equivalent to the ex-manufacturer price of the corresponding amount of IR in other </w:t>
      </w:r>
      <w:proofErr w:type="spellStart"/>
      <w:r w:rsidRPr="002E7872">
        <w:rPr>
          <w:rFonts w:ascii="Arial" w:hAnsi="Arial" w:cs="Arial"/>
          <w:sz w:val="22"/>
          <w:szCs w:val="22"/>
        </w:rPr>
        <w:t>gliptin</w:t>
      </w:r>
      <w:proofErr w:type="spellEnd"/>
      <w:r w:rsidRPr="002E7872">
        <w:rPr>
          <w:rFonts w:ascii="Arial" w:hAnsi="Arial" w:cs="Arial"/>
          <w:sz w:val="22"/>
          <w:szCs w:val="22"/>
        </w:rPr>
        <w:t>/metformin FDCs.</w:t>
      </w:r>
      <w:r w:rsidRPr="002E7872">
        <w:rPr>
          <w:rFonts w:ascii="Arial" w:hAnsi="Arial" w:cs="Arial"/>
          <w:color w:val="FF0000"/>
          <w:sz w:val="22"/>
          <w:szCs w:val="22"/>
        </w:rPr>
        <w:t xml:space="preserve"> </w:t>
      </w:r>
      <w:r w:rsidRPr="002E7872">
        <w:rPr>
          <w:rFonts w:ascii="Arial" w:hAnsi="Arial" w:cs="Arial"/>
          <w:sz w:val="22"/>
          <w:szCs w:val="22"/>
        </w:rPr>
        <w:t xml:space="preserve">(November 2013 Public Summary Documents, Metformin XR + </w:t>
      </w:r>
      <w:proofErr w:type="spellStart"/>
      <w:r w:rsidRPr="002E7872">
        <w:rPr>
          <w:rFonts w:ascii="Arial" w:hAnsi="Arial" w:cs="Arial"/>
          <w:sz w:val="22"/>
          <w:szCs w:val="22"/>
        </w:rPr>
        <w:t>Saxagliptin</w:t>
      </w:r>
      <w:proofErr w:type="spellEnd"/>
      <w:r w:rsidRPr="002E7872">
        <w:rPr>
          <w:rFonts w:ascii="Arial" w:hAnsi="Arial" w:cs="Arial"/>
          <w:sz w:val="22"/>
          <w:szCs w:val="22"/>
        </w:rPr>
        <w:t xml:space="preserve">, Metformin XR + </w:t>
      </w:r>
      <w:proofErr w:type="spellStart"/>
      <w:r w:rsidRPr="002E7872">
        <w:rPr>
          <w:rFonts w:ascii="Arial" w:hAnsi="Arial" w:cs="Arial"/>
          <w:sz w:val="22"/>
          <w:szCs w:val="22"/>
        </w:rPr>
        <w:t>Sitagliptin</w:t>
      </w:r>
      <w:proofErr w:type="spellEnd"/>
      <w:r w:rsidRPr="002E7872">
        <w:rPr>
          <w:rFonts w:ascii="Arial" w:hAnsi="Arial" w:cs="Arial"/>
          <w:sz w:val="22"/>
          <w:szCs w:val="22"/>
        </w:rPr>
        <w:t xml:space="preserve">). A consistent pricing approach would be appropriate for </w:t>
      </w:r>
      <w:proofErr w:type="spellStart"/>
      <w:r w:rsidRPr="002E7872">
        <w:rPr>
          <w:rFonts w:ascii="Arial" w:hAnsi="Arial" w:cs="Arial"/>
          <w:sz w:val="22"/>
          <w:szCs w:val="22"/>
        </w:rPr>
        <w:t>dapagliflozin</w:t>
      </w:r>
      <w:proofErr w:type="spellEnd"/>
      <w:r w:rsidRPr="002E7872">
        <w:rPr>
          <w:rFonts w:ascii="Arial" w:hAnsi="Arial" w:cs="Arial"/>
          <w:sz w:val="22"/>
          <w:szCs w:val="22"/>
        </w:rPr>
        <w:t>/metformin XR FDC.</w:t>
      </w:r>
    </w:p>
    <w:p w:rsidR="00E41564" w:rsidRPr="002E7872" w:rsidRDefault="00E41564" w:rsidP="00E41564">
      <w:pPr>
        <w:pStyle w:val="COMBody"/>
        <w:ind w:left="709"/>
        <w:rPr>
          <w:szCs w:val="22"/>
        </w:rPr>
      </w:pPr>
    </w:p>
    <w:p w:rsidR="00E41564" w:rsidRPr="002E7872" w:rsidRDefault="00E41564" w:rsidP="002E7872">
      <w:pPr>
        <w:pStyle w:val="ListParagraph"/>
        <w:numPr>
          <w:ilvl w:val="1"/>
          <w:numId w:val="1"/>
        </w:numPr>
        <w:jc w:val="both"/>
        <w:rPr>
          <w:rFonts w:ascii="Arial" w:hAnsi="Arial" w:cs="Arial"/>
          <w:sz w:val="22"/>
          <w:szCs w:val="22"/>
        </w:rPr>
      </w:pPr>
      <w:r w:rsidRPr="002E7872">
        <w:rPr>
          <w:rFonts w:ascii="Arial" w:hAnsi="Arial" w:cs="Arial"/>
          <w:sz w:val="22"/>
          <w:szCs w:val="22"/>
        </w:rPr>
        <w:t xml:space="preserve">The ESC noted that there may be incremental benefits of metformin XR compared to the metformin IR formulation, such as potentially higher tolerability or a perceived compliance advantage.  However, evidence to support superiority of the XR formulation and a valuation of any potential benefits was not provided in the submission. </w:t>
      </w:r>
    </w:p>
    <w:p w:rsidR="006D56E9" w:rsidRPr="002E7872" w:rsidRDefault="006D56E9" w:rsidP="006D56E9">
      <w:pPr>
        <w:pStyle w:val="COMBody"/>
        <w:ind w:left="709"/>
        <w:rPr>
          <w:szCs w:val="22"/>
        </w:rPr>
      </w:pPr>
    </w:p>
    <w:p w:rsidR="006D56E9" w:rsidRPr="002E7872" w:rsidRDefault="00E41564" w:rsidP="002E7872">
      <w:pPr>
        <w:pStyle w:val="ListParagraph"/>
        <w:numPr>
          <w:ilvl w:val="1"/>
          <w:numId w:val="1"/>
        </w:numPr>
        <w:jc w:val="both"/>
        <w:rPr>
          <w:rFonts w:ascii="Arial" w:hAnsi="Arial" w:cs="Arial"/>
          <w:sz w:val="22"/>
          <w:szCs w:val="22"/>
        </w:rPr>
      </w:pPr>
      <w:r w:rsidRPr="002E7872">
        <w:rPr>
          <w:rFonts w:ascii="Arial" w:hAnsi="Arial" w:cs="Arial"/>
          <w:sz w:val="22"/>
          <w:szCs w:val="22"/>
        </w:rPr>
        <w:t>The</w:t>
      </w:r>
      <w:r w:rsidR="006D56E9" w:rsidRPr="002E7872">
        <w:rPr>
          <w:rFonts w:ascii="Arial" w:hAnsi="Arial" w:cs="Arial"/>
          <w:sz w:val="22"/>
          <w:szCs w:val="22"/>
        </w:rPr>
        <w:t xml:space="preserve"> PBAC</w:t>
      </w:r>
      <w:r w:rsidR="00677AC8" w:rsidRPr="002E7872">
        <w:rPr>
          <w:rFonts w:ascii="Arial" w:hAnsi="Arial" w:cs="Arial"/>
          <w:sz w:val="22"/>
          <w:szCs w:val="22"/>
        </w:rPr>
        <w:t xml:space="preserve"> noted that it</w:t>
      </w:r>
      <w:r w:rsidR="006D56E9" w:rsidRPr="002E7872">
        <w:rPr>
          <w:rFonts w:ascii="Arial" w:hAnsi="Arial" w:cs="Arial"/>
          <w:sz w:val="22"/>
          <w:szCs w:val="22"/>
        </w:rPr>
        <w:t xml:space="preserve"> could only recommend listing </w:t>
      </w:r>
      <w:r w:rsidR="004059F1" w:rsidRPr="002E7872">
        <w:rPr>
          <w:rFonts w:ascii="Arial" w:hAnsi="Arial" w:cs="Arial"/>
          <w:sz w:val="22"/>
          <w:szCs w:val="22"/>
        </w:rPr>
        <w:t xml:space="preserve">the </w:t>
      </w:r>
      <w:proofErr w:type="spellStart"/>
      <w:r w:rsidR="006D56E9" w:rsidRPr="002E7872">
        <w:rPr>
          <w:rFonts w:ascii="Arial" w:hAnsi="Arial" w:cs="Arial"/>
          <w:sz w:val="22"/>
          <w:szCs w:val="22"/>
        </w:rPr>
        <w:t>dapagliflozin</w:t>
      </w:r>
      <w:proofErr w:type="spellEnd"/>
      <w:r w:rsidR="006D56E9" w:rsidRPr="002E7872">
        <w:rPr>
          <w:rFonts w:ascii="Arial" w:hAnsi="Arial" w:cs="Arial"/>
          <w:sz w:val="22"/>
          <w:szCs w:val="22"/>
        </w:rPr>
        <w:t xml:space="preserve">/metformin XR FDC at a higher price than the alternative therapy or therapies if it is satisfied that the </w:t>
      </w:r>
      <w:r w:rsidR="006D56E9" w:rsidRPr="002E7872">
        <w:rPr>
          <w:rFonts w:ascii="Arial" w:hAnsi="Arial" w:cs="Arial"/>
          <w:sz w:val="22"/>
          <w:szCs w:val="22"/>
        </w:rPr>
        <w:lastRenderedPageBreak/>
        <w:t xml:space="preserve">FDC provides, for some patients, a significant improvement in efficacy or reduction of toxicity over the alternative therapy or therapies. The alternative therapies in this case include co-administered </w:t>
      </w:r>
      <w:proofErr w:type="spellStart"/>
      <w:r w:rsidR="006D56E9" w:rsidRPr="002E7872">
        <w:rPr>
          <w:rFonts w:ascii="Arial" w:hAnsi="Arial" w:cs="Arial"/>
          <w:sz w:val="22"/>
          <w:szCs w:val="22"/>
        </w:rPr>
        <w:t>dapagliflozin</w:t>
      </w:r>
      <w:proofErr w:type="spellEnd"/>
      <w:r w:rsidR="006D56E9" w:rsidRPr="002E7872">
        <w:rPr>
          <w:rFonts w:ascii="Arial" w:hAnsi="Arial" w:cs="Arial"/>
          <w:sz w:val="22"/>
          <w:szCs w:val="22"/>
        </w:rPr>
        <w:t xml:space="preserve"> and metformin IR. Since there are no data to establish superiority over co-administered </w:t>
      </w:r>
      <w:proofErr w:type="spellStart"/>
      <w:r w:rsidR="006D56E9" w:rsidRPr="002E7872">
        <w:rPr>
          <w:rFonts w:ascii="Arial" w:hAnsi="Arial" w:cs="Arial"/>
          <w:sz w:val="22"/>
          <w:szCs w:val="22"/>
        </w:rPr>
        <w:t>dapagliflozin</w:t>
      </w:r>
      <w:proofErr w:type="spellEnd"/>
      <w:r w:rsidR="006D56E9" w:rsidRPr="002E7872">
        <w:rPr>
          <w:rFonts w:ascii="Arial" w:hAnsi="Arial" w:cs="Arial"/>
          <w:sz w:val="22"/>
          <w:szCs w:val="22"/>
        </w:rPr>
        <w:t xml:space="preserve"> and metformin IR, </w:t>
      </w:r>
      <w:r w:rsidR="006D56E9" w:rsidRPr="002E7872">
        <w:rPr>
          <w:rFonts w:ascii="Arial" w:eastAsia="Calibri" w:hAnsi="Arial" w:cs="Arial"/>
          <w:sz w:val="22"/>
          <w:szCs w:val="22"/>
        </w:rPr>
        <w:t xml:space="preserve">the </w:t>
      </w:r>
      <w:r w:rsidRPr="002E7872">
        <w:rPr>
          <w:rFonts w:ascii="Arial" w:eastAsia="Calibri" w:hAnsi="Arial" w:cs="Arial"/>
          <w:sz w:val="22"/>
          <w:szCs w:val="22"/>
        </w:rPr>
        <w:t>PBAC</w:t>
      </w:r>
      <w:r w:rsidR="006D56E9" w:rsidRPr="002E7872">
        <w:rPr>
          <w:rFonts w:ascii="Arial" w:eastAsia="Calibri" w:hAnsi="Arial" w:cs="Arial"/>
          <w:sz w:val="22"/>
          <w:szCs w:val="22"/>
        </w:rPr>
        <w:t xml:space="preserve"> considered that there is no justification for the price of </w:t>
      </w:r>
      <w:proofErr w:type="spellStart"/>
      <w:r w:rsidR="006D56E9" w:rsidRPr="002E7872">
        <w:rPr>
          <w:rFonts w:ascii="Arial" w:hAnsi="Arial" w:cs="Arial"/>
          <w:sz w:val="22"/>
          <w:szCs w:val="22"/>
        </w:rPr>
        <w:t>dapagliflozin</w:t>
      </w:r>
      <w:proofErr w:type="spellEnd"/>
      <w:r w:rsidR="006D56E9" w:rsidRPr="002E7872">
        <w:rPr>
          <w:rFonts w:ascii="Arial" w:hAnsi="Arial" w:cs="Arial"/>
          <w:sz w:val="22"/>
          <w:szCs w:val="22"/>
        </w:rPr>
        <w:t>/metformin XR FDC</w:t>
      </w:r>
      <w:r w:rsidR="006D56E9" w:rsidRPr="002E7872">
        <w:rPr>
          <w:rFonts w:ascii="Arial" w:eastAsia="Calibri" w:hAnsi="Arial" w:cs="Arial"/>
          <w:sz w:val="22"/>
          <w:szCs w:val="22"/>
        </w:rPr>
        <w:t xml:space="preserve"> to be higher than </w:t>
      </w:r>
      <w:r w:rsidR="006D56E9" w:rsidRPr="002E7872">
        <w:rPr>
          <w:rFonts w:ascii="Arial" w:hAnsi="Arial" w:cs="Arial"/>
          <w:sz w:val="22"/>
          <w:szCs w:val="22"/>
        </w:rPr>
        <w:t>co</w:t>
      </w:r>
      <w:r w:rsidR="006D56E9" w:rsidRPr="002E7872">
        <w:rPr>
          <w:rFonts w:ascii="Arial" w:hAnsi="Arial" w:cs="Arial"/>
          <w:sz w:val="22"/>
          <w:szCs w:val="22"/>
        </w:rPr>
        <w:noBreakHyphen/>
        <w:t xml:space="preserve">administered </w:t>
      </w:r>
      <w:proofErr w:type="spellStart"/>
      <w:r w:rsidR="006D56E9" w:rsidRPr="002E7872">
        <w:rPr>
          <w:rFonts w:ascii="Arial" w:hAnsi="Arial" w:cs="Arial"/>
          <w:sz w:val="22"/>
          <w:szCs w:val="22"/>
        </w:rPr>
        <w:t>dapagliflozin</w:t>
      </w:r>
      <w:proofErr w:type="spellEnd"/>
      <w:r w:rsidR="006D56E9" w:rsidRPr="002E7872">
        <w:rPr>
          <w:rFonts w:ascii="Arial" w:hAnsi="Arial" w:cs="Arial"/>
          <w:sz w:val="22"/>
          <w:szCs w:val="22"/>
        </w:rPr>
        <w:t xml:space="preserve"> and metformin IR</w:t>
      </w:r>
      <w:r w:rsidR="006D56E9" w:rsidRPr="002E7872">
        <w:rPr>
          <w:rFonts w:ascii="Arial" w:eastAsia="Calibri" w:hAnsi="Arial" w:cs="Arial"/>
          <w:sz w:val="22"/>
          <w:szCs w:val="22"/>
        </w:rPr>
        <w:t>.</w:t>
      </w:r>
    </w:p>
    <w:p w:rsidR="00F57A6D" w:rsidRPr="001D4227" w:rsidRDefault="00F57A6D" w:rsidP="00E41564">
      <w:pPr>
        <w:jc w:val="both"/>
        <w:rPr>
          <w:rFonts w:ascii="Arial" w:hAnsi="Arial"/>
          <w:sz w:val="22"/>
          <w:szCs w:val="22"/>
        </w:rPr>
      </w:pPr>
    </w:p>
    <w:p w:rsidR="005A3173" w:rsidRPr="001D4227" w:rsidRDefault="005A3173" w:rsidP="00882085">
      <w:pPr>
        <w:ind w:left="720" w:hanging="720"/>
        <w:jc w:val="both"/>
        <w:rPr>
          <w:rFonts w:ascii="Arial" w:hAnsi="Arial"/>
          <w:b/>
          <w:i/>
          <w:sz w:val="22"/>
          <w:szCs w:val="22"/>
        </w:rPr>
      </w:pPr>
      <w:r w:rsidRPr="001D4227">
        <w:rPr>
          <w:rFonts w:ascii="Arial" w:hAnsi="Arial"/>
          <w:b/>
          <w:i/>
          <w:sz w:val="22"/>
          <w:szCs w:val="22"/>
        </w:rPr>
        <w:t>Estimated PBS usage &amp; financial implications</w:t>
      </w:r>
    </w:p>
    <w:p w:rsidR="005A3173" w:rsidRPr="001D4227" w:rsidRDefault="005A3173" w:rsidP="00882085">
      <w:pPr>
        <w:ind w:left="720" w:hanging="720"/>
        <w:jc w:val="both"/>
        <w:rPr>
          <w:rFonts w:ascii="Arial" w:hAnsi="Arial" w:cs="Arial"/>
          <w:b/>
          <w:i/>
          <w:sz w:val="20"/>
          <w:szCs w:val="22"/>
        </w:rPr>
      </w:pPr>
    </w:p>
    <w:p w:rsidR="00614B17" w:rsidRPr="00614B17" w:rsidRDefault="00872291" w:rsidP="002E7872">
      <w:pPr>
        <w:pStyle w:val="ListParagraph"/>
        <w:numPr>
          <w:ilvl w:val="1"/>
          <w:numId w:val="1"/>
        </w:numPr>
        <w:jc w:val="both"/>
        <w:rPr>
          <w:rFonts w:ascii="Arial" w:hAnsi="Arial"/>
          <w:sz w:val="22"/>
          <w:szCs w:val="22"/>
        </w:rPr>
      </w:pPr>
      <w:r w:rsidRPr="002E7872">
        <w:rPr>
          <w:rFonts w:ascii="Arial" w:hAnsi="Arial" w:cs="Arial"/>
          <w:sz w:val="22"/>
        </w:rPr>
        <w:t>The submission claimed</w:t>
      </w:r>
      <w:r w:rsidR="006B4F82" w:rsidRPr="002E7872">
        <w:rPr>
          <w:rFonts w:ascii="Arial" w:hAnsi="Arial" w:cs="Arial"/>
          <w:sz w:val="22"/>
        </w:rPr>
        <w:t xml:space="preserve"> that listing </w:t>
      </w:r>
      <w:r w:rsidR="004059F1" w:rsidRPr="002E7872">
        <w:rPr>
          <w:rFonts w:ascii="Arial" w:hAnsi="Arial" w:cs="Arial"/>
          <w:sz w:val="22"/>
        </w:rPr>
        <w:t xml:space="preserve">the </w:t>
      </w:r>
      <w:proofErr w:type="spellStart"/>
      <w:r w:rsidR="006B4F82" w:rsidRPr="002E7872">
        <w:rPr>
          <w:rFonts w:ascii="Arial" w:hAnsi="Arial" w:cs="Arial"/>
          <w:sz w:val="22"/>
        </w:rPr>
        <w:t>dapagliflozin</w:t>
      </w:r>
      <w:proofErr w:type="spellEnd"/>
      <w:r w:rsidR="006B4F82" w:rsidRPr="002E7872">
        <w:rPr>
          <w:rFonts w:ascii="Arial" w:hAnsi="Arial" w:cs="Arial"/>
          <w:sz w:val="22"/>
        </w:rPr>
        <w:t>/metformin XR FDC is expected to be approximately cost-neutral, with cost savings of</w:t>
      </w:r>
      <w:r w:rsidR="00614B17">
        <w:rPr>
          <w:rFonts w:ascii="Arial" w:hAnsi="Arial" w:cs="Arial"/>
          <w:sz w:val="22"/>
        </w:rPr>
        <w:t xml:space="preserve"> less than $10 million</w:t>
      </w:r>
      <w:r w:rsidR="00B67A99">
        <w:rPr>
          <w:rFonts w:ascii="Arial" w:hAnsi="Arial" w:cs="Arial"/>
          <w:noProof/>
          <w:color w:val="000000"/>
          <w:sz w:val="22"/>
          <w:highlight w:val="black"/>
        </w:rPr>
        <w:t>''''''''''''''''''''</w:t>
      </w:r>
      <w:r w:rsidR="006B4F82" w:rsidRPr="002E7872">
        <w:rPr>
          <w:rFonts w:ascii="Arial" w:hAnsi="Arial" w:cs="Arial"/>
          <w:sz w:val="22"/>
        </w:rPr>
        <w:t xml:space="preserve"> in Year 5 of listing, and total savings of </w:t>
      </w:r>
      <w:r w:rsidR="00614B17">
        <w:rPr>
          <w:rFonts w:ascii="Arial" w:hAnsi="Arial" w:cs="Arial"/>
          <w:sz w:val="22"/>
        </w:rPr>
        <w:t xml:space="preserve">less than $10 million </w:t>
      </w:r>
      <w:r w:rsidR="00B67A99">
        <w:rPr>
          <w:rFonts w:ascii="Arial" w:hAnsi="Arial" w:cs="Arial"/>
          <w:noProof/>
          <w:color w:val="000000"/>
          <w:sz w:val="22"/>
          <w:highlight w:val="black"/>
        </w:rPr>
        <w:t xml:space="preserve">''''''''''' '''''''''''''' </w:t>
      </w:r>
      <w:r w:rsidR="006B4F82" w:rsidRPr="002E7872">
        <w:rPr>
          <w:rFonts w:ascii="Arial" w:hAnsi="Arial" w:cs="Arial"/>
          <w:sz w:val="22"/>
        </w:rPr>
        <w:t>over 5 years. The estimated savings reflect the net impact of the reduction in dispensing fees and co-payments that occurs when an FDC replaces the concomitant use of its individual components (i.e. one product replaces two).</w:t>
      </w:r>
    </w:p>
    <w:p w:rsidR="00614B17" w:rsidRPr="00614B17" w:rsidRDefault="00614B17" w:rsidP="00614B17">
      <w:pPr>
        <w:pStyle w:val="ListParagraph"/>
        <w:jc w:val="both"/>
        <w:rPr>
          <w:rFonts w:ascii="Arial" w:hAnsi="Arial"/>
          <w:sz w:val="22"/>
          <w:szCs w:val="22"/>
        </w:rPr>
      </w:pPr>
    </w:p>
    <w:p w:rsidR="00421598" w:rsidRPr="001D4227" w:rsidRDefault="00421598" w:rsidP="00421598">
      <w:pPr>
        <w:jc w:val="both"/>
        <w:rPr>
          <w:rFonts w:ascii="Arial" w:hAnsi="Arial" w:cs="Arial"/>
          <w:sz w:val="20"/>
          <w:szCs w:val="22"/>
        </w:rPr>
      </w:pPr>
    </w:p>
    <w:p w:rsidR="006B4F82" w:rsidRPr="00B67A99" w:rsidRDefault="00B67A99" w:rsidP="006B4F82">
      <w:pPr>
        <w:pStyle w:val="COMTbl-cap"/>
        <w:keepLines/>
        <w:ind w:left="360" w:firstLine="349"/>
        <w:rPr>
          <w:highlight w:val="black"/>
        </w:rPr>
      </w:pPr>
      <w:r>
        <w:rPr>
          <w:noProof/>
          <w:color w:val="000000"/>
          <w:highlight w:val="black"/>
        </w:rPr>
        <w:t>'''''''''''''''''''''' ''''''' ''''''''' '''''''''''''''''' ''''''''''''''''''''''' ''' '''''''''''' '''''' ''''''''' ''''''''''''''''''''' '''' ''''''''''''''''''''''''</w:t>
      </w:r>
    </w:p>
    <w:tbl>
      <w:tblPr>
        <w:tblStyle w:val="TableGrid"/>
        <w:tblW w:w="4601" w:type="pct"/>
        <w:tblInd w:w="817" w:type="dxa"/>
        <w:tblLook w:val="04A0" w:firstRow="1" w:lastRow="0" w:firstColumn="1" w:lastColumn="0" w:noHBand="0" w:noVBand="1"/>
        <w:tblDescription w:val="estimated PBS usage"/>
      </w:tblPr>
      <w:tblGrid>
        <w:gridCol w:w="2310"/>
        <w:gridCol w:w="1189"/>
        <w:gridCol w:w="1189"/>
        <w:gridCol w:w="1254"/>
        <w:gridCol w:w="1286"/>
        <w:gridCol w:w="1276"/>
      </w:tblGrid>
      <w:tr w:rsidR="006B4F82" w:rsidRPr="00614B17" w:rsidTr="007D732A">
        <w:trPr>
          <w:tblHeader/>
        </w:trPr>
        <w:tc>
          <w:tcPr>
            <w:tcW w:w="1374" w:type="pct"/>
            <w:vAlign w:val="center"/>
          </w:tcPr>
          <w:p w:rsidR="006B4F82" w:rsidRPr="00B67A99" w:rsidRDefault="006B4F82" w:rsidP="00735D38">
            <w:pPr>
              <w:pStyle w:val="COMtbl-HEADLeftAligned"/>
              <w:keepNext/>
              <w:keepLines/>
            </w:pPr>
            <w:bookmarkStart w:id="0" w:name="_GoBack" w:colFirst="0" w:colLast="6"/>
          </w:p>
        </w:tc>
        <w:tc>
          <w:tcPr>
            <w:tcW w:w="715" w:type="pct"/>
            <w:vAlign w:val="center"/>
          </w:tcPr>
          <w:p w:rsidR="006B4F82" w:rsidRPr="00B67A99" w:rsidRDefault="00B67A99" w:rsidP="00735D38">
            <w:pPr>
              <w:pStyle w:val="COMtbl-HEADCentred"/>
              <w:keepNext/>
              <w:keepLines/>
              <w:rPr>
                <w:highlight w:val="black"/>
              </w:rPr>
            </w:pPr>
            <w:r>
              <w:rPr>
                <w:noProof/>
                <w:color w:val="000000"/>
                <w:highlight w:val="black"/>
              </w:rPr>
              <w:t>''''''''' '''</w:t>
            </w:r>
          </w:p>
        </w:tc>
        <w:tc>
          <w:tcPr>
            <w:tcW w:w="715" w:type="pct"/>
            <w:vAlign w:val="center"/>
          </w:tcPr>
          <w:p w:rsidR="006B4F82" w:rsidRPr="00B67A99" w:rsidRDefault="00B67A99" w:rsidP="00735D38">
            <w:pPr>
              <w:pStyle w:val="COMtbl-HEADCentred"/>
              <w:keepNext/>
              <w:keepLines/>
              <w:rPr>
                <w:highlight w:val="black"/>
              </w:rPr>
            </w:pPr>
            <w:r>
              <w:rPr>
                <w:noProof/>
                <w:color w:val="000000"/>
                <w:highlight w:val="black"/>
              </w:rPr>
              <w:t>'''''''''' '''</w:t>
            </w:r>
          </w:p>
        </w:tc>
        <w:tc>
          <w:tcPr>
            <w:tcW w:w="715" w:type="pct"/>
            <w:vAlign w:val="center"/>
          </w:tcPr>
          <w:p w:rsidR="006B4F82" w:rsidRPr="00B67A99" w:rsidRDefault="00B67A99" w:rsidP="00735D38">
            <w:pPr>
              <w:pStyle w:val="COMtbl-HEADCentred"/>
              <w:keepNext/>
              <w:keepLines/>
              <w:rPr>
                <w:highlight w:val="black"/>
              </w:rPr>
            </w:pPr>
            <w:r>
              <w:rPr>
                <w:noProof/>
                <w:color w:val="000000"/>
                <w:highlight w:val="black"/>
              </w:rPr>
              <w:t>''''''''' '''</w:t>
            </w:r>
          </w:p>
        </w:tc>
        <w:tc>
          <w:tcPr>
            <w:tcW w:w="715" w:type="pct"/>
            <w:vAlign w:val="center"/>
          </w:tcPr>
          <w:p w:rsidR="006B4F82" w:rsidRPr="00B67A99" w:rsidRDefault="00B67A99" w:rsidP="00735D38">
            <w:pPr>
              <w:pStyle w:val="COMtbl-HEADCentred"/>
              <w:keepNext/>
              <w:keepLines/>
              <w:rPr>
                <w:highlight w:val="black"/>
              </w:rPr>
            </w:pPr>
            <w:r>
              <w:rPr>
                <w:noProof/>
                <w:color w:val="000000"/>
                <w:highlight w:val="black"/>
              </w:rPr>
              <w:t>''''''''' '''</w:t>
            </w:r>
          </w:p>
        </w:tc>
        <w:tc>
          <w:tcPr>
            <w:tcW w:w="764" w:type="pct"/>
            <w:vAlign w:val="center"/>
          </w:tcPr>
          <w:p w:rsidR="006B4F82" w:rsidRPr="00B67A99" w:rsidRDefault="00B67A99" w:rsidP="00735D38">
            <w:pPr>
              <w:pStyle w:val="COMtbl-HEADCentred"/>
              <w:keepNext/>
              <w:keepLines/>
              <w:rPr>
                <w:highlight w:val="black"/>
              </w:rPr>
            </w:pPr>
            <w:r>
              <w:rPr>
                <w:noProof/>
                <w:color w:val="000000"/>
                <w:highlight w:val="black"/>
              </w:rPr>
              <w:t>'''''''''' '''</w:t>
            </w:r>
          </w:p>
        </w:tc>
      </w:tr>
      <w:bookmarkEnd w:id="0"/>
      <w:tr w:rsidR="006B4F82" w:rsidRPr="00614B17" w:rsidTr="00D5205B">
        <w:tc>
          <w:tcPr>
            <w:tcW w:w="5000" w:type="pct"/>
            <w:gridSpan w:val="6"/>
            <w:vAlign w:val="center"/>
          </w:tcPr>
          <w:p w:rsidR="006B4F82" w:rsidRPr="00B67A99" w:rsidRDefault="00B67A99" w:rsidP="00735D38">
            <w:pPr>
              <w:pStyle w:val="COMtbl-HEADLeftAligned"/>
              <w:keepNext/>
              <w:keepLines/>
              <w:rPr>
                <w:highlight w:val="black"/>
              </w:rPr>
            </w:pPr>
            <w:r>
              <w:rPr>
                <w:noProof/>
                <w:color w:val="000000"/>
                <w:highlight w:val="black"/>
              </w:rPr>
              <w:t>'''''''''''''''''''' '''''''''''' ''''' '''''''</w:t>
            </w:r>
          </w:p>
        </w:tc>
      </w:tr>
      <w:tr w:rsidR="006B4F82" w:rsidRPr="00614B17" w:rsidTr="00D5205B">
        <w:tc>
          <w:tcPr>
            <w:tcW w:w="1374" w:type="pct"/>
            <w:vAlign w:val="center"/>
          </w:tcPr>
          <w:p w:rsidR="006B4F82" w:rsidRPr="00B67A99" w:rsidRDefault="00B67A99" w:rsidP="00735D38">
            <w:pPr>
              <w:pStyle w:val="COMtbl-textLeftAligned"/>
              <w:keepNext/>
              <w:keepLines/>
              <w:rPr>
                <w:highlight w:val="black"/>
              </w:rPr>
            </w:pPr>
            <w:r>
              <w:rPr>
                <w:noProof/>
                <w:color w:val="000000"/>
                <w:highlight w:val="black"/>
              </w:rPr>
              <w:t>'''''''''''' ''''''''''''''''' '''''''''''''''' '''''''''''''''''''</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64" w:type="pct"/>
            <w:vAlign w:val="center"/>
          </w:tcPr>
          <w:p w:rsidR="006B4F82" w:rsidRPr="00B67A99" w:rsidRDefault="00B67A99" w:rsidP="00735D38">
            <w:pPr>
              <w:pStyle w:val="COMtbl-textCentred"/>
              <w:keepNext/>
              <w:keepLines/>
              <w:rPr>
                <w:highlight w:val="black"/>
              </w:rPr>
            </w:pPr>
            <w:r>
              <w:rPr>
                <w:noProof/>
                <w:color w:val="000000"/>
                <w:highlight w:val="black"/>
              </w:rPr>
              <w:t>''''''''''''''''''''''</w:t>
            </w:r>
          </w:p>
        </w:tc>
      </w:tr>
      <w:tr w:rsidR="006B4F82" w:rsidRPr="00614B17" w:rsidTr="00D5205B">
        <w:tc>
          <w:tcPr>
            <w:tcW w:w="1374" w:type="pct"/>
            <w:vMerge w:val="restart"/>
            <w:vAlign w:val="center"/>
          </w:tcPr>
          <w:p w:rsidR="006B4F82" w:rsidRPr="00B67A99" w:rsidRDefault="00B67A99" w:rsidP="00735D38">
            <w:pPr>
              <w:pStyle w:val="COMtbl-textLeftAligned"/>
              <w:keepNext/>
              <w:keepLines/>
              <w:rPr>
                <w:highlight w:val="black"/>
              </w:rPr>
            </w:pPr>
            <w:r>
              <w:rPr>
                <w:noProof/>
                <w:color w:val="000000"/>
                <w:highlight w:val="black"/>
              </w:rPr>
              <w:t>''''''''''''''''''''''''''''' ''''''''''''' '''' '''''''''''''''''' ''''''''''''''' ''''''''''' ''''''''''''''''' ''''' ''''''''''''''</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64" w:type="pct"/>
            <w:vAlign w:val="center"/>
          </w:tcPr>
          <w:p w:rsidR="006B4F82" w:rsidRPr="00B67A99" w:rsidRDefault="00B67A99" w:rsidP="00735D38">
            <w:pPr>
              <w:pStyle w:val="COMtbl-textCentred"/>
              <w:keepNext/>
              <w:keepLines/>
              <w:rPr>
                <w:highlight w:val="black"/>
              </w:rPr>
            </w:pPr>
            <w:r>
              <w:rPr>
                <w:noProof/>
                <w:color w:val="000000"/>
                <w:highlight w:val="black"/>
              </w:rPr>
              <w:t>''''''''''''</w:t>
            </w:r>
          </w:p>
        </w:tc>
      </w:tr>
      <w:tr w:rsidR="006B4F82" w:rsidRPr="00614B17" w:rsidTr="00D5205B">
        <w:tc>
          <w:tcPr>
            <w:tcW w:w="1374" w:type="pct"/>
            <w:vMerge/>
            <w:vAlign w:val="center"/>
          </w:tcPr>
          <w:p w:rsidR="006B4F82" w:rsidRPr="00B67A99" w:rsidRDefault="006B4F82" w:rsidP="00735D38">
            <w:pPr>
              <w:pStyle w:val="COMtbl-textLeftAligned"/>
              <w:keepNext/>
              <w:keepLines/>
            </w:pP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64" w:type="pct"/>
            <w:vAlign w:val="center"/>
          </w:tcPr>
          <w:p w:rsidR="006B4F82" w:rsidRPr="00B67A99" w:rsidRDefault="00B67A99" w:rsidP="00735D38">
            <w:pPr>
              <w:pStyle w:val="COMtbl-textCentred"/>
              <w:keepNext/>
              <w:keepLines/>
              <w:rPr>
                <w:highlight w:val="black"/>
              </w:rPr>
            </w:pPr>
            <w:r>
              <w:rPr>
                <w:noProof/>
                <w:color w:val="000000"/>
                <w:highlight w:val="black"/>
              </w:rPr>
              <w:t>'''''''''''''''''''''</w:t>
            </w:r>
          </w:p>
        </w:tc>
      </w:tr>
      <w:tr w:rsidR="006B4F82" w:rsidRPr="00614B17" w:rsidTr="00D5205B">
        <w:tc>
          <w:tcPr>
            <w:tcW w:w="1374" w:type="pct"/>
            <w:vAlign w:val="center"/>
          </w:tcPr>
          <w:p w:rsidR="006B4F82" w:rsidRPr="00B67A99" w:rsidRDefault="00B67A99" w:rsidP="00735D38">
            <w:pPr>
              <w:pStyle w:val="COMtbl-textLeftAligned"/>
              <w:keepNext/>
              <w:keepLines/>
              <w:rPr>
                <w:highlight w:val="black"/>
              </w:rPr>
            </w:pPr>
            <w:r>
              <w:rPr>
                <w:noProof/>
                <w:color w:val="000000"/>
                <w:highlight w:val="black"/>
              </w:rPr>
              <w:t>''''''''''''''''''''''''' ''''' ''''''''''''''''''''''''''''' ''''' '''''''''''''''''''''''''' '''''''''' ''''''''''''''''''''''' ''''''''''''''''''''</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64" w:type="pct"/>
            <w:vAlign w:val="center"/>
          </w:tcPr>
          <w:p w:rsidR="006B4F82" w:rsidRPr="00B67A99" w:rsidRDefault="00B67A99" w:rsidP="00735D38">
            <w:pPr>
              <w:pStyle w:val="COMtbl-textCentred"/>
              <w:keepNext/>
              <w:keepLines/>
              <w:rPr>
                <w:highlight w:val="black"/>
              </w:rPr>
            </w:pPr>
            <w:r>
              <w:rPr>
                <w:noProof/>
                <w:color w:val="000000"/>
                <w:highlight w:val="black"/>
              </w:rPr>
              <w:t>'''''''''''''''''''</w:t>
            </w:r>
          </w:p>
        </w:tc>
      </w:tr>
      <w:tr w:rsidR="006B4F82" w:rsidRPr="00614B17" w:rsidTr="00D5205B">
        <w:tc>
          <w:tcPr>
            <w:tcW w:w="1374" w:type="pct"/>
            <w:vMerge w:val="restart"/>
          </w:tcPr>
          <w:p w:rsidR="006B4F82" w:rsidRPr="00B67A99" w:rsidRDefault="00B67A99" w:rsidP="00735D38">
            <w:pPr>
              <w:pStyle w:val="COMtbl-textLeftAligned"/>
              <w:keepNext/>
              <w:keepLines/>
              <w:rPr>
                <w:highlight w:val="black"/>
              </w:rPr>
            </w:pPr>
            <w:r>
              <w:rPr>
                <w:noProof/>
                <w:color w:val="000000"/>
                <w:highlight w:val="black"/>
              </w:rPr>
              <w:t>'''''''''''''''''''''''''''''''''''''''''''''''''''''''' '''''''' ''''''''''' '''''''''''''''''''''' ''''''''''' '''''''''''''''''''''''' '''''''''''''''''''''''''''' '''''''''' ''''''''''''</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64" w:type="pct"/>
            <w:vAlign w:val="center"/>
          </w:tcPr>
          <w:p w:rsidR="006B4F82" w:rsidRPr="00B67A99" w:rsidRDefault="00B67A99" w:rsidP="00735D38">
            <w:pPr>
              <w:pStyle w:val="COMtbl-textCentred"/>
              <w:keepNext/>
              <w:keepLines/>
              <w:rPr>
                <w:highlight w:val="black"/>
              </w:rPr>
            </w:pPr>
            <w:r>
              <w:rPr>
                <w:noProof/>
                <w:color w:val="000000"/>
                <w:highlight w:val="black"/>
              </w:rPr>
              <w:t>''''''''''</w:t>
            </w:r>
          </w:p>
        </w:tc>
      </w:tr>
      <w:tr w:rsidR="006B4F82" w:rsidRPr="00614B17" w:rsidTr="00D5205B">
        <w:tc>
          <w:tcPr>
            <w:tcW w:w="1374" w:type="pct"/>
            <w:vMerge/>
          </w:tcPr>
          <w:p w:rsidR="006B4F82" w:rsidRPr="00B67A99" w:rsidRDefault="006B4F82" w:rsidP="00735D38">
            <w:pPr>
              <w:pStyle w:val="COMtbl-textLeftAligned"/>
              <w:keepNext/>
              <w:keepLines/>
            </w:pP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64" w:type="pct"/>
            <w:vAlign w:val="center"/>
          </w:tcPr>
          <w:p w:rsidR="006B4F82" w:rsidRPr="00B67A99" w:rsidRDefault="00B67A99" w:rsidP="00735D38">
            <w:pPr>
              <w:pStyle w:val="COMtbl-textCentred"/>
              <w:keepNext/>
              <w:keepLines/>
              <w:rPr>
                <w:highlight w:val="black"/>
              </w:rPr>
            </w:pPr>
            <w:r>
              <w:rPr>
                <w:noProof/>
                <w:color w:val="000000"/>
                <w:highlight w:val="black"/>
              </w:rPr>
              <w:t>''''''''''''''''''''''</w:t>
            </w:r>
          </w:p>
        </w:tc>
      </w:tr>
      <w:tr w:rsidR="006B4F82" w:rsidRPr="00614B17" w:rsidTr="00D5205B">
        <w:tc>
          <w:tcPr>
            <w:tcW w:w="1374" w:type="pct"/>
          </w:tcPr>
          <w:p w:rsidR="006B4F82" w:rsidRPr="00B67A99" w:rsidRDefault="00B67A99" w:rsidP="00735D38">
            <w:pPr>
              <w:pStyle w:val="COMtbl-textLeftAligned"/>
              <w:keepNext/>
              <w:keepLines/>
              <w:rPr>
                <w:highlight w:val="black"/>
              </w:rPr>
            </w:pPr>
            <w:r>
              <w:rPr>
                <w:noProof/>
                <w:color w:val="000000"/>
                <w:highlight w:val="black"/>
              </w:rPr>
              <w:t>'''''''''''''''''''''''' '''''''''' ''''''''''''''''''' '''' '''''''''''''''''' '''''''' '''''''''' '''''''' '''''''''''''''' '''''''' ''''''''''''''''' '''''''' '''''''''''</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15" w:type="pct"/>
            <w:vAlign w:val="center"/>
          </w:tcPr>
          <w:p w:rsidR="006B4F82" w:rsidRPr="00B67A99" w:rsidRDefault="00B67A99" w:rsidP="00735D38">
            <w:pPr>
              <w:pStyle w:val="COMtbl-textCentred"/>
              <w:keepNext/>
              <w:keepLines/>
              <w:rPr>
                <w:highlight w:val="black"/>
              </w:rPr>
            </w:pPr>
            <w:r>
              <w:rPr>
                <w:noProof/>
                <w:color w:val="000000"/>
                <w:highlight w:val="black"/>
              </w:rPr>
              <w:t>''''''''''''''''''</w:t>
            </w:r>
          </w:p>
        </w:tc>
        <w:tc>
          <w:tcPr>
            <w:tcW w:w="764" w:type="pct"/>
            <w:vAlign w:val="center"/>
          </w:tcPr>
          <w:p w:rsidR="006B4F82" w:rsidRPr="00B67A99" w:rsidRDefault="00B67A99" w:rsidP="00735D38">
            <w:pPr>
              <w:pStyle w:val="COMtbl-textCentred"/>
              <w:keepNext/>
              <w:keepLines/>
              <w:rPr>
                <w:highlight w:val="black"/>
              </w:rPr>
            </w:pPr>
            <w:r>
              <w:rPr>
                <w:noProof/>
                <w:color w:val="000000"/>
                <w:highlight w:val="black"/>
              </w:rPr>
              <w:t>'''''''''''''''</w:t>
            </w:r>
          </w:p>
        </w:tc>
      </w:tr>
      <w:tr w:rsidR="006B4F82" w:rsidRPr="00614B17" w:rsidTr="00D5205B">
        <w:tc>
          <w:tcPr>
            <w:tcW w:w="5000" w:type="pct"/>
            <w:gridSpan w:val="6"/>
          </w:tcPr>
          <w:p w:rsidR="006B4F82" w:rsidRPr="00B67A99" w:rsidRDefault="00B67A99" w:rsidP="00735D38">
            <w:pPr>
              <w:pStyle w:val="COMtbl-HEADLeftAligned"/>
              <w:keepNext/>
              <w:keepLines/>
              <w:rPr>
                <w:highlight w:val="black"/>
              </w:rPr>
            </w:pPr>
            <w:r>
              <w:rPr>
                <w:noProof/>
                <w:color w:val="000000"/>
                <w:highlight w:val="black"/>
              </w:rPr>
              <w:t>'''''''''''''''''''' ''''''''''''''''''' ''''''''''''''''''''''''</w:t>
            </w:r>
          </w:p>
        </w:tc>
      </w:tr>
      <w:tr w:rsidR="006B4F82" w:rsidRPr="00614B17" w:rsidTr="00D5205B">
        <w:tc>
          <w:tcPr>
            <w:tcW w:w="1374" w:type="pct"/>
          </w:tcPr>
          <w:p w:rsidR="006B4F82" w:rsidRPr="00B67A99" w:rsidRDefault="00B67A99" w:rsidP="00735D38">
            <w:pPr>
              <w:pStyle w:val="COMtbl-textLeftAligned"/>
              <w:keepNext/>
              <w:keepLines/>
              <w:rPr>
                <w:highlight w:val="black"/>
              </w:rPr>
            </w:pPr>
            <w:r>
              <w:rPr>
                <w:noProof/>
                <w:color w:val="000000"/>
                <w:highlight w:val="black"/>
              </w:rPr>
              <w:t>''''''''''''' ''''''''''' '''''''''''''''''''''''' '''''''''''''''''''</w:t>
            </w:r>
          </w:p>
        </w:tc>
        <w:tc>
          <w:tcPr>
            <w:tcW w:w="715" w:type="pct"/>
          </w:tcPr>
          <w:p w:rsidR="006B4F82" w:rsidRPr="00B67A99" w:rsidRDefault="00B67A99" w:rsidP="00735D38">
            <w:pPr>
              <w:pStyle w:val="COMtbl-textCentred"/>
              <w:keepNext/>
              <w:keepLines/>
              <w:rPr>
                <w:highlight w:val="black"/>
              </w:rPr>
            </w:pPr>
            <w:r>
              <w:rPr>
                <w:noProof/>
                <w:color w:val="000000"/>
                <w:highlight w:val="black"/>
              </w:rPr>
              <w:t>'''''''''''''''''''''''</w:t>
            </w:r>
          </w:p>
        </w:tc>
        <w:tc>
          <w:tcPr>
            <w:tcW w:w="715" w:type="pct"/>
          </w:tcPr>
          <w:p w:rsidR="006B4F82" w:rsidRPr="00B67A99" w:rsidRDefault="00B67A99" w:rsidP="00735D38">
            <w:pPr>
              <w:pStyle w:val="COMtbl-textCentred"/>
              <w:keepNext/>
              <w:keepLines/>
              <w:rPr>
                <w:highlight w:val="black"/>
              </w:rPr>
            </w:pPr>
            <w:r>
              <w:rPr>
                <w:noProof/>
                <w:color w:val="000000"/>
                <w:highlight w:val="black"/>
              </w:rPr>
              <w:t>''''''''''''''''''''''''''''</w:t>
            </w:r>
          </w:p>
        </w:tc>
        <w:tc>
          <w:tcPr>
            <w:tcW w:w="715" w:type="pct"/>
          </w:tcPr>
          <w:p w:rsidR="006B4F82" w:rsidRPr="00B67A99" w:rsidRDefault="00B67A99" w:rsidP="00735D38">
            <w:pPr>
              <w:pStyle w:val="COMtbl-textCentred"/>
              <w:keepNext/>
              <w:keepLines/>
              <w:rPr>
                <w:highlight w:val="black"/>
              </w:rPr>
            </w:pPr>
            <w:r>
              <w:rPr>
                <w:noProof/>
                <w:color w:val="000000"/>
                <w:highlight w:val="black"/>
              </w:rPr>
              <w:t>'''''''''''''''''''''''''''''''</w:t>
            </w:r>
          </w:p>
        </w:tc>
        <w:tc>
          <w:tcPr>
            <w:tcW w:w="715" w:type="pct"/>
          </w:tcPr>
          <w:p w:rsidR="006B4F82" w:rsidRPr="00B67A99" w:rsidRDefault="00B67A99" w:rsidP="00735D38">
            <w:pPr>
              <w:pStyle w:val="COMtbl-textCentred"/>
              <w:keepNext/>
              <w:keepLines/>
              <w:rPr>
                <w:highlight w:val="black"/>
              </w:rPr>
            </w:pPr>
            <w:r>
              <w:rPr>
                <w:noProof/>
                <w:color w:val="000000"/>
                <w:highlight w:val="black"/>
              </w:rPr>
              <w:t>'''''''''''''''''''''''''''</w:t>
            </w:r>
          </w:p>
        </w:tc>
        <w:tc>
          <w:tcPr>
            <w:tcW w:w="764" w:type="pct"/>
          </w:tcPr>
          <w:p w:rsidR="006B4F82" w:rsidRPr="00B67A99" w:rsidRDefault="00B67A99" w:rsidP="00735D38">
            <w:pPr>
              <w:pStyle w:val="COMtbl-textCentred"/>
              <w:keepNext/>
              <w:keepLines/>
              <w:rPr>
                <w:highlight w:val="black"/>
              </w:rPr>
            </w:pPr>
            <w:r>
              <w:rPr>
                <w:noProof/>
                <w:color w:val="000000"/>
                <w:highlight w:val="black"/>
              </w:rPr>
              <w:t>'''''''''''''''''''''''''''</w:t>
            </w:r>
          </w:p>
        </w:tc>
      </w:tr>
      <w:tr w:rsidR="006B4F82" w:rsidRPr="00614B17" w:rsidTr="00D5205B">
        <w:tc>
          <w:tcPr>
            <w:tcW w:w="1374" w:type="pct"/>
            <w:vAlign w:val="center"/>
          </w:tcPr>
          <w:p w:rsidR="006B4F82" w:rsidRPr="00B67A99" w:rsidRDefault="00B67A99" w:rsidP="00735D38">
            <w:pPr>
              <w:pStyle w:val="COMtbl-textLeftAligned"/>
              <w:keepNext/>
              <w:keepLines/>
              <w:rPr>
                <w:b/>
                <w:highlight w:val="black"/>
              </w:rPr>
            </w:pPr>
            <w:r>
              <w:rPr>
                <w:noProof/>
                <w:color w:val="000000"/>
                <w:highlight w:val="black"/>
              </w:rPr>
              <w:t>''''''''''' ''''''''''''''''' '''' '''''''''''''''''''''''''' '''''''''''''''''''''''</w:t>
            </w:r>
          </w:p>
        </w:tc>
        <w:tc>
          <w:tcPr>
            <w:tcW w:w="715" w:type="pct"/>
          </w:tcPr>
          <w:p w:rsidR="006B4F82" w:rsidRPr="00B67A99" w:rsidRDefault="00B67A99" w:rsidP="00735D38">
            <w:pPr>
              <w:pStyle w:val="COMtbl-textCentred"/>
              <w:keepNext/>
              <w:keepLines/>
              <w:rPr>
                <w:b/>
                <w:highlight w:val="black"/>
              </w:rPr>
            </w:pPr>
            <w:r>
              <w:rPr>
                <w:noProof/>
                <w:color w:val="000000"/>
                <w:highlight w:val="black"/>
              </w:rPr>
              <w:t>'''''''''''''''''''''''''</w:t>
            </w:r>
          </w:p>
        </w:tc>
        <w:tc>
          <w:tcPr>
            <w:tcW w:w="715" w:type="pct"/>
          </w:tcPr>
          <w:p w:rsidR="006B4F82" w:rsidRPr="00B67A99" w:rsidRDefault="00B67A99" w:rsidP="00735D38">
            <w:pPr>
              <w:pStyle w:val="COMtbl-textCentred"/>
              <w:keepNext/>
              <w:keepLines/>
              <w:rPr>
                <w:b/>
                <w:highlight w:val="black"/>
              </w:rPr>
            </w:pPr>
            <w:r>
              <w:rPr>
                <w:noProof/>
                <w:color w:val="000000"/>
                <w:highlight w:val="black"/>
              </w:rPr>
              <w:t>'''''''''''''''''''''''''''''</w:t>
            </w:r>
          </w:p>
        </w:tc>
        <w:tc>
          <w:tcPr>
            <w:tcW w:w="715" w:type="pct"/>
          </w:tcPr>
          <w:p w:rsidR="006B4F82" w:rsidRPr="00B67A99" w:rsidRDefault="00B67A99" w:rsidP="00735D38">
            <w:pPr>
              <w:pStyle w:val="COMtbl-textCentred"/>
              <w:keepNext/>
              <w:keepLines/>
              <w:rPr>
                <w:b/>
                <w:highlight w:val="black"/>
              </w:rPr>
            </w:pPr>
            <w:r>
              <w:rPr>
                <w:noProof/>
                <w:color w:val="000000"/>
                <w:highlight w:val="black"/>
              </w:rPr>
              <w:t>'''''''''''''''''''''''''''''''''</w:t>
            </w:r>
          </w:p>
        </w:tc>
        <w:tc>
          <w:tcPr>
            <w:tcW w:w="715" w:type="pct"/>
          </w:tcPr>
          <w:p w:rsidR="006B4F82" w:rsidRPr="00B67A99" w:rsidRDefault="00B67A99" w:rsidP="00735D38">
            <w:pPr>
              <w:pStyle w:val="COMtbl-textCentred"/>
              <w:keepNext/>
              <w:keepLines/>
              <w:rPr>
                <w:b/>
                <w:highlight w:val="black"/>
              </w:rPr>
            </w:pPr>
            <w:r>
              <w:rPr>
                <w:noProof/>
                <w:color w:val="000000"/>
                <w:highlight w:val="black"/>
              </w:rPr>
              <w:t>''''''''''''''''''''''''''''''''''</w:t>
            </w:r>
          </w:p>
        </w:tc>
        <w:tc>
          <w:tcPr>
            <w:tcW w:w="764" w:type="pct"/>
          </w:tcPr>
          <w:p w:rsidR="006B4F82" w:rsidRPr="00B67A99" w:rsidRDefault="00B67A99" w:rsidP="00735D38">
            <w:pPr>
              <w:pStyle w:val="COMtbl-textCentred"/>
              <w:keepNext/>
              <w:keepLines/>
              <w:rPr>
                <w:b/>
                <w:highlight w:val="black"/>
              </w:rPr>
            </w:pPr>
            <w:r>
              <w:rPr>
                <w:noProof/>
                <w:color w:val="000000"/>
                <w:highlight w:val="black"/>
              </w:rPr>
              <w:t>''''''''''''''''''''''''''''''''</w:t>
            </w:r>
          </w:p>
        </w:tc>
      </w:tr>
      <w:tr w:rsidR="006B4F82" w:rsidRPr="00614B17" w:rsidTr="00D5205B">
        <w:tc>
          <w:tcPr>
            <w:tcW w:w="1374" w:type="pct"/>
            <w:vAlign w:val="center"/>
          </w:tcPr>
          <w:p w:rsidR="006B4F82" w:rsidRPr="00B67A99" w:rsidRDefault="00B67A99" w:rsidP="00735D38">
            <w:pPr>
              <w:pStyle w:val="COMtbl-textLeftAligned"/>
              <w:keepNext/>
              <w:keepLines/>
              <w:rPr>
                <w:b/>
                <w:highlight w:val="black"/>
              </w:rPr>
            </w:pPr>
            <w:r>
              <w:rPr>
                <w:b/>
                <w:noProof/>
                <w:color w:val="000000"/>
                <w:highlight w:val="black"/>
              </w:rPr>
              <w:t>'''''' '''''''''' ''''' '''''''''''''''''''''</w:t>
            </w:r>
          </w:p>
        </w:tc>
        <w:tc>
          <w:tcPr>
            <w:tcW w:w="715" w:type="pct"/>
          </w:tcPr>
          <w:p w:rsidR="006B4F82" w:rsidRPr="00B67A99" w:rsidRDefault="00B67A99" w:rsidP="00735D38">
            <w:pPr>
              <w:pStyle w:val="COMtbl-textCentred"/>
              <w:keepNext/>
              <w:keepLines/>
              <w:rPr>
                <w:b/>
                <w:highlight w:val="black"/>
              </w:rPr>
            </w:pPr>
            <w:r>
              <w:rPr>
                <w:b/>
                <w:noProof/>
                <w:color w:val="000000"/>
                <w:highlight w:val="black"/>
              </w:rPr>
              <w:t xml:space="preserve">''''''''''''''''' </w:t>
            </w:r>
          </w:p>
        </w:tc>
        <w:tc>
          <w:tcPr>
            <w:tcW w:w="715" w:type="pct"/>
          </w:tcPr>
          <w:p w:rsidR="006B4F82" w:rsidRPr="00B67A99" w:rsidRDefault="00B67A99" w:rsidP="00735D38">
            <w:pPr>
              <w:pStyle w:val="COMtbl-textCentred"/>
              <w:keepNext/>
              <w:keepLines/>
              <w:rPr>
                <w:b/>
                <w:highlight w:val="black"/>
              </w:rPr>
            </w:pPr>
            <w:r>
              <w:rPr>
                <w:b/>
                <w:noProof/>
                <w:color w:val="000000"/>
                <w:highlight w:val="black"/>
              </w:rPr>
              <w:t xml:space="preserve">''''''''''''''''''' </w:t>
            </w:r>
          </w:p>
        </w:tc>
        <w:tc>
          <w:tcPr>
            <w:tcW w:w="715" w:type="pct"/>
          </w:tcPr>
          <w:p w:rsidR="006B4F82" w:rsidRPr="00B67A99" w:rsidRDefault="00B67A99" w:rsidP="00735D38">
            <w:pPr>
              <w:pStyle w:val="COMtbl-textCentred"/>
              <w:keepNext/>
              <w:keepLines/>
              <w:rPr>
                <w:b/>
                <w:highlight w:val="black"/>
              </w:rPr>
            </w:pPr>
            <w:r>
              <w:rPr>
                <w:b/>
                <w:noProof/>
                <w:color w:val="000000"/>
                <w:highlight w:val="black"/>
              </w:rPr>
              <w:t xml:space="preserve">''''''''''''''''''' </w:t>
            </w:r>
          </w:p>
        </w:tc>
        <w:tc>
          <w:tcPr>
            <w:tcW w:w="715" w:type="pct"/>
          </w:tcPr>
          <w:p w:rsidR="006B4F82" w:rsidRPr="00B67A99" w:rsidRDefault="00B67A99" w:rsidP="00735D38">
            <w:pPr>
              <w:pStyle w:val="COMtbl-textCentred"/>
              <w:keepNext/>
              <w:keepLines/>
              <w:rPr>
                <w:b/>
                <w:highlight w:val="black"/>
              </w:rPr>
            </w:pPr>
            <w:r>
              <w:rPr>
                <w:b/>
                <w:noProof/>
                <w:color w:val="000000"/>
                <w:highlight w:val="black"/>
              </w:rPr>
              <w:t xml:space="preserve">'''''''''''''''''' </w:t>
            </w:r>
          </w:p>
        </w:tc>
        <w:tc>
          <w:tcPr>
            <w:tcW w:w="764" w:type="pct"/>
          </w:tcPr>
          <w:p w:rsidR="006B4F82" w:rsidRPr="00B67A99" w:rsidRDefault="00B67A99" w:rsidP="00735D38">
            <w:pPr>
              <w:pStyle w:val="COMtbl-textCentred"/>
              <w:keepNext/>
              <w:keepLines/>
              <w:rPr>
                <w:b/>
                <w:highlight w:val="black"/>
              </w:rPr>
            </w:pPr>
            <w:r>
              <w:rPr>
                <w:b/>
                <w:noProof/>
                <w:color w:val="000000"/>
                <w:highlight w:val="black"/>
              </w:rPr>
              <w:t xml:space="preserve">'''''''''''''''''' </w:t>
            </w:r>
          </w:p>
        </w:tc>
      </w:tr>
    </w:tbl>
    <w:p w:rsidR="006B4F82" w:rsidRPr="00B67A99" w:rsidRDefault="00B67A99" w:rsidP="006B4F82">
      <w:pPr>
        <w:pStyle w:val="COMTbl-foot"/>
        <w:keepNext/>
        <w:keepLines/>
        <w:ind w:firstLine="720"/>
        <w:rPr>
          <w:sz w:val="20"/>
          <w:highlight w:val="black"/>
        </w:rPr>
      </w:pPr>
      <w:r>
        <w:rPr>
          <w:noProof/>
          <w:color w:val="000000"/>
          <w:sz w:val="20"/>
          <w:highlight w:val="black"/>
        </w:rPr>
        <w:t>'''''''''''''' ''''''''''''' '''''''' '''''''''''''' ''''' ''''''''''''''' '''''''''''''''''''''' ''''''''''''</w:t>
      </w:r>
    </w:p>
    <w:p w:rsidR="006B4F82" w:rsidRPr="00B67A99" w:rsidRDefault="00B67A99" w:rsidP="006B4F82">
      <w:pPr>
        <w:pStyle w:val="COMTbl-foot"/>
        <w:keepNext/>
        <w:keepLines/>
        <w:ind w:firstLine="720"/>
        <w:rPr>
          <w:sz w:val="20"/>
          <w:highlight w:val="black"/>
        </w:rPr>
      </w:pPr>
      <w:r>
        <w:rPr>
          <w:noProof/>
          <w:color w:val="000000"/>
          <w:sz w:val="20"/>
          <w:highlight w:val="black"/>
        </w:rPr>
        <w:t xml:space="preserve">''''''''''''''''''''''''''''''''' '''''''''''''''' '''''''''''''''' '''''''''''''''''' '''''''''''''''''''''''''''''''''' '''' </w:t>
      </w:r>
    </w:p>
    <w:p w:rsidR="006B4F82" w:rsidRPr="00B67A99" w:rsidRDefault="00B67A99" w:rsidP="006B4F82">
      <w:pPr>
        <w:pStyle w:val="COMTbl-foot"/>
        <w:keepNext/>
        <w:keepLines/>
        <w:ind w:left="709"/>
        <w:rPr>
          <w:sz w:val="20"/>
          <w:highlight w:val="black"/>
        </w:rPr>
      </w:pPr>
      <w:r>
        <w:rPr>
          <w:noProof/>
          <w:color w:val="000000"/>
          <w:sz w:val="20"/>
          <w:highlight w:val="black"/>
        </w:rPr>
        <w:t>'''''''''''''''''''' '''''''''''' '''''''''''''' '''''''''''''' '''''''''''''' '''''''''''' '''''''''''''' ''''''''''''' ''''''''''''' ''''''''''''' ''''''''''''' '''''''''''' ''''''''''' ''''''''''''' ''''''''''''' ''''''''''''' ''''''''''''' ''''''''''''' ''''''''''''''''' '''''''''''' '''''''''''''' '''''''''''''' '''''''''''''' '''''''''''''''' ''''''''''''' ''''' ''''''''' ''''''''''''''''''''''''''</w:t>
      </w:r>
    </w:p>
    <w:p w:rsidR="00BB7EC3" w:rsidRPr="001D4227" w:rsidRDefault="00BB7EC3" w:rsidP="00BB7EC3">
      <w:pPr>
        <w:pStyle w:val="ListParagraph"/>
        <w:ind w:left="709"/>
        <w:jc w:val="both"/>
        <w:rPr>
          <w:rFonts w:ascii="Arial" w:hAnsi="Arial"/>
          <w:sz w:val="22"/>
          <w:szCs w:val="22"/>
        </w:rPr>
      </w:pPr>
    </w:p>
    <w:p w:rsidR="004059F1" w:rsidRPr="002E7872" w:rsidRDefault="004059F1" w:rsidP="002E7872">
      <w:pPr>
        <w:pStyle w:val="ListParagraph"/>
        <w:numPr>
          <w:ilvl w:val="1"/>
          <w:numId w:val="1"/>
        </w:numPr>
        <w:jc w:val="both"/>
        <w:rPr>
          <w:rFonts w:ascii="Arial" w:hAnsi="Arial"/>
          <w:sz w:val="22"/>
          <w:szCs w:val="22"/>
        </w:rPr>
      </w:pPr>
      <w:r w:rsidRPr="002E7872">
        <w:rPr>
          <w:rFonts w:ascii="Arial" w:hAnsi="Arial" w:cs="Arial"/>
          <w:sz w:val="22"/>
        </w:rPr>
        <w:t xml:space="preserve">The PBAC noted that </w:t>
      </w:r>
      <w:r w:rsidR="00467B85" w:rsidRPr="002E7872">
        <w:rPr>
          <w:rFonts w:ascii="Arial" w:hAnsi="Arial" w:cs="Arial"/>
          <w:sz w:val="22"/>
        </w:rPr>
        <w:t xml:space="preserve">at </w:t>
      </w:r>
      <w:r w:rsidRPr="002E7872">
        <w:rPr>
          <w:rFonts w:ascii="Arial" w:hAnsi="Arial" w:cs="Arial"/>
          <w:sz w:val="22"/>
        </w:rPr>
        <w:t xml:space="preserve">the lower price requested in the pre-PBAC response, the listing would result in savings to the PBS/RPBS. </w:t>
      </w:r>
    </w:p>
    <w:p w:rsidR="004059F1" w:rsidRPr="001D4227" w:rsidRDefault="004059F1" w:rsidP="004059F1">
      <w:pPr>
        <w:pStyle w:val="ListParagraph"/>
        <w:ind w:left="709"/>
        <w:jc w:val="both"/>
        <w:rPr>
          <w:rFonts w:ascii="Arial" w:hAnsi="Arial" w:cs="Arial"/>
          <w:sz w:val="20"/>
          <w:szCs w:val="22"/>
        </w:rPr>
      </w:pPr>
    </w:p>
    <w:p w:rsidR="004059F1" w:rsidRPr="002E7872" w:rsidRDefault="004059F1" w:rsidP="002E7872">
      <w:pPr>
        <w:pStyle w:val="ListParagraph"/>
        <w:numPr>
          <w:ilvl w:val="1"/>
          <w:numId w:val="1"/>
        </w:numPr>
        <w:jc w:val="both"/>
        <w:rPr>
          <w:rFonts w:ascii="Arial" w:hAnsi="Arial"/>
          <w:sz w:val="22"/>
          <w:szCs w:val="22"/>
        </w:rPr>
      </w:pPr>
      <w:r w:rsidRPr="002E7872">
        <w:rPr>
          <w:rFonts w:ascii="Arial" w:hAnsi="Arial" w:cs="Arial"/>
          <w:sz w:val="22"/>
          <w:szCs w:val="22"/>
        </w:rPr>
        <w:t xml:space="preserve">The ESC noted that the projected script volumes in the third-line setting may not be reasonable because the movement of </w:t>
      </w:r>
      <w:proofErr w:type="spellStart"/>
      <w:r w:rsidRPr="002E7872">
        <w:rPr>
          <w:rFonts w:ascii="Arial" w:hAnsi="Arial" w:cs="Arial"/>
          <w:sz w:val="22"/>
          <w:szCs w:val="22"/>
        </w:rPr>
        <w:t>gliptins</w:t>
      </w:r>
      <w:proofErr w:type="spellEnd"/>
      <w:r w:rsidRPr="002E7872">
        <w:rPr>
          <w:rFonts w:ascii="Arial" w:hAnsi="Arial" w:cs="Arial"/>
          <w:sz w:val="22"/>
          <w:szCs w:val="22"/>
        </w:rPr>
        <w:t xml:space="preserve"> from third-line to second-line in the treatment algorithm is likely to impact the volumes of third-line agents. However, the ESC noted that there is a risk that:</w:t>
      </w:r>
    </w:p>
    <w:p w:rsidR="004059F1" w:rsidRPr="001D4227" w:rsidRDefault="004059F1" w:rsidP="004059F1">
      <w:pPr>
        <w:pStyle w:val="COMBody"/>
        <w:numPr>
          <w:ilvl w:val="0"/>
          <w:numId w:val="5"/>
        </w:numPr>
        <w:rPr>
          <w:szCs w:val="22"/>
        </w:rPr>
      </w:pPr>
      <w:r w:rsidRPr="001D4227">
        <w:rPr>
          <w:szCs w:val="22"/>
        </w:rPr>
        <w:t xml:space="preserve">patients may substitute inappropriately from second-line </w:t>
      </w:r>
      <w:proofErr w:type="spellStart"/>
      <w:r w:rsidRPr="001D4227">
        <w:rPr>
          <w:szCs w:val="22"/>
        </w:rPr>
        <w:t>gliptins</w:t>
      </w:r>
      <w:proofErr w:type="spellEnd"/>
      <w:r w:rsidRPr="001D4227">
        <w:rPr>
          <w:szCs w:val="22"/>
        </w:rPr>
        <w:t xml:space="preserve"> and </w:t>
      </w:r>
      <w:proofErr w:type="spellStart"/>
      <w:r w:rsidRPr="001D4227">
        <w:rPr>
          <w:szCs w:val="22"/>
        </w:rPr>
        <w:t>gliptin</w:t>
      </w:r>
      <w:proofErr w:type="spellEnd"/>
      <w:r w:rsidRPr="001D4227">
        <w:rPr>
          <w:szCs w:val="22"/>
        </w:rPr>
        <w:t xml:space="preserve">/metformin FDCs to third-line </w:t>
      </w:r>
      <w:proofErr w:type="spellStart"/>
      <w:r w:rsidRPr="001D4227">
        <w:rPr>
          <w:szCs w:val="22"/>
        </w:rPr>
        <w:t>dapagliflozin</w:t>
      </w:r>
      <w:proofErr w:type="spellEnd"/>
      <w:r w:rsidRPr="001D4227">
        <w:rPr>
          <w:szCs w:val="22"/>
        </w:rPr>
        <w:t>/metformin XR; and</w:t>
      </w:r>
    </w:p>
    <w:p w:rsidR="004059F1" w:rsidRPr="001D4227" w:rsidRDefault="004059F1" w:rsidP="004059F1">
      <w:pPr>
        <w:pStyle w:val="COMBody"/>
        <w:numPr>
          <w:ilvl w:val="0"/>
          <w:numId w:val="5"/>
        </w:numPr>
        <w:rPr>
          <w:szCs w:val="22"/>
        </w:rPr>
      </w:pPr>
      <w:proofErr w:type="gramStart"/>
      <w:r w:rsidRPr="001D4227">
        <w:rPr>
          <w:szCs w:val="22"/>
        </w:rPr>
        <w:t>the</w:t>
      </w:r>
      <w:proofErr w:type="gramEnd"/>
      <w:r w:rsidRPr="001D4227">
        <w:rPr>
          <w:szCs w:val="22"/>
        </w:rPr>
        <w:t xml:space="preserve"> addition of a FDC may accelerate the growth of the </w:t>
      </w:r>
      <w:proofErr w:type="spellStart"/>
      <w:r w:rsidR="00392D5C" w:rsidRPr="001D4227">
        <w:rPr>
          <w:szCs w:val="22"/>
        </w:rPr>
        <w:t>gliflozin</w:t>
      </w:r>
      <w:proofErr w:type="spellEnd"/>
      <w:r w:rsidRPr="001D4227">
        <w:rPr>
          <w:szCs w:val="22"/>
        </w:rPr>
        <w:t xml:space="preserve"> market faster than would otherwise occur.</w:t>
      </w:r>
    </w:p>
    <w:p w:rsidR="004059F1" w:rsidRPr="001D4227" w:rsidRDefault="004059F1" w:rsidP="004059F1">
      <w:pPr>
        <w:pStyle w:val="COMBody"/>
        <w:rPr>
          <w:szCs w:val="22"/>
        </w:rPr>
      </w:pPr>
    </w:p>
    <w:p w:rsidR="00727845" w:rsidRPr="002E7872" w:rsidRDefault="004059F1" w:rsidP="002E7872">
      <w:pPr>
        <w:pStyle w:val="ListParagraph"/>
        <w:numPr>
          <w:ilvl w:val="1"/>
          <w:numId w:val="1"/>
        </w:numPr>
        <w:jc w:val="both"/>
        <w:rPr>
          <w:rFonts w:ascii="Arial" w:hAnsi="Arial"/>
          <w:sz w:val="22"/>
          <w:szCs w:val="22"/>
        </w:rPr>
      </w:pPr>
      <w:r w:rsidRPr="002E7872">
        <w:rPr>
          <w:rFonts w:ascii="Arial" w:hAnsi="Arial" w:cs="Arial"/>
          <w:sz w:val="22"/>
          <w:szCs w:val="22"/>
        </w:rPr>
        <w:t xml:space="preserve">The ESC considered these risks could be mitigated through a risk share arrangement that reflects estimated utilisation based on the current treatment algorithm for type 2 diabetes agents.  </w:t>
      </w:r>
    </w:p>
    <w:p w:rsidR="00727845" w:rsidRPr="001D4227" w:rsidRDefault="00727845" w:rsidP="00727845">
      <w:pPr>
        <w:pStyle w:val="ListParagraph"/>
        <w:ind w:left="709"/>
        <w:jc w:val="both"/>
        <w:rPr>
          <w:rFonts w:ascii="Arial" w:hAnsi="Arial" w:cs="Arial"/>
          <w:sz w:val="22"/>
          <w:szCs w:val="22"/>
        </w:rPr>
      </w:pPr>
    </w:p>
    <w:p w:rsidR="004059F1" w:rsidRPr="002E7872" w:rsidRDefault="004059F1" w:rsidP="002E7872">
      <w:pPr>
        <w:pStyle w:val="ListParagraph"/>
        <w:numPr>
          <w:ilvl w:val="1"/>
          <w:numId w:val="1"/>
        </w:numPr>
        <w:jc w:val="both"/>
        <w:rPr>
          <w:rFonts w:ascii="Arial" w:hAnsi="Arial"/>
          <w:sz w:val="22"/>
          <w:szCs w:val="22"/>
        </w:rPr>
      </w:pPr>
      <w:r w:rsidRPr="002E7872">
        <w:rPr>
          <w:rFonts w:ascii="Arial" w:hAnsi="Arial" w:cs="Arial"/>
          <w:sz w:val="22"/>
          <w:szCs w:val="22"/>
        </w:rPr>
        <w:t>The PBAC agreed that if listing proceeded with the second</w:t>
      </w:r>
      <w:r w:rsidR="001E3DDD" w:rsidRPr="002E7872">
        <w:rPr>
          <w:rFonts w:ascii="Arial" w:hAnsi="Arial" w:cs="Arial"/>
          <w:sz w:val="22"/>
          <w:szCs w:val="22"/>
        </w:rPr>
        <w:t>-</w:t>
      </w:r>
      <w:r w:rsidRPr="002E7872">
        <w:rPr>
          <w:rFonts w:ascii="Arial" w:hAnsi="Arial" w:cs="Arial"/>
          <w:sz w:val="22"/>
          <w:szCs w:val="22"/>
        </w:rPr>
        <w:t xml:space="preserve">line listing and lower price, there would no longer be a need for a for a risk share </w:t>
      </w:r>
      <w:r w:rsidR="0015762F" w:rsidRPr="002E7872">
        <w:rPr>
          <w:rFonts w:ascii="Arial" w:hAnsi="Arial" w:cs="Arial"/>
          <w:sz w:val="22"/>
          <w:szCs w:val="22"/>
        </w:rPr>
        <w:t xml:space="preserve">arrangement </w:t>
      </w:r>
      <w:r w:rsidRPr="002E7872">
        <w:rPr>
          <w:rFonts w:ascii="Arial" w:hAnsi="Arial" w:cs="Arial"/>
          <w:sz w:val="22"/>
          <w:szCs w:val="22"/>
        </w:rPr>
        <w:t xml:space="preserve">to mitigate the risk </w:t>
      </w:r>
      <w:r w:rsidR="00A06F4B">
        <w:rPr>
          <w:rFonts w:ascii="Arial" w:hAnsi="Arial" w:cs="Arial"/>
          <w:sz w:val="22"/>
          <w:szCs w:val="22"/>
        </w:rPr>
        <w:t xml:space="preserve">of </w:t>
      </w:r>
      <w:r w:rsidRPr="002E7872">
        <w:rPr>
          <w:rFonts w:ascii="Arial" w:hAnsi="Arial" w:cs="Arial"/>
          <w:sz w:val="22"/>
          <w:szCs w:val="22"/>
        </w:rPr>
        <w:t>usage outside the third-line setting</w:t>
      </w:r>
    </w:p>
    <w:p w:rsidR="004059F1" w:rsidRPr="001D4227" w:rsidRDefault="004059F1" w:rsidP="004059F1">
      <w:pPr>
        <w:pStyle w:val="ListParagraph"/>
        <w:ind w:left="709"/>
        <w:jc w:val="both"/>
        <w:rPr>
          <w:rFonts w:ascii="Arial" w:hAnsi="Arial" w:cs="Arial"/>
          <w:sz w:val="22"/>
          <w:szCs w:val="22"/>
        </w:rPr>
      </w:pPr>
    </w:p>
    <w:p w:rsidR="00727845" w:rsidRPr="002E7872" w:rsidRDefault="004059F1" w:rsidP="002E7872">
      <w:pPr>
        <w:pStyle w:val="ListParagraph"/>
        <w:numPr>
          <w:ilvl w:val="1"/>
          <w:numId w:val="1"/>
        </w:numPr>
        <w:jc w:val="both"/>
        <w:rPr>
          <w:rFonts w:ascii="Arial" w:hAnsi="Arial"/>
          <w:sz w:val="22"/>
          <w:szCs w:val="22"/>
        </w:rPr>
      </w:pPr>
      <w:r w:rsidRPr="002E7872">
        <w:rPr>
          <w:rFonts w:ascii="Arial" w:hAnsi="Arial" w:cs="Arial"/>
          <w:sz w:val="22"/>
          <w:szCs w:val="22"/>
        </w:rPr>
        <w:t xml:space="preserve">The evaluation noted that the availability of an FDC containing </w:t>
      </w:r>
      <w:proofErr w:type="spellStart"/>
      <w:r w:rsidRPr="002E7872">
        <w:rPr>
          <w:rFonts w:ascii="Arial" w:hAnsi="Arial" w:cs="Arial"/>
          <w:sz w:val="22"/>
          <w:szCs w:val="22"/>
        </w:rPr>
        <w:t>dapagliflozin</w:t>
      </w:r>
      <w:proofErr w:type="spellEnd"/>
      <w:r w:rsidRPr="002E7872">
        <w:rPr>
          <w:rFonts w:ascii="Arial" w:hAnsi="Arial" w:cs="Arial"/>
          <w:sz w:val="22"/>
          <w:szCs w:val="22"/>
        </w:rPr>
        <w:t xml:space="preserve"> may reduce the market share for </w:t>
      </w:r>
      <w:proofErr w:type="spellStart"/>
      <w:r w:rsidRPr="002E7872">
        <w:rPr>
          <w:rFonts w:ascii="Arial" w:hAnsi="Arial" w:cs="Arial"/>
          <w:sz w:val="22"/>
          <w:szCs w:val="22"/>
        </w:rPr>
        <w:t>canagliflozin</w:t>
      </w:r>
      <w:proofErr w:type="spellEnd"/>
      <w:r w:rsidRPr="002E7872">
        <w:rPr>
          <w:rFonts w:ascii="Arial" w:hAnsi="Arial" w:cs="Arial"/>
          <w:sz w:val="22"/>
          <w:szCs w:val="22"/>
        </w:rPr>
        <w:t xml:space="preserve">, given there is no FDC currently available that includes </w:t>
      </w:r>
      <w:proofErr w:type="spellStart"/>
      <w:r w:rsidRPr="002E7872">
        <w:rPr>
          <w:rFonts w:ascii="Arial" w:hAnsi="Arial" w:cs="Arial"/>
          <w:sz w:val="22"/>
          <w:szCs w:val="22"/>
        </w:rPr>
        <w:t>canagliflozin</w:t>
      </w:r>
      <w:proofErr w:type="spellEnd"/>
      <w:r w:rsidRPr="002E7872">
        <w:rPr>
          <w:rFonts w:ascii="Arial" w:hAnsi="Arial" w:cs="Arial"/>
          <w:sz w:val="22"/>
          <w:szCs w:val="22"/>
        </w:rPr>
        <w:t xml:space="preserve">. The ESC agreed that there may be some substitution between concomitant </w:t>
      </w:r>
      <w:proofErr w:type="spellStart"/>
      <w:r w:rsidRPr="002E7872">
        <w:rPr>
          <w:rFonts w:ascii="Arial" w:hAnsi="Arial" w:cs="Arial"/>
          <w:sz w:val="22"/>
          <w:szCs w:val="22"/>
        </w:rPr>
        <w:t>canagliflozin</w:t>
      </w:r>
      <w:proofErr w:type="spellEnd"/>
      <w:r w:rsidRPr="002E7872">
        <w:rPr>
          <w:rFonts w:ascii="Arial" w:hAnsi="Arial" w:cs="Arial"/>
          <w:sz w:val="22"/>
          <w:szCs w:val="22"/>
        </w:rPr>
        <w:t xml:space="preserve"> plus metformin and </w:t>
      </w:r>
      <w:proofErr w:type="spellStart"/>
      <w:r w:rsidRPr="002E7872">
        <w:rPr>
          <w:rFonts w:ascii="Arial" w:hAnsi="Arial" w:cs="Arial"/>
          <w:sz w:val="22"/>
          <w:szCs w:val="22"/>
        </w:rPr>
        <w:t>dapagliflozin</w:t>
      </w:r>
      <w:proofErr w:type="spellEnd"/>
      <w:r w:rsidR="00C24194" w:rsidRPr="002E7872">
        <w:rPr>
          <w:rFonts w:ascii="Arial" w:hAnsi="Arial" w:cs="Arial"/>
          <w:sz w:val="22"/>
          <w:szCs w:val="22"/>
        </w:rPr>
        <w:t>/metformin XR FDC. The PSCR (p</w:t>
      </w:r>
      <w:r w:rsidRPr="002E7872">
        <w:rPr>
          <w:rFonts w:ascii="Arial" w:hAnsi="Arial" w:cs="Arial"/>
          <w:sz w:val="22"/>
          <w:szCs w:val="22"/>
        </w:rPr>
        <w:t xml:space="preserve">1) claimed that if such substitution were to occur it would not represent a clinical or financial issue. The difference in price between </w:t>
      </w:r>
      <w:proofErr w:type="spellStart"/>
      <w:r w:rsidRPr="002E7872">
        <w:rPr>
          <w:rFonts w:ascii="Arial" w:hAnsi="Arial" w:cs="Arial"/>
          <w:sz w:val="22"/>
          <w:szCs w:val="22"/>
        </w:rPr>
        <w:t>canagliflozin</w:t>
      </w:r>
      <w:proofErr w:type="spellEnd"/>
      <w:r w:rsidRPr="002E7872">
        <w:rPr>
          <w:rFonts w:ascii="Arial" w:hAnsi="Arial" w:cs="Arial"/>
          <w:sz w:val="22"/>
          <w:szCs w:val="22"/>
        </w:rPr>
        <w:t xml:space="preserve"> and </w:t>
      </w:r>
      <w:proofErr w:type="spellStart"/>
      <w:r w:rsidRPr="002E7872">
        <w:rPr>
          <w:rFonts w:ascii="Arial" w:hAnsi="Arial" w:cs="Arial"/>
          <w:sz w:val="22"/>
          <w:szCs w:val="22"/>
        </w:rPr>
        <w:t>dapagliflozin</w:t>
      </w:r>
      <w:proofErr w:type="spellEnd"/>
      <w:r w:rsidRPr="002E7872">
        <w:rPr>
          <w:rFonts w:ascii="Arial" w:hAnsi="Arial" w:cs="Arial"/>
          <w:sz w:val="22"/>
          <w:szCs w:val="22"/>
        </w:rPr>
        <w:t xml:space="preserve"> relates to the cost of management of adverse events. </w:t>
      </w:r>
    </w:p>
    <w:p w:rsidR="00727845" w:rsidRPr="001D4227" w:rsidRDefault="00727845" w:rsidP="00727845">
      <w:pPr>
        <w:pStyle w:val="ListParagraph"/>
        <w:rPr>
          <w:rFonts w:ascii="Arial" w:hAnsi="Arial" w:cs="Arial"/>
          <w:sz w:val="22"/>
          <w:szCs w:val="22"/>
        </w:rPr>
      </w:pPr>
    </w:p>
    <w:p w:rsidR="0015762F" w:rsidRPr="002E7872" w:rsidRDefault="0015762F" w:rsidP="002E7872">
      <w:pPr>
        <w:pStyle w:val="ListParagraph"/>
        <w:numPr>
          <w:ilvl w:val="1"/>
          <w:numId w:val="1"/>
        </w:numPr>
        <w:jc w:val="both"/>
        <w:rPr>
          <w:rFonts w:ascii="Arial" w:hAnsi="Arial"/>
          <w:sz w:val="22"/>
          <w:szCs w:val="22"/>
        </w:rPr>
      </w:pPr>
      <w:r w:rsidRPr="002E7872">
        <w:rPr>
          <w:rFonts w:ascii="Arial" w:hAnsi="Arial" w:cs="Arial"/>
          <w:sz w:val="22"/>
          <w:szCs w:val="22"/>
        </w:rPr>
        <w:t xml:space="preserve">The PBAC noted that, at the lower price offered for </w:t>
      </w:r>
      <w:proofErr w:type="spellStart"/>
      <w:r w:rsidRPr="002E7872">
        <w:rPr>
          <w:rFonts w:ascii="Arial" w:hAnsi="Arial" w:cs="Arial"/>
          <w:sz w:val="22"/>
          <w:szCs w:val="22"/>
        </w:rPr>
        <w:t>dapagliflozin</w:t>
      </w:r>
      <w:proofErr w:type="spellEnd"/>
      <w:r w:rsidRPr="002E7872">
        <w:rPr>
          <w:rFonts w:ascii="Arial" w:hAnsi="Arial" w:cs="Arial"/>
          <w:sz w:val="22"/>
          <w:szCs w:val="22"/>
        </w:rPr>
        <w:t xml:space="preserve"> in the pre-PBAC response, any substitution of </w:t>
      </w:r>
      <w:proofErr w:type="spellStart"/>
      <w:r w:rsidRPr="002E7872">
        <w:rPr>
          <w:rFonts w:ascii="Arial" w:hAnsi="Arial" w:cs="Arial"/>
          <w:sz w:val="22"/>
          <w:szCs w:val="22"/>
        </w:rPr>
        <w:t>dapagliflozin</w:t>
      </w:r>
      <w:proofErr w:type="spellEnd"/>
      <w:r w:rsidRPr="002E7872">
        <w:rPr>
          <w:rFonts w:ascii="Arial" w:hAnsi="Arial" w:cs="Arial"/>
          <w:sz w:val="22"/>
          <w:szCs w:val="22"/>
        </w:rPr>
        <w:t xml:space="preserve"> for </w:t>
      </w:r>
      <w:proofErr w:type="spellStart"/>
      <w:r w:rsidRPr="002E7872">
        <w:rPr>
          <w:rFonts w:ascii="Arial" w:hAnsi="Arial" w:cs="Arial"/>
          <w:sz w:val="22"/>
          <w:szCs w:val="22"/>
        </w:rPr>
        <w:t>canagliflozin</w:t>
      </w:r>
      <w:proofErr w:type="spellEnd"/>
      <w:r w:rsidRPr="002E7872">
        <w:rPr>
          <w:rFonts w:ascii="Arial" w:hAnsi="Arial" w:cs="Arial"/>
          <w:sz w:val="22"/>
          <w:szCs w:val="22"/>
        </w:rPr>
        <w:t xml:space="preserve"> would be cost-saving to the PBS/RPBS.</w:t>
      </w:r>
    </w:p>
    <w:p w:rsidR="00D3799C" w:rsidRPr="001D4227" w:rsidRDefault="00D3799C" w:rsidP="00D3799C">
      <w:pPr>
        <w:pStyle w:val="ListParagraph"/>
        <w:ind w:left="567"/>
        <w:rPr>
          <w:rFonts w:ascii="Arial" w:hAnsi="Arial"/>
          <w:i/>
          <w:sz w:val="22"/>
          <w:szCs w:val="22"/>
        </w:rPr>
      </w:pPr>
    </w:p>
    <w:p w:rsidR="00BB7EC3" w:rsidRPr="001D4227" w:rsidRDefault="00BB7EC3" w:rsidP="00BB7EC3">
      <w:pPr>
        <w:pStyle w:val="ListParagraph"/>
        <w:ind w:left="709"/>
        <w:jc w:val="both"/>
        <w:rPr>
          <w:rFonts w:ascii="Arial" w:hAnsi="Arial"/>
          <w:i/>
          <w:sz w:val="22"/>
          <w:szCs w:val="22"/>
        </w:rPr>
      </w:pPr>
      <w:r w:rsidRPr="001D4227">
        <w:rPr>
          <w:rFonts w:ascii="Arial" w:hAnsi="Arial"/>
          <w:i/>
          <w:sz w:val="22"/>
          <w:szCs w:val="22"/>
        </w:rPr>
        <w:t>For PBAC’s view, see section 7 “PBAC outcome”</w:t>
      </w:r>
    </w:p>
    <w:p w:rsidR="00CE10C4" w:rsidRDefault="00CE10C4" w:rsidP="00882085">
      <w:pPr>
        <w:jc w:val="both"/>
        <w:rPr>
          <w:rFonts w:ascii="Arial" w:hAnsi="Arial"/>
          <w:b/>
          <w:sz w:val="22"/>
          <w:szCs w:val="22"/>
        </w:rPr>
      </w:pPr>
    </w:p>
    <w:p w:rsidR="002E7872" w:rsidRPr="001D4227" w:rsidRDefault="002E7872" w:rsidP="00882085">
      <w:pPr>
        <w:jc w:val="both"/>
        <w:rPr>
          <w:rFonts w:ascii="Arial" w:hAnsi="Arial"/>
          <w:b/>
          <w:sz w:val="22"/>
          <w:szCs w:val="22"/>
        </w:rPr>
      </w:pPr>
    </w:p>
    <w:p w:rsidR="002E7872" w:rsidRPr="00407F2D" w:rsidRDefault="002E7872" w:rsidP="002E7872">
      <w:pPr>
        <w:pStyle w:val="ListParagraph"/>
        <w:numPr>
          <w:ilvl w:val="0"/>
          <w:numId w:val="1"/>
        </w:numPr>
        <w:jc w:val="both"/>
        <w:rPr>
          <w:rFonts w:ascii="Arial" w:hAnsi="Arial"/>
          <w:b/>
          <w:sz w:val="22"/>
          <w:szCs w:val="22"/>
        </w:rPr>
      </w:pPr>
      <w:r w:rsidRPr="00407F2D">
        <w:rPr>
          <w:rFonts w:ascii="Arial" w:hAnsi="Arial"/>
          <w:b/>
          <w:sz w:val="22"/>
          <w:szCs w:val="22"/>
        </w:rPr>
        <w:t xml:space="preserve">PBAC Outcome </w:t>
      </w:r>
    </w:p>
    <w:p w:rsidR="00BB7EC3" w:rsidRDefault="00BB7EC3" w:rsidP="00204211">
      <w:pPr>
        <w:rPr>
          <w:rFonts w:ascii="Arial" w:hAnsi="Arial"/>
          <w:sz w:val="22"/>
          <w:szCs w:val="22"/>
        </w:rPr>
      </w:pPr>
    </w:p>
    <w:p w:rsidR="008E1996" w:rsidRDefault="002E7872" w:rsidP="008E1996">
      <w:pPr>
        <w:pStyle w:val="ListParagraph"/>
        <w:numPr>
          <w:ilvl w:val="1"/>
          <w:numId w:val="1"/>
        </w:numPr>
        <w:jc w:val="both"/>
        <w:rPr>
          <w:rFonts w:ascii="Arial" w:hAnsi="Arial"/>
          <w:sz w:val="22"/>
          <w:szCs w:val="22"/>
        </w:rPr>
      </w:pPr>
      <w:r w:rsidRPr="002E7872">
        <w:rPr>
          <w:rFonts w:ascii="Arial" w:hAnsi="Arial"/>
          <w:sz w:val="22"/>
          <w:szCs w:val="22"/>
        </w:rPr>
        <w:t xml:space="preserve">The PBAC recommended an Authority required (STREAMLINED) listing of </w:t>
      </w:r>
      <w:proofErr w:type="spellStart"/>
      <w:r w:rsidRPr="002E7872">
        <w:rPr>
          <w:rFonts w:ascii="Arial" w:hAnsi="Arial"/>
          <w:sz w:val="22"/>
          <w:szCs w:val="22"/>
        </w:rPr>
        <w:t>dapagliflozin</w:t>
      </w:r>
      <w:proofErr w:type="spellEnd"/>
      <w:r w:rsidRPr="002E7872">
        <w:rPr>
          <w:rFonts w:ascii="Arial" w:hAnsi="Arial"/>
          <w:sz w:val="22"/>
          <w:szCs w:val="22"/>
        </w:rPr>
        <w:t xml:space="preserve">/metformin XR FDC for the treatment of Type II diabetes. The </w:t>
      </w:r>
      <w:proofErr w:type="spellStart"/>
      <w:r w:rsidRPr="002E7872">
        <w:rPr>
          <w:rFonts w:ascii="Arial" w:hAnsi="Arial"/>
          <w:sz w:val="22"/>
          <w:szCs w:val="22"/>
        </w:rPr>
        <w:t>equi</w:t>
      </w:r>
      <w:proofErr w:type="spellEnd"/>
      <w:r w:rsidRPr="002E7872">
        <w:rPr>
          <w:rFonts w:ascii="Arial" w:hAnsi="Arial"/>
          <w:sz w:val="22"/>
          <w:szCs w:val="22"/>
        </w:rPr>
        <w:t xml:space="preserve">-effective doses of </w:t>
      </w:r>
      <w:proofErr w:type="spellStart"/>
      <w:r w:rsidRPr="002E7872">
        <w:rPr>
          <w:rFonts w:ascii="Arial" w:hAnsi="Arial"/>
          <w:sz w:val="22"/>
          <w:szCs w:val="22"/>
        </w:rPr>
        <w:t>dapagliflozin</w:t>
      </w:r>
      <w:proofErr w:type="spellEnd"/>
      <w:r w:rsidRPr="002E7872">
        <w:rPr>
          <w:rFonts w:ascii="Arial" w:hAnsi="Arial"/>
          <w:sz w:val="22"/>
          <w:szCs w:val="22"/>
        </w:rPr>
        <w:t xml:space="preserve">/metformin XR FDC are the corresponding doses of </w:t>
      </w:r>
      <w:proofErr w:type="spellStart"/>
      <w:r w:rsidRPr="002E7872">
        <w:rPr>
          <w:rFonts w:ascii="Arial" w:hAnsi="Arial"/>
          <w:sz w:val="22"/>
          <w:szCs w:val="22"/>
        </w:rPr>
        <w:t>dapagliflozin</w:t>
      </w:r>
      <w:proofErr w:type="spellEnd"/>
      <w:r w:rsidRPr="002E7872">
        <w:rPr>
          <w:rFonts w:ascii="Arial" w:hAnsi="Arial"/>
          <w:sz w:val="22"/>
          <w:szCs w:val="22"/>
        </w:rPr>
        <w:t xml:space="preserve"> and metformin IR.</w:t>
      </w:r>
    </w:p>
    <w:p w:rsidR="008E1996" w:rsidRDefault="008E1996" w:rsidP="008E1996">
      <w:pPr>
        <w:pStyle w:val="ListParagraph"/>
        <w:jc w:val="both"/>
        <w:rPr>
          <w:rFonts w:ascii="Arial" w:hAnsi="Arial"/>
          <w:sz w:val="22"/>
          <w:szCs w:val="22"/>
        </w:rPr>
      </w:pPr>
    </w:p>
    <w:p w:rsidR="00BB7EC3" w:rsidRPr="008E1996" w:rsidRDefault="00013D01" w:rsidP="008E1996">
      <w:pPr>
        <w:pStyle w:val="ListParagraph"/>
        <w:numPr>
          <w:ilvl w:val="1"/>
          <w:numId w:val="1"/>
        </w:numPr>
        <w:jc w:val="both"/>
        <w:rPr>
          <w:rFonts w:ascii="Arial" w:hAnsi="Arial"/>
          <w:sz w:val="22"/>
          <w:szCs w:val="22"/>
        </w:rPr>
      </w:pPr>
      <w:r w:rsidRPr="008E1996">
        <w:rPr>
          <w:rFonts w:ascii="Arial" w:hAnsi="Arial" w:cs="Arial"/>
          <w:sz w:val="22"/>
          <w:szCs w:val="22"/>
        </w:rPr>
        <w:t xml:space="preserve">The PBAC </w:t>
      </w:r>
      <w:r w:rsidR="00806BC1" w:rsidRPr="008E1996">
        <w:rPr>
          <w:rFonts w:ascii="Arial" w:hAnsi="Arial" w:cs="Arial"/>
          <w:sz w:val="22"/>
          <w:szCs w:val="22"/>
        </w:rPr>
        <w:t>acknowledged</w:t>
      </w:r>
      <w:r w:rsidR="00BC2C41" w:rsidRPr="008E1996">
        <w:rPr>
          <w:rFonts w:ascii="Arial" w:hAnsi="Arial" w:cs="Arial"/>
          <w:sz w:val="22"/>
          <w:szCs w:val="22"/>
        </w:rPr>
        <w:t xml:space="preserve"> that the TGA has accepted </w:t>
      </w:r>
      <w:r w:rsidR="0015762F" w:rsidRPr="008E1996">
        <w:rPr>
          <w:rFonts w:ascii="Arial" w:hAnsi="Arial" w:cs="Arial"/>
          <w:sz w:val="22"/>
          <w:szCs w:val="22"/>
        </w:rPr>
        <w:t xml:space="preserve">the </w:t>
      </w:r>
      <w:r w:rsidR="00BC2C41" w:rsidRPr="008E1996">
        <w:rPr>
          <w:rFonts w:ascii="Arial" w:hAnsi="Arial" w:cs="Arial"/>
          <w:sz w:val="22"/>
          <w:szCs w:val="22"/>
        </w:rPr>
        <w:t xml:space="preserve">bioequivalence of </w:t>
      </w:r>
      <w:proofErr w:type="spellStart"/>
      <w:r w:rsidR="00BC2C41" w:rsidRPr="008E1996">
        <w:rPr>
          <w:rFonts w:ascii="Arial" w:hAnsi="Arial" w:cs="Arial"/>
          <w:sz w:val="22"/>
          <w:szCs w:val="22"/>
        </w:rPr>
        <w:t>dapagliflozin</w:t>
      </w:r>
      <w:proofErr w:type="spellEnd"/>
      <w:r w:rsidR="00BC2C41" w:rsidRPr="008E1996">
        <w:rPr>
          <w:rFonts w:ascii="Arial" w:hAnsi="Arial" w:cs="Arial"/>
          <w:sz w:val="22"/>
          <w:szCs w:val="22"/>
        </w:rPr>
        <w:t xml:space="preserve">/metformin XR to </w:t>
      </w:r>
      <w:proofErr w:type="spellStart"/>
      <w:r w:rsidR="00BC2C41" w:rsidRPr="008E1996">
        <w:rPr>
          <w:rFonts w:ascii="Arial" w:hAnsi="Arial" w:cs="Arial"/>
          <w:sz w:val="22"/>
          <w:szCs w:val="22"/>
        </w:rPr>
        <w:t>dapagliflozin</w:t>
      </w:r>
      <w:proofErr w:type="spellEnd"/>
      <w:r w:rsidR="00BC2C41" w:rsidRPr="008E1996">
        <w:rPr>
          <w:rFonts w:ascii="Arial" w:hAnsi="Arial" w:cs="Arial"/>
          <w:sz w:val="22"/>
          <w:szCs w:val="22"/>
        </w:rPr>
        <w:t xml:space="preserve"> and metformin. </w:t>
      </w:r>
    </w:p>
    <w:p w:rsidR="00F03DC5" w:rsidRPr="001D4227" w:rsidRDefault="00F03DC5" w:rsidP="004E765F">
      <w:pPr>
        <w:jc w:val="both"/>
        <w:rPr>
          <w:rFonts w:ascii="Arial" w:hAnsi="Arial" w:cs="Arial"/>
          <w:sz w:val="22"/>
          <w:szCs w:val="22"/>
        </w:rPr>
      </w:pPr>
    </w:p>
    <w:p w:rsidR="00F03DC5" w:rsidRPr="002E7872" w:rsidRDefault="00F03DC5" w:rsidP="002E7872">
      <w:pPr>
        <w:pStyle w:val="ListParagraph"/>
        <w:numPr>
          <w:ilvl w:val="1"/>
          <w:numId w:val="1"/>
        </w:numPr>
        <w:jc w:val="both"/>
        <w:rPr>
          <w:rFonts w:ascii="Arial" w:hAnsi="Arial"/>
          <w:sz w:val="22"/>
          <w:szCs w:val="22"/>
        </w:rPr>
      </w:pPr>
      <w:r w:rsidRPr="002E7872">
        <w:rPr>
          <w:rFonts w:ascii="Arial" w:hAnsi="Arial" w:cs="Arial"/>
          <w:sz w:val="22"/>
          <w:szCs w:val="22"/>
        </w:rPr>
        <w:t xml:space="preserve">The PBAC </w:t>
      </w:r>
      <w:r w:rsidR="001B45C2" w:rsidRPr="002E7872">
        <w:rPr>
          <w:rFonts w:ascii="Arial" w:hAnsi="Arial" w:cs="Arial"/>
          <w:sz w:val="22"/>
          <w:szCs w:val="22"/>
        </w:rPr>
        <w:t xml:space="preserve">recommended, as proposed by </w:t>
      </w:r>
      <w:r w:rsidRPr="002E7872">
        <w:rPr>
          <w:rFonts w:ascii="Arial" w:hAnsi="Arial" w:cs="Arial"/>
          <w:sz w:val="22"/>
          <w:szCs w:val="22"/>
        </w:rPr>
        <w:t xml:space="preserve">the sponsor </w:t>
      </w:r>
      <w:r w:rsidR="00BC2C41" w:rsidRPr="002E7872">
        <w:rPr>
          <w:rFonts w:ascii="Arial" w:hAnsi="Arial" w:cs="Arial"/>
          <w:sz w:val="22"/>
          <w:szCs w:val="22"/>
        </w:rPr>
        <w:t xml:space="preserve">in its </w:t>
      </w:r>
      <w:r w:rsidRPr="002E7872">
        <w:rPr>
          <w:rFonts w:ascii="Arial" w:hAnsi="Arial" w:cs="Arial"/>
          <w:sz w:val="22"/>
          <w:szCs w:val="22"/>
        </w:rPr>
        <w:t>pre-PBAC</w:t>
      </w:r>
      <w:r w:rsidR="00DC2A71" w:rsidRPr="002E7872">
        <w:rPr>
          <w:rFonts w:ascii="Arial" w:hAnsi="Arial" w:cs="Arial"/>
          <w:sz w:val="22"/>
          <w:szCs w:val="22"/>
        </w:rPr>
        <w:t xml:space="preserve"> response</w:t>
      </w:r>
      <w:r w:rsidR="001B45C2" w:rsidRPr="002E7872">
        <w:rPr>
          <w:rFonts w:ascii="Arial" w:hAnsi="Arial" w:cs="Arial"/>
          <w:sz w:val="22"/>
          <w:szCs w:val="22"/>
        </w:rPr>
        <w:t xml:space="preserve">, that </w:t>
      </w:r>
      <w:r w:rsidR="0090668A" w:rsidRPr="002E7872">
        <w:rPr>
          <w:rFonts w:ascii="Arial" w:hAnsi="Arial" w:cs="Arial"/>
          <w:sz w:val="22"/>
          <w:szCs w:val="22"/>
        </w:rPr>
        <w:t>the</w:t>
      </w:r>
      <w:r w:rsidRPr="002E7872">
        <w:rPr>
          <w:rFonts w:ascii="Arial" w:hAnsi="Arial" w:cs="Arial"/>
          <w:sz w:val="22"/>
          <w:szCs w:val="22"/>
        </w:rPr>
        <w:t xml:space="preserve"> PBS </w:t>
      </w:r>
      <w:r w:rsidR="001B45C2" w:rsidRPr="002E7872">
        <w:rPr>
          <w:rFonts w:ascii="Arial" w:hAnsi="Arial" w:cs="Arial"/>
          <w:sz w:val="22"/>
          <w:szCs w:val="22"/>
        </w:rPr>
        <w:t xml:space="preserve">restrictions for </w:t>
      </w:r>
      <w:proofErr w:type="spellStart"/>
      <w:r w:rsidRPr="002E7872">
        <w:rPr>
          <w:rFonts w:ascii="Arial" w:hAnsi="Arial" w:cs="Arial"/>
          <w:sz w:val="22"/>
          <w:szCs w:val="22"/>
        </w:rPr>
        <w:t>dapagliflozin</w:t>
      </w:r>
      <w:proofErr w:type="spellEnd"/>
      <w:r w:rsidRPr="002E7872">
        <w:rPr>
          <w:rFonts w:ascii="Arial" w:hAnsi="Arial" w:cs="Arial"/>
          <w:sz w:val="22"/>
          <w:szCs w:val="22"/>
        </w:rPr>
        <w:t xml:space="preserve"> and </w:t>
      </w:r>
      <w:proofErr w:type="spellStart"/>
      <w:r w:rsidRPr="002E7872">
        <w:rPr>
          <w:rFonts w:ascii="Arial" w:hAnsi="Arial" w:cs="Arial"/>
          <w:sz w:val="22"/>
          <w:szCs w:val="22"/>
        </w:rPr>
        <w:t>dapagliflozin</w:t>
      </w:r>
      <w:proofErr w:type="spellEnd"/>
      <w:r w:rsidRPr="002E7872">
        <w:rPr>
          <w:rFonts w:ascii="Arial" w:hAnsi="Arial" w:cs="Arial"/>
          <w:sz w:val="22"/>
          <w:szCs w:val="22"/>
        </w:rPr>
        <w:t xml:space="preserve">/metformin XR </w:t>
      </w:r>
      <w:r w:rsidR="001B45C2" w:rsidRPr="002E7872">
        <w:rPr>
          <w:rFonts w:ascii="Arial" w:hAnsi="Arial" w:cs="Arial"/>
          <w:sz w:val="22"/>
          <w:szCs w:val="22"/>
        </w:rPr>
        <w:t xml:space="preserve">be aligned </w:t>
      </w:r>
      <w:r w:rsidRPr="002E7872">
        <w:rPr>
          <w:rFonts w:ascii="Arial" w:hAnsi="Arial" w:cs="Arial"/>
          <w:sz w:val="22"/>
          <w:szCs w:val="22"/>
        </w:rPr>
        <w:t>with the</w:t>
      </w:r>
      <w:r w:rsidR="004E7E92" w:rsidRPr="002E7872">
        <w:rPr>
          <w:rFonts w:ascii="Arial" w:hAnsi="Arial" w:cs="Arial"/>
          <w:sz w:val="22"/>
          <w:szCs w:val="22"/>
        </w:rPr>
        <w:t xml:space="preserve"> </w:t>
      </w:r>
      <w:proofErr w:type="spellStart"/>
      <w:r w:rsidR="004E7E92" w:rsidRPr="002E7872">
        <w:rPr>
          <w:rFonts w:ascii="Arial" w:hAnsi="Arial" w:cs="Arial"/>
          <w:sz w:val="22"/>
          <w:szCs w:val="22"/>
        </w:rPr>
        <w:t>dipe</w:t>
      </w:r>
      <w:r w:rsidRPr="002E7872">
        <w:rPr>
          <w:rFonts w:ascii="Arial" w:hAnsi="Arial" w:cs="Arial"/>
          <w:sz w:val="22"/>
          <w:szCs w:val="22"/>
        </w:rPr>
        <w:t>p</w:t>
      </w:r>
      <w:r w:rsidR="004E7E92" w:rsidRPr="002E7872">
        <w:rPr>
          <w:rFonts w:ascii="Arial" w:hAnsi="Arial" w:cs="Arial"/>
          <w:sz w:val="22"/>
          <w:szCs w:val="22"/>
        </w:rPr>
        <w:t>tidyl</w:t>
      </w:r>
      <w:proofErr w:type="spellEnd"/>
      <w:r w:rsidR="004E7E92" w:rsidRPr="002E7872">
        <w:rPr>
          <w:rFonts w:ascii="Arial" w:hAnsi="Arial" w:cs="Arial"/>
          <w:sz w:val="22"/>
          <w:szCs w:val="22"/>
        </w:rPr>
        <w:t xml:space="preserve"> peptidase-</w:t>
      </w:r>
      <w:r w:rsidR="004E765F" w:rsidRPr="002E7872">
        <w:rPr>
          <w:rFonts w:ascii="Arial" w:hAnsi="Arial" w:cs="Arial"/>
          <w:sz w:val="22"/>
          <w:szCs w:val="22"/>
        </w:rPr>
        <w:t>4 inhibitors (</w:t>
      </w:r>
      <w:proofErr w:type="spellStart"/>
      <w:r w:rsidR="004E765F" w:rsidRPr="002E7872">
        <w:rPr>
          <w:rFonts w:ascii="Arial" w:hAnsi="Arial" w:cs="Arial"/>
          <w:sz w:val="22"/>
          <w:szCs w:val="22"/>
        </w:rPr>
        <w:t>gliptins</w:t>
      </w:r>
      <w:proofErr w:type="spellEnd"/>
      <w:r w:rsidR="004E765F" w:rsidRPr="002E7872">
        <w:rPr>
          <w:rFonts w:ascii="Arial" w:hAnsi="Arial" w:cs="Arial"/>
          <w:sz w:val="22"/>
          <w:szCs w:val="22"/>
        </w:rPr>
        <w:t>)</w:t>
      </w:r>
      <w:r w:rsidR="001B45C2" w:rsidRPr="002E7872">
        <w:rPr>
          <w:rFonts w:ascii="Arial" w:hAnsi="Arial" w:cs="Arial"/>
          <w:sz w:val="22"/>
          <w:szCs w:val="22"/>
        </w:rPr>
        <w:t xml:space="preserve">.  </w:t>
      </w:r>
      <w:r w:rsidR="00DC2A71" w:rsidRPr="002E7872">
        <w:rPr>
          <w:rFonts w:ascii="Arial" w:hAnsi="Arial" w:cs="Arial"/>
          <w:sz w:val="22"/>
          <w:szCs w:val="22"/>
          <w:lang w:val="en-US"/>
        </w:rPr>
        <w:t xml:space="preserve">In making this recommendation the PBAC recalled </w:t>
      </w:r>
      <w:r w:rsidR="0015762F" w:rsidRPr="002E7872">
        <w:rPr>
          <w:rFonts w:ascii="Arial" w:hAnsi="Arial" w:cs="Arial"/>
          <w:sz w:val="22"/>
          <w:szCs w:val="22"/>
          <w:lang w:val="en-US"/>
        </w:rPr>
        <w:t xml:space="preserve">that it had previously concluded </w:t>
      </w:r>
      <w:proofErr w:type="spellStart"/>
      <w:r w:rsidR="0015762F" w:rsidRPr="002E7872">
        <w:rPr>
          <w:rFonts w:ascii="Arial" w:hAnsi="Arial" w:cs="Arial"/>
          <w:sz w:val="22"/>
          <w:szCs w:val="22"/>
          <w:lang w:val="en-US"/>
        </w:rPr>
        <w:t>dapagliflozin</w:t>
      </w:r>
      <w:proofErr w:type="spellEnd"/>
      <w:r w:rsidR="0015762F" w:rsidRPr="002E7872">
        <w:rPr>
          <w:rFonts w:ascii="Arial" w:hAnsi="Arial" w:cs="Arial"/>
          <w:sz w:val="22"/>
          <w:szCs w:val="22"/>
          <w:lang w:val="en-US"/>
        </w:rPr>
        <w:t xml:space="preserve"> to be non-inferior to </w:t>
      </w:r>
      <w:proofErr w:type="spellStart"/>
      <w:r w:rsidR="0015762F" w:rsidRPr="002E7872">
        <w:rPr>
          <w:rFonts w:ascii="Arial" w:hAnsi="Arial" w:cs="Arial"/>
          <w:sz w:val="22"/>
          <w:szCs w:val="22"/>
          <w:lang w:val="en-US"/>
        </w:rPr>
        <w:t>sitagliptin</w:t>
      </w:r>
      <w:proofErr w:type="spellEnd"/>
      <w:r w:rsidR="0015762F" w:rsidRPr="002E7872">
        <w:rPr>
          <w:rFonts w:ascii="Arial" w:hAnsi="Arial" w:cs="Arial"/>
          <w:sz w:val="22"/>
          <w:szCs w:val="22"/>
          <w:lang w:val="en-US"/>
        </w:rPr>
        <w:t xml:space="preserve"> in terms of comparative effectiveness, </w:t>
      </w:r>
      <w:r w:rsidR="00DC2A71" w:rsidRPr="002E7872">
        <w:rPr>
          <w:rFonts w:ascii="Arial" w:hAnsi="Arial" w:cs="Arial"/>
          <w:sz w:val="22"/>
          <w:szCs w:val="22"/>
          <w:lang w:val="en-US"/>
        </w:rPr>
        <w:t xml:space="preserve">but to be associated with higher rates of genital </w:t>
      </w:r>
      <w:proofErr w:type="spellStart"/>
      <w:r w:rsidR="00DC2A71" w:rsidRPr="002E7872">
        <w:rPr>
          <w:rFonts w:ascii="Arial" w:hAnsi="Arial" w:cs="Arial"/>
          <w:sz w:val="22"/>
          <w:szCs w:val="22"/>
          <w:lang w:val="en-US"/>
        </w:rPr>
        <w:t>mycotic</w:t>
      </w:r>
      <w:proofErr w:type="spellEnd"/>
      <w:r w:rsidR="00DC2A71" w:rsidRPr="002E7872">
        <w:rPr>
          <w:rFonts w:ascii="Arial" w:hAnsi="Arial" w:cs="Arial"/>
          <w:sz w:val="22"/>
          <w:szCs w:val="22"/>
          <w:lang w:val="en-US"/>
        </w:rPr>
        <w:t xml:space="preserve"> infections and osmotic diuresis associated events compared with </w:t>
      </w:r>
      <w:proofErr w:type="spellStart"/>
      <w:r w:rsidR="00DC2A71" w:rsidRPr="002E7872">
        <w:rPr>
          <w:rFonts w:ascii="Arial" w:hAnsi="Arial" w:cs="Arial"/>
          <w:sz w:val="22"/>
          <w:szCs w:val="22"/>
          <w:lang w:val="en-US"/>
        </w:rPr>
        <w:t>sitagliptin</w:t>
      </w:r>
      <w:proofErr w:type="spellEnd"/>
      <w:r w:rsidR="00727845" w:rsidRPr="002E7872">
        <w:rPr>
          <w:rFonts w:ascii="Arial" w:hAnsi="Arial" w:cs="Arial"/>
          <w:sz w:val="22"/>
          <w:szCs w:val="22"/>
          <w:lang w:val="en-US"/>
        </w:rPr>
        <w:t>.</w:t>
      </w:r>
      <w:r w:rsidR="001B45C2" w:rsidRPr="002E7872">
        <w:rPr>
          <w:rFonts w:ascii="Arial" w:hAnsi="Arial" w:cs="Arial"/>
          <w:sz w:val="22"/>
          <w:szCs w:val="22"/>
          <w:lang w:val="en-US"/>
        </w:rPr>
        <w:t xml:space="preserve"> </w:t>
      </w:r>
      <w:r w:rsidR="001B45C2" w:rsidRPr="002E7872">
        <w:rPr>
          <w:rFonts w:ascii="Arial" w:hAnsi="Arial" w:cs="Arial"/>
          <w:sz w:val="22"/>
          <w:szCs w:val="22"/>
        </w:rPr>
        <w:t xml:space="preserve">The PBAC considered that with such an alignment of restrictions that </w:t>
      </w:r>
      <w:proofErr w:type="spellStart"/>
      <w:r w:rsidR="001B45C2" w:rsidRPr="002E7872">
        <w:rPr>
          <w:rFonts w:ascii="Arial" w:hAnsi="Arial" w:cs="Arial"/>
          <w:sz w:val="22"/>
          <w:szCs w:val="22"/>
        </w:rPr>
        <w:t>dapagliflozin</w:t>
      </w:r>
      <w:proofErr w:type="spellEnd"/>
      <w:r w:rsidR="001B45C2" w:rsidRPr="002E7872">
        <w:rPr>
          <w:rFonts w:ascii="Arial" w:hAnsi="Arial" w:cs="Arial"/>
          <w:sz w:val="22"/>
          <w:szCs w:val="22"/>
        </w:rPr>
        <w:t xml:space="preserve"> and </w:t>
      </w:r>
      <w:proofErr w:type="spellStart"/>
      <w:r w:rsidR="001B45C2" w:rsidRPr="002E7872">
        <w:rPr>
          <w:rFonts w:ascii="Arial" w:hAnsi="Arial" w:cs="Arial"/>
          <w:sz w:val="22"/>
          <w:szCs w:val="22"/>
        </w:rPr>
        <w:t>dapagliflozin</w:t>
      </w:r>
      <w:proofErr w:type="spellEnd"/>
      <w:r w:rsidR="001B45C2" w:rsidRPr="002E7872">
        <w:rPr>
          <w:rFonts w:ascii="Arial" w:hAnsi="Arial" w:cs="Arial"/>
          <w:sz w:val="22"/>
          <w:szCs w:val="22"/>
        </w:rPr>
        <w:t xml:space="preserve">/metformin XR would be cost effective if their prices were also aligned with the </w:t>
      </w:r>
      <w:proofErr w:type="spellStart"/>
      <w:r w:rsidR="001B45C2" w:rsidRPr="002E7872">
        <w:rPr>
          <w:rFonts w:ascii="Arial" w:hAnsi="Arial" w:cs="Arial"/>
          <w:sz w:val="22"/>
          <w:szCs w:val="22"/>
        </w:rPr>
        <w:t>gliptins</w:t>
      </w:r>
      <w:proofErr w:type="spellEnd"/>
      <w:r w:rsidR="001D4227" w:rsidRPr="002E7872">
        <w:rPr>
          <w:rFonts w:ascii="Arial" w:hAnsi="Arial" w:cs="Arial"/>
          <w:sz w:val="22"/>
          <w:szCs w:val="22"/>
        </w:rPr>
        <w:t xml:space="preserve"> and </w:t>
      </w:r>
      <w:proofErr w:type="spellStart"/>
      <w:r w:rsidR="001D4227" w:rsidRPr="002E7872">
        <w:rPr>
          <w:rFonts w:ascii="Arial" w:hAnsi="Arial" w:cs="Arial"/>
          <w:sz w:val="22"/>
          <w:szCs w:val="22"/>
        </w:rPr>
        <w:t>gliptin</w:t>
      </w:r>
      <w:proofErr w:type="spellEnd"/>
      <w:r w:rsidR="001D4227" w:rsidRPr="002E7872">
        <w:rPr>
          <w:rFonts w:ascii="Arial" w:hAnsi="Arial" w:cs="Arial"/>
          <w:sz w:val="22"/>
          <w:szCs w:val="22"/>
        </w:rPr>
        <w:t>/metformin FDC respectively</w:t>
      </w:r>
      <w:r w:rsidR="001B45C2" w:rsidRPr="002E7872">
        <w:rPr>
          <w:rFonts w:ascii="Arial" w:hAnsi="Arial" w:cs="Arial"/>
          <w:sz w:val="22"/>
          <w:szCs w:val="22"/>
          <w:lang w:val="en-US"/>
        </w:rPr>
        <w:t xml:space="preserve">, but noting the </w:t>
      </w:r>
      <w:proofErr w:type="spellStart"/>
      <w:r w:rsidR="001B45C2" w:rsidRPr="002E7872">
        <w:rPr>
          <w:rFonts w:ascii="Arial" w:hAnsi="Arial" w:cs="Arial"/>
          <w:sz w:val="22"/>
          <w:szCs w:val="22"/>
          <w:lang w:val="en-US"/>
        </w:rPr>
        <w:t>dapagliflozin</w:t>
      </w:r>
      <w:proofErr w:type="spellEnd"/>
      <w:r w:rsidR="001B45C2" w:rsidRPr="002E7872">
        <w:rPr>
          <w:rFonts w:ascii="Arial" w:hAnsi="Arial" w:cs="Arial"/>
          <w:sz w:val="22"/>
          <w:szCs w:val="22"/>
          <w:lang w:val="en-US"/>
        </w:rPr>
        <w:t xml:space="preserve"> price would require adjustment to take into account the current cost offset for adverse events.  </w:t>
      </w:r>
    </w:p>
    <w:p w:rsidR="00F03DC5" w:rsidRPr="001D4227" w:rsidRDefault="00F03DC5" w:rsidP="00F03DC5">
      <w:pPr>
        <w:jc w:val="both"/>
        <w:rPr>
          <w:rFonts w:ascii="Arial" w:hAnsi="Arial" w:cs="Arial"/>
          <w:sz w:val="22"/>
          <w:szCs w:val="22"/>
        </w:rPr>
      </w:pPr>
    </w:p>
    <w:p w:rsidR="00DC2A71" w:rsidRPr="002E7872" w:rsidRDefault="0015762F" w:rsidP="002E7872">
      <w:pPr>
        <w:pStyle w:val="ListParagraph"/>
        <w:numPr>
          <w:ilvl w:val="1"/>
          <w:numId w:val="1"/>
        </w:numPr>
        <w:jc w:val="both"/>
        <w:rPr>
          <w:rFonts w:ascii="Arial" w:hAnsi="Arial"/>
          <w:sz w:val="22"/>
          <w:szCs w:val="22"/>
        </w:rPr>
      </w:pPr>
      <w:r w:rsidRPr="002E7872">
        <w:rPr>
          <w:rFonts w:ascii="Arial" w:hAnsi="Arial" w:cs="Arial"/>
          <w:sz w:val="22"/>
          <w:szCs w:val="22"/>
        </w:rPr>
        <w:t>For the reasons provided in Section 6</w:t>
      </w:r>
      <w:r w:rsidR="00A513DE" w:rsidRPr="002E7872">
        <w:rPr>
          <w:rFonts w:ascii="Arial" w:hAnsi="Arial" w:cs="Arial"/>
          <w:sz w:val="22"/>
          <w:szCs w:val="22"/>
        </w:rPr>
        <w:t>,</w:t>
      </w:r>
      <w:r w:rsidR="00A05BD4" w:rsidRPr="002E7872">
        <w:rPr>
          <w:rFonts w:ascii="Arial" w:hAnsi="Arial" w:cs="Arial"/>
          <w:sz w:val="22"/>
          <w:szCs w:val="22"/>
        </w:rPr>
        <w:t xml:space="preserve"> t</w:t>
      </w:r>
      <w:r w:rsidR="00346340" w:rsidRPr="002E7872">
        <w:rPr>
          <w:rFonts w:ascii="Arial" w:hAnsi="Arial" w:cs="Arial"/>
          <w:sz w:val="22"/>
          <w:szCs w:val="22"/>
        </w:rPr>
        <w:t xml:space="preserve">he PBAC considered </w:t>
      </w:r>
      <w:r w:rsidR="00A05BD4" w:rsidRPr="002E7872">
        <w:rPr>
          <w:rFonts w:ascii="Arial" w:hAnsi="Arial" w:cs="Arial"/>
          <w:sz w:val="22"/>
          <w:szCs w:val="22"/>
        </w:rPr>
        <w:t>that the price of the metformin component should be based on metformin IR</w:t>
      </w:r>
      <w:r w:rsidR="00DC2A71" w:rsidRPr="002E7872">
        <w:rPr>
          <w:rFonts w:ascii="Arial" w:hAnsi="Arial" w:cs="Arial"/>
          <w:sz w:val="22"/>
          <w:szCs w:val="22"/>
        </w:rPr>
        <w:t>.</w:t>
      </w:r>
      <w:r w:rsidR="00A05BD4" w:rsidRPr="002E7872">
        <w:rPr>
          <w:rFonts w:ascii="Arial" w:hAnsi="Arial" w:cs="Arial"/>
          <w:sz w:val="22"/>
          <w:szCs w:val="22"/>
        </w:rPr>
        <w:t xml:space="preserve"> </w:t>
      </w:r>
    </w:p>
    <w:p w:rsidR="0088566D" w:rsidRPr="001D4227" w:rsidRDefault="0088566D" w:rsidP="001E3DDD">
      <w:pPr>
        <w:pStyle w:val="ListParagraph"/>
        <w:ind w:left="709"/>
        <w:jc w:val="both"/>
        <w:rPr>
          <w:rFonts w:ascii="Arial" w:hAnsi="Arial" w:cs="Arial"/>
          <w:sz w:val="22"/>
          <w:szCs w:val="22"/>
        </w:rPr>
      </w:pPr>
    </w:p>
    <w:p w:rsidR="00BB7EC3" w:rsidRPr="002E7872" w:rsidRDefault="00DC2A71" w:rsidP="002E7872">
      <w:pPr>
        <w:pStyle w:val="ListParagraph"/>
        <w:numPr>
          <w:ilvl w:val="1"/>
          <w:numId w:val="1"/>
        </w:numPr>
        <w:jc w:val="both"/>
        <w:rPr>
          <w:rFonts w:ascii="Arial" w:hAnsi="Arial"/>
          <w:sz w:val="22"/>
          <w:szCs w:val="22"/>
        </w:rPr>
      </w:pPr>
      <w:r w:rsidRPr="002E7872">
        <w:rPr>
          <w:rFonts w:ascii="Arial" w:hAnsi="Arial" w:cs="Arial"/>
          <w:sz w:val="22"/>
          <w:szCs w:val="22"/>
        </w:rPr>
        <w:t>For the reasons provi</w:t>
      </w:r>
      <w:r w:rsidR="001B45C2" w:rsidRPr="002E7872">
        <w:rPr>
          <w:rFonts w:ascii="Arial" w:hAnsi="Arial" w:cs="Arial"/>
          <w:sz w:val="22"/>
          <w:szCs w:val="22"/>
        </w:rPr>
        <w:t>ded</w:t>
      </w:r>
      <w:r w:rsidRPr="002E7872">
        <w:rPr>
          <w:rFonts w:ascii="Arial" w:hAnsi="Arial" w:cs="Arial"/>
          <w:sz w:val="22"/>
          <w:szCs w:val="22"/>
        </w:rPr>
        <w:t xml:space="preserve"> in Section 6, t</w:t>
      </w:r>
      <w:r w:rsidR="00EC55BC" w:rsidRPr="002E7872">
        <w:rPr>
          <w:rFonts w:ascii="Arial" w:hAnsi="Arial" w:cs="Arial"/>
          <w:sz w:val="22"/>
          <w:szCs w:val="22"/>
        </w:rPr>
        <w:t xml:space="preserve">he PBAC considered that </w:t>
      </w:r>
      <w:r w:rsidR="004F2BB6" w:rsidRPr="002E7872">
        <w:rPr>
          <w:rFonts w:ascii="Arial" w:hAnsi="Arial" w:cs="Arial"/>
          <w:sz w:val="22"/>
          <w:szCs w:val="22"/>
        </w:rPr>
        <w:t xml:space="preserve">a RSA was not required for </w:t>
      </w:r>
      <w:proofErr w:type="spellStart"/>
      <w:r w:rsidR="004F2BB6" w:rsidRPr="002E7872">
        <w:rPr>
          <w:rFonts w:ascii="Arial" w:hAnsi="Arial" w:cs="Arial"/>
          <w:sz w:val="22"/>
          <w:szCs w:val="22"/>
        </w:rPr>
        <w:t>dapagliflozin</w:t>
      </w:r>
      <w:proofErr w:type="spellEnd"/>
      <w:r w:rsidR="004F2BB6" w:rsidRPr="002E7872">
        <w:rPr>
          <w:rFonts w:ascii="Arial" w:hAnsi="Arial" w:cs="Arial"/>
          <w:sz w:val="22"/>
          <w:szCs w:val="22"/>
        </w:rPr>
        <w:t xml:space="preserve"> and </w:t>
      </w:r>
      <w:proofErr w:type="spellStart"/>
      <w:r w:rsidR="004F2BB6" w:rsidRPr="002E7872">
        <w:rPr>
          <w:rFonts w:ascii="Arial" w:hAnsi="Arial" w:cs="Arial"/>
          <w:sz w:val="22"/>
          <w:szCs w:val="22"/>
        </w:rPr>
        <w:t>dapagliflozin</w:t>
      </w:r>
      <w:proofErr w:type="spellEnd"/>
      <w:r w:rsidR="004F2BB6" w:rsidRPr="002E7872">
        <w:rPr>
          <w:rFonts w:ascii="Arial" w:hAnsi="Arial" w:cs="Arial"/>
          <w:sz w:val="22"/>
          <w:szCs w:val="22"/>
        </w:rPr>
        <w:t>/metformin XR</w:t>
      </w:r>
      <w:r w:rsidRPr="002E7872">
        <w:rPr>
          <w:rFonts w:ascii="Arial" w:hAnsi="Arial" w:cs="Arial"/>
          <w:sz w:val="22"/>
          <w:szCs w:val="22"/>
        </w:rPr>
        <w:t xml:space="preserve"> if listed with a</w:t>
      </w:r>
      <w:r w:rsidR="00AD3817" w:rsidRPr="002E7872">
        <w:rPr>
          <w:rFonts w:ascii="Arial" w:hAnsi="Arial" w:cs="Arial"/>
          <w:sz w:val="22"/>
          <w:szCs w:val="22"/>
        </w:rPr>
        <w:t xml:space="preserve"> second-line </w:t>
      </w:r>
      <w:r w:rsidRPr="002E7872">
        <w:rPr>
          <w:rFonts w:ascii="Arial" w:hAnsi="Arial" w:cs="Arial"/>
          <w:sz w:val="22"/>
          <w:szCs w:val="22"/>
        </w:rPr>
        <w:t>restriction and price.</w:t>
      </w:r>
    </w:p>
    <w:p w:rsidR="005F09CC" w:rsidRPr="001D4227" w:rsidRDefault="005F09CC" w:rsidP="005F09CC">
      <w:pPr>
        <w:pStyle w:val="ListParagraph"/>
        <w:rPr>
          <w:rFonts w:ascii="Arial" w:hAnsi="Arial" w:cs="Arial"/>
          <w:sz w:val="22"/>
          <w:szCs w:val="22"/>
        </w:rPr>
      </w:pPr>
    </w:p>
    <w:p w:rsidR="005F09CC" w:rsidRPr="002E7872" w:rsidRDefault="00BB7EC3" w:rsidP="002E7872">
      <w:pPr>
        <w:pStyle w:val="ListParagraph"/>
        <w:numPr>
          <w:ilvl w:val="1"/>
          <w:numId w:val="1"/>
        </w:numPr>
        <w:jc w:val="both"/>
        <w:rPr>
          <w:rFonts w:ascii="Arial" w:hAnsi="Arial"/>
          <w:sz w:val="22"/>
          <w:szCs w:val="22"/>
        </w:rPr>
      </w:pPr>
      <w:r w:rsidRPr="002E7872">
        <w:rPr>
          <w:rFonts w:ascii="Arial" w:hAnsi="Arial" w:cs="Arial"/>
          <w:sz w:val="22"/>
          <w:szCs w:val="22"/>
        </w:rPr>
        <w:lastRenderedPageBreak/>
        <w:t xml:space="preserve">The PBAC advised that </w:t>
      </w:r>
      <w:proofErr w:type="spellStart"/>
      <w:r w:rsidR="009C0D05" w:rsidRPr="002E7872">
        <w:rPr>
          <w:rFonts w:ascii="Arial" w:hAnsi="Arial" w:cs="Arial"/>
          <w:sz w:val="22"/>
          <w:szCs w:val="22"/>
        </w:rPr>
        <w:t>dapagliflozin</w:t>
      </w:r>
      <w:proofErr w:type="spellEnd"/>
      <w:r w:rsidR="009C0D05" w:rsidRPr="002E7872">
        <w:rPr>
          <w:rFonts w:ascii="Arial" w:hAnsi="Arial" w:cs="Arial"/>
          <w:sz w:val="22"/>
          <w:szCs w:val="22"/>
        </w:rPr>
        <w:t xml:space="preserve">/metformin XR FDC is suitable </w:t>
      </w:r>
      <w:r w:rsidRPr="002E7872">
        <w:rPr>
          <w:rFonts w:ascii="Arial" w:hAnsi="Arial" w:cs="Arial"/>
          <w:sz w:val="22"/>
          <w:szCs w:val="22"/>
        </w:rPr>
        <w:t xml:space="preserve">for prescribing by </w:t>
      </w:r>
      <w:r w:rsidR="00B43E90" w:rsidRPr="002E7872">
        <w:rPr>
          <w:rFonts w:ascii="Arial" w:hAnsi="Arial" w:cs="Arial"/>
          <w:sz w:val="22"/>
          <w:szCs w:val="22"/>
        </w:rPr>
        <w:t>nurse practitioner</w:t>
      </w:r>
      <w:r w:rsidRPr="002E7872">
        <w:rPr>
          <w:rFonts w:ascii="Arial" w:hAnsi="Arial" w:cs="Arial"/>
          <w:sz w:val="22"/>
          <w:szCs w:val="22"/>
        </w:rPr>
        <w:t>s</w:t>
      </w:r>
      <w:r w:rsidR="005F09CC" w:rsidRPr="002E7872">
        <w:rPr>
          <w:rFonts w:ascii="Arial" w:hAnsi="Arial" w:cs="Arial"/>
          <w:sz w:val="22"/>
          <w:szCs w:val="22"/>
        </w:rPr>
        <w:t xml:space="preserve"> for continuing therapy only where a patient has </w:t>
      </w:r>
      <w:r w:rsidR="005F09CC" w:rsidRPr="002E7872">
        <w:rPr>
          <w:rFonts w:ascii="Arial" w:hAnsi="Arial" w:cs="Arial"/>
          <w:color w:val="000000"/>
          <w:sz w:val="22"/>
          <w:szCs w:val="22"/>
          <w:shd w:val="clear" w:color="auto" w:fill="FFFFFF"/>
        </w:rPr>
        <w:t>been initiated by a medical practitioner.</w:t>
      </w:r>
    </w:p>
    <w:p w:rsidR="00BB7EC3" w:rsidRPr="001D4227" w:rsidRDefault="00BB7EC3" w:rsidP="005F09CC">
      <w:pPr>
        <w:jc w:val="both"/>
        <w:rPr>
          <w:rFonts w:ascii="Arial" w:hAnsi="Arial" w:cs="Arial"/>
          <w:sz w:val="22"/>
          <w:szCs w:val="22"/>
        </w:rPr>
      </w:pPr>
    </w:p>
    <w:p w:rsidR="00BB7EC3" w:rsidRPr="002E7872" w:rsidRDefault="00BB7EC3" w:rsidP="002E7872">
      <w:pPr>
        <w:pStyle w:val="ListParagraph"/>
        <w:numPr>
          <w:ilvl w:val="1"/>
          <w:numId w:val="1"/>
        </w:numPr>
        <w:jc w:val="both"/>
        <w:rPr>
          <w:rFonts w:ascii="Arial" w:hAnsi="Arial"/>
          <w:sz w:val="22"/>
          <w:szCs w:val="22"/>
        </w:rPr>
      </w:pPr>
      <w:r w:rsidRPr="002E7872">
        <w:rPr>
          <w:rFonts w:ascii="Arial" w:hAnsi="Arial" w:cs="Arial"/>
          <w:sz w:val="22"/>
          <w:szCs w:val="22"/>
        </w:rPr>
        <w:t>The PBAC recommended that the Safety Net 20 Day Rule should apply.</w:t>
      </w:r>
      <w:r w:rsidR="00B43E90" w:rsidRPr="002E7872">
        <w:rPr>
          <w:rFonts w:ascii="Arial" w:hAnsi="Arial" w:cs="Arial"/>
          <w:sz w:val="22"/>
          <w:szCs w:val="22"/>
        </w:rPr>
        <w:t xml:space="preserve"> </w:t>
      </w:r>
    </w:p>
    <w:p w:rsidR="00BB7EC3" w:rsidRDefault="00BB7EC3" w:rsidP="00BB7EC3">
      <w:pPr>
        <w:pStyle w:val="ListParagraph"/>
        <w:rPr>
          <w:rFonts w:ascii="Arial" w:hAnsi="Arial"/>
          <w:sz w:val="22"/>
          <w:szCs w:val="22"/>
        </w:rPr>
      </w:pPr>
    </w:p>
    <w:p w:rsidR="00CB540B" w:rsidRPr="001D4227" w:rsidRDefault="00CB540B" w:rsidP="00BB7EC3">
      <w:pPr>
        <w:pStyle w:val="ListParagraph"/>
        <w:rPr>
          <w:rFonts w:ascii="Arial" w:hAnsi="Arial"/>
          <w:sz w:val="22"/>
          <w:szCs w:val="22"/>
        </w:rPr>
      </w:pPr>
    </w:p>
    <w:p w:rsidR="009C703C" w:rsidRPr="001D4227" w:rsidRDefault="009C703C" w:rsidP="00882085">
      <w:pPr>
        <w:jc w:val="both"/>
        <w:rPr>
          <w:rFonts w:ascii="Arial" w:hAnsi="Arial"/>
          <w:b/>
          <w:sz w:val="22"/>
          <w:szCs w:val="22"/>
        </w:rPr>
      </w:pPr>
      <w:r w:rsidRPr="001D4227">
        <w:rPr>
          <w:rFonts w:ascii="Arial" w:hAnsi="Arial"/>
          <w:b/>
          <w:sz w:val="22"/>
          <w:szCs w:val="22"/>
        </w:rPr>
        <w:t>Outcome:</w:t>
      </w:r>
    </w:p>
    <w:p w:rsidR="00BB7EC3" w:rsidRPr="001D4227" w:rsidRDefault="009C703C" w:rsidP="00882085">
      <w:pPr>
        <w:jc w:val="both"/>
        <w:rPr>
          <w:rFonts w:ascii="Arial" w:hAnsi="Arial"/>
          <w:sz w:val="22"/>
          <w:szCs w:val="22"/>
        </w:rPr>
      </w:pPr>
      <w:r w:rsidRPr="001D4227">
        <w:rPr>
          <w:rFonts w:ascii="Arial" w:hAnsi="Arial"/>
          <w:sz w:val="22"/>
          <w:szCs w:val="22"/>
        </w:rPr>
        <w:t xml:space="preserve">Recommended </w:t>
      </w:r>
    </w:p>
    <w:p w:rsidR="00E16910" w:rsidRDefault="00E16910" w:rsidP="00882085">
      <w:pPr>
        <w:jc w:val="both"/>
        <w:rPr>
          <w:rFonts w:ascii="Arial" w:hAnsi="Arial"/>
          <w:sz w:val="22"/>
          <w:szCs w:val="22"/>
        </w:rPr>
      </w:pPr>
    </w:p>
    <w:p w:rsidR="002E7872" w:rsidRPr="001D4227" w:rsidRDefault="002E7872" w:rsidP="00882085">
      <w:pPr>
        <w:jc w:val="both"/>
        <w:rPr>
          <w:rFonts w:ascii="Arial" w:hAnsi="Arial"/>
          <w:sz w:val="22"/>
          <w:szCs w:val="22"/>
        </w:rPr>
      </w:pPr>
    </w:p>
    <w:p w:rsidR="002E7872" w:rsidRPr="00407F2D" w:rsidRDefault="002E7872" w:rsidP="002E7872">
      <w:pPr>
        <w:pStyle w:val="ListParagraph"/>
        <w:numPr>
          <w:ilvl w:val="0"/>
          <w:numId w:val="1"/>
        </w:numPr>
        <w:jc w:val="both"/>
        <w:rPr>
          <w:rFonts w:ascii="Arial" w:hAnsi="Arial"/>
          <w:b/>
          <w:sz w:val="22"/>
          <w:szCs w:val="22"/>
        </w:rPr>
      </w:pPr>
      <w:r w:rsidRPr="00407F2D">
        <w:rPr>
          <w:rFonts w:ascii="Arial" w:hAnsi="Arial" w:cs="Arial"/>
          <w:b/>
          <w:sz w:val="22"/>
          <w:szCs w:val="22"/>
        </w:rPr>
        <w:t>Recommended listing</w:t>
      </w:r>
    </w:p>
    <w:p w:rsidR="006906DB" w:rsidRPr="001D4227" w:rsidRDefault="006906DB" w:rsidP="00882085">
      <w:pPr>
        <w:jc w:val="both"/>
        <w:rPr>
          <w:rFonts w:ascii="Arial" w:hAnsi="Arial"/>
          <w:sz w:val="22"/>
          <w:szCs w:val="22"/>
        </w:rPr>
      </w:pPr>
    </w:p>
    <w:p w:rsidR="00096C1C" w:rsidRPr="00E36E3E" w:rsidRDefault="00D0321E" w:rsidP="00096C1C">
      <w:pPr>
        <w:pStyle w:val="ListParagraph"/>
        <w:numPr>
          <w:ilvl w:val="1"/>
          <w:numId w:val="1"/>
        </w:numPr>
        <w:jc w:val="both"/>
        <w:rPr>
          <w:rFonts w:ascii="Arial Narrow" w:hAnsi="Arial Narrow"/>
          <w:sz w:val="20"/>
          <w:szCs w:val="20"/>
        </w:rPr>
      </w:pPr>
      <w:r w:rsidRPr="00E36E3E">
        <w:rPr>
          <w:rFonts w:ascii="Arial Narrow" w:hAnsi="Arial Narrow"/>
          <w:sz w:val="20"/>
          <w:szCs w:val="20"/>
        </w:rPr>
        <w:t>Add new item:</w:t>
      </w:r>
    </w:p>
    <w:p w:rsidR="00096C1C" w:rsidRPr="00E36E3E" w:rsidRDefault="00096C1C" w:rsidP="00096C1C">
      <w:pPr>
        <w:pStyle w:val="ListParagraph"/>
        <w:ind w:left="360"/>
        <w:jc w:val="both"/>
        <w:rPr>
          <w:rFonts w:ascii="Arial Narrow" w:hAnsi="Arial Narrow"/>
          <w:sz w:val="20"/>
          <w:szCs w:val="20"/>
        </w:rPr>
      </w:pPr>
    </w:p>
    <w:tbl>
      <w:tblPr>
        <w:tblW w:w="8121" w:type="dxa"/>
        <w:tblInd w:w="817" w:type="dxa"/>
        <w:tblLayout w:type="fixed"/>
        <w:tblLook w:val="0000" w:firstRow="0" w:lastRow="0" w:firstColumn="0" w:lastColumn="0" w:noHBand="0" w:noVBand="0"/>
        <w:tblDescription w:val="listing - dapagliflozin"/>
      </w:tblPr>
      <w:tblGrid>
        <w:gridCol w:w="3877"/>
        <w:gridCol w:w="848"/>
        <w:gridCol w:w="679"/>
        <w:gridCol w:w="1869"/>
        <w:gridCol w:w="848"/>
      </w:tblGrid>
      <w:tr w:rsidR="00096C1C" w:rsidRPr="00E36E3E" w:rsidTr="0035514A">
        <w:trPr>
          <w:cantSplit/>
          <w:trHeight w:val="546"/>
        </w:trPr>
        <w:tc>
          <w:tcPr>
            <w:tcW w:w="3877" w:type="dxa"/>
            <w:tcBorders>
              <w:bottom w:val="single" w:sz="4" w:space="0" w:color="auto"/>
            </w:tcBorders>
          </w:tcPr>
          <w:p w:rsidR="00096C1C" w:rsidRPr="00E36E3E" w:rsidRDefault="00096C1C" w:rsidP="0035514A">
            <w:pPr>
              <w:keepNext/>
              <w:ind w:left="-108"/>
              <w:jc w:val="both"/>
              <w:rPr>
                <w:rFonts w:ascii="Arial Narrow" w:hAnsi="Arial Narrow" w:cs="Arial"/>
                <w:sz w:val="20"/>
                <w:szCs w:val="20"/>
              </w:rPr>
            </w:pPr>
            <w:r w:rsidRPr="00E36E3E">
              <w:rPr>
                <w:rFonts w:ascii="Arial Narrow" w:hAnsi="Arial Narrow" w:cs="Arial"/>
                <w:sz w:val="20"/>
                <w:szCs w:val="20"/>
              </w:rPr>
              <w:t>Name, Restriction,</w:t>
            </w:r>
          </w:p>
          <w:p w:rsidR="00096C1C" w:rsidRPr="00E36E3E" w:rsidRDefault="00096C1C" w:rsidP="0035514A">
            <w:pPr>
              <w:keepNext/>
              <w:ind w:left="-108"/>
              <w:jc w:val="both"/>
              <w:rPr>
                <w:rFonts w:ascii="Arial Narrow" w:hAnsi="Arial Narrow" w:cs="Arial"/>
                <w:sz w:val="20"/>
                <w:szCs w:val="20"/>
              </w:rPr>
            </w:pPr>
            <w:r w:rsidRPr="00E36E3E">
              <w:rPr>
                <w:rFonts w:ascii="Arial Narrow" w:hAnsi="Arial Narrow" w:cs="Arial"/>
                <w:sz w:val="20"/>
                <w:szCs w:val="20"/>
              </w:rPr>
              <w:t>Manner of administration and form</w:t>
            </w:r>
          </w:p>
        </w:tc>
        <w:tc>
          <w:tcPr>
            <w:tcW w:w="848" w:type="dxa"/>
            <w:tcBorders>
              <w:bottom w:val="single" w:sz="4" w:space="0" w:color="auto"/>
            </w:tcBorders>
          </w:tcPr>
          <w:p w:rsidR="00096C1C" w:rsidRPr="00E36E3E" w:rsidRDefault="00096C1C" w:rsidP="0035514A">
            <w:pPr>
              <w:keepNext/>
              <w:ind w:left="-108"/>
              <w:jc w:val="both"/>
              <w:rPr>
                <w:rFonts w:ascii="Arial Narrow" w:hAnsi="Arial Narrow" w:cs="Arial"/>
                <w:sz w:val="20"/>
                <w:szCs w:val="20"/>
              </w:rPr>
            </w:pPr>
            <w:r w:rsidRPr="00E36E3E">
              <w:rPr>
                <w:rFonts w:ascii="Arial Narrow" w:hAnsi="Arial Narrow" w:cs="Arial"/>
                <w:sz w:val="20"/>
                <w:szCs w:val="20"/>
              </w:rPr>
              <w:t>Max.</w:t>
            </w:r>
          </w:p>
          <w:p w:rsidR="00096C1C" w:rsidRPr="00E36E3E" w:rsidRDefault="00096C1C" w:rsidP="0035514A">
            <w:pPr>
              <w:keepNext/>
              <w:ind w:left="-108"/>
              <w:jc w:val="both"/>
              <w:rPr>
                <w:rFonts w:ascii="Arial Narrow" w:hAnsi="Arial Narrow" w:cs="Arial"/>
                <w:sz w:val="20"/>
                <w:szCs w:val="20"/>
              </w:rPr>
            </w:pPr>
            <w:proofErr w:type="spellStart"/>
            <w:r w:rsidRPr="00E36E3E">
              <w:rPr>
                <w:rFonts w:ascii="Arial Narrow" w:hAnsi="Arial Narrow" w:cs="Arial"/>
                <w:sz w:val="20"/>
                <w:szCs w:val="20"/>
              </w:rPr>
              <w:t>Qty</w:t>
            </w:r>
            <w:proofErr w:type="spellEnd"/>
          </w:p>
        </w:tc>
        <w:tc>
          <w:tcPr>
            <w:tcW w:w="679" w:type="dxa"/>
            <w:tcBorders>
              <w:bottom w:val="single" w:sz="4" w:space="0" w:color="auto"/>
            </w:tcBorders>
          </w:tcPr>
          <w:p w:rsidR="00096C1C" w:rsidRPr="00E36E3E" w:rsidRDefault="00096C1C" w:rsidP="0035514A">
            <w:pPr>
              <w:keepNext/>
              <w:ind w:left="-108"/>
              <w:jc w:val="both"/>
              <w:rPr>
                <w:rFonts w:ascii="Arial Narrow" w:hAnsi="Arial Narrow" w:cs="Arial"/>
                <w:sz w:val="20"/>
                <w:szCs w:val="20"/>
              </w:rPr>
            </w:pPr>
            <w:r w:rsidRPr="00E36E3E">
              <w:rPr>
                <w:rFonts w:ascii="Arial Narrow" w:hAnsi="Arial Narrow" w:cs="Arial"/>
                <w:sz w:val="20"/>
                <w:szCs w:val="20"/>
              </w:rPr>
              <w:t>№.of</w:t>
            </w:r>
          </w:p>
          <w:p w:rsidR="00096C1C" w:rsidRPr="00E36E3E" w:rsidRDefault="00096C1C" w:rsidP="0035514A">
            <w:pPr>
              <w:keepNext/>
              <w:ind w:left="-108"/>
              <w:jc w:val="both"/>
              <w:rPr>
                <w:rFonts w:ascii="Arial Narrow" w:hAnsi="Arial Narrow" w:cs="Arial"/>
                <w:sz w:val="20"/>
                <w:szCs w:val="20"/>
              </w:rPr>
            </w:pPr>
            <w:proofErr w:type="spellStart"/>
            <w:r w:rsidRPr="00E36E3E">
              <w:rPr>
                <w:rFonts w:ascii="Arial Narrow" w:hAnsi="Arial Narrow" w:cs="Arial"/>
                <w:sz w:val="20"/>
                <w:szCs w:val="20"/>
              </w:rPr>
              <w:t>Rpts</w:t>
            </w:r>
            <w:proofErr w:type="spellEnd"/>
          </w:p>
        </w:tc>
        <w:tc>
          <w:tcPr>
            <w:tcW w:w="2717" w:type="dxa"/>
            <w:gridSpan w:val="2"/>
            <w:tcBorders>
              <w:bottom w:val="single" w:sz="4" w:space="0" w:color="auto"/>
            </w:tcBorders>
          </w:tcPr>
          <w:p w:rsidR="00096C1C" w:rsidRPr="00E36E3E" w:rsidRDefault="00096C1C" w:rsidP="0035514A">
            <w:pPr>
              <w:keepNext/>
              <w:jc w:val="both"/>
              <w:rPr>
                <w:rFonts w:ascii="Arial Narrow" w:hAnsi="Arial Narrow" w:cs="Arial"/>
                <w:sz w:val="20"/>
                <w:szCs w:val="20"/>
                <w:lang w:val="fr-FR"/>
              </w:rPr>
            </w:pPr>
            <w:r w:rsidRPr="00E36E3E">
              <w:rPr>
                <w:rFonts w:ascii="Arial Narrow" w:hAnsi="Arial Narrow" w:cs="Arial"/>
                <w:sz w:val="20"/>
                <w:szCs w:val="20"/>
              </w:rPr>
              <w:t>Proprietary Name and Manufacturer</w:t>
            </w:r>
          </w:p>
        </w:tc>
      </w:tr>
      <w:tr w:rsidR="00096C1C" w:rsidRPr="00E36E3E" w:rsidTr="0035514A">
        <w:trPr>
          <w:cantSplit/>
          <w:trHeight w:val="669"/>
        </w:trPr>
        <w:tc>
          <w:tcPr>
            <w:tcW w:w="3877" w:type="dxa"/>
          </w:tcPr>
          <w:p w:rsidR="00096C1C" w:rsidRPr="00E36E3E" w:rsidRDefault="00096C1C" w:rsidP="0035514A">
            <w:pPr>
              <w:keepNext/>
              <w:ind w:left="-108"/>
              <w:jc w:val="both"/>
              <w:rPr>
                <w:rFonts w:ascii="Arial Narrow" w:hAnsi="Arial Narrow" w:cs="Arial"/>
                <w:sz w:val="20"/>
                <w:szCs w:val="20"/>
              </w:rPr>
            </w:pPr>
            <w:r w:rsidRPr="00E36E3E">
              <w:rPr>
                <w:rFonts w:ascii="Arial Narrow" w:hAnsi="Arial Narrow" w:cs="Arial"/>
                <w:smallCaps/>
                <w:sz w:val="20"/>
                <w:szCs w:val="20"/>
              </w:rPr>
              <w:t>DAPAGLIFLOZIN/METFORMIN</w:t>
            </w:r>
          </w:p>
          <w:p w:rsidR="00096C1C" w:rsidRPr="00E36E3E" w:rsidRDefault="00096C1C" w:rsidP="0035514A">
            <w:pPr>
              <w:keepNext/>
              <w:ind w:left="-108"/>
              <w:jc w:val="both"/>
              <w:rPr>
                <w:rFonts w:ascii="Arial Narrow" w:hAnsi="Arial Narrow" w:cs="Arial"/>
                <w:sz w:val="20"/>
                <w:szCs w:val="20"/>
              </w:rPr>
            </w:pPr>
            <w:proofErr w:type="spellStart"/>
            <w:r w:rsidRPr="00E36E3E">
              <w:rPr>
                <w:rFonts w:ascii="Arial Narrow" w:hAnsi="Arial Narrow" w:cs="Arial"/>
                <w:sz w:val="20"/>
                <w:szCs w:val="20"/>
              </w:rPr>
              <w:t>Dapagliflozin</w:t>
            </w:r>
            <w:proofErr w:type="spellEnd"/>
            <w:r w:rsidRPr="00E36E3E">
              <w:rPr>
                <w:rFonts w:ascii="Arial Narrow" w:hAnsi="Arial Narrow" w:cs="Arial"/>
                <w:sz w:val="20"/>
                <w:szCs w:val="20"/>
              </w:rPr>
              <w:t xml:space="preserve"> 10 mg/metformin XR 500 mg</w:t>
            </w:r>
          </w:p>
          <w:p w:rsidR="00096C1C" w:rsidRPr="00E36E3E" w:rsidRDefault="00096C1C" w:rsidP="0035514A">
            <w:pPr>
              <w:keepNext/>
              <w:ind w:left="-108"/>
              <w:jc w:val="both"/>
              <w:rPr>
                <w:rFonts w:ascii="Arial Narrow" w:hAnsi="Arial Narrow" w:cs="Arial"/>
                <w:sz w:val="20"/>
                <w:szCs w:val="20"/>
              </w:rPr>
            </w:pPr>
          </w:p>
          <w:p w:rsidR="00096C1C" w:rsidRPr="00E36E3E" w:rsidRDefault="00096C1C" w:rsidP="0035514A">
            <w:pPr>
              <w:keepNext/>
              <w:ind w:left="-108"/>
              <w:jc w:val="both"/>
              <w:rPr>
                <w:rFonts w:ascii="Arial Narrow" w:hAnsi="Arial Narrow" w:cs="Arial"/>
                <w:sz w:val="20"/>
                <w:szCs w:val="20"/>
              </w:rPr>
            </w:pPr>
            <w:proofErr w:type="spellStart"/>
            <w:r w:rsidRPr="00E36E3E">
              <w:rPr>
                <w:rFonts w:ascii="Arial Narrow" w:hAnsi="Arial Narrow" w:cs="Arial"/>
                <w:sz w:val="20"/>
                <w:szCs w:val="20"/>
              </w:rPr>
              <w:t>Dapagliflozin</w:t>
            </w:r>
            <w:proofErr w:type="spellEnd"/>
            <w:r w:rsidRPr="00E36E3E">
              <w:rPr>
                <w:rFonts w:ascii="Arial Narrow" w:hAnsi="Arial Narrow" w:cs="Arial"/>
                <w:sz w:val="20"/>
                <w:szCs w:val="20"/>
              </w:rPr>
              <w:t xml:space="preserve"> 10 mg/metformin XR 1000 mg</w:t>
            </w:r>
          </w:p>
          <w:p w:rsidR="00096C1C" w:rsidRPr="00E36E3E" w:rsidRDefault="00096C1C" w:rsidP="0035514A">
            <w:pPr>
              <w:keepNext/>
              <w:ind w:left="-108"/>
              <w:jc w:val="both"/>
              <w:rPr>
                <w:rFonts w:ascii="Arial Narrow" w:hAnsi="Arial Narrow" w:cs="Arial"/>
                <w:sz w:val="20"/>
                <w:szCs w:val="20"/>
              </w:rPr>
            </w:pPr>
          </w:p>
          <w:p w:rsidR="00096C1C" w:rsidRPr="00E36E3E" w:rsidRDefault="00096C1C" w:rsidP="0035514A">
            <w:pPr>
              <w:keepNext/>
              <w:ind w:left="-108"/>
              <w:jc w:val="both"/>
              <w:rPr>
                <w:rFonts w:ascii="Arial Narrow" w:hAnsi="Arial Narrow" w:cs="Arial"/>
                <w:sz w:val="20"/>
                <w:szCs w:val="20"/>
              </w:rPr>
            </w:pPr>
            <w:proofErr w:type="spellStart"/>
            <w:r w:rsidRPr="00E36E3E">
              <w:rPr>
                <w:rFonts w:ascii="Arial Narrow" w:hAnsi="Arial Narrow" w:cs="Arial"/>
                <w:sz w:val="20"/>
                <w:szCs w:val="20"/>
              </w:rPr>
              <w:t>Dapagliflozin</w:t>
            </w:r>
            <w:proofErr w:type="spellEnd"/>
            <w:r w:rsidRPr="00E36E3E">
              <w:rPr>
                <w:rFonts w:ascii="Arial Narrow" w:hAnsi="Arial Narrow" w:cs="Arial"/>
                <w:sz w:val="20"/>
                <w:szCs w:val="20"/>
              </w:rPr>
              <w:t xml:space="preserve"> 5 mg/metformin XR 1000mg </w:t>
            </w:r>
          </w:p>
        </w:tc>
        <w:tc>
          <w:tcPr>
            <w:tcW w:w="848" w:type="dxa"/>
          </w:tcPr>
          <w:p w:rsidR="00096C1C" w:rsidRPr="00E36E3E" w:rsidRDefault="00096C1C" w:rsidP="0035514A">
            <w:pPr>
              <w:keepNext/>
              <w:ind w:left="-108"/>
              <w:jc w:val="both"/>
              <w:rPr>
                <w:rFonts w:ascii="Arial Narrow" w:hAnsi="Arial Narrow" w:cs="Arial"/>
                <w:sz w:val="20"/>
                <w:szCs w:val="20"/>
              </w:rPr>
            </w:pPr>
          </w:p>
          <w:p w:rsidR="00096C1C" w:rsidRPr="00E36E3E" w:rsidRDefault="00096C1C" w:rsidP="0035514A">
            <w:pPr>
              <w:keepNext/>
              <w:ind w:left="-108"/>
              <w:jc w:val="both"/>
              <w:rPr>
                <w:rFonts w:ascii="Arial Narrow" w:hAnsi="Arial Narrow" w:cs="Arial"/>
                <w:sz w:val="20"/>
                <w:szCs w:val="20"/>
              </w:rPr>
            </w:pPr>
            <w:r w:rsidRPr="00E36E3E">
              <w:rPr>
                <w:rFonts w:ascii="Arial Narrow" w:hAnsi="Arial Narrow" w:cs="Arial"/>
                <w:sz w:val="20"/>
                <w:szCs w:val="20"/>
              </w:rPr>
              <w:t>28</w:t>
            </w:r>
          </w:p>
          <w:p w:rsidR="00096C1C" w:rsidRPr="00E36E3E" w:rsidRDefault="00096C1C" w:rsidP="0035514A">
            <w:pPr>
              <w:keepNext/>
              <w:ind w:left="-108"/>
              <w:jc w:val="both"/>
              <w:rPr>
                <w:rFonts w:ascii="Arial Narrow" w:hAnsi="Arial Narrow" w:cs="Arial"/>
                <w:sz w:val="20"/>
                <w:szCs w:val="20"/>
              </w:rPr>
            </w:pPr>
          </w:p>
          <w:p w:rsidR="00096C1C" w:rsidRPr="00E36E3E" w:rsidRDefault="00096C1C" w:rsidP="0035514A">
            <w:pPr>
              <w:keepNext/>
              <w:ind w:left="-108"/>
              <w:jc w:val="both"/>
              <w:rPr>
                <w:rFonts w:ascii="Arial Narrow" w:hAnsi="Arial Narrow" w:cs="Arial"/>
                <w:sz w:val="20"/>
                <w:szCs w:val="20"/>
              </w:rPr>
            </w:pPr>
            <w:r w:rsidRPr="00E36E3E">
              <w:rPr>
                <w:rFonts w:ascii="Arial Narrow" w:hAnsi="Arial Narrow" w:cs="Arial"/>
                <w:sz w:val="20"/>
                <w:szCs w:val="20"/>
              </w:rPr>
              <w:t>28</w:t>
            </w:r>
          </w:p>
          <w:p w:rsidR="00096C1C" w:rsidRPr="00E36E3E" w:rsidRDefault="00096C1C" w:rsidP="0035514A">
            <w:pPr>
              <w:keepNext/>
              <w:ind w:left="-108"/>
              <w:jc w:val="both"/>
              <w:rPr>
                <w:rFonts w:ascii="Arial Narrow" w:hAnsi="Arial Narrow" w:cs="Arial"/>
                <w:sz w:val="20"/>
                <w:szCs w:val="20"/>
              </w:rPr>
            </w:pPr>
          </w:p>
          <w:p w:rsidR="00096C1C" w:rsidRPr="00E36E3E" w:rsidRDefault="00096C1C" w:rsidP="0035514A">
            <w:pPr>
              <w:keepNext/>
              <w:ind w:left="-108"/>
              <w:jc w:val="both"/>
              <w:rPr>
                <w:rFonts w:ascii="Arial Narrow" w:hAnsi="Arial Narrow" w:cs="Arial"/>
                <w:sz w:val="20"/>
                <w:szCs w:val="20"/>
              </w:rPr>
            </w:pPr>
            <w:r w:rsidRPr="00E36E3E">
              <w:rPr>
                <w:rFonts w:ascii="Arial Narrow" w:hAnsi="Arial Narrow" w:cs="Arial"/>
                <w:sz w:val="20"/>
                <w:szCs w:val="20"/>
              </w:rPr>
              <w:t>56</w:t>
            </w:r>
          </w:p>
        </w:tc>
        <w:tc>
          <w:tcPr>
            <w:tcW w:w="679" w:type="dxa"/>
          </w:tcPr>
          <w:p w:rsidR="00096C1C" w:rsidRPr="00E36E3E" w:rsidRDefault="00096C1C" w:rsidP="0035514A">
            <w:pPr>
              <w:keepNext/>
              <w:ind w:left="-108"/>
              <w:jc w:val="both"/>
              <w:rPr>
                <w:rFonts w:ascii="Arial Narrow" w:hAnsi="Arial Narrow" w:cs="Arial"/>
                <w:sz w:val="20"/>
                <w:szCs w:val="20"/>
              </w:rPr>
            </w:pPr>
          </w:p>
          <w:p w:rsidR="00096C1C" w:rsidRPr="00E36E3E" w:rsidRDefault="00096C1C" w:rsidP="0035514A">
            <w:pPr>
              <w:keepNext/>
              <w:ind w:left="-108"/>
              <w:jc w:val="both"/>
              <w:rPr>
                <w:rFonts w:ascii="Arial Narrow" w:hAnsi="Arial Narrow" w:cs="Arial"/>
                <w:sz w:val="20"/>
                <w:szCs w:val="20"/>
              </w:rPr>
            </w:pPr>
            <w:r w:rsidRPr="00E36E3E">
              <w:rPr>
                <w:rFonts w:ascii="Arial Narrow" w:hAnsi="Arial Narrow" w:cs="Arial"/>
                <w:sz w:val="20"/>
                <w:szCs w:val="20"/>
              </w:rPr>
              <w:t>5</w:t>
            </w:r>
          </w:p>
          <w:p w:rsidR="00096C1C" w:rsidRPr="00E36E3E" w:rsidRDefault="00096C1C" w:rsidP="0035514A">
            <w:pPr>
              <w:keepNext/>
              <w:ind w:left="-108"/>
              <w:jc w:val="both"/>
              <w:rPr>
                <w:rFonts w:ascii="Arial Narrow" w:hAnsi="Arial Narrow" w:cs="Arial"/>
                <w:sz w:val="20"/>
                <w:szCs w:val="20"/>
              </w:rPr>
            </w:pPr>
          </w:p>
          <w:p w:rsidR="00096C1C" w:rsidRPr="00E36E3E" w:rsidRDefault="00096C1C" w:rsidP="0035514A">
            <w:pPr>
              <w:keepNext/>
              <w:ind w:left="-108"/>
              <w:jc w:val="both"/>
              <w:rPr>
                <w:rFonts w:ascii="Arial Narrow" w:hAnsi="Arial Narrow" w:cs="Arial"/>
                <w:sz w:val="20"/>
                <w:szCs w:val="20"/>
              </w:rPr>
            </w:pPr>
            <w:r w:rsidRPr="00E36E3E">
              <w:rPr>
                <w:rFonts w:ascii="Arial Narrow" w:hAnsi="Arial Narrow" w:cs="Arial"/>
                <w:sz w:val="20"/>
                <w:szCs w:val="20"/>
              </w:rPr>
              <w:t>5</w:t>
            </w:r>
          </w:p>
          <w:p w:rsidR="00096C1C" w:rsidRPr="00E36E3E" w:rsidRDefault="00096C1C" w:rsidP="0035514A">
            <w:pPr>
              <w:keepNext/>
              <w:ind w:left="-108"/>
              <w:jc w:val="both"/>
              <w:rPr>
                <w:rFonts w:ascii="Arial Narrow" w:hAnsi="Arial Narrow" w:cs="Arial"/>
                <w:sz w:val="20"/>
                <w:szCs w:val="20"/>
              </w:rPr>
            </w:pPr>
          </w:p>
          <w:p w:rsidR="00096C1C" w:rsidRPr="00E36E3E" w:rsidRDefault="00096C1C" w:rsidP="0035514A">
            <w:pPr>
              <w:keepNext/>
              <w:ind w:left="-108"/>
              <w:jc w:val="both"/>
              <w:rPr>
                <w:rFonts w:ascii="Arial Narrow" w:hAnsi="Arial Narrow" w:cs="Arial"/>
                <w:sz w:val="20"/>
                <w:szCs w:val="20"/>
              </w:rPr>
            </w:pPr>
            <w:r w:rsidRPr="00E36E3E">
              <w:rPr>
                <w:rFonts w:ascii="Arial Narrow" w:hAnsi="Arial Narrow" w:cs="Arial"/>
                <w:sz w:val="20"/>
                <w:szCs w:val="20"/>
              </w:rPr>
              <w:t>5</w:t>
            </w:r>
          </w:p>
        </w:tc>
        <w:tc>
          <w:tcPr>
            <w:tcW w:w="1869" w:type="dxa"/>
          </w:tcPr>
          <w:p w:rsidR="00096C1C" w:rsidRPr="00E36E3E" w:rsidRDefault="00096C1C" w:rsidP="0035514A">
            <w:pPr>
              <w:keepNext/>
              <w:jc w:val="both"/>
              <w:rPr>
                <w:rFonts w:ascii="Arial Narrow" w:hAnsi="Arial Narrow" w:cs="Arial"/>
                <w:sz w:val="20"/>
                <w:szCs w:val="20"/>
              </w:rPr>
            </w:pPr>
            <w:proofErr w:type="spellStart"/>
            <w:r w:rsidRPr="00E36E3E">
              <w:rPr>
                <w:rFonts w:ascii="Arial Narrow" w:hAnsi="Arial Narrow" w:cs="Arial"/>
                <w:sz w:val="20"/>
                <w:szCs w:val="20"/>
              </w:rPr>
              <w:t>Xigduo</w:t>
            </w:r>
            <w:proofErr w:type="spellEnd"/>
            <w:r w:rsidRPr="00E36E3E">
              <w:rPr>
                <w:rFonts w:ascii="Arial Narrow" w:hAnsi="Arial Narrow" w:cs="Arial"/>
                <w:sz w:val="20"/>
                <w:szCs w:val="20"/>
              </w:rPr>
              <w:t xml:space="preserve"> XR</w:t>
            </w:r>
          </w:p>
        </w:tc>
        <w:tc>
          <w:tcPr>
            <w:tcW w:w="848" w:type="dxa"/>
          </w:tcPr>
          <w:p w:rsidR="00096C1C" w:rsidRPr="00E36E3E" w:rsidRDefault="00096C1C" w:rsidP="0035514A">
            <w:pPr>
              <w:keepNext/>
              <w:jc w:val="both"/>
              <w:rPr>
                <w:rFonts w:ascii="Arial Narrow" w:hAnsi="Arial Narrow" w:cs="Arial"/>
                <w:sz w:val="20"/>
                <w:szCs w:val="20"/>
              </w:rPr>
            </w:pPr>
            <w:r w:rsidRPr="00E36E3E">
              <w:rPr>
                <w:rFonts w:ascii="Arial Narrow" w:hAnsi="Arial Narrow" w:cs="Arial"/>
                <w:sz w:val="20"/>
                <w:szCs w:val="20"/>
              </w:rPr>
              <w:t>AP</w:t>
            </w:r>
          </w:p>
        </w:tc>
      </w:tr>
    </w:tbl>
    <w:p w:rsidR="00096C1C" w:rsidRPr="00E36E3E" w:rsidRDefault="00096C1C" w:rsidP="00096C1C">
      <w:pPr>
        <w:rPr>
          <w:rFonts w:ascii="Arial Narrow" w:hAnsi="Arial Narrow"/>
          <w:sz w:val="20"/>
          <w:szCs w:val="20"/>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isting - dapagliflozin"/>
      </w:tblPr>
      <w:tblGrid>
        <w:gridCol w:w="2452"/>
        <w:gridCol w:w="5911"/>
      </w:tblGrid>
      <w:tr w:rsidR="00096C1C" w:rsidRPr="00E36E3E" w:rsidTr="0035514A">
        <w:tc>
          <w:tcPr>
            <w:tcW w:w="2452" w:type="dxa"/>
            <w:shd w:val="clear" w:color="auto" w:fill="auto"/>
          </w:tcPr>
          <w:p w:rsidR="00096C1C" w:rsidRPr="00E36E3E" w:rsidRDefault="00096C1C" w:rsidP="0035514A">
            <w:pPr>
              <w:rPr>
                <w:rFonts w:ascii="Arial Narrow" w:hAnsi="Arial Narrow" w:cs="Arial"/>
                <w:b/>
                <w:sz w:val="20"/>
                <w:szCs w:val="20"/>
              </w:rPr>
            </w:pPr>
            <w:r w:rsidRPr="00E36E3E">
              <w:rPr>
                <w:rFonts w:ascii="Arial Narrow" w:hAnsi="Arial Narrow" w:cs="Arial"/>
                <w:b/>
                <w:sz w:val="20"/>
                <w:szCs w:val="20"/>
              </w:rPr>
              <w:t>Condition/Indication:</w:t>
            </w:r>
          </w:p>
        </w:tc>
        <w:tc>
          <w:tcPr>
            <w:tcW w:w="5911" w:type="dxa"/>
            <w:shd w:val="clear" w:color="auto" w:fill="auto"/>
          </w:tcPr>
          <w:p w:rsidR="00096C1C" w:rsidRPr="00E36E3E" w:rsidRDefault="00096C1C" w:rsidP="0035514A">
            <w:pPr>
              <w:rPr>
                <w:rFonts w:ascii="Arial Narrow" w:hAnsi="Arial Narrow" w:cs="Arial"/>
                <w:sz w:val="20"/>
                <w:szCs w:val="20"/>
              </w:rPr>
            </w:pPr>
            <w:r w:rsidRPr="00E36E3E">
              <w:rPr>
                <w:rFonts w:ascii="Arial Narrow" w:hAnsi="Arial Narrow" w:cs="Arial"/>
                <w:sz w:val="20"/>
                <w:szCs w:val="20"/>
              </w:rPr>
              <w:t>Diabetes mellitus type 2</w:t>
            </w:r>
          </w:p>
        </w:tc>
      </w:tr>
      <w:tr w:rsidR="00096C1C" w:rsidRPr="00E36E3E" w:rsidTr="0035514A">
        <w:tc>
          <w:tcPr>
            <w:tcW w:w="2452" w:type="dxa"/>
            <w:shd w:val="clear" w:color="auto" w:fill="auto"/>
          </w:tcPr>
          <w:p w:rsidR="00096C1C" w:rsidRPr="00E36E3E" w:rsidRDefault="00096C1C" w:rsidP="0035514A">
            <w:pPr>
              <w:rPr>
                <w:rFonts w:ascii="Arial Narrow" w:hAnsi="Arial Narrow" w:cs="Arial"/>
                <w:b/>
                <w:sz w:val="20"/>
                <w:szCs w:val="20"/>
              </w:rPr>
            </w:pPr>
            <w:r w:rsidRPr="00E36E3E">
              <w:rPr>
                <w:rFonts w:ascii="Arial Narrow" w:hAnsi="Arial Narrow" w:cs="Arial"/>
                <w:b/>
                <w:sz w:val="20"/>
                <w:szCs w:val="20"/>
              </w:rPr>
              <w:t>Restriction:</w:t>
            </w:r>
          </w:p>
        </w:tc>
        <w:tc>
          <w:tcPr>
            <w:tcW w:w="5911" w:type="dxa"/>
            <w:shd w:val="clear" w:color="auto" w:fill="auto"/>
          </w:tcPr>
          <w:p w:rsidR="00096C1C" w:rsidRPr="00E36E3E" w:rsidRDefault="00096C1C" w:rsidP="0035514A">
            <w:pPr>
              <w:rPr>
                <w:rFonts w:ascii="Arial Narrow" w:hAnsi="Arial Narrow" w:cs="Arial"/>
                <w:i/>
                <w:sz w:val="20"/>
                <w:szCs w:val="20"/>
              </w:rPr>
            </w:pPr>
            <w:r w:rsidRPr="00E36E3E">
              <w:rPr>
                <w:rFonts w:ascii="Arial Narrow" w:hAnsi="Arial Narrow" w:cs="Arial"/>
                <w:sz w:val="20"/>
                <w:szCs w:val="20"/>
              </w:rPr>
              <w:t xml:space="preserve">Authority required </w:t>
            </w:r>
            <w:r w:rsidRPr="00E36E3E">
              <w:rPr>
                <w:rFonts w:ascii="Arial Narrow" w:hAnsi="Arial Narrow" w:cs="Arial"/>
                <w:i/>
                <w:sz w:val="20"/>
                <w:szCs w:val="20"/>
              </w:rPr>
              <w:t>(STREAMLINED)</w:t>
            </w:r>
          </w:p>
        </w:tc>
      </w:tr>
      <w:tr w:rsidR="00096C1C" w:rsidRPr="00E36E3E" w:rsidTr="0035514A">
        <w:trPr>
          <w:trHeight w:val="4102"/>
        </w:trPr>
        <w:tc>
          <w:tcPr>
            <w:tcW w:w="2452" w:type="dxa"/>
            <w:shd w:val="clear" w:color="auto" w:fill="auto"/>
          </w:tcPr>
          <w:p w:rsidR="00096C1C" w:rsidRPr="00E36E3E" w:rsidRDefault="00096C1C" w:rsidP="0035514A">
            <w:pPr>
              <w:rPr>
                <w:rFonts w:ascii="Arial Narrow" w:hAnsi="Arial Narrow" w:cs="Arial"/>
                <w:b/>
                <w:sz w:val="20"/>
                <w:szCs w:val="20"/>
              </w:rPr>
            </w:pPr>
            <w:r w:rsidRPr="00E36E3E">
              <w:rPr>
                <w:rFonts w:ascii="Arial Narrow" w:hAnsi="Arial Narrow" w:cs="Arial"/>
                <w:b/>
                <w:sz w:val="20"/>
                <w:szCs w:val="20"/>
              </w:rPr>
              <w:t>Clinical criteria</w:t>
            </w:r>
          </w:p>
        </w:tc>
        <w:tc>
          <w:tcPr>
            <w:tcW w:w="5911" w:type="dxa"/>
            <w:shd w:val="clear" w:color="auto" w:fill="auto"/>
          </w:tcPr>
          <w:p w:rsidR="00096C1C" w:rsidRPr="00E36E3E" w:rsidRDefault="00096C1C" w:rsidP="0035514A">
            <w:pPr>
              <w:rPr>
                <w:rFonts w:ascii="Arial Narrow" w:hAnsi="Arial Narrow" w:cs="Arial"/>
                <w:sz w:val="20"/>
                <w:szCs w:val="20"/>
              </w:rPr>
            </w:pPr>
            <w:r w:rsidRPr="00E36E3E">
              <w:rPr>
                <w:rFonts w:ascii="Arial Narrow" w:hAnsi="Arial Narrow" w:cs="Arial"/>
                <w:sz w:val="20"/>
                <w:szCs w:val="20"/>
              </w:rPr>
              <w:t xml:space="preserve">Patient must have, or have had, a HbA1c measurement greater than 7% </w:t>
            </w:r>
            <w:r w:rsidRPr="00E36E3E">
              <w:rPr>
                <w:rFonts w:ascii="Arial Narrow" w:hAnsi="Arial Narrow" w:cs="Arial"/>
                <w:color w:val="000000"/>
                <w:sz w:val="20"/>
                <w:szCs w:val="20"/>
              </w:rPr>
              <w:t>despite treatment with metformin</w:t>
            </w:r>
            <w:r w:rsidRPr="00E36E3E">
              <w:rPr>
                <w:rFonts w:ascii="Arial Narrow" w:hAnsi="Arial Narrow" w:cs="Arial"/>
                <w:sz w:val="20"/>
                <w:szCs w:val="20"/>
              </w:rPr>
              <w:t>; OR</w:t>
            </w:r>
          </w:p>
          <w:p w:rsidR="00096C1C" w:rsidRPr="00E36E3E" w:rsidRDefault="00096C1C" w:rsidP="0035514A">
            <w:pPr>
              <w:rPr>
                <w:rFonts w:ascii="Arial Narrow" w:hAnsi="Arial Narrow" w:cs="Arial"/>
                <w:sz w:val="20"/>
                <w:szCs w:val="20"/>
              </w:rPr>
            </w:pPr>
          </w:p>
          <w:p w:rsidR="00096C1C" w:rsidRPr="00E36E3E" w:rsidRDefault="00096C1C" w:rsidP="0035514A">
            <w:pPr>
              <w:pStyle w:val="NormalWeb"/>
              <w:shd w:val="clear" w:color="auto" w:fill="FFFFFF"/>
              <w:spacing w:before="240" w:beforeAutospacing="0" w:after="240" w:afterAutospacing="0" w:line="270" w:lineRule="atLeast"/>
              <w:textAlignment w:val="baseline"/>
              <w:rPr>
                <w:rFonts w:ascii="Arial Narrow" w:hAnsi="Arial Narrow" w:cs="Arial"/>
                <w:sz w:val="20"/>
                <w:szCs w:val="20"/>
              </w:rPr>
            </w:pPr>
            <w:r w:rsidRPr="00E36E3E">
              <w:rPr>
                <w:rFonts w:ascii="Arial Narrow" w:hAnsi="Arial Narrow" w:cs="Arial"/>
                <w:sz w:val="20"/>
                <w:szCs w:val="20"/>
              </w:rPr>
              <w:t xml:space="preserve">Patient must have, or have had, where HbA1c measurement is clinically inappropriate, blood glucose levels greater than 10 </w:t>
            </w:r>
            <w:proofErr w:type="spellStart"/>
            <w:r w:rsidRPr="00E36E3E">
              <w:rPr>
                <w:rFonts w:ascii="Arial Narrow" w:hAnsi="Arial Narrow" w:cs="Arial"/>
                <w:sz w:val="20"/>
                <w:szCs w:val="20"/>
              </w:rPr>
              <w:t>mmol</w:t>
            </w:r>
            <w:proofErr w:type="spellEnd"/>
            <w:r w:rsidRPr="00E36E3E">
              <w:rPr>
                <w:rFonts w:ascii="Arial Narrow" w:hAnsi="Arial Narrow" w:cs="Arial"/>
                <w:sz w:val="20"/>
                <w:szCs w:val="20"/>
              </w:rPr>
              <w:t xml:space="preserve"> per L in more than 20% of tests over a 2 week period </w:t>
            </w:r>
            <w:r w:rsidRPr="00E36E3E">
              <w:rPr>
                <w:rFonts w:ascii="Arial Narrow" w:hAnsi="Arial Narrow" w:cs="Arial"/>
                <w:color w:val="000000"/>
                <w:sz w:val="20"/>
                <w:szCs w:val="20"/>
              </w:rPr>
              <w:t>despite treatment with metformin.</w:t>
            </w:r>
          </w:p>
        </w:tc>
      </w:tr>
    </w:tbl>
    <w:p w:rsidR="00096C1C" w:rsidRPr="00E36E3E" w:rsidRDefault="00096C1C" w:rsidP="00096C1C">
      <w:pPr>
        <w:rPr>
          <w:rFonts w:ascii="Arial Narrow" w:hAnsi="Arial Narrow"/>
          <w:sz w:val="20"/>
          <w:szCs w:val="20"/>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5911"/>
      </w:tblGrid>
      <w:tr w:rsidR="00096C1C" w:rsidRPr="00E36E3E" w:rsidTr="0035514A">
        <w:tc>
          <w:tcPr>
            <w:tcW w:w="2452" w:type="dxa"/>
            <w:shd w:val="clear" w:color="auto" w:fill="auto"/>
          </w:tcPr>
          <w:p w:rsidR="00096C1C" w:rsidRPr="00E36E3E" w:rsidRDefault="00096C1C" w:rsidP="0035514A">
            <w:pPr>
              <w:rPr>
                <w:rFonts w:ascii="Arial Narrow" w:hAnsi="Arial Narrow" w:cs="Arial"/>
                <w:b/>
                <w:sz w:val="20"/>
                <w:szCs w:val="20"/>
              </w:rPr>
            </w:pPr>
            <w:r w:rsidRPr="00E36E3E">
              <w:rPr>
                <w:rFonts w:ascii="Arial Narrow" w:hAnsi="Arial Narrow" w:cs="Arial"/>
                <w:b/>
                <w:sz w:val="20"/>
                <w:szCs w:val="20"/>
              </w:rPr>
              <w:t>Prescriber Instructions</w:t>
            </w:r>
          </w:p>
        </w:tc>
        <w:tc>
          <w:tcPr>
            <w:tcW w:w="5911" w:type="dxa"/>
            <w:shd w:val="clear" w:color="auto" w:fill="auto"/>
          </w:tcPr>
          <w:p w:rsidR="00096C1C" w:rsidRPr="00E36E3E" w:rsidRDefault="00096C1C" w:rsidP="0035514A">
            <w:pPr>
              <w:rPr>
                <w:rFonts w:ascii="Arial Narrow" w:hAnsi="Arial Narrow" w:cs="Arial"/>
                <w:color w:val="000000"/>
                <w:sz w:val="20"/>
                <w:szCs w:val="20"/>
                <w:shd w:val="clear" w:color="auto" w:fill="FFFFFF"/>
              </w:rPr>
            </w:pPr>
            <w:r w:rsidRPr="00E36E3E">
              <w:rPr>
                <w:rFonts w:ascii="Arial Narrow" w:hAnsi="Arial Narrow" w:cs="Arial"/>
                <w:sz w:val="20"/>
                <w:szCs w:val="20"/>
              </w:rPr>
              <w:t>The date and level of the qualifying HbA1c measurement must be, or must have been, documented in the patient’s medical records at the time treatment with a</w:t>
            </w:r>
            <w:r w:rsidRPr="00E36E3E">
              <w:rPr>
                <w:rFonts w:ascii="Arial Narrow" w:hAnsi="Arial Narrow" w:cs="Arial"/>
                <w:color w:val="000000"/>
                <w:sz w:val="20"/>
                <w:szCs w:val="20"/>
                <w:shd w:val="clear" w:color="auto" w:fill="FFFFFF"/>
              </w:rPr>
              <w:t xml:space="preserve"> </w:t>
            </w:r>
            <w:proofErr w:type="spellStart"/>
            <w:r w:rsidRPr="00E36E3E">
              <w:rPr>
                <w:rFonts w:ascii="Arial Narrow" w:hAnsi="Arial Narrow" w:cs="Arial"/>
                <w:color w:val="000000"/>
                <w:sz w:val="20"/>
                <w:szCs w:val="20"/>
                <w:shd w:val="clear" w:color="auto" w:fill="FFFFFF"/>
              </w:rPr>
              <w:t>dipeptidyl</w:t>
            </w:r>
            <w:proofErr w:type="spellEnd"/>
            <w:r w:rsidRPr="00E36E3E">
              <w:rPr>
                <w:rFonts w:ascii="Arial Narrow" w:hAnsi="Arial Narrow" w:cs="Arial"/>
                <w:color w:val="000000"/>
                <w:sz w:val="20"/>
                <w:szCs w:val="20"/>
                <w:shd w:val="clear" w:color="auto" w:fill="FFFFFF"/>
              </w:rPr>
              <w:t xml:space="preserve"> peptidase 4 inhibitor (</w:t>
            </w:r>
            <w:proofErr w:type="spellStart"/>
            <w:r w:rsidRPr="00E36E3E">
              <w:rPr>
                <w:rFonts w:ascii="Arial Narrow" w:hAnsi="Arial Narrow" w:cs="Arial"/>
                <w:color w:val="000000"/>
                <w:sz w:val="20"/>
                <w:szCs w:val="20"/>
                <w:shd w:val="clear" w:color="auto" w:fill="FFFFFF"/>
              </w:rPr>
              <w:t>gliptin</w:t>
            </w:r>
            <w:proofErr w:type="spellEnd"/>
            <w:r w:rsidRPr="00E36E3E">
              <w:rPr>
                <w:rFonts w:ascii="Arial Narrow" w:hAnsi="Arial Narrow" w:cs="Arial"/>
                <w:color w:val="000000"/>
                <w:sz w:val="20"/>
                <w:szCs w:val="20"/>
                <w:shd w:val="clear" w:color="auto" w:fill="FFFFFF"/>
              </w:rPr>
              <w:t>), a thiazolidinedione (</w:t>
            </w:r>
            <w:proofErr w:type="spellStart"/>
            <w:r w:rsidRPr="00E36E3E">
              <w:rPr>
                <w:rFonts w:ascii="Arial Narrow" w:hAnsi="Arial Narrow" w:cs="Arial"/>
                <w:color w:val="000000"/>
                <w:sz w:val="20"/>
                <w:szCs w:val="20"/>
                <w:shd w:val="clear" w:color="auto" w:fill="FFFFFF"/>
              </w:rPr>
              <w:t>glitazone</w:t>
            </w:r>
            <w:proofErr w:type="spellEnd"/>
            <w:r w:rsidRPr="00E36E3E">
              <w:rPr>
                <w:rFonts w:ascii="Arial Narrow" w:hAnsi="Arial Narrow" w:cs="Arial"/>
                <w:color w:val="000000"/>
                <w:sz w:val="20"/>
                <w:szCs w:val="20"/>
                <w:shd w:val="clear" w:color="auto" w:fill="FFFFFF"/>
              </w:rPr>
              <w:t>), a glucagon-like peptide-1 or a sodium-glucose co-transporter 2 (SGLT2) inhibitor is initiated.</w:t>
            </w:r>
          </w:p>
          <w:p w:rsidR="00096C1C" w:rsidRPr="00E36E3E" w:rsidRDefault="00096C1C" w:rsidP="0035514A">
            <w:pPr>
              <w:rPr>
                <w:rFonts w:ascii="Arial Narrow" w:hAnsi="Arial Narrow" w:cs="Arial"/>
                <w:sz w:val="20"/>
                <w:szCs w:val="20"/>
              </w:rPr>
            </w:pPr>
          </w:p>
          <w:p w:rsidR="00096C1C" w:rsidRPr="00E36E3E" w:rsidRDefault="00096C1C" w:rsidP="0035514A">
            <w:pPr>
              <w:rPr>
                <w:rFonts w:ascii="Arial Narrow" w:hAnsi="Arial Narrow" w:cs="Arial"/>
                <w:sz w:val="20"/>
                <w:szCs w:val="20"/>
              </w:rPr>
            </w:pPr>
            <w:r w:rsidRPr="00E36E3E">
              <w:rPr>
                <w:rFonts w:ascii="Arial Narrow" w:hAnsi="Arial Narrow" w:cs="Arial"/>
                <w:sz w:val="20"/>
                <w:szCs w:val="20"/>
              </w:rPr>
              <w:t xml:space="preserve">The HbA1c must be no more than 4 months old at the time treatment with </w:t>
            </w:r>
            <w:r w:rsidRPr="00E36E3E">
              <w:rPr>
                <w:rFonts w:ascii="Arial Narrow" w:hAnsi="Arial Narrow" w:cs="Arial"/>
                <w:color w:val="000000"/>
                <w:sz w:val="20"/>
                <w:szCs w:val="20"/>
                <w:shd w:val="clear" w:color="auto" w:fill="FFFFFF"/>
              </w:rPr>
              <w:t xml:space="preserve">a </w:t>
            </w:r>
            <w:proofErr w:type="spellStart"/>
            <w:r w:rsidRPr="00E36E3E">
              <w:rPr>
                <w:rFonts w:ascii="Arial Narrow" w:hAnsi="Arial Narrow" w:cs="Arial"/>
                <w:color w:val="000000"/>
                <w:sz w:val="20"/>
                <w:szCs w:val="20"/>
                <w:shd w:val="clear" w:color="auto" w:fill="FFFFFF"/>
              </w:rPr>
              <w:t>gliptin</w:t>
            </w:r>
            <w:proofErr w:type="spellEnd"/>
            <w:r w:rsidRPr="00E36E3E">
              <w:rPr>
                <w:rFonts w:ascii="Arial Narrow" w:hAnsi="Arial Narrow" w:cs="Arial"/>
                <w:color w:val="000000"/>
                <w:sz w:val="20"/>
                <w:szCs w:val="20"/>
                <w:shd w:val="clear" w:color="auto" w:fill="FFFFFF"/>
              </w:rPr>
              <w:t xml:space="preserve">, a </w:t>
            </w:r>
            <w:proofErr w:type="spellStart"/>
            <w:r w:rsidRPr="00E36E3E">
              <w:rPr>
                <w:rFonts w:ascii="Arial Narrow" w:hAnsi="Arial Narrow" w:cs="Arial"/>
                <w:color w:val="000000"/>
                <w:sz w:val="20"/>
                <w:szCs w:val="20"/>
                <w:shd w:val="clear" w:color="auto" w:fill="FFFFFF"/>
              </w:rPr>
              <w:t>glitazone</w:t>
            </w:r>
            <w:proofErr w:type="spellEnd"/>
            <w:r w:rsidRPr="00E36E3E">
              <w:rPr>
                <w:rFonts w:ascii="Arial Narrow" w:hAnsi="Arial Narrow" w:cs="Arial"/>
                <w:color w:val="000000"/>
                <w:sz w:val="20"/>
                <w:szCs w:val="20"/>
                <w:shd w:val="clear" w:color="auto" w:fill="FFFFFF"/>
              </w:rPr>
              <w:t>, a glucagon-like peptide-1 or an SGLT2 inhibitor was initiated</w:t>
            </w:r>
            <w:r w:rsidRPr="00E36E3E">
              <w:rPr>
                <w:rFonts w:ascii="Arial Narrow" w:hAnsi="Arial Narrow" w:cs="Arial"/>
                <w:sz w:val="20"/>
                <w:szCs w:val="20"/>
              </w:rPr>
              <w:t>.</w:t>
            </w:r>
          </w:p>
          <w:p w:rsidR="00096C1C" w:rsidRPr="00E36E3E" w:rsidRDefault="00096C1C" w:rsidP="0035514A">
            <w:pPr>
              <w:rPr>
                <w:rFonts w:ascii="Arial Narrow" w:hAnsi="Arial Narrow" w:cs="Arial"/>
                <w:sz w:val="20"/>
                <w:szCs w:val="20"/>
              </w:rPr>
            </w:pPr>
          </w:p>
          <w:p w:rsidR="00096C1C" w:rsidRPr="00E36E3E" w:rsidRDefault="00096C1C" w:rsidP="0035514A">
            <w:pPr>
              <w:rPr>
                <w:rFonts w:ascii="Arial Narrow" w:hAnsi="Arial Narrow" w:cs="Arial"/>
                <w:sz w:val="20"/>
                <w:szCs w:val="20"/>
              </w:rPr>
            </w:pPr>
            <w:r w:rsidRPr="00E36E3E">
              <w:rPr>
                <w:rFonts w:ascii="Arial Narrow" w:hAnsi="Arial Narrow" w:cs="Arial"/>
                <w:sz w:val="20"/>
                <w:szCs w:val="20"/>
              </w:rPr>
              <w:t>Blood glucose monitoring may be used as an alternative assessment to HbA1c levels in the following circumstances:</w:t>
            </w:r>
          </w:p>
          <w:p w:rsidR="00096C1C" w:rsidRPr="00E36E3E" w:rsidRDefault="00096C1C" w:rsidP="00096C1C">
            <w:pPr>
              <w:pStyle w:val="ListParagraph"/>
              <w:widowControl w:val="0"/>
              <w:numPr>
                <w:ilvl w:val="0"/>
                <w:numId w:val="6"/>
              </w:numPr>
              <w:spacing w:before="120" w:line="360" w:lineRule="auto"/>
              <w:ind w:left="0"/>
              <w:rPr>
                <w:rFonts w:ascii="Arial Narrow" w:hAnsi="Arial Narrow" w:cs="Arial"/>
                <w:sz w:val="20"/>
                <w:szCs w:val="20"/>
              </w:rPr>
            </w:pPr>
            <w:r w:rsidRPr="00E36E3E">
              <w:rPr>
                <w:rFonts w:ascii="Arial Narrow" w:hAnsi="Arial Narrow" w:cs="Arial"/>
                <w:sz w:val="20"/>
                <w:szCs w:val="20"/>
              </w:rPr>
              <w:lastRenderedPageBreak/>
              <w:t xml:space="preserve">(a) A clinical condition with reduced red blood cell survival, including haemolytic </w:t>
            </w:r>
            <w:proofErr w:type="spellStart"/>
            <w:r w:rsidRPr="00E36E3E">
              <w:rPr>
                <w:rFonts w:ascii="Arial Narrow" w:hAnsi="Arial Narrow" w:cs="Arial"/>
                <w:sz w:val="20"/>
                <w:szCs w:val="20"/>
              </w:rPr>
              <w:t>anaemias</w:t>
            </w:r>
            <w:proofErr w:type="spellEnd"/>
            <w:r w:rsidRPr="00E36E3E">
              <w:rPr>
                <w:rFonts w:ascii="Arial Narrow" w:hAnsi="Arial Narrow" w:cs="Arial"/>
                <w:sz w:val="20"/>
                <w:szCs w:val="20"/>
              </w:rPr>
              <w:t xml:space="preserve"> and </w:t>
            </w:r>
            <w:proofErr w:type="spellStart"/>
            <w:r w:rsidRPr="00E36E3E">
              <w:rPr>
                <w:rFonts w:ascii="Arial Narrow" w:hAnsi="Arial Narrow" w:cs="Arial"/>
                <w:sz w:val="20"/>
                <w:szCs w:val="20"/>
              </w:rPr>
              <w:t>haemoglobinopathies</w:t>
            </w:r>
            <w:proofErr w:type="spellEnd"/>
            <w:r w:rsidRPr="00E36E3E">
              <w:rPr>
                <w:rFonts w:ascii="Arial Narrow" w:hAnsi="Arial Narrow" w:cs="Arial"/>
                <w:sz w:val="20"/>
                <w:szCs w:val="20"/>
              </w:rPr>
              <w:t>; and/or</w:t>
            </w:r>
          </w:p>
          <w:p w:rsidR="00096C1C" w:rsidRPr="00E36E3E" w:rsidRDefault="00096C1C" w:rsidP="00096C1C">
            <w:pPr>
              <w:pStyle w:val="ListParagraph"/>
              <w:widowControl w:val="0"/>
              <w:numPr>
                <w:ilvl w:val="0"/>
                <w:numId w:val="6"/>
              </w:numPr>
              <w:spacing w:before="120" w:line="360" w:lineRule="auto"/>
              <w:ind w:left="0"/>
              <w:rPr>
                <w:rFonts w:ascii="Arial Narrow" w:hAnsi="Arial Narrow" w:cs="Arial"/>
                <w:sz w:val="20"/>
                <w:szCs w:val="20"/>
              </w:rPr>
            </w:pPr>
            <w:r w:rsidRPr="00E36E3E">
              <w:rPr>
                <w:rFonts w:ascii="Arial Narrow" w:hAnsi="Arial Narrow" w:cs="Arial"/>
                <w:sz w:val="20"/>
                <w:szCs w:val="20"/>
              </w:rPr>
              <w:t>(b) Had red cell transfusion within the previous 3 months</w:t>
            </w:r>
          </w:p>
          <w:p w:rsidR="00096C1C" w:rsidRPr="00E36E3E" w:rsidRDefault="00096C1C" w:rsidP="0035514A">
            <w:pPr>
              <w:rPr>
                <w:rFonts w:ascii="Arial Narrow" w:hAnsi="Arial Narrow" w:cs="Arial"/>
                <w:sz w:val="20"/>
                <w:szCs w:val="20"/>
              </w:rPr>
            </w:pPr>
            <w:r w:rsidRPr="00E36E3E">
              <w:rPr>
                <w:rFonts w:ascii="Arial Narrow" w:hAnsi="Arial Narrow" w:cs="Arial"/>
                <w:sz w:val="20"/>
                <w:szCs w:val="20"/>
              </w:rPr>
              <w:t xml:space="preserve">The result of the blood glucose monitoring, which must be no more than 4 months old at the time of initiation of treatment with </w:t>
            </w:r>
            <w:r w:rsidRPr="00E36E3E">
              <w:rPr>
                <w:rFonts w:ascii="Arial Narrow" w:hAnsi="Arial Narrow" w:cs="Arial"/>
                <w:color w:val="000000"/>
                <w:sz w:val="20"/>
                <w:szCs w:val="20"/>
                <w:shd w:val="clear" w:color="auto" w:fill="FFFFFF"/>
              </w:rPr>
              <w:t xml:space="preserve">a </w:t>
            </w:r>
            <w:proofErr w:type="spellStart"/>
            <w:r w:rsidRPr="00E36E3E">
              <w:rPr>
                <w:rFonts w:ascii="Arial Narrow" w:hAnsi="Arial Narrow" w:cs="Arial"/>
                <w:color w:val="000000"/>
                <w:sz w:val="20"/>
                <w:szCs w:val="20"/>
                <w:shd w:val="clear" w:color="auto" w:fill="FFFFFF"/>
              </w:rPr>
              <w:t>gliptin</w:t>
            </w:r>
            <w:proofErr w:type="spellEnd"/>
            <w:r w:rsidRPr="00E36E3E">
              <w:rPr>
                <w:rFonts w:ascii="Arial Narrow" w:hAnsi="Arial Narrow" w:cs="Arial"/>
                <w:color w:val="000000"/>
                <w:sz w:val="20"/>
                <w:szCs w:val="20"/>
                <w:shd w:val="clear" w:color="auto" w:fill="FFFFFF"/>
              </w:rPr>
              <w:t xml:space="preserve">, a </w:t>
            </w:r>
            <w:proofErr w:type="spellStart"/>
            <w:r w:rsidRPr="00E36E3E">
              <w:rPr>
                <w:rFonts w:ascii="Arial Narrow" w:hAnsi="Arial Narrow" w:cs="Arial"/>
                <w:color w:val="000000"/>
                <w:sz w:val="20"/>
                <w:szCs w:val="20"/>
                <w:shd w:val="clear" w:color="auto" w:fill="FFFFFF"/>
              </w:rPr>
              <w:t>glitazone</w:t>
            </w:r>
            <w:proofErr w:type="spellEnd"/>
            <w:r w:rsidRPr="00E36E3E">
              <w:rPr>
                <w:rFonts w:ascii="Arial Narrow" w:hAnsi="Arial Narrow" w:cs="Arial"/>
                <w:color w:val="000000"/>
                <w:sz w:val="20"/>
                <w:szCs w:val="20"/>
                <w:shd w:val="clear" w:color="auto" w:fill="FFFFFF"/>
              </w:rPr>
              <w:t>, a glucagon-like peptide-1 or an SGLT2 inhibitor, must be documented in the patient's medical records.</w:t>
            </w:r>
          </w:p>
          <w:p w:rsidR="00096C1C" w:rsidRPr="00E36E3E" w:rsidRDefault="00096C1C" w:rsidP="0035514A">
            <w:pPr>
              <w:rPr>
                <w:rFonts w:ascii="Arial Narrow" w:hAnsi="Arial Narrow" w:cs="Arial"/>
                <w:sz w:val="20"/>
                <w:szCs w:val="20"/>
              </w:rPr>
            </w:pPr>
          </w:p>
          <w:p w:rsidR="00096C1C" w:rsidRPr="00E36E3E" w:rsidRDefault="00096C1C" w:rsidP="0035514A">
            <w:pPr>
              <w:rPr>
                <w:rFonts w:ascii="Arial Narrow" w:hAnsi="Arial Narrow" w:cs="Arial"/>
                <w:sz w:val="20"/>
                <w:szCs w:val="20"/>
              </w:rPr>
            </w:pPr>
            <w:r w:rsidRPr="00E36E3E">
              <w:rPr>
                <w:rFonts w:ascii="Arial Narrow" w:hAnsi="Arial Narrow" w:cs="Arial"/>
                <w:color w:val="000000"/>
                <w:sz w:val="20"/>
                <w:szCs w:val="20"/>
                <w:shd w:val="clear" w:color="auto" w:fill="FFFFFF"/>
              </w:rPr>
              <w:t>A patient whose diabetes was previously demonstrated unable to be controlled with metformin does not need to requalify on this criterion before being eligible for PBS-subsidised treatment with this fixed dose combination.</w:t>
            </w:r>
          </w:p>
        </w:tc>
      </w:tr>
      <w:tr w:rsidR="00096C1C" w:rsidRPr="00E36E3E" w:rsidTr="0035514A">
        <w:tc>
          <w:tcPr>
            <w:tcW w:w="2452" w:type="dxa"/>
            <w:shd w:val="clear" w:color="auto" w:fill="auto"/>
          </w:tcPr>
          <w:p w:rsidR="00096C1C" w:rsidRPr="00E36E3E" w:rsidRDefault="00096C1C" w:rsidP="0035514A">
            <w:pPr>
              <w:rPr>
                <w:rFonts w:ascii="Arial Narrow" w:hAnsi="Arial Narrow" w:cs="Arial"/>
                <w:b/>
                <w:sz w:val="20"/>
                <w:szCs w:val="20"/>
              </w:rPr>
            </w:pPr>
            <w:r w:rsidRPr="00E36E3E">
              <w:rPr>
                <w:rFonts w:ascii="Arial Narrow" w:hAnsi="Arial Narrow" w:cs="Arial"/>
                <w:b/>
                <w:sz w:val="20"/>
                <w:szCs w:val="20"/>
              </w:rPr>
              <w:lastRenderedPageBreak/>
              <w:t>Administrative advice</w:t>
            </w:r>
          </w:p>
        </w:tc>
        <w:tc>
          <w:tcPr>
            <w:tcW w:w="5911" w:type="dxa"/>
            <w:shd w:val="clear" w:color="auto" w:fill="auto"/>
          </w:tcPr>
          <w:p w:rsidR="00096C1C" w:rsidRPr="00E36E3E" w:rsidRDefault="00096C1C" w:rsidP="0035514A">
            <w:pPr>
              <w:rPr>
                <w:rFonts w:ascii="Arial Narrow" w:hAnsi="Arial Narrow" w:cs="Arial"/>
                <w:sz w:val="20"/>
                <w:szCs w:val="20"/>
              </w:rPr>
            </w:pPr>
            <w:r w:rsidRPr="00E36E3E">
              <w:rPr>
                <w:rFonts w:ascii="Arial Narrow" w:hAnsi="Arial Narrow" w:cs="Arial"/>
                <w:sz w:val="20"/>
                <w:szCs w:val="20"/>
              </w:rPr>
              <w:t xml:space="preserve">This fixed dose combination is not PBS-subsidised for use in combination with a sulfonylurea </w:t>
            </w:r>
            <w:r w:rsidRPr="00E36E3E">
              <w:rPr>
                <w:rFonts w:ascii="Arial Narrow" w:hAnsi="Arial Narrow" w:cs="Arial"/>
                <w:color w:val="000000"/>
                <w:sz w:val="20"/>
                <w:szCs w:val="20"/>
                <w:shd w:val="clear" w:color="auto" w:fill="FFFFFF"/>
              </w:rPr>
              <w:t>(triple oral therapy)</w:t>
            </w:r>
            <w:r w:rsidRPr="00E36E3E">
              <w:rPr>
                <w:rFonts w:ascii="Arial Narrow" w:hAnsi="Arial Narrow" w:cs="Arial"/>
                <w:sz w:val="20"/>
                <w:szCs w:val="20"/>
              </w:rPr>
              <w:t xml:space="preserve">, </w:t>
            </w:r>
            <w:r w:rsidRPr="00E36E3E">
              <w:rPr>
                <w:rFonts w:ascii="Arial Narrow" w:hAnsi="Arial Narrow" w:cs="Arial"/>
                <w:color w:val="000000"/>
                <w:sz w:val="20"/>
                <w:szCs w:val="20"/>
                <w:shd w:val="clear" w:color="auto" w:fill="FFFFFF"/>
              </w:rPr>
              <w:t>as initial therapy</w:t>
            </w:r>
            <w:r w:rsidRPr="00E36E3E">
              <w:rPr>
                <w:rStyle w:val="apple-converted-space"/>
                <w:rFonts w:ascii="Arial Narrow" w:hAnsi="Arial Narrow"/>
                <w:color w:val="000000"/>
                <w:sz w:val="20"/>
                <w:szCs w:val="20"/>
                <w:shd w:val="clear" w:color="auto" w:fill="FFFFFF"/>
              </w:rPr>
              <w:t> </w:t>
            </w:r>
            <w:r w:rsidRPr="00E36E3E">
              <w:rPr>
                <w:rFonts w:ascii="Arial Narrow" w:hAnsi="Arial Narrow" w:cs="Arial"/>
                <w:sz w:val="20"/>
                <w:szCs w:val="20"/>
              </w:rPr>
              <w:t xml:space="preserve">or in combination with </w:t>
            </w:r>
            <w:proofErr w:type="gramStart"/>
            <w:r w:rsidRPr="00E36E3E">
              <w:rPr>
                <w:rFonts w:ascii="Arial Narrow" w:hAnsi="Arial Narrow" w:cs="Arial"/>
                <w:sz w:val="20"/>
                <w:szCs w:val="20"/>
              </w:rPr>
              <w:t>an insulin</w:t>
            </w:r>
            <w:proofErr w:type="gramEnd"/>
            <w:r w:rsidRPr="00E36E3E">
              <w:rPr>
                <w:rFonts w:ascii="Arial Narrow" w:hAnsi="Arial Narrow" w:cs="Arial"/>
                <w:sz w:val="20"/>
                <w:szCs w:val="20"/>
              </w:rPr>
              <w:t xml:space="preserve">, a </w:t>
            </w:r>
            <w:r w:rsidRPr="00E36E3E">
              <w:rPr>
                <w:rFonts w:ascii="Arial Narrow" w:hAnsi="Arial Narrow" w:cs="Arial"/>
                <w:color w:val="000000"/>
                <w:sz w:val="20"/>
                <w:szCs w:val="20"/>
                <w:shd w:val="clear" w:color="auto" w:fill="FFFFFF"/>
              </w:rPr>
              <w:t>thiazolidinedione (</w:t>
            </w:r>
            <w:proofErr w:type="spellStart"/>
            <w:r w:rsidRPr="00E36E3E">
              <w:rPr>
                <w:rFonts w:ascii="Arial Narrow" w:hAnsi="Arial Narrow" w:cs="Arial"/>
                <w:sz w:val="20"/>
                <w:szCs w:val="20"/>
              </w:rPr>
              <w:t>glitazone</w:t>
            </w:r>
            <w:proofErr w:type="spellEnd"/>
            <w:r w:rsidRPr="00E36E3E">
              <w:rPr>
                <w:rFonts w:ascii="Arial Narrow" w:hAnsi="Arial Narrow" w:cs="Arial"/>
                <w:sz w:val="20"/>
                <w:szCs w:val="20"/>
              </w:rPr>
              <w:t xml:space="preserve">), a </w:t>
            </w:r>
            <w:proofErr w:type="spellStart"/>
            <w:r w:rsidRPr="00E36E3E">
              <w:rPr>
                <w:rFonts w:ascii="Arial Narrow" w:hAnsi="Arial Narrow" w:cs="Arial"/>
                <w:color w:val="000000"/>
                <w:sz w:val="20"/>
                <w:szCs w:val="20"/>
                <w:shd w:val="clear" w:color="auto" w:fill="FFFFFF"/>
              </w:rPr>
              <w:t>dipeptidyl</w:t>
            </w:r>
            <w:proofErr w:type="spellEnd"/>
            <w:r w:rsidRPr="00E36E3E">
              <w:rPr>
                <w:rFonts w:ascii="Arial Narrow" w:hAnsi="Arial Narrow" w:cs="Arial"/>
                <w:color w:val="000000"/>
                <w:sz w:val="20"/>
                <w:szCs w:val="20"/>
                <w:shd w:val="clear" w:color="auto" w:fill="FFFFFF"/>
              </w:rPr>
              <w:t xml:space="preserve"> peptidase 4 inhibitor (</w:t>
            </w:r>
            <w:proofErr w:type="spellStart"/>
            <w:r w:rsidRPr="00E36E3E">
              <w:rPr>
                <w:rFonts w:ascii="Arial Narrow" w:hAnsi="Arial Narrow" w:cs="Arial"/>
                <w:color w:val="000000"/>
                <w:sz w:val="20"/>
                <w:szCs w:val="20"/>
                <w:shd w:val="clear" w:color="auto" w:fill="FFFFFF"/>
              </w:rPr>
              <w:t>gliptin</w:t>
            </w:r>
            <w:proofErr w:type="spellEnd"/>
            <w:r w:rsidRPr="00E36E3E">
              <w:rPr>
                <w:rFonts w:ascii="Arial Narrow" w:hAnsi="Arial Narrow" w:cs="Arial"/>
                <w:color w:val="000000"/>
                <w:sz w:val="20"/>
                <w:szCs w:val="20"/>
                <w:shd w:val="clear" w:color="auto" w:fill="FFFFFF"/>
              </w:rPr>
              <w:t>) or a glucagon-like peptide-1.</w:t>
            </w:r>
          </w:p>
        </w:tc>
      </w:tr>
    </w:tbl>
    <w:p w:rsidR="00096C1C" w:rsidRPr="00E36E3E" w:rsidRDefault="00096C1C" w:rsidP="00096C1C">
      <w:pPr>
        <w:rPr>
          <w:rFonts w:ascii="Arial Narrow" w:hAnsi="Arial Narrow" w:cs="Calibri"/>
          <w:sz w:val="20"/>
          <w:szCs w:val="20"/>
        </w:rPr>
      </w:pPr>
    </w:p>
    <w:p w:rsidR="00096C1C" w:rsidRPr="00E36E3E" w:rsidRDefault="00096C1C" w:rsidP="00096C1C">
      <w:pPr>
        <w:rPr>
          <w:rFonts w:ascii="Arial Narrow" w:hAnsi="Arial Narrow" w:cs="Calibri"/>
          <w:sz w:val="20"/>
          <w:szCs w:val="20"/>
        </w:rPr>
      </w:pPr>
    </w:p>
    <w:tbl>
      <w:tblPr>
        <w:tblW w:w="8363" w:type="dxa"/>
        <w:tblInd w:w="817" w:type="dxa"/>
        <w:tblLayout w:type="fixed"/>
        <w:tblLook w:val="0000" w:firstRow="0" w:lastRow="0" w:firstColumn="0" w:lastColumn="0" w:noHBand="0" w:noVBand="0"/>
        <w:tblDescription w:val="listing - dapagliflozin"/>
      </w:tblPr>
      <w:tblGrid>
        <w:gridCol w:w="2428"/>
        <w:gridCol w:w="5935"/>
      </w:tblGrid>
      <w:tr w:rsidR="00096C1C" w:rsidRPr="00E36E3E" w:rsidTr="0035514A">
        <w:trPr>
          <w:cantSplit/>
          <w:trHeight w:val="360"/>
        </w:trPr>
        <w:tc>
          <w:tcPr>
            <w:tcW w:w="2428" w:type="dxa"/>
            <w:tcBorders>
              <w:top w:val="single" w:sz="4" w:space="0" w:color="auto"/>
              <w:left w:val="single" w:sz="4" w:space="0" w:color="auto"/>
              <w:bottom w:val="single" w:sz="4" w:space="0" w:color="auto"/>
              <w:right w:val="single" w:sz="4" w:space="0" w:color="auto"/>
            </w:tcBorders>
          </w:tcPr>
          <w:p w:rsidR="00096C1C" w:rsidRPr="00E36E3E" w:rsidRDefault="00096C1C" w:rsidP="0035514A">
            <w:pPr>
              <w:rPr>
                <w:rFonts w:ascii="Arial Narrow" w:hAnsi="Arial Narrow" w:cs="Arial"/>
                <w:b/>
                <w:sz w:val="20"/>
                <w:szCs w:val="20"/>
              </w:rPr>
            </w:pPr>
            <w:r w:rsidRPr="00E36E3E">
              <w:rPr>
                <w:rFonts w:ascii="Arial Narrow" w:hAnsi="Arial Narrow" w:cs="Arial"/>
                <w:b/>
                <w:sz w:val="20"/>
                <w:szCs w:val="20"/>
              </w:rPr>
              <w:t>Condition/Indication:</w:t>
            </w:r>
          </w:p>
        </w:tc>
        <w:tc>
          <w:tcPr>
            <w:tcW w:w="5935" w:type="dxa"/>
            <w:tcBorders>
              <w:top w:val="single" w:sz="4" w:space="0" w:color="auto"/>
              <w:left w:val="single" w:sz="4" w:space="0" w:color="auto"/>
              <w:bottom w:val="single" w:sz="4" w:space="0" w:color="auto"/>
              <w:right w:val="single" w:sz="4" w:space="0" w:color="auto"/>
            </w:tcBorders>
          </w:tcPr>
          <w:p w:rsidR="00096C1C" w:rsidRPr="00E36E3E" w:rsidRDefault="00096C1C" w:rsidP="0035514A">
            <w:pPr>
              <w:rPr>
                <w:rFonts w:ascii="Arial Narrow" w:hAnsi="Arial Narrow" w:cs="Arial"/>
                <w:sz w:val="20"/>
                <w:szCs w:val="20"/>
              </w:rPr>
            </w:pPr>
            <w:r w:rsidRPr="00E36E3E">
              <w:rPr>
                <w:rFonts w:ascii="Arial Narrow" w:hAnsi="Arial Narrow" w:cs="Arial"/>
                <w:color w:val="000000"/>
                <w:sz w:val="20"/>
                <w:szCs w:val="20"/>
              </w:rPr>
              <w:t>Diabetes mellitus type 2</w:t>
            </w:r>
          </w:p>
        </w:tc>
      </w:tr>
      <w:tr w:rsidR="00096C1C" w:rsidRPr="00E36E3E" w:rsidTr="0035514A">
        <w:trPr>
          <w:cantSplit/>
          <w:trHeight w:val="360"/>
        </w:trPr>
        <w:tc>
          <w:tcPr>
            <w:tcW w:w="2428" w:type="dxa"/>
            <w:tcBorders>
              <w:top w:val="single" w:sz="4" w:space="0" w:color="auto"/>
              <w:left w:val="single" w:sz="4" w:space="0" w:color="auto"/>
              <w:bottom w:val="single" w:sz="4" w:space="0" w:color="auto"/>
              <w:right w:val="single" w:sz="4" w:space="0" w:color="auto"/>
            </w:tcBorders>
          </w:tcPr>
          <w:p w:rsidR="00096C1C" w:rsidRPr="00E36E3E" w:rsidRDefault="00096C1C" w:rsidP="0035514A">
            <w:pPr>
              <w:rPr>
                <w:rFonts w:ascii="Arial Narrow" w:hAnsi="Arial Narrow" w:cs="Arial"/>
                <w:b/>
                <w:sz w:val="20"/>
                <w:szCs w:val="20"/>
              </w:rPr>
            </w:pPr>
            <w:r w:rsidRPr="00E36E3E">
              <w:rPr>
                <w:rFonts w:ascii="Arial Narrow" w:hAnsi="Arial Narrow" w:cs="Arial"/>
                <w:b/>
                <w:sz w:val="20"/>
                <w:szCs w:val="20"/>
              </w:rPr>
              <w:t>Treatment Phase</w:t>
            </w:r>
          </w:p>
        </w:tc>
        <w:tc>
          <w:tcPr>
            <w:tcW w:w="5935" w:type="dxa"/>
            <w:tcBorders>
              <w:top w:val="single" w:sz="4" w:space="0" w:color="auto"/>
              <w:left w:val="single" w:sz="4" w:space="0" w:color="auto"/>
              <w:bottom w:val="single" w:sz="4" w:space="0" w:color="auto"/>
              <w:right w:val="single" w:sz="4" w:space="0" w:color="auto"/>
            </w:tcBorders>
          </w:tcPr>
          <w:p w:rsidR="00096C1C" w:rsidRPr="00E36E3E" w:rsidRDefault="00096C1C" w:rsidP="0035514A">
            <w:pPr>
              <w:rPr>
                <w:rFonts w:ascii="Arial Narrow" w:hAnsi="Arial Narrow" w:cs="Arial"/>
                <w:color w:val="000000"/>
                <w:sz w:val="20"/>
                <w:szCs w:val="20"/>
              </w:rPr>
            </w:pPr>
            <w:r w:rsidRPr="00E36E3E">
              <w:rPr>
                <w:rFonts w:ascii="Arial Narrow" w:hAnsi="Arial Narrow" w:cs="Arial"/>
                <w:color w:val="000000"/>
                <w:sz w:val="20"/>
                <w:szCs w:val="20"/>
              </w:rPr>
              <w:t>Continuing</w:t>
            </w:r>
          </w:p>
        </w:tc>
      </w:tr>
      <w:tr w:rsidR="00096C1C" w:rsidRPr="00E36E3E" w:rsidTr="0035514A">
        <w:trPr>
          <w:cantSplit/>
          <w:trHeight w:val="360"/>
        </w:trPr>
        <w:tc>
          <w:tcPr>
            <w:tcW w:w="2428" w:type="dxa"/>
            <w:tcBorders>
              <w:top w:val="single" w:sz="4" w:space="0" w:color="auto"/>
              <w:left w:val="single" w:sz="4" w:space="0" w:color="auto"/>
              <w:bottom w:val="single" w:sz="4" w:space="0" w:color="auto"/>
              <w:right w:val="single" w:sz="4" w:space="0" w:color="auto"/>
            </w:tcBorders>
          </w:tcPr>
          <w:p w:rsidR="00096C1C" w:rsidRPr="00E36E3E" w:rsidRDefault="00096C1C" w:rsidP="0035514A">
            <w:pPr>
              <w:rPr>
                <w:rFonts w:ascii="Arial Narrow" w:hAnsi="Arial Narrow" w:cs="Arial"/>
                <w:b/>
                <w:sz w:val="20"/>
                <w:szCs w:val="20"/>
              </w:rPr>
            </w:pPr>
            <w:r w:rsidRPr="00E36E3E">
              <w:rPr>
                <w:rFonts w:ascii="Arial Narrow" w:hAnsi="Arial Narrow" w:cs="Arial"/>
                <w:b/>
                <w:sz w:val="20"/>
                <w:szCs w:val="20"/>
              </w:rPr>
              <w:t>Restriction:</w:t>
            </w:r>
          </w:p>
        </w:tc>
        <w:tc>
          <w:tcPr>
            <w:tcW w:w="5935" w:type="dxa"/>
            <w:tcBorders>
              <w:top w:val="single" w:sz="4" w:space="0" w:color="auto"/>
              <w:left w:val="single" w:sz="4" w:space="0" w:color="auto"/>
              <w:bottom w:val="single" w:sz="4" w:space="0" w:color="auto"/>
              <w:right w:val="single" w:sz="4" w:space="0" w:color="auto"/>
            </w:tcBorders>
          </w:tcPr>
          <w:p w:rsidR="00096C1C" w:rsidRPr="00E36E3E" w:rsidRDefault="00096C1C" w:rsidP="0035514A">
            <w:pPr>
              <w:rPr>
                <w:rFonts w:ascii="Arial Narrow" w:hAnsi="Arial Narrow" w:cs="Arial"/>
                <w:sz w:val="20"/>
                <w:szCs w:val="20"/>
              </w:rPr>
            </w:pPr>
            <w:r w:rsidRPr="00E36E3E">
              <w:rPr>
                <w:rFonts w:ascii="Arial Narrow" w:hAnsi="Arial Narrow" w:cs="Arial"/>
                <w:sz w:val="20"/>
                <w:szCs w:val="20"/>
              </w:rPr>
              <w:t xml:space="preserve">Authority required </w:t>
            </w:r>
            <w:r w:rsidRPr="00E36E3E">
              <w:rPr>
                <w:rFonts w:ascii="Arial Narrow" w:hAnsi="Arial Narrow" w:cs="Arial"/>
                <w:i/>
                <w:sz w:val="20"/>
                <w:szCs w:val="20"/>
              </w:rPr>
              <w:t>(STREAMLINED)</w:t>
            </w:r>
          </w:p>
        </w:tc>
      </w:tr>
      <w:tr w:rsidR="00096C1C" w:rsidRPr="00E36E3E" w:rsidTr="0035514A">
        <w:trPr>
          <w:cantSplit/>
          <w:trHeight w:val="360"/>
        </w:trPr>
        <w:tc>
          <w:tcPr>
            <w:tcW w:w="2428" w:type="dxa"/>
            <w:tcBorders>
              <w:top w:val="single" w:sz="4" w:space="0" w:color="auto"/>
              <w:left w:val="single" w:sz="4" w:space="0" w:color="auto"/>
              <w:bottom w:val="single" w:sz="4" w:space="0" w:color="auto"/>
              <w:right w:val="single" w:sz="4" w:space="0" w:color="auto"/>
            </w:tcBorders>
          </w:tcPr>
          <w:p w:rsidR="00096C1C" w:rsidRPr="00E36E3E" w:rsidRDefault="00096C1C" w:rsidP="0035514A">
            <w:pPr>
              <w:rPr>
                <w:rFonts w:ascii="Arial Narrow" w:hAnsi="Arial Narrow" w:cs="Arial"/>
                <w:b/>
                <w:sz w:val="20"/>
                <w:szCs w:val="20"/>
              </w:rPr>
            </w:pPr>
            <w:r w:rsidRPr="00E36E3E">
              <w:rPr>
                <w:rFonts w:ascii="Arial Narrow" w:hAnsi="Arial Narrow" w:cs="Arial"/>
                <w:b/>
                <w:sz w:val="20"/>
                <w:szCs w:val="20"/>
              </w:rPr>
              <w:t>Clinical criteria:</w:t>
            </w:r>
          </w:p>
          <w:p w:rsidR="00096C1C" w:rsidRPr="00E36E3E" w:rsidRDefault="00096C1C" w:rsidP="0035514A">
            <w:pPr>
              <w:rPr>
                <w:rFonts w:ascii="Arial Narrow" w:hAnsi="Arial Narrow" w:cs="Arial"/>
                <w:sz w:val="20"/>
                <w:szCs w:val="20"/>
              </w:rPr>
            </w:pPr>
          </w:p>
        </w:tc>
        <w:tc>
          <w:tcPr>
            <w:tcW w:w="5935" w:type="dxa"/>
            <w:tcBorders>
              <w:top w:val="single" w:sz="4" w:space="0" w:color="auto"/>
              <w:left w:val="single" w:sz="4" w:space="0" w:color="auto"/>
              <w:bottom w:val="single" w:sz="4" w:space="0" w:color="auto"/>
              <w:right w:val="single" w:sz="4" w:space="0" w:color="auto"/>
            </w:tcBorders>
          </w:tcPr>
          <w:p w:rsidR="00096C1C" w:rsidRPr="00E36E3E" w:rsidRDefault="00096C1C" w:rsidP="0035514A">
            <w:pPr>
              <w:rPr>
                <w:rFonts w:ascii="Arial Narrow" w:hAnsi="Arial Narrow" w:cs="Arial"/>
                <w:sz w:val="20"/>
                <w:szCs w:val="20"/>
              </w:rPr>
            </w:pPr>
            <w:r w:rsidRPr="00E36E3E">
              <w:rPr>
                <w:rFonts w:ascii="Arial Narrow" w:hAnsi="Arial Narrow" w:cs="Arial"/>
                <w:sz w:val="20"/>
                <w:szCs w:val="20"/>
              </w:rPr>
              <w:t xml:space="preserve">Patient must have previously received and been stabilised on a PBS-subsidised regimen of oral diabetic medicines which includes metformin and </w:t>
            </w:r>
            <w:proofErr w:type="spellStart"/>
            <w:r w:rsidRPr="00E36E3E">
              <w:rPr>
                <w:rFonts w:ascii="Arial Narrow" w:hAnsi="Arial Narrow" w:cs="Arial"/>
                <w:sz w:val="20"/>
                <w:szCs w:val="20"/>
              </w:rPr>
              <w:t>dapagliflozin</w:t>
            </w:r>
            <w:proofErr w:type="spellEnd"/>
            <w:r w:rsidRPr="00E36E3E">
              <w:rPr>
                <w:rFonts w:ascii="Arial Narrow" w:hAnsi="Arial Narrow" w:cs="Arial"/>
                <w:sz w:val="20"/>
                <w:szCs w:val="20"/>
              </w:rPr>
              <w:t>.</w:t>
            </w:r>
          </w:p>
        </w:tc>
      </w:tr>
      <w:tr w:rsidR="00096C1C" w:rsidRPr="00E36E3E" w:rsidTr="0035514A">
        <w:trPr>
          <w:cantSplit/>
          <w:trHeight w:val="360"/>
        </w:trPr>
        <w:tc>
          <w:tcPr>
            <w:tcW w:w="2428" w:type="dxa"/>
            <w:tcBorders>
              <w:top w:val="single" w:sz="4" w:space="0" w:color="auto"/>
              <w:left w:val="single" w:sz="4" w:space="0" w:color="auto"/>
              <w:bottom w:val="single" w:sz="4" w:space="0" w:color="auto"/>
              <w:right w:val="single" w:sz="4" w:space="0" w:color="auto"/>
            </w:tcBorders>
          </w:tcPr>
          <w:p w:rsidR="00096C1C" w:rsidRPr="00E36E3E" w:rsidRDefault="00096C1C" w:rsidP="0035514A">
            <w:pPr>
              <w:rPr>
                <w:rFonts w:ascii="Arial Narrow" w:hAnsi="Arial Narrow" w:cs="Arial"/>
                <w:b/>
                <w:sz w:val="20"/>
                <w:szCs w:val="20"/>
              </w:rPr>
            </w:pPr>
            <w:r w:rsidRPr="00E36E3E">
              <w:rPr>
                <w:rFonts w:ascii="Arial Narrow" w:hAnsi="Arial Narrow" w:cs="Arial"/>
                <w:b/>
                <w:sz w:val="20"/>
                <w:szCs w:val="20"/>
              </w:rPr>
              <w:t>Administrative Advice</w:t>
            </w:r>
          </w:p>
          <w:p w:rsidR="00096C1C" w:rsidRPr="00E36E3E" w:rsidRDefault="00096C1C" w:rsidP="0035514A">
            <w:pPr>
              <w:rPr>
                <w:rFonts w:ascii="Arial Narrow" w:hAnsi="Arial Narrow" w:cs="Arial"/>
                <w:i/>
                <w:sz w:val="20"/>
                <w:szCs w:val="20"/>
              </w:rPr>
            </w:pPr>
          </w:p>
        </w:tc>
        <w:tc>
          <w:tcPr>
            <w:tcW w:w="5935" w:type="dxa"/>
            <w:tcBorders>
              <w:top w:val="single" w:sz="4" w:space="0" w:color="auto"/>
              <w:left w:val="single" w:sz="4" w:space="0" w:color="auto"/>
              <w:bottom w:val="single" w:sz="4" w:space="0" w:color="auto"/>
              <w:right w:val="single" w:sz="4" w:space="0" w:color="auto"/>
            </w:tcBorders>
          </w:tcPr>
          <w:p w:rsidR="00096C1C" w:rsidRPr="00E36E3E" w:rsidRDefault="00096C1C" w:rsidP="0035514A">
            <w:pPr>
              <w:autoSpaceDE w:val="0"/>
              <w:autoSpaceDN w:val="0"/>
              <w:adjustRightInd w:val="0"/>
              <w:rPr>
                <w:rFonts w:ascii="Arial Narrow" w:hAnsi="Arial Narrow" w:cs="Arial"/>
                <w:b/>
                <w:color w:val="000000"/>
                <w:sz w:val="20"/>
                <w:szCs w:val="20"/>
              </w:rPr>
            </w:pPr>
            <w:r w:rsidRPr="00E36E3E">
              <w:rPr>
                <w:rFonts w:ascii="Arial Narrow" w:hAnsi="Arial Narrow" w:cs="Arial"/>
                <w:b/>
                <w:color w:val="000000"/>
                <w:sz w:val="20"/>
                <w:szCs w:val="20"/>
              </w:rPr>
              <w:t>Note:</w:t>
            </w:r>
          </w:p>
          <w:p w:rsidR="00096C1C" w:rsidRPr="00E36E3E" w:rsidRDefault="00096C1C" w:rsidP="0035514A">
            <w:pPr>
              <w:autoSpaceDE w:val="0"/>
              <w:autoSpaceDN w:val="0"/>
              <w:adjustRightInd w:val="0"/>
              <w:rPr>
                <w:rFonts w:ascii="Arial Narrow" w:hAnsi="Arial Narrow" w:cs="Arial"/>
                <w:b/>
                <w:color w:val="000000"/>
                <w:sz w:val="20"/>
                <w:szCs w:val="20"/>
              </w:rPr>
            </w:pPr>
            <w:r w:rsidRPr="00E36E3E">
              <w:rPr>
                <w:rFonts w:ascii="Arial Narrow" w:hAnsi="Arial Narrow" w:cs="Arial"/>
                <w:b/>
                <w:color w:val="000000"/>
                <w:sz w:val="20"/>
                <w:szCs w:val="20"/>
              </w:rPr>
              <w:t>Continuing Therapy Only:</w:t>
            </w:r>
          </w:p>
          <w:p w:rsidR="00096C1C" w:rsidRPr="00E36E3E" w:rsidRDefault="00096C1C" w:rsidP="0035514A">
            <w:pPr>
              <w:autoSpaceDE w:val="0"/>
              <w:autoSpaceDN w:val="0"/>
              <w:adjustRightInd w:val="0"/>
              <w:rPr>
                <w:rFonts w:ascii="Arial Narrow" w:hAnsi="Arial Narrow" w:cs="Arial"/>
                <w:color w:val="000000"/>
                <w:sz w:val="20"/>
                <w:szCs w:val="20"/>
              </w:rPr>
            </w:pPr>
            <w:r w:rsidRPr="00E36E3E">
              <w:rPr>
                <w:rFonts w:ascii="Arial Narrow" w:hAnsi="Arial Narrow" w:cs="Arial"/>
                <w:color w:val="000000"/>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096C1C" w:rsidRPr="00E36E3E" w:rsidRDefault="00096C1C" w:rsidP="0035514A">
            <w:pPr>
              <w:pStyle w:val="NormalWeb"/>
              <w:shd w:val="clear" w:color="auto" w:fill="FFFFFF"/>
              <w:rPr>
                <w:rFonts w:ascii="Arial Narrow" w:hAnsi="Arial Narrow" w:cs="Arial"/>
                <w:sz w:val="20"/>
                <w:szCs w:val="20"/>
              </w:rPr>
            </w:pPr>
            <w:r w:rsidRPr="00E36E3E">
              <w:rPr>
                <w:rFonts w:ascii="Arial Narrow" w:hAnsi="Arial Narrow" w:cs="Arial"/>
                <w:sz w:val="20"/>
                <w:szCs w:val="20"/>
              </w:rPr>
              <w:t xml:space="preserve">This fixed dose combination is not PBS-subsidised for use in combination with a sulfonylurea (triple oral therapy), as initial therapy or in combination with </w:t>
            </w:r>
            <w:proofErr w:type="gramStart"/>
            <w:r w:rsidRPr="00E36E3E">
              <w:rPr>
                <w:rFonts w:ascii="Arial Narrow" w:hAnsi="Arial Narrow" w:cs="Arial"/>
                <w:sz w:val="20"/>
                <w:szCs w:val="20"/>
              </w:rPr>
              <w:t>an insulin</w:t>
            </w:r>
            <w:proofErr w:type="gramEnd"/>
            <w:r w:rsidRPr="00E36E3E">
              <w:rPr>
                <w:rFonts w:ascii="Arial Narrow" w:hAnsi="Arial Narrow" w:cs="Arial"/>
                <w:sz w:val="20"/>
                <w:szCs w:val="20"/>
              </w:rPr>
              <w:t>, thiazolidinedione (</w:t>
            </w:r>
            <w:proofErr w:type="spellStart"/>
            <w:r w:rsidRPr="00E36E3E">
              <w:rPr>
                <w:rFonts w:ascii="Arial Narrow" w:hAnsi="Arial Narrow" w:cs="Arial"/>
                <w:sz w:val="20"/>
                <w:szCs w:val="20"/>
              </w:rPr>
              <w:t>glitazone</w:t>
            </w:r>
            <w:proofErr w:type="spellEnd"/>
            <w:r w:rsidRPr="00E36E3E">
              <w:rPr>
                <w:rFonts w:ascii="Arial Narrow" w:hAnsi="Arial Narrow" w:cs="Arial"/>
                <w:sz w:val="20"/>
                <w:szCs w:val="20"/>
              </w:rPr>
              <w:t xml:space="preserve">), a </w:t>
            </w:r>
            <w:proofErr w:type="spellStart"/>
            <w:r w:rsidRPr="00E36E3E">
              <w:rPr>
                <w:rFonts w:ascii="Arial Narrow" w:hAnsi="Arial Narrow" w:cs="Arial"/>
                <w:color w:val="000000"/>
                <w:sz w:val="20"/>
                <w:szCs w:val="20"/>
                <w:shd w:val="clear" w:color="auto" w:fill="FFFFFF"/>
              </w:rPr>
              <w:t>dipeptidyl</w:t>
            </w:r>
            <w:proofErr w:type="spellEnd"/>
            <w:r w:rsidRPr="00E36E3E">
              <w:rPr>
                <w:rFonts w:ascii="Arial Narrow" w:hAnsi="Arial Narrow" w:cs="Arial"/>
                <w:color w:val="000000"/>
                <w:sz w:val="20"/>
                <w:szCs w:val="20"/>
                <w:shd w:val="clear" w:color="auto" w:fill="FFFFFF"/>
              </w:rPr>
              <w:t xml:space="preserve"> peptidase 4 inhibitor (</w:t>
            </w:r>
            <w:proofErr w:type="spellStart"/>
            <w:r w:rsidRPr="00E36E3E">
              <w:rPr>
                <w:rFonts w:ascii="Arial Narrow" w:hAnsi="Arial Narrow" w:cs="Arial"/>
                <w:color w:val="000000"/>
                <w:sz w:val="20"/>
                <w:szCs w:val="20"/>
                <w:shd w:val="clear" w:color="auto" w:fill="FFFFFF"/>
              </w:rPr>
              <w:t>gliptin</w:t>
            </w:r>
            <w:proofErr w:type="spellEnd"/>
            <w:r w:rsidRPr="00E36E3E">
              <w:rPr>
                <w:rFonts w:ascii="Arial Narrow" w:hAnsi="Arial Narrow" w:cs="Arial"/>
                <w:color w:val="000000"/>
                <w:sz w:val="20"/>
                <w:szCs w:val="20"/>
                <w:shd w:val="clear" w:color="auto" w:fill="FFFFFF"/>
              </w:rPr>
              <w:t>) or</w:t>
            </w:r>
            <w:r w:rsidRPr="00E36E3E">
              <w:rPr>
                <w:rFonts w:ascii="Arial Narrow" w:hAnsi="Arial Narrow" w:cs="Arial"/>
                <w:sz w:val="20"/>
                <w:szCs w:val="20"/>
              </w:rPr>
              <w:t xml:space="preserve"> a glucagon-like peptide-1. </w:t>
            </w:r>
          </w:p>
        </w:tc>
      </w:tr>
    </w:tbl>
    <w:p w:rsidR="006B485D" w:rsidRDefault="006B485D" w:rsidP="00BC4B9A">
      <w:pPr>
        <w:rPr>
          <w:rFonts w:ascii="Arial" w:hAnsi="Arial"/>
        </w:rPr>
      </w:pPr>
    </w:p>
    <w:p w:rsidR="00396646" w:rsidRDefault="00396646" w:rsidP="00396646">
      <w:pPr>
        <w:pStyle w:val="ListParagraph"/>
        <w:numPr>
          <w:ilvl w:val="0"/>
          <w:numId w:val="1"/>
        </w:numPr>
        <w:jc w:val="both"/>
        <w:rPr>
          <w:rFonts w:ascii="Arial" w:hAnsi="Arial" w:cs="Arial"/>
          <w:b/>
          <w:sz w:val="22"/>
        </w:rPr>
      </w:pPr>
      <w:r w:rsidRPr="00D4420F">
        <w:rPr>
          <w:rFonts w:ascii="Arial" w:hAnsi="Arial" w:cs="Arial"/>
          <w:b/>
          <w:sz w:val="22"/>
        </w:rPr>
        <w:t>Context for Decision</w:t>
      </w:r>
    </w:p>
    <w:p w:rsidR="00396646" w:rsidRPr="00D4420F" w:rsidRDefault="00396646" w:rsidP="00396646">
      <w:pPr>
        <w:pStyle w:val="ListParagraph"/>
        <w:jc w:val="both"/>
        <w:rPr>
          <w:rFonts w:ascii="Arial" w:hAnsi="Arial" w:cs="Arial"/>
          <w:b/>
          <w:sz w:val="22"/>
        </w:rPr>
      </w:pPr>
    </w:p>
    <w:p w:rsidR="00396646" w:rsidRPr="00D4420F" w:rsidRDefault="00396646" w:rsidP="00396646">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96646" w:rsidRPr="00D4420F" w:rsidRDefault="00396646" w:rsidP="00396646">
      <w:pPr>
        <w:jc w:val="both"/>
        <w:rPr>
          <w:rFonts w:ascii="Arial" w:hAnsi="Arial" w:cs="Arial"/>
          <w:sz w:val="22"/>
        </w:rPr>
      </w:pPr>
    </w:p>
    <w:p w:rsidR="00396646" w:rsidRPr="00D4420F" w:rsidRDefault="00396646" w:rsidP="00396646">
      <w:pPr>
        <w:pStyle w:val="ListParagraph"/>
        <w:numPr>
          <w:ilvl w:val="0"/>
          <w:numId w:val="1"/>
        </w:numPr>
        <w:jc w:val="both"/>
        <w:rPr>
          <w:rFonts w:ascii="Arial" w:hAnsi="Arial" w:cs="Arial"/>
          <w:b/>
          <w:sz w:val="22"/>
        </w:rPr>
      </w:pPr>
      <w:r w:rsidRPr="00D4420F">
        <w:rPr>
          <w:rFonts w:ascii="Arial" w:hAnsi="Arial" w:cs="Arial"/>
          <w:b/>
          <w:sz w:val="22"/>
        </w:rPr>
        <w:t>Sponsor’s Comment</w:t>
      </w:r>
    </w:p>
    <w:p w:rsidR="00396646" w:rsidRDefault="00E90B29" w:rsidP="00BC4B9A">
      <w:pPr>
        <w:rPr>
          <w:rFonts w:ascii="Arial" w:hAnsi="Arial"/>
        </w:rPr>
      </w:pPr>
      <w:r>
        <w:rPr>
          <w:rFonts w:ascii="Arial" w:hAnsi="Arial"/>
        </w:rPr>
        <w:tab/>
      </w:r>
    </w:p>
    <w:p w:rsidR="00E90B29" w:rsidRPr="00E90B29" w:rsidRDefault="00E90B29" w:rsidP="00BC4B9A">
      <w:pPr>
        <w:rPr>
          <w:rFonts w:ascii="Arial" w:hAnsi="Arial"/>
          <w:sz w:val="22"/>
          <w:szCs w:val="22"/>
        </w:rPr>
      </w:pPr>
      <w:r>
        <w:rPr>
          <w:rFonts w:ascii="Arial" w:hAnsi="Arial"/>
        </w:rPr>
        <w:tab/>
      </w:r>
      <w:r w:rsidRPr="00E90B29">
        <w:rPr>
          <w:rFonts w:ascii="Arial" w:hAnsi="Arial"/>
          <w:sz w:val="22"/>
          <w:szCs w:val="22"/>
        </w:rPr>
        <w:t>The sponsor had no comment.</w:t>
      </w:r>
    </w:p>
    <w:sectPr w:rsidR="00E90B29" w:rsidRPr="00E90B29"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090" w:rsidRDefault="00DF4090">
      <w:r>
        <w:separator/>
      </w:r>
    </w:p>
  </w:endnote>
  <w:endnote w:type="continuationSeparator" w:id="0">
    <w:p w:rsidR="00DF4090" w:rsidRDefault="00DF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42FE9" w:rsidTr="005A3173">
      <w:trPr>
        <w:trHeight w:val="151"/>
      </w:trPr>
      <w:tc>
        <w:tcPr>
          <w:tcW w:w="2250" w:type="pct"/>
          <w:tcBorders>
            <w:top w:val="nil"/>
            <w:left w:val="nil"/>
            <w:bottom w:val="single" w:sz="4" w:space="0" w:color="4F81BD"/>
            <w:right w:val="nil"/>
          </w:tcBorders>
        </w:tcPr>
        <w:p w:rsidR="00342FE9" w:rsidRPr="005A3173" w:rsidRDefault="00342FE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42FE9" w:rsidRPr="005A3173" w:rsidRDefault="00342FE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42FE9" w:rsidRPr="005A3173" w:rsidRDefault="00342FE9" w:rsidP="005A3173">
          <w:pPr>
            <w:pStyle w:val="Header"/>
            <w:spacing w:line="276" w:lineRule="auto"/>
            <w:rPr>
              <w:rFonts w:ascii="Calibri" w:eastAsia="MS Gothic" w:hAnsi="Calibri"/>
              <w:b/>
              <w:bCs/>
              <w:color w:val="4F81BD"/>
            </w:rPr>
          </w:pPr>
        </w:p>
      </w:tc>
    </w:tr>
    <w:tr w:rsidR="00342FE9" w:rsidTr="005A3173">
      <w:trPr>
        <w:trHeight w:val="150"/>
      </w:trPr>
      <w:tc>
        <w:tcPr>
          <w:tcW w:w="2250" w:type="pct"/>
          <w:tcBorders>
            <w:top w:val="single" w:sz="4" w:space="0" w:color="4F81BD"/>
            <w:left w:val="nil"/>
            <w:bottom w:val="nil"/>
            <w:right w:val="nil"/>
          </w:tcBorders>
        </w:tcPr>
        <w:p w:rsidR="00342FE9" w:rsidRPr="005A3173" w:rsidRDefault="00342FE9" w:rsidP="005A3173">
          <w:pPr>
            <w:pStyle w:val="Header"/>
            <w:spacing w:line="276" w:lineRule="auto"/>
            <w:rPr>
              <w:rFonts w:ascii="Calibri" w:eastAsia="MS Gothic" w:hAnsi="Calibri"/>
              <w:b/>
              <w:bCs/>
              <w:color w:val="4F81BD"/>
            </w:rPr>
          </w:pPr>
        </w:p>
      </w:tc>
      <w:tc>
        <w:tcPr>
          <w:tcW w:w="0" w:type="auto"/>
          <w:vMerge/>
          <w:vAlign w:val="center"/>
          <w:hideMark/>
        </w:tcPr>
        <w:p w:rsidR="00342FE9" w:rsidRPr="005A3173" w:rsidRDefault="00342FE9" w:rsidP="005A3173">
          <w:pPr>
            <w:rPr>
              <w:rFonts w:ascii="Calibri" w:hAnsi="Calibri"/>
              <w:color w:val="365F91"/>
              <w:sz w:val="22"/>
              <w:szCs w:val="22"/>
            </w:rPr>
          </w:pPr>
        </w:p>
      </w:tc>
      <w:tc>
        <w:tcPr>
          <w:tcW w:w="2250" w:type="pct"/>
          <w:tcBorders>
            <w:top w:val="single" w:sz="4" w:space="0" w:color="4F81BD"/>
            <w:left w:val="nil"/>
            <w:bottom w:val="nil"/>
            <w:right w:val="nil"/>
          </w:tcBorders>
        </w:tcPr>
        <w:p w:rsidR="00342FE9" w:rsidRPr="005A3173" w:rsidRDefault="00342FE9" w:rsidP="005A3173">
          <w:pPr>
            <w:pStyle w:val="Header"/>
            <w:spacing w:line="276" w:lineRule="auto"/>
            <w:rPr>
              <w:rFonts w:ascii="Calibri" w:eastAsia="MS Gothic" w:hAnsi="Calibri"/>
              <w:b/>
              <w:bCs/>
              <w:color w:val="4F81BD"/>
            </w:rPr>
          </w:pPr>
        </w:p>
      </w:tc>
    </w:tr>
  </w:tbl>
  <w:p w:rsidR="00342FE9" w:rsidRDefault="00342FE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2FE9" w:rsidRDefault="00342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342FE9" w:rsidRDefault="00342FE9">
        <w:pPr>
          <w:pStyle w:val="Footer"/>
          <w:jc w:val="center"/>
        </w:pPr>
      </w:p>
      <w:p w:rsidR="00342FE9" w:rsidRPr="00651169" w:rsidRDefault="00342FE9">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7D732A">
          <w:rPr>
            <w:rFonts w:ascii="Arial" w:hAnsi="Arial" w:cs="Arial"/>
            <w:noProof/>
            <w:sz w:val="20"/>
            <w:szCs w:val="20"/>
          </w:rPr>
          <w:t>7</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42FE9" w:rsidTr="005A3173">
      <w:trPr>
        <w:trHeight w:val="151"/>
      </w:trPr>
      <w:tc>
        <w:tcPr>
          <w:tcW w:w="2250" w:type="pct"/>
          <w:tcBorders>
            <w:top w:val="nil"/>
            <w:left w:val="nil"/>
            <w:bottom w:val="single" w:sz="4" w:space="0" w:color="4F81BD"/>
            <w:right w:val="nil"/>
          </w:tcBorders>
        </w:tcPr>
        <w:p w:rsidR="00342FE9" w:rsidRPr="005A3173" w:rsidRDefault="00342FE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42FE9" w:rsidRPr="005A3173" w:rsidRDefault="00342FE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42FE9" w:rsidRPr="005A3173" w:rsidRDefault="00342FE9" w:rsidP="005A3173">
          <w:pPr>
            <w:pStyle w:val="Header"/>
            <w:spacing w:line="276" w:lineRule="auto"/>
            <w:rPr>
              <w:rFonts w:ascii="Calibri" w:eastAsia="MS Gothic" w:hAnsi="Calibri"/>
              <w:b/>
              <w:bCs/>
              <w:color w:val="4F81BD"/>
            </w:rPr>
          </w:pPr>
        </w:p>
      </w:tc>
    </w:tr>
    <w:tr w:rsidR="00342FE9" w:rsidTr="005A3173">
      <w:trPr>
        <w:trHeight w:val="150"/>
      </w:trPr>
      <w:tc>
        <w:tcPr>
          <w:tcW w:w="2250" w:type="pct"/>
          <w:tcBorders>
            <w:top w:val="single" w:sz="4" w:space="0" w:color="4F81BD"/>
            <w:left w:val="nil"/>
            <w:bottom w:val="nil"/>
            <w:right w:val="nil"/>
          </w:tcBorders>
        </w:tcPr>
        <w:p w:rsidR="00342FE9" w:rsidRPr="005A3173" w:rsidRDefault="00342FE9" w:rsidP="005A3173">
          <w:pPr>
            <w:pStyle w:val="Header"/>
            <w:spacing w:line="276" w:lineRule="auto"/>
            <w:rPr>
              <w:rFonts w:ascii="Calibri" w:eastAsia="MS Gothic" w:hAnsi="Calibri"/>
              <w:b/>
              <w:bCs/>
              <w:color w:val="4F81BD"/>
            </w:rPr>
          </w:pPr>
        </w:p>
      </w:tc>
      <w:tc>
        <w:tcPr>
          <w:tcW w:w="0" w:type="auto"/>
          <w:vMerge/>
          <w:vAlign w:val="center"/>
          <w:hideMark/>
        </w:tcPr>
        <w:p w:rsidR="00342FE9" w:rsidRPr="005A3173" w:rsidRDefault="00342FE9" w:rsidP="005A3173">
          <w:pPr>
            <w:rPr>
              <w:rFonts w:ascii="Calibri" w:hAnsi="Calibri"/>
              <w:color w:val="365F91"/>
              <w:sz w:val="22"/>
              <w:szCs w:val="22"/>
            </w:rPr>
          </w:pPr>
        </w:p>
      </w:tc>
      <w:tc>
        <w:tcPr>
          <w:tcW w:w="2250" w:type="pct"/>
          <w:tcBorders>
            <w:top w:val="single" w:sz="4" w:space="0" w:color="4F81BD"/>
            <w:left w:val="nil"/>
            <w:bottom w:val="nil"/>
            <w:right w:val="nil"/>
          </w:tcBorders>
        </w:tcPr>
        <w:p w:rsidR="00342FE9" w:rsidRPr="005A3173" w:rsidRDefault="00342FE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42FE9" w:rsidTr="005A3173">
      <w:trPr>
        <w:trHeight w:val="151"/>
      </w:trPr>
      <w:tc>
        <w:tcPr>
          <w:tcW w:w="2250" w:type="pct"/>
          <w:tcBorders>
            <w:top w:val="nil"/>
            <w:left w:val="nil"/>
            <w:bottom w:val="single" w:sz="4" w:space="0" w:color="4F81BD"/>
            <w:right w:val="nil"/>
          </w:tcBorders>
        </w:tcPr>
        <w:p w:rsidR="00342FE9" w:rsidRPr="005A3173" w:rsidRDefault="00342FE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42FE9" w:rsidRPr="005A3173" w:rsidRDefault="00342FE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42FE9" w:rsidRPr="005A3173" w:rsidRDefault="00342FE9" w:rsidP="005A3173">
          <w:pPr>
            <w:pStyle w:val="Header"/>
            <w:spacing w:line="276" w:lineRule="auto"/>
            <w:rPr>
              <w:rFonts w:ascii="Calibri" w:eastAsia="MS Gothic" w:hAnsi="Calibri"/>
              <w:b/>
              <w:bCs/>
              <w:color w:val="4F81BD"/>
            </w:rPr>
          </w:pPr>
        </w:p>
      </w:tc>
    </w:tr>
    <w:tr w:rsidR="00342FE9" w:rsidTr="005A3173">
      <w:trPr>
        <w:trHeight w:val="150"/>
      </w:trPr>
      <w:tc>
        <w:tcPr>
          <w:tcW w:w="2250" w:type="pct"/>
          <w:tcBorders>
            <w:top w:val="single" w:sz="4" w:space="0" w:color="4F81BD"/>
            <w:left w:val="nil"/>
            <w:bottom w:val="nil"/>
            <w:right w:val="nil"/>
          </w:tcBorders>
        </w:tcPr>
        <w:p w:rsidR="00342FE9" w:rsidRPr="005A3173" w:rsidRDefault="00342FE9" w:rsidP="005A3173">
          <w:pPr>
            <w:pStyle w:val="Header"/>
            <w:spacing w:line="276" w:lineRule="auto"/>
            <w:rPr>
              <w:rFonts w:ascii="Calibri" w:eastAsia="MS Gothic" w:hAnsi="Calibri"/>
              <w:b/>
              <w:bCs/>
              <w:color w:val="4F81BD"/>
            </w:rPr>
          </w:pPr>
        </w:p>
      </w:tc>
      <w:tc>
        <w:tcPr>
          <w:tcW w:w="0" w:type="auto"/>
          <w:vMerge/>
          <w:vAlign w:val="center"/>
          <w:hideMark/>
        </w:tcPr>
        <w:p w:rsidR="00342FE9" w:rsidRPr="005A3173" w:rsidRDefault="00342FE9" w:rsidP="005A3173">
          <w:pPr>
            <w:rPr>
              <w:rFonts w:ascii="Calibri" w:hAnsi="Calibri"/>
              <w:color w:val="365F91"/>
              <w:sz w:val="22"/>
              <w:szCs w:val="22"/>
            </w:rPr>
          </w:pPr>
        </w:p>
      </w:tc>
      <w:tc>
        <w:tcPr>
          <w:tcW w:w="2250" w:type="pct"/>
          <w:tcBorders>
            <w:top w:val="single" w:sz="4" w:space="0" w:color="4F81BD"/>
            <w:left w:val="nil"/>
            <w:bottom w:val="nil"/>
            <w:right w:val="nil"/>
          </w:tcBorders>
        </w:tcPr>
        <w:p w:rsidR="00342FE9" w:rsidRPr="005A3173" w:rsidRDefault="00342FE9" w:rsidP="005A3173">
          <w:pPr>
            <w:pStyle w:val="Header"/>
            <w:spacing w:line="276" w:lineRule="auto"/>
            <w:rPr>
              <w:rFonts w:ascii="Calibri" w:eastAsia="MS Gothic" w:hAnsi="Calibri"/>
              <w:b/>
              <w:bCs/>
              <w:color w:val="4F81BD"/>
            </w:rPr>
          </w:pPr>
        </w:p>
      </w:tc>
    </w:tr>
  </w:tbl>
  <w:p w:rsidR="00342FE9" w:rsidRPr="007C0F57" w:rsidRDefault="00342FE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42FE9" w:rsidRPr="007C0F57" w:rsidRDefault="00342FE9"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090" w:rsidRDefault="00DF4090">
      <w:r>
        <w:separator/>
      </w:r>
    </w:p>
  </w:footnote>
  <w:footnote w:type="continuationSeparator" w:id="0">
    <w:p w:rsidR="00DF4090" w:rsidRDefault="00DF4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42FE9" w:rsidRPr="008E0D90" w:rsidTr="00A06225">
      <w:trPr>
        <w:trHeight w:val="151"/>
      </w:trPr>
      <w:tc>
        <w:tcPr>
          <w:tcW w:w="2389" w:type="pct"/>
          <w:tcBorders>
            <w:top w:val="nil"/>
            <w:left w:val="nil"/>
            <w:bottom w:val="single" w:sz="4" w:space="0" w:color="4F81BD"/>
            <w:right w:val="nil"/>
          </w:tcBorders>
        </w:tcPr>
        <w:p w:rsidR="00342FE9" w:rsidRPr="00A06225" w:rsidRDefault="00342FE9">
          <w:pPr>
            <w:pStyle w:val="Header"/>
            <w:spacing w:line="276" w:lineRule="auto"/>
            <w:rPr>
              <w:rFonts w:ascii="Cambria" w:eastAsia="MS Gothic" w:hAnsi="Cambria"/>
              <w:b/>
              <w:bCs/>
              <w:color w:val="4F81BD"/>
            </w:rPr>
          </w:pPr>
        </w:p>
      </w:tc>
      <w:tc>
        <w:tcPr>
          <w:tcW w:w="333" w:type="pct"/>
          <w:vMerge w:val="restart"/>
          <w:noWrap/>
          <w:vAlign w:val="center"/>
          <w:hideMark/>
        </w:tcPr>
        <w:p w:rsidR="00342FE9" w:rsidRPr="00A06225" w:rsidRDefault="00342FE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42FE9" w:rsidRPr="00A06225" w:rsidRDefault="00342FE9">
          <w:pPr>
            <w:pStyle w:val="Header"/>
            <w:spacing w:line="276" w:lineRule="auto"/>
            <w:rPr>
              <w:rFonts w:ascii="Cambria" w:eastAsia="MS Gothic" w:hAnsi="Cambria"/>
              <w:b/>
              <w:bCs/>
              <w:color w:val="4F81BD"/>
            </w:rPr>
          </w:pPr>
        </w:p>
      </w:tc>
    </w:tr>
    <w:tr w:rsidR="00342FE9" w:rsidRPr="008E0D90" w:rsidTr="00A06225">
      <w:trPr>
        <w:trHeight w:val="150"/>
      </w:trPr>
      <w:tc>
        <w:tcPr>
          <w:tcW w:w="2389" w:type="pct"/>
          <w:tcBorders>
            <w:top w:val="single" w:sz="4" w:space="0" w:color="4F81BD"/>
            <w:left w:val="nil"/>
            <w:bottom w:val="nil"/>
            <w:right w:val="nil"/>
          </w:tcBorders>
        </w:tcPr>
        <w:p w:rsidR="00342FE9" w:rsidRPr="00A06225" w:rsidRDefault="00342FE9">
          <w:pPr>
            <w:pStyle w:val="Header"/>
            <w:spacing w:line="276" w:lineRule="auto"/>
            <w:rPr>
              <w:rFonts w:ascii="Cambria" w:eastAsia="MS Gothic" w:hAnsi="Cambria"/>
              <w:b/>
              <w:bCs/>
              <w:color w:val="4F81BD"/>
            </w:rPr>
          </w:pPr>
        </w:p>
      </w:tc>
      <w:tc>
        <w:tcPr>
          <w:tcW w:w="0" w:type="auto"/>
          <w:vMerge/>
          <w:vAlign w:val="center"/>
          <w:hideMark/>
        </w:tcPr>
        <w:p w:rsidR="00342FE9" w:rsidRPr="00A06225" w:rsidRDefault="00342FE9">
          <w:pPr>
            <w:rPr>
              <w:rFonts w:ascii="Cambria" w:hAnsi="Cambria"/>
              <w:color w:val="4F81BD"/>
              <w:sz w:val="22"/>
              <w:szCs w:val="22"/>
            </w:rPr>
          </w:pPr>
        </w:p>
      </w:tc>
      <w:tc>
        <w:tcPr>
          <w:tcW w:w="2278" w:type="pct"/>
          <w:tcBorders>
            <w:top w:val="single" w:sz="4" w:space="0" w:color="4F81BD"/>
            <w:left w:val="nil"/>
            <w:bottom w:val="nil"/>
            <w:right w:val="nil"/>
          </w:tcBorders>
        </w:tcPr>
        <w:p w:rsidR="00342FE9" w:rsidRPr="00A06225" w:rsidRDefault="00342FE9">
          <w:pPr>
            <w:pStyle w:val="Header"/>
            <w:spacing w:line="276" w:lineRule="auto"/>
            <w:rPr>
              <w:rFonts w:ascii="Cambria" w:eastAsia="MS Gothic" w:hAnsi="Cambria"/>
              <w:b/>
              <w:bCs/>
              <w:color w:val="4F81BD"/>
            </w:rPr>
          </w:pPr>
        </w:p>
      </w:tc>
    </w:tr>
  </w:tbl>
  <w:p w:rsidR="00342FE9" w:rsidRDefault="00342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646" w:rsidRPr="00DF217D" w:rsidRDefault="00396646" w:rsidP="00396646">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342FE9" w:rsidRPr="00DF217D" w:rsidRDefault="00342FE9"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2B86"/>
    <w:multiLevelType w:val="multilevel"/>
    <w:tmpl w:val="5C86FA2C"/>
    <w:lvl w:ilvl="0">
      <w:start w:val="4"/>
      <w:numFmt w:val="decimal"/>
      <w:lvlText w:val="%1"/>
      <w:lvlJc w:val="left"/>
      <w:pPr>
        <w:ind w:left="720" w:hanging="720"/>
      </w:pPr>
      <w:rPr>
        <w:rFonts w:hint="default"/>
        <w:b/>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AF912B7"/>
    <w:multiLevelType w:val="hybridMultilevel"/>
    <w:tmpl w:val="AF44788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C332DEE"/>
    <w:multiLevelType w:val="hybridMultilevel"/>
    <w:tmpl w:val="A79812F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59BC5196"/>
    <w:multiLevelType w:val="multilevel"/>
    <w:tmpl w:val="33CCA444"/>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ascii="Arial" w:hAnsi="Arial" w:cs="Arial" w:hint="default"/>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05A7913"/>
    <w:multiLevelType w:val="hybridMultilevel"/>
    <w:tmpl w:val="57EA2DDE"/>
    <w:lvl w:ilvl="0" w:tplc="FE3CEF7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762707AD"/>
    <w:multiLevelType w:val="hybridMultilevel"/>
    <w:tmpl w:val="54084A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784D033C"/>
    <w:multiLevelType w:val="multilevel"/>
    <w:tmpl w:val="5642B37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0"/>
  </w:num>
  <w:num w:numId="4">
    <w:abstractNumId w:val="4"/>
  </w:num>
  <w:num w:numId="5">
    <w:abstractNumId w:val="2"/>
  </w:num>
  <w:num w:numId="6">
    <w:abstractNumId w:val="1"/>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1616"/>
    <w:rsid w:val="00013D01"/>
    <w:rsid w:val="0002464A"/>
    <w:rsid w:val="0003106B"/>
    <w:rsid w:val="000421A1"/>
    <w:rsid w:val="0004240E"/>
    <w:rsid w:val="00045E26"/>
    <w:rsid w:val="000514B5"/>
    <w:rsid w:val="00060E64"/>
    <w:rsid w:val="00063D53"/>
    <w:rsid w:val="00065AEF"/>
    <w:rsid w:val="00067009"/>
    <w:rsid w:val="00080445"/>
    <w:rsid w:val="000969AD"/>
    <w:rsid w:val="00096C1C"/>
    <w:rsid w:val="000B558D"/>
    <w:rsid w:val="000C6996"/>
    <w:rsid w:val="000D23BA"/>
    <w:rsid w:val="000E681E"/>
    <w:rsid w:val="000F4E6A"/>
    <w:rsid w:val="000F56A3"/>
    <w:rsid w:val="001107BF"/>
    <w:rsid w:val="00113DC0"/>
    <w:rsid w:val="0012417C"/>
    <w:rsid w:val="00136CA5"/>
    <w:rsid w:val="00142395"/>
    <w:rsid w:val="00142714"/>
    <w:rsid w:val="001452ED"/>
    <w:rsid w:val="0015762F"/>
    <w:rsid w:val="00165226"/>
    <w:rsid w:val="001830CE"/>
    <w:rsid w:val="00196307"/>
    <w:rsid w:val="001A38EA"/>
    <w:rsid w:val="001B017F"/>
    <w:rsid w:val="001B45C2"/>
    <w:rsid w:val="001B5129"/>
    <w:rsid w:val="001C1195"/>
    <w:rsid w:val="001C6158"/>
    <w:rsid w:val="001D17EB"/>
    <w:rsid w:val="001D4227"/>
    <w:rsid w:val="001E3DDD"/>
    <w:rsid w:val="00204211"/>
    <w:rsid w:val="002116E6"/>
    <w:rsid w:val="00221F9B"/>
    <w:rsid w:val="0022701F"/>
    <w:rsid w:val="00265AFC"/>
    <w:rsid w:val="00271BA1"/>
    <w:rsid w:val="00274415"/>
    <w:rsid w:val="00277505"/>
    <w:rsid w:val="0029458F"/>
    <w:rsid w:val="002A4960"/>
    <w:rsid w:val="002B1AE6"/>
    <w:rsid w:val="002B30F8"/>
    <w:rsid w:val="002B38E7"/>
    <w:rsid w:val="002C212F"/>
    <w:rsid w:val="002E7872"/>
    <w:rsid w:val="002F2EAA"/>
    <w:rsid w:val="00326E79"/>
    <w:rsid w:val="003367EF"/>
    <w:rsid w:val="00341AE4"/>
    <w:rsid w:val="00342FE9"/>
    <w:rsid w:val="00346340"/>
    <w:rsid w:val="003512B1"/>
    <w:rsid w:val="003571D8"/>
    <w:rsid w:val="00361845"/>
    <w:rsid w:val="00374B3A"/>
    <w:rsid w:val="00392D5C"/>
    <w:rsid w:val="00396646"/>
    <w:rsid w:val="003A5B4A"/>
    <w:rsid w:val="003B23C5"/>
    <w:rsid w:val="003B2A75"/>
    <w:rsid w:val="003C2340"/>
    <w:rsid w:val="003D4AC4"/>
    <w:rsid w:val="003D63B7"/>
    <w:rsid w:val="003D7081"/>
    <w:rsid w:val="003E468B"/>
    <w:rsid w:val="003F5C8C"/>
    <w:rsid w:val="004059F1"/>
    <w:rsid w:val="00421598"/>
    <w:rsid w:val="00425963"/>
    <w:rsid w:val="0044651B"/>
    <w:rsid w:val="00466ADA"/>
    <w:rsid w:val="00467B85"/>
    <w:rsid w:val="004A7825"/>
    <w:rsid w:val="004B3EAC"/>
    <w:rsid w:val="004B5640"/>
    <w:rsid w:val="004B5CEA"/>
    <w:rsid w:val="004C1BD7"/>
    <w:rsid w:val="004C691D"/>
    <w:rsid w:val="004E692D"/>
    <w:rsid w:val="004E765F"/>
    <w:rsid w:val="004E7E92"/>
    <w:rsid w:val="004F2BB6"/>
    <w:rsid w:val="004F7935"/>
    <w:rsid w:val="00502CF7"/>
    <w:rsid w:val="00514CD7"/>
    <w:rsid w:val="00534E2E"/>
    <w:rsid w:val="00544552"/>
    <w:rsid w:val="0054489A"/>
    <w:rsid w:val="00567C9D"/>
    <w:rsid w:val="00581932"/>
    <w:rsid w:val="00596015"/>
    <w:rsid w:val="005A3173"/>
    <w:rsid w:val="005A3223"/>
    <w:rsid w:val="005A3DA3"/>
    <w:rsid w:val="005A3E8F"/>
    <w:rsid w:val="005A52C4"/>
    <w:rsid w:val="005A59AB"/>
    <w:rsid w:val="005B032E"/>
    <w:rsid w:val="005C510D"/>
    <w:rsid w:val="005D03AB"/>
    <w:rsid w:val="005D5017"/>
    <w:rsid w:val="005F09CC"/>
    <w:rsid w:val="00601A91"/>
    <w:rsid w:val="00602BA3"/>
    <w:rsid w:val="00614159"/>
    <w:rsid w:val="00614B17"/>
    <w:rsid w:val="00617C00"/>
    <w:rsid w:val="0062193D"/>
    <w:rsid w:val="006263BF"/>
    <w:rsid w:val="00630A2C"/>
    <w:rsid w:val="00651169"/>
    <w:rsid w:val="00653D69"/>
    <w:rsid w:val="006545E2"/>
    <w:rsid w:val="006666B8"/>
    <w:rsid w:val="0066756C"/>
    <w:rsid w:val="00670A76"/>
    <w:rsid w:val="006711AA"/>
    <w:rsid w:val="00675622"/>
    <w:rsid w:val="00677AC8"/>
    <w:rsid w:val="006906DB"/>
    <w:rsid w:val="00691215"/>
    <w:rsid w:val="006A12A5"/>
    <w:rsid w:val="006B0D94"/>
    <w:rsid w:val="006B485D"/>
    <w:rsid w:val="006B4F82"/>
    <w:rsid w:val="006B69E2"/>
    <w:rsid w:val="006D56E9"/>
    <w:rsid w:val="006D6EC7"/>
    <w:rsid w:val="006F17A4"/>
    <w:rsid w:val="006F5125"/>
    <w:rsid w:val="00710FA6"/>
    <w:rsid w:val="007174BB"/>
    <w:rsid w:val="00727845"/>
    <w:rsid w:val="00734992"/>
    <w:rsid w:val="00735D38"/>
    <w:rsid w:val="00772CE2"/>
    <w:rsid w:val="007753C2"/>
    <w:rsid w:val="007838B8"/>
    <w:rsid w:val="007A657F"/>
    <w:rsid w:val="007B0D70"/>
    <w:rsid w:val="007C0F57"/>
    <w:rsid w:val="007C40B6"/>
    <w:rsid w:val="007C729F"/>
    <w:rsid w:val="007D142F"/>
    <w:rsid w:val="007D732A"/>
    <w:rsid w:val="007E1D28"/>
    <w:rsid w:val="007F2641"/>
    <w:rsid w:val="00806796"/>
    <w:rsid w:val="00806BC1"/>
    <w:rsid w:val="008104C8"/>
    <w:rsid w:val="00821FE9"/>
    <w:rsid w:val="00863E68"/>
    <w:rsid w:val="00872291"/>
    <w:rsid w:val="00882085"/>
    <w:rsid w:val="00883188"/>
    <w:rsid w:val="0088566D"/>
    <w:rsid w:val="008963DC"/>
    <w:rsid w:val="00897D58"/>
    <w:rsid w:val="008A0979"/>
    <w:rsid w:val="008A4937"/>
    <w:rsid w:val="008C1BFE"/>
    <w:rsid w:val="008C63D1"/>
    <w:rsid w:val="008D3C82"/>
    <w:rsid w:val="008D447E"/>
    <w:rsid w:val="008D4BF6"/>
    <w:rsid w:val="008E1996"/>
    <w:rsid w:val="008E3680"/>
    <w:rsid w:val="008E5870"/>
    <w:rsid w:val="008F1434"/>
    <w:rsid w:val="008F7355"/>
    <w:rsid w:val="008F7B8B"/>
    <w:rsid w:val="0090668A"/>
    <w:rsid w:val="00930937"/>
    <w:rsid w:val="00942160"/>
    <w:rsid w:val="00944CDE"/>
    <w:rsid w:val="009602C5"/>
    <w:rsid w:val="00973A43"/>
    <w:rsid w:val="00974C21"/>
    <w:rsid w:val="009A2673"/>
    <w:rsid w:val="009A2A15"/>
    <w:rsid w:val="009B2A80"/>
    <w:rsid w:val="009C0D05"/>
    <w:rsid w:val="009C2E00"/>
    <w:rsid w:val="009C703C"/>
    <w:rsid w:val="009D3CAA"/>
    <w:rsid w:val="009D7C61"/>
    <w:rsid w:val="009F030F"/>
    <w:rsid w:val="009F5B65"/>
    <w:rsid w:val="00A04568"/>
    <w:rsid w:val="00A05BD4"/>
    <w:rsid w:val="00A06225"/>
    <w:rsid w:val="00A06F4B"/>
    <w:rsid w:val="00A07AC4"/>
    <w:rsid w:val="00A37C8D"/>
    <w:rsid w:val="00A513DE"/>
    <w:rsid w:val="00A5273B"/>
    <w:rsid w:val="00A53A9D"/>
    <w:rsid w:val="00A62C1A"/>
    <w:rsid w:val="00A6426D"/>
    <w:rsid w:val="00A6454E"/>
    <w:rsid w:val="00A70622"/>
    <w:rsid w:val="00A70977"/>
    <w:rsid w:val="00A8390C"/>
    <w:rsid w:val="00AA4D1C"/>
    <w:rsid w:val="00AC5206"/>
    <w:rsid w:val="00AD3817"/>
    <w:rsid w:val="00AE11A5"/>
    <w:rsid w:val="00AF68CC"/>
    <w:rsid w:val="00B03C60"/>
    <w:rsid w:val="00B205AA"/>
    <w:rsid w:val="00B25F75"/>
    <w:rsid w:val="00B43E90"/>
    <w:rsid w:val="00B56118"/>
    <w:rsid w:val="00B67A99"/>
    <w:rsid w:val="00B7409F"/>
    <w:rsid w:val="00B74B7D"/>
    <w:rsid w:val="00BB69F5"/>
    <w:rsid w:val="00BB7EC3"/>
    <w:rsid w:val="00BC2C41"/>
    <w:rsid w:val="00BC4B9A"/>
    <w:rsid w:val="00BC68F5"/>
    <w:rsid w:val="00BD7C03"/>
    <w:rsid w:val="00BF4CB6"/>
    <w:rsid w:val="00C12768"/>
    <w:rsid w:val="00C24194"/>
    <w:rsid w:val="00C35996"/>
    <w:rsid w:val="00C415A4"/>
    <w:rsid w:val="00C51F3F"/>
    <w:rsid w:val="00C5342C"/>
    <w:rsid w:val="00C6256A"/>
    <w:rsid w:val="00C64F6D"/>
    <w:rsid w:val="00C86A1A"/>
    <w:rsid w:val="00C91449"/>
    <w:rsid w:val="00C92D10"/>
    <w:rsid w:val="00CB540B"/>
    <w:rsid w:val="00CE10C4"/>
    <w:rsid w:val="00CE27B5"/>
    <w:rsid w:val="00CF5AB7"/>
    <w:rsid w:val="00D0321E"/>
    <w:rsid w:val="00D279AC"/>
    <w:rsid w:val="00D3280C"/>
    <w:rsid w:val="00D3406A"/>
    <w:rsid w:val="00D3799C"/>
    <w:rsid w:val="00D462D7"/>
    <w:rsid w:val="00D469B2"/>
    <w:rsid w:val="00D5205B"/>
    <w:rsid w:val="00D741EB"/>
    <w:rsid w:val="00D91271"/>
    <w:rsid w:val="00DA4BAC"/>
    <w:rsid w:val="00DC2A71"/>
    <w:rsid w:val="00DD67A6"/>
    <w:rsid w:val="00DE6D27"/>
    <w:rsid w:val="00DF217D"/>
    <w:rsid w:val="00DF26A7"/>
    <w:rsid w:val="00DF4090"/>
    <w:rsid w:val="00E03829"/>
    <w:rsid w:val="00E03C50"/>
    <w:rsid w:val="00E15B82"/>
    <w:rsid w:val="00E16910"/>
    <w:rsid w:val="00E36E3E"/>
    <w:rsid w:val="00E41564"/>
    <w:rsid w:val="00E620C6"/>
    <w:rsid w:val="00E65E54"/>
    <w:rsid w:val="00E74539"/>
    <w:rsid w:val="00E80155"/>
    <w:rsid w:val="00E817F7"/>
    <w:rsid w:val="00E848C0"/>
    <w:rsid w:val="00E85A40"/>
    <w:rsid w:val="00E90B29"/>
    <w:rsid w:val="00E91B96"/>
    <w:rsid w:val="00E941A1"/>
    <w:rsid w:val="00E95CE3"/>
    <w:rsid w:val="00EA2825"/>
    <w:rsid w:val="00EA3E50"/>
    <w:rsid w:val="00EA5975"/>
    <w:rsid w:val="00EB5088"/>
    <w:rsid w:val="00EC55BC"/>
    <w:rsid w:val="00ED1644"/>
    <w:rsid w:val="00EE0524"/>
    <w:rsid w:val="00EF1F25"/>
    <w:rsid w:val="00F03DC5"/>
    <w:rsid w:val="00F050BD"/>
    <w:rsid w:val="00F05657"/>
    <w:rsid w:val="00F07412"/>
    <w:rsid w:val="00F25578"/>
    <w:rsid w:val="00F258E5"/>
    <w:rsid w:val="00F300BC"/>
    <w:rsid w:val="00F3334E"/>
    <w:rsid w:val="00F46321"/>
    <w:rsid w:val="00F50EC4"/>
    <w:rsid w:val="00F57A6D"/>
    <w:rsid w:val="00F638CC"/>
    <w:rsid w:val="00F8247A"/>
    <w:rsid w:val="00FA5883"/>
    <w:rsid w:val="00FA6055"/>
    <w:rsid w:val="00FB322F"/>
    <w:rsid w:val="00FB442F"/>
    <w:rsid w:val="00FC1929"/>
    <w:rsid w:val="00FC5B46"/>
    <w:rsid w:val="00FC793E"/>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basedOn w:val="DefaultParagraphFon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COMBody">
    <w:name w:val="COMBody"/>
    <w:basedOn w:val="Normal"/>
    <w:link w:val="COMBodyChar"/>
    <w:qFormat/>
    <w:rsid w:val="008C1BFE"/>
    <w:pPr>
      <w:widowControl w:val="0"/>
      <w:jc w:val="both"/>
    </w:pPr>
    <w:rPr>
      <w:rFonts w:ascii="Arial" w:hAnsi="Arial" w:cs="Arial"/>
      <w:snapToGrid w:val="0"/>
      <w:sz w:val="22"/>
      <w:szCs w:val="20"/>
      <w:lang w:eastAsia="en-US"/>
    </w:rPr>
  </w:style>
  <w:style w:type="character" w:customStyle="1" w:styleId="COMBodyChar">
    <w:name w:val="COMBody Char"/>
    <w:basedOn w:val="DefaultParagraphFont"/>
    <w:link w:val="COMBody"/>
    <w:rsid w:val="008C1BFE"/>
    <w:rPr>
      <w:rFonts w:ascii="Arial" w:hAnsi="Arial" w:cs="Arial"/>
      <w:snapToGrid w:val="0"/>
      <w:sz w:val="22"/>
      <w:lang w:eastAsia="en-US"/>
    </w:rPr>
  </w:style>
  <w:style w:type="paragraph" w:customStyle="1" w:styleId="COMTbl-cap">
    <w:name w:val="COMTbl-cap"/>
    <w:basedOn w:val="Normal"/>
    <w:link w:val="COMTbl-capChar"/>
    <w:qFormat/>
    <w:rsid w:val="007D142F"/>
    <w:pPr>
      <w:keepNext/>
      <w:widowControl w:val="0"/>
      <w:jc w:val="both"/>
    </w:pPr>
    <w:rPr>
      <w:rFonts w:ascii="Arial Narrow" w:hAnsi="Arial Narrow" w:cs="Arial"/>
      <w:b/>
      <w:snapToGrid w:val="0"/>
      <w:sz w:val="20"/>
      <w:szCs w:val="20"/>
      <w:lang w:eastAsia="en-US"/>
    </w:rPr>
  </w:style>
  <w:style w:type="character" w:customStyle="1" w:styleId="COMTbl-capChar">
    <w:name w:val="COMTbl-cap Char"/>
    <w:basedOn w:val="DefaultParagraphFont"/>
    <w:link w:val="COMTbl-cap"/>
    <w:rsid w:val="007D142F"/>
    <w:rPr>
      <w:rFonts w:ascii="Arial Narrow" w:hAnsi="Arial Narrow" w:cs="Arial"/>
      <w:b/>
      <w:snapToGrid w:val="0"/>
      <w:lang w:eastAsia="en-US"/>
    </w:rPr>
  </w:style>
  <w:style w:type="paragraph" w:customStyle="1" w:styleId="COMTbl-foot">
    <w:name w:val="COMTbl-foot"/>
    <w:basedOn w:val="Normal"/>
    <w:link w:val="COMTbl-footChar"/>
    <w:qFormat/>
    <w:rsid w:val="007D142F"/>
    <w:pPr>
      <w:widowControl w:val="0"/>
      <w:jc w:val="both"/>
    </w:pPr>
    <w:rPr>
      <w:rFonts w:ascii="Arial Narrow" w:hAnsi="Arial Narrow" w:cs="Arial"/>
      <w:snapToGrid w:val="0"/>
      <w:sz w:val="18"/>
      <w:szCs w:val="20"/>
      <w:lang w:eastAsia="en-US"/>
    </w:rPr>
  </w:style>
  <w:style w:type="character" w:customStyle="1" w:styleId="COMTbl-footChar">
    <w:name w:val="COMTbl-foot Char"/>
    <w:basedOn w:val="DefaultParagraphFont"/>
    <w:link w:val="COMTbl-foot"/>
    <w:rsid w:val="007D142F"/>
    <w:rPr>
      <w:rFonts w:ascii="Arial Narrow" w:hAnsi="Arial Narrow" w:cs="Arial"/>
      <w:snapToGrid w:val="0"/>
      <w:sz w:val="18"/>
      <w:lang w:eastAsia="en-US"/>
    </w:rPr>
  </w:style>
  <w:style w:type="paragraph" w:customStyle="1" w:styleId="COMtbl-HEADLeftAligned">
    <w:name w:val="COMtbl-HEAD Left Aligned"/>
    <w:basedOn w:val="Normal"/>
    <w:qFormat/>
    <w:rsid w:val="009A2A15"/>
    <w:pPr>
      <w:widowControl w:val="0"/>
      <w:tabs>
        <w:tab w:val="left" w:pos="720"/>
      </w:tabs>
    </w:pPr>
    <w:rPr>
      <w:rFonts w:ascii="Arial Narrow" w:hAnsi="Arial Narrow" w:cs="Arial"/>
      <w:b/>
      <w:snapToGrid w:val="0"/>
      <w:sz w:val="20"/>
      <w:szCs w:val="20"/>
      <w:lang w:eastAsia="en-US"/>
    </w:rPr>
  </w:style>
  <w:style w:type="paragraph" w:customStyle="1" w:styleId="COMtbl-HEADCentred">
    <w:name w:val="COMtbl-HEAD Centred"/>
    <w:basedOn w:val="COMtbl-HEADLeftAligned"/>
    <w:qFormat/>
    <w:rsid w:val="009A2A15"/>
    <w:pPr>
      <w:jc w:val="center"/>
    </w:pPr>
  </w:style>
  <w:style w:type="paragraph" w:customStyle="1" w:styleId="COMtbl-textLeftAligned">
    <w:name w:val="COMtbl-text Left Aligned"/>
    <w:basedOn w:val="COMtbl-HEADLeftAligned"/>
    <w:qFormat/>
    <w:rsid w:val="009A2A15"/>
    <w:rPr>
      <w:b w:val="0"/>
    </w:rPr>
  </w:style>
  <w:style w:type="paragraph" w:customStyle="1" w:styleId="COMtbl-textCentred">
    <w:name w:val="COMtbl-text Centred"/>
    <w:basedOn w:val="COMtbl-HEADCentred"/>
    <w:qFormat/>
    <w:rsid w:val="006B4F82"/>
    <w:rPr>
      <w:b w:val="0"/>
    </w:rPr>
  </w:style>
  <w:style w:type="paragraph" w:styleId="NormalWeb">
    <w:name w:val="Normal (Web)"/>
    <w:basedOn w:val="Normal"/>
    <w:uiPriority w:val="99"/>
    <w:unhideWhenUsed/>
    <w:rsid w:val="00D462D7"/>
    <w:pPr>
      <w:spacing w:before="100" w:beforeAutospacing="1" w:after="100" w:afterAutospacing="1"/>
    </w:pPr>
  </w:style>
  <w:style w:type="character" w:customStyle="1" w:styleId="apple-converted-space">
    <w:name w:val="apple-converted-space"/>
    <w:basedOn w:val="DefaultParagraphFont"/>
    <w:rsid w:val="00821FE9"/>
  </w:style>
  <w:style w:type="character" w:customStyle="1" w:styleId="ListParagraphChar">
    <w:name w:val="List Paragraph Char"/>
    <w:link w:val="ListParagraph"/>
    <w:uiPriority w:val="72"/>
    <w:rsid w:val="00806BC1"/>
    <w:rPr>
      <w:sz w:val="24"/>
      <w:szCs w:val="24"/>
    </w:rPr>
  </w:style>
  <w:style w:type="paragraph" w:styleId="Revision">
    <w:name w:val="Revision"/>
    <w:hidden/>
    <w:uiPriority w:val="71"/>
    <w:rsid w:val="0006700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basedOn w:val="DefaultParagraphFon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COMBody">
    <w:name w:val="COMBody"/>
    <w:basedOn w:val="Normal"/>
    <w:link w:val="COMBodyChar"/>
    <w:qFormat/>
    <w:rsid w:val="008C1BFE"/>
    <w:pPr>
      <w:widowControl w:val="0"/>
      <w:jc w:val="both"/>
    </w:pPr>
    <w:rPr>
      <w:rFonts w:ascii="Arial" w:hAnsi="Arial" w:cs="Arial"/>
      <w:snapToGrid w:val="0"/>
      <w:sz w:val="22"/>
      <w:szCs w:val="20"/>
      <w:lang w:eastAsia="en-US"/>
    </w:rPr>
  </w:style>
  <w:style w:type="character" w:customStyle="1" w:styleId="COMBodyChar">
    <w:name w:val="COMBody Char"/>
    <w:basedOn w:val="DefaultParagraphFont"/>
    <w:link w:val="COMBody"/>
    <w:rsid w:val="008C1BFE"/>
    <w:rPr>
      <w:rFonts w:ascii="Arial" w:hAnsi="Arial" w:cs="Arial"/>
      <w:snapToGrid w:val="0"/>
      <w:sz w:val="22"/>
      <w:lang w:eastAsia="en-US"/>
    </w:rPr>
  </w:style>
  <w:style w:type="paragraph" w:customStyle="1" w:styleId="COMTbl-cap">
    <w:name w:val="COMTbl-cap"/>
    <w:basedOn w:val="Normal"/>
    <w:link w:val="COMTbl-capChar"/>
    <w:qFormat/>
    <w:rsid w:val="007D142F"/>
    <w:pPr>
      <w:keepNext/>
      <w:widowControl w:val="0"/>
      <w:jc w:val="both"/>
    </w:pPr>
    <w:rPr>
      <w:rFonts w:ascii="Arial Narrow" w:hAnsi="Arial Narrow" w:cs="Arial"/>
      <w:b/>
      <w:snapToGrid w:val="0"/>
      <w:sz w:val="20"/>
      <w:szCs w:val="20"/>
      <w:lang w:eastAsia="en-US"/>
    </w:rPr>
  </w:style>
  <w:style w:type="character" w:customStyle="1" w:styleId="COMTbl-capChar">
    <w:name w:val="COMTbl-cap Char"/>
    <w:basedOn w:val="DefaultParagraphFont"/>
    <w:link w:val="COMTbl-cap"/>
    <w:rsid w:val="007D142F"/>
    <w:rPr>
      <w:rFonts w:ascii="Arial Narrow" w:hAnsi="Arial Narrow" w:cs="Arial"/>
      <w:b/>
      <w:snapToGrid w:val="0"/>
      <w:lang w:eastAsia="en-US"/>
    </w:rPr>
  </w:style>
  <w:style w:type="paragraph" w:customStyle="1" w:styleId="COMTbl-foot">
    <w:name w:val="COMTbl-foot"/>
    <w:basedOn w:val="Normal"/>
    <w:link w:val="COMTbl-footChar"/>
    <w:qFormat/>
    <w:rsid w:val="007D142F"/>
    <w:pPr>
      <w:widowControl w:val="0"/>
      <w:jc w:val="both"/>
    </w:pPr>
    <w:rPr>
      <w:rFonts w:ascii="Arial Narrow" w:hAnsi="Arial Narrow" w:cs="Arial"/>
      <w:snapToGrid w:val="0"/>
      <w:sz w:val="18"/>
      <w:szCs w:val="20"/>
      <w:lang w:eastAsia="en-US"/>
    </w:rPr>
  </w:style>
  <w:style w:type="character" w:customStyle="1" w:styleId="COMTbl-footChar">
    <w:name w:val="COMTbl-foot Char"/>
    <w:basedOn w:val="DefaultParagraphFont"/>
    <w:link w:val="COMTbl-foot"/>
    <w:rsid w:val="007D142F"/>
    <w:rPr>
      <w:rFonts w:ascii="Arial Narrow" w:hAnsi="Arial Narrow" w:cs="Arial"/>
      <w:snapToGrid w:val="0"/>
      <w:sz w:val="18"/>
      <w:lang w:eastAsia="en-US"/>
    </w:rPr>
  </w:style>
  <w:style w:type="paragraph" w:customStyle="1" w:styleId="COMtbl-HEADLeftAligned">
    <w:name w:val="COMtbl-HEAD Left Aligned"/>
    <w:basedOn w:val="Normal"/>
    <w:qFormat/>
    <w:rsid w:val="009A2A15"/>
    <w:pPr>
      <w:widowControl w:val="0"/>
      <w:tabs>
        <w:tab w:val="left" w:pos="720"/>
      </w:tabs>
    </w:pPr>
    <w:rPr>
      <w:rFonts w:ascii="Arial Narrow" w:hAnsi="Arial Narrow" w:cs="Arial"/>
      <w:b/>
      <w:snapToGrid w:val="0"/>
      <w:sz w:val="20"/>
      <w:szCs w:val="20"/>
      <w:lang w:eastAsia="en-US"/>
    </w:rPr>
  </w:style>
  <w:style w:type="paragraph" w:customStyle="1" w:styleId="COMtbl-HEADCentred">
    <w:name w:val="COMtbl-HEAD Centred"/>
    <w:basedOn w:val="COMtbl-HEADLeftAligned"/>
    <w:qFormat/>
    <w:rsid w:val="009A2A15"/>
    <w:pPr>
      <w:jc w:val="center"/>
    </w:pPr>
  </w:style>
  <w:style w:type="paragraph" w:customStyle="1" w:styleId="COMtbl-textLeftAligned">
    <w:name w:val="COMtbl-text Left Aligned"/>
    <w:basedOn w:val="COMtbl-HEADLeftAligned"/>
    <w:qFormat/>
    <w:rsid w:val="009A2A15"/>
    <w:rPr>
      <w:b w:val="0"/>
    </w:rPr>
  </w:style>
  <w:style w:type="paragraph" w:customStyle="1" w:styleId="COMtbl-textCentred">
    <w:name w:val="COMtbl-text Centred"/>
    <w:basedOn w:val="COMtbl-HEADCentred"/>
    <w:qFormat/>
    <w:rsid w:val="006B4F82"/>
    <w:rPr>
      <w:b w:val="0"/>
    </w:rPr>
  </w:style>
  <w:style w:type="paragraph" w:styleId="NormalWeb">
    <w:name w:val="Normal (Web)"/>
    <w:basedOn w:val="Normal"/>
    <w:uiPriority w:val="99"/>
    <w:unhideWhenUsed/>
    <w:rsid w:val="00D462D7"/>
    <w:pPr>
      <w:spacing w:before="100" w:beforeAutospacing="1" w:after="100" w:afterAutospacing="1"/>
    </w:pPr>
  </w:style>
  <w:style w:type="character" w:customStyle="1" w:styleId="apple-converted-space">
    <w:name w:val="apple-converted-space"/>
    <w:basedOn w:val="DefaultParagraphFont"/>
    <w:rsid w:val="00821FE9"/>
  </w:style>
  <w:style w:type="character" w:customStyle="1" w:styleId="ListParagraphChar">
    <w:name w:val="List Paragraph Char"/>
    <w:link w:val="ListParagraph"/>
    <w:uiPriority w:val="72"/>
    <w:rsid w:val="00806BC1"/>
    <w:rPr>
      <w:sz w:val="24"/>
      <w:szCs w:val="24"/>
    </w:rPr>
  </w:style>
  <w:style w:type="paragraph" w:styleId="Revision">
    <w:name w:val="Revision"/>
    <w:hidden/>
    <w:uiPriority w:val="71"/>
    <w:rsid w:val="000670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8287564">
      <w:bodyDiv w:val="1"/>
      <w:marLeft w:val="0"/>
      <w:marRight w:val="0"/>
      <w:marTop w:val="0"/>
      <w:marBottom w:val="0"/>
      <w:divBdr>
        <w:top w:val="none" w:sz="0" w:space="0" w:color="auto"/>
        <w:left w:val="none" w:sz="0" w:space="0" w:color="auto"/>
        <w:bottom w:val="none" w:sz="0" w:space="0" w:color="auto"/>
        <w:right w:val="none" w:sz="0" w:space="0" w:color="auto"/>
      </w:divBdr>
      <w:divsChild>
        <w:div w:id="1517379574">
          <w:marLeft w:val="547"/>
          <w:marRight w:val="0"/>
          <w:marTop w:val="154"/>
          <w:marBottom w:val="0"/>
          <w:divBdr>
            <w:top w:val="none" w:sz="0" w:space="0" w:color="auto"/>
            <w:left w:val="none" w:sz="0" w:space="0" w:color="auto"/>
            <w:bottom w:val="none" w:sz="0" w:space="0" w:color="auto"/>
            <w:right w:val="none" w:sz="0" w:space="0" w:color="auto"/>
          </w:divBdr>
        </w:div>
      </w:divsChild>
    </w:div>
    <w:div w:id="90779557">
      <w:bodyDiv w:val="1"/>
      <w:marLeft w:val="0"/>
      <w:marRight w:val="0"/>
      <w:marTop w:val="0"/>
      <w:marBottom w:val="0"/>
      <w:divBdr>
        <w:top w:val="none" w:sz="0" w:space="0" w:color="auto"/>
        <w:left w:val="none" w:sz="0" w:space="0" w:color="auto"/>
        <w:bottom w:val="none" w:sz="0" w:space="0" w:color="auto"/>
        <w:right w:val="none" w:sz="0" w:space="0" w:color="auto"/>
      </w:divBdr>
      <w:divsChild>
        <w:div w:id="1938753043">
          <w:marLeft w:val="547"/>
          <w:marRight w:val="0"/>
          <w:marTop w:val="144"/>
          <w:marBottom w:val="0"/>
          <w:divBdr>
            <w:top w:val="none" w:sz="0" w:space="0" w:color="auto"/>
            <w:left w:val="none" w:sz="0" w:space="0" w:color="auto"/>
            <w:bottom w:val="none" w:sz="0" w:space="0" w:color="auto"/>
            <w:right w:val="none" w:sz="0" w:space="0" w:color="auto"/>
          </w:divBdr>
        </w:div>
      </w:divsChild>
    </w:div>
    <w:div w:id="306714091">
      <w:bodyDiv w:val="1"/>
      <w:marLeft w:val="0"/>
      <w:marRight w:val="0"/>
      <w:marTop w:val="0"/>
      <w:marBottom w:val="0"/>
      <w:divBdr>
        <w:top w:val="none" w:sz="0" w:space="0" w:color="auto"/>
        <w:left w:val="none" w:sz="0" w:space="0" w:color="auto"/>
        <w:bottom w:val="none" w:sz="0" w:space="0" w:color="auto"/>
        <w:right w:val="none" w:sz="0" w:space="0" w:color="auto"/>
      </w:divBdr>
      <w:divsChild>
        <w:div w:id="596447137">
          <w:marLeft w:val="547"/>
          <w:marRight w:val="0"/>
          <w:marTop w:val="154"/>
          <w:marBottom w:val="0"/>
          <w:divBdr>
            <w:top w:val="none" w:sz="0" w:space="0" w:color="auto"/>
            <w:left w:val="none" w:sz="0" w:space="0" w:color="auto"/>
            <w:bottom w:val="none" w:sz="0" w:space="0" w:color="auto"/>
            <w:right w:val="none" w:sz="0" w:space="0" w:color="auto"/>
          </w:divBdr>
        </w:div>
      </w:divsChild>
    </w:div>
    <w:div w:id="33017785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5841855">
      <w:bodyDiv w:val="1"/>
      <w:marLeft w:val="0"/>
      <w:marRight w:val="0"/>
      <w:marTop w:val="0"/>
      <w:marBottom w:val="0"/>
      <w:divBdr>
        <w:top w:val="none" w:sz="0" w:space="0" w:color="auto"/>
        <w:left w:val="none" w:sz="0" w:space="0" w:color="auto"/>
        <w:bottom w:val="none" w:sz="0" w:space="0" w:color="auto"/>
        <w:right w:val="none" w:sz="0" w:space="0" w:color="auto"/>
      </w:divBdr>
      <w:divsChild>
        <w:div w:id="1598095681">
          <w:marLeft w:val="547"/>
          <w:marRight w:val="0"/>
          <w:marTop w:val="154"/>
          <w:marBottom w:val="0"/>
          <w:divBdr>
            <w:top w:val="none" w:sz="0" w:space="0" w:color="auto"/>
            <w:left w:val="none" w:sz="0" w:space="0" w:color="auto"/>
            <w:bottom w:val="none" w:sz="0" w:space="0" w:color="auto"/>
            <w:right w:val="none" w:sz="0" w:space="0" w:color="auto"/>
          </w:divBdr>
        </w:div>
      </w:divsChild>
    </w:div>
    <w:div w:id="940604952">
      <w:bodyDiv w:val="1"/>
      <w:marLeft w:val="0"/>
      <w:marRight w:val="0"/>
      <w:marTop w:val="0"/>
      <w:marBottom w:val="0"/>
      <w:divBdr>
        <w:top w:val="none" w:sz="0" w:space="0" w:color="auto"/>
        <w:left w:val="none" w:sz="0" w:space="0" w:color="auto"/>
        <w:bottom w:val="none" w:sz="0" w:space="0" w:color="auto"/>
        <w:right w:val="none" w:sz="0" w:space="0" w:color="auto"/>
      </w:divBdr>
      <w:divsChild>
        <w:div w:id="1168517481">
          <w:marLeft w:val="547"/>
          <w:marRight w:val="0"/>
          <w:marTop w:val="154"/>
          <w:marBottom w:val="0"/>
          <w:divBdr>
            <w:top w:val="none" w:sz="0" w:space="0" w:color="auto"/>
            <w:left w:val="none" w:sz="0" w:space="0" w:color="auto"/>
            <w:bottom w:val="none" w:sz="0" w:space="0" w:color="auto"/>
            <w:right w:val="none" w:sz="0" w:space="0" w:color="auto"/>
          </w:divBdr>
        </w:div>
      </w:divsChild>
    </w:div>
    <w:div w:id="1580746417">
      <w:bodyDiv w:val="1"/>
      <w:marLeft w:val="0"/>
      <w:marRight w:val="0"/>
      <w:marTop w:val="0"/>
      <w:marBottom w:val="0"/>
      <w:divBdr>
        <w:top w:val="none" w:sz="0" w:space="0" w:color="auto"/>
        <w:left w:val="none" w:sz="0" w:space="0" w:color="auto"/>
        <w:bottom w:val="none" w:sz="0" w:space="0" w:color="auto"/>
        <w:right w:val="none" w:sz="0" w:space="0" w:color="auto"/>
      </w:divBdr>
      <w:divsChild>
        <w:div w:id="1010789503">
          <w:marLeft w:val="547"/>
          <w:marRight w:val="0"/>
          <w:marTop w:val="154"/>
          <w:marBottom w:val="0"/>
          <w:divBdr>
            <w:top w:val="none" w:sz="0" w:space="0" w:color="auto"/>
            <w:left w:val="none" w:sz="0" w:space="0" w:color="auto"/>
            <w:bottom w:val="none" w:sz="0" w:space="0" w:color="auto"/>
            <w:right w:val="none" w:sz="0" w:space="0" w:color="auto"/>
          </w:divBdr>
        </w:div>
      </w:divsChild>
    </w:div>
    <w:div w:id="1695569787">
      <w:bodyDiv w:val="1"/>
      <w:marLeft w:val="0"/>
      <w:marRight w:val="0"/>
      <w:marTop w:val="0"/>
      <w:marBottom w:val="0"/>
      <w:divBdr>
        <w:top w:val="none" w:sz="0" w:space="0" w:color="auto"/>
        <w:left w:val="none" w:sz="0" w:space="0" w:color="auto"/>
        <w:bottom w:val="none" w:sz="0" w:space="0" w:color="auto"/>
        <w:right w:val="none" w:sz="0" w:space="0" w:color="auto"/>
      </w:divBdr>
      <w:divsChild>
        <w:div w:id="729113967">
          <w:marLeft w:val="547"/>
          <w:marRight w:val="0"/>
          <w:marTop w:val="154"/>
          <w:marBottom w:val="0"/>
          <w:divBdr>
            <w:top w:val="none" w:sz="0" w:space="0" w:color="auto"/>
            <w:left w:val="none" w:sz="0" w:space="0" w:color="auto"/>
            <w:bottom w:val="none" w:sz="0" w:space="0" w:color="auto"/>
            <w:right w:val="none" w:sz="0" w:space="0" w:color="auto"/>
          </w:divBdr>
        </w:div>
        <w:div w:id="1304506305">
          <w:marLeft w:val="547"/>
          <w:marRight w:val="0"/>
          <w:marTop w:val="154"/>
          <w:marBottom w:val="0"/>
          <w:divBdr>
            <w:top w:val="none" w:sz="0" w:space="0" w:color="auto"/>
            <w:left w:val="none" w:sz="0" w:space="0" w:color="auto"/>
            <w:bottom w:val="none" w:sz="0" w:space="0" w:color="auto"/>
            <w:right w:val="none" w:sz="0" w:space="0" w:color="auto"/>
          </w:divBdr>
        </w:div>
        <w:div w:id="2063746916">
          <w:marLeft w:val="547"/>
          <w:marRight w:val="0"/>
          <w:marTop w:val="154"/>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0748362">
      <w:bodyDiv w:val="1"/>
      <w:marLeft w:val="0"/>
      <w:marRight w:val="0"/>
      <w:marTop w:val="0"/>
      <w:marBottom w:val="0"/>
      <w:divBdr>
        <w:top w:val="none" w:sz="0" w:space="0" w:color="auto"/>
        <w:left w:val="none" w:sz="0" w:space="0" w:color="auto"/>
        <w:bottom w:val="none" w:sz="0" w:space="0" w:color="auto"/>
        <w:right w:val="none" w:sz="0" w:space="0" w:color="auto"/>
      </w:divBdr>
      <w:divsChild>
        <w:div w:id="1477917283">
          <w:marLeft w:val="547"/>
          <w:marRight w:val="0"/>
          <w:marTop w:val="154"/>
          <w:marBottom w:val="0"/>
          <w:divBdr>
            <w:top w:val="none" w:sz="0" w:space="0" w:color="auto"/>
            <w:left w:val="none" w:sz="0" w:space="0" w:color="auto"/>
            <w:bottom w:val="none" w:sz="0" w:space="0" w:color="auto"/>
            <w:right w:val="none" w:sz="0" w:space="0" w:color="auto"/>
          </w:divBdr>
        </w:div>
      </w:divsChild>
    </w:div>
    <w:div w:id="19424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B440D-6D7B-42C5-9BB6-7BDFB03C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4149</Words>
  <Characters>25999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4</cp:revision>
  <cp:lastPrinted>1900-12-31T13:00:00Z</cp:lastPrinted>
  <dcterms:created xsi:type="dcterms:W3CDTF">2014-10-07T23:16:00Z</dcterms:created>
  <dcterms:modified xsi:type="dcterms:W3CDTF">2014-11-05T00:25:00Z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AdHocReviewCycleID">
    <vt:i4>-1423446280</vt:i4>
  </property>
  <property fmtid="{D5CDD505-2E9C-101B-9397-08002B2CF9AE}" pid="9" name="_NewReviewCycle">
    <vt:lpwstr/>
  </property>
  <property fmtid="{D5CDD505-2E9C-101B-9397-08002B2CF9AE}" pid="10" name="_EmailSubject">
    <vt:lpwstr>Draft PBAC Minutes for dapagliflozin with metformin and empagliflozin **prepared for the purpose of obtaining legal advice** [SEC=UNCLASSIFIED]</vt:lpwstr>
  </property>
  <property fmtid="{D5CDD505-2E9C-101B-9397-08002B2CF9AE}" pid="11" name="_AuthorEmail">
    <vt:lpwstr>Andrew.Korbel@corrs.com.au</vt:lpwstr>
  </property>
  <property fmtid="{D5CDD505-2E9C-101B-9397-08002B2CF9AE}" pid="12" name="_AuthorEmailDisplayName">
    <vt:lpwstr>Andrew Korbel</vt:lpwstr>
  </property>
  <property fmtid="{D5CDD505-2E9C-101B-9397-08002B2CF9AE}" pid="13" name="_ReviewingToolsShownOnce">
    <vt:lpwstr/>
  </property>
</Properties>
</file>