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81" w:rsidRPr="006053E1" w:rsidRDefault="00E858A2" w:rsidP="006053E1">
      <w:pPr>
        <w:pStyle w:val="Heading1"/>
        <w:rPr>
          <w:sz w:val="28"/>
          <w:szCs w:val="28"/>
        </w:rPr>
      </w:pPr>
      <w:r>
        <w:t>7</w:t>
      </w:r>
      <w:r w:rsidRPr="006D6EC7">
        <w:t>.</w:t>
      </w:r>
      <w:r>
        <w:t>9</w:t>
      </w:r>
      <w:r w:rsidRPr="006D6EC7">
        <w:tab/>
      </w:r>
      <w:r w:rsidRPr="006053E1">
        <w:rPr>
          <w:sz w:val="28"/>
          <w:szCs w:val="28"/>
        </w:rPr>
        <w:t xml:space="preserve">BRENTUXIMAB VEDOTIN, injection, 50 mg, </w:t>
      </w:r>
    </w:p>
    <w:p w:rsidR="00E858A2" w:rsidRPr="006053E1" w:rsidRDefault="00E858A2" w:rsidP="006053E1">
      <w:pPr>
        <w:pStyle w:val="Heading1"/>
        <w:rPr>
          <w:sz w:val="28"/>
          <w:szCs w:val="28"/>
        </w:rPr>
      </w:pPr>
      <w:proofErr w:type="spellStart"/>
      <w:r w:rsidRPr="006053E1">
        <w:rPr>
          <w:sz w:val="28"/>
          <w:szCs w:val="28"/>
        </w:rPr>
        <w:t>Adcetris</w:t>
      </w:r>
      <w:proofErr w:type="spellEnd"/>
      <w:r w:rsidRPr="006053E1">
        <w:rPr>
          <w:sz w:val="28"/>
          <w:szCs w:val="28"/>
          <w:vertAlign w:val="superscript"/>
        </w:rPr>
        <w:t>®</w:t>
      </w:r>
      <w:r w:rsidRPr="006053E1">
        <w:rPr>
          <w:sz w:val="28"/>
          <w:szCs w:val="28"/>
        </w:rPr>
        <w:t>, Takeda Pharmaceuticals Australia Pty Ltd</w:t>
      </w:r>
    </w:p>
    <w:p w:rsidR="00E858A2" w:rsidRDefault="00E858A2" w:rsidP="00A5273B">
      <w:pPr>
        <w:rPr>
          <w:rFonts w:ascii="Arial" w:hAnsi="Arial"/>
          <w:b/>
        </w:rPr>
      </w:pPr>
    </w:p>
    <w:p w:rsidR="00B86B81" w:rsidRDefault="00B86B81" w:rsidP="00A5273B">
      <w:pPr>
        <w:rPr>
          <w:rFonts w:ascii="Arial" w:hAnsi="Arial"/>
          <w:b/>
        </w:rPr>
      </w:pPr>
    </w:p>
    <w:p w:rsidR="00B86B81" w:rsidRPr="00407F2D" w:rsidRDefault="00B86B81" w:rsidP="00B86B81">
      <w:pPr>
        <w:pStyle w:val="ListParagraph"/>
        <w:numPr>
          <w:ilvl w:val="0"/>
          <w:numId w:val="1"/>
        </w:numPr>
        <w:jc w:val="both"/>
        <w:rPr>
          <w:rFonts w:ascii="Arial" w:hAnsi="Arial"/>
          <w:b/>
          <w:sz w:val="22"/>
          <w:szCs w:val="22"/>
        </w:rPr>
      </w:pPr>
      <w:r w:rsidRPr="00407F2D">
        <w:rPr>
          <w:rFonts w:ascii="Arial" w:hAnsi="Arial"/>
          <w:b/>
          <w:sz w:val="22"/>
          <w:szCs w:val="22"/>
        </w:rPr>
        <w:t>Purpose of Application</w:t>
      </w:r>
    </w:p>
    <w:p w:rsidR="00E858A2" w:rsidRPr="00882085" w:rsidRDefault="00E858A2" w:rsidP="00882085">
      <w:pPr>
        <w:jc w:val="both"/>
        <w:rPr>
          <w:rFonts w:ascii="Arial" w:hAnsi="Arial"/>
          <w:sz w:val="22"/>
          <w:szCs w:val="22"/>
        </w:rPr>
      </w:pPr>
    </w:p>
    <w:p w:rsidR="00E858A2" w:rsidRDefault="00E858A2" w:rsidP="00302647">
      <w:pPr>
        <w:pStyle w:val="ListParagraph"/>
        <w:numPr>
          <w:ilvl w:val="1"/>
          <w:numId w:val="1"/>
        </w:numPr>
        <w:jc w:val="both"/>
        <w:rPr>
          <w:rFonts w:ascii="Arial" w:hAnsi="Arial"/>
          <w:sz w:val="22"/>
          <w:szCs w:val="22"/>
        </w:rPr>
      </w:pPr>
      <w:r w:rsidRPr="00461710">
        <w:rPr>
          <w:rFonts w:ascii="Arial" w:hAnsi="Arial"/>
          <w:sz w:val="22"/>
          <w:szCs w:val="22"/>
        </w:rPr>
        <w:t xml:space="preserve">To propose a re-specified economic model following the March 2014 PBAC recommendation to list </w:t>
      </w:r>
      <w:proofErr w:type="spellStart"/>
      <w:r w:rsidRPr="00461710">
        <w:rPr>
          <w:rFonts w:ascii="Arial" w:hAnsi="Arial"/>
          <w:sz w:val="22"/>
          <w:szCs w:val="22"/>
        </w:rPr>
        <w:t>brentuximab</w:t>
      </w:r>
      <w:proofErr w:type="spellEnd"/>
      <w:r w:rsidRPr="00461710">
        <w:rPr>
          <w:rFonts w:ascii="Arial" w:hAnsi="Arial"/>
          <w:sz w:val="22"/>
          <w:szCs w:val="22"/>
        </w:rPr>
        <w:t xml:space="preserve"> </w:t>
      </w:r>
      <w:proofErr w:type="spellStart"/>
      <w:r w:rsidR="002F7B83">
        <w:rPr>
          <w:rFonts w:ascii="Arial" w:hAnsi="Arial"/>
          <w:sz w:val="22"/>
          <w:szCs w:val="22"/>
        </w:rPr>
        <w:t>vedotin</w:t>
      </w:r>
      <w:proofErr w:type="spellEnd"/>
      <w:r w:rsidR="002F7B83">
        <w:rPr>
          <w:rFonts w:ascii="Arial" w:hAnsi="Arial"/>
          <w:sz w:val="22"/>
          <w:szCs w:val="22"/>
        </w:rPr>
        <w:t xml:space="preserve"> </w:t>
      </w:r>
      <w:r w:rsidRPr="00461710">
        <w:rPr>
          <w:rFonts w:ascii="Arial" w:hAnsi="Arial"/>
          <w:sz w:val="22"/>
          <w:szCs w:val="22"/>
        </w:rPr>
        <w:t>for the treatment of adult patients with relapsed or refractory systemic anaplastic large cell lymphoma (</w:t>
      </w:r>
      <w:proofErr w:type="spellStart"/>
      <w:r w:rsidRPr="00461710">
        <w:rPr>
          <w:rFonts w:ascii="Arial" w:hAnsi="Arial"/>
          <w:sz w:val="22"/>
          <w:szCs w:val="22"/>
        </w:rPr>
        <w:t>sALCL</w:t>
      </w:r>
      <w:proofErr w:type="spellEnd"/>
      <w:r w:rsidRPr="00461710">
        <w:rPr>
          <w:rFonts w:ascii="Arial" w:hAnsi="Arial"/>
          <w:sz w:val="22"/>
          <w:szCs w:val="22"/>
        </w:rPr>
        <w:t xml:space="preserve">) who are suitable for further systemic curative-intent salvage therapy.  </w:t>
      </w:r>
    </w:p>
    <w:p w:rsidR="00E858A2" w:rsidRDefault="00E858A2" w:rsidP="00882085">
      <w:pPr>
        <w:jc w:val="both"/>
        <w:rPr>
          <w:rFonts w:ascii="Arial" w:hAnsi="Arial"/>
          <w:b/>
          <w:sz w:val="22"/>
          <w:szCs w:val="22"/>
        </w:rPr>
      </w:pPr>
    </w:p>
    <w:p w:rsidR="00B86B81" w:rsidRPr="00882085" w:rsidRDefault="00B86B81" w:rsidP="00882085">
      <w:pPr>
        <w:jc w:val="both"/>
        <w:rPr>
          <w:rFonts w:ascii="Arial" w:hAnsi="Arial"/>
          <w:b/>
          <w:sz w:val="22"/>
          <w:szCs w:val="22"/>
        </w:rPr>
      </w:pPr>
    </w:p>
    <w:p w:rsidR="00E858A2" w:rsidRPr="00882085" w:rsidRDefault="00E858A2" w:rsidP="00302647">
      <w:pPr>
        <w:pStyle w:val="ListParagraph"/>
        <w:numPr>
          <w:ilvl w:val="0"/>
          <w:numId w:val="1"/>
        </w:numPr>
        <w:jc w:val="both"/>
        <w:rPr>
          <w:rFonts w:ascii="Arial" w:hAnsi="Arial"/>
          <w:b/>
          <w:sz w:val="22"/>
          <w:szCs w:val="22"/>
        </w:rPr>
      </w:pPr>
      <w:r w:rsidRPr="00882085">
        <w:rPr>
          <w:rFonts w:ascii="Arial" w:hAnsi="Arial"/>
          <w:b/>
          <w:sz w:val="22"/>
          <w:szCs w:val="22"/>
        </w:rPr>
        <w:t>Requested listing</w:t>
      </w:r>
    </w:p>
    <w:p w:rsidR="00E858A2" w:rsidRPr="00882085" w:rsidRDefault="00E858A2" w:rsidP="00882085">
      <w:pPr>
        <w:jc w:val="both"/>
        <w:rPr>
          <w:rFonts w:ascii="Arial" w:hAnsi="Arial"/>
          <w:b/>
          <w:sz w:val="22"/>
          <w:szCs w:val="22"/>
        </w:rPr>
      </w:pPr>
    </w:p>
    <w:p w:rsidR="00E858A2" w:rsidRDefault="00E858A2" w:rsidP="00302647">
      <w:pPr>
        <w:pStyle w:val="ListParagraph"/>
        <w:numPr>
          <w:ilvl w:val="1"/>
          <w:numId w:val="1"/>
        </w:numPr>
        <w:jc w:val="both"/>
        <w:rPr>
          <w:rFonts w:ascii="Arial" w:hAnsi="Arial"/>
          <w:sz w:val="22"/>
          <w:szCs w:val="22"/>
        </w:rPr>
      </w:pPr>
      <w:r>
        <w:rPr>
          <w:rFonts w:ascii="Arial" w:hAnsi="Arial"/>
          <w:sz w:val="22"/>
          <w:szCs w:val="22"/>
        </w:rPr>
        <w:t xml:space="preserve">The requested listing is the same as that requested in the March 2014 major submission. Separate restrictions were sought for initial and continuing treatment.  </w:t>
      </w:r>
    </w:p>
    <w:p w:rsidR="00E858A2" w:rsidRDefault="00E858A2" w:rsidP="004465BD">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Description w:val="listing brentuximab"/>
      </w:tblPr>
      <w:tblGrid>
        <w:gridCol w:w="3050"/>
        <w:gridCol w:w="1065"/>
        <w:gridCol w:w="921"/>
        <w:gridCol w:w="1564"/>
        <w:gridCol w:w="1763"/>
      </w:tblGrid>
      <w:tr w:rsidR="00E858A2" w:rsidRPr="00637638" w:rsidTr="00B86B81">
        <w:trPr>
          <w:cantSplit/>
          <w:trHeight w:val="439"/>
        </w:trPr>
        <w:tc>
          <w:tcPr>
            <w:tcW w:w="3050" w:type="dxa"/>
            <w:tcBorders>
              <w:top w:val="single" w:sz="4" w:space="0" w:color="auto"/>
              <w:left w:val="single" w:sz="4" w:space="0" w:color="auto"/>
              <w:bottom w:val="single" w:sz="4" w:space="0" w:color="auto"/>
              <w:right w:val="single" w:sz="4" w:space="0" w:color="auto"/>
            </w:tcBorders>
          </w:tcPr>
          <w:p w:rsidR="00E858A2" w:rsidRPr="00637638" w:rsidRDefault="00E858A2" w:rsidP="00963437">
            <w:pPr>
              <w:keepNext/>
              <w:keepLines/>
              <w:ind w:left="-108"/>
              <w:jc w:val="both"/>
              <w:rPr>
                <w:rFonts w:ascii="Arial" w:eastAsia="SimSun" w:hAnsi="Arial" w:cs="Arial"/>
              </w:rPr>
            </w:pPr>
            <w:r w:rsidRPr="00637638">
              <w:rPr>
                <w:rFonts w:ascii="Arial" w:eastAsia="SimSun" w:hAnsi="Arial" w:cs="Arial"/>
                <w:sz w:val="22"/>
                <w:szCs w:val="22"/>
              </w:rPr>
              <w:t>Name, Restriction,</w:t>
            </w:r>
          </w:p>
          <w:p w:rsidR="00E858A2" w:rsidRPr="00637638" w:rsidRDefault="00E858A2" w:rsidP="00963437">
            <w:pPr>
              <w:keepNext/>
              <w:keepLines/>
              <w:ind w:left="-108"/>
              <w:jc w:val="both"/>
              <w:rPr>
                <w:rFonts w:ascii="Arial" w:eastAsia="SimSun" w:hAnsi="Arial" w:cs="Arial"/>
              </w:rPr>
            </w:pPr>
            <w:r w:rsidRPr="00637638">
              <w:rPr>
                <w:rFonts w:ascii="Arial" w:eastAsia="SimSun" w:hAnsi="Arial" w:cs="Arial"/>
                <w:sz w:val="22"/>
                <w:szCs w:val="22"/>
              </w:rPr>
              <w:t>Manner of administration and form</w:t>
            </w:r>
          </w:p>
        </w:tc>
        <w:tc>
          <w:tcPr>
            <w:tcW w:w="1065" w:type="dxa"/>
            <w:tcBorders>
              <w:top w:val="single" w:sz="4" w:space="0" w:color="auto"/>
              <w:left w:val="single" w:sz="4" w:space="0" w:color="auto"/>
              <w:bottom w:val="single" w:sz="4" w:space="0" w:color="auto"/>
              <w:right w:val="single" w:sz="4" w:space="0" w:color="auto"/>
            </w:tcBorders>
          </w:tcPr>
          <w:p w:rsidR="00E858A2" w:rsidRPr="00637638" w:rsidRDefault="00E858A2" w:rsidP="00963437">
            <w:pPr>
              <w:keepNext/>
              <w:keepLines/>
              <w:ind w:left="-108"/>
              <w:jc w:val="both"/>
              <w:rPr>
                <w:rFonts w:ascii="Arial" w:eastAsia="SimSun" w:hAnsi="Arial" w:cs="Arial"/>
              </w:rPr>
            </w:pPr>
            <w:r w:rsidRPr="00637638">
              <w:rPr>
                <w:rFonts w:ascii="Arial" w:eastAsia="SimSun" w:hAnsi="Arial" w:cs="Arial"/>
                <w:sz w:val="22"/>
                <w:szCs w:val="22"/>
              </w:rPr>
              <w:t>Max.</w:t>
            </w:r>
          </w:p>
          <w:p w:rsidR="00E858A2" w:rsidRPr="00637638" w:rsidRDefault="00E858A2" w:rsidP="00963437">
            <w:pPr>
              <w:keepNext/>
              <w:keepLines/>
              <w:ind w:left="-108"/>
              <w:jc w:val="both"/>
              <w:rPr>
                <w:rFonts w:ascii="Arial" w:eastAsia="SimSun" w:hAnsi="Arial" w:cs="Arial"/>
              </w:rPr>
            </w:pPr>
            <w:proofErr w:type="spellStart"/>
            <w:r w:rsidRPr="00637638">
              <w:rPr>
                <w:rFonts w:ascii="Arial" w:eastAsia="SimSun" w:hAnsi="Arial" w:cs="Arial"/>
                <w:sz w:val="22"/>
                <w:szCs w:val="22"/>
              </w:rPr>
              <w:t>Qty</w:t>
            </w:r>
            <w:proofErr w:type="spellEnd"/>
          </w:p>
        </w:tc>
        <w:tc>
          <w:tcPr>
            <w:tcW w:w="921" w:type="dxa"/>
            <w:tcBorders>
              <w:top w:val="single" w:sz="4" w:space="0" w:color="auto"/>
              <w:left w:val="single" w:sz="4" w:space="0" w:color="auto"/>
              <w:bottom w:val="single" w:sz="4" w:space="0" w:color="auto"/>
              <w:right w:val="single" w:sz="4" w:space="0" w:color="auto"/>
            </w:tcBorders>
          </w:tcPr>
          <w:p w:rsidR="00E858A2" w:rsidRPr="00637638" w:rsidRDefault="00E858A2" w:rsidP="00963437">
            <w:pPr>
              <w:keepNext/>
              <w:keepLines/>
              <w:ind w:left="-108"/>
              <w:jc w:val="both"/>
              <w:rPr>
                <w:rFonts w:ascii="Arial" w:eastAsia="SimSun" w:hAnsi="Arial" w:cs="Arial"/>
              </w:rPr>
            </w:pPr>
            <w:r w:rsidRPr="00637638">
              <w:rPr>
                <w:rFonts w:ascii="Arial" w:eastAsia="SimSun" w:hAnsi="Arial" w:cs="Arial"/>
                <w:sz w:val="22"/>
                <w:szCs w:val="22"/>
              </w:rPr>
              <w:t>№.of</w:t>
            </w:r>
          </w:p>
          <w:p w:rsidR="00E858A2" w:rsidRPr="00637638" w:rsidRDefault="00E858A2" w:rsidP="00963437">
            <w:pPr>
              <w:keepNext/>
              <w:keepLines/>
              <w:ind w:left="-108"/>
              <w:jc w:val="both"/>
              <w:rPr>
                <w:rFonts w:ascii="Arial" w:eastAsia="SimSun" w:hAnsi="Arial" w:cs="Arial"/>
              </w:rPr>
            </w:pPr>
            <w:proofErr w:type="spellStart"/>
            <w:r w:rsidRPr="00637638">
              <w:rPr>
                <w:rFonts w:ascii="Arial" w:eastAsia="SimSun" w:hAnsi="Arial" w:cs="Arial"/>
                <w:sz w:val="22"/>
                <w:szCs w:val="22"/>
              </w:rPr>
              <w:t>Rpts</w:t>
            </w:r>
            <w:proofErr w:type="spellEnd"/>
          </w:p>
        </w:tc>
        <w:tc>
          <w:tcPr>
            <w:tcW w:w="3327" w:type="dxa"/>
            <w:gridSpan w:val="2"/>
            <w:tcBorders>
              <w:top w:val="single" w:sz="4" w:space="0" w:color="auto"/>
              <w:left w:val="single" w:sz="4" w:space="0" w:color="auto"/>
              <w:bottom w:val="single" w:sz="4" w:space="0" w:color="auto"/>
              <w:right w:val="single" w:sz="4" w:space="0" w:color="auto"/>
            </w:tcBorders>
          </w:tcPr>
          <w:p w:rsidR="00E858A2" w:rsidRPr="00637638" w:rsidRDefault="00E858A2" w:rsidP="00963437">
            <w:pPr>
              <w:keepNext/>
              <w:keepLines/>
              <w:ind w:right="145"/>
              <w:jc w:val="both"/>
              <w:rPr>
                <w:rFonts w:ascii="Arial" w:eastAsia="SimSun" w:hAnsi="Arial" w:cs="Arial"/>
                <w:lang w:val="fr-FR"/>
              </w:rPr>
            </w:pPr>
            <w:r w:rsidRPr="00637638">
              <w:rPr>
                <w:rFonts w:ascii="Arial" w:eastAsia="SimSun" w:hAnsi="Arial" w:cs="Arial"/>
                <w:sz w:val="22"/>
                <w:szCs w:val="22"/>
              </w:rPr>
              <w:t>Proprietary Name and Manufacturer</w:t>
            </w:r>
          </w:p>
        </w:tc>
      </w:tr>
      <w:tr w:rsidR="00E858A2" w:rsidRPr="00637638" w:rsidTr="00B86B81">
        <w:trPr>
          <w:cantSplit/>
          <w:trHeight w:val="538"/>
        </w:trPr>
        <w:tc>
          <w:tcPr>
            <w:tcW w:w="3050" w:type="dxa"/>
            <w:tcBorders>
              <w:left w:val="single" w:sz="4" w:space="0" w:color="auto"/>
              <w:bottom w:val="single" w:sz="4" w:space="0" w:color="auto"/>
              <w:right w:val="single" w:sz="4" w:space="0" w:color="auto"/>
            </w:tcBorders>
          </w:tcPr>
          <w:p w:rsidR="00E858A2" w:rsidRPr="00637638" w:rsidRDefault="00E858A2" w:rsidP="00963437">
            <w:pPr>
              <w:keepNext/>
              <w:keepLines/>
              <w:ind w:left="-108"/>
              <w:jc w:val="both"/>
              <w:rPr>
                <w:rFonts w:ascii="Arial" w:eastAsia="SimSun" w:hAnsi="Arial" w:cs="Arial"/>
                <w:sz w:val="20"/>
                <w:szCs w:val="20"/>
              </w:rPr>
            </w:pPr>
            <w:r w:rsidRPr="00637638">
              <w:rPr>
                <w:rFonts w:ascii="Arial" w:eastAsia="SimSun" w:hAnsi="Arial" w:cs="Arial"/>
                <w:smallCaps/>
                <w:sz w:val="20"/>
                <w:szCs w:val="20"/>
              </w:rPr>
              <w:t>BRENTUXIMAB VEDOTIN</w:t>
            </w:r>
          </w:p>
          <w:p w:rsidR="00E858A2" w:rsidRPr="00637638" w:rsidRDefault="00E858A2" w:rsidP="00963437">
            <w:pPr>
              <w:keepNext/>
              <w:keepLines/>
              <w:ind w:left="-108"/>
              <w:jc w:val="both"/>
              <w:rPr>
                <w:rFonts w:ascii="Arial" w:eastAsia="SimSun" w:hAnsi="Arial" w:cs="Arial"/>
                <w:sz w:val="20"/>
                <w:szCs w:val="20"/>
              </w:rPr>
            </w:pPr>
            <w:r w:rsidRPr="00637638">
              <w:rPr>
                <w:rFonts w:ascii="Arial" w:eastAsia="SimSun" w:hAnsi="Arial" w:cs="Arial"/>
                <w:sz w:val="20"/>
                <w:szCs w:val="20"/>
              </w:rPr>
              <w:t>Injection  50 mg</w:t>
            </w:r>
          </w:p>
        </w:tc>
        <w:tc>
          <w:tcPr>
            <w:tcW w:w="1065" w:type="dxa"/>
            <w:tcBorders>
              <w:top w:val="single" w:sz="4" w:space="0" w:color="auto"/>
              <w:left w:val="single" w:sz="4" w:space="0" w:color="auto"/>
              <w:bottom w:val="single" w:sz="4" w:space="0" w:color="auto"/>
              <w:right w:val="single" w:sz="4" w:space="0" w:color="auto"/>
            </w:tcBorders>
          </w:tcPr>
          <w:p w:rsidR="00E858A2" w:rsidRPr="00637638" w:rsidRDefault="00E858A2" w:rsidP="00963437">
            <w:pPr>
              <w:keepNext/>
              <w:keepLines/>
              <w:ind w:left="-108"/>
              <w:jc w:val="both"/>
              <w:rPr>
                <w:rFonts w:ascii="Arial" w:eastAsia="SimSun" w:hAnsi="Arial" w:cs="Arial"/>
                <w:sz w:val="20"/>
                <w:szCs w:val="20"/>
              </w:rPr>
            </w:pPr>
          </w:p>
          <w:p w:rsidR="00E858A2" w:rsidRPr="00637638" w:rsidRDefault="00E858A2" w:rsidP="00963437">
            <w:pPr>
              <w:keepNext/>
              <w:keepLines/>
              <w:ind w:left="-108"/>
              <w:jc w:val="both"/>
              <w:rPr>
                <w:rFonts w:ascii="Arial" w:eastAsia="SimSun" w:hAnsi="Arial" w:cs="Arial"/>
                <w:sz w:val="20"/>
                <w:szCs w:val="20"/>
              </w:rPr>
            </w:pPr>
            <w:r w:rsidRPr="00637638">
              <w:rPr>
                <w:rFonts w:ascii="Arial" w:eastAsia="SimSun" w:hAnsi="Arial" w:cs="Arial"/>
                <w:sz w:val="20"/>
                <w:szCs w:val="20"/>
              </w:rPr>
              <w:t>200 mg</w:t>
            </w:r>
          </w:p>
        </w:tc>
        <w:tc>
          <w:tcPr>
            <w:tcW w:w="921" w:type="dxa"/>
            <w:tcBorders>
              <w:top w:val="single" w:sz="4" w:space="0" w:color="auto"/>
              <w:left w:val="single" w:sz="4" w:space="0" w:color="auto"/>
              <w:bottom w:val="single" w:sz="4" w:space="0" w:color="auto"/>
              <w:right w:val="single" w:sz="4" w:space="0" w:color="auto"/>
            </w:tcBorders>
          </w:tcPr>
          <w:p w:rsidR="00E858A2" w:rsidRPr="00637638" w:rsidRDefault="00E858A2" w:rsidP="00963437">
            <w:pPr>
              <w:keepNext/>
              <w:keepLines/>
              <w:ind w:left="-108"/>
              <w:jc w:val="both"/>
              <w:rPr>
                <w:rFonts w:ascii="Arial" w:eastAsia="SimSun" w:hAnsi="Arial" w:cs="Arial"/>
                <w:sz w:val="20"/>
                <w:szCs w:val="20"/>
              </w:rPr>
            </w:pPr>
          </w:p>
          <w:p w:rsidR="00E858A2" w:rsidRPr="00637638" w:rsidRDefault="00E858A2" w:rsidP="00963437">
            <w:pPr>
              <w:keepNext/>
              <w:keepLines/>
              <w:ind w:left="-108"/>
              <w:jc w:val="both"/>
              <w:rPr>
                <w:rFonts w:ascii="Arial" w:eastAsia="SimSun" w:hAnsi="Arial" w:cs="Arial"/>
                <w:sz w:val="20"/>
                <w:szCs w:val="20"/>
              </w:rPr>
            </w:pPr>
            <w:r w:rsidRPr="00637638">
              <w:rPr>
                <w:rFonts w:ascii="Arial" w:eastAsia="SimSun" w:hAnsi="Arial" w:cs="Arial"/>
                <w:sz w:val="20"/>
                <w:szCs w:val="20"/>
              </w:rPr>
              <w:t>3</w:t>
            </w:r>
          </w:p>
        </w:tc>
        <w:tc>
          <w:tcPr>
            <w:tcW w:w="1564" w:type="dxa"/>
            <w:tcBorders>
              <w:top w:val="single" w:sz="4" w:space="0" w:color="auto"/>
              <w:left w:val="single" w:sz="4" w:space="0" w:color="auto"/>
              <w:bottom w:val="single" w:sz="4" w:space="0" w:color="auto"/>
              <w:right w:val="single" w:sz="4" w:space="0" w:color="auto"/>
            </w:tcBorders>
          </w:tcPr>
          <w:p w:rsidR="00E858A2" w:rsidRPr="00637638" w:rsidRDefault="00E858A2" w:rsidP="00963437">
            <w:pPr>
              <w:keepNext/>
              <w:keepLines/>
              <w:jc w:val="both"/>
              <w:rPr>
                <w:rFonts w:ascii="Arial" w:eastAsia="SimSun" w:hAnsi="Arial" w:cs="Arial"/>
                <w:sz w:val="20"/>
                <w:szCs w:val="20"/>
              </w:rPr>
            </w:pPr>
          </w:p>
          <w:p w:rsidR="00E858A2" w:rsidRPr="00637638" w:rsidRDefault="00E858A2" w:rsidP="00963437">
            <w:pPr>
              <w:keepNext/>
              <w:keepLines/>
              <w:jc w:val="both"/>
              <w:rPr>
                <w:rFonts w:ascii="Arial" w:eastAsia="SimSun" w:hAnsi="Arial" w:cs="Arial"/>
                <w:sz w:val="20"/>
                <w:szCs w:val="20"/>
              </w:rPr>
            </w:pPr>
            <w:proofErr w:type="spellStart"/>
            <w:r w:rsidRPr="00637638">
              <w:rPr>
                <w:rFonts w:ascii="Arial" w:eastAsia="SimSun" w:hAnsi="Arial" w:cs="Arial"/>
                <w:sz w:val="20"/>
                <w:szCs w:val="20"/>
              </w:rPr>
              <w:t>Adcetris</w:t>
            </w:r>
            <w:proofErr w:type="spellEnd"/>
            <w:r>
              <w:rPr>
                <w:sz w:val="20"/>
              </w:rPr>
              <w:t>®</w:t>
            </w:r>
          </w:p>
        </w:tc>
        <w:tc>
          <w:tcPr>
            <w:tcW w:w="1763" w:type="dxa"/>
            <w:tcBorders>
              <w:top w:val="single" w:sz="4" w:space="0" w:color="auto"/>
              <w:left w:val="single" w:sz="4" w:space="0" w:color="auto"/>
              <w:bottom w:val="single" w:sz="4" w:space="0" w:color="auto"/>
              <w:right w:val="single" w:sz="4" w:space="0" w:color="auto"/>
            </w:tcBorders>
          </w:tcPr>
          <w:p w:rsidR="00E858A2" w:rsidRPr="00637638" w:rsidRDefault="00E858A2" w:rsidP="00963437">
            <w:pPr>
              <w:keepNext/>
              <w:keepLines/>
              <w:jc w:val="both"/>
              <w:rPr>
                <w:rFonts w:ascii="Arial" w:eastAsia="SimSun" w:hAnsi="Arial" w:cs="Arial"/>
                <w:sz w:val="20"/>
                <w:szCs w:val="20"/>
              </w:rPr>
            </w:pPr>
          </w:p>
          <w:p w:rsidR="00E858A2" w:rsidRPr="00637638" w:rsidRDefault="00E858A2" w:rsidP="00963437">
            <w:pPr>
              <w:keepNext/>
              <w:keepLines/>
              <w:jc w:val="both"/>
              <w:rPr>
                <w:rFonts w:ascii="Arial" w:eastAsia="SimSun" w:hAnsi="Arial" w:cs="Arial"/>
                <w:sz w:val="20"/>
                <w:szCs w:val="20"/>
              </w:rPr>
            </w:pPr>
            <w:r w:rsidRPr="00637638">
              <w:rPr>
                <w:rFonts w:ascii="Arial" w:eastAsia="SimSun" w:hAnsi="Arial" w:cs="Arial"/>
                <w:sz w:val="20"/>
                <w:szCs w:val="20"/>
              </w:rPr>
              <w:t>TK</w:t>
            </w:r>
          </w:p>
        </w:tc>
      </w:tr>
    </w:tbl>
    <w:p w:rsidR="00E858A2" w:rsidRPr="004465BD" w:rsidRDefault="00E858A2" w:rsidP="004465BD">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8363"/>
      </w:tblGrid>
      <w:tr w:rsidR="00B86B81" w:rsidRPr="00637638" w:rsidTr="00A04314">
        <w:trPr>
          <w:cantSplit/>
          <w:trHeight w:val="439"/>
        </w:trPr>
        <w:tc>
          <w:tcPr>
            <w:tcW w:w="8363" w:type="dxa"/>
            <w:tcBorders>
              <w:top w:val="single" w:sz="4" w:space="0" w:color="auto"/>
              <w:left w:val="single" w:sz="4" w:space="0" w:color="auto"/>
              <w:bottom w:val="single" w:sz="4" w:space="0" w:color="auto"/>
              <w:right w:val="single" w:sz="4" w:space="0" w:color="auto"/>
            </w:tcBorders>
          </w:tcPr>
          <w:p w:rsidR="00B86B81" w:rsidRPr="00B86B81" w:rsidRDefault="00B86B81" w:rsidP="00B86B81">
            <w:pPr>
              <w:keepNext/>
              <w:keepLines/>
              <w:ind w:right="145"/>
              <w:jc w:val="both"/>
              <w:rPr>
                <w:rFonts w:ascii="Arial" w:eastAsia="SimSun" w:hAnsi="Arial" w:cs="Arial"/>
                <w:b/>
                <w:smallCaps/>
                <w:sz w:val="20"/>
                <w:szCs w:val="20"/>
                <w:u w:val="single"/>
              </w:rPr>
            </w:pPr>
            <w:r w:rsidRPr="00B86B81">
              <w:rPr>
                <w:rFonts w:ascii="Arial" w:eastAsia="SimSun" w:hAnsi="Arial" w:cs="Arial"/>
                <w:b/>
                <w:smallCaps/>
                <w:sz w:val="20"/>
                <w:szCs w:val="20"/>
                <w:u w:val="single"/>
              </w:rPr>
              <w:t>Section 100 (Efficient Funding of Chemotherapy) Authority Required (+/- STREAMLINED)</w:t>
            </w:r>
          </w:p>
          <w:p w:rsidR="00B86B81" w:rsidRPr="00B86B81" w:rsidRDefault="00B86B81" w:rsidP="00B86B81">
            <w:pPr>
              <w:keepNext/>
              <w:keepLines/>
              <w:ind w:right="145"/>
              <w:jc w:val="both"/>
              <w:rPr>
                <w:rFonts w:ascii="Arial" w:eastAsia="SimSun" w:hAnsi="Arial" w:cs="Arial"/>
                <w:smallCaps/>
                <w:sz w:val="20"/>
                <w:szCs w:val="20"/>
              </w:rPr>
            </w:pPr>
          </w:p>
          <w:p w:rsidR="00B86B81" w:rsidRPr="00B86B81" w:rsidRDefault="00B86B81" w:rsidP="00B86B81">
            <w:pPr>
              <w:keepNext/>
              <w:keepLines/>
              <w:ind w:right="145"/>
              <w:jc w:val="both"/>
              <w:rPr>
                <w:rFonts w:ascii="Arial" w:eastAsia="SimSun" w:hAnsi="Arial" w:cs="Arial"/>
                <w:b/>
                <w:smallCaps/>
                <w:sz w:val="20"/>
                <w:szCs w:val="20"/>
                <w:u w:val="single"/>
              </w:rPr>
            </w:pPr>
            <w:r w:rsidRPr="00B86B81">
              <w:rPr>
                <w:rFonts w:ascii="Arial" w:eastAsia="SimSun" w:hAnsi="Arial" w:cs="Arial"/>
                <w:b/>
                <w:smallCaps/>
                <w:sz w:val="20"/>
                <w:szCs w:val="20"/>
                <w:u w:val="single"/>
              </w:rPr>
              <w:t>Private Hospital/Public Hospital</w:t>
            </w:r>
          </w:p>
          <w:p w:rsidR="00B86B81" w:rsidRPr="00B86B81" w:rsidRDefault="00B86B81" w:rsidP="00B86B81">
            <w:pPr>
              <w:keepNext/>
              <w:keepLines/>
              <w:ind w:right="145"/>
              <w:jc w:val="both"/>
              <w:rPr>
                <w:rFonts w:ascii="Arial" w:eastAsia="SimSun" w:hAnsi="Arial" w:cs="Arial"/>
                <w:smallCaps/>
                <w:sz w:val="20"/>
                <w:szCs w:val="20"/>
              </w:rPr>
            </w:pPr>
            <w:r w:rsidRPr="00B86B81">
              <w:rPr>
                <w:rFonts w:ascii="Arial" w:eastAsia="SimSun" w:hAnsi="Arial" w:cs="Arial"/>
                <w:smallCaps/>
                <w:sz w:val="20"/>
                <w:szCs w:val="20"/>
              </w:rPr>
              <w:t>Treatment of adult patients with relapsed or refractory systemic anaplastic large cell lymphoma (</w:t>
            </w:r>
            <w:proofErr w:type="spellStart"/>
            <w:r w:rsidRPr="00B86B81">
              <w:rPr>
                <w:rFonts w:ascii="Arial" w:eastAsia="SimSun" w:hAnsi="Arial" w:cs="Arial"/>
                <w:smallCaps/>
                <w:sz w:val="20"/>
                <w:szCs w:val="20"/>
              </w:rPr>
              <w:t>sALCL</w:t>
            </w:r>
            <w:proofErr w:type="spellEnd"/>
            <w:r w:rsidRPr="00B86B81">
              <w:rPr>
                <w:rFonts w:ascii="Arial" w:eastAsia="SimSun" w:hAnsi="Arial" w:cs="Arial"/>
                <w:smallCaps/>
                <w:sz w:val="20"/>
                <w:szCs w:val="20"/>
              </w:rPr>
              <w:t>) who are suitable for further systemic curative intent salvage therapy</w:t>
            </w:r>
          </w:p>
          <w:p w:rsidR="00B86B81" w:rsidRDefault="00B86B81" w:rsidP="00B86B81">
            <w:pPr>
              <w:keepNext/>
              <w:keepLines/>
              <w:ind w:right="145"/>
              <w:jc w:val="both"/>
              <w:rPr>
                <w:rFonts w:ascii="Arial" w:eastAsia="SimSun" w:hAnsi="Arial" w:cs="Arial"/>
                <w:b/>
                <w:smallCaps/>
                <w:sz w:val="20"/>
                <w:szCs w:val="20"/>
              </w:rPr>
            </w:pPr>
          </w:p>
          <w:p w:rsidR="00B86B81" w:rsidRPr="00B86B81" w:rsidRDefault="00B86B81" w:rsidP="00B86B81">
            <w:pPr>
              <w:keepNext/>
              <w:keepLines/>
              <w:ind w:right="145"/>
              <w:jc w:val="both"/>
              <w:rPr>
                <w:rFonts w:ascii="Arial" w:eastAsia="SimSun" w:hAnsi="Arial" w:cs="Arial"/>
                <w:b/>
                <w:smallCaps/>
                <w:sz w:val="20"/>
                <w:szCs w:val="20"/>
              </w:rPr>
            </w:pPr>
            <w:r w:rsidRPr="00B86B81">
              <w:rPr>
                <w:rFonts w:ascii="Arial" w:eastAsia="SimSun" w:hAnsi="Arial" w:cs="Arial"/>
                <w:b/>
                <w:smallCaps/>
                <w:sz w:val="20"/>
                <w:szCs w:val="20"/>
              </w:rPr>
              <w:t xml:space="preserve">Note: </w:t>
            </w:r>
          </w:p>
          <w:p w:rsidR="00B86B81" w:rsidRPr="00637638" w:rsidRDefault="00B86B81" w:rsidP="00B86B81">
            <w:pPr>
              <w:keepNext/>
              <w:keepLines/>
              <w:ind w:right="145"/>
              <w:jc w:val="both"/>
              <w:rPr>
                <w:rFonts w:ascii="Arial" w:eastAsia="SimSun" w:hAnsi="Arial" w:cs="Arial"/>
                <w:lang w:val="fr-FR"/>
              </w:rPr>
            </w:pPr>
            <w:r w:rsidRPr="00B86B81">
              <w:rPr>
                <w:rFonts w:ascii="Arial" w:eastAsia="SimSun" w:hAnsi="Arial" w:cs="Arial"/>
                <w:smallCaps/>
                <w:sz w:val="20"/>
                <w:szCs w:val="20"/>
              </w:rPr>
              <w:t>Patients should not be continued if they are in a progressive disease state after the first assessment of response.</w:t>
            </w:r>
          </w:p>
        </w:tc>
      </w:tr>
    </w:tbl>
    <w:p w:rsidR="00E858A2" w:rsidRDefault="00E858A2" w:rsidP="00882085">
      <w:pPr>
        <w:pStyle w:val="ListParagraph"/>
        <w:jc w:val="both"/>
        <w:rPr>
          <w:rFonts w:ascii="Arial" w:hAnsi="Arial"/>
          <w:sz w:val="22"/>
          <w:szCs w:val="22"/>
        </w:rPr>
      </w:pPr>
    </w:p>
    <w:p w:rsidR="00E858A2" w:rsidRDefault="00483FEB" w:rsidP="00302647">
      <w:pPr>
        <w:pStyle w:val="ListParagraph"/>
        <w:numPr>
          <w:ilvl w:val="1"/>
          <w:numId w:val="1"/>
        </w:numPr>
        <w:jc w:val="both"/>
        <w:rPr>
          <w:rFonts w:ascii="Arial" w:hAnsi="Arial" w:cs="Arial"/>
          <w:color w:val="000000"/>
          <w:sz w:val="22"/>
          <w:szCs w:val="22"/>
        </w:rPr>
      </w:pPr>
      <w:r>
        <w:rPr>
          <w:rFonts w:ascii="Arial" w:hAnsi="Arial" w:cs="Arial"/>
          <w:color w:val="000000"/>
          <w:sz w:val="22"/>
          <w:szCs w:val="22"/>
        </w:rPr>
        <w:t xml:space="preserve">At its meeting in </w:t>
      </w:r>
      <w:r w:rsidR="00E858A2">
        <w:rPr>
          <w:rFonts w:ascii="Arial" w:hAnsi="Arial" w:cs="Arial"/>
          <w:color w:val="000000"/>
          <w:sz w:val="22"/>
          <w:szCs w:val="22"/>
        </w:rPr>
        <w:t>March 2014</w:t>
      </w:r>
      <w:r>
        <w:rPr>
          <w:rFonts w:ascii="Arial" w:hAnsi="Arial" w:cs="Arial"/>
          <w:color w:val="000000"/>
          <w:sz w:val="22"/>
          <w:szCs w:val="22"/>
        </w:rPr>
        <w:t>, the</w:t>
      </w:r>
      <w:r w:rsidR="00E858A2">
        <w:rPr>
          <w:rFonts w:ascii="Arial" w:hAnsi="Arial" w:cs="Arial"/>
          <w:color w:val="000000"/>
          <w:sz w:val="22"/>
          <w:szCs w:val="22"/>
        </w:rPr>
        <w:t xml:space="preserve"> PBAC considered that </w:t>
      </w:r>
      <w:r w:rsidR="00E858A2">
        <w:rPr>
          <w:rFonts w:ascii="Arial" w:hAnsi="Arial"/>
          <w:sz w:val="22"/>
          <w:szCs w:val="22"/>
        </w:rPr>
        <w:t xml:space="preserve">there “was considerable risk of use of </w:t>
      </w:r>
      <w:proofErr w:type="spellStart"/>
      <w:r w:rsidR="00E858A2" w:rsidRPr="00330E07">
        <w:rPr>
          <w:rFonts w:ascii="Arial" w:hAnsi="Arial"/>
          <w:sz w:val="22"/>
          <w:szCs w:val="22"/>
        </w:rPr>
        <w:t>brentuximab</w:t>
      </w:r>
      <w:proofErr w:type="spellEnd"/>
      <w:r w:rsidR="00E858A2" w:rsidRPr="00330E07">
        <w:rPr>
          <w:rFonts w:ascii="Arial" w:hAnsi="Arial"/>
          <w:sz w:val="22"/>
          <w:szCs w:val="22"/>
        </w:rPr>
        <w:t xml:space="preserve"> </w:t>
      </w:r>
      <w:proofErr w:type="spellStart"/>
      <w:r w:rsidR="00E858A2" w:rsidRPr="00330E07">
        <w:rPr>
          <w:rFonts w:ascii="Arial" w:hAnsi="Arial"/>
          <w:sz w:val="22"/>
          <w:szCs w:val="22"/>
        </w:rPr>
        <w:t>vedoti</w:t>
      </w:r>
      <w:r w:rsidR="00640BD7">
        <w:rPr>
          <w:rFonts w:ascii="Arial" w:hAnsi="Arial"/>
          <w:sz w:val="22"/>
          <w:szCs w:val="22"/>
        </w:rPr>
        <w:t>n</w:t>
      </w:r>
      <w:proofErr w:type="spellEnd"/>
      <w:r w:rsidR="00E858A2" w:rsidRPr="00330E07">
        <w:rPr>
          <w:rFonts w:ascii="Arial" w:hAnsi="Arial"/>
          <w:sz w:val="22"/>
          <w:szCs w:val="22"/>
        </w:rPr>
        <w:t xml:space="preserve"> </w:t>
      </w:r>
      <w:r w:rsidR="00E858A2">
        <w:rPr>
          <w:rFonts w:ascii="Arial" w:hAnsi="Arial"/>
          <w:sz w:val="22"/>
          <w:szCs w:val="22"/>
        </w:rPr>
        <w:t xml:space="preserve">outside the requested restriction, with leakage into Hodgkin Lymphoma and first-line treatment of </w:t>
      </w:r>
      <w:proofErr w:type="spellStart"/>
      <w:r w:rsidR="00E858A2">
        <w:rPr>
          <w:rFonts w:ascii="Arial" w:hAnsi="Arial"/>
          <w:sz w:val="22"/>
          <w:szCs w:val="22"/>
        </w:rPr>
        <w:t>sALCL</w:t>
      </w:r>
      <w:proofErr w:type="spellEnd"/>
      <w:r w:rsidR="00E858A2">
        <w:rPr>
          <w:rFonts w:ascii="Arial" w:hAnsi="Arial"/>
          <w:sz w:val="22"/>
          <w:szCs w:val="22"/>
        </w:rPr>
        <w:t xml:space="preserve">. </w:t>
      </w:r>
      <w:r w:rsidR="00E858A2" w:rsidRPr="00330E07">
        <w:rPr>
          <w:rFonts w:ascii="Arial" w:hAnsi="Arial"/>
          <w:sz w:val="22"/>
          <w:szCs w:val="22"/>
        </w:rPr>
        <w:t xml:space="preserve">To </w:t>
      </w:r>
      <w:r w:rsidR="00E858A2">
        <w:rPr>
          <w:rFonts w:ascii="Arial" w:hAnsi="Arial"/>
          <w:sz w:val="22"/>
          <w:szCs w:val="22"/>
        </w:rPr>
        <w:t>address this</w:t>
      </w:r>
      <w:r w:rsidR="00E858A2" w:rsidRPr="00330E07">
        <w:rPr>
          <w:rFonts w:ascii="Arial" w:hAnsi="Arial"/>
          <w:sz w:val="22"/>
          <w:szCs w:val="22"/>
        </w:rPr>
        <w:t xml:space="preserve"> risk</w:t>
      </w:r>
      <w:r w:rsidR="00E858A2">
        <w:rPr>
          <w:rFonts w:ascii="Arial" w:hAnsi="Arial"/>
          <w:sz w:val="22"/>
          <w:szCs w:val="22"/>
        </w:rPr>
        <w:t>, t</w:t>
      </w:r>
      <w:r w:rsidR="00E858A2" w:rsidRPr="00330E07">
        <w:rPr>
          <w:rFonts w:ascii="Arial" w:hAnsi="Arial"/>
          <w:sz w:val="22"/>
          <w:szCs w:val="22"/>
        </w:rPr>
        <w:t xml:space="preserve">he PBAC considered that a written </w:t>
      </w:r>
      <w:r w:rsidR="00E858A2">
        <w:rPr>
          <w:rFonts w:ascii="Arial" w:hAnsi="Arial"/>
          <w:sz w:val="22"/>
          <w:szCs w:val="22"/>
        </w:rPr>
        <w:t>A</w:t>
      </w:r>
      <w:r w:rsidR="00E858A2" w:rsidRPr="00330E07">
        <w:rPr>
          <w:rFonts w:ascii="Arial" w:hAnsi="Arial"/>
          <w:sz w:val="22"/>
          <w:szCs w:val="22"/>
        </w:rPr>
        <w:t xml:space="preserve">uthority would be appropriate for </w:t>
      </w:r>
      <w:proofErr w:type="spellStart"/>
      <w:r w:rsidR="00640BD7" w:rsidRPr="00330E07">
        <w:rPr>
          <w:rFonts w:ascii="Arial" w:hAnsi="Arial"/>
          <w:sz w:val="22"/>
          <w:szCs w:val="22"/>
        </w:rPr>
        <w:t>brentuximab</w:t>
      </w:r>
      <w:proofErr w:type="spellEnd"/>
      <w:r w:rsidR="00640BD7" w:rsidRPr="00330E07">
        <w:rPr>
          <w:rFonts w:ascii="Arial" w:hAnsi="Arial"/>
          <w:sz w:val="22"/>
          <w:szCs w:val="22"/>
        </w:rPr>
        <w:t xml:space="preserve"> </w:t>
      </w:r>
      <w:proofErr w:type="spellStart"/>
      <w:r w:rsidR="00640BD7" w:rsidRPr="00330E07">
        <w:rPr>
          <w:rFonts w:ascii="Arial" w:hAnsi="Arial"/>
          <w:sz w:val="22"/>
          <w:szCs w:val="22"/>
        </w:rPr>
        <w:t>vedotin</w:t>
      </w:r>
      <w:proofErr w:type="spellEnd"/>
      <w:r w:rsidR="00E858A2" w:rsidRPr="00330E07">
        <w:rPr>
          <w:rFonts w:ascii="Arial" w:hAnsi="Arial"/>
          <w:sz w:val="22"/>
          <w:szCs w:val="22"/>
        </w:rPr>
        <w:t xml:space="preserve">, to be administered by the Department of Human Services in Tasmania.  The written </w:t>
      </w:r>
      <w:r w:rsidR="00E858A2">
        <w:rPr>
          <w:rFonts w:ascii="Arial" w:hAnsi="Arial"/>
          <w:sz w:val="22"/>
          <w:szCs w:val="22"/>
        </w:rPr>
        <w:t>A</w:t>
      </w:r>
      <w:r w:rsidR="00E858A2" w:rsidRPr="00330E07">
        <w:rPr>
          <w:rFonts w:ascii="Arial" w:hAnsi="Arial"/>
          <w:sz w:val="22"/>
          <w:szCs w:val="22"/>
        </w:rPr>
        <w:t>uthority should include</w:t>
      </w:r>
      <w:r w:rsidR="00E858A2">
        <w:rPr>
          <w:rFonts w:ascii="Arial" w:hAnsi="Arial"/>
          <w:sz w:val="22"/>
          <w:szCs w:val="22"/>
        </w:rPr>
        <w:t>, amongst other things,</w:t>
      </w:r>
      <w:r w:rsidR="00E858A2" w:rsidRPr="00330E07">
        <w:rPr>
          <w:rFonts w:ascii="Arial" w:hAnsi="Arial"/>
          <w:sz w:val="22"/>
          <w:szCs w:val="22"/>
        </w:rPr>
        <w:t xml:space="preserve"> appropriate histology results and details of prior therapy.</w:t>
      </w:r>
      <w:r w:rsidR="00E858A2">
        <w:rPr>
          <w:rFonts w:ascii="Arial" w:hAnsi="Arial"/>
          <w:sz w:val="22"/>
          <w:szCs w:val="22"/>
        </w:rPr>
        <w:t>” (Ratified Minutes March 2014)</w:t>
      </w:r>
    </w:p>
    <w:p w:rsidR="00E858A2" w:rsidRPr="00316320" w:rsidRDefault="00E858A2" w:rsidP="00316320">
      <w:pPr>
        <w:pStyle w:val="ListParagraph"/>
        <w:rPr>
          <w:rFonts w:ascii="Arial" w:hAnsi="Arial" w:cs="Arial"/>
          <w:color w:val="000000"/>
          <w:sz w:val="22"/>
          <w:szCs w:val="22"/>
        </w:rPr>
      </w:pPr>
    </w:p>
    <w:p w:rsidR="00E858A2" w:rsidRPr="00144C9E" w:rsidRDefault="00E858A2" w:rsidP="004F76F1">
      <w:pPr>
        <w:pStyle w:val="ListParagraph"/>
        <w:numPr>
          <w:ilvl w:val="1"/>
          <w:numId w:val="1"/>
        </w:numPr>
        <w:jc w:val="both"/>
        <w:rPr>
          <w:rFonts w:ascii="Arial" w:hAnsi="Arial" w:cs="Arial"/>
          <w:color w:val="000000"/>
          <w:sz w:val="22"/>
          <w:szCs w:val="22"/>
        </w:rPr>
      </w:pPr>
      <w:r w:rsidRPr="00144C9E">
        <w:rPr>
          <w:rFonts w:ascii="Arial" w:hAnsi="Arial"/>
          <w:sz w:val="22"/>
          <w:szCs w:val="22"/>
        </w:rPr>
        <w:t>The</w:t>
      </w:r>
      <w:r w:rsidRPr="00144C9E">
        <w:rPr>
          <w:rFonts w:ascii="Arial" w:hAnsi="Arial" w:cs="Arial"/>
          <w:color w:val="000000"/>
          <w:sz w:val="22"/>
          <w:szCs w:val="22"/>
        </w:rPr>
        <w:t xml:space="preserve"> restriction will need to be finalised in consultation with the sponsor, the</w:t>
      </w:r>
      <w:r>
        <w:rPr>
          <w:rFonts w:ascii="Arial" w:hAnsi="Arial" w:cs="Arial"/>
          <w:color w:val="000000"/>
          <w:sz w:val="22"/>
          <w:szCs w:val="22"/>
        </w:rPr>
        <w:t xml:space="preserve"> </w:t>
      </w:r>
      <w:r w:rsidRPr="00144C9E">
        <w:rPr>
          <w:rFonts w:ascii="Arial" w:hAnsi="Arial" w:cs="Arial"/>
          <w:color w:val="000000"/>
          <w:sz w:val="22"/>
          <w:szCs w:val="22"/>
        </w:rPr>
        <w:t>Department of Human Services and the Restrictions Working Group.</w:t>
      </w:r>
    </w:p>
    <w:p w:rsidR="00E858A2" w:rsidRDefault="00E858A2" w:rsidP="004F76F1">
      <w:pPr>
        <w:pStyle w:val="ListParagraph"/>
        <w:jc w:val="both"/>
        <w:rPr>
          <w:rFonts w:ascii="Arial" w:hAnsi="Arial" w:cs="Arial"/>
          <w:color w:val="000000"/>
          <w:sz w:val="22"/>
          <w:szCs w:val="22"/>
        </w:rPr>
      </w:pPr>
    </w:p>
    <w:p w:rsidR="00E858A2" w:rsidRDefault="00E858A2" w:rsidP="00302647">
      <w:pPr>
        <w:pStyle w:val="ListParagraph"/>
        <w:numPr>
          <w:ilvl w:val="1"/>
          <w:numId w:val="1"/>
        </w:numPr>
        <w:jc w:val="both"/>
        <w:rPr>
          <w:rFonts w:ascii="Arial" w:hAnsi="Arial" w:cs="Arial"/>
          <w:color w:val="000000"/>
          <w:sz w:val="22"/>
          <w:szCs w:val="22"/>
        </w:rPr>
      </w:pPr>
      <w:r w:rsidRPr="00144C9E">
        <w:rPr>
          <w:rFonts w:ascii="Arial" w:hAnsi="Arial" w:cs="Arial"/>
          <w:color w:val="000000"/>
          <w:sz w:val="22"/>
          <w:szCs w:val="22"/>
        </w:rPr>
        <w:t>Listing was requested on the basis of a cost-utility analysis versus multi-agent</w:t>
      </w:r>
      <w:r>
        <w:rPr>
          <w:rFonts w:ascii="Arial" w:hAnsi="Arial" w:cs="Arial"/>
          <w:color w:val="000000"/>
          <w:sz w:val="22"/>
          <w:szCs w:val="22"/>
        </w:rPr>
        <w:t xml:space="preserve"> </w:t>
      </w:r>
      <w:r w:rsidRPr="00144C9E">
        <w:rPr>
          <w:rFonts w:ascii="Arial" w:hAnsi="Arial" w:cs="Arial"/>
          <w:color w:val="000000"/>
          <w:sz w:val="22"/>
          <w:szCs w:val="22"/>
        </w:rPr>
        <w:t xml:space="preserve">salvage chemotherapy. </w:t>
      </w:r>
    </w:p>
    <w:p w:rsidR="00E858A2" w:rsidRDefault="00E858A2" w:rsidP="00144C9E">
      <w:pPr>
        <w:widowControl w:val="0"/>
        <w:ind w:left="720"/>
        <w:jc w:val="both"/>
        <w:rPr>
          <w:rFonts w:ascii="Arial" w:hAnsi="Arial"/>
          <w:b/>
          <w:sz w:val="22"/>
          <w:szCs w:val="22"/>
        </w:rPr>
      </w:pPr>
    </w:p>
    <w:p w:rsidR="00E858A2" w:rsidRPr="00BB7EC3" w:rsidRDefault="00E858A2"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E858A2" w:rsidRDefault="00E858A2" w:rsidP="00882085">
      <w:pPr>
        <w:jc w:val="both"/>
        <w:rPr>
          <w:rFonts w:ascii="Arial" w:hAnsi="Arial"/>
          <w:b/>
          <w:sz w:val="22"/>
          <w:szCs w:val="22"/>
        </w:rPr>
      </w:pPr>
    </w:p>
    <w:p w:rsidR="00B86B81" w:rsidRPr="00882085" w:rsidRDefault="00B86B81" w:rsidP="00882085">
      <w:pPr>
        <w:jc w:val="both"/>
        <w:rPr>
          <w:rFonts w:ascii="Arial" w:hAnsi="Arial"/>
          <w:b/>
          <w:sz w:val="22"/>
          <w:szCs w:val="22"/>
        </w:rPr>
      </w:pPr>
    </w:p>
    <w:p w:rsidR="00E858A2" w:rsidRPr="00882085" w:rsidRDefault="00E858A2" w:rsidP="00302647">
      <w:pPr>
        <w:pStyle w:val="ListParagraph"/>
        <w:numPr>
          <w:ilvl w:val="0"/>
          <w:numId w:val="1"/>
        </w:numPr>
        <w:jc w:val="both"/>
        <w:rPr>
          <w:rFonts w:ascii="Arial" w:hAnsi="Arial"/>
          <w:sz w:val="22"/>
          <w:szCs w:val="22"/>
        </w:rPr>
      </w:pPr>
      <w:r w:rsidRPr="00882085">
        <w:rPr>
          <w:rFonts w:ascii="Arial" w:hAnsi="Arial"/>
          <w:b/>
          <w:sz w:val="22"/>
          <w:szCs w:val="22"/>
        </w:rPr>
        <w:t>Background</w:t>
      </w:r>
    </w:p>
    <w:p w:rsidR="00E858A2" w:rsidRPr="00882085" w:rsidRDefault="00E858A2" w:rsidP="00882085">
      <w:pPr>
        <w:jc w:val="both"/>
        <w:rPr>
          <w:rFonts w:ascii="Arial" w:hAnsi="Arial"/>
          <w:sz w:val="22"/>
          <w:szCs w:val="22"/>
        </w:rPr>
      </w:pPr>
    </w:p>
    <w:p w:rsidR="00E858A2" w:rsidRDefault="00483FEB" w:rsidP="00302647">
      <w:pPr>
        <w:pStyle w:val="ListParagraph"/>
        <w:numPr>
          <w:ilvl w:val="1"/>
          <w:numId w:val="1"/>
        </w:numPr>
        <w:jc w:val="both"/>
        <w:rPr>
          <w:rFonts w:ascii="Arial" w:hAnsi="Arial"/>
          <w:sz w:val="22"/>
          <w:szCs w:val="22"/>
        </w:rPr>
      </w:pPr>
      <w:proofErr w:type="spellStart"/>
      <w:r>
        <w:rPr>
          <w:rFonts w:ascii="Arial" w:hAnsi="Arial"/>
          <w:sz w:val="22"/>
          <w:szCs w:val="22"/>
        </w:rPr>
        <w:lastRenderedPageBreak/>
        <w:t>B</w:t>
      </w:r>
      <w:r w:rsidRPr="00330E07">
        <w:rPr>
          <w:rFonts w:ascii="Arial" w:hAnsi="Arial"/>
          <w:sz w:val="22"/>
          <w:szCs w:val="22"/>
        </w:rPr>
        <w:t>rentuximab</w:t>
      </w:r>
      <w:proofErr w:type="spellEnd"/>
      <w:r w:rsidRPr="00330E07">
        <w:rPr>
          <w:rFonts w:ascii="Arial" w:hAnsi="Arial"/>
          <w:sz w:val="22"/>
          <w:szCs w:val="22"/>
        </w:rPr>
        <w:t xml:space="preserve"> </w:t>
      </w:r>
      <w:proofErr w:type="spellStart"/>
      <w:r w:rsidRPr="00330E07">
        <w:rPr>
          <w:rFonts w:ascii="Arial" w:hAnsi="Arial"/>
          <w:sz w:val="22"/>
          <w:szCs w:val="22"/>
        </w:rPr>
        <w:t>vedotin</w:t>
      </w:r>
      <w:proofErr w:type="spellEnd"/>
      <w:r w:rsidRPr="00330E07">
        <w:rPr>
          <w:rFonts w:ascii="Arial" w:hAnsi="Arial"/>
          <w:sz w:val="22"/>
          <w:szCs w:val="22"/>
        </w:rPr>
        <w:t xml:space="preserve"> </w:t>
      </w:r>
      <w:r w:rsidR="00E858A2">
        <w:rPr>
          <w:rFonts w:ascii="Arial" w:hAnsi="Arial"/>
          <w:sz w:val="22"/>
          <w:szCs w:val="22"/>
        </w:rPr>
        <w:t xml:space="preserve">was TGA registered on 20 December 2013 for the following indications: </w:t>
      </w:r>
    </w:p>
    <w:p w:rsidR="00E858A2" w:rsidRPr="00EF132F" w:rsidRDefault="00E858A2" w:rsidP="00D623AC">
      <w:pPr>
        <w:numPr>
          <w:ilvl w:val="0"/>
          <w:numId w:val="4"/>
        </w:numPr>
        <w:rPr>
          <w:rFonts w:ascii="Arial" w:hAnsi="Arial"/>
          <w:sz w:val="22"/>
          <w:szCs w:val="22"/>
        </w:rPr>
      </w:pPr>
      <w:r w:rsidRPr="00EF132F">
        <w:rPr>
          <w:rFonts w:ascii="Arial" w:hAnsi="Arial"/>
          <w:sz w:val="22"/>
          <w:szCs w:val="22"/>
        </w:rPr>
        <w:t>Treatment of adult patients with relapsed or refractory CD30+ Hodgkin lymphoma (HL):</w:t>
      </w:r>
    </w:p>
    <w:p w:rsidR="00E858A2" w:rsidRPr="00EF132F" w:rsidRDefault="00E858A2" w:rsidP="00D623AC">
      <w:pPr>
        <w:pStyle w:val="ListParagraph"/>
        <w:numPr>
          <w:ilvl w:val="0"/>
          <w:numId w:val="3"/>
        </w:numPr>
        <w:tabs>
          <w:tab w:val="left" w:pos="1701"/>
        </w:tabs>
        <w:ind w:left="1418" w:hanging="142"/>
        <w:jc w:val="both"/>
        <w:rPr>
          <w:rFonts w:ascii="Arial" w:hAnsi="Arial"/>
          <w:sz w:val="22"/>
          <w:szCs w:val="22"/>
        </w:rPr>
      </w:pPr>
      <w:r w:rsidRPr="00EF132F">
        <w:rPr>
          <w:rFonts w:ascii="Arial" w:hAnsi="Arial"/>
          <w:sz w:val="22"/>
          <w:szCs w:val="22"/>
        </w:rPr>
        <w:t>following autologous stem cell transplant (ASCT); or</w:t>
      </w:r>
    </w:p>
    <w:p w:rsidR="00E858A2" w:rsidRPr="00EF132F" w:rsidRDefault="00E858A2" w:rsidP="00D623AC">
      <w:pPr>
        <w:pStyle w:val="ListParagraph"/>
        <w:numPr>
          <w:ilvl w:val="0"/>
          <w:numId w:val="3"/>
        </w:numPr>
        <w:tabs>
          <w:tab w:val="left" w:pos="1701"/>
        </w:tabs>
        <w:ind w:left="1701" w:hanging="425"/>
        <w:jc w:val="both"/>
        <w:rPr>
          <w:rFonts w:ascii="Arial" w:hAnsi="Arial"/>
          <w:sz w:val="22"/>
          <w:szCs w:val="22"/>
        </w:rPr>
      </w:pPr>
      <w:proofErr w:type="gramStart"/>
      <w:r w:rsidRPr="00EF132F">
        <w:rPr>
          <w:rFonts w:ascii="Arial" w:hAnsi="Arial"/>
          <w:sz w:val="22"/>
          <w:szCs w:val="22"/>
        </w:rPr>
        <w:t>following</w:t>
      </w:r>
      <w:proofErr w:type="gramEnd"/>
      <w:r w:rsidRPr="00EF132F">
        <w:rPr>
          <w:rFonts w:ascii="Arial" w:hAnsi="Arial"/>
          <w:sz w:val="22"/>
          <w:szCs w:val="22"/>
        </w:rPr>
        <w:t xml:space="preserve"> at least two prior therapies when ASCT or multi-agent chemotherapy is not a treatment option.</w:t>
      </w:r>
    </w:p>
    <w:p w:rsidR="00E858A2" w:rsidRPr="00D623AC" w:rsidRDefault="00E858A2" w:rsidP="00D623AC">
      <w:pPr>
        <w:numPr>
          <w:ilvl w:val="0"/>
          <w:numId w:val="4"/>
        </w:numPr>
        <w:rPr>
          <w:rFonts w:ascii="Arial" w:hAnsi="Arial"/>
          <w:sz w:val="22"/>
          <w:szCs w:val="22"/>
        </w:rPr>
      </w:pPr>
      <w:r w:rsidRPr="00D623AC">
        <w:rPr>
          <w:rFonts w:ascii="Arial" w:hAnsi="Arial"/>
          <w:sz w:val="22"/>
          <w:szCs w:val="22"/>
        </w:rPr>
        <w:t>Treatment of adult patients with relapsed or refractory systemic anaplastic large cell</w:t>
      </w:r>
      <w:r>
        <w:rPr>
          <w:rFonts w:ascii="Arial" w:hAnsi="Arial"/>
          <w:sz w:val="22"/>
          <w:szCs w:val="22"/>
        </w:rPr>
        <w:t xml:space="preserve"> </w:t>
      </w:r>
      <w:r w:rsidRPr="00D623AC">
        <w:rPr>
          <w:rFonts w:ascii="Arial" w:hAnsi="Arial"/>
          <w:sz w:val="22"/>
          <w:szCs w:val="22"/>
        </w:rPr>
        <w:t>lymphoma (</w:t>
      </w:r>
      <w:proofErr w:type="spellStart"/>
      <w:r w:rsidRPr="00D623AC">
        <w:rPr>
          <w:rFonts w:ascii="Arial" w:hAnsi="Arial"/>
          <w:sz w:val="22"/>
          <w:szCs w:val="22"/>
        </w:rPr>
        <w:t>sALCL</w:t>
      </w:r>
      <w:proofErr w:type="spellEnd"/>
      <w:r w:rsidRPr="00D623AC">
        <w:rPr>
          <w:rFonts w:ascii="Arial" w:hAnsi="Arial"/>
          <w:sz w:val="22"/>
          <w:szCs w:val="22"/>
        </w:rPr>
        <w:t xml:space="preserve">).  </w:t>
      </w:r>
    </w:p>
    <w:p w:rsidR="00E858A2" w:rsidRPr="00314DA2" w:rsidRDefault="00E858A2" w:rsidP="00314DA2">
      <w:pPr>
        <w:jc w:val="both"/>
        <w:rPr>
          <w:rFonts w:ascii="Arial" w:hAnsi="Arial"/>
          <w:sz w:val="22"/>
          <w:szCs w:val="22"/>
        </w:rPr>
      </w:pPr>
    </w:p>
    <w:p w:rsidR="00E858A2" w:rsidRDefault="00E858A2" w:rsidP="00302647">
      <w:pPr>
        <w:pStyle w:val="ListParagraph"/>
        <w:numPr>
          <w:ilvl w:val="1"/>
          <w:numId w:val="1"/>
        </w:numPr>
        <w:jc w:val="both"/>
        <w:rPr>
          <w:rFonts w:ascii="Arial" w:hAnsi="Arial"/>
          <w:sz w:val="22"/>
          <w:szCs w:val="22"/>
        </w:rPr>
      </w:pPr>
      <w:r w:rsidRPr="00D623AC">
        <w:rPr>
          <w:rFonts w:ascii="Arial" w:hAnsi="Arial"/>
          <w:sz w:val="22"/>
          <w:szCs w:val="22"/>
        </w:rPr>
        <w:t xml:space="preserve">This is the PBAC’s second consideration of </w:t>
      </w:r>
      <w:proofErr w:type="spellStart"/>
      <w:r w:rsidR="00483FEB">
        <w:rPr>
          <w:rFonts w:ascii="Arial" w:hAnsi="Arial"/>
          <w:sz w:val="22"/>
          <w:szCs w:val="22"/>
        </w:rPr>
        <w:t>brentuximab</w:t>
      </w:r>
      <w:proofErr w:type="spellEnd"/>
      <w:r w:rsidR="00483FEB">
        <w:rPr>
          <w:rFonts w:ascii="Arial" w:hAnsi="Arial"/>
          <w:sz w:val="22"/>
          <w:szCs w:val="22"/>
        </w:rPr>
        <w:t xml:space="preserve"> </w:t>
      </w:r>
      <w:proofErr w:type="spellStart"/>
      <w:r w:rsidR="00483FEB">
        <w:rPr>
          <w:rFonts w:ascii="Arial" w:hAnsi="Arial"/>
          <w:sz w:val="22"/>
          <w:szCs w:val="22"/>
        </w:rPr>
        <w:t>vedotin</w:t>
      </w:r>
      <w:proofErr w:type="spellEnd"/>
      <w:r w:rsidRPr="00D623AC">
        <w:rPr>
          <w:rFonts w:ascii="Arial" w:hAnsi="Arial"/>
          <w:sz w:val="22"/>
          <w:szCs w:val="22"/>
        </w:rPr>
        <w:t xml:space="preserve"> for this condition. </w:t>
      </w:r>
    </w:p>
    <w:p w:rsidR="00E858A2" w:rsidRDefault="00E858A2" w:rsidP="00D623AC">
      <w:pPr>
        <w:pStyle w:val="ListParagraph"/>
        <w:jc w:val="both"/>
        <w:rPr>
          <w:rFonts w:ascii="Arial" w:hAnsi="Arial"/>
          <w:sz w:val="22"/>
          <w:szCs w:val="22"/>
        </w:rPr>
      </w:pPr>
    </w:p>
    <w:p w:rsidR="00E858A2" w:rsidRPr="00D623AC" w:rsidRDefault="00E858A2" w:rsidP="00302647">
      <w:pPr>
        <w:pStyle w:val="ListParagraph"/>
        <w:numPr>
          <w:ilvl w:val="1"/>
          <w:numId w:val="1"/>
        </w:numPr>
        <w:jc w:val="both"/>
        <w:rPr>
          <w:rFonts w:ascii="Arial" w:hAnsi="Arial"/>
          <w:sz w:val="22"/>
          <w:szCs w:val="22"/>
        </w:rPr>
      </w:pPr>
      <w:r w:rsidRPr="00D623AC">
        <w:rPr>
          <w:rFonts w:ascii="Arial" w:hAnsi="Arial"/>
          <w:sz w:val="22"/>
          <w:szCs w:val="22"/>
        </w:rPr>
        <w:t xml:space="preserve">The March 2014 PBAC meeting recommended listing </w:t>
      </w:r>
      <w:proofErr w:type="spellStart"/>
      <w:r w:rsidRPr="00D623AC">
        <w:rPr>
          <w:rFonts w:ascii="Arial" w:hAnsi="Arial"/>
          <w:sz w:val="22"/>
          <w:szCs w:val="22"/>
        </w:rPr>
        <w:t>brentuximab</w:t>
      </w:r>
      <w:proofErr w:type="spellEnd"/>
      <w:r w:rsidRPr="00D623AC">
        <w:rPr>
          <w:rFonts w:ascii="Arial" w:hAnsi="Arial"/>
          <w:sz w:val="22"/>
          <w:szCs w:val="22"/>
        </w:rPr>
        <w:t xml:space="preserve"> </w:t>
      </w:r>
      <w:proofErr w:type="spellStart"/>
      <w:r w:rsidRPr="00D623AC">
        <w:rPr>
          <w:rFonts w:ascii="Arial" w:hAnsi="Arial"/>
          <w:sz w:val="22"/>
          <w:szCs w:val="22"/>
        </w:rPr>
        <w:t>vedotin</w:t>
      </w:r>
      <w:proofErr w:type="spellEnd"/>
      <w:r w:rsidRPr="00D623AC">
        <w:rPr>
          <w:rFonts w:ascii="Arial" w:hAnsi="Arial"/>
          <w:sz w:val="22"/>
          <w:szCs w:val="22"/>
        </w:rPr>
        <w:t xml:space="preserve"> as a Section 100 </w:t>
      </w:r>
      <w:r w:rsidRPr="00D623AC">
        <w:rPr>
          <w:rFonts w:ascii="Arial" w:hAnsi="Arial" w:cs="Arial"/>
          <w:sz w:val="22"/>
          <w:szCs w:val="22"/>
        </w:rPr>
        <w:t xml:space="preserve">(Efficient Funding of Chemotherapy Program) Authority required benefit for the treatment of adult patients with relapsed or refractory </w:t>
      </w:r>
      <w:proofErr w:type="spellStart"/>
      <w:r w:rsidRPr="00D623AC">
        <w:rPr>
          <w:rFonts w:ascii="Arial" w:hAnsi="Arial" w:cs="Arial"/>
          <w:sz w:val="22"/>
          <w:szCs w:val="22"/>
        </w:rPr>
        <w:t>sALCL</w:t>
      </w:r>
      <w:proofErr w:type="spellEnd"/>
      <w:r w:rsidRPr="00D623AC">
        <w:rPr>
          <w:rFonts w:ascii="Arial" w:hAnsi="Arial" w:cs="Arial"/>
          <w:sz w:val="22"/>
          <w:szCs w:val="22"/>
        </w:rPr>
        <w:t xml:space="preserve"> who are suitable for further systemic curative intent salvage therapy. </w:t>
      </w:r>
    </w:p>
    <w:p w:rsidR="00E858A2" w:rsidRPr="00314DA2" w:rsidRDefault="00E858A2" w:rsidP="00314DA2">
      <w:pPr>
        <w:pStyle w:val="ListParagraph"/>
        <w:rPr>
          <w:rFonts w:ascii="Arial" w:hAnsi="Arial" w:cs="Arial"/>
        </w:rPr>
      </w:pPr>
    </w:p>
    <w:p w:rsidR="00E858A2" w:rsidRPr="002C60E3" w:rsidRDefault="00E858A2" w:rsidP="00302647">
      <w:pPr>
        <w:pStyle w:val="ListParagraph"/>
        <w:numPr>
          <w:ilvl w:val="1"/>
          <w:numId w:val="1"/>
        </w:numPr>
        <w:jc w:val="both"/>
        <w:rPr>
          <w:rFonts w:ascii="Arial" w:hAnsi="Arial"/>
          <w:sz w:val="22"/>
          <w:szCs w:val="22"/>
        </w:rPr>
      </w:pPr>
      <w:r>
        <w:rPr>
          <w:rFonts w:ascii="Arial" w:hAnsi="Arial" w:cs="Arial"/>
          <w:sz w:val="22"/>
          <w:szCs w:val="22"/>
        </w:rPr>
        <w:t xml:space="preserve">At this meeting, the PBAC </w:t>
      </w:r>
      <w:r w:rsidRPr="00314DA2">
        <w:rPr>
          <w:rFonts w:ascii="Arial" w:hAnsi="Arial" w:cs="Arial"/>
          <w:sz w:val="22"/>
          <w:szCs w:val="22"/>
        </w:rPr>
        <w:t>noted a number of issues with the economic model</w:t>
      </w:r>
      <w:r>
        <w:rPr>
          <w:rFonts w:ascii="Arial" w:hAnsi="Arial" w:cs="Arial"/>
          <w:sz w:val="22"/>
          <w:szCs w:val="22"/>
        </w:rPr>
        <w:t xml:space="preserve"> and</w:t>
      </w:r>
      <w:r w:rsidRPr="00314DA2">
        <w:rPr>
          <w:rFonts w:ascii="Arial" w:hAnsi="Arial" w:cs="Arial"/>
          <w:sz w:val="22"/>
          <w:szCs w:val="22"/>
        </w:rPr>
        <w:t xml:space="preserve"> </w:t>
      </w:r>
      <w:r>
        <w:rPr>
          <w:rFonts w:ascii="Arial" w:hAnsi="Arial" w:cs="Arial"/>
          <w:sz w:val="22"/>
          <w:szCs w:val="22"/>
        </w:rPr>
        <w:t xml:space="preserve">re-specified the base case to provide a </w:t>
      </w:r>
      <w:r w:rsidRPr="00314DA2">
        <w:rPr>
          <w:rFonts w:ascii="Arial" w:hAnsi="Arial" w:cs="Arial"/>
          <w:sz w:val="22"/>
          <w:szCs w:val="22"/>
        </w:rPr>
        <w:t>mo</w:t>
      </w:r>
      <w:r>
        <w:rPr>
          <w:rFonts w:ascii="Arial" w:hAnsi="Arial" w:cs="Arial"/>
          <w:sz w:val="22"/>
          <w:szCs w:val="22"/>
        </w:rPr>
        <w:t>re</w:t>
      </w:r>
      <w:r w:rsidRPr="00314DA2">
        <w:rPr>
          <w:rFonts w:ascii="Arial" w:hAnsi="Arial" w:cs="Arial"/>
          <w:sz w:val="22"/>
          <w:szCs w:val="22"/>
        </w:rPr>
        <w:t xml:space="preserve"> realistic estimate of the cost effectiveness of </w:t>
      </w:r>
      <w:proofErr w:type="spellStart"/>
      <w:r w:rsidR="00483FEB">
        <w:rPr>
          <w:rFonts w:ascii="Arial" w:hAnsi="Arial"/>
          <w:sz w:val="22"/>
          <w:szCs w:val="22"/>
        </w:rPr>
        <w:t>brentuximab</w:t>
      </w:r>
      <w:proofErr w:type="spellEnd"/>
      <w:r w:rsidR="00483FEB">
        <w:rPr>
          <w:rFonts w:ascii="Arial" w:hAnsi="Arial"/>
          <w:sz w:val="22"/>
          <w:szCs w:val="22"/>
        </w:rPr>
        <w:t xml:space="preserve"> </w:t>
      </w:r>
      <w:proofErr w:type="spellStart"/>
      <w:r w:rsidR="00483FEB">
        <w:rPr>
          <w:rFonts w:ascii="Arial" w:hAnsi="Arial"/>
          <w:sz w:val="22"/>
          <w:szCs w:val="22"/>
        </w:rPr>
        <w:t>vedotin</w:t>
      </w:r>
      <w:proofErr w:type="spellEnd"/>
      <w:r w:rsidRPr="00314DA2">
        <w:rPr>
          <w:rFonts w:ascii="Arial" w:hAnsi="Arial" w:cs="Arial"/>
          <w:sz w:val="22"/>
          <w:szCs w:val="22"/>
        </w:rPr>
        <w:t xml:space="preserve">. </w:t>
      </w:r>
      <w:r>
        <w:rPr>
          <w:rFonts w:ascii="Arial" w:hAnsi="Arial" w:cs="Arial"/>
          <w:sz w:val="22"/>
          <w:szCs w:val="22"/>
        </w:rPr>
        <w:t>The respecified base case resulted in an ICER</w:t>
      </w:r>
      <w:r w:rsidR="002F7B83">
        <w:rPr>
          <w:rFonts w:ascii="Arial" w:hAnsi="Arial" w:cs="Arial"/>
          <w:sz w:val="22"/>
          <w:szCs w:val="22"/>
        </w:rPr>
        <w:t xml:space="preserve"> in the range of $75,000/QALY to $105,000/QALY</w:t>
      </w:r>
      <w:r>
        <w:rPr>
          <w:rFonts w:ascii="Arial" w:hAnsi="Arial" w:cs="Arial"/>
          <w:sz w:val="22"/>
          <w:szCs w:val="22"/>
        </w:rPr>
        <w:t xml:space="preserve">. </w:t>
      </w:r>
      <w:r w:rsidRPr="00D212AF">
        <w:rPr>
          <w:rFonts w:ascii="Arial" w:hAnsi="Arial" w:cs="Arial"/>
          <w:sz w:val="22"/>
          <w:szCs w:val="22"/>
        </w:rPr>
        <w:t xml:space="preserve">The PBAC considered that </w:t>
      </w:r>
      <w:proofErr w:type="spellStart"/>
      <w:r w:rsidR="00483FEB" w:rsidRPr="00330E07">
        <w:rPr>
          <w:rFonts w:ascii="Arial" w:hAnsi="Arial"/>
          <w:sz w:val="22"/>
          <w:szCs w:val="22"/>
        </w:rPr>
        <w:t>brentuximab</w:t>
      </w:r>
      <w:proofErr w:type="spellEnd"/>
      <w:r w:rsidR="00483FEB" w:rsidRPr="00330E07">
        <w:rPr>
          <w:rFonts w:ascii="Arial" w:hAnsi="Arial"/>
          <w:sz w:val="22"/>
          <w:szCs w:val="22"/>
        </w:rPr>
        <w:t xml:space="preserve"> </w:t>
      </w:r>
      <w:proofErr w:type="spellStart"/>
      <w:r w:rsidR="00483FEB" w:rsidRPr="00330E07">
        <w:rPr>
          <w:rFonts w:ascii="Arial" w:hAnsi="Arial"/>
          <w:sz w:val="22"/>
          <w:szCs w:val="22"/>
        </w:rPr>
        <w:t>vedotin</w:t>
      </w:r>
      <w:proofErr w:type="spellEnd"/>
      <w:r w:rsidR="00483FEB" w:rsidRPr="00330E07">
        <w:rPr>
          <w:rFonts w:ascii="Arial" w:hAnsi="Arial"/>
          <w:sz w:val="22"/>
          <w:szCs w:val="22"/>
        </w:rPr>
        <w:t xml:space="preserve"> </w:t>
      </w:r>
      <w:r w:rsidRPr="00D212AF">
        <w:rPr>
          <w:rFonts w:ascii="Arial" w:hAnsi="Arial" w:cs="Arial"/>
          <w:sz w:val="22"/>
          <w:szCs w:val="22"/>
        </w:rPr>
        <w:t xml:space="preserve">would be cost-effective at a reduced price that produced an ICER, derived from the respecified base case, </w:t>
      </w:r>
      <w:r w:rsidR="002F7B83">
        <w:rPr>
          <w:rFonts w:ascii="Arial" w:hAnsi="Arial" w:cs="Arial"/>
          <w:sz w:val="22"/>
          <w:szCs w:val="22"/>
        </w:rPr>
        <w:t xml:space="preserve">in a narrower range </w:t>
      </w:r>
      <w:r w:rsidRPr="00D212AF">
        <w:rPr>
          <w:rFonts w:ascii="Arial" w:hAnsi="Arial" w:cs="Arial"/>
          <w:sz w:val="22"/>
          <w:szCs w:val="22"/>
        </w:rPr>
        <w:t>of $</w:t>
      </w:r>
      <w:r w:rsidR="00D059D0">
        <w:rPr>
          <w:rFonts w:ascii="Arial" w:hAnsi="Arial" w:cs="Arial"/>
          <w:sz w:val="22"/>
          <w:szCs w:val="22"/>
        </w:rPr>
        <w:t>45,</w:t>
      </w:r>
      <w:r w:rsidRPr="00D212AF">
        <w:rPr>
          <w:rFonts w:ascii="Arial" w:hAnsi="Arial" w:cs="Arial"/>
          <w:sz w:val="22"/>
          <w:szCs w:val="22"/>
        </w:rPr>
        <w:t>000</w:t>
      </w:r>
      <w:r w:rsidR="00D059D0">
        <w:rPr>
          <w:rFonts w:ascii="Arial" w:hAnsi="Arial" w:cs="Arial"/>
          <w:sz w:val="22"/>
          <w:szCs w:val="22"/>
        </w:rPr>
        <w:t>/QALY</w:t>
      </w:r>
      <w:r w:rsidRPr="00D212AF">
        <w:rPr>
          <w:rFonts w:ascii="Arial" w:hAnsi="Arial" w:cs="Arial"/>
          <w:sz w:val="22"/>
          <w:szCs w:val="22"/>
        </w:rPr>
        <w:t xml:space="preserve"> </w:t>
      </w:r>
      <w:r w:rsidR="00D059D0">
        <w:rPr>
          <w:rFonts w:ascii="Arial" w:hAnsi="Arial" w:cs="Arial"/>
          <w:sz w:val="22"/>
          <w:szCs w:val="22"/>
        </w:rPr>
        <w:t>to</w:t>
      </w:r>
      <w:r w:rsidRPr="00D212AF">
        <w:rPr>
          <w:rFonts w:ascii="Arial" w:hAnsi="Arial" w:cs="Arial"/>
          <w:sz w:val="22"/>
          <w:szCs w:val="22"/>
        </w:rPr>
        <w:t xml:space="preserve"> $</w:t>
      </w:r>
      <w:r w:rsidR="00D059D0">
        <w:rPr>
          <w:rFonts w:ascii="Arial" w:hAnsi="Arial" w:cs="Arial"/>
          <w:sz w:val="22"/>
          <w:szCs w:val="22"/>
        </w:rPr>
        <w:t>75</w:t>
      </w:r>
      <w:r w:rsidRPr="00D212AF">
        <w:rPr>
          <w:rFonts w:ascii="Arial" w:hAnsi="Arial" w:cs="Arial"/>
          <w:sz w:val="22"/>
          <w:szCs w:val="22"/>
        </w:rPr>
        <w:t>,000/QALY.</w:t>
      </w:r>
    </w:p>
    <w:p w:rsidR="00E858A2" w:rsidRPr="002C60E3" w:rsidRDefault="00E858A2" w:rsidP="002C60E3">
      <w:pPr>
        <w:pStyle w:val="ListParagraph"/>
        <w:rPr>
          <w:rFonts w:ascii="Arial" w:hAnsi="Arial" w:cs="Arial"/>
          <w:sz w:val="22"/>
          <w:szCs w:val="22"/>
        </w:rPr>
      </w:pPr>
    </w:p>
    <w:p w:rsidR="00E858A2" w:rsidRPr="00314DA2" w:rsidRDefault="00E858A2" w:rsidP="00302647">
      <w:pPr>
        <w:pStyle w:val="ListParagraph"/>
        <w:numPr>
          <w:ilvl w:val="1"/>
          <w:numId w:val="1"/>
        </w:numPr>
        <w:jc w:val="both"/>
        <w:rPr>
          <w:rFonts w:ascii="Arial" w:hAnsi="Arial"/>
          <w:sz w:val="22"/>
          <w:szCs w:val="22"/>
        </w:rPr>
      </w:pPr>
      <w:r>
        <w:rPr>
          <w:rFonts w:ascii="Arial" w:hAnsi="Arial"/>
          <w:sz w:val="22"/>
          <w:szCs w:val="22"/>
        </w:rPr>
        <w:t>The re-submission proposed a lower price and a revised estimate of the post</w:t>
      </w:r>
      <w:r>
        <w:rPr>
          <w:rFonts w:ascii="Arial" w:hAnsi="Arial"/>
          <w:sz w:val="22"/>
          <w:szCs w:val="22"/>
        </w:rPr>
        <w:noBreakHyphen/>
        <w:t>progression disease management costs used in the economic evaluation.</w:t>
      </w:r>
    </w:p>
    <w:p w:rsidR="00E858A2" w:rsidRDefault="00E858A2" w:rsidP="00314DA2">
      <w:pPr>
        <w:pStyle w:val="ListParagraph"/>
        <w:jc w:val="both"/>
        <w:rPr>
          <w:rFonts w:ascii="Arial" w:hAnsi="Arial"/>
          <w:b/>
          <w:sz w:val="22"/>
          <w:szCs w:val="22"/>
        </w:rPr>
      </w:pPr>
    </w:p>
    <w:p w:rsidR="00B86B81" w:rsidRPr="00314DA2" w:rsidRDefault="00B86B81" w:rsidP="00314DA2">
      <w:pPr>
        <w:pStyle w:val="ListParagraph"/>
        <w:jc w:val="both"/>
        <w:rPr>
          <w:rFonts w:ascii="Arial" w:hAnsi="Arial"/>
          <w:b/>
          <w:sz w:val="22"/>
          <w:szCs w:val="22"/>
        </w:rPr>
      </w:pPr>
    </w:p>
    <w:p w:rsidR="00E858A2" w:rsidRPr="00882085" w:rsidRDefault="00E858A2" w:rsidP="00302647">
      <w:pPr>
        <w:pStyle w:val="ListParagraph"/>
        <w:numPr>
          <w:ilvl w:val="0"/>
          <w:numId w:val="1"/>
        </w:numPr>
        <w:jc w:val="both"/>
        <w:rPr>
          <w:rFonts w:ascii="Arial" w:hAnsi="Arial"/>
          <w:b/>
          <w:sz w:val="22"/>
          <w:szCs w:val="22"/>
        </w:rPr>
      </w:pPr>
      <w:r w:rsidRPr="00882085">
        <w:rPr>
          <w:rFonts w:ascii="Arial" w:hAnsi="Arial"/>
          <w:b/>
          <w:sz w:val="22"/>
          <w:szCs w:val="22"/>
        </w:rPr>
        <w:t>Clinical place for the proposed therapy</w:t>
      </w:r>
    </w:p>
    <w:p w:rsidR="00E858A2" w:rsidRPr="00882085" w:rsidRDefault="00E858A2" w:rsidP="00882085">
      <w:pPr>
        <w:jc w:val="both"/>
        <w:rPr>
          <w:rFonts w:ascii="Arial" w:hAnsi="Arial"/>
          <w:sz w:val="22"/>
          <w:szCs w:val="22"/>
        </w:rPr>
      </w:pPr>
    </w:p>
    <w:p w:rsidR="00E858A2" w:rsidRDefault="00E858A2" w:rsidP="00302647">
      <w:pPr>
        <w:pStyle w:val="ListParagraph"/>
        <w:numPr>
          <w:ilvl w:val="1"/>
          <w:numId w:val="1"/>
        </w:numPr>
        <w:jc w:val="both"/>
        <w:rPr>
          <w:rFonts w:ascii="Arial" w:hAnsi="Arial"/>
          <w:sz w:val="22"/>
          <w:szCs w:val="22"/>
        </w:rPr>
      </w:pPr>
      <w:r w:rsidRPr="001F62EA">
        <w:rPr>
          <w:rFonts w:ascii="Arial" w:hAnsi="Arial"/>
          <w:sz w:val="22"/>
          <w:szCs w:val="22"/>
        </w:rPr>
        <w:t xml:space="preserve">The proposed place in therapy for </w:t>
      </w:r>
      <w:proofErr w:type="spellStart"/>
      <w:r w:rsidR="00483FEB">
        <w:rPr>
          <w:rFonts w:ascii="Arial" w:hAnsi="Arial"/>
          <w:sz w:val="22"/>
          <w:szCs w:val="22"/>
        </w:rPr>
        <w:t>brentuximab</w:t>
      </w:r>
      <w:proofErr w:type="spellEnd"/>
      <w:r w:rsidR="00483FEB">
        <w:rPr>
          <w:rFonts w:ascii="Arial" w:hAnsi="Arial"/>
          <w:sz w:val="22"/>
          <w:szCs w:val="22"/>
        </w:rPr>
        <w:t xml:space="preserve"> </w:t>
      </w:r>
      <w:proofErr w:type="spellStart"/>
      <w:r w:rsidR="00483FEB">
        <w:rPr>
          <w:rFonts w:ascii="Arial" w:hAnsi="Arial"/>
          <w:sz w:val="22"/>
          <w:szCs w:val="22"/>
        </w:rPr>
        <w:t>vedotin</w:t>
      </w:r>
      <w:proofErr w:type="spellEnd"/>
      <w:r w:rsidRPr="001F62EA">
        <w:rPr>
          <w:rFonts w:ascii="Arial" w:hAnsi="Arial"/>
          <w:sz w:val="22"/>
          <w:szCs w:val="22"/>
        </w:rPr>
        <w:t xml:space="preserve"> </w:t>
      </w:r>
      <w:r>
        <w:rPr>
          <w:rFonts w:ascii="Arial" w:hAnsi="Arial"/>
          <w:sz w:val="22"/>
          <w:szCs w:val="22"/>
        </w:rPr>
        <w:t>is unchanged from the previous submission - a</w:t>
      </w:r>
      <w:r w:rsidRPr="001F62EA">
        <w:rPr>
          <w:rFonts w:ascii="Arial" w:hAnsi="Arial"/>
          <w:sz w:val="22"/>
          <w:szCs w:val="22"/>
        </w:rPr>
        <w:t xml:space="preserve">s a first-line salvage agent for first time relapsing patients with </w:t>
      </w:r>
      <w:proofErr w:type="spellStart"/>
      <w:r w:rsidRPr="001F62EA">
        <w:rPr>
          <w:rFonts w:ascii="Arial" w:hAnsi="Arial"/>
          <w:sz w:val="22"/>
          <w:szCs w:val="22"/>
        </w:rPr>
        <w:t>sALCL</w:t>
      </w:r>
      <w:proofErr w:type="spellEnd"/>
      <w:r w:rsidRPr="001F62EA">
        <w:rPr>
          <w:rFonts w:ascii="Arial" w:hAnsi="Arial"/>
          <w:sz w:val="22"/>
          <w:szCs w:val="22"/>
        </w:rPr>
        <w:t xml:space="preserve">, although initial usage is also expected to be later in the treatment algorithm amongst </w:t>
      </w:r>
      <w:proofErr w:type="spellStart"/>
      <w:r w:rsidRPr="001F62EA">
        <w:rPr>
          <w:rFonts w:ascii="Arial" w:hAnsi="Arial"/>
          <w:sz w:val="22"/>
          <w:szCs w:val="22"/>
        </w:rPr>
        <w:t>sALCL</w:t>
      </w:r>
      <w:proofErr w:type="spellEnd"/>
      <w:r w:rsidRPr="001F62EA">
        <w:rPr>
          <w:rFonts w:ascii="Arial" w:hAnsi="Arial"/>
          <w:sz w:val="22"/>
          <w:szCs w:val="22"/>
        </w:rPr>
        <w:t xml:space="preserve"> patients in second- or later-line salvage therapy. The proposed first-line salvage therapy patient population will not have received a prior stem cell transplant.</w:t>
      </w:r>
      <w:r>
        <w:rPr>
          <w:rFonts w:ascii="Arial" w:hAnsi="Arial"/>
          <w:sz w:val="22"/>
          <w:szCs w:val="22"/>
        </w:rPr>
        <w:t xml:space="preserve"> </w:t>
      </w:r>
    </w:p>
    <w:p w:rsidR="00E858A2" w:rsidRDefault="00E858A2" w:rsidP="00882085">
      <w:pPr>
        <w:pStyle w:val="Header"/>
        <w:tabs>
          <w:tab w:val="clear" w:pos="4153"/>
          <w:tab w:val="clear" w:pos="8306"/>
        </w:tabs>
        <w:jc w:val="both"/>
        <w:rPr>
          <w:rFonts w:ascii="Arial" w:hAnsi="Arial"/>
          <w:sz w:val="22"/>
          <w:szCs w:val="22"/>
        </w:rPr>
      </w:pPr>
    </w:p>
    <w:p w:rsidR="00B86B81" w:rsidRDefault="00B86B81" w:rsidP="00882085">
      <w:pPr>
        <w:pStyle w:val="Header"/>
        <w:tabs>
          <w:tab w:val="clear" w:pos="4153"/>
          <w:tab w:val="clear" w:pos="8306"/>
        </w:tabs>
        <w:jc w:val="both"/>
        <w:rPr>
          <w:rFonts w:ascii="Arial" w:hAnsi="Arial"/>
          <w:sz w:val="22"/>
          <w:szCs w:val="22"/>
        </w:rPr>
      </w:pPr>
    </w:p>
    <w:p w:rsidR="00E858A2" w:rsidRPr="00882085" w:rsidRDefault="00E858A2" w:rsidP="00302647">
      <w:pPr>
        <w:pStyle w:val="Header"/>
        <w:numPr>
          <w:ilvl w:val="0"/>
          <w:numId w:val="1"/>
        </w:numPr>
        <w:tabs>
          <w:tab w:val="clear" w:pos="4153"/>
          <w:tab w:val="clear" w:pos="8306"/>
        </w:tabs>
        <w:jc w:val="both"/>
        <w:rPr>
          <w:rFonts w:ascii="Arial" w:hAnsi="Arial"/>
          <w:b/>
          <w:sz w:val="22"/>
          <w:szCs w:val="22"/>
        </w:rPr>
      </w:pPr>
      <w:r w:rsidRPr="00882085">
        <w:rPr>
          <w:rFonts w:ascii="Arial" w:hAnsi="Arial"/>
          <w:b/>
          <w:sz w:val="22"/>
          <w:szCs w:val="22"/>
        </w:rPr>
        <w:t>Comparator</w:t>
      </w:r>
    </w:p>
    <w:p w:rsidR="00E858A2" w:rsidRPr="00882085" w:rsidRDefault="00E858A2" w:rsidP="00882085">
      <w:pPr>
        <w:pStyle w:val="Header"/>
        <w:tabs>
          <w:tab w:val="clear" w:pos="4153"/>
          <w:tab w:val="clear" w:pos="8306"/>
        </w:tabs>
        <w:jc w:val="both"/>
        <w:rPr>
          <w:rFonts w:ascii="Arial" w:hAnsi="Arial"/>
          <w:b/>
          <w:sz w:val="22"/>
          <w:szCs w:val="22"/>
        </w:rPr>
      </w:pPr>
    </w:p>
    <w:p w:rsidR="00E858A2" w:rsidRPr="00050586" w:rsidRDefault="00E858A2" w:rsidP="00302647">
      <w:pPr>
        <w:pStyle w:val="ListParagraph"/>
        <w:numPr>
          <w:ilvl w:val="1"/>
          <w:numId w:val="1"/>
        </w:numPr>
        <w:jc w:val="both"/>
        <w:rPr>
          <w:rFonts w:ascii="Arial" w:hAnsi="Arial"/>
          <w:sz w:val="22"/>
          <w:szCs w:val="22"/>
        </w:rPr>
      </w:pPr>
      <w:r w:rsidRPr="00050586">
        <w:rPr>
          <w:rFonts w:ascii="Arial" w:hAnsi="Arial"/>
          <w:sz w:val="22"/>
          <w:szCs w:val="22"/>
        </w:rPr>
        <w:t xml:space="preserve">The comparator, multi-agent salvage chemotherapy, is unchanged from the March 2014 submission.   </w:t>
      </w:r>
    </w:p>
    <w:p w:rsidR="00E858A2" w:rsidRDefault="00E858A2" w:rsidP="00651D97">
      <w:pPr>
        <w:jc w:val="both"/>
        <w:rPr>
          <w:rFonts w:ascii="Arial" w:hAnsi="Arial"/>
          <w:sz w:val="22"/>
          <w:szCs w:val="22"/>
        </w:rPr>
      </w:pPr>
    </w:p>
    <w:p w:rsidR="00B86B81" w:rsidRPr="00651D97" w:rsidRDefault="00B86B81" w:rsidP="00651D97">
      <w:pPr>
        <w:jc w:val="both"/>
        <w:rPr>
          <w:rFonts w:ascii="Arial" w:hAnsi="Arial"/>
          <w:sz w:val="22"/>
          <w:szCs w:val="22"/>
        </w:rPr>
      </w:pPr>
    </w:p>
    <w:p w:rsidR="00E858A2" w:rsidRPr="00882085" w:rsidRDefault="00E2043E" w:rsidP="00302647">
      <w:pPr>
        <w:pStyle w:val="Header"/>
        <w:numPr>
          <w:ilvl w:val="0"/>
          <w:numId w:val="1"/>
        </w:numPr>
        <w:tabs>
          <w:tab w:val="clear" w:pos="4153"/>
          <w:tab w:val="clear" w:pos="8306"/>
        </w:tabs>
        <w:jc w:val="both"/>
        <w:rPr>
          <w:rFonts w:ascii="Arial" w:hAnsi="Arial"/>
          <w:b/>
          <w:sz w:val="22"/>
          <w:szCs w:val="22"/>
        </w:rPr>
      </w:pPr>
      <w:r>
        <w:rPr>
          <w:rFonts w:ascii="Arial" w:hAnsi="Arial"/>
          <w:b/>
          <w:sz w:val="22"/>
          <w:szCs w:val="22"/>
        </w:rPr>
        <w:t>C</w:t>
      </w:r>
      <w:r w:rsidR="00E858A2" w:rsidRPr="00882085">
        <w:rPr>
          <w:rFonts w:ascii="Arial" w:hAnsi="Arial"/>
          <w:b/>
          <w:sz w:val="22"/>
          <w:szCs w:val="22"/>
        </w:rPr>
        <w:t>onsideration of the evidence</w:t>
      </w:r>
    </w:p>
    <w:p w:rsidR="00E858A2" w:rsidRDefault="00E858A2" w:rsidP="00882085">
      <w:pPr>
        <w:jc w:val="both"/>
        <w:rPr>
          <w:rFonts w:ascii="Arial" w:hAnsi="Arial"/>
          <w:b/>
          <w:sz w:val="22"/>
          <w:szCs w:val="22"/>
        </w:rPr>
      </w:pPr>
    </w:p>
    <w:p w:rsidR="00E858A2" w:rsidRPr="00BB7EC3" w:rsidRDefault="00E858A2" w:rsidP="00BB7EC3">
      <w:pPr>
        <w:jc w:val="both"/>
        <w:rPr>
          <w:rFonts w:ascii="Arial" w:hAnsi="Arial"/>
          <w:b/>
          <w:i/>
          <w:sz w:val="22"/>
          <w:szCs w:val="22"/>
        </w:rPr>
      </w:pPr>
      <w:r w:rsidRPr="00BB7EC3">
        <w:rPr>
          <w:rFonts w:ascii="Arial" w:hAnsi="Arial"/>
          <w:b/>
          <w:i/>
          <w:sz w:val="22"/>
          <w:szCs w:val="22"/>
        </w:rPr>
        <w:t>Sponsor hearing</w:t>
      </w:r>
    </w:p>
    <w:p w:rsidR="00E858A2" w:rsidRPr="00882085" w:rsidRDefault="00E858A2" w:rsidP="00BB7EC3">
      <w:pPr>
        <w:ind w:left="709"/>
        <w:jc w:val="both"/>
        <w:rPr>
          <w:rFonts w:ascii="Arial" w:hAnsi="Arial"/>
          <w:b/>
          <w:sz w:val="22"/>
          <w:szCs w:val="22"/>
        </w:rPr>
      </w:pPr>
    </w:p>
    <w:p w:rsidR="00050A9C" w:rsidRPr="00050A9C" w:rsidRDefault="00050A9C" w:rsidP="00050A9C">
      <w:pPr>
        <w:pStyle w:val="ListParagraph"/>
        <w:numPr>
          <w:ilvl w:val="1"/>
          <w:numId w:val="1"/>
        </w:numPr>
        <w:jc w:val="both"/>
        <w:rPr>
          <w:rFonts w:ascii="Arial" w:hAnsi="Arial"/>
          <w:sz w:val="22"/>
          <w:szCs w:val="22"/>
        </w:rPr>
      </w:pPr>
      <w:r w:rsidRPr="00050A9C">
        <w:rPr>
          <w:rFonts w:ascii="Arial" w:hAnsi="Arial"/>
          <w:sz w:val="22"/>
          <w:szCs w:val="22"/>
        </w:rPr>
        <w:t>As a minor submission, there was no hearing for this item.</w:t>
      </w:r>
    </w:p>
    <w:p w:rsidR="00E858A2" w:rsidRDefault="00E858A2" w:rsidP="00050A9C">
      <w:pPr>
        <w:pStyle w:val="ListParagraph"/>
        <w:ind w:left="709"/>
        <w:jc w:val="both"/>
        <w:rPr>
          <w:rFonts w:ascii="Arial" w:hAnsi="Arial"/>
          <w:sz w:val="22"/>
          <w:szCs w:val="22"/>
        </w:rPr>
      </w:pPr>
    </w:p>
    <w:p w:rsidR="00E858A2" w:rsidRDefault="00E858A2" w:rsidP="00BB7EC3">
      <w:pPr>
        <w:pStyle w:val="ListParagraph"/>
        <w:ind w:left="709"/>
        <w:jc w:val="both"/>
        <w:rPr>
          <w:rFonts w:ascii="Arial" w:hAnsi="Arial"/>
          <w:sz w:val="22"/>
          <w:szCs w:val="22"/>
        </w:rPr>
      </w:pPr>
    </w:p>
    <w:p w:rsidR="00E858A2" w:rsidRPr="00BB7EC3" w:rsidRDefault="00E858A2" w:rsidP="008559B6">
      <w:pPr>
        <w:keepNext/>
        <w:keepLines/>
        <w:jc w:val="both"/>
        <w:rPr>
          <w:rFonts w:ascii="Arial" w:hAnsi="Arial"/>
          <w:b/>
          <w:i/>
          <w:sz w:val="22"/>
          <w:szCs w:val="22"/>
        </w:rPr>
      </w:pPr>
      <w:r w:rsidRPr="00BB7EC3">
        <w:rPr>
          <w:rFonts w:ascii="Arial" w:hAnsi="Arial"/>
          <w:b/>
          <w:i/>
          <w:sz w:val="22"/>
          <w:szCs w:val="22"/>
        </w:rPr>
        <w:t>Consumer comments</w:t>
      </w:r>
    </w:p>
    <w:p w:rsidR="00E858A2" w:rsidRDefault="00E858A2" w:rsidP="00B86B81"/>
    <w:p w:rsidR="00E858A2" w:rsidRPr="00666B6A" w:rsidRDefault="00E858A2" w:rsidP="00856262">
      <w:pPr>
        <w:pStyle w:val="ListParagraph"/>
        <w:numPr>
          <w:ilvl w:val="1"/>
          <w:numId w:val="1"/>
        </w:numPr>
        <w:jc w:val="both"/>
        <w:rPr>
          <w:rFonts w:ascii="Arial" w:hAnsi="Arial"/>
          <w:sz w:val="22"/>
          <w:szCs w:val="22"/>
        </w:rPr>
      </w:pPr>
      <w:r w:rsidRPr="00666B6A">
        <w:rPr>
          <w:rFonts w:ascii="Arial" w:hAnsi="Arial"/>
          <w:sz w:val="22"/>
          <w:szCs w:val="22"/>
        </w:rPr>
        <w:lastRenderedPageBreak/>
        <w:t xml:space="preserve">The PBAC noted and welcomed the input from two organisations, the Private Cancer Physicians of Australia and the Medical Oncology Group of Australia. The comments outlined that treatment with </w:t>
      </w:r>
      <w:proofErr w:type="spellStart"/>
      <w:r w:rsidR="00483FEB">
        <w:rPr>
          <w:rFonts w:ascii="Arial" w:hAnsi="Arial"/>
          <w:sz w:val="22"/>
          <w:szCs w:val="22"/>
        </w:rPr>
        <w:t>brentuximab</w:t>
      </w:r>
      <w:proofErr w:type="spellEnd"/>
      <w:r w:rsidR="00483FEB">
        <w:rPr>
          <w:rFonts w:ascii="Arial" w:hAnsi="Arial"/>
          <w:sz w:val="22"/>
          <w:szCs w:val="22"/>
        </w:rPr>
        <w:t xml:space="preserve"> </w:t>
      </w:r>
      <w:proofErr w:type="spellStart"/>
      <w:r w:rsidR="00483FEB">
        <w:rPr>
          <w:rFonts w:ascii="Arial" w:hAnsi="Arial"/>
          <w:sz w:val="22"/>
          <w:szCs w:val="22"/>
        </w:rPr>
        <w:t>vedotin</w:t>
      </w:r>
      <w:proofErr w:type="spellEnd"/>
      <w:r w:rsidRPr="00666B6A">
        <w:rPr>
          <w:rFonts w:ascii="Arial" w:hAnsi="Arial"/>
          <w:sz w:val="22"/>
          <w:szCs w:val="22"/>
        </w:rPr>
        <w:t xml:space="preserve"> meets an unmet need in </w:t>
      </w:r>
      <w:r>
        <w:rPr>
          <w:rFonts w:ascii="Arial" w:hAnsi="Arial"/>
          <w:sz w:val="22"/>
          <w:szCs w:val="22"/>
        </w:rPr>
        <w:t>the</w:t>
      </w:r>
      <w:r w:rsidRPr="00666B6A">
        <w:rPr>
          <w:rFonts w:ascii="Arial" w:hAnsi="Arial"/>
          <w:sz w:val="22"/>
          <w:szCs w:val="22"/>
        </w:rPr>
        <w:t xml:space="preserve"> small number of patients with relapsed </w:t>
      </w:r>
      <w:proofErr w:type="spellStart"/>
      <w:r w:rsidRPr="00666B6A">
        <w:rPr>
          <w:rFonts w:ascii="Arial" w:hAnsi="Arial"/>
          <w:sz w:val="22"/>
          <w:szCs w:val="22"/>
        </w:rPr>
        <w:t>sALCL</w:t>
      </w:r>
      <w:proofErr w:type="spellEnd"/>
      <w:r>
        <w:rPr>
          <w:rFonts w:ascii="Arial" w:hAnsi="Arial"/>
          <w:sz w:val="22"/>
          <w:szCs w:val="22"/>
        </w:rPr>
        <w:t>.</w:t>
      </w:r>
      <w:r w:rsidRPr="00666B6A">
        <w:rPr>
          <w:rFonts w:ascii="Arial" w:hAnsi="Arial"/>
          <w:sz w:val="22"/>
          <w:szCs w:val="22"/>
        </w:rPr>
        <w:t xml:space="preserve"> The PBAC noted that this advice was supportive of the evidence provided in the submission.</w:t>
      </w:r>
    </w:p>
    <w:p w:rsidR="00E858A2" w:rsidRPr="00BB7EC3" w:rsidRDefault="00E858A2" w:rsidP="008559B6">
      <w:pPr>
        <w:pStyle w:val="ListParagraph"/>
        <w:keepNext/>
        <w:keepLines/>
        <w:ind w:left="709"/>
        <w:jc w:val="both"/>
        <w:rPr>
          <w:rFonts w:ascii="Arial" w:hAnsi="Arial"/>
          <w:sz w:val="22"/>
          <w:szCs w:val="22"/>
        </w:rPr>
      </w:pPr>
    </w:p>
    <w:p w:rsidR="00E858A2" w:rsidRPr="00BB7EC3" w:rsidRDefault="00E858A2"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E858A2" w:rsidRPr="00882085" w:rsidRDefault="00E858A2" w:rsidP="00BB7EC3">
      <w:pPr>
        <w:ind w:left="709"/>
        <w:jc w:val="both"/>
        <w:rPr>
          <w:rFonts w:ascii="Arial" w:hAnsi="Arial"/>
          <w:b/>
          <w:sz w:val="22"/>
          <w:szCs w:val="22"/>
        </w:rPr>
      </w:pPr>
    </w:p>
    <w:p w:rsidR="00E858A2" w:rsidRPr="00882085" w:rsidRDefault="00E858A2" w:rsidP="00882085">
      <w:pPr>
        <w:jc w:val="both"/>
        <w:rPr>
          <w:rFonts w:ascii="Arial" w:hAnsi="Arial"/>
          <w:b/>
          <w:i/>
          <w:sz w:val="22"/>
          <w:szCs w:val="22"/>
        </w:rPr>
      </w:pPr>
      <w:r w:rsidRPr="00882085">
        <w:rPr>
          <w:rFonts w:ascii="Arial" w:hAnsi="Arial"/>
          <w:b/>
          <w:i/>
          <w:sz w:val="22"/>
          <w:szCs w:val="22"/>
        </w:rPr>
        <w:t>Clinical trials</w:t>
      </w:r>
    </w:p>
    <w:p w:rsidR="00E858A2" w:rsidRPr="00882085" w:rsidRDefault="00E858A2" w:rsidP="00882085">
      <w:pPr>
        <w:jc w:val="both"/>
        <w:rPr>
          <w:rFonts w:ascii="Arial" w:hAnsi="Arial"/>
          <w:sz w:val="22"/>
          <w:szCs w:val="22"/>
        </w:rPr>
      </w:pPr>
    </w:p>
    <w:p w:rsidR="00E858A2" w:rsidRDefault="00E858A2" w:rsidP="00856262">
      <w:pPr>
        <w:pStyle w:val="ListParagraph"/>
        <w:numPr>
          <w:ilvl w:val="1"/>
          <w:numId w:val="1"/>
        </w:numPr>
        <w:jc w:val="both"/>
        <w:rPr>
          <w:rFonts w:ascii="Arial" w:hAnsi="Arial"/>
          <w:sz w:val="22"/>
          <w:szCs w:val="22"/>
        </w:rPr>
      </w:pPr>
      <w:r>
        <w:rPr>
          <w:rFonts w:ascii="Arial" w:hAnsi="Arial"/>
          <w:sz w:val="22"/>
          <w:szCs w:val="22"/>
        </w:rPr>
        <w:t xml:space="preserve">No new clinical trials were presented in the re-submission.  </w:t>
      </w:r>
    </w:p>
    <w:p w:rsidR="00E858A2" w:rsidRPr="00882085" w:rsidRDefault="00E858A2" w:rsidP="00BB7EC3">
      <w:pPr>
        <w:ind w:left="709"/>
        <w:jc w:val="both"/>
        <w:rPr>
          <w:rFonts w:ascii="Arial" w:hAnsi="Arial"/>
          <w:sz w:val="22"/>
          <w:szCs w:val="22"/>
        </w:rPr>
      </w:pPr>
    </w:p>
    <w:p w:rsidR="00E858A2" w:rsidRPr="00882085" w:rsidRDefault="00E858A2" w:rsidP="00882085">
      <w:pPr>
        <w:jc w:val="both"/>
        <w:rPr>
          <w:rFonts w:ascii="Arial" w:hAnsi="Arial"/>
          <w:b/>
          <w:i/>
          <w:sz w:val="22"/>
          <w:szCs w:val="22"/>
        </w:rPr>
      </w:pPr>
      <w:r w:rsidRPr="00882085">
        <w:rPr>
          <w:rFonts w:ascii="Arial" w:hAnsi="Arial"/>
          <w:b/>
          <w:i/>
          <w:sz w:val="22"/>
          <w:szCs w:val="22"/>
        </w:rPr>
        <w:t>Comparative effectiveness</w:t>
      </w:r>
    </w:p>
    <w:p w:rsidR="00E858A2" w:rsidRPr="00882085" w:rsidRDefault="00E858A2" w:rsidP="00882085">
      <w:pPr>
        <w:jc w:val="both"/>
        <w:rPr>
          <w:rFonts w:ascii="Arial" w:hAnsi="Arial"/>
          <w:sz w:val="22"/>
          <w:szCs w:val="22"/>
        </w:rPr>
      </w:pPr>
    </w:p>
    <w:p w:rsidR="00E858A2" w:rsidRDefault="00E858A2" w:rsidP="00856262">
      <w:pPr>
        <w:pStyle w:val="ListParagraph"/>
        <w:numPr>
          <w:ilvl w:val="1"/>
          <w:numId w:val="1"/>
        </w:numPr>
        <w:jc w:val="both"/>
        <w:rPr>
          <w:rFonts w:ascii="Arial" w:hAnsi="Arial"/>
          <w:sz w:val="22"/>
          <w:szCs w:val="22"/>
        </w:rPr>
      </w:pPr>
      <w:r>
        <w:rPr>
          <w:rFonts w:ascii="Arial" w:hAnsi="Arial"/>
          <w:sz w:val="22"/>
          <w:szCs w:val="22"/>
        </w:rPr>
        <w:t>No new information on comparative effectiveness was presented in the re</w:t>
      </w:r>
      <w:r>
        <w:rPr>
          <w:rFonts w:ascii="Arial" w:hAnsi="Arial"/>
          <w:sz w:val="22"/>
          <w:szCs w:val="22"/>
        </w:rPr>
        <w:noBreakHyphen/>
        <w:t xml:space="preserve">submission.  </w:t>
      </w:r>
    </w:p>
    <w:p w:rsidR="00E858A2" w:rsidRPr="00882085" w:rsidRDefault="00E858A2" w:rsidP="00BB7EC3">
      <w:pPr>
        <w:ind w:left="709"/>
        <w:jc w:val="both"/>
        <w:rPr>
          <w:rFonts w:ascii="Arial" w:hAnsi="Arial"/>
          <w:sz w:val="22"/>
          <w:szCs w:val="22"/>
        </w:rPr>
      </w:pPr>
    </w:p>
    <w:p w:rsidR="00E858A2" w:rsidRPr="00882085" w:rsidRDefault="00E858A2" w:rsidP="00882085">
      <w:pPr>
        <w:jc w:val="both"/>
        <w:rPr>
          <w:rFonts w:ascii="Arial" w:hAnsi="Arial"/>
          <w:b/>
          <w:i/>
          <w:sz w:val="22"/>
          <w:szCs w:val="22"/>
        </w:rPr>
      </w:pPr>
      <w:r w:rsidRPr="00882085">
        <w:rPr>
          <w:rFonts w:ascii="Arial" w:hAnsi="Arial"/>
          <w:b/>
          <w:i/>
          <w:sz w:val="22"/>
          <w:szCs w:val="22"/>
        </w:rPr>
        <w:t>Comparative harms</w:t>
      </w:r>
    </w:p>
    <w:p w:rsidR="00E858A2" w:rsidRPr="00882085" w:rsidRDefault="00E858A2" w:rsidP="00882085">
      <w:pPr>
        <w:ind w:left="720" w:hanging="720"/>
        <w:jc w:val="both"/>
        <w:rPr>
          <w:rFonts w:ascii="Arial" w:hAnsi="Arial"/>
          <w:sz w:val="22"/>
          <w:szCs w:val="22"/>
        </w:rPr>
      </w:pPr>
    </w:p>
    <w:p w:rsidR="00E858A2" w:rsidRDefault="00E858A2" w:rsidP="00856262">
      <w:pPr>
        <w:pStyle w:val="ListParagraph"/>
        <w:numPr>
          <w:ilvl w:val="1"/>
          <w:numId w:val="1"/>
        </w:numPr>
        <w:jc w:val="both"/>
        <w:rPr>
          <w:rFonts w:ascii="Arial" w:hAnsi="Arial"/>
          <w:sz w:val="22"/>
          <w:szCs w:val="22"/>
        </w:rPr>
      </w:pPr>
      <w:r>
        <w:rPr>
          <w:rFonts w:ascii="Arial" w:hAnsi="Arial"/>
          <w:sz w:val="22"/>
          <w:szCs w:val="22"/>
        </w:rPr>
        <w:t xml:space="preserve">No new information on comparative harms was presented in the re-submission. </w:t>
      </w:r>
    </w:p>
    <w:p w:rsidR="00E858A2" w:rsidRDefault="00E858A2" w:rsidP="00B6773F">
      <w:pPr>
        <w:jc w:val="both"/>
        <w:rPr>
          <w:rFonts w:ascii="Arial" w:hAnsi="Arial"/>
          <w:sz w:val="22"/>
          <w:szCs w:val="22"/>
        </w:rPr>
      </w:pPr>
    </w:p>
    <w:p w:rsidR="00E858A2" w:rsidRPr="00882085" w:rsidRDefault="00E858A2" w:rsidP="00882085">
      <w:pPr>
        <w:jc w:val="both"/>
        <w:rPr>
          <w:rFonts w:ascii="Arial" w:hAnsi="Arial"/>
          <w:b/>
          <w:i/>
          <w:sz w:val="22"/>
          <w:szCs w:val="22"/>
        </w:rPr>
      </w:pPr>
      <w:r w:rsidRPr="00882085">
        <w:rPr>
          <w:rFonts w:ascii="Arial" w:hAnsi="Arial"/>
          <w:b/>
          <w:i/>
          <w:sz w:val="22"/>
          <w:szCs w:val="22"/>
        </w:rPr>
        <w:t>Clinical claim</w:t>
      </w:r>
    </w:p>
    <w:p w:rsidR="00E858A2" w:rsidRPr="00882085" w:rsidRDefault="00E858A2" w:rsidP="00882085">
      <w:pPr>
        <w:ind w:left="720" w:hanging="720"/>
        <w:jc w:val="both"/>
        <w:rPr>
          <w:rFonts w:ascii="Arial" w:hAnsi="Arial"/>
          <w:sz w:val="22"/>
          <w:szCs w:val="22"/>
        </w:rPr>
      </w:pPr>
    </w:p>
    <w:p w:rsidR="00E858A2" w:rsidRDefault="00E858A2" w:rsidP="00856262">
      <w:pPr>
        <w:pStyle w:val="ListParagraph"/>
        <w:numPr>
          <w:ilvl w:val="1"/>
          <w:numId w:val="1"/>
        </w:numPr>
        <w:jc w:val="both"/>
        <w:rPr>
          <w:rFonts w:ascii="Arial" w:hAnsi="Arial"/>
          <w:sz w:val="22"/>
          <w:szCs w:val="22"/>
        </w:rPr>
      </w:pPr>
      <w:r w:rsidRPr="00351CA2">
        <w:rPr>
          <w:rFonts w:ascii="Arial" w:hAnsi="Arial"/>
          <w:sz w:val="22"/>
          <w:szCs w:val="22"/>
        </w:rPr>
        <w:t xml:space="preserve">No new information was presented. </w:t>
      </w:r>
    </w:p>
    <w:p w:rsidR="00E858A2" w:rsidRPr="00351CA2" w:rsidRDefault="00E858A2" w:rsidP="00351CA2">
      <w:pPr>
        <w:pStyle w:val="ListParagraph"/>
        <w:jc w:val="both"/>
        <w:rPr>
          <w:rFonts w:ascii="Arial" w:hAnsi="Arial"/>
          <w:sz w:val="22"/>
          <w:szCs w:val="22"/>
        </w:rPr>
      </w:pPr>
    </w:p>
    <w:p w:rsidR="00E858A2" w:rsidRPr="00882085" w:rsidRDefault="00E858A2" w:rsidP="00882085">
      <w:pPr>
        <w:ind w:left="720" w:hanging="720"/>
        <w:jc w:val="both"/>
        <w:rPr>
          <w:rFonts w:ascii="Arial" w:hAnsi="Arial"/>
          <w:b/>
          <w:i/>
          <w:sz w:val="22"/>
          <w:szCs w:val="22"/>
        </w:rPr>
      </w:pPr>
      <w:r w:rsidRPr="00882085">
        <w:rPr>
          <w:rFonts w:ascii="Arial" w:hAnsi="Arial"/>
          <w:b/>
          <w:i/>
          <w:sz w:val="22"/>
          <w:szCs w:val="22"/>
        </w:rPr>
        <w:t>Economic analysis</w:t>
      </w:r>
    </w:p>
    <w:p w:rsidR="00E858A2" w:rsidRPr="00882085" w:rsidRDefault="00E858A2" w:rsidP="00882085">
      <w:pPr>
        <w:ind w:left="720" w:hanging="720"/>
        <w:jc w:val="both"/>
        <w:rPr>
          <w:rFonts w:ascii="Arial" w:hAnsi="Arial"/>
          <w:sz w:val="22"/>
          <w:szCs w:val="22"/>
        </w:rPr>
      </w:pPr>
    </w:p>
    <w:p w:rsidR="00E858A2" w:rsidRPr="00481AFA" w:rsidRDefault="00E858A2" w:rsidP="00856262">
      <w:pPr>
        <w:pStyle w:val="ListParagraph"/>
        <w:numPr>
          <w:ilvl w:val="1"/>
          <w:numId w:val="1"/>
        </w:numPr>
        <w:jc w:val="both"/>
        <w:rPr>
          <w:rFonts w:ascii="Arial" w:hAnsi="Arial"/>
          <w:sz w:val="22"/>
          <w:szCs w:val="22"/>
        </w:rPr>
      </w:pPr>
      <w:r w:rsidRPr="00481AFA">
        <w:rPr>
          <w:rFonts w:ascii="Arial" w:hAnsi="Arial"/>
          <w:sz w:val="22"/>
          <w:szCs w:val="22"/>
        </w:rPr>
        <w:t xml:space="preserve">The re-submission presented a cost-utility analysis that resulted in an incremental cost per quality adjusted life year (QALY) </w:t>
      </w:r>
      <w:r w:rsidR="00D059D0">
        <w:rPr>
          <w:rFonts w:ascii="Arial" w:hAnsi="Arial"/>
          <w:sz w:val="22"/>
          <w:szCs w:val="22"/>
        </w:rPr>
        <w:t xml:space="preserve">in the range </w:t>
      </w:r>
      <w:r w:rsidRPr="00481AFA">
        <w:rPr>
          <w:rFonts w:ascii="Arial" w:hAnsi="Arial"/>
          <w:sz w:val="22"/>
          <w:szCs w:val="22"/>
        </w:rPr>
        <w:t>of $</w:t>
      </w:r>
      <w:r w:rsidR="00D059D0">
        <w:rPr>
          <w:rFonts w:ascii="Arial" w:hAnsi="Arial"/>
          <w:sz w:val="22"/>
          <w:szCs w:val="22"/>
        </w:rPr>
        <w:t>45,000</w:t>
      </w:r>
      <w:r w:rsidR="008968E1">
        <w:rPr>
          <w:rFonts w:ascii="Arial" w:hAnsi="Arial"/>
          <w:sz w:val="22"/>
          <w:szCs w:val="22"/>
        </w:rPr>
        <w:t>/QALY</w:t>
      </w:r>
      <w:r w:rsidR="00D059D0">
        <w:rPr>
          <w:rFonts w:ascii="Arial" w:hAnsi="Arial"/>
          <w:sz w:val="22"/>
          <w:szCs w:val="22"/>
        </w:rPr>
        <w:t xml:space="preserve"> to $75,000</w:t>
      </w:r>
      <w:r w:rsidR="008968E1">
        <w:rPr>
          <w:rFonts w:ascii="Arial" w:hAnsi="Arial"/>
          <w:sz w:val="22"/>
          <w:szCs w:val="22"/>
        </w:rPr>
        <w:t>/QALY</w:t>
      </w:r>
      <w:r w:rsidRPr="00481AFA">
        <w:rPr>
          <w:rFonts w:ascii="Arial" w:hAnsi="Arial"/>
          <w:sz w:val="22"/>
          <w:szCs w:val="22"/>
        </w:rPr>
        <w:t>. This was based on the</w:t>
      </w:r>
      <w:r>
        <w:rPr>
          <w:rFonts w:ascii="Arial" w:hAnsi="Arial"/>
          <w:sz w:val="22"/>
          <w:szCs w:val="22"/>
        </w:rPr>
        <w:t xml:space="preserve"> </w:t>
      </w:r>
      <w:r w:rsidRPr="00481AFA">
        <w:rPr>
          <w:rFonts w:ascii="Arial" w:hAnsi="Arial"/>
          <w:sz w:val="22"/>
          <w:szCs w:val="22"/>
        </w:rPr>
        <w:t>March 2014 PBAC</w:t>
      </w:r>
      <w:r>
        <w:rPr>
          <w:rFonts w:ascii="Arial" w:hAnsi="Arial"/>
          <w:sz w:val="22"/>
          <w:szCs w:val="22"/>
        </w:rPr>
        <w:t>’s respecified</w:t>
      </w:r>
      <w:r w:rsidRPr="00481AFA">
        <w:rPr>
          <w:rFonts w:ascii="Arial" w:hAnsi="Arial"/>
          <w:sz w:val="22"/>
          <w:szCs w:val="22"/>
        </w:rPr>
        <w:t xml:space="preserve"> base case with the exception that revised post-progression disease management costs were proposed.</w:t>
      </w:r>
    </w:p>
    <w:p w:rsidR="00E858A2" w:rsidRDefault="00E858A2" w:rsidP="00FA2081">
      <w:pPr>
        <w:pStyle w:val="ListParagraph"/>
        <w:ind w:left="709"/>
        <w:jc w:val="both"/>
        <w:rPr>
          <w:rFonts w:ascii="Arial" w:hAnsi="Arial"/>
          <w:sz w:val="22"/>
          <w:szCs w:val="22"/>
        </w:rPr>
      </w:pPr>
    </w:p>
    <w:p w:rsidR="00E858A2" w:rsidRPr="004F76F1" w:rsidRDefault="00E858A2" w:rsidP="00856262">
      <w:pPr>
        <w:pStyle w:val="ListParagraph"/>
        <w:numPr>
          <w:ilvl w:val="1"/>
          <w:numId w:val="1"/>
        </w:numPr>
        <w:jc w:val="both"/>
        <w:rPr>
          <w:rFonts w:ascii="Arial" w:hAnsi="Arial"/>
          <w:sz w:val="22"/>
          <w:szCs w:val="22"/>
        </w:rPr>
      </w:pPr>
      <w:r w:rsidRPr="004F76F1">
        <w:rPr>
          <w:rFonts w:ascii="Arial" w:hAnsi="Arial"/>
          <w:sz w:val="22"/>
          <w:szCs w:val="22"/>
        </w:rPr>
        <w:t>The re-submission used the same source to estimate the</w:t>
      </w:r>
      <w:r w:rsidRPr="003B3FF3">
        <w:t xml:space="preserve"> </w:t>
      </w:r>
      <w:r w:rsidRPr="004F76F1">
        <w:rPr>
          <w:rFonts w:ascii="Arial" w:hAnsi="Arial"/>
          <w:sz w:val="22"/>
          <w:szCs w:val="22"/>
        </w:rPr>
        <w:t>post-progression disease management costs as was used previously (</w:t>
      </w:r>
      <w:r w:rsidRPr="004F76F1">
        <w:rPr>
          <w:rFonts w:ascii="Arial" w:hAnsi="Arial"/>
          <w:i/>
          <w:sz w:val="22"/>
          <w:szCs w:val="22"/>
        </w:rPr>
        <w:t>Lee et al, 2008</w:t>
      </w:r>
      <w:r>
        <w:rPr>
          <w:rStyle w:val="FootnoteReference"/>
          <w:rFonts w:ascii="Arial" w:hAnsi="Arial"/>
          <w:sz w:val="22"/>
          <w:szCs w:val="22"/>
        </w:rPr>
        <w:footnoteReference w:id="1"/>
      </w:r>
      <w:r w:rsidRPr="004F76F1">
        <w:rPr>
          <w:rFonts w:ascii="Arial" w:hAnsi="Arial"/>
          <w:sz w:val="22"/>
          <w:szCs w:val="22"/>
        </w:rPr>
        <w:t xml:space="preserve">), but used a different method to calculate this parameter. However, the method used in the re-submission </w:t>
      </w:r>
      <w:r w:rsidRPr="004F76F1">
        <w:rPr>
          <w:rFonts w:ascii="Arial" w:hAnsi="Arial"/>
          <w:sz w:val="22"/>
          <w:szCs w:val="22"/>
          <w:lang w:eastAsia="en-US"/>
        </w:rPr>
        <w:t xml:space="preserve">may not have applied the patient numbers and treatment duration from </w:t>
      </w:r>
      <w:r w:rsidRPr="004F76F1">
        <w:rPr>
          <w:rFonts w:ascii="Arial" w:hAnsi="Arial"/>
          <w:i/>
          <w:sz w:val="22"/>
          <w:szCs w:val="22"/>
          <w:lang w:eastAsia="en-US"/>
        </w:rPr>
        <w:t>Lee et al 2008</w:t>
      </w:r>
      <w:r w:rsidRPr="004F76F1">
        <w:rPr>
          <w:rFonts w:ascii="Arial" w:hAnsi="Arial"/>
          <w:sz w:val="22"/>
          <w:szCs w:val="22"/>
          <w:lang w:eastAsia="en-US"/>
        </w:rPr>
        <w:t xml:space="preserve"> appropriately. </w:t>
      </w:r>
      <w:r>
        <w:rPr>
          <w:rFonts w:ascii="Arial" w:hAnsi="Arial"/>
          <w:sz w:val="22"/>
          <w:szCs w:val="22"/>
          <w:lang w:eastAsia="en-US"/>
        </w:rPr>
        <w:t>Therefore, t</w:t>
      </w:r>
      <w:r w:rsidRPr="004F76F1">
        <w:rPr>
          <w:rFonts w:ascii="Arial" w:hAnsi="Arial"/>
          <w:sz w:val="22"/>
          <w:szCs w:val="22"/>
          <w:lang w:eastAsia="en-US"/>
        </w:rPr>
        <w:t xml:space="preserve">he </w:t>
      </w:r>
      <w:r>
        <w:rPr>
          <w:rFonts w:ascii="Arial" w:hAnsi="Arial"/>
          <w:sz w:val="22"/>
          <w:szCs w:val="22"/>
          <w:lang w:eastAsia="en-US"/>
        </w:rPr>
        <w:t>evaluation</w:t>
      </w:r>
      <w:r w:rsidRPr="004F76F1">
        <w:rPr>
          <w:rFonts w:ascii="Arial" w:hAnsi="Arial"/>
          <w:sz w:val="22"/>
          <w:szCs w:val="22"/>
          <w:lang w:eastAsia="en-US"/>
        </w:rPr>
        <w:t xml:space="preserve"> provided an alternative approach, based on the same costing study, which considered palliative care, second- and third-line treatment costs from patients who had progressed after first-line salvage therapy.</w:t>
      </w:r>
    </w:p>
    <w:p w:rsidR="00E858A2" w:rsidRDefault="00E858A2" w:rsidP="00E75F66">
      <w:pPr>
        <w:pStyle w:val="ListParagraph"/>
        <w:ind w:left="709"/>
        <w:jc w:val="both"/>
        <w:rPr>
          <w:rFonts w:ascii="Arial" w:hAnsi="Arial"/>
          <w:sz w:val="22"/>
          <w:szCs w:val="22"/>
        </w:rPr>
      </w:pPr>
    </w:p>
    <w:p w:rsidR="00E858A2" w:rsidRDefault="00E858A2" w:rsidP="00856262">
      <w:pPr>
        <w:pStyle w:val="ListParagraph"/>
        <w:numPr>
          <w:ilvl w:val="1"/>
          <w:numId w:val="1"/>
        </w:numPr>
        <w:jc w:val="both"/>
        <w:rPr>
          <w:rFonts w:ascii="Arial" w:hAnsi="Arial"/>
          <w:sz w:val="22"/>
          <w:szCs w:val="22"/>
        </w:rPr>
      </w:pPr>
      <w:r w:rsidRPr="009C7088">
        <w:rPr>
          <w:rFonts w:ascii="Arial" w:hAnsi="Arial"/>
          <w:sz w:val="22"/>
          <w:szCs w:val="22"/>
        </w:rPr>
        <w:t>The pre-PBAC response argued that the post</w:t>
      </w:r>
      <w:r w:rsidRPr="009C7088">
        <w:rPr>
          <w:rFonts w:ascii="Arial" w:hAnsi="Arial"/>
          <w:sz w:val="22"/>
          <w:szCs w:val="22"/>
        </w:rPr>
        <w:noBreakHyphen/>
        <w:t xml:space="preserve">progression disease management costs calculated in the evaluation were inappropriate because they were based on the overall first-line salvage population in the costing study, rather than the relevant population (that is, patients who experienced a second progression). However, the weightings applied in the evaluation were limited to patients that received palliative care, or second- or third-line salvage treatment. That is, patients in the ‘cure/surveillance/end of treatment’ group were not included in the weighting analysis used in the evaluation because these costs were already included in the economic model, as part of the costs associated with progression-free patients. </w:t>
      </w:r>
    </w:p>
    <w:p w:rsidR="00E858A2" w:rsidRPr="009C7088" w:rsidRDefault="00E858A2" w:rsidP="009C7088">
      <w:pPr>
        <w:pStyle w:val="ListParagraph"/>
        <w:rPr>
          <w:rFonts w:ascii="Arial" w:hAnsi="Arial"/>
          <w:sz w:val="22"/>
          <w:szCs w:val="22"/>
        </w:rPr>
      </w:pPr>
    </w:p>
    <w:p w:rsidR="00E858A2" w:rsidRPr="003829E6" w:rsidRDefault="00E858A2" w:rsidP="00856262">
      <w:pPr>
        <w:pStyle w:val="ListParagraph"/>
        <w:numPr>
          <w:ilvl w:val="1"/>
          <w:numId w:val="1"/>
        </w:numPr>
        <w:jc w:val="both"/>
        <w:rPr>
          <w:rFonts w:ascii="Arial" w:hAnsi="Arial"/>
          <w:sz w:val="22"/>
          <w:szCs w:val="22"/>
        </w:rPr>
      </w:pPr>
      <w:r w:rsidRPr="003829E6">
        <w:rPr>
          <w:rFonts w:ascii="Arial" w:hAnsi="Arial"/>
          <w:sz w:val="22"/>
          <w:szCs w:val="22"/>
        </w:rPr>
        <w:lastRenderedPageBreak/>
        <w:t>The pre-PBAC response pro</w:t>
      </w:r>
      <w:r>
        <w:rPr>
          <w:rFonts w:ascii="Arial" w:hAnsi="Arial"/>
          <w:sz w:val="22"/>
          <w:szCs w:val="22"/>
        </w:rPr>
        <w:t xml:space="preserve">posed </w:t>
      </w:r>
      <w:r w:rsidRPr="003829E6">
        <w:rPr>
          <w:rFonts w:ascii="Arial" w:hAnsi="Arial"/>
          <w:sz w:val="22"/>
          <w:szCs w:val="22"/>
        </w:rPr>
        <w:t>a</w:t>
      </w:r>
      <w:r>
        <w:rPr>
          <w:rFonts w:ascii="Arial" w:hAnsi="Arial"/>
          <w:sz w:val="22"/>
          <w:szCs w:val="22"/>
        </w:rPr>
        <w:t>n alternative</w:t>
      </w:r>
      <w:r w:rsidRPr="003829E6">
        <w:rPr>
          <w:rFonts w:ascii="Arial" w:hAnsi="Arial"/>
          <w:sz w:val="22"/>
          <w:szCs w:val="22"/>
        </w:rPr>
        <w:t xml:space="preserve"> method of calculating </w:t>
      </w:r>
      <w:r w:rsidRPr="00D96CF1">
        <w:rPr>
          <w:rFonts w:ascii="Arial" w:hAnsi="Arial"/>
          <w:sz w:val="22"/>
          <w:szCs w:val="22"/>
        </w:rPr>
        <w:t>post</w:t>
      </w:r>
      <w:r w:rsidRPr="00D96CF1">
        <w:rPr>
          <w:rFonts w:ascii="Arial" w:hAnsi="Arial"/>
          <w:sz w:val="22"/>
          <w:szCs w:val="22"/>
        </w:rPr>
        <w:noBreakHyphen/>
        <w:t xml:space="preserve">progression disease management </w:t>
      </w:r>
      <w:r w:rsidRPr="003829E6">
        <w:rPr>
          <w:rFonts w:ascii="Arial" w:hAnsi="Arial"/>
          <w:sz w:val="22"/>
          <w:szCs w:val="22"/>
        </w:rPr>
        <w:t>costs</w:t>
      </w:r>
      <w:r>
        <w:rPr>
          <w:rFonts w:ascii="Arial" w:hAnsi="Arial"/>
          <w:sz w:val="22"/>
          <w:szCs w:val="22"/>
        </w:rPr>
        <w:t xml:space="preserve">. This method, which was also based on </w:t>
      </w:r>
      <w:r w:rsidRPr="00E032FE">
        <w:rPr>
          <w:rFonts w:ascii="Arial" w:hAnsi="Arial"/>
          <w:i/>
          <w:sz w:val="22"/>
          <w:szCs w:val="22"/>
        </w:rPr>
        <w:t>Lee et al 2008</w:t>
      </w:r>
      <w:r>
        <w:rPr>
          <w:rFonts w:ascii="Arial" w:hAnsi="Arial"/>
          <w:i/>
          <w:sz w:val="22"/>
          <w:szCs w:val="22"/>
        </w:rPr>
        <w:t>,</w:t>
      </w:r>
      <w:r>
        <w:rPr>
          <w:rFonts w:ascii="Arial" w:hAnsi="Arial"/>
          <w:sz w:val="22"/>
          <w:szCs w:val="22"/>
        </w:rPr>
        <w:t xml:space="preserve"> used</w:t>
      </w:r>
      <w:r w:rsidRPr="003829E6">
        <w:rPr>
          <w:rFonts w:ascii="Arial" w:hAnsi="Arial"/>
          <w:sz w:val="22"/>
          <w:szCs w:val="22"/>
        </w:rPr>
        <w:t xml:space="preserve"> distinct pathways of patient follow-up after first-line salvage. These pathways were:</w:t>
      </w:r>
    </w:p>
    <w:p w:rsidR="00E858A2" w:rsidRPr="002E41E3" w:rsidRDefault="00E858A2" w:rsidP="00302647">
      <w:pPr>
        <w:pStyle w:val="ListParagraph"/>
        <w:numPr>
          <w:ilvl w:val="0"/>
          <w:numId w:val="4"/>
        </w:numPr>
        <w:jc w:val="both"/>
        <w:rPr>
          <w:rFonts w:ascii="Arial" w:hAnsi="Arial"/>
          <w:sz w:val="22"/>
          <w:szCs w:val="22"/>
        </w:rPr>
      </w:pPr>
      <w:r>
        <w:rPr>
          <w:rFonts w:ascii="Arial" w:hAnsi="Arial"/>
          <w:sz w:val="22"/>
          <w:szCs w:val="22"/>
          <w:lang w:eastAsia="en-US"/>
        </w:rPr>
        <w:t>Second-</w:t>
      </w:r>
      <w:r w:rsidRPr="002E41E3">
        <w:rPr>
          <w:rFonts w:ascii="Arial" w:hAnsi="Arial"/>
          <w:sz w:val="22"/>
          <w:szCs w:val="22"/>
        </w:rPr>
        <w:t xml:space="preserve">line salvage therapy then surveillance; </w:t>
      </w:r>
    </w:p>
    <w:p w:rsidR="00E858A2" w:rsidRPr="002E41E3" w:rsidRDefault="00E858A2" w:rsidP="00302647">
      <w:pPr>
        <w:pStyle w:val="ListParagraph"/>
        <w:numPr>
          <w:ilvl w:val="0"/>
          <w:numId w:val="4"/>
        </w:numPr>
        <w:jc w:val="both"/>
        <w:rPr>
          <w:rFonts w:ascii="Arial" w:hAnsi="Arial"/>
          <w:sz w:val="22"/>
          <w:szCs w:val="22"/>
        </w:rPr>
      </w:pPr>
      <w:r>
        <w:rPr>
          <w:rFonts w:ascii="Arial" w:hAnsi="Arial"/>
          <w:sz w:val="22"/>
          <w:szCs w:val="22"/>
          <w:lang w:eastAsia="en-US"/>
        </w:rPr>
        <w:t>Second-</w:t>
      </w:r>
      <w:r w:rsidRPr="002E41E3">
        <w:rPr>
          <w:rFonts w:ascii="Arial" w:hAnsi="Arial"/>
          <w:sz w:val="22"/>
          <w:szCs w:val="22"/>
        </w:rPr>
        <w:t xml:space="preserve">line salvage then palliative care; </w:t>
      </w:r>
    </w:p>
    <w:p w:rsidR="00E858A2" w:rsidRPr="002E41E3" w:rsidRDefault="00E858A2" w:rsidP="00302647">
      <w:pPr>
        <w:pStyle w:val="ListParagraph"/>
        <w:numPr>
          <w:ilvl w:val="0"/>
          <w:numId w:val="4"/>
        </w:numPr>
        <w:jc w:val="both"/>
        <w:rPr>
          <w:rFonts w:ascii="Arial" w:hAnsi="Arial"/>
          <w:sz w:val="22"/>
          <w:szCs w:val="22"/>
        </w:rPr>
      </w:pPr>
      <w:r>
        <w:rPr>
          <w:rFonts w:ascii="Arial" w:hAnsi="Arial"/>
          <w:sz w:val="22"/>
          <w:szCs w:val="22"/>
          <w:lang w:eastAsia="en-US"/>
        </w:rPr>
        <w:t>Second-</w:t>
      </w:r>
      <w:r w:rsidRPr="002E41E3">
        <w:rPr>
          <w:rFonts w:ascii="Arial" w:hAnsi="Arial"/>
          <w:sz w:val="22"/>
          <w:szCs w:val="22"/>
        </w:rPr>
        <w:t xml:space="preserve">line salvage then </w:t>
      </w:r>
      <w:r>
        <w:rPr>
          <w:rFonts w:ascii="Arial" w:hAnsi="Arial"/>
          <w:sz w:val="22"/>
          <w:szCs w:val="22"/>
        </w:rPr>
        <w:t>third-</w:t>
      </w:r>
      <w:r w:rsidRPr="002E41E3">
        <w:rPr>
          <w:rFonts w:ascii="Arial" w:hAnsi="Arial"/>
          <w:sz w:val="22"/>
          <w:szCs w:val="22"/>
        </w:rPr>
        <w:t xml:space="preserve">line salvage; and </w:t>
      </w:r>
    </w:p>
    <w:p w:rsidR="00E858A2" w:rsidRPr="002E41E3" w:rsidRDefault="00E858A2" w:rsidP="00302647">
      <w:pPr>
        <w:pStyle w:val="ListParagraph"/>
        <w:numPr>
          <w:ilvl w:val="0"/>
          <w:numId w:val="4"/>
        </w:numPr>
        <w:jc w:val="both"/>
        <w:rPr>
          <w:rFonts w:ascii="Arial" w:hAnsi="Arial"/>
          <w:sz w:val="22"/>
          <w:szCs w:val="22"/>
        </w:rPr>
      </w:pPr>
      <w:r>
        <w:rPr>
          <w:rFonts w:ascii="Arial" w:hAnsi="Arial"/>
          <w:sz w:val="22"/>
          <w:szCs w:val="22"/>
          <w:lang w:eastAsia="en-US"/>
        </w:rPr>
        <w:t>Second-</w:t>
      </w:r>
      <w:r w:rsidRPr="002E41E3">
        <w:rPr>
          <w:rFonts w:ascii="Arial" w:hAnsi="Arial"/>
          <w:sz w:val="22"/>
          <w:szCs w:val="22"/>
        </w:rPr>
        <w:t xml:space="preserve">line palliative care.  </w:t>
      </w:r>
    </w:p>
    <w:p w:rsidR="00E858A2" w:rsidRDefault="00E858A2" w:rsidP="00676EB6">
      <w:pPr>
        <w:pStyle w:val="ListParagraph"/>
        <w:ind w:left="709"/>
        <w:jc w:val="both"/>
        <w:rPr>
          <w:rFonts w:ascii="Arial" w:hAnsi="Arial"/>
          <w:sz w:val="22"/>
          <w:szCs w:val="22"/>
        </w:rPr>
      </w:pPr>
      <w:r>
        <w:rPr>
          <w:rFonts w:ascii="Arial" w:hAnsi="Arial"/>
          <w:sz w:val="22"/>
          <w:szCs w:val="22"/>
        </w:rPr>
        <w:t>The pre-PBAC response applied weightings separately on the costs as well as on the</w:t>
      </w:r>
      <w:r w:rsidRPr="00CE0916">
        <w:rPr>
          <w:rFonts w:ascii="Arial" w:hAnsi="Arial"/>
          <w:sz w:val="22"/>
          <w:szCs w:val="22"/>
        </w:rPr>
        <w:t xml:space="preserve"> length of follow</w:t>
      </w:r>
      <w:r>
        <w:rPr>
          <w:rFonts w:ascii="Arial" w:hAnsi="Arial"/>
          <w:sz w:val="22"/>
          <w:szCs w:val="22"/>
        </w:rPr>
        <w:t>-</w:t>
      </w:r>
      <w:r w:rsidRPr="00CE0916">
        <w:rPr>
          <w:rFonts w:ascii="Arial" w:hAnsi="Arial"/>
          <w:sz w:val="22"/>
          <w:szCs w:val="22"/>
        </w:rPr>
        <w:t xml:space="preserve">up </w:t>
      </w:r>
      <w:r>
        <w:rPr>
          <w:rFonts w:ascii="Arial" w:hAnsi="Arial"/>
          <w:sz w:val="22"/>
          <w:szCs w:val="22"/>
        </w:rPr>
        <w:t>for</w:t>
      </w:r>
      <w:r w:rsidRPr="00CE0916">
        <w:rPr>
          <w:rFonts w:ascii="Arial" w:hAnsi="Arial"/>
          <w:sz w:val="22"/>
          <w:szCs w:val="22"/>
        </w:rPr>
        <w:t xml:space="preserve"> each of the</w:t>
      </w:r>
      <w:r>
        <w:rPr>
          <w:rFonts w:ascii="Arial" w:hAnsi="Arial"/>
          <w:sz w:val="22"/>
          <w:szCs w:val="22"/>
        </w:rPr>
        <w:t>se</w:t>
      </w:r>
      <w:r w:rsidRPr="00CE0916">
        <w:rPr>
          <w:rFonts w:ascii="Arial" w:hAnsi="Arial"/>
          <w:sz w:val="22"/>
          <w:szCs w:val="22"/>
        </w:rPr>
        <w:t xml:space="preserve"> </w:t>
      </w:r>
      <w:r>
        <w:rPr>
          <w:rFonts w:ascii="Arial" w:hAnsi="Arial"/>
          <w:sz w:val="22"/>
          <w:szCs w:val="22"/>
        </w:rPr>
        <w:t xml:space="preserve">four </w:t>
      </w:r>
      <w:r w:rsidRPr="00CE0916">
        <w:rPr>
          <w:rFonts w:ascii="Arial" w:hAnsi="Arial"/>
          <w:sz w:val="22"/>
          <w:szCs w:val="22"/>
        </w:rPr>
        <w:t>pathways</w:t>
      </w:r>
      <w:r>
        <w:rPr>
          <w:rFonts w:ascii="Arial" w:hAnsi="Arial"/>
          <w:sz w:val="22"/>
          <w:szCs w:val="22"/>
        </w:rPr>
        <w:t>. The PBAC considered that this resulted in ‘double weighting’, and therefore over-adjustment of costs.</w:t>
      </w:r>
    </w:p>
    <w:p w:rsidR="00E858A2" w:rsidRDefault="00E858A2" w:rsidP="007B2B9D">
      <w:pPr>
        <w:pStyle w:val="ListParagraph"/>
        <w:ind w:left="709"/>
        <w:jc w:val="both"/>
        <w:rPr>
          <w:rFonts w:ascii="Arial" w:hAnsi="Arial"/>
          <w:sz w:val="22"/>
          <w:szCs w:val="22"/>
        </w:rPr>
      </w:pPr>
    </w:p>
    <w:p w:rsidR="00E858A2" w:rsidRDefault="00E858A2" w:rsidP="00856262">
      <w:pPr>
        <w:pStyle w:val="ListParagraph"/>
        <w:numPr>
          <w:ilvl w:val="1"/>
          <w:numId w:val="1"/>
        </w:numPr>
        <w:jc w:val="both"/>
        <w:rPr>
          <w:rFonts w:ascii="Arial" w:hAnsi="Arial"/>
          <w:sz w:val="22"/>
          <w:szCs w:val="22"/>
        </w:rPr>
      </w:pPr>
      <w:r w:rsidRPr="00946DCB">
        <w:rPr>
          <w:rFonts w:ascii="Arial" w:hAnsi="Arial"/>
          <w:sz w:val="22"/>
          <w:szCs w:val="22"/>
        </w:rPr>
        <w:t>The PBAC concluded that using a single all-inclusive weighting across each follow</w:t>
      </w:r>
      <w:r w:rsidRPr="00946DCB">
        <w:rPr>
          <w:rFonts w:ascii="Arial" w:hAnsi="Arial"/>
          <w:sz w:val="22"/>
          <w:szCs w:val="22"/>
        </w:rPr>
        <w:noBreakHyphen/>
        <w:t xml:space="preserve">up group would be more appropriate given that each treatment pathway is associated with a unique cost and duration of follow-up. </w:t>
      </w:r>
      <w:r w:rsidRPr="00C46EF3">
        <w:rPr>
          <w:rFonts w:ascii="Arial" w:hAnsi="Arial"/>
          <w:sz w:val="22"/>
          <w:szCs w:val="22"/>
        </w:rPr>
        <w:t>The</w:t>
      </w:r>
      <w:r>
        <w:rPr>
          <w:rFonts w:ascii="Arial" w:hAnsi="Arial"/>
          <w:sz w:val="22"/>
          <w:szCs w:val="22"/>
        </w:rPr>
        <w:t xml:space="preserve"> PBAC noted that this resulted in revised </w:t>
      </w:r>
      <w:r w:rsidRPr="00D96CF1">
        <w:rPr>
          <w:rFonts w:ascii="Arial" w:hAnsi="Arial"/>
          <w:sz w:val="22"/>
          <w:szCs w:val="22"/>
        </w:rPr>
        <w:t>post</w:t>
      </w:r>
      <w:r w:rsidRPr="00D96CF1">
        <w:rPr>
          <w:rFonts w:ascii="Arial" w:hAnsi="Arial"/>
          <w:sz w:val="22"/>
          <w:szCs w:val="22"/>
        </w:rPr>
        <w:noBreakHyphen/>
        <w:t xml:space="preserve">progression disease management </w:t>
      </w:r>
      <w:r>
        <w:rPr>
          <w:rFonts w:ascii="Arial" w:hAnsi="Arial"/>
          <w:sz w:val="22"/>
          <w:szCs w:val="22"/>
        </w:rPr>
        <w:t xml:space="preserve">costs of around $2,300 per 21-day cycle. The PBAC concluded that this cost was the most reasonable interpretation of </w:t>
      </w:r>
      <w:r w:rsidRPr="009F3AD3">
        <w:rPr>
          <w:rFonts w:ascii="Arial" w:hAnsi="Arial"/>
          <w:i/>
          <w:sz w:val="22"/>
          <w:szCs w:val="22"/>
        </w:rPr>
        <w:t>Lee et al 2008</w:t>
      </w:r>
      <w:r>
        <w:rPr>
          <w:rFonts w:ascii="Arial" w:hAnsi="Arial"/>
          <w:sz w:val="22"/>
          <w:szCs w:val="22"/>
        </w:rPr>
        <w:t xml:space="preserve"> and thus should be used in the revised base case for the economic evaluation.</w:t>
      </w:r>
    </w:p>
    <w:p w:rsidR="00E858A2" w:rsidRDefault="00E858A2" w:rsidP="00B667FA">
      <w:pPr>
        <w:pStyle w:val="ListParagraph"/>
        <w:ind w:left="709"/>
        <w:jc w:val="both"/>
        <w:rPr>
          <w:rFonts w:ascii="Arial" w:hAnsi="Arial"/>
          <w:sz w:val="22"/>
          <w:szCs w:val="22"/>
        </w:rPr>
      </w:pPr>
    </w:p>
    <w:p w:rsidR="00E858A2" w:rsidRPr="001655C2" w:rsidRDefault="00E858A2" w:rsidP="00856262">
      <w:pPr>
        <w:pStyle w:val="ListParagraph"/>
        <w:numPr>
          <w:ilvl w:val="1"/>
          <w:numId w:val="1"/>
        </w:numPr>
        <w:jc w:val="both"/>
        <w:rPr>
          <w:rFonts w:ascii="Arial" w:hAnsi="Arial"/>
          <w:sz w:val="22"/>
          <w:szCs w:val="22"/>
        </w:rPr>
      </w:pPr>
      <w:r w:rsidRPr="001655C2">
        <w:rPr>
          <w:rFonts w:ascii="Arial" w:hAnsi="Arial"/>
          <w:sz w:val="22"/>
          <w:szCs w:val="22"/>
        </w:rPr>
        <w:t>The PBAC noted that this revised base case resulted in an ICER of around $</w:t>
      </w:r>
      <w:r w:rsidR="00D059D0">
        <w:rPr>
          <w:rFonts w:ascii="Arial" w:hAnsi="Arial"/>
          <w:sz w:val="22"/>
          <w:szCs w:val="22"/>
        </w:rPr>
        <w:t>45</w:t>
      </w:r>
      <w:r w:rsidRPr="001655C2">
        <w:rPr>
          <w:rFonts w:ascii="Arial" w:hAnsi="Arial"/>
          <w:sz w:val="22"/>
          <w:szCs w:val="22"/>
        </w:rPr>
        <w:t>,000</w:t>
      </w:r>
      <w:r w:rsidR="00D059D0">
        <w:rPr>
          <w:rFonts w:ascii="Arial" w:hAnsi="Arial"/>
          <w:sz w:val="22"/>
          <w:szCs w:val="22"/>
        </w:rPr>
        <w:t>/QALY to $75,000/QALY</w:t>
      </w:r>
      <w:r w:rsidRPr="001655C2">
        <w:rPr>
          <w:rFonts w:ascii="Arial" w:hAnsi="Arial"/>
          <w:sz w:val="22"/>
          <w:szCs w:val="22"/>
        </w:rPr>
        <w:t>. The PBAC considered that this was the most realistic estimate of the cost</w:t>
      </w:r>
      <w:r w:rsidRPr="001655C2">
        <w:rPr>
          <w:rFonts w:ascii="Arial" w:hAnsi="Arial"/>
          <w:sz w:val="22"/>
          <w:szCs w:val="22"/>
        </w:rPr>
        <w:noBreakHyphen/>
        <w:t xml:space="preserve">effectiveness of </w:t>
      </w:r>
      <w:proofErr w:type="spellStart"/>
      <w:r w:rsidR="00EF09E1">
        <w:rPr>
          <w:rFonts w:ascii="Arial" w:hAnsi="Arial"/>
          <w:sz w:val="22"/>
          <w:szCs w:val="22"/>
        </w:rPr>
        <w:t>brentuximab</w:t>
      </w:r>
      <w:proofErr w:type="spellEnd"/>
      <w:r w:rsidR="00EF09E1">
        <w:rPr>
          <w:rFonts w:ascii="Arial" w:hAnsi="Arial"/>
          <w:sz w:val="22"/>
          <w:szCs w:val="22"/>
        </w:rPr>
        <w:t xml:space="preserve"> </w:t>
      </w:r>
      <w:proofErr w:type="spellStart"/>
      <w:r w:rsidR="00EF09E1">
        <w:rPr>
          <w:rFonts w:ascii="Arial" w:hAnsi="Arial"/>
          <w:sz w:val="22"/>
          <w:szCs w:val="22"/>
        </w:rPr>
        <w:t>vedotin</w:t>
      </w:r>
      <w:proofErr w:type="spellEnd"/>
      <w:r w:rsidRPr="001655C2">
        <w:rPr>
          <w:rFonts w:ascii="Arial" w:hAnsi="Arial"/>
          <w:sz w:val="22"/>
          <w:szCs w:val="22"/>
        </w:rPr>
        <w:t xml:space="preserve"> in the indication requested. The PBAC therefore considered that at the price proposed in the submission, </w:t>
      </w:r>
      <w:proofErr w:type="spellStart"/>
      <w:r w:rsidR="00EF09E1" w:rsidRPr="00330E07">
        <w:rPr>
          <w:rFonts w:ascii="Arial" w:hAnsi="Arial"/>
          <w:sz w:val="22"/>
          <w:szCs w:val="22"/>
        </w:rPr>
        <w:t>brentuximab</w:t>
      </w:r>
      <w:proofErr w:type="spellEnd"/>
      <w:r w:rsidR="00EF09E1" w:rsidRPr="00330E07">
        <w:rPr>
          <w:rFonts w:ascii="Arial" w:hAnsi="Arial"/>
          <w:sz w:val="22"/>
          <w:szCs w:val="22"/>
        </w:rPr>
        <w:t xml:space="preserve"> </w:t>
      </w:r>
      <w:proofErr w:type="spellStart"/>
      <w:r w:rsidR="00EF09E1" w:rsidRPr="00330E07">
        <w:rPr>
          <w:rFonts w:ascii="Arial" w:hAnsi="Arial"/>
          <w:sz w:val="22"/>
          <w:szCs w:val="22"/>
        </w:rPr>
        <w:t>vedotin</w:t>
      </w:r>
      <w:proofErr w:type="spellEnd"/>
      <w:r w:rsidR="00EF09E1" w:rsidRPr="00330E07">
        <w:rPr>
          <w:rFonts w:ascii="Arial" w:hAnsi="Arial"/>
          <w:sz w:val="22"/>
          <w:szCs w:val="22"/>
        </w:rPr>
        <w:t xml:space="preserve"> </w:t>
      </w:r>
      <w:r w:rsidRPr="001655C2">
        <w:rPr>
          <w:rFonts w:ascii="Arial" w:hAnsi="Arial"/>
          <w:sz w:val="22"/>
          <w:szCs w:val="22"/>
        </w:rPr>
        <w:t xml:space="preserve">was not acceptably cost-effective. The PBAC considered that a price reduction would be required to give an ICER </w:t>
      </w:r>
      <w:r w:rsidR="00D059D0">
        <w:rPr>
          <w:rFonts w:ascii="Arial" w:hAnsi="Arial"/>
          <w:sz w:val="22"/>
          <w:szCs w:val="22"/>
        </w:rPr>
        <w:t xml:space="preserve">with in the range of </w:t>
      </w:r>
      <w:r w:rsidRPr="001655C2">
        <w:rPr>
          <w:rFonts w:ascii="Arial" w:hAnsi="Arial"/>
          <w:sz w:val="22"/>
          <w:szCs w:val="22"/>
        </w:rPr>
        <w:t>$</w:t>
      </w:r>
      <w:r w:rsidR="00D059D0">
        <w:rPr>
          <w:rFonts w:ascii="Arial" w:hAnsi="Arial"/>
          <w:sz w:val="22"/>
          <w:szCs w:val="22"/>
        </w:rPr>
        <w:t>4</w:t>
      </w:r>
      <w:r w:rsidRPr="001655C2">
        <w:rPr>
          <w:rFonts w:ascii="Arial" w:hAnsi="Arial"/>
          <w:sz w:val="22"/>
          <w:szCs w:val="22"/>
        </w:rPr>
        <w:t>5,000</w:t>
      </w:r>
      <w:r w:rsidR="008968E1">
        <w:rPr>
          <w:rFonts w:ascii="Arial" w:hAnsi="Arial"/>
          <w:sz w:val="22"/>
          <w:szCs w:val="22"/>
        </w:rPr>
        <w:t>/QALY</w:t>
      </w:r>
      <w:r w:rsidRPr="001655C2">
        <w:rPr>
          <w:rFonts w:ascii="Arial" w:hAnsi="Arial"/>
          <w:sz w:val="22"/>
          <w:szCs w:val="22"/>
        </w:rPr>
        <w:t xml:space="preserve"> </w:t>
      </w:r>
      <w:r w:rsidR="00D059D0">
        <w:rPr>
          <w:rFonts w:ascii="Arial" w:hAnsi="Arial"/>
          <w:sz w:val="22"/>
          <w:szCs w:val="22"/>
        </w:rPr>
        <w:t>to</w:t>
      </w:r>
      <w:r w:rsidRPr="001655C2">
        <w:rPr>
          <w:rFonts w:ascii="Arial" w:hAnsi="Arial"/>
          <w:sz w:val="22"/>
          <w:szCs w:val="22"/>
        </w:rPr>
        <w:t xml:space="preserve"> $</w:t>
      </w:r>
      <w:r w:rsidR="00D059D0">
        <w:rPr>
          <w:rFonts w:ascii="Arial" w:hAnsi="Arial"/>
          <w:sz w:val="22"/>
          <w:szCs w:val="22"/>
        </w:rPr>
        <w:t>75</w:t>
      </w:r>
      <w:r w:rsidRPr="001655C2">
        <w:rPr>
          <w:rFonts w:ascii="Arial" w:hAnsi="Arial"/>
          <w:sz w:val="22"/>
          <w:szCs w:val="22"/>
        </w:rPr>
        <w:t>,000</w:t>
      </w:r>
      <w:r w:rsidR="008968E1">
        <w:rPr>
          <w:rFonts w:ascii="Arial" w:hAnsi="Arial"/>
          <w:sz w:val="22"/>
          <w:szCs w:val="22"/>
        </w:rPr>
        <w:t>/QALY</w:t>
      </w:r>
      <w:r w:rsidRPr="001655C2">
        <w:rPr>
          <w:rFonts w:ascii="Arial" w:hAnsi="Arial"/>
          <w:sz w:val="22"/>
          <w:szCs w:val="22"/>
        </w:rPr>
        <w:t xml:space="preserve"> in the respecified base case. </w:t>
      </w:r>
    </w:p>
    <w:p w:rsidR="00E858A2" w:rsidRPr="00E7096C" w:rsidRDefault="00E858A2" w:rsidP="00E7096C">
      <w:pPr>
        <w:pStyle w:val="ListParagraph"/>
        <w:rPr>
          <w:rFonts w:ascii="Arial" w:hAnsi="Arial"/>
          <w:sz w:val="22"/>
          <w:szCs w:val="22"/>
        </w:rPr>
      </w:pPr>
    </w:p>
    <w:p w:rsidR="00E858A2" w:rsidRDefault="00E858A2" w:rsidP="00856262">
      <w:pPr>
        <w:pStyle w:val="ListParagraph"/>
        <w:numPr>
          <w:ilvl w:val="1"/>
          <w:numId w:val="1"/>
        </w:numPr>
        <w:jc w:val="both"/>
        <w:rPr>
          <w:rFonts w:ascii="Arial" w:hAnsi="Arial"/>
          <w:sz w:val="22"/>
          <w:szCs w:val="22"/>
        </w:rPr>
      </w:pPr>
      <w:r>
        <w:rPr>
          <w:rFonts w:ascii="Arial" w:hAnsi="Arial"/>
          <w:sz w:val="22"/>
          <w:szCs w:val="22"/>
        </w:rPr>
        <w:t xml:space="preserve">The study used to derive the </w:t>
      </w:r>
      <w:r w:rsidRPr="00D96CF1">
        <w:rPr>
          <w:rFonts w:ascii="Arial" w:hAnsi="Arial"/>
          <w:sz w:val="22"/>
          <w:szCs w:val="22"/>
        </w:rPr>
        <w:t>post</w:t>
      </w:r>
      <w:r w:rsidRPr="00D96CF1">
        <w:rPr>
          <w:rFonts w:ascii="Arial" w:hAnsi="Arial"/>
          <w:sz w:val="22"/>
          <w:szCs w:val="22"/>
        </w:rPr>
        <w:noBreakHyphen/>
        <w:t xml:space="preserve">progression disease management </w:t>
      </w:r>
      <w:r>
        <w:rPr>
          <w:rFonts w:ascii="Arial" w:hAnsi="Arial"/>
          <w:sz w:val="22"/>
          <w:szCs w:val="22"/>
        </w:rPr>
        <w:t>costs was undertaken in Canada in patients with diffuse large B-cell lymphoma. The pre-PBAC response argued that this source</w:t>
      </w:r>
      <w:r w:rsidRPr="00661F85">
        <w:rPr>
          <w:rFonts w:ascii="Arial" w:hAnsi="Arial"/>
          <w:sz w:val="22"/>
          <w:szCs w:val="22"/>
        </w:rPr>
        <w:t xml:space="preserve"> may not be applicable to the intended patient population for </w:t>
      </w:r>
      <w:proofErr w:type="spellStart"/>
      <w:r w:rsidR="00EF09E1">
        <w:rPr>
          <w:rFonts w:ascii="Arial" w:hAnsi="Arial"/>
          <w:sz w:val="22"/>
          <w:szCs w:val="22"/>
        </w:rPr>
        <w:t>brentuximab</w:t>
      </w:r>
      <w:proofErr w:type="spellEnd"/>
      <w:r w:rsidR="00EF09E1">
        <w:rPr>
          <w:rFonts w:ascii="Arial" w:hAnsi="Arial"/>
          <w:sz w:val="22"/>
          <w:szCs w:val="22"/>
        </w:rPr>
        <w:t xml:space="preserve"> </w:t>
      </w:r>
      <w:proofErr w:type="spellStart"/>
      <w:r w:rsidR="00EF09E1">
        <w:rPr>
          <w:rFonts w:ascii="Arial" w:hAnsi="Arial"/>
          <w:sz w:val="22"/>
          <w:szCs w:val="22"/>
        </w:rPr>
        <w:t>vedotin</w:t>
      </w:r>
      <w:proofErr w:type="spellEnd"/>
      <w:r w:rsidRPr="00661F85">
        <w:rPr>
          <w:rFonts w:ascii="Arial" w:hAnsi="Arial"/>
          <w:sz w:val="22"/>
          <w:szCs w:val="22"/>
        </w:rPr>
        <w:t xml:space="preserve"> and may overestimate costs, due</w:t>
      </w:r>
      <w:r w:rsidRPr="009D783A">
        <w:rPr>
          <w:rFonts w:ascii="Arial" w:hAnsi="Arial"/>
          <w:sz w:val="22"/>
          <w:szCs w:val="22"/>
        </w:rPr>
        <w:t xml:space="preserve"> to differences in disease characteristics, patient demographics and resource costs. </w:t>
      </w:r>
      <w:r>
        <w:rPr>
          <w:rFonts w:ascii="Arial" w:hAnsi="Arial"/>
          <w:sz w:val="22"/>
          <w:szCs w:val="22"/>
        </w:rPr>
        <w:t>For example, the pre</w:t>
      </w:r>
      <w:r>
        <w:rPr>
          <w:rFonts w:ascii="Arial" w:hAnsi="Arial"/>
          <w:sz w:val="22"/>
          <w:szCs w:val="22"/>
        </w:rPr>
        <w:noBreakHyphen/>
      </w:r>
      <w:r w:rsidRPr="009D783A">
        <w:rPr>
          <w:rFonts w:ascii="Arial" w:hAnsi="Arial"/>
          <w:sz w:val="22"/>
          <w:szCs w:val="22"/>
        </w:rPr>
        <w:t>PBAC response cited that ICE (</w:t>
      </w:r>
      <w:proofErr w:type="spellStart"/>
      <w:r w:rsidRPr="009D783A">
        <w:rPr>
          <w:rFonts w:ascii="Arial" w:hAnsi="Arial"/>
          <w:sz w:val="22"/>
          <w:szCs w:val="22"/>
        </w:rPr>
        <w:t>ifosfamide</w:t>
      </w:r>
      <w:proofErr w:type="spellEnd"/>
      <w:r w:rsidRPr="009D783A">
        <w:rPr>
          <w:rFonts w:ascii="Arial" w:hAnsi="Arial"/>
          <w:sz w:val="22"/>
          <w:szCs w:val="22"/>
        </w:rPr>
        <w:t xml:space="preserve">, carboplatin, </w:t>
      </w:r>
      <w:proofErr w:type="spellStart"/>
      <w:proofErr w:type="gramStart"/>
      <w:r w:rsidRPr="009D783A">
        <w:rPr>
          <w:rFonts w:ascii="Arial" w:hAnsi="Arial"/>
          <w:sz w:val="22"/>
          <w:szCs w:val="22"/>
        </w:rPr>
        <w:t>etoposide</w:t>
      </w:r>
      <w:proofErr w:type="spellEnd"/>
      <w:proofErr w:type="gramEnd"/>
      <w:r w:rsidRPr="009D783A">
        <w:rPr>
          <w:rFonts w:ascii="Arial" w:hAnsi="Arial"/>
          <w:sz w:val="22"/>
          <w:szCs w:val="22"/>
        </w:rPr>
        <w:t xml:space="preserve">) </w:t>
      </w:r>
      <w:r>
        <w:rPr>
          <w:rFonts w:ascii="Arial" w:hAnsi="Arial"/>
          <w:sz w:val="22"/>
          <w:szCs w:val="22"/>
        </w:rPr>
        <w:t xml:space="preserve">is less expensive in Australia, however </w:t>
      </w:r>
      <w:r w:rsidRPr="009D783A">
        <w:rPr>
          <w:rFonts w:ascii="Arial" w:hAnsi="Arial"/>
          <w:sz w:val="22"/>
          <w:szCs w:val="22"/>
        </w:rPr>
        <w:t xml:space="preserve">this calculation </w:t>
      </w:r>
      <w:r>
        <w:rPr>
          <w:rFonts w:ascii="Arial" w:hAnsi="Arial"/>
          <w:sz w:val="22"/>
          <w:szCs w:val="22"/>
        </w:rPr>
        <w:t>omitted the costs for G</w:t>
      </w:r>
      <w:r>
        <w:rPr>
          <w:rFonts w:ascii="Arial" w:hAnsi="Arial"/>
          <w:sz w:val="22"/>
          <w:szCs w:val="22"/>
        </w:rPr>
        <w:noBreakHyphen/>
      </w:r>
      <w:r w:rsidRPr="009D783A">
        <w:rPr>
          <w:rFonts w:ascii="Arial" w:hAnsi="Arial"/>
          <w:sz w:val="22"/>
          <w:szCs w:val="22"/>
        </w:rPr>
        <w:t>CSF.</w:t>
      </w:r>
      <w:r>
        <w:rPr>
          <w:rFonts w:ascii="Arial" w:hAnsi="Arial"/>
          <w:sz w:val="22"/>
          <w:szCs w:val="22"/>
        </w:rPr>
        <w:t xml:space="preserve"> </w:t>
      </w:r>
    </w:p>
    <w:p w:rsidR="00E858A2" w:rsidRDefault="00E858A2" w:rsidP="00BB7EC3">
      <w:pPr>
        <w:pStyle w:val="ListParagraph"/>
        <w:ind w:left="709"/>
        <w:jc w:val="both"/>
        <w:rPr>
          <w:rFonts w:ascii="Arial" w:hAnsi="Arial"/>
          <w:i/>
          <w:sz w:val="22"/>
          <w:szCs w:val="22"/>
        </w:rPr>
      </w:pPr>
    </w:p>
    <w:p w:rsidR="00E858A2" w:rsidRPr="00BB7EC3" w:rsidRDefault="00E858A2"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E858A2" w:rsidRDefault="00E858A2" w:rsidP="00882085">
      <w:pPr>
        <w:ind w:left="720" w:hanging="720"/>
        <w:jc w:val="both"/>
        <w:rPr>
          <w:rFonts w:ascii="Arial" w:hAnsi="Arial"/>
          <w:sz w:val="22"/>
          <w:szCs w:val="22"/>
        </w:rPr>
      </w:pPr>
    </w:p>
    <w:p w:rsidR="00E858A2" w:rsidRPr="005963BB" w:rsidRDefault="00E858A2" w:rsidP="00882085">
      <w:pPr>
        <w:ind w:left="720" w:hanging="720"/>
        <w:jc w:val="both"/>
        <w:rPr>
          <w:rFonts w:ascii="Arial" w:hAnsi="Arial"/>
          <w:b/>
          <w:i/>
          <w:sz w:val="22"/>
          <w:szCs w:val="22"/>
        </w:rPr>
      </w:pPr>
      <w:r w:rsidRPr="005963BB">
        <w:rPr>
          <w:rFonts w:ascii="Arial" w:hAnsi="Arial"/>
          <w:b/>
          <w:i/>
          <w:sz w:val="22"/>
          <w:szCs w:val="22"/>
        </w:rPr>
        <w:t xml:space="preserve">Drug cost/patient/course; </w:t>
      </w:r>
      <w:r w:rsidR="00EA555B">
        <w:rPr>
          <w:rFonts w:ascii="Arial" w:hAnsi="Arial"/>
          <w:b/>
          <w:i/>
          <w:noProof/>
          <w:color w:val="000000"/>
          <w:sz w:val="22"/>
          <w:szCs w:val="22"/>
          <w:highlight w:val="black"/>
        </w:rPr>
        <w:t>''''''''''''''''''</w:t>
      </w:r>
    </w:p>
    <w:p w:rsidR="00E858A2" w:rsidRDefault="00E858A2" w:rsidP="00882085">
      <w:pPr>
        <w:ind w:left="720" w:hanging="720"/>
        <w:jc w:val="both"/>
        <w:rPr>
          <w:rFonts w:ascii="Arial" w:hAnsi="Arial"/>
          <w:sz w:val="22"/>
          <w:szCs w:val="22"/>
        </w:rPr>
      </w:pPr>
    </w:p>
    <w:p w:rsidR="00E858A2" w:rsidRPr="00C31753" w:rsidRDefault="00E858A2" w:rsidP="00856262">
      <w:pPr>
        <w:pStyle w:val="ListParagraph"/>
        <w:numPr>
          <w:ilvl w:val="1"/>
          <w:numId w:val="1"/>
        </w:numPr>
        <w:jc w:val="both"/>
        <w:rPr>
          <w:rFonts w:ascii="Arial" w:hAnsi="Arial"/>
          <w:sz w:val="22"/>
          <w:szCs w:val="22"/>
          <w:lang w:eastAsia="en-US"/>
        </w:rPr>
      </w:pPr>
      <w:r w:rsidRPr="00C31753">
        <w:rPr>
          <w:rFonts w:ascii="Arial" w:hAnsi="Arial"/>
          <w:sz w:val="22"/>
          <w:szCs w:val="22"/>
          <w:lang w:eastAsia="en-US"/>
        </w:rPr>
        <w:t xml:space="preserve">The cost </w:t>
      </w:r>
      <w:r w:rsidRPr="00FA2081">
        <w:rPr>
          <w:rFonts w:ascii="Arial" w:hAnsi="Arial"/>
          <w:sz w:val="22"/>
          <w:szCs w:val="22"/>
          <w:lang w:eastAsia="en-US"/>
        </w:rPr>
        <w:t xml:space="preserve">per course of </w:t>
      </w:r>
      <w:proofErr w:type="spellStart"/>
      <w:r w:rsidR="00EF09E1" w:rsidRPr="00330E07">
        <w:rPr>
          <w:rFonts w:ascii="Arial" w:hAnsi="Arial"/>
          <w:sz w:val="22"/>
          <w:szCs w:val="22"/>
        </w:rPr>
        <w:t>brentuximab</w:t>
      </w:r>
      <w:proofErr w:type="spellEnd"/>
      <w:r w:rsidR="00EF09E1" w:rsidRPr="00330E07">
        <w:rPr>
          <w:rFonts w:ascii="Arial" w:hAnsi="Arial"/>
          <w:sz w:val="22"/>
          <w:szCs w:val="22"/>
        </w:rPr>
        <w:t xml:space="preserve"> </w:t>
      </w:r>
      <w:proofErr w:type="spellStart"/>
      <w:r w:rsidR="00EF09E1" w:rsidRPr="00330E07">
        <w:rPr>
          <w:rFonts w:ascii="Arial" w:hAnsi="Arial"/>
          <w:sz w:val="22"/>
          <w:szCs w:val="22"/>
        </w:rPr>
        <w:t>vedotin</w:t>
      </w:r>
      <w:proofErr w:type="spellEnd"/>
      <w:r w:rsidRPr="00FA2081">
        <w:rPr>
          <w:rFonts w:ascii="Arial" w:hAnsi="Arial"/>
          <w:sz w:val="22"/>
          <w:szCs w:val="22"/>
          <w:lang w:eastAsia="en-US"/>
        </w:rPr>
        <w:t xml:space="preserve">, at the price requested by the sponsor, is </w:t>
      </w:r>
      <w:r w:rsidR="00EA555B">
        <w:rPr>
          <w:rFonts w:ascii="Arial" w:hAnsi="Arial"/>
          <w:noProof/>
          <w:color w:val="000000"/>
          <w:sz w:val="22"/>
          <w:szCs w:val="22"/>
          <w:highlight w:val="black"/>
          <w:lang w:eastAsia="en-US"/>
        </w:rPr>
        <w:t>''''''''''''''''''''</w:t>
      </w:r>
      <w:r w:rsidRPr="00FA2081">
        <w:rPr>
          <w:rFonts w:ascii="Arial" w:hAnsi="Arial"/>
          <w:sz w:val="22"/>
          <w:szCs w:val="22"/>
          <w:lang w:eastAsia="en-US"/>
        </w:rPr>
        <w:t>. This</w:t>
      </w:r>
      <w:r w:rsidRPr="00C31753">
        <w:rPr>
          <w:rFonts w:ascii="Arial" w:hAnsi="Arial"/>
          <w:sz w:val="22"/>
          <w:szCs w:val="22"/>
          <w:lang w:eastAsia="en-US"/>
        </w:rPr>
        <w:t xml:space="preserve"> is based on </w:t>
      </w:r>
      <w:proofErr w:type="gramStart"/>
      <w:r w:rsidRPr="00C31753">
        <w:rPr>
          <w:rFonts w:ascii="Arial" w:hAnsi="Arial"/>
          <w:sz w:val="22"/>
          <w:szCs w:val="22"/>
          <w:lang w:eastAsia="en-US"/>
        </w:rPr>
        <w:t>an average</w:t>
      </w:r>
      <w:proofErr w:type="gramEnd"/>
      <w:r w:rsidRPr="00C31753">
        <w:rPr>
          <w:rFonts w:ascii="Arial" w:hAnsi="Arial"/>
          <w:sz w:val="22"/>
          <w:szCs w:val="22"/>
          <w:lang w:eastAsia="en-US"/>
        </w:rPr>
        <w:t xml:space="preserve"> treatment duration of 6.95 cycles (20.9 weeks); Patients are treated once every 3 weeks.  </w:t>
      </w:r>
    </w:p>
    <w:p w:rsidR="00E858A2" w:rsidRPr="00882085" w:rsidRDefault="00E858A2" w:rsidP="00882085">
      <w:pPr>
        <w:ind w:left="720" w:hanging="720"/>
        <w:jc w:val="both"/>
        <w:rPr>
          <w:rFonts w:ascii="Arial" w:hAnsi="Arial"/>
          <w:sz w:val="22"/>
          <w:szCs w:val="22"/>
        </w:rPr>
      </w:pPr>
    </w:p>
    <w:p w:rsidR="00E858A2" w:rsidRPr="00882085" w:rsidRDefault="00E858A2"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E858A2" w:rsidRDefault="00E858A2" w:rsidP="009F6D9F">
      <w:pPr>
        <w:pStyle w:val="ListParagraph"/>
        <w:ind w:left="709"/>
        <w:jc w:val="both"/>
        <w:rPr>
          <w:rFonts w:ascii="Arial" w:hAnsi="Arial"/>
          <w:sz w:val="22"/>
          <w:szCs w:val="22"/>
        </w:rPr>
      </w:pPr>
    </w:p>
    <w:p w:rsidR="00E858A2" w:rsidRPr="00800F42" w:rsidRDefault="00E858A2" w:rsidP="00856262">
      <w:pPr>
        <w:pStyle w:val="ListParagraph"/>
        <w:numPr>
          <w:ilvl w:val="1"/>
          <w:numId w:val="1"/>
        </w:numPr>
        <w:jc w:val="both"/>
        <w:rPr>
          <w:rFonts w:ascii="Arial" w:hAnsi="Arial" w:cs="Arial"/>
          <w:sz w:val="20"/>
          <w:szCs w:val="20"/>
          <w:lang w:eastAsia="en-US"/>
        </w:rPr>
      </w:pPr>
      <w:r>
        <w:rPr>
          <w:rFonts w:ascii="Arial" w:hAnsi="Arial"/>
          <w:sz w:val="22"/>
          <w:szCs w:val="22"/>
          <w:lang w:eastAsia="en-US"/>
        </w:rPr>
        <w:t xml:space="preserve">The utilisation estimates in the pre-PBAC response were largely based on the patient numbers accepted by the March 2014 PBAC, which included an uptake of 90% in all years, a 50% increase in the number of patients in years one and two to account for pent up demand, and incorporation of G-CSF costs (Para 6.32, March 2014 Minutes).  </w:t>
      </w:r>
    </w:p>
    <w:p w:rsidR="00E858A2" w:rsidRPr="00800F42" w:rsidRDefault="00E858A2" w:rsidP="00800F42">
      <w:pPr>
        <w:widowControl w:val="0"/>
        <w:ind w:left="709"/>
        <w:contextualSpacing/>
        <w:jc w:val="both"/>
        <w:rPr>
          <w:rFonts w:ascii="Arial" w:hAnsi="Arial" w:cs="Arial"/>
          <w:sz w:val="20"/>
          <w:szCs w:val="20"/>
          <w:lang w:eastAsia="en-US"/>
        </w:rPr>
      </w:pPr>
    </w:p>
    <w:p w:rsidR="00E858A2" w:rsidRPr="001C66E9" w:rsidRDefault="00E858A2" w:rsidP="00856262">
      <w:pPr>
        <w:pStyle w:val="ListParagraph"/>
        <w:numPr>
          <w:ilvl w:val="1"/>
          <w:numId w:val="1"/>
        </w:numPr>
        <w:jc w:val="both"/>
        <w:rPr>
          <w:rFonts w:ascii="Arial" w:hAnsi="Arial"/>
          <w:sz w:val="22"/>
          <w:szCs w:val="22"/>
          <w:lang w:eastAsia="en-US"/>
        </w:rPr>
      </w:pPr>
      <w:r w:rsidRPr="001C66E9">
        <w:rPr>
          <w:rFonts w:ascii="Arial" w:hAnsi="Arial"/>
          <w:sz w:val="22"/>
          <w:szCs w:val="22"/>
          <w:lang w:eastAsia="en-US"/>
        </w:rPr>
        <w:t xml:space="preserve">The Pre-PBAC response proposed a different distribution of </w:t>
      </w:r>
      <w:proofErr w:type="spellStart"/>
      <w:r w:rsidR="00640BD7">
        <w:rPr>
          <w:rFonts w:ascii="Arial" w:hAnsi="Arial"/>
          <w:sz w:val="22"/>
          <w:szCs w:val="22"/>
        </w:rPr>
        <w:t>brentuximab</w:t>
      </w:r>
      <w:proofErr w:type="spellEnd"/>
      <w:r w:rsidR="00640BD7">
        <w:rPr>
          <w:rFonts w:ascii="Arial" w:hAnsi="Arial"/>
          <w:sz w:val="22"/>
          <w:szCs w:val="22"/>
        </w:rPr>
        <w:t xml:space="preserve"> </w:t>
      </w:r>
      <w:proofErr w:type="spellStart"/>
      <w:r w:rsidR="00640BD7">
        <w:rPr>
          <w:rFonts w:ascii="Arial" w:hAnsi="Arial"/>
          <w:sz w:val="22"/>
          <w:szCs w:val="22"/>
        </w:rPr>
        <w:t>vedotin</w:t>
      </w:r>
      <w:proofErr w:type="spellEnd"/>
      <w:r w:rsidRPr="001C66E9">
        <w:rPr>
          <w:rFonts w:ascii="Arial" w:hAnsi="Arial"/>
          <w:sz w:val="22"/>
          <w:szCs w:val="22"/>
          <w:lang w:eastAsia="en-US"/>
        </w:rPr>
        <w:t xml:space="preserve"> cycles over the five years</w:t>
      </w:r>
      <w:r w:rsidR="001C66E9" w:rsidRPr="001C66E9">
        <w:rPr>
          <w:rFonts w:ascii="Arial" w:hAnsi="Arial"/>
          <w:sz w:val="22"/>
          <w:szCs w:val="22"/>
          <w:lang w:eastAsia="en-US"/>
        </w:rPr>
        <w:t>. One of the reasons for this was</w:t>
      </w:r>
      <w:r w:rsidRPr="001C66E9">
        <w:rPr>
          <w:rFonts w:ascii="Arial" w:hAnsi="Arial"/>
          <w:sz w:val="22"/>
          <w:szCs w:val="22"/>
          <w:lang w:eastAsia="en-US"/>
        </w:rPr>
        <w:t xml:space="preserve"> because</w:t>
      </w:r>
      <w:r w:rsidR="001C66E9">
        <w:rPr>
          <w:rFonts w:ascii="Arial" w:hAnsi="Arial"/>
          <w:sz w:val="22"/>
          <w:szCs w:val="22"/>
          <w:lang w:eastAsia="en-US"/>
        </w:rPr>
        <w:t xml:space="preserve"> </w:t>
      </w:r>
      <w:r w:rsidRPr="001C66E9">
        <w:rPr>
          <w:rFonts w:ascii="Arial" w:hAnsi="Arial"/>
          <w:sz w:val="22"/>
          <w:szCs w:val="22"/>
          <w:lang w:eastAsia="en-US"/>
        </w:rPr>
        <w:t xml:space="preserve">some patients in the ‘pent up’ demand pool may not be treated in the first year or two of listing of </w:t>
      </w:r>
      <w:proofErr w:type="spellStart"/>
      <w:r w:rsidR="00640BD7" w:rsidRPr="00330E07">
        <w:rPr>
          <w:rFonts w:ascii="Arial" w:hAnsi="Arial"/>
          <w:sz w:val="22"/>
          <w:szCs w:val="22"/>
        </w:rPr>
        <w:lastRenderedPageBreak/>
        <w:t>brentuximab</w:t>
      </w:r>
      <w:proofErr w:type="spellEnd"/>
      <w:r w:rsidR="00640BD7" w:rsidRPr="00330E07">
        <w:rPr>
          <w:rFonts w:ascii="Arial" w:hAnsi="Arial"/>
          <w:sz w:val="22"/>
          <w:szCs w:val="22"/>
        </w:rPr>
        <w:t xml:space="preserve"> </w:t>
      </w:r>
      <w:proofErr w:type="spellStart"/>
      <w:r w:rsidR="00640BD7" w:rsidRPr="00330E07">
        <w:rPr>
          <w:rFonts w:ascii="Arial" w:hAnsi="Arial"/>
          <w:sz w:val="22"/>
          <w:szCs w:val="22"/>
        </w:rPr>
        <w:t>vedotin</w:t>
      </w:r>
      <w:proofErr w:type="spellEnd"/>
      <w:r w:rsidRPr="001C66E9">
        <w:rPr>
          <w:rFonts w:ascii="Arial" w:hAnsi="Arial"/>
          <w:sz w:val="22"/>
          <w:szCs w:val="22"/>
          <w:lang w:eastAsia="en-US"/>
        </w:rPr>
        <w:t>, but rather in later years. The PBAC did not consider that this assumption was reasonable given the high clinical need for this drug.</w:t>
      </w:r>
    </w:p>
    <w:p w:rsidR="00E858A2" w:rsidRPr="00285A41" w:rsidRDefault="00E858A2" w:rsidP="001C66E9">
      <w:pPr>
        <w:widowControl w:val="0"/>
        <w:ind w:left="709"/>
        <w:contextualSpacing/>
        <w:jc w:val="both"/>
        <w:rPr>
          <w:rFonts w:ascii="Arial" w:hAnsi="Arial" w:cs="Arial"/>
          <w:sz w:val="20"/>
          <w:szCs w:val="20"/>
          <w:lang w:eastAsia="en-US"/>
        </w:rPr>
      </w:pPr>
    </w:p>
    <w:p w:rsidR="00E858A2" w:rsidRPr="00EA555B" w:rsidRDefault="00EA555B" w:rsidP="00B86B81">
      <w:pPr>
        <w:keepNext/>
        <w:keepLines/>
        <w:ind w:firstLine="720"/>
        <w:jc w:val="both"/>
        <w:rPr>
          <w:rFonts w:ascii="Arial Narrow" w:hAnsi="Arial Narrow"/>
          <w:b/>
          <w:sz w:val="20"/>
          <w:szCs w:val="20"/>
          <w:highlight w:val="black"/>
        </w:rPr>
      </w:pPr>
      <w:r>
        <w:rPr>
          <w:rFonts w:ascii="Arial Narrow" w:hAnsi="Arial Narrow"/>
          <w:b/>
          <w:noProof/>
          <w:color w:val="000000"/>
          <w:sz w:val="20"/>
          <w:szCs w:val="20"/>
          <w:highlight w:val="black"/>
        </w:rPr>
        <w:t>''''''''''''''''''''' ''''''' '''''''' '''''''''''''''' ''''''''''''''''''''''''''</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1"/>
        <w:gridCol w:w="1220"/>
        <w:gridCol w:w="1220"/>
        <w:gridCol w:w="1220"/>
        <w:gridCol w:w="1220"/>
        <w:gridCol w:w="1396"/>
      </w:tblGrid>
      <w:tr w:rsidR="00E858A2" w:rsidRPr="008968E1" w:rsidTr="00B86B81">
        <w:trPr>
          <w:trHeight w:val="238"/>
        </w:trPr>
        <w:tc>
          <w:tcPr>
            <w:tcW w:w="2111" w:type="dxa"/>
          </w:tcPr>
          <w:p w:rsidR="00E858A2" w:rsidRPr="00EA555B" w:rsidRDefault="00E858A2" w:rsidP="001D1842">
            <w:pPr>
              <w:keepNext/>
              <w:keepLines/>
              <w:rPr>
                <w:rFonts w:ascii="Arial Narrow" w:hAnsi="Arial Narrow"/>
                <w:b/>
                <w:sz w:val="20"/>
                <w:szCs w:val="20"/>
              </w:rPr>
            </w:pPr>
          </w:p>
        </w:tc>
        <w:tc>
          <w:tcPr>
            <w:tcW w:w="1220" w:type="dxa"/>
          </w:tcPr>
          <w:p w:rsidR="00E858A2" w:rsidRPr="00EA555B" w:rsidRDefault="00EA555B" w:rsidP="001D1842">
            <w:pPr>
              <w:keepNext/>
              <w:keepLines/>
              <w:rPr>
                <w:rFonts w:ascii="Arial Narrow" w:hAnsi="Arial Narrow" w:cs="Arial"/>
                <w:b/>
                <w:sz w:val="20"/>
                <w:szCs w:val="20"/>
                <w:highlight w:val="black"/>
              </w:rPr>
            </w:pPr>
            <w:r>
              <w:rPr>
                <w:rFonts w:ascii="Arial Narrow" w:hAnsi="Arial Narrow" w:cs="Arial"/>
                <w:b/>
                <w:noProof/>
                <w:color w:val="000000"/>
                <w:sz w:val="20"/>
                <w:szCs w:val="20"/>
                <w:highlight w:val="black"/>
              </w:rPr>
              <w:t>'''''''''' '''</w:t>
            </w:r>
          </w:p>
        </w:tc>
        <w:tc>
          <w:tcPr>
            <w:tcW w:w="1220" w:type="dxa"/>
          </w:tcPr>
          <w:p w:rsidR="00E858A2" w:rsidRPr="00EA555B" w:rsidRDefault="00EA555B" w:rsidP="001D1842">
            <w:pPr>
              <w:keepNext/>
              <w:keepLines/>
              <w:rPr>
                <w:rFonts w:ascii="Arial Narrow" w:hAnsi="Arial Narrow" w:cs="Arial"/>
                <w:b/>
                <w:sz w:val="20"/>
                <w:szCs w:val="20"/>
                <w:highlight w:val="black"/>
              </w:rPr>
            </w:pPr>
            <w:r>
              <w:rPr>
                <w:rFonts w:ascii="Arial Narrow" w:hAnsi="Arial Narrow" w:cs="Arial"/>
                <w:b/>
                <w:noProof/>
                <w:color w:val="000000"/>
                <w:sz w:val="20"/>
                <w:szCs w:val="20"/>
                <w:highlight w:val="black"/>
              </w:rPr>
              <w:t>'''''''''' '''</w:t>
            </w:r>
          </w:p>
        </w:tc>
        <w:tc>
          <w:tcPr>
            <w:tcW w:w="1220" w:type="dxa"/>
          </w:tcPr>
          <w:p w:rsidR="00E858A2" w:rsidRPr="00EA555B" w:rsidRDefault="00EA555B" w:rsidP="001D1842">
            <w:pPr>
              <w:keepNext/>
              <w:keepLines/>
              <w:rPr>
                <w:rFonts w:ascii="Arial Narrow" w:hAnsi="Arial Narrow" w:cs="Arial"/>
                <w:b/>
                <w:sz w:val="20"/>
                <w:szCs w:val="20"/>
                <w:highlight w:val="black"/>
              </w:rPr>
            </w:pPr>
            <w:r>
              <w:rPr>
                <w:rFonts w:ascii="Arial Narrow" w:hAnsi="Arial Narrow" w:cs="Arial"/>
                <w:b/>
                <w:noProof/>
                <w:color w:val="000000"/>
                <w:sz w:val="20"/>
                <w:szCs w:val="20"/>
                <w:highlight w:val="black"/>
              </w:rPr>
              <w:t>''''''''' '''</w:t>
            </w:r>
          </w:p>
        </w:tc>
        <w:tc>
          <w:tcPr>
            <w:tcW w:w="1220" w:type="dxa"/>
          </w:tcPr>
          <w:p w:rsidR="00E858A2" w:rsidRPr="00EA555B" w:rsidRDefault="00EA555B" w:rsidP="001D1842">
            <w:pPr>
              <w:keepNext/>
              <w:keepLines/>
              <w:rPr>
                <w:rFonts w:ascii="Arial Narrow" w:hAnsi="Arial Narrow" w:cs="Arial"/>
                <w:b/>
                <w:sz w:val="20"/>
                <w:szCs w:val="20"/>
                <w:highlight w:val="black"/>
              </w:rPr>
            </w:pPr>
            <w:r>
              <w:rPr>
                <w:rFonts w:ascii="Arial Narrow" w:hAnsi="Arial Narrow" w:cs="Arial"/>
                <w:b/>
                <w:noProof/>
                <w:color w:val="000000"/>
                <w:sz w:val="20"/>
                <w:szCs w:val="20"/>
                <w:highlight w:val="black"/>
              </w:rPr>
              <w:t>''''''''' '''</w:t>
            </w:r>
          </w:p>
        </w:tc>
        <w:tc>
          <w:tcPr>
            <w:tcW w:w="1396" w:type="dxa"/>
          </w:tcPr>
          <w:p w:rsidR="00E858A2" w:rsidRPr="00EA555B" w:rsidRDefault="00EA555B" w:rsidP="001D1842">
            <w:pPr>
              <w:keepNext/>
              <w:keepLines/>
              <w:rPr>
                <w:rFonts w:ascii="Arial Narrow" w:hAnsi="Arial Narrow" w:cs="Arial"/>
                <w:b/>
                <w:sz w:val="20"/>
                <w:szCs w:val="20"/>
                <w:highlight w:val="black"/>
              </w:rPr>
            </w:pPr>
            <w:r>
              <w:rPr>
                <w:rFonts w:ascii="Arial Narrow" w:hAnsi="Arial Narrow" w:cs="Arial"/>
                <w:b/>
                <w:noProof/>
                <w:color w:val="000000"/>
                <w:sz w:val="20"/>
                <w:szCs w:val="20"/>
                <w:highlight w:val="black"/>
              </w:rPr>
              <w:t>''''''''' '''</w:t>
            </w:r>
          </w:p>
        </w:tc>
      </w:tr>
      <w:tr w:rsidR="00E858A2" w:rsidRPr="008968E1" w:rsidTr="00B86B81">
        <w:trPr>
          <w:trHeight w:val="219"/>
        </w:trPr>
        <w:tc>
          <w:tcPr>
            <w:tcW w:w="8387" w:type="dxa"/>
            <w:gridSpan w:val="6"/>
          </w:tcPr>
          <w:p w:rsidR="00E858A2" w:rsidRPr="00EA555B" w:rsidRDefault="00EA555B" w:rsidP="001D1842">
            <w:pPr>
              <w:keepNext/>
              <w:keepLines/>
              <w:rPr>
                <w:rFonts w:ascii="Arial Narrow" w:hAnsi="Arial Narrow"/>
                <w:b/>
                <w:sz w:val="20"/>
                <w:szCs w:val="20"/>
                <w:highlight w:val="black"/>
              </w:rPr>
            </w:pPr>
            <w:r>
              <w:rPr>
                <w:rFonts w:ascii="Arial Narrow" w:hAnsi="Arial Narrow"/>
                <w:b/>
                <w:noProof/>
                <w:color w:val="000000"/>
                <w:sz w:val="20"/>
                <w:szCs w:val="20"/>
                <w:highlight w:val="black"/>
              </w:rPr>
              <w:t xml:space="preserve">'''''''''''''''''''''' '''''''''''' '''' '''''''' ''' ''''''' '''''''''''' ''''''''' ''''''''''''' </w:t>
            </w:r>
          </w:p>
        </w:tc>
      </w:tr>
      <w:tr w:rsidR="00E858A2" w:rsidRPr="008968E1" w:rsidTr="00B86B81">
        <w:trPr>
          <w:trHeight w:val="238"/>
        </w:trPr>
        <w:tc>
          <w:tcPr>
            <w:tcW w:w="2111"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 ''''''''' '''''''''''''''</w:t>
            </w:r>
          </w:p>
        </w:tc>
        <w:tc>
          <w:tcPr>
            <w:tcW w:w="1220"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220"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220"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220"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396"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r>
      <w:tr w:rsidR="00E858A2" w:rsidRPr="008968E1" w:rsidTr="00B86B81">
        <w:trPr>
          <w:trHeight w:val="479"/>
        </w:trPr>
        <w:tc>
          <w:tcPr>
            <w:tcW w:w="2111"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 '''''''''''''''''' ''''''''''</w:t>
            </w:r>
          </w:p>
        </w:tc>
        <w:tc>
          <w:tcPr>
            <w:tcW w:w="1220"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220"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220"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220"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396"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r>
      <w:tr w:rsidR="00E858A2" w:rsidRPr="008968E1" w:rsidTr="00B86B81">
        <w:trPr>
          <w:trHeight w:val="475"/>
        </w:trPr>
        <w:tc>
          <w:tcPr>
            <w:tcW w:w="2111"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 ''''''''''''''''' '''''''' '''''''' '''''''''''''''''''' ''''''''''''''''''</w:t>
            </w:r>
          </w:p>
        </w:tc>
        <w:tc>
          <w:tcPr>
            <w:tcW w:w="1220" w:type="dxa"/>
          </w:tcPr>
          <w:p w:rsidR="00E858A2" w:rsidRPr="00EA555B" w:rsidRDefault="00EA555B" w:rsidP="001D1842">
            <w:pPr>
              <w:keepNext/>
              <w:keepLines/>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c>
          <w:tcPr>
            <w:tcW w:w="1220" w:type="dxa"/>
          </w:tcPr>
          <w:p w:rsidR="00E858A2" w:rsidRPr="00EA555B" w:rsidRDefault="00EA555B" w:rsidP="001D1842">
            <w:pPr>
              <w:keepNext/>
              <w:keepLines/>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c>
          <w:tcPr>
            <w:tcW w:w="1220"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220"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396"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r>
      <w:tr w:rsidR="00E858A2" w:rsidRPr="008968E1" w:rsidTr="00B86B81">
        <w:trPr>
          <w:trHeight w:val="219"/>
        </w:trPr>
        <w:tc>
          <w:tcPr>
            <w:tcW w:w="8387" w:type="dxa"/>
            <w:gridSpan w:val="6"/>
          </w:tcPr>
          <w:p w:rsidR="00E858A2" w:rsidRPr="00EA555B" w:rsidRDefault="00EA555B" w:rsidP="001D1842">
            <w:pPr>
              <w:keepNext/>
              <w:keepLines/>
              <w:rPr>
                <w:rFonts w:ascii="Arial Narrow" w:hAnsi="Arial Narrow"/>
                <w:b/>
                <w:sz w:val="20"/>
                <w:szCs w:val="20"/>
                <w:highlight w:val="black"/>
              </w:rPr>
            </w:pPr>
            <w:r>
              <w:rPr>
                <w:rFonts w:ascii="Arial Narrow" w:hAnsi="Arial Narrow"/>
                <w:b/>
                <w:noProof/>
                <w:color w:val="000000"/>
                <w:sz w:val="20"/>
                <w:szCs w:val="20"/>
                <w:highlight w:val="black"/>
              </w:rPr>
              <w:t xml:space="preserve">''''''''''''''''''''' ''''''' '''''''''' '''''' ''''''' ''' '''' '''''''''' ''''''''''''''''''' '''' ''''''''''''''''''''''' </w:t>
            </w:r>
          </w:p>
        </w:tc>
      </w:tr>
      <w:tr w:rsidR="00E858A2" w:rsidRPr="008968E1" w:rsidTr="00B86B81">
        <w:trPr>
          <w:trHeight w:val="238"/>
        </w:trPr>
        <w:tc>
          <w:tcPr>
            <w:tcW w:w="2111" w:type="dxa"/>
          </w:tcPr>
          <w:p w:rsidR="00E858A2" w:rsidRPr="00EA555B" w:rsidRDefault="00EA555B" w:rsidP="001D1842">
            <w:pPr>
              <w:keepNext/>
              <w:keepLines/>
              <w:rPr>
                <w:rFonts w:ascii="Arial Narrow" w:hAnsi="Arial Narrow"/>
                <w:sz w:val="20"/>
                <w:szCs w:val="20"/>
                <w:highlight w:val="black"/>
              </w:rPr>
            </w:pPr>
            <w:r>
              <w:rPr>
                <w:rFonts w:ascii="Arial Narrow" w:hAnsi="Arial Narrow"/>
                <w:noProof/>
                <w:color w:val="000000"/>
                <w:sz w:val="20"/>
                <w:szCs w:val="20"/>
                <w:highlight w:val="black"/>
              </w:rPr>
              <w:t>''''''''''' ''''''''''</w:t>
            </w:r>
          </w:p>
        </w:tc>
        <w:tc>
          <w:tcPr>
            <w:tcW w:w="1220" w:type="dxa"/>
            <w:vAlign w:val="bottom"/>
          </w:tcPr>
          <w:p w:rsidR="00E858A2" w:rsidRPr="00EA555B" w:rsidRDefault="00EA555B" w:rsidP="001D1842">
            <w:pPr>
              <w:keepNext/>
              <w:keepLines/>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396"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E858A2" w:rsidRPr="008968E1" w:rsidTr="00B86B81">
        <w:trPr>
          <w:trHeight w:val="219"/>
        </w:trPr>
        <w:tc>
          <w:tcPr>
            <w:tcW w:w="2111" w:type="dxa"/>
          </w:tcPr>
          <w:p w:rsidR="00E858A2" w:rsidRPr="00EA555B" w:rsidRDefault="00EA555B" w:rsidP="001D1842">
            <w:pPr>
              <w:keepNext/>
              <w:keepLines/>
              <w:rPr>
                <w:rFonts w:ascii="Arial Narrow" w:hAnsi="Arial Narrow"/>
                <w:sz w:val="20"/>
                <w:szCs w:val="20"/>
                <w:highlight w:val="black"/>
                <w:vertAlign w:val="superscript"/>
              </w:rPr>
            </w:pPr>
            <w:r>
              <w:rPr>
                <w:rFonts w:ascii="Arial Narrow" w:hAnsi="Arial Narrow"/>
                <w:noProof/>
                <w:color w:val="000000"/>
                <w:sz w:val="20"/>
                <w:szCs w:val="20"/>
                <w:highlight w:val="black"/>
              </w:rPr>
              <w:t>''''''''''''''' ''''''''''''''''''''''''''''</w:t>
            </w:r>
          </w:p>
        </w:tc>
        <w:tc>
          <w:tcPr>
            <w:tcW w:w="1220" w:type="dxa"/>
            <w:vAlign w:val="bottom"/>
          </w:tcPr>
          <w:p w:rsidR="00E858A2" w:rsidRPr="00EA555B" w:rsidRDefault="00EA555B" w:rsidP="001D1842">
            <w:pPr>
              <w:keepNext/>
              <w:keepLines/>
              <w:jc w:val="right"/>
              <w:rPr>
                <w:rFonts w:ascii="Arial Narrow" w:hAnsi="Arial Narrow" w:cs="Arial"/>
                <w:sz w:val="20"/>
                <w:szCs w:val="20"/>
                <w:highlight w:val="black"/>
                <w:vertAlign w:val="superscript"/>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396"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E858A2" w:rsidRPr="008968E1" w:rsidTr="00B86B81">
        <w:trPr>
          <w:trHeight w:val="238"/>
        </w:trPr>
        <w:tc>
          <w:tcPr>
            <w:tcW w:w="2111" w:type="dxa"/>
          </w:tcPr>
          <w:p w:rsidR="00E858A2" w:rsidRPr="00EA555B" w:rsidRDefault="00EA555B" w:rsidP="001D1842">
            <w:pPr>
              <w:keepNext/>
              <w:keepLines/>
              <w:rPr>
                <w:rFonts w:ascii="Arial Narrow" w:hAnsi="Arial Narrow"/>
                <w:sz w:val="20"/>
                <w:szCs w:val="20"/>
                <w:highlight w:val="black"/>
                <w:vertAlign w:val="superscript"/>
              </w:rPr>
            </w:pPr>
            <w:r>
              <w:rPr>
                <w:rFonts w:ascii="Arial Narrow" w:hAnsi="Arial Narrow"/>
                <w:noProof/>
                <w:color w:val="000000"/>
                <w:sz w:val="20"/>
                <w:szCs w:val="20"/>
                <w:highlight w:val="black"/>
              </w:rPr>
              <w:t>''''''''''''' ''''''''''' '''' '''''''''''</w:t>
            </w:r>
          </w:p>
        </w:tc>
        <w:tc>
          <w:tcPr>
            <w:tcW w:w="1220" w:type="dxa"/>
            <w:vAlign w:val="bottom"/>
          </w:tcPr>
          <w:p w:rsidR="00E858A2" w:rsidRPr="00EA555B" w:rsidRDefault="00EA555B" w:rsidP="001D1842">
            <w:pPr>
              <w:keepNext/>
              <w:keepLines/>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396" w:type="dxa"/>
            <w:vAlign w:val="bottom"/>
          </w:tcPr>
          <w:p w:rsidR="00E858A2" w:rsidRPr="00EA555B" w:rsidRDefault="00EA555B" w:rsidP="001D1842">
            <w:pPr>
              <w:keepNext/>
              <w:keepLines/>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E858A2" w:rsidRPr="008968E1" w:rsidTr="00B86B81">
        <w:trPr>
          <w:trHeight w:val="219"/>
        </w:trPr>
        <w:tc>
          <w:tcPr>
            <w:tcW w:w="8387" w:type="dxa"/>
            <w:gridSpan w:val="6"/>
          </w:tcPr>
          <w:p w:rsidR="00E858A2" w:rsidRPr="00EA555B" w:rsidRDefault="00EA555B" w:rsidP="001D1842">
            <w:pPr>
              <w:keepNext/>
              <w:keepLines/>
              <w:rPr>
                <w:rFonts w:ascii="Arial Narrow" w:hAnsi="Arial Narrow"/>
                <w:b/>
                <w:sz w:val="20"/>
                <w:szCs w:val="20"/>
                <w:highlight w:val="black"/>
              </w:rPr>
            </w:pPr>
            <w:r>
              <w:rPr>
                <w:rFonts w:ascii="Arial Narrow" w:hAnsi="Arial Narrow"/>
                <w:b/>
                <w:noProof/>
                <w:color w:val="000000"/>
                <w:sz w:val="20"/>
                <w:szCs w:val="20"/>
                <w:highlight w:val="black"/>
              </w:rPr>
              <w:t>'''''''''''' '''''''''' '''' '''''''''</w:t>
            </w:r>
          </w:p>
        </w:tc>
      </w:tr>
      <w:tr w:rsidR="00E858A2" w:rsidRPr="008968E1" w:rsidTr="00B86B81">
        <w:trPr>
          <w:trHeight w:val="457"/>
        </w:trPr>
        <w:tc>
          <w:tcPr>
            <w:tcW w:w="2111" w:type="dxa"/>
          </w:tcPr>
          <w:p w:rsidR="00E858A2" w:rsidRPr="00EA555B" w:rsidRDefault="00EA555B" w:rsidP="001D1842">
            <w:pPr>
              <w:keepNext/>
              <w:keepLines/>
              <w:rPr>
                <w:rFonts w:ascii="Arial Narrow" w:hAnsi="Arial Narrow"/>
                <w:sz w:val="20"/>
                <w:szCs w:val="20"/>
                <w:highlight w:val="black"/>
                <w:vertAlign w:val="superscript"/>
              </w:rPr>
            </w:pPr>
            <w:r>
              <w:rPr>
                <w:rFonts w:ascii="Arial Narrow" w:hAnsi="Arial Narrow"/>
                <w:noProof/>
                <w:color w:val="000000"/>
                <w:sz w:val="20"/>
                <w:szCs w:val="20"/>
                <w:highlight w:val="black"/>
              </w:rPr>
              <w:t>''''''''''''''' '''''''''''''' '''' '''''''''''''''' ''''''' '''''''''''' ''''''''''''''''</w:t>
            </w:r>
          </w:p>
        </w:tc>
        <w:tc>
          <w:tcPr>
            <w:tcW w:w="1220" w:type="dxa"/>
            <w:vAlign w:val="bottom"/>
          </w:tcPr>
          <w:p w:rsidR="00E858A2" w:rsidRPr="00EA555B" w:rsidRDefault="00EA555B" w:rsidP="001D1842">
            <w:pPr>
              <w:keepNext/>
              <w:keepLines/>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1220" w:type="dxa"/>
            <w:vAlign w:val="bottom"/>
          </w:tcPr>
          <w:p w:rsidR="00E858A2" w:rsidRPr="00EA555B" w:rsidRDefault="00EA555B" w:rsidP="001D1842">
            <w:pPr>
              <w:keepNext/>
              <w:keepLines/>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1396" w:type="dxa"/>
            <w:vAlign w:val="bottom"/>
          </w:tcPr>
          <w:p w:rsidR="00E858A2" w:rsidRPr="00EA555B" w:rsidRDefault="00EA555B" w:rsidP="001D1842">
            <w:pPr>
              <w:keepNext/>
              <w:keepLines/>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r>
      <w:tr w:rsidR="00E858A2" w:rsidRPr="008968E1" w:rsidTr="00B86B81">
        <w:trPr>
          <w:trHeight w:val="238"/>
        </w:trPr>
        <w:tc>
          <w:tcPr>
            <w:tcW w:w="8387" w:type="dxa"/>
            <w:gridSpan w:val="6"/>
          </w:tcPr>
          <w:p w:rsidR="00E858A2" w:rsidRPr="00EA555B" w:rsidRDefault="00EA555B" w:rsidP="001D1842">
            <w:pPr>
              <w:keepNext/>
              <w:keepLines/>
              <w:rPr>
                <w:rFonts w:ascii="Arial Narrow" w:hAnsi="Arial Narrow" w:cs="Arial"/>
                <w:sz w:val="20"/>
                <w:szCs w:val="20"/>
                <w:highlight w:val="black"/>
              </w:rPr>
            </w:pPr>
            <w:r>
              <w:rPr>
                <w:rFonts w:ascii="Arial Narrow" w:hAnsi="Arial Narrow"/>
                <w:b/>
                <w:noProof/>
                <w:color w:val="000000"/>
                <w:sz w:val="20"/>
                <w:szCs w:val="20"/>
                <w:highlight w:val="black"/>
              </w:rPr>
              <w:t>''''''''' ''''''''''''''' '''' ''''''''</w:t>
            </w:r>
          </w:p>
        </w:tc>
      </w:tr>
      <w:tr w:rsidR="00E858A2" w:rsidRPr="008968E1" w:rsidTr="00B86B81">
        <w:trPr>
          <w:trHeight w:val="219"/>
        </w:trPr>
        <w:tc>
          <w:tcPr>
            <w:tcW w:w="2111" w:type="dxa"/>
          </w:tcPr>
          <w:p w:rsidR="00E858A2" w:rsidRPr="00EA555B" w:rsidRDefault="00EA555B" w:rsidP="001D1842">
            <w:pPr>
              <w:keepNext/>
              <w:keepLines/>
              <w:rPr>
                <w:rFonts w:ascii="Arial Narrow" w:hAnsi="Arial Narrow"/>
                <w:sz w:val="20"/>
                <w:szCs w:val="20"/>
                <w:highlight w:val="black"/>
                <w:vertAlign w:val="superscript"/>
              </w:rPr>
            </w:pPr>
            <w:r>
              <w:rPr>
                <w:rFonts w:ascii="Arial Narrow" w:hAnsi="Arial Narrow"/>
                <w:noProof/>
                <w:color w:val="000000"/>
                <w:sz w:val="20"/>
                <w:szCs w:val="20"/>
                <w:highlight w:val="black"/>
              </w:rPr>
              <w:t>'''''''''''''''''' '''''''''''''''''''''''''''''''''''''''</w:t>
            </w:r>
          </w:p>
        </w:tc>
        <w:tc>
          <w:tcPr>
            <w:tcW w:w="1220" w:type="dxa"/>
            <w:vAlign w:val="bottom"/>
          </w:tcPr>
          <w:p w:rsidR="00E858A2" w:rsidRPr="00EA555B" w:rsidRDefault="00EA555B" w:rsidP="001D1842">
            <w:pPr>
              <w:keepNext/>
              <w:keepLines/>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20" w:type="dxa"/>
            <w:vAlign w:val="bottom"/>
          </w:tcPr>
          <w:p w:rsidR="00E858A2" w:rsidRPr="00EA555B" w:rsidRDefault="00EA555B" w:rsidP="001D1842">
            <w:pPr>
              <w:keepNext/>
              <w:keepLines/>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396" w:type="dxa"/>
            <w:vAlign w:val="bottom"/>
          </w:tcPr>
          <w:p w:rsidR="00E858A2" w:rsidRPr="00EA555B" w:rsidRDefault="00EA555B" w:rsidP="001D1842">
            <w:pPr>
              <w:keepNext/>
              <w:keepLines/>
              <w:jc w:val="right"/>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E858A2" w:rsidRPr="008968E1" w:rsidTr="00B86B81">
        <w:trPr>
          <w:trHeight w:val="238"/>
        </w:trPr>
        <w:tc>
          <w:tcPr>
            <w:tcW w:w="8387" w:type="dxa"/>
            <w:gridSpan w:val="6"/>
          </w:tcPr>
          <w:p w:rsidR="00E858A2" w:rsidRPr="00EA555B" w:rsidRDefault="00EA555B" w:rsidP="001D1842">
            <w:pPr>
              <w:keepNext/>
              <w:keepLines/>
              <w:rPr>
                <w:rFonts w:ascii="Arial Narrow" w:hAnsi="Arial Narrow" w:cs="Arial"/>
                <w:b/>
                <w:bCs/>
                <w:sz w:val="20"/>
                <w:szCs w:val="20"/>
                <w:highlight w:val="black"/>
              </w:rPr>
            </w:pPr>
            <w:r>
              <w:rPr>
                <w:rFonts w:ascii="Arial Narrow" w:hAnsi="Arial Narrow"/>
                <w:b/>
                <w:noProof/>
                <w:color w:val="000000"/>
                <w:sz w:val="20"/>
                <w:szCs w:val="20"/>
                <w:highlight w:val="black"/>
              </w:rPr>
              <w:t>''''''''''''''''''' '''''' ''''''''' ''''' '''''''''' '' '''' '''''''''' ''''''''''''''''''''' '''' ''''''''''''''''''''''''</w:t>
            </w:r>
          </w:p>
        </w:tc>
      </w:tr>
      <w:tr w:rsidR="00E858A2" w:rsidRPr="008968E1" w:rsidTr="00B86B81">
        <w:trPr>
          <w:trHeight w:val="238"/>
        </w:trPr>
        <w:tc>
          <w:tcPr>
            <w:tcW w:w="2111" w:type="dxa"/>
          </w:tcPr>
          <w:p w:rsidR="00E858A2" w:rsidRPr="00EA555B" w:rsidRDefault="00EA555B" w:rsidP="001D1842">
            <w:pPr>
              <w:keepNext/>
              <w:keepLines/>
              <w:rPr>
                <w:rFonts w:ascii="Arial Narrow" w:hAnsi="Arial Narrow"/>
                <w:b/>
                <w:sz w:val="20"/>
                <w:szCs w:val="20"/>
                <w:highlight w:val="black"/>
              </w:rPr>
            </w:pPr>
            <w:r>
              <w:rPr>
                <w:rFonts w:ascii="Arial Narrow" w:hAnsi="Arial Narrow"/>
                <w:b/>
                <w:noProof/>
                <w:color w:val="000000"/>
                <w:sz w:val="20"/>
                <w:szCs w:val="20"/>
                <w:highlight w:val="black"/>
              </w:rPr>
              <w:t>''''''' '''''''''' ''''' '''''''''</w:t>
            </w:r>
          </w:p>
        </w:tc>
        <w:tc>
          <w:tcPr>
            <w:tcW w:w="1220" w:type="dxa"/>
            <w:vAlign w:val="bottom"/>
          </w:tcPr>
          <w:p w:rsidR="00E858A2" w:rsidRPr="00EA555B" w:rsidRDefault="00EA555B" w:rsidP="001D1842">
            <w:pPr>
              <w:keepNext/>
              <w:keepLines/>
              <w:jc w:val="right"/>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c>
          <w:tcPr>
            <w:tcW w:w="1220" w:type="dxa"/>
            <w:vAlign w:val="bottom"/>
          </w:tcPr>
          <w:p w:rsidR="00E858A2" w:rsidRPr="00EA555B" w:rsidRDefault="00EA555B" w:rsidP="001D1842">
            <w:pPr>
              <w:jc w:val="right"/>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c>
          <w:tcPr>
            <w:tcW w:w="1396" w:type="dxa"/>
            <w:vAlign w:val="bottom"/>
          </w:tcPr>
          <w:p w:rsidR="00E858A2" w:rsidRPr="00EA555B" w:rsidRDefault="00EA555B" w:rsidP="001D1842">
            <w:pPr>
              <w:keepNext/>
              <w:keepLines/>
              <w:jc w:val="right"/>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r>
    </w:tbl>
    <w:p w:rsidR="00E858A2" w:rsidRPr="00EA555B" w:rsidRDefault="00EA555B" w:rsidP="00B86B81">
      <w:pPr>
        <w:keepNext/>
        <w:keepLines/>
        <w:ind w:left="720"/>
        <w:rPr>
          <w:rFonts w:ascii="Arial Narrow" w:hAnsi="Arial Narrow"/>
          <w:sz w:val="20"/>
          <w:szCs w:val="20"/>
          <w:highlight w:val="black"/>
        </w:rPr>
      </w:pPr>
      <w:r>
        <w:rPr>
          <w:rFonts w:ascii="Arial Narrow" w:hAnsi="Arial Narrow"/>
          <w:noProof/>
          <w:color w:val="000000"/>
          <w:sz w:val="20"/>
          <w:szCs w:val="20"/>
          <w:highlight w:val="black"/>
          <w:vertAlign w:val="superscript"/>
        </w:rPr>
        <w:t>''' ''''''''''''''''''''''' ''''''' '''''''''' '''''''''''''''''' ''''' '''''''' '''''''''''''''' '''' '''''''''''''''''' '''' '''''''''''''' ''' ' '''' '''' ''''''''''''''''' '''''' '''''''''''' '''''' ''''''''''''''''''' ''''''''''' '''''''''''''''' '''''''''''' ''''''''''''''''''''</w:t>
      </w:r>
    </w:p>
    <w:p w:rsidR="00E858A2" w:rsidRPr="00EA555B" w:rsidRDefault="00EA555B" w:rsidP="00B86B81">
      <w:pPr>
        <w:keepNext/>
        <w:keepLines/>
        <w:ind w:left="720"/>
        <w:rPr>
          <w:rFonts w:ascii="Arial Narrow" w:hAnsi="Arial Narrow"/>
          <w:i/>
          <w:sz w:val="20"/>
          <w:szCs w:val="20"/>
          <w:highlight w:val="black"/>
        </w:rPr>
      </w:pPr>
      <w:r>
        <w:rPr>
          <w:rFonts w:ascii="Arial Narrow" w:hAnsi="Arial Narrow"/>
          <w:i/>
          <w:noProof/>
          <w:color w:val="000000"/>
          <w:sz w:val="20"/>
          <w:szCs w:val="20"/>
          <w:highlight w:val="black"/>
          <w:vertAlign w:val="superscript"/>
        </w:rPr>
        <w:t>'''''''''''''''''''' '''''' ''''''''''''''''''' '''''''''''''''''''''''''''''''''''' '''''''''''' '''''''''''' ''''''''''''''''''''' '''''''''' '''''''''''''''''''''' ''''' '''''''''''''''' ''''''' ''''''''' ''''''''''' '''' ''''''''''''''''''''''''''''' '''''''''''''''''''' '''''''' '''''''''''''''' ''''''''''''' ''''''''''''''''''''''''''''''' '''''''''''''''''''''''''''''''''''''''</w:t>
      </w:r>
    </w:p>
    <w:p w:rsidR="00E858A2" w:rsidRPr="00EA555B" w:rsidRDefault="00EA555B" w:rsidP="00B86B81">
      <w:pPr>
        <w:keepNext/>
        <w:keepLines/>
        <w:ind w:firstLine="720"/>
        <w:rPr>
          <w:rFonts w:ascii="Arial Narrow" w:hAnsi="Arial Narrow"/>
          <w:i/>
          <w:sz w:val="20"/>
          <w:szCs w:val="20"/>
          <w:highlight w:val="black"/>
        </w:rPr>
      </w:pPr>
      <w:r>
        <w:rPr>
          <w:rFonts w:ascii="Arial Narrow" w:hAnsi="Arial Narrow"/>
          <w:i/>
          <w:noProof/>
          <w:color w:val="000000"/>
          <w:sz w:val="20"/>
          <w:szCs w:val="20"/>
          <w:highlight w:val="black"/>
          <w:vertAlign w:val="superscript"/>
        </w:rPr>
        <w:t>'''''''''''''''''''''''''' ''''' '''''''''''''''''''' ''''''' '''''''''''''''''' '''' '''' ''''''''''''''''''''''''''''''' '''''''' '''''''''''''''' ''''''''''' '''' '''''''''''''' ''''''''''' ''''''''''''''''''''''''''''''' ''''''''''''''''''''''''''''</w:t>
      </w:r>
    </w:p>
    <w:p w:rsidR="00E858A2" w:rsidRPr="00EA555B" w:rsidRDefault="00EA555B" w:rsidP="00B86B81">
      <w:pPr>
        <w:keepNext/>
        <w:keepLines/>
        <w:ind w:firstLine="720"/>
        <w:rPr>
          <w:rFonts w:ascii="Arial Narrow" w:hAnsi="Arial Narrow"/>
          <w:i/>
          <w:sz w:val="20"/>
          <w:szCs w:val="20"/>
          <w:highlight w:val="black"/>
        </w:rPr>
      </w:pPr>
      <w:r>
        <w:rPr>
          <w:rFonts w:ascii="Arial Narrow" w:hAnsi="Arial Narrow"/>
          <w:i/>
          <w:noProof/>
          <w:color w:val="000000"/>
          <w:sz w:val="20"/>
          <w:szCs w:val="20"/>
          <w:highlight w:val="black"/>
          <w:vertAlign w:val="superscript"/>
        </w:rPr>
        <w:t xml:space="preserve">''''''''''''''''''' ''''''''''' '''''''''' '''''''''''''''''''''''''' '''''''' ''''''' '''''''''''''''''''' ''''' '''''''' ''''''''''''''''''' ''''''''' '''''''''''' ''''' '''''''''''' </w:t>
      </w:r>
    </w:p>
    <w:p w:rsidR="00E858A2" w:rsidRDefault="00B86B81" w:rsidP="00AF6EB2">
      <w:pPr>
        <w:pStyle w:val="ListParagraph"/>
        <w:keepNext/>
        <w:keepLines/>
        <w:ind w:left="360"/>
      </w:pPr>
      <w:r>
        <w:tab/>
      </w:r>
    </w:p>
    <w:p w:rsidR="00E858A2" w:rsidRDefault="00E858A2" w:rsidP="00856262">
      <w:pPr>
        <w:pStyle w:val="ListParagraph"/>
        <w:numPr>
          <w:ilvl w:val="1"/>
          <w:numId w:val="1"/>
        </w:numPr>
        <w:jc w:val="both"/>
        <w:rPr>
          <w:rFonts w:ascii="Arial" w:hAnsi="Arial"/>
          <w:sz w:val="22"/>
          <w:szCs w:val="22"/>
        </w:rPr>
      </w:pPr>
      <w:r>
        <w:rPr>
          <w:rFonts w:ascii="Arial" w:hAnsi="Arial"/>
          <w:sz w:val="22"/>
          <w:szCs w:val="22"/>
        </w:rPr>
        <w:t xml:space="preserve">The Pre-PBAC response proposed a Risk Share Arrangement (RSA) with a series of tiered caps, using sequential discounts for excess vials above set caps, up to a final cap. It also proposed that if the final cap were to be exceeded and data showed that 90% or more of patients met the PBS eligibility criteria, the sponsor would ask the PBAC to reconsider its recommendation that the price of </w:t>
      </w:r>
      <w:proofErr w:type="spellStart"/>
      <w:r w:rsidR="00640BD7" w:rsidRPr="00330E07">
        <w:rPr>
          <w:rFonts w:ascii="Arial" w:hAnsi="Arial"/>
          <w:sz w:val="22"/>
          <w:szCs w:val="22"/>
        </w:rPr>
        <w:t>brentuximab</w:t>
      </w:r>
      <w:proofErr w:type="spellEnd"/>
      <w:r w:rsidR="00640BD7" w:rsidRPr="00330E07">
        <w:rPr>
          <w:rFonts w:ascii="Arial" w:hAnsi="Arial"/>
          <w:sz w:val="22"/>
          <w:szCs w:val="22"/>
        </w:rPr>
        <w:t xml:space="preserve"> </w:t>
      </w:r>
      <w:proofErr w:type="spellStart"/>
      <w:r w:rsidR="00640BD7" w:rsidRPr="00330E07">
        <w:rPr>
          <w:rFonts w:ascii="Arial" w:hAnsi="Arial"/>
          <w:sz w:val="22"/>
          <w:szCs w:val="22"/>
        </w:rPr>
        <w:t>vedotin</w:t>
      </w:r>
      <w:proofErr w:type="spellEnd"/>
      <w:r w:rsidR="00640BD7" w:rsidRPr="00330E07">
        <w:rPr>
          <w:rFonts w:ascii="Arial" w:hAnsi="Arial"/>
          <w:sz w:val="22"/>
          <w:szCs w:val="22"/>
        </w:rPr>
        <w:t xml:space="preserve"> </w:t>
      </w:r>
      <w:r>
        <w:rPr>
          <w:rFonts w:ascii="Arial" w:hAnsi="Arial"/>
          <w:sz w:val="22"/>
          <w:szCs w:val="22"/>
        </w:rPr>
        <w:t xml:space="preserve">revert to the price of chemotherapy (ICE). </w:t>
      </w:r>
    </w:p>
    <w:p w:rsidR="00E858A2" w:rsidRDefault="00E858A2" w:rsidP="00800F42">
      <w:pPr>
        <w:pStyle w:val="ListParagraph"/>
        <w:rPr>
          <w:rFonts w:ascii="Arial" w:hAnsi="Arial"/>
          <w:sz w:val="22"/>
          <w:szCs w:val="22"/>
        </w:rPr>
      </w:pPr>
    </w:p>
    <w:p w:rsidR="00E858A2" w:rsidRPr="00FA2081" w:rsidRDefault="00E858A2" w:rsidP="00856262">
      <w:pPr>
        <w:pStyle w:val="ListParagraph"/>
        <w:numPr>
          <w:ilvl w:val="1"/>
          <w:numId w:val="1"/>
        </w:numPr>
        <w:jc w:val="both"/>
        <w:rPr>
          <w:rFonts w:ascii="Arial" w:hAnsi="Arial"/>
          <w:sz w:val="22"/>
          <w:szCs w:val="22"/>
        </w:rPr>
      </w:pPr>
      <w:r w:rsidRPr="00FA2081">
        <w:rPr>
          <w:rFonts w:ascii="Arial" w:hAnsi="Arial"/>
          <w:sz w:val="22"/>
          <w:szCs w:val="22"/>
        </w:rPr>
        <w:t>The PBAC considered, among other matters, th</w:t>
      </w:r>
      <w:r>
        <w:rPr>
          <w:rFonts w:ascii="Arial" w:hAnsi="Arial"/>
          <w:sz w:val="22"/>
          <w:szCs w:val="22"/>
        </w:rPr>
        <w:t>at its assessment that the cost</w:t>
      </w:r>
      <w:r>
        <w:rPr>
          <w:rFonts w:ascii="Arial" w:hAnsi="Arial"/>
          <w:sz w:val="22"/>
          <w:szCs w:val="22"/>
        </w:rPr>
        <w:noBreakHyphen/>
      </w:r>
      <w:r w:rsidRPr="00FA2081">
        <w:rPr>
          <w:rFonts w:ascii="Arial" w:hAnsi="Arial"/>
          <w:sz w:val="22"/>
          <w:szCs w:val="22"/>
        </w:rPr>
        <w:t xml:space="preserve">effectiveness of </w:t>
      </w:r>
      <w:proofErr w:type="spellStart"/>
      <w:r w:rsidR="00640BD7" w:rsidRPr="00330E07">
        <w:rPr>
          <w:rFonts w:ascii="Arial" w:hAnsi="Arial"/>
          <w:sz w:val="22"/>
          <w:szCs w:val="22"/>
        </w:rPr>
        <w:t>brentuximab</w:t>
      </w:r>
      <w:proofErr w:type="spellEnd"/>
      <w:r w:rsidR="00640BD7" w:rsidRPr="00330E07">
        <w:rPr>
          <w:rFonts w:ascii="Arial" w:hAnsi="Arial"/>
          <w:sz w:val="22"/>
          <w:szCs w:val="22"/>
        </w:rPr>
        <w:t xml:space="preserve"> </w:t>
      </w:r>
      <w:proofErr w:type="spellStart"/>
      <w:r w:rsidR="00640BD7" w:rsidRPr="00330E07">
        <w:rPr>
          <w:rFonts w:ascii="Arial" w:hAnsi="Arial"/>
          <w:sz w:val="22"/>
          <w:szCs w:val="22"/>
        </w:rPr>
        <w:t>vedotin</w:t>
      </w:r>
      <w:proofErr w:type="spellEnd"/>
      <w:r w:rsidR="00640BD7" w:rsidRPr="00330E07">
        <w:rPr>
          <w:rFonts w:ascii="Arial" w:hAnsi="Arial"/>
          <w:sz w:val="22"/>
          <w:szCs w:val="22"/>
        </w:rPr>
        <w:t xml:space="preserve"> </w:t>
      </w:r>
      <w:r w:rsidRPr="00FA2081">
        <w:rPr>
          <w:rFonts w:ascii="Arial" w:hAnsi="Arial"/>
          <w:sz w:val="22"/>
          <w:szCs w:val="22"/>
        </w:rPr>
        <w:t>would be acceptable if the measures below were implemented to contain risks associated with the cost of the drug to the PBS:</w:t>
      </w:r>
    </w:p>
    <w:p w:rsidR="00E858A2" w:rsidRPr="00755589" w:rsidRDefault="00E858A2" w:rsidP="00302647">
      <w:pPr>
        <w:pStyle w:val="ListParagraph"/>
        <w:numPr>
          <w:ilvl w:val="0"/>
          <w:numId w:val="4"/>
        </w:numPr>
        <w:jc w:val="both"/>
        <w:rPr>
          <w:rFonts w:ascii="Arial" w:hAnsi="Arial"/>
          <w:sz w:val="22"/>
          <w:szCs w:val="22"/>
        </w:rPr>
      </w:pPr>
      <w:r w:rsidRPr="00755589">
        <w:rPr>
          <w:rFonts w:ascii="Arial" w:hAnsi="Arial"/>
          <w:sz w:val="22"/>
          <w:szCs w:val="22"/>
        </w:rPr>
        <w:t>A RSA between the sponsor and the Government.</w:t>
      </w:r>
    </w:p>
    <w:p w:rsidR="00E858A2" w:rsidRPr="00FA2081" w:rsidRDefault="00E858A2" w:rsidP="00302647">
      <w:pPr>
        <w:pStyle w:val="ListParagraph"/>
        <w:numPr>
          <w:ilvl w:val="0"/>
          <w:numId w:val="4"/>
        </w:numPr>
        <w:jc w:val="both"/>
        <w:rPr>
          <w:rFonts w:ascii="Arial" w:hAnsi="Arial"/>
          <w:sz w:val="22"/>
          <w:szCs w:val="22"/>
        </w:rPr>
      </w:pPr>
      <w:r>
        <w:rPr>
          <w:rFonts w:ascii="Arial" w:hAnsi="Arial"/>
          <w:sz w:val="22"/>
          <w:szCs w:val="22"/>
        </w:rPr>
        <w:t>The PBAC re</w:t>
      </w:r>
      <w:r w:rsidRPr="00FA2081">
        <w:rPr>
          <w:rFonts w:ascii="Arial" w:hAnsi="Arial"/>
          <w:sz w:val="22"/>
          <w:szCs w:val="22"/>
        </w:rPr>
        <w:t xml:space="preserve">iterated its recommendation from March 2014, that </w:t>
      </w:r>
      <w:r>
        <w:rPr>
          <w:rFonts w:ascii="Arial" w:hAnsi="Arial"/>
          <w:sz w:val="22"/>
          <w:szCs w:val="22"/>
        </w:rPr>
        <w:t xml:space="preserve">the RSA should include </w:t>
      </w:r>
      <w:r w:rsidRPr="00FA2081">
        <w:rPr>
          <w:rFonts w:ascii="Arial" w:hAnsi="Arial"/>
          <w:sz w:val="22"/>
          <w:szCs w:val="22"/>
        </w:rPr>
        <w:t>a hard cap based on the estimate of extent of use</w:t>
      </w:r>
      <w:r>
        <w:rPr>
          <w:rFonts w:ascii="Arial" w:hAnsi="Arial"/>
          <w:sz w:val="22"/>
          <w:szCs w:val="22"/>
        </w:rPr>
        <w:t xml:space="preserve"> outlined in the March 2014 minutes</w:t>
      </w:r>
      <w:r w:rsidRPr="00FA2081">
        <w:rPr>
          <w:rFonts w:ascii="Arial" w:hAnsi="Arial"/>
          <w:sz w:val="22"/>
          <w:szCs w:val="22"/>
        </w:rPr>
        <w:t xml:space="preserve">, with the price of </w:t>
      </w:r>
      <w:proofErr w:type="spellStart"/>
      <w:r w:rsidR="00640BD7" w:rsidRPr="00330E07">
        <w:rPr>
          <w:rFonts w:ascii="Arial" w:hAnsi="Arial"/>
          <w:sz w:val="22"/>
          <w:szCs w:val="22"/>
        </w:rPr>
        <w:t>brentuximab</w:t>
      </w:r>
      <w:proofErr w:type="spellEnd"/>
      <w:r w:rsidR="00640BD7" w:rsidRPr="00330E07">
        <w:rPr>
          <w:rFonts w:ascii="Arial" w:hAnsi="Arial"/>
          <w:sz w:val="22"/>
          <w:szCs w:val="22"/>
        </w:rPr>
        <w:t xml:space="preserve"> </w:t>
      </w:r>
      <w:proofErr w:type="spellStart"/>
      <w:r w:rsidR="00640BD7" w:rsidRPr="00330E07">
        <w:rPr>
          <w:rFonts w:ascii="Arial" w:hAnsi="Arial"/>
          <w:sz w:val="22"/>
          <w:szCs w:val="22"/>
        </w:rPr>
        <w:t>vedotin</w:t>
      </w:r>
      <w:proofErr w:type="spellEnd"/>
      <w:r w:rsidRPr="00FA2081">
        <w:rPr>
          <w:rFonts w:ascii="Arial" w:hAnsi="Arial"/>
          <w:sz w:val="22"/>
          <w:szCs w:val="22"/>
        </w:rPr>
        <w:t xml:space="preserve"> to revert to the price of chemotherapy (ICE) should the cap be exceeded. The PBAC </w:t>
      </w:r>
      <w:r>
        <w:rPr>
          <w:rFonts w:ascii="Arial" w:hAnsi="Arial"/>
          <w:sz w:val="22"/>
          <w:szCs w:val="22"/>
        </w:rPr>
        <w:t>reiterated</w:t>
      </w:r>
      <w:r w:rsidRPr="00FA2081">
        <w:rPr>
          <w:rFonts w:ascii="Arial" w:hAnsi="Arial"/>
          <w:sz w:val="22"/>
          <w:szCs w:val="22"/>
        </w:rPr>
        <w:t xml:space="preserve"> that such a </w:t>
      </w:r>
      <w:r>
        <w:rPr>
          <w:rFonts w:ascii="Arial" w:hAnsi="Arial"/>
          <w:sz w:val="22"/>
          <w:szCs w:val="22"/>
        </w:rPr>
        <w:t>RSA</w:t>
      </w:r>
      <w:r w:rsidRPr="00FA2081">
        <w:rPr>
          <w:rFonts w:ascii="Arial" w:hAnsi="Arial"/>
          <w:sz w:val="22"/>
          <w:szCs w:val="22"/>
        </w:rPr>
        <w:t xml:space="preserve"> was </w:t>
      </w:r>
      <w:r>
        <w:rPr>
          <w:rFonts w:ascii="Arial" w:hAnsi="Arial"/>
          <w:sz w:val="22"/>
          <w:szCs w:val="22"/>
        </w:rPr>
        <w:t>required</w:t>
      </w:r>
      <w:r w:rsidRPr="00FA2081">
        <w:rPr>
          <w:rFonts w:ascii="Arial" w:hAnsi="Arial"/>
          <w:sz w:val="22"/>
          <w:szCs w:val="22"/>
        </w:rPr>
        <w:t xml:space="preserve"> to manage total cost and non-cost-effective use, and would address the risk arising from uncertainty in the incremental clinical benefit.</w:t>
      </w:r>
      <w:r>
        <w:rPr>
          <w:rFonts w:ascii="Arial" w:hAnsi="Arial"/>
          <w:sz w:val="22"/>
          <w:szCs w:val="22"/>
        </w:rPr>
        <w:t xml:space="preserve"> The PBAC considered that neither a tiered cap nor reconsideration on the basis of 90% of patients meeting the PBS eligibility criteria would appropriately manage the risks outlined.</w:t>
      </w:r>
    </w:p>
    <w:p w:rsidR="00B86B81" w:rsidRDefault="00B86B81">
      <w:pPr>
        <w:rPr>
          <w:rFonts w:ascii="Arial" w:hAnsi="Arial"/>
          <w:i/>
          <w:sz w:val="22"/>
          <w:szCs w:val="22"/>
        </w:rPr>
      </w:pPr>
    </w:p>
    <w:p w:rsidR="00E858A2" w:rsidRPr="00B86B81" w:rsidRDefault="00E858A2" w:rsidP="00B86B81">
      <w:pPr>
        <w:jc w:val="both"/>
        <w:rPr>
          <w:rFonts w:ascii="Arial" w:hAnsi="Arial"/>
          <w:i/>
          <w:sz w:val="22"/>
          <w:szCs w:val="22"/>
        </w:rPr>
      </w:pPr>
    </w:p>
    <w:p w:rsidR="00E858A2" w:rsidRPr="00882085" w:rsidRDefault="002A4D4F" w:rsidP="00E96F75">
      <w:pPr>
        <w:pStyle w:val="Header"/>
        <w:numPr>
          <w:ilvl w:val="0"/>
          <w:numId w:val="1"/>
        </w:numPr>
        <w:tabs>
          <w:tab w:val="clear" w:pos="4153"/>
          <w:tab w:val="clear" w:pos="8306"/>
        </w:tabs>
        <w:jc w:val="both"/>
        <w:rPr>
          <w:rFonts w:ascii="Arial" w:hAnsi="Arial"/>
          <w:b/>
          <w:sz w:val="22"/>
          <w:szCs w:val="22"/>
        </w:rPr>
      </w:pPr>
      <w:r>
        <w:rPr>
          <w:rFonts w:ascii="Arial" w:hAnsi="Arial"/>
          <w:b/>
          <w:sz w:val="22"/>
          <w:szCs w:val="22"/>
        </w:rPr>
        <w:t>PBAC Outcome</w:t>
      </w:r>
    </w:p>
    <w:p w:rsidR="00856262" w:rsidRPr="002A4D4F" w:rsidRDefault="00856262" w:rsidP="002A4D4F"/>
    <w:p w:rsidR="00E858A2" w:rsidRPr="00856262" w:rsidRDefault="00E858A2" w:rsidP="00E96F75">
      <w:pPr>
        <w:pStyle w:val="ListParagraph"/>
        <w:numPr>
          <w:ilvl w:val="1"/>
          <w:numId w:val="1"/>
        </w:numPr>
        <w:jc w:val="both"/>
        <w:rPr>
          <w:rFonts w:ascii="Arial" w:hAnsi="Arial"/>
          <w:sz w:val="22"/>
          <w:szCs w:val="22"/>
        </w:rPr>
      </w:pPr>
      <w:r w:rsidRPr="00856262">
        <w:rPr>
          <w:rFonts w:ascii="Arial" w:hAnsi="Arial"/>
          <w:sz w:val="22"/>
          <w:szCs w:val="22"/>
        </w:rPr>
        <w:t xml:space="preserve">The PBAC recommended the listing of </w:t>
      </w:r>
      <w:proofErr w:type="spellStart"/>
      <w:r w:rsidRPr="00856262">
        <w:rPr>
          <w:rFonts w:ascii="Arial" w:hAnsi="Arial"/>
          <w:sz w:val="22"/>
          <w:szCs w:val="22"/>
        </w:rPr>
        <w:t>brentuximab</w:t>
      </w:r>
      <w:proofErr w:type="spellEnd"/>
      <w:r w:rsidRPr="00856262">
        <w:rPr>
          <w:rFonts w:ascii="Arial" w:hAnsi="Arial"/>
          <w:sz w:val="22"/>
          <w:szCs w:val="22"/>
        </w:rPr>
        <w:t xml:space="preserve"> </w:t>
      </w:r>
      <w:proofErr w:type="spellStart"/>
      <w:r w:rsidRPr="00856262">
        <w:rPr>
          <w:rFonts w:ascii="Arial" w:hAnsi="Arial"/>
          <w:sz w:val="22"/>
          <w:szCs w:val="22"/>
        </w:rPr>
        <w:t>vedotin</w:t>
      </w:r>
      <w:proofErr w:type="spellEnd"/>
      <w:r w:rsidRPr="00856262">
        <w:rPr>
          <w:rFonts w:ascii="Arial" w:hAnsi="Arial"/>
          <w:sz w:val="22"/>
          <w:szCs w:val="22"/>
        </w:rPr>
        <w:t xml:space="preserve"> for the treatment of relapsed or refractory systemic anaplastic large cell lymphoma in patients who are suitable for further systemic curative intent salvage therapy on the basis that it should be available only under special arrangements under the Section 100 Efficient </w:t>
      </w:r>
      <w:r w:rsidRPr="00856262">
        <w:rPr>
          <w:rFonts w:ascii="Arial" w:hAnsi="Arial"/>
          <w:sz w:val="22"/>
          <w:szCs w:val="22"/>
        </w:rPr>
        <w:lastRenderedPageBreak/>
        <w:t xml:space="preserve">Funding of Chemotherapy (EFC). The PBAC considered that a written Authority, administered by the Department of Human Services in Tasmania would be appropriate for </w:t>
      </w:r>
      <w:proofErr w:type="spellStart"/>
      <w:r w:rsidR="00EF09E1" w:rsidRPr="00856262">
        <w:rPr>
          <w:rFonts w:ascii="Arial" w:hAnsi="Arial"/>
          <w:sz w:val="22"/>
          <w:szCs w:val="22"/>
        </w:rPr>
        <w:t>brentuximab</w:t>
      </w:r>
      <w:proofErr w:type="spellEnd"/>
      <w:r w:rsidR="00EF09E1" w:rsidRPr="00856262">
        <w:rPr>
          <w:rFonts w:ascii="Arial" w:hAnsi="Arial"/>
          <w:sz w:val="22"/>
          <w:szCs w:val="22"/>
        </w:rPr>
        <w:t xml:space="preserve"> </w:t>
      </w:r>
      <w:proofErr w:type="spellStart"/>
      <w:r w:rsidR="00EF09E1" w:rsidRPr="00856262">
        <w:rPr>
          <w:rFonts w:ascii="Arial" w:hAnsi="Arial"/>
          <w:sz w:val="22"/>
          <w:szCs w:val="22"/>
        </w:rPr>
        <w:t>vedotin</w:t>
      </w:r>
      <w:proofErr w:type="spellEnd"/>
      <w:r w:rsidRPr="00856262">
        <w:rPr>
          <w:rFonts w:ascii="Arial" w:hAnsi="Arial"/>
          <w:sz w:val="22"/>
          <w:szCs w:val="22"/>
        </w:rPr>
        <w:t xml:space="preserve">, to prevent leakage into first-line use and treatment of Hodgkin Lymphoma. The PBAC recommended that the circumstances under which </w:t>
      </w:r>
      <w:proofErr w:type="spellStart"/>
      <w:r w:rsidR="00EF09E1" w:rsidRPr="00856262">
        <w:rPr>
          <w:rFonts w:ascii="Arial" w:hAnsi="Arial"/>
          <w:sz w:val="22"/>
          <w:szCs w:val="22"/>
        </w:rPr>
        <w:t>brentuximab</w:t>
      </w:r>
      <w:proofErr w:type="spellEnd"/>
      <w:r w:rsidR="00EF09E1" w:rsidRPr="00856262">
        <w:rPr>
          <w:rFonts w:ascii="Arial" w:hAnsi="Arial"/>
          <w:sz w:val="22"/>
          <w:szCs w:val="22"/>
        </w:rPr>
        <w:t xml:space="preserve"> </w:t>
      </w:r>
      <w:proofErr w:type="spellStart"/>
      <w:r w:rsidR="00EF09E1" w:rsidRPr="00856262">
        <w:rPr>
          <w:rFonts w:ascii="Arial" w:hAnsi="Arial"/>
          <w:sz w:val="22"/>
          <w:szCs w:val="22"/>
        </w:rPr>
        <w:t>vedotin</w:t>
      </w:r>
      <w:proofErr w:type="spellEnd"/>
      <w:r w:rsidRPr="00856262">
        <w:rPr>
          <w:rFonts w:ascii="Arial" w:hAnsi="Arial"/>
          <w:sz w:val="22"/>
          <w:szCs w:val="22"/>
        </w:rPr>
        <w:t xml:space="preserve"> should be made available on the Section 100 EFC should be finalised by the Department in consultation with the sponsor, the Restrictions Working Group and the Department of Human Services. </w:t>
      </w:r>
    </w:p>
    <w:p w:rsidR="00E858A2" w:rsidRDefault="00E858A2" w:rsidP="00316320">
      <w:pPr>
        <w:pStyle w:val="ListParagraph"/>
        <w:ind w:left="709"/>
        <w:jc w:val="both"/>
        <w:rPr>
          <w:rFonts w:ascii="Arial" w:hAnsi="Arial"/>
          <w:sz w:val="22"/>
          <w:szCs w:val="22"/>
        </w:rPr>
      </w:pPr>
    </w:p>
    <w:p w:rsidR="00E858A2" w:rsidRDefault="00E858A2" w:rsidP="00856262">
      <w:pPr>
        <w:pStyle w:val="ListParagraph"/>
        <w:numPr>
          <w:ilvl w:val="1"/>
          <w:numId w:val="1"/>
        </w:numPr>
        <w:ind w:left="709" w:hanging="709"/>
        <w:jc w:val="both"/>
        <w:rPr>
          <w:rFonts w:ascii="Arial" w:hAnsi="Arial"/>
          <w:sz w:val="22"/>
          <w:szCs w:val="22"/>
        </w:rPr>
      </w:pPr>
      <w:r>
        <w:rPr>
          <w:rFonts w:ascii="Arial" w:hAnsi="Arial"/>
          <w:sz w:val="22"/>
          <w:szCs w:val="22"/>
        </w:rPr>
        <w:t>The PBAC reiterated its advice from March 2014 that the Authority application should include the following information:</w:t>
      </w:r>
    </w:p>
    <w:p w:rsidR="00E858A2" w:rsidRDefault="00E858A2" w:rsidP="00302647">
      <w:pPr>
        <w:pStyle w:val="ListParagraph"/>
        <w:numPr>
          <w:ilvl w:val="0"/>
          <w:numId w:val="5"/>
        </w:numPr>
        <w:jc w:val="both"/>
        <w:rPr>
          <w:rFonts w:ascii="Arial" w:hAnsi="Arial"/>
          <w:sz w:val="22"/>
          <w:szCs w:val="22"/>
        </w:rPr>
      </w:pPr>
      <w:r>
        <w:rPr>
          <w:rFonts w:ascii="Arial" w:hAnsi="Arial"/>
          <w:sz w:val="22"/>
          <w:szCs w:val="22"/>
        </w:rPr>
        <w:t>A</w:t>
      </w:r>
      <w:r w:rsidRPr="00F9011F">
        <w:rPr>
          <w:rFonts w:ascii="Arial" w:hAnsi="Arial"/>
          <w:sz w:val="22"/>
          <w:szCs w:val="22"/>
        </w:rPr>
        <w:t xml:space="preserve"> histology report includ</w:t>
      </w:r>
      <w:r>
        <w:rPr>
          <w:rFonts w:ascii="Arial" w:hAnsi="Arial"/>
          <w:sz w:val="22"/>
          <w:szCs w:val="22"/>
        </w:rPr>
        <w:t>ing</w:t>
      </w:r>
      <w:r w:rsidRPr="00F9011F">
        <w:rPr>
          <w:rFonts w:ascii="Arial" w:hAnsi="Arial"/>
          <w:sz w:val="22"/>
          <w:szCs w:val="22"/>
        </w:rPr>
        <w:t xml:space="preserve"> evidence of the tumour’s CD30 positivity</w:t>
      </w:r>
      <w:r>
        <w:rPr>
          <w:rFonts w:ascii="Arial" w:hAnsi="Arial"/>
          <w:sz w:val="22"/>
          <w:szCs w:val="22"/>
        </w:rPr>
        <w:t xml:space="preserve"> from a biopsy subsequent to the most recently delivered prior treatment with radiation, chemotherapy, biologics, immunotherapy or other agents;</w:t>
      </w:r>
    </w:p>
    <w:p w:rsidR="00E858A2" w:rsidRDefault="00E858A2" w:rsidP="00302647">
      <w:pPr>
        <w:pStyle w:val="ListParagraph"/>
        <w:numPr>
          <w:ilvl w:val="0"/>
          <w:numId w:val="5"/>
        </w:numPr>
        <w:jc w:val="both"/>
        <w:rPr>
          <w:rFonts w:ascii="Arial" w:hAnsi="Arial"/>
          <w:sz w:val="22"/>
          <w:szCs w:val="22"/>
        </w:rPr>
      </w:pPr>
      <w:r>
        <w:rPr>
          <w:rFonts w:ascii="Arial" w:hAnsi="Arial"/>
          <w:sz w:val="22"/>
          <w:szCs w:val="22"/>
        </w:rPr>
        <w:t>The date of initial diagnosis of anaplastic large cell lymphoma;</w:t>
      </w:r>
    </w:p>
    <w:p w:rsidR="001C66E9" w:rsidRDefault="00E858A2" w:rsidP="00966526">
      <w:pPr>
        <w:pStyle w:val="ListParagraph"/>
        <w:numPr>
          <w:ilvl w:val="0"/>
          <w:numId w:val="5"/>
        </w:numPr>
        <w:jc w:val="both"/>
        <w:rPr>
          <w:rFonts w:ascii="Arial" w:hAnsi="Arial"/>
          <w:sz w:val="22"/>
          <w:szCs w:val="22"/>
        </w:rPr>
      </w:pPr>
      <w:r w:rsidRPr="00966526">
        <w:rPr>
          <w:rFonts w:ascii="Arial" w:hAnsi="Arial"/>
          <w:sz w:val="22"/>
          <w:szCs w:val="22"/>
        </w:rPr>
        <w:t>Dates of commencement and completion of front-line curative intent chemotherapy</w:t>
      </w:r>
      <w:r w:rsidR="001C66E9">
        <w:rPr>
          <w:rFonts w:ascii="Arial" w:hAnsi="Arial"/>
          <w:sz w:val="22"/>
          <w:szCs w:val="22"/>
        </w:rPr>
        <w:t>;</w:t>
      </w:r>
    </w:p>
    <w:p w:rsidR="00E858A2" w:rsidRPr="00966526" w:rsidRDefault="00E858A2" w:rsidP="00966526">
      <w:pPr>
        <w:pStyle w:val="ListParagraph"/>
        <w:numPr>
          <w:ilvl w:val="0"/>
          <w:numId w:val="5"/>
        </w:numPr>
        <w:jc w:val="both"/>
        <w:rPr>
          <w:rFonts w:ascii="Arial" w:hAnsi="Arial"/>
          <w:sz w:val="22"/>
          <w:szCs w:val="22"/>
        </w:rPr>
      </w:pPr>
      <w:r w:rsidRPr="00966526">
        <w:rPr>
          <w:rFonts w:ascii="Arial" w:hAnsi="Arial"/>
          <w:sz w:val="22"/>
          <w:szCs w:val="22"/>
        </w:rPr>
        <w:t xml:space="preserve">A declaration of whether the patient’s disease is relapsed or refractory, and the date and means by </w:t>
      </w:r>
      <w:r>
        <w:rPr>
          <w:rFonts w:ascii="Arial" w:hAnsi="Arial"/>
          <w:sz w:val="22"/>
          <w:szCs w:val="22"/>
        </w:rPr>
        <w:t>which the patient’s disease was assessed as being relapsed or refractory;</w:t>
      </w:r>
    </w:p>
    <w:p w:rsidR="00E858A2" w:rsidRPr="00F9011F" w:rsidRDefault="00E858A2" w:rsidP="00302647">
      <w:pPr>
        <w:pStyle w:val="ListParagraph"/>
        <w:numPr>
          <w:ilvl w:val="0"/>
          <w:numId w:val="5"/>
        </w:numPr>
        <w:jc w:val="both"/>
        <w:rPr>
          <w:rFonts w:ascii="Arial" w:hAnsi="Arial"/>
          <w:sz w:val="22"/>
          <w:szCs w:val="22"/>
        </w:rPr>
      </w:pPr>
      <w:r>
        <w:rPr>
          <w:rFonts w:ascii="Arial" w:hAnsi="Arial"/>
          <w:sz w:val="22"/>
          <w:szCs w:val="22"/>
        </w:rPr>
        <w:t xml:space="preserve">A declaration of whether the patient has had, or is planned to have, a transplant. </w:t>
      </w:r>
    </w:p>
    <w:p w:rsidR="00E858A2" w:rsidRPr="00466C2D" w:rsidRDefault="00E858A2" w:rsidP="00466C2D">
      <w:pPr>
        <w:ind w:left="709"/>
        <w:jc w:val="both"/>
        <w:rPr>
          <w:rFonts w:ascii="Arial" w:hAnsi="Arial"/>
          <w:sz w:val="22"/>
          <w:szCs w:val="22"/>
        </w:rPr>
      </w:pPr>
    </w:p>
    <w:p w:rsidR="00E858A2" w:rsidRDefault="00E858A2" w:rsidP="00856262">
      <w:pPr>
        <w:pStyle w:val="ListParagraph"/>
        <w:numPr>
          <w:ilvl w:val="1"/>
          <w:numId w:val="1"/>
        </w:numPr>
        <w:ind w:left="709" w:hanging="709"/>
        <w:jc w:val="both"/>
        <w:rPr>
          <w:rFonts w:ascii="Arial" w:hAnsi="Arial"/>
          <w:sz w:val="22"/>
          <w:szCs w:val="22"/>
        </w:rPr>
      </w:pPr>
      <w:r>
        <w:rPr>
          <w:rFonts w:ascii="Arial" w:hAnsi="Arial"/>
          <w:sz w:val="22"/>
          <w:szCs w:val="22"/>
        </w:rPr>
        <w:t xml:space="preserve">The PBAC considered that the restriction for </w:t>
      </w:r>
      <w:proofErr w:type="spellStart"/>
      <w:r w:rsidR="00EF09E1" w:rsidRPr="00330E07">
        <w:rPr>
          <w:rFonts w:ascii="Arial" w:hAnsi="Arial"/>
          <w:sz w:val="22"/>
          <w:szCs w:val="22"/>
        </w:rPr>
        <w:t>brentuximab</w:t>
      </w:r>
      <w:proofErr w:type="spellEnd"/>
      <w:r w:rsidR="00EF09E1" w:rsidRPr="00330E07">
        <w:rPr>
          <w:rFonts w:ascii="Arial" w:hAnsi="Arial"/>
          <w:sz w:val="22"/>
          <w:szCs w:val="22"/>
        </w:rPr>
        <w:t xml:space="preserve"> </w:t>
      </w:r>
      <w:proofErr w:type="spellStart"/>
      <w:r w:rsidR="00EF09E1" w:rsidRPr="00330E07">
        <w:rPr>
          <w:rFonts w:ascii="Arial" w:hAnsi="Arial"/>
          <w:sz w:val="22"/>
          <w:szCs w:val="22"/>
        </w:rPr>
        <w:t>vedotin</w:t>
      </w:r>
      <w:proofErr w:type="spellEnd"/>
      <w:r w:rsidR="00EF09E1" w:rsidRPr="00330E07">
        <w:rPr>
          <w:rFonts w:ascii="Arial" w:hAnsi="Arial"/>
          <w:sz w:val="22"/>
          <w:szCs w:val="22"/>
        </w:rPr>
        <w:t xml:space="preserve"> </w:t>
      </w:r>
      <w:r>
        <w:rPr>
          <w:rFonts w:ascii="Arial" w:hAnsi="Arial"/>
          <w:sz w:val="22"/>
          <w:szCs w:val="22"/>
        </w:rPr>
        <w:t>should include the following aspects:</w:t>
      </w:r>
    </w:p>
    <w:p w:rsidR="00E858A2" w:rsidRPr="00737AB4" w:rsidRDefault="00E858A2" w:rsidP="00737AB4">
      <w:pPr>
        <w:pStyle w:val="ListParagraph"/>
        <w:numPr>
          <w:ilvl w:val="0"/>
          <w:numId w:val="5"/>
        </w:numPr>
        <w:jc w:val="both"/>
        <w:rPr>
          <w:rFonts w:ascii="Arial" w:hAnsi="Arial"/>
          <w:sz w:val="22"/>
          <w:szCs w:val="22"/>
        </w:rPr>
      </w:pPr>
      <w:r w:rsidRPr="00737AB4">
        <w:rPr>
          <w:rFonts w:ascii="Arial" w:hAnsi="Arial"/>
          <w:sz w:val="22"/>
          <w:szCs w:val="22"/>
        </w:rPr>
        <w:t>separate restrictions for initial and continuing treatment</w:t>
      </w:r>
      <w:r>
        <w:rPr>
          <w:rFonts w:ascii="Arial" w:hAnsi="Arial"/>
          <w:sz w:val="22"/>
          <w:szCs w:val="22"/>
        </w:rPr>
        <w:t>, as requested by the sponsor;</w:t>
      </w:r>
    </w:p>
    <w:p w:rsidR="00E858A2" w:rsidRDefault="00E858A2" w:rsidP="00737AB4">
      <w:pPr>
        <w:pStyle w:val="ListParagraph"/>
        <w:numPr>
          <w:ilvl w:val="0"/>
          <w:numId w:val="5"/>
        </w:numPr>
        <w:jc w:val="both"/>
        <w:rPr>
          <w:rFonts w:ascii="Arial" w:hAnsi="Arial"/>
          <w:sz w:val="22"/>
          <w:szCs w:val="22"/>
        </w:rPr>
      </w:pPr>
      <w:r w:rsidRPr="00737AB4">
        <w:rPr>
          <w:rFonts w:ascii="Arial" w:hAnsi="Arial"/>
          <w:sz w:val="22"/>
          <w:szCs w:val="22"/>
        </w:rPr>
        <w:t>patients should be assessed for response after 4 cycles</w:t>
      </w:r>
      <w:r>
        <w:rPr>
          <w:rFonts w:ascii="Arial" w:hAnsi="Arial"/>
          <w:sz w:val="22"/>
          <w:szCs w:val="22"/>
        </w:rPr>
        <w:t xml:space="preserve"> of </w:t>
      </w:r>
      <w:proofErr w:type="spellStart"/>
      <w:r w:rsidR="00EF09E1">
        <w:rPr>
          <w:rFonts w:ascii="Arial" w:hAnsi="Arial"/>
          <w:sz w:val="22"/>
          <w:szCs w:val="22"/>
        </w:rPr>
        <w:t>brentuximab</w:t>
      </w:r>
      <w:proofErr w:type="spellEnd"/>
      <w:r w:rsidR="00EF09E1">
        <w:rPr>
          <w:rFonts w:ascii="Arial" w:hAnsi="Arial"/>
          <w:sz w:val="22"/>
          <w:szCs w:val="22"/>
        </w:rPr>
        <w:t xml:space="preserve"> </w:t>
      </w:r>
      <w:proofErr w:type="spellStart"/>
      <w:r w:rsidR="00EF09E1">
        <w:rPr>
          <w:rFonts w:ascii="Arial" w:hAnsi="Arial"/>
          <w:sz w:val="22"/>
          <w:szCs w:val="22"/>
        </w:rPr>
        <w:t>vedotin</w:t>
      </w:r>
      <w:proofErr w:type="spellEnd"/>
      <w:r w:rsidRPr="00737AB4">
        <w:rPr>
          <w:rFonts w:ascii="Arial" w:hAnsi="Arial"/>
          <w:sz w:val="22"/>
          <w:szCs w:val="22"/>
        </w:rPr>
        <w:t xml:space="preserve">; </w:t>
      </w:r>
    </w:p>
    <w:p w:rsidR="00E858A2" w:rsidRDefault="00E858A2" w:rsidP="00737AB4">
      <w:pPr>
        <w:pStyle w:val="ListParagraph"/>
        <w:numPr>
          <w:ilvl w:val="0"/>
          <w:numId w:val="5"/>
        </w:numPr>
        <w:jc w:val="both"/>
        <w:rPr>
          <w:rFonts w:ascii="Arial" w:hAnsi="Arial"/>
          <w:sz w:val="22"/>
          <w:szCs w:val="22"/>
        </w:rPr>
      </w:pPr>
      <w:r w:rsidRPr="00737AB4">
        <w:rPr>
          <w:rFonts w:ascii="Arial" w:hAnsi="Arial"/>
          <w:sz w:val="22"/>
          <w:szCs w:val="22"/>
        </w:rPr>
        <w:t xml:space="preserve">continuing therapy </w:t>
      </w:r>
      <w:r>
        <w:rPr>
          <w:rFonts w:ascii="Arial" w:hAnsi="Arial"/>
          <w:sz w:val="22"/>
          <w:szCs w:val="22"/>
        </w:rPr>
        <w:t>after 4 cycles may</w:t>
      </w:r>
      <w:r w:rsidRPr="00737AB4">
        <w:rPr>
          <w:rFonts w:ascii="Arial" w:hAnsi="Arial"/>
          <w:sz w:val="22"/>
          <w:szCs w:val="22"/>
        </w:rPr>
        <w:t xml:space="preserve"> be authorised</w:t>
      </w:r>
      <w:r>
        <w:rPr>
          <w:rFonts w:ascii="Arial" w:hAnsi="Arial"/>
          <w:sz w:val="22"/>
          <w:szCs w:val="22"/>
        </w:rPr>
        <w:t>, by phone authority,</w:t>
      </w:r>
      <w:r w:rsidRPr="00737AB4">
        <w:rPr>
          <w:rFonts w:ascii="Arial" w:hAnsi="Arial"/>
          <w:sz w:val="22"/>
          <w:szCs w:val="22"/>
        </w:rPr>
        <w:t xml:space="preserve"> for patients who are not in a progressive disease state</w:t>
      </w:r>
      <w:r>
        <w:rPr>
          <w:rFonts w:ascii="Arial" w:hAnsi="Arial"/>
          <w:sz w:val="22"/>
          <w:szCs w:val="22"/>
        </w:rPr>
        <w:t>;</w:t>
      </w:r>
      <w:r w:rsidRPr="00737AB4">
        <w:rPr>
          <w:rFonts w:ascii="Arial" w:hAnsi="Arial"/>
          <w:sz w:val="22"/>
          <w:szCs w:val="22"/>
        </w:rPr>
        <w:t xml:space="preserve"> </w:t>
      </w:r>
    </w:p>
    <w:p w:rsidR="00E858A2" w:rsidRPr="00253C0E" w:rsidRDefault="00E858A2" w:rsidP="00253C0E">
      <w:pPr>
        <w:pStyle w:val="ListParagraph"/>
        <w:numPr>
          <w:ilvl w:val="0"/>
          <w:numId w:val="5"/>
        </w:numPr>
        <w:rPr>
          <w:rFonts w:ascii="Arial" w:hAnsi="Arial"/>
          <w:sz w:val="22"/>
          <w:szCs w:val="22"/>
        </w:rPr>
      </w:pPr>
      <w:proofErr w:type="gramStart"/>
      <w:r w:rsidRPr="00253C0E">
        <w:rPr>
          <w:rFonts w:ascii="Arial" w:hAnsi="Arial"/>
          <w:sz w:val="22"/>
          <w:szCs w:val="22"/>
        </w:rPr>
        <w:t>the</w:t>
      </w:r>
      <w:proofErr w:type="gramEnd"/>
      <w:r w:rsidRPr="00253C0E">
        <w:rPr>
          <w:rFonts w:ascii="Arial" w:hAnsi="Arial"/>
          <w:sz w:val="22"/>
          <w:szCs w:val="22"/>
        </w:rPr>
        <w:t xml:space="preserve"> maximum number of PBS-subsidised cycles of </w:t>
      </w:r>
      <w:proofErr w:type="spellStart"/>
      <w:r w:rsidR="00EF09E1">
        <w:rPr>
          <w:rFonts w:ascii="Arial" w:hAnsi="Arial"/>
          <w:sz w:val="22"/>
          <w:szCs w:val="22"/>
        </w:rPr>
        <w:t>brentuximab</w:t>
      </w:r>
      <w:proofErr w:type="spellEnd"/>
      <w:r w:rsidR="00EF09E1">
        <w:rPr>
          <w:rFonts w:ascii="Arial" w:hAnsi="Arial"/>
          <w:sz w:val="22"/>
          <w:szCs w:val="22"/>
        </w:rPr>
        <w:t xml:space="preserve"> </w:t>
      </w:r>
      <w:proofErr w:type="spellStart"/>
      <w:r w:rsidR="00EF09E1">
        <w:rPr>
          <w:rFonts w:ascii="Arial" w:hAnsi="Arial"/>
          <w:sz w:val="22"/>
          <w:szCs w:val="22"/>
        </w:rPr>
        <w:t>vedotin</w:t>
      </w:r>
      <w:proofErr w:type="spellEnd"/>
      <w:r w:rsidRPr="00253C0E">
        <w:rPr>
          <w:rFonts w:ascii="Arial" w:hAnsi="Arial"/>
          <w:sz w:val="22"/>
          <w:szCs w:val="22"/>
        </w:rPr>
        <w:t xml:space="preserve"> should be 16 per patient</w:t>
      </w:r>
      <w:r>
        <w:rPr>
          <w:rFonts w:ascii="Arial" w:hAnsi="Arial"/>
          <w:sz w:val="22"/>
          <w:szCs w:val="22"/>
        </w:rPr>
        <w:t>, comprised of a maximum of 3 repeats in initial treatment and 11 repeats in continuing treatment</w:t>
      </w:r>
      <w:r w:rsidRPr="00253C0E">
        <w:rPr>
          <w:rFonts w:ascii="Arial" w:hAnsi="Arial"/>
          <w:sz w:val="22"/>
          <w:szCs w:val="22"/>
        </w:rPr>
        <w:t xml:space="preserve">.  </w:t>
      </w:r>
    </w:p>
    <w:p w:rsidR="00E858A2" w:rsidRPr="00737AB4" w:rsidRDefault="00E858A2" w:rsidP="00737AB4">
      <w:pPr>
        <w:pStyle w:val="ListParagraph"/>
        <w:rPr>
          <w:rFonts w:ascii="Arial" w:hAnsi="Arial"/>
          <w:sz w:val="22"/>
          <w:szCs w:val="22"/>
        </w:rPr>
      </w:pPr>
    </w:p>
    <w:p w:rsidR="00E858A2" w:rsidRPr="004B3079" w:rsidRDefault="00E858A2" w:rsidP="00856262">
      <w:pPr>
        <w:pStyle w:val="ListParagraph"/>
        <w:numPr>
          <w:ilvl w:val="1"/>
          <w:numId w:val="1"/>
        </w:numPr>
        <w:ind w:left="709" w:hanging="709"/>
        <w:jc w:val="both"/>
        <w:rPr>
          <w:rFonts w:ascii="Arial" w:hAnsi="Arial"/>
          <w:sz w:val="22"/>
          <w:szCs w:val="22"/>
        </w:rPr>
      </w:pPr>
      <w:r w:rsidRPr="004B3079">
        <w:rPr>
          <w:rFonts w:ascii="Arial" w:hAnsi="Arial"/>
          <w:sz w:val="22"/>
          <w:szCs w:val="22"/>
        </w:rPr>
        <w:t xml:space="preserve">The PBAC </w:t>
      </w:r>
      <w:r>
        <w:rPr>
          <w:rFonts w:ascii="Arial" w:hAnsi="Arial"/>
          <w:sz w:val="22"/>
          <w:szCs w:val="22"/>
        </w:rPr>
        <w:t>re-iterated t</w:t>
      </w:r>
      <w:r w:rsidRPr="004B3079">
        <w:rPr>
          <w:rFonts w:ascii="Arial" w:hAnsi="Arial"/>
          <w:sz w:val="22"/>
          <w:szCs w:val="22"/>
        </w:rPr>
        <w:t xml:space="preserve">hat there </w:t>
      </w:r>
      <w:r>
        <w:rPr>
          <w:rFonts w:ascii="Arial" w:hAnsi="Arial"/>
          <w:sz w:val="22"/>
          <w:szCs w:val="22"/>
        </w:rPr>
        <w:t>i</w:t>
      </w:r>
      <w:r w:rsidRPr="004B3079">
        <w:rPr>
          <w:rFonts w:ascii="Arial" w:hAnsi="Arial"/>
          <w:sz w:val="22"/>
          <w:szCs w:val="22"/>
        </w:rPr>
        <w:t xml:space="preserve">s a high clinical need for treatments for </w:t>
      </w:r>
      <w:proofErr w:type="spellStart"/>
      <w:r w:rsidRPr="004B3079">
        <w:rPr>
          <w:rFonts w:ascii="Arial" w:hAnsi="Arial"/>
          <w:sz w:val="22"/>
          <w:szCs w:val="22"/>
        </w:rPr>
        <w:t>sALCL</w:t>
      </w:r>
      <w:proofErr w:type="spellEnd"/>
      <w:r w:rsidRPr="004B3079">
        <w:rPr>
          <w:rFonts w:ascii="Arial" w:hAnsi="Arial"/>
          <w:sz w:val="22"/>
          <w:szCs w:val="22"/>
        </w:rPr>
        <w:t xml:space="preserve">, </w:t>
      </w:r>
      <w:r>
        <w:rPr>
          <w:rFonts w:ascii="Arial" w:hAnsi="Arial"/>
          <w:sz w:val="22"/>
          <w:szCs w:val="22"/>
        </w:rPr>
        <w:t xml:space="preserve">and </w:t>
      </w:r>
      <w:r w:rsidRPr="004B3079">
        <w:rPr>
          <w:rFonts w:ascii="Arial" w:hAnsi="Arial"/>
          <w:sz w:val="22"/>
          <w:szCs w:val="22"/>
        </w:rPr>
        <w:t xml:space="preserve">welcomed the input received from organisations in support of the submission for </w:t>
      </w:r>
      <w:proofErr w:type="spellStart"/>
      <w:r w:rsidR="00EF09E1">
        <w:rPr>
          <w:rFonts w:ascii="Arial" w:hAnsi="Arial"/>
          <w:sz w:val="22"/>
          <w:szCs w:val="22"/>
        </w:rPr>
        <w:t>brentuximab</w:t>
      </w:r>
      <w:proofErr w:type="spellEnd"/>
      <w:r w:rsidR="00EF09E1">
        <w:rPr>
          <w:rFonts w:ascii="Arial" w:hAnsi="Arial"/>
          <w:sz w:val="22"/>
          <w:szCs w:val="22"/>
        </w:rPr>
        <w:t xml:space="preserve"> </w:t>
      </w:r>
      <w:proofErr w:type="spellStart"/>
      <w:r w:rsidR="00EF09E1">
        <w:rPr>
          <w:rFonts w:ascii="Arial" w:hAnsi="Arial"/>
          <w:sz w:val="22"/>
          <w:szCs w:val="22"/>
        </w:rPr>
        <w:t>vedotin</w:t>
      </w:r>
      <w:proofErr w:type="spellEnd"/>
      <w:r w:rsidRPr="004B3079">
        <w:rPr>
          <w:rFonts w:ascii="Arial" w:hAnsi="Arial"/>
          <w:sz w:val="22"/>
          <w:szCs w:val="22"/>
        </w:rPr>
        <w:t xml:space="preserve">. The comments included descriptions of the high unmet in </w:t>
      </w:r>
      <w:r>
        <w:rPr>
          <w:rFonts w:ascii="Arial" w:hAnsi="Arial"/>
          <w:sz w:val="22"/>
          <w:szCs w:val="22"/>
        </w:rPr>
        <w:t>the</w:t>
      </w:r>
      <w:r w:rsidRPr="004B3079">
        <w:rPr>
          <w:rFonts w:ascii="Arial" w:hAnsi="Arial"/>
          <w:sz w:val="22"/>
          <w:szCs w:val="22"/>
        </w:rPr>
        <w:t xml:space="preserve"> small number of patients with relapsed </w:t>
      </w:r>
      <w:proofErr w:type="spellStart"/>
      <w:r w:rsidRPr="004B3079">
        <w:rPr>
          <w:rFonts w:ascii="Arial" w:hAnsi="Arial"/>
          <w:sz w:val="22"/>
          <w:szCs w:val="22"/>
        </w:rPr>
        <w:t>sALCL</w:t>
      </w:r>
      <w:proofErr w:type="spellEnd"/>
      <w:r>
        <w:rPr>
          <w:rFonts w:ascii="Arial" w:hAnsi="Arial"/>
          <w:sz w:val="22"/>
          <w:szCs w:val="22"/>
        </w:rPr>
        <w:t xml:space="preserve">. </w:t>
      </w:r>
    </w:p>
    <w:p w:rsidR="00E858A2" w:rsidRDefault="00E858A2" w:rsidP="004B3079">
      <w:pPr>
        <w:pStyle w:val="ListParagraph"/>
        <w:ind w:left="709"/>
        <w:jc w:val="both"/>
        <w:rPr>
          <w:rFonts w:ascii="Arial" w:hAnsi="Arial"/>
          <w:sz w:val="22"/>
          <w:szCs w:val="22"/>
        </w:rPr>
      </w:pPr>
    </w:p>
    <w:p w:rsidR="00E858A2" w:rsidRPr="00E8493A" w:rsidRDefault="00E858A2" w:rsidP="00856262">
      <w:pPr>
        <w:pStyle w:val="ListParagraph"/>
        <w:numPr>
          <w:ilvl w:val="1"/>
          <w:numId w:val="1"/>
        </w:numPr>
        <w:ind w:left="709" w:hanging="709"/>
        <w:jc w:val="both"/>
        <w:rPr>
          <w:rFonts w:ascii="Arial" w:hAnsi="Arial"/>
          <w:b/>
          <w:sz w:val="22"/>
          <w:szCs w:val="22"/>
        </w:rPr>
      </w:pPr>
      <w:r w:rsidRPr="00E8493A">
        <w:rPr>
          <w:rFonts w:ascii="Arial" w:hAnsi="Arial"/>
          <w:sz w:val="22"/>
          <w:szCs w:val="22"/>
        </w:rPr>
        <w:t xml:space="preserve">As previously, the PBAC was satisfied that </w:t>
      </w:r>
      <w:proofErr w:type="spellStart"/>
      <w:r w:rsidR="00EF09E1" w:rsidRPr="00330E07">
        <w:rPr>
          <w:rFonts w:ascii="Arial" w:hAnsi="Arial"/>
          <w:sz w:val="22"/>
          <w:szCs w:val="22"/>
        </w:rPr>
        <w:t>brentuximab</w:t>
      </w:r>
      <w:proofErr w:type="spellEnd"/>
      <w:r w:rsidR="00EF09E1" w:rsidRPr="00330E07">
        <w:rPr>
          <w:rFonts w:ascii="Arial" w:hAnsi="Arial"/>
          <w:sz w:val="22"/>
          <w:szCs w:val="22"/>
        </w:rPr>
        <w:t xml:space="preserve"> </w:t>
      </w:r>
      <w:proofErr w:type="spellStart"/>
      <w:r w:rsidR="00EF09E1" w:rsidRPr="00330E07">
        <w:rPr>
          <w:rFonts w:ascii="Arial" w:hAnsi="Arial"/>
          <w:sz w:val="22"/>
          <w:szCs w:val="22"/>
        </w:rPr>
        <w:t>vedotin</w:t>
      </w:r>
      <w:proofErr w:type="spellEnd"/>
      <w:r w:rsidR="00EF09E1" w:rsidRPr="00330E07">
        <w:rPr>
          <w:rFonts w:ascii="Arial" w:hAnsi="Arial"/>
          <w:sz w:val="22"/>
          <w:szCs w:val="22"/>
        </w:rPr>
        <w:t xml:space="preserve"> </w:t>
      </w:r>
      <w:r w:rsidRPr="00E8493A">
        <w:rPr>
          <w:rFonts w:ascii="Arial" w:hAnsi="Arial"/>
          <w:sz w:val="22"/>
          <w:szCs w:val="22"/>
        </w:rPr>
        <w:t>provides, for some patients, a significant improvement in efficacy over multi-agent salvage chemotherapy</w:t>
      </w:r>
      <w:r>
        <w:rPr>
          <w:rFonts w:ascii="Arial" w:hAnsi="Arial"/>
          <w:sz w:val="22"/>
          <w:szCs w:val="22"/>
        </w:rPr>
        <w:t>.</w:t>
      </w:r>
      <w:r w:rsidRPr="00E8493A">
        <w:rPr>
          <w:rFonts w:ascii="Arial" w:hAnsi="Arial"/>
          <w:color w:val="00B050"/>
          <w:sz w:val="22"/>
          <w:szCs w:val="22"/>
        </w:rPr>
        <w:t xml:space="preserve"> </w:t>
      </w:r>
    </w:p>
    <w:p w:rsidR="003C46EF" w:rsidRDefault="003C46EF" w:rsidP="003C46EF">
      <w:pPr>
        <w:pStyle w:val="ListParagraph"/>
        <w:ind w:left="709"/>
        <w:jc w:val="both"/>
        <w:rPr>
          <w:rFonts w:ascii="Arial" w:hAnsi="Arial"/>
          <w:sz w:val="22"/>
          <w:szCs w:val="22"/>
        </w:rPr>
      </w:pPr>
    </w:p>
    <w:p w:rsidR="00E858A2" w:rsidRPr="003C46EF" w:rsidRDefault="00E858A2" w:rsidP="00E96F75">
      <w:pPr>
        <w:pStyle w:val="ListParagraph"/>
        <w:keepNext/>
        <w:keepLines/>
        <w:numPr>
          <w:ilvl w:val="1"/>
          <w:numId w:val="1"/>
        </w:numPr>
        <w:ind w:left="709" w:hanging="709"/>
        <w:jc w:val="both"/>
        <w:rPr>
          <w:rFonts w:ascii="Arial" w:hAnsi="Arial"/>
          <w:sz w:val="22"/>
          <w:szCs w:val="22"/>
        </w:rPr>
      </w:pPr>
      <w:r w:rsidRPr="003C46EF">
        <w:rPr>
          <w:rFonts w:ascii="Arial" w:hAnsi="Arial"/>
          <w:sz w:val="22"/>
          <w:szCs w:val="22"/>
        </w:rPr>
        <w:t>The PBAC noted that the key matter in the re-submission was the revised post</w:t>
      </w:r>
      <w:r w:rsidRPr="003C46EF">
        <w:rPr>
          <w:rFonts w:ascii="Arial" w:hAnsi="Arial"/>
          <w:sz w:val="22"/>
          <w:szCs w:val="22"/>
        </w:rPr>
        <w:noBreakHyphen/>
        <w:t>progression disease management costs. Although a number of methods for deriving post-progression costs were presented in the submission, the evaluation and the pre</w:t>
      </w:r>
      <w:r w:rsidRPr="003C46EF">
        <w:rPr>
          <w:rFonts w:ascii="Arial" w:hAnsi="Arial"/>
          <w:sz w:val="22"/>
          <w:szCs w:val="22"/>
        </w:rPr>
        <w:noBreakHyphen/>
        <w:t xml:space="preserve">PBAC response, they were all based on </w:t>
      </w:r>
      <w:r w:rsidRPr="003C46EF">
        <w:rPr>
          <w:rFonts w:ascii="Arial" w:hAnsi="Arial"/>
          <w:i/>
          <w:sz w:val="22"/>
          <w:szCs w:val="22"/>
        </w:rPr>
        <w:t>Lee et al 2008</w:t>
      </w:r>
      <w:r w:rsidRPr="003C46EF">
        <w:rPr>
          <w:rFonts w:ascii="Arial" w:hAnsi="Arial"/>
          <w:sz w:val="22"/>
          <w:szCs w:val="22"/>
        </w:rPr>
        <w:t xml:space="preserve">. The PBAC considered that the most appropriate way to derive costs from </w:t>
      </w:r>
      <w:r w:rsidRPr="003C46EF">
        <w:rPr>
          <w:rFonts w:ascii="Arial" w:hAnsi="Arial"/>
          <w:i/>
          <w:sz w:val="22"/>
          <w:szCs w:val="22"/>
        </w:rPr>
        <w:t>Lee et al 2008</w:t>
      </w:r>
      <w:r w:rsidRPr="003C46EF">
        <w:rPr>
          <w:rFonts w:ascii="Arial" w:hAnsi="Arial"/>
          <w:sz w:val="22"/>
          <w:szCs w:val="22"/>
        </w:rPr>
        <w:t xml:space="preserve"> was through the use of a single all-inclusive weighting across each treatment pathway. This resulted in post</w:t>
      </w:r>
      <w:r w:rsidRPr="003C46EF">
        <w:rPr>
          <w:rFonts w:ascii="Arial" w:hAnsi="Arial"/>
          <w:sz w:val="22"/>
          <w:szCs w:val="22"/>
        </w:rPr>
        <w:noBreakHyphen/>
        <w:t xml:space="preserve">progression disease management costs of around $2,300 per 21-day cycle. </w:t>
      </w:r>
    </w:p>
    <w:p w:rsidR="00E858A2" w:rsidRPr="008B3B3F" w:rsidRDefault="00E858A2" w:rsidP="008B3B3F">
      <w:pPr>
        <w:pStyle w:val="ListParagraph"/>
        <w:rPr>
          <w:rFonts w:ascii="Arial" w:hAnsi="Arial"/>
          <w:sz w:val="22"/>
          <w:szCs w:val="22"/>
        </w:rPr>
      </w:pPr>
    </w:p>
    <w:p w:rsidR="00E858A2" w:rsidRPr="002B1BE3" w:rsidRDefault="00E858A2" w:rsidP="00856262">
      <w:pPr>
        <w:pStyle w:val="ListParagraph"/>
        <w:numPr>
          <w:ilvl w:val="1"/>
          <w:numId w:val="1"/>
        </w:numPr>
        <w:ind w:left="709" w:hanging="709"/>
        <w:jc w:val="both"/>
        <w:rPr>
          <w:rFonts w:ascii="Arial" w:hAnsi="Arial"/>
          <w:sz w:val="22"/>
          <w:szCs w:val="22"/>
        </w:rPr>
      </w:pPr>
      <w:r>
        <w:rPr>
          <w:rFonts w:ascii="Arial" w:hAnsi="Arial"/>
          <w:i/>
          <w:sz w:val="22"/>
          <w:szCs w:val="22"/>
        </w:rPr>
        <w:t xml:space="preserve">Lee </w:t>
      </w:r>
      <w:r w:rsidRPr="008B3B3F">
        <w:rPr>
          <w:rFonts w:ascii="Arial" w:hAnsi="Arial"/>
          <w:i/>
          <w:sz w:val="22"/>
          <w:szCs w:val="22"/>
        </w:rPr>
        <w:t>et al 2008</w:t>
      </w:r>
      <w:r>
        <w:rPr>
          <w:rFonts w:ascii="Arial" w:hAnsi="Arial"/>
          <w:i/>
          <w:sz w:val="22"/>
          <w:szCs w:val="22"/>
        </w:rPr>
        <w:t xml:space="preserve"> </w:t>
      </w:r>
      <w:r>
        <w:rPr>
          <w:rFonts w:ascii="Arial" w:hAnsi="Arial"/>
          <w:sz w:val="22"/>
          <w:szCs w:val="22"/>
        </w:rPr>
        <w:t xml:space="preserve">was a micro-costing study undertaken in Canada in patients with diffuse large B-cell lymphoma. Therefore, the PBAC considered that </w:t>
      </w:r>
      <w:r w:rsidRPr="00050586">
        <w:rPr>
          <w:rFonts w:ascii="Arial" w:hAnsi="Arial"/>
          <w:sz w:val="22"/>
          <w:szCs w:val="22"/>
        </w:rPr>
        <w:t xml:space="preserve">any </w:t>
      </w:r>
      <w:r>
        <w:rPr>
          <w:rFonts w:ascii="Arial" w:hAnsi="Arial"/>
          <w:sz w:val="22"/>
          <w:szCs w:val="22"/>
        </w:rPr>
        <w:t>further revision to the post</w:t>
      </w:r>
      <w:r>
        <w:rPr>
          <w:rFonts w:ascii="Arial" w:hAnsi="Arial"/>
          <w:sz w:val="22"/>
          <w:szCs w:val="22"/>
        </w:rPr>
        <w:noBreakHyphen/>
      </w:r>
      <w:r w:rsidRPr="00481AFA">
        <w:rPr>
          <w:rFonts w:ascii="Arial" w:hAnsi="Arial"/>
          <w:sz w:val="22"/>
          <w:szCs w:val="22"/>
        </w:rPr>
        <w:t>progression disease management costs</w:t>
      </w:r>
      <w:r>
        <w:rPr>
          <w:rFonts w:ascii="Arial" w:hAnsi="Arial"/>
          <w:sz w:val="22"/>
          <w:szCs w:val="22"/>
        </w:rPr>
        <w:t xml:space="preserve"> (beyond the value accepted in the paragraph above) would need to be justified through a costing study </w:t>
      </w:r>
      <w:r>
        <w:rPr>
          <w:rFonts w:ascii="Arial" w:hAnsi="Arial"/>
          <w:sz w:val="22"/>
          <w:szCs w:val="22"/>
        </w:rPr>
        <w:lastRenderedPageBreak/>
        <w:t xml:space="preserve">in a relevant group of patients in Australia or by use of a robust method of weighting costs. </w:t>
      </w:r>
      <w:r w:rsidRPr="002B1BE3">
        <w:rPr>
          <w:rFonts w:ascii="Arial" w:hAnsi="Arial"/>
          <w:sz w:val="22"/>
          <w:szCs w:val="22"/>
        </w:rPr>
        <w:t>Evaluation of thes</w:t>
      </w:r>
      <w:r>
        <w:rPr>
          <w:rFonts w:ascii="Arial" w:hAnsi="Arial"/>
          <w:sz w:val="22"/>
          <w:szCs w:val="22"/>
        </w:rPr>
        <w:t>e data would require a major re</w:t>
      </w:r>
      <w:r>
        <w:rPr>
          <w:rFonts w:ascii="Arial" w:hAnsi="Arial"/>
          <w:sz w:val="22"/>
          <w:szCs w:val="22"/>
        </w:rPr>
        <w:noBreakHyphen/>
      </w:r>
      <w:r w:rsidRPr="002B1BE3">
        <w:rPr>
          <w:rFonts w:ascii="Arial" w:hAnsi="Arial"/>
          <w:sz w:val="22"/>
          <w:szCs w:val="22"/>
        </w:rPr>
        <w:t>submission.</w:t>
      </w:r>
    </w:p>
    <w:p w:rsidR="00E858A2" w:rsidRDefault="00E858A2" w:rsidP="008B3B3F">
      <w:pPr>
        <w:pStyle w:val="ListParagraph"/>
        <w:ind w:left="709"/>
        <w:jc w:val="both"/>
        <w:rPr>
          <w:rFonts w:ascii="Arial" w:hAnsi="Arial"/>
          <w:sz w:val="22"/>
          <w:szCs w:val="22"/>
          <w:u w:val="single"/>
        </w:rPr>
      </w:pPr>
    </w:p>
    <w:p w:rsidR="00E858A2" w:rsidRPr="004B3079" w:rsidRDefault="00E858A2" w:rsidP="00856262">
      <w:pPr>
        <w:pStyle w:val="ListParagraph"/>
        <w:numPr>
          <w:ilvl w:val="1"/>
          <w:numId w:val="1"/>
        </w:numPr>
        <w:ind w:left="709" w:hanging="709"/>
        <w:jc w:val="both"/>
        <w:rPr>
          <w:rFonts w:ascii="Arial" w:hAnsi="Arial"/>
          <w:sz w:val="22"/>
          <w:szCs w:val="22"/>
          <w:u w:val="single"/>
        </w:rPr>
      </w:pPr>
      <w:r w:rsidRPr="004B3079">
        <w:rPr>
          <w:rFonts w:ascii="Arial" w:hAnsi="Arial"/>
          <w:sz w:val="22"/>
          <w:szCs w:val="22"/>
          <w:u w:val="single"/>
        </w:rPr>
        <w:t xml:space="preserve">Advice to the Minister under subsection 101(3BA) of the </w:t>
      </w:r>
      <w:r w:rsidRPr="004B3079">
        <w:rPr>
          <w:rFonts w:ascii="Arial" w:hAnsi="Arial"/>
          <w:i/>
          <w:sz w:val="22"/>
          <w:szCs w:val="22"/>
          <w:u w:val="single"/>
        </w:rPr>
        <w:t>National Health Act</w:t>
      </w:r>
      <w:r>
        <w:rPr>
          <w:rFonts w:ascii="Arial" w:hAnsi="Arial"/>
          <w:i/>
          <w:sz w:val="22"/>
          <w:szCs w:val="22"/>
          <w:u w:val="single"/>
        </w:rPr>
        <w:t xml:space="preserve"> 1953</w:t>
      </w:r>
    </w:p>
    <w:p w:rsidR="00E858A2" w:rsidRPr="004B3079" w:rsidRDefault="00E858A2" w:rsidP="004B3079">
      <w:pPr>
        <w:ind w:left="710"/>
        <w:jc w:val="both"/>
        <w:rPr>
          <w:rFonts w:ascii="Arial" w:hAnsi="Arial"/>
          <w:sz w:val="22"/>
          <w:szCs w:val="22"/>
        </w:rPr>
      </w:pPr>
      <w:r w:rsidRPr="004B3079">
        <w:rPr>
          <w:rFonts w:ascii="Arial" w:hAnsi="Arial"/>
          <w:sz w:val="22"/>
          <w:szCs w:val="22"/>
        </w:rPr>
        <w:t xml:space="preserve">In accordance with subsection 101(3BA) of the </w:t>
      </w:r>
      <w:r w:rsidRPr="004B3079">
        <w:rPr>
          <w:rFonts w:ascii="Arial" w:hAnsi="Arial"/>
          <w:i/>
          <w:sz w:val="22"/>
          <w:szCs w:val="22"/>
        </w:rPr>
        <w:t>National Health Act 1953</w:t>
      </w:r>
      <w:r w:rsidRPr="004B3079">
        <w:rPr>
          <w:rFonts w:ascii="Arial" w:hAnsi="Arial"/>
          <w:sz w:val="22"/>
          <w:szCs w:val="22"/>
        </w:rPr>
        <w:t xml:space="preserve">, the PBAC advised that it is of the opinion that, on the basis of the material available to it at its </w:t>
      </w:r>
      <w:r>
        <w:rPr>
          <w:rFonts w:ascii="Arial" w:hAnsi="Arial"/>
          <w:sz w:val="22"/>
          <w:szCs w:val="22"/>
        </w:rPr>
        <w:t>July</w:t>
      </w:r>
      <w:r w:rsidRPr="004B3079">
        <w:rPr>
          <w:rFonts w:ascii="Arial" w:hAnsi="Arial"/>
          <w:sz w:val="22"/>
          <w:szCs w:val="22"/>
        </w:rPr>
        <w:t xml:space="preserve"> 2014 meeting, </w:t>
      </w:r>
      <w:proofErr w:type="spellStart"/>
      <w:r w:rsidRPr="004B3079">
        <w:rPr>
          <w:rFonts w:ascii="Arial" w:hAnsi="Arial"/>
          <w:sz w:val="22"/>
          <w:szCs w:val="22"/>
        </w:rPr>
        <w:t>brentuximab</w:t>
      </w:r>
      <w:proofErr w:type="spellEnd"/>
      <w:r w:rsidRPr="004B3079">
        <w:rPr>
          <w:rFonts w:ascii="Arial" w:hAnsi="Arial"/>
          <w:sz w:val="22"/>
          <w:szCs w:val="22"/>
        </w:rPr>
        <w:t xml:space="preserve"> </w:t>
      </w:r>
      <w:proofErr w:type="spellStart"/>
      <w:r w:rsidRPr="004B3079">
        <w:rPr>
          <w:rFonts w:ascii="Arial" w:hAnsi="Arial"/>
          <w:sz w:val="22"/>
          <w:szCs w:val="22"/>
        </w:rPr>
        <w:t>vedotin</w:t>
      </w:r>
      <w:proofErr w:type="spellEnd"/>
      <w:r w:rsidRPr="004B3079">
        <w:rPr>
          <w:rFonts w:ascii="Arial" w:hAnsi="Arial"/>
          <w:sz w:val="22"/>
          <w:szCs w:val="22"/>
        </w:rPr>
        <w:t xml:space="preserve"> should not be treated as interchangeable on an individual patient basis with any other drug(s) or medicinal preparation(s).</w:t>
      </w:r>
    </w:p>
    <w:p w:rsidR="00E858A2" w:rsidRPr="004B3079" w:rsidRDefault="00E858A2" w:rsidP="004B3079">
      <w:pPr>
        <w:pStyle w:val="ListParagraph"/>
        <w:ind w:left="1070"/>
        <w:jc w:val="both"/>
        <w:rPr>
          <w:rFonts w:ascii="Arial" w:hAnsi="Arial"/>
          <w:sz w:val="22"/>
          <w:szCs w:val="22"/>
        </w:rPr>
      </w:pPr>
    </w:p>
    <w:p w:rsidR="00E858A2" w:rsidRPr="004B3079" w:rsidRDefault="00E858A2" w:rsidP="00856262">
      <w:pPr>
        <w:pStyle w:val="ListParagraph"/>
        <w:numPr>
          <w:ilvl w:val="1"/>
          <w:numId w:val="1"/>
        </w:numPr>
        <w:ind w:left="709" w:hanging="709"/>
        <w:jc w:val="both"/>
        <w:rPr>
          <w:rFonts w:ascii="Arial" w:hAnsi="Arial"/>
          <w:sz w:val="22"/>
          <w:szCs w:val="22"/>
        </w:rPr>
      </w:pPr>
      <w:r w:rsidRPr="004B3079">
        <w:rPr>
          <w:rFonts w:ascii="Arial" w:hAnsi="Arial"/>
          <w:sz w:val="22"/>
          <w:szCs w:val="22"/>
        </w:rPr>
        <w:t xml:space="preserve">The PBAC advised that </w:t>
      </w:r>
      <w:proofErr w:type="spellStart"/>
      <w:r w:rsidRPr="004B3079">
        <w:rPr>
          <w:rFonts w:ascii="Arial" w:hAnsi="Arial"/>
          <w:sz w:val="22"/>
          <w:szCs w:val="22"/>
        </w:rPr>
        <w:t>brentuximab</w:t>
      </w:r>
      <w:proofErr w:type="spellEnd"/>
      <w:r w:rsidRPr="004B3079">
        <w:rPr>
          <w:rFonts w:ascii="Arial" w:hAnsi="Arial"/>
          <w:sz w:val="22"/>
          <w:szCs w:val="22"/>
        </w:rPr>
        <w:t xml:space="preserve"> </w:t>
      </w:r>
      <w:proofErr w:type="spellStart"/>
      <w:r w:rsidRPr="004B3079">
        <w:rPr>
          <w:rFonts w:ascii="Arial" w:hAnsi="Arial"/>
          <w:sz w:val="22"/>
          <w:szCs w:val="22"/>
        </w:rPr>
        <w:t>vedotin</w:t>
      </w:r>
      <w:proofErr w:type="spellEnd"/>
      <w:r w:rsidRPr="004B3079">
        <w:rPr>
          <w:rFonts w:ascii="Arial" w:hAnsi="Arial"/>
          <w:sz w:val="22"/>
          <w:szCs w:val="22"/>
        </w:rPr>
        <w:t xml:space="preserve"> is not suitable for inclusion in the list of medicines for prescribing by nurse practitioners, noting that chemotherapy agents are currently considered out of scope for prescribing by nurse practitioners.</w:t>
      </w:r>
    </w:p>
    <w:p w:rsidR="00E858A2" w:rsidRPr="004B3079" w:rsidRDefault="00E858A2" w:rsidP="004B3079">
      <w:pPr>
        <w:pStyle w:val="ListParagraph"/>
        <w:ind w:left="1070"/>
        <w:jc w:val="both"/>
        <w:rPr>
          <w:rFonts w:ascii="Arial" w:hAnsi="Arial"/>
          <w:sz w:val="22"/>
          <w:szCs w:val="22"/>
        </w:rPr>
      </w:pPr>
    </w:p>
    <w:p w:rsidR="00E858A2" w:rsidRPr="004B3079" w:rsidRDefault="00E858A2" w:rsidP="00856262">
      <w:pPr>
        <w:pStyle w:val="ListParagraph"/>
        <w:numPr>
          <w:ilvl w:val="1"/>
          <w:numId w:val="1"/>
        </w:numPr>
        <w:ind w:left="709" w:hanging="709"/>
        <w:jc w:val="both"/>
        <w:rPr>
          <w:rFonts w:ascii="Arial" w:hAnsi="Arial"/>
          <w:sz w:val="22"/>
          <w:szCs w:val="22"/>
        </w:rPr>
      </w:pPr>
      <w:r w:rsidRPr="004B3079">
        <w:rPr>
          <w:rFonts w:ascii="Arial" w:hAnsi="Arial"/>
          <w:sz w:val="22"/>
          <w:szCs w:val="22"/>
        </w:rPr>
        <w:t>The Safety Net 20 Day Rule should not apply.</w:t>
      </w:r>
    </w:p>
    <w:p w:rsidR="00E858A2" w:rsidRDefault="00E858A2" w:rsidP="004B3079">
      <w:pPr>
        <w:pStyle w:val="ListParagraph"/>
        <w:ind w:left="709"/>
        <w:jc w:val="both"/>
        <w:rPr>
          <w:rFonts w:ascii="Arial" w:hAnsi="Arial"/>
          <w:sz w:val="22"/>
          <w:szCs w:val="22"/>
        </w:rPr>
      </w:pPr>
    </w:p>
    <w:p w:rsidR="00E858A2" w:rsidRDefault="00E858A2" w:rsidP="00856262">
      <w:pPr>
        <w:pStyle w:val="ListParagraph"/>
        <w:numPr>
          <w:ilvl w:val="1"/>
          <w:numId w:val="1"/>
        </w:numPr>
        <w:ind w:left="709" w:hanging="709"/>
        <w:jc w:val="both"/>
        <w:rPr>
          <w:rFonts w:ascii="Arial" w:hAnsi="Arial"/>
          <w:sz w:val="22"/>
          <w:szCs w:val="22"/>
        </w:rPr>
      </w:pPr>
      <w:r>
        <w:rPr>
          <w:rFonts w:ascii="Arial" w:hAnsi="Arial"/>
          <w:sz w:val="22"/>
          <w:szCs w:val="22"/>
        </w:rPr>
        <w:t xml:space="preserve">The PBAC noted that this submission is not </w:t>
      </w:r>
      <w:r w:rsidRPr="00882085">
        <w:rPr>
          <w:rFonts w:ascii="Arial" w:hAnsi="Arial"/>
          <w:sz w:val="22"/>
          <w:szCs w:val="22"/>
        </w:rPr>
        <w:t>eligibl</w:t>
      </w:r>
      <w:r>
        <w:rPr>
          <w:rFonts w:ascii="Arial" w:hAnsi="Arial"/>
          <w:sz w:val="22"/>
          <w:szCs w:val="22"/>
        </w:rPr>
        <w:t>e</w:t>
      </w:r>
      <w:r w:rsidRPr="00882085">
        <w:rPr>
          <w:rFonts w:ascii="Arial" w:hAnsi="Arial"/>
          <w:sz w:val="22"/>
          <w:szCs w:val="22"/>
        </w:rPr>
        <w:t xml:space="preserve"> for </w:t>
      </w:r>
      <w:r>
        <w:rPr>
          <w:rFonts w:ascii="Arial" w:hAnsi="Arial"/>
          <w:sz w:val="22"/>
          <w:szCs w:val="22"/>
        </w:rPr>
        <w:t xml:space="preserve">an </w:t>
      </w:r>
      <w:r w:rsidRPr="00882085">
        <w:rPr>
          <w:rFonts w:ascii="Arial" w:hAnsi="Arial"/>
          <w:sz w:val="22"/>
          <w:szCs w:val="22"/>
        </w:rPr>
        <w:t>Independent Review.</w:t>
      </w:r>
      <w:r>
        <w:rPr>
          <w:rFonts w:ascii="Arial" w:hAnsi="Arial"/>
          <w:sz w:val="22"/>
          <w:szCs w:val="22"/>
        </w:rPr>
        <w:t xml:space="preserve"> </w:t>
      </w:r>
    </w:p>
    <w:p w:rsidR="00E858A2" w:rsidRDefault="00E858A2" w:rsidP="00D63B5C">
      <w:pPr>
        <w:pStyle w:val="ListParagraph"/>
        <w:rPr>
          <w:rFonts w:ascii="Arial" w:hAnsi="Arial"/>
          <w:sz w:val="22"/>
          <w:szCs w:val="22"/>
        </w:rPr>
      </w:pPr>
    </w:p>
    <w:p w:rsidR="00AC53A2" w:rsidRPr="002A0D49" w:rsidRDefault="00AC53A2" w:rsidP="00D63B5C">
      <w:pPr>
        <w:pStyle w:val="ListParagraph"/>
        <w:rPr>
          <w:rFonts w:ascii="Arial" w:hAnsi="Arial"/>
          <w:sz w:val="22"/>
          <w:szCs w:val="22"/>
        </w:rPr>
      </w:pPr>
    </w:p>
    <w:p w:rsidR="00E858A2" w:rsidRPr="00882085" w:rsidRDefault="00E858A2" w:rsidP="00882085">
      <w:pPr>
        <w:jc w:val="both"/>
        <w:rPr>
          <w:rFonts w:ascii="Arial" w:hAnsi="Arial"/>
          <w:b/>
          <w:sz w:val="22"/>
          <w:szCs w:val="22"/>
        </w:rPr>
      </w:pPr>
      <w:r w:rsidRPr="00882085">
        <w:rPr>
          <w:rFonts w:ascii="Arial" w:hAnsi="Arial"/>
          <w:b/>
          <w:sz w:val="22"/>
          <w:szCs w:val="22"/>
        </w:rPr>
        <w:t>Outcome:</w:t>
      </w:r>
    </w:p>
    <w:p w:rsidR="00E858A2" w:rsidRDefault="00E858A2" w:rsidP="00882085">
      <w:pPr>
        <w:jc w:val="both"/>
        <w:rPr>
          <w:rFonts w:ascii="Arial" w:hAnsi="Arial"/>
          <w:sz w:val="22"/>
          <w:szCs w:val="22"/>
        </w:rPr>
      </w:pPr>
      <w:r w:rsidRPr="00882085">
        <w:rPr>
          <w:rFonts w:ascii="Arial" w:hAnsi="Arial"/>
          <w:sz w:val="22"/>
          <w:szCs w:val="22"/>
        </w:rPr>
        <w:t xml:space="preserve">Recommended </w:t>
      </w:r>
    </w:p>
    <w:p w:rsidR="00E858A2" w:rsidRDefault="00E858A2" w:rsidP="00670756">
      <w:pPr>
        <w:tabs>
          <w:tab w:val="left" w:pos="3075"/>
        </w:tabs>
        <w:jc w:val="both"/>
        <w:rPr>
          <w:rFonts w:ascii="Arial" w:hAnsi="Arial"/>
          <w:sz w:val="22"/>
          <w:szCs w:val="22"/>
        </w:rPr>
      </w:pPr>
    </w:p>
    <w:p w:rsidR="00E858A2" w:rsidRPr="000E0915" w:rsidRDefault="00E858A2" w:rsidP="00856262">
      <w:pPr>
        <w:pStyle w:val="ListParagraph"/>
        <w:numPr>
          <w:ilvl w:val="0"/>
          <w:numId w:val="1"/>
        </w:numPr>
        <w:jc w:val="both"/>
        <w:rPr>
          <w:rFonts w:ascii="Arial" w:hAnsi="Arial"/>
          <w:b/>
          <w:i/>
          <w:sz w:val="22"/>
          <w:szCs w:val="22"/>
        </w:rPr>
      </w:pPr>
      <w:r w:rsidRPr="00882085">
        <w:rPr>
          <w:rFonts w:ascii="Arial" w:hAnsi="Arial" w:cs="Arial"/>
          <w:b/>
          <w:sz w:val="22"/>
          <w:szCs w:val="22"/>
        </w:rPr>
        <w:t>Recommended listing</w:t>
      </w:r>
    </w:p>
    <w:p w:rsidR="000E0915" w:rsidRPr="000E0915" w:rsidRDefault="000E0915" w:rsidP="000E0915">
      <w:pPr>
        <w:pStyle w:val="ListParagraph"/>
        <w:numPr>
          <w:ilvl w:val="1"/>
          <w:numId w:val="1"/>
        </w:numPr>
        <w:jc w:val="both"/>
        <w:rPr>
          <w:rFonts w:ascii="Arial" w:hAnsi="Arial"/>
          <w:b/>
          <w:i/>
          <w:sz w:val="22"/>
          <w:szCs w:val="22"/>
        </w:rPr>
      </w:pPr>
      <w:r w:rsidRPr="000E0915">
        <w:rPr>
          <w:rFonts w:ascii="Arial" w:hAnsi="Arial"/>
          <w:sz w:val="22"/>
          <w:szCs w:val="22"/>
        </w:rPr>
        <w:t>Add new item:</w:t>
      </w:r>
    </w:p>
    <w:tbl>
      <w:tblPr>
        <w:tblW w:w="7609" w:type="dxa"/>
        <w:tblInd w:w="817" w:type="dxa"/>
        <w:tblLayout w:type="fixed"/>
        <w:tblLook w:val="0000" w:firstRow="0" w:lastRow="0" w:firstColumn="0" w:lastColumn="0" w:noHBand="0" w:noVBand="0"/>
        <w:tblDescription w:val="brentuximab listing"/>
      </w:tblPr>
      <w:tblGrid>
        <w:gridCol w:w="1418"/>
        <w:gridCol w:w="1734"/>
        <w:gridCol w:w="1134"/>
        <w:gridCol w:w="3119"/>
        <w:gridCol w:w="33"/>
        <w:gridCol w:w="171"/>
      </w:tblGrid>
      <w:tr w:rsidR="000E0915" w:rsidRPr="00FB1003" w:rsidTr="000E0915">
        <w:trPr>
          <w:gridAfter w:val="2"/>
          <w:wAfter w:w="204" w:type="dxa"/>
          <w:cantSplit/>
          <w:trHeight w:val="471"/>
        </w:trPr>
        <w:tc>
          <w:tcPr>
            <w:tcW w:w="3152" w:type="dxa"/>
            <w:gridSpan w:val="2"/>
            <w:tcBorders>
              <w:bottom w:val="single" w:sz="4" w:space="0" w:color="auto"/>
            </w:tcBorders>
          </w:tcPr>
          <w:p w:rsidR="000E0915" w:rsidRPr="000E0915" w:rsidRDefault="000E0915" w:rsidP="000E0915">
            <w:pPr>
              <w:keepNext/>
              <w:keepLines/>
              <w:jc w:val="both"/>
              <w:rPr>
                <w:rFonts w:ascii="Arial" w:hAnsi="Arial" w:cs="Arial"/>
                <w:sz w:val="20"/>
              </w:rPr>
            </w:pPr>
            <w:r w:rsidRPr="000E0915">
              <w:rPr>
                <w:rFonts w:ascii="Arial" w:hAnsi="Arial" w:cs="Arial"/>
                <w:sz w:val="20"/>
              </w:rPr>
              <w:t>Name, Restriction,</w:t>
            </w:r>
          </w:p>
          <w:p w:rsidR="000E0915" w:rsidRPr="000E0915" w:rsidRDefault="000E0915" w:rsidP="000E0915">
            <w:pPr>
              <w:keepNext/>
              <w:keepLines/>
              <w:jc w:val="both"/>
              <w:rPr>
                <w:rFonts w:ascii="Arial" w:hAnsi="Arial" w:cs="Arial"/>
                <w:sz w:val="20"/>
              </w:rPr>
            </w:pPr>
            <w:r w:rsidRPr="000E0915">
              <w:rPr>
                <w:rFonts w:ascii="Arial" w:hAnsi="Arial" w:cs="Arial"/>
                <w:sz w:val="20"/>
              </w:rPr>
              <w:t>Manner of administration and form</w:t>
            </w:r>
          </w:p>
        </w:tc>
        <w:tc>
          <w:tcPr>
            <w:tcW w:w="1134" w:type="dxa"/>
            <w:tcBorders>
              <w:bottom w:val="single" w:sz="4" w:space="0" w:color="auto"/>
            </w:tcBorders>
          </w:tcPr>
          <w:p w:rsidR="000E0915" w:rsidRPr="00FB1003" w:rsidRDefault="000E0915" w:rsidP="000E0915">
            <w:pPr>
              <w:keepNext/>
              <w:keepLines/>
              <w:ind w:left="-108"/>
              <w:jc w:val="both"/>
              <w:rPr>
                <w:rFonts w:ascii="Arial" w:hAnsi="Arial" w:cs="Arial"/>
                <w:sz w:val="20"/>
              </w:rPr>
            </w:pPr>
            <w:r w:rsidRPr="00FB1003">
              <w:rPr>
                <w:rFonts w:ascii="Arial" w:hAnsi="Arial" w:cs="Arial"/>
                <w:sz w:val="20"/>
              </w:rPr>
              <w:t>Max.</w:t>
            </w:r>
          </w:p>
          <w:p w:rsidR="000E0915" w:rsidRPr="00FB1003" w:rsidRDefault="000E0915" w:rsidP="000E0915">
            <w:pPr>
              <w:keepNext/>
              <w:keepLines/>
              <w:ind w:left="-108"/>
              <w:jc w:val="both"/>
              <w:rPr>
                <w:rFonts w:ascii="Arial" w:hAnsi="Arial" w:cs="Arial"/>
                <w:sz w:val="20"/>
              </w:rPr>
            </w:pPr>
            <w:proofErr w:type="spellStart"/>
            <w:r>
              <w:rPr>
                <w:rFonts w:ascii="Arial" w:hAnsi="Arial" w:cs="Arial"/>
                <w:sz w:val="20"/>
              </w:rPr>
              <w:t>Amt</w:t>
            </w:r>
            <w:proofErr w:type="spellEnd"/>
          </w:p>
        </w:tc>
        <w:tc>
          <w:tcPr>
            <w:tcW w:w="3119" w:type="dxa"/>
            <w:tcBorders>
              <w:bottom w:val="single" w:sz="4" w:space="0" w:color="auto"/>
            </w:tcBorders>
          </w:tcPr>
          <w:p w:rsidR="000E0915" w:rsidRPr="00FB1003" w:rsidRDefault="000E0915" w:rsidP="000E0915">
            <w:pPr>
              <w:keepNext/>
              <w:keepLines/>
              <w:ind w:left="-108"/>
              <w:jc w:val="both"/>
              <w:rPr>
                <w:rFonts w:ascii="Arial" w:hAnsi="Arial" w:cs="Arial"/>
                <w:sz w:val="20"/>
              </w:rPr>
            </w:pPr>
            <w:r w:rsidRPr="00FB1003">
              <w:rPr>
                <w:rFonts w:ascii="Arial" w:hAnsi="Arial" w:cs="Arial"/>
                <w:sz w:val="20"/>
              </w:rPr>
              <w:t>№.of</w:t>
            </w:r>
          </w:p>
          <w:p w:rsidR="000E0915" w:rsidRPr="00FB1003" w:rsidRDefault="000E0915" w:rsidP="000E0915">
            <w:pPr>
              <w:keepNext/>
              <w:keepLines/>
              <w:ind w:left="-108"/>
              <w:jc w:val="both"/>
              <w:rPr>
                <w:rFonts w:ascii="Arial" w:hAnsi="Arial" w:cs="Arial"/>
                <w:sz w:val="20"/>
              </w:rPr>
            </w:pPr>
            <w:proofErr w:type="spellStart"/>
            <w:r w:rsidRPr="00FB1003">
              <w:rPr>
                <w:rFonts w:ascii="Arial" w:hAnsi="Arial" w:cs="Arial"/>
                <w:sz w:val="20"/>
              </w:rPr>
              <w:t>Rpts</w:t>
            </w:r>
            <w:proofErr w:type="spellEnd"/>
          </w:p>
        </w:tc>
      </w:tr>
      <w:tr w:rsidR="000E0915" w:rsidRPr="00637638" w:rsidTr="000E0915">
        <w:trPr>
          <w:gridAfter w:val="2"/>
          <w:wAfter w:w="204" w:type="dxa"/>
          <w:cantSplit/>
          <w:trHeight w:val="855"/>
        </w:trPr>
        <w:tc>
          <w:tcPr>
            <w:tcW w:w="3152" w:type="dxa"/>
            <w:gridSpan w:val="2"/>
          </w:tcPr>
          <w:p w:rsidR="000E0915" w:rsidRPr="00637638" w:rsidRDefault="000E0915" w:rsidP="000E0915">
            <w:pPr>
              <w:keepNext/>
              <w:keepLines/>
              <w:ind w:left="-108"/>
              <w:jc w:val="both"/>
              <w:rPr>
                <w:rFonts w:ascii="Arial" w:eastAsia="SimSun" w:hAnsi="Arial" w:cs="Arial"/>
                <w:sz w:val="20"/>
                <w:szCs w:val="20"/>
              </w:rPr>
            </w:pPr>
            <w:r w:rsidRPr="00637638">
              <w:rPr>
                <w:rFonts w:ascii="Arial" w:eastAsia="SimSun" w:hAnsi="Arial" w:cs="Arial"/>
                <w:smallCaps/>
                <w:sz w:val="20"/>
                <w:szCs w:val="20"/>
              </w:rPr>
              <w:t>BRENTUXIMAB VEDOTIN</w:t>
            </w:r>
          </w:p>
          <w:p w:rsidR="000E0915" w:rsidRDefault="000E0915" w:rsidP="000E0915">
            <w:pPr>
              <w:keepNext/>
              <w:keepLines/>
              <w:ind w:left="-108"/>
              <w:jc w:val="both"/>
              <w:rPr>
                <w:rFonts w:ascii="Arial" w:eastAsia="SimSun" w:hAnsi="Arial" w:cs="Arial"/>
                <w:sz w:val="20"/>
                <w:szCs w:val="20"/>
              </w:rPr>
            </w:pPr>
          </w:p>
          <w:p w:rsidR="000E0915" w:rsidRDefault="000E0915" w:rsidP="000E0915">
            <w:pPr>
              <w:keepNext/>
              <w:keepLines/>
              <w:ind w:left="-108"/>
              <w:jc w:val="both"/>
              <w:rPr>
                <w:rFonts w:ascii="Arial" w:eastAsia="SimSun" w:hAnsi="Arial" w:cs="Arial"/>
                <w:sz w:val="20"/>
                <w:szCs w:val="20"/>
              </w:rPr>
            </w:pPr>
            <w:r w:rsidRPr="00637638">
              <w:rPr>
                <w:rFonts w:ascii="Arial" w:eastAsia="SimSun" w:hAnsi="Arial" w:cs="Arial"/>
                <w:sz w:val="20"/>
                <w:szCs w:val="20"/>
              </w:rPr>
              <w:t xml:space="preserve">Injection  </w:t>
            </w:r>
          </w:p>
          <w:p w:rsidR="000E0915" w:rsidRDefault="000E0915" w:rsidP="000E0915">
            <w:pPr>
              <w:keepNext/>
              <w:keepLines/>
              <w:ind w:left="-108"/>
              <w:jc w:val="both"/>
              <w:rPr>
                <w:rFonts w:ascii="Arial" w:eastAsia="SimSun" w:hAnsi="Arial" w:cs="Arial"/>
                <w:sz w:val="20"/>
                <w:szCs w:val="20"/>
              </w:rPr>
            </w:pPr>
          </w:p>
        </w:tc>
        <w:tc>
          <w:tcPr>
            <w:tcW w:w="1134" w:type="dxa"/>
          </w:tcPr>
          <w:p w:rsidR="000E0915" w:rsidRDefault="000E0915" w:rsidP="000E0915">
            <w:pPr>
              <w:keepNext/>
              <w:keepLines/>
              <w:ind w:left="-108"/>
              <w:jc w:val="both"/>
              <w:rPr>
                <w:rFonts w:ascii="Arial" w:eastAsia="SimSun" w:hAnsi="Arial" w:cs="Arial"/>
                <w:sz w:val="20"/>
                <w:szCs w:val="20"/>
              </w:rPr>
            </w:pPr>
          </w:p>
          <w:p w:rsidR="000E0915" w:rsidRPr="00637638" w:rsidRDefault="000E0915" w:rsidP="000E0915">
            <w:pPr>
              <w:keepNext/>
              <w:keepLines/>
              <w:ind w:left="-108"/>
              <w:jc w:val="both"/>
              <w:rPr>
                <w:rFonts w:ascii="Arial" w:eastAsia="SimSun" w:hAnsi="Arial" w:cs="Arial"/>
                <w:sz w:val="20"/>
                <w:szCs w:val="20"/>
              </w:rPr>
            </w:pPr>
          </w:p>
          <w:p w:rsidR="000E0915" w:rsidRPr="00637638" w:rsidRDefault="000E0915" w:rsidP="000E0915">
            <w:pPr>
              <w:keepNext/>
              <w:keepLines/>
              <w:ind w:left="-108"/>
              <w:jc w:val="both"/>
              <w:rPr>
                <w:rFonts w:ascii="Arial" w:eastAsia="SimSun" w:hAnsi="Arial" w:cs="Arial"/>
                <w:sz w:val="20"/>
                <w:szCs w:val="20"/>
              </w:rPr>
            </w:pPr>
            <w:r w:rsidRPr="00637638">
              <w:rPr>
                <w:rFonts w:ascii="Arial" w:eastAsia="SimSun" w:hAnsi="Arial" w:cs="Arial"/>
                <w:sz w:val="20"/>
                <w:szCs w:val="20"/>
              </w:rPr>
              <w:t>200 mg</w:t>
            </w:r>
          </w:p>
        </w:tc>
        <w:tc>
          <w:tcPr>
            <w:tcW w:w="3119" w:type="dxa"/>
          </w:tcPr>
          <w:p w:rsidR="000E0915" w:rsidRDefault="000E0915" w:rsidP="000E0915">
            <w:pPr>
              <w:keepNext/>
              <w:keepLines/>
              <w:ind w:left="-108"/>
              <w:jc w:val="both"/>
              <w:rPr>
                <w:rFonts w:ascii="Arial" w:eastAsia="SimSun" w:hAnsi="Arial" w:cs="Arial"/>
                <w:sz w:val="20"/>
                <w:szCs w:val="20"/>
              </w:rPr>
            </w:pPr>
          </w:p>
          <w:p w:rsidR="000E0915" w:rsidRPr="00637638" w:rsidRDefault="000E0915" w:rsidP="000E0915">
            <w:pPr>
              <w:keepNext/>
              <w:keepLines/>
              <w:ind w:left="-108"/>
              <w:jc w:val="both"/>
              <w:rPr>
                <w:rFonts w:ascii="Arial" w:eastAsia="SimSun" w:hAnsi="Arial" w:cs="Arial"/>
                <w:sz w:val="20"/>
                <w:szCs w:val="20"/>
              </w:rPr>
            </w:pPr>
          </w:p>
          <w:p w:rsidR="000E0915" w:rsidRPr="00637638" w:rsidRDefault="000E0915" w:rsidP="000E0915">
            <w:pPr>
              <w:keepNext/>
              <w:keepLines/>
              <w:ind w:left="-108"/>
              <w:jc w:val="both"/>
              <w:rPr>
                <w:rFonts w:ascii="Arial" w:eastAsia="SimSun" w:hAnsi="Arial" w:cs="Arial"/>
                <w:sz w:val="20"/>
                <w:szCs w:val="20"/>
              </w:rPr>
            </w:pPr>
            <w:r w:rsidRPr="00637638">
              <w:rPr>
                <w:rFonts w:ascii="Arial" w:eastAsia="SimSun" w:hAnsi="Arial" w:cs="Arial"/>
                <w:sz w:val="20"/>
                <w:szCs w:val="20"/>
              </w:rPr>
              <w:t>3</w:t>
            </w:r>
          </w:p>
          <w:p w:rsidR="000E0915" w:rsidRPr="00637638" w:rsidRDefault="000E0915" w:rsidP="000E0915">
            <w:pPr>
              <w:keepNext/>
              <w:keepLines/>
              <w:jc w:val="both"/>
              <w:rPr>
                <w:rFonts w:ascii="Arial" w:eastAsia="SimSun" w:hAnsi="Arial" w:cs="Arial"/>
                <w:sz w:val="20"/>
                <w:szCs w:val="20"/>
              </w:rPr>
            </w:pPr>
          </w:p>
        </w:tc>
      </w:tr>
      <w:tr w:rsidR="000E0915" w:rsidRPr="00637638" w:rsidTr="000E0915">
        <w:trPr>
          <w:gridAfter w:val="1"/>
          <w:wAfter w:w="171" w:type="dxa"/>
          <w:cantSplit/>
          <w:trHeight w:val="864"/>
        </w:trPr>
        <w:tc>
          <w:tcPr>
            <w:tcW w:w="7438" w:type="dxa"/>
            <w:gridSpan w:val="5"/>
          </w:tcPr>
          <w:p w:rsidR="000E0915" w:rsidRDefault="000E0915" w:rsidP="000E0915">
            <w:pPr>
              <w:keepNext/>
              <w:keepLines/>
              <w:ind w:left="-108"/>
              <w:jc w:val="both"/>
              <w:rPr>
                <w:rFonts w:ascii="Arial" w:eastAsia="SimSun" w:hAnsi="Arial" w:cs="Arial"/>
                <w:sz w:val="20"/>
                <w:szCs w:val="20"/>
              </w:rPr>
            </w:pPr>
            <w:r>
              <w:rPr>
                <w:rFonts w:ascii="Arial" w:eastAsia="SimSun" w:hAnsi="Arial" w:cs="Arial"/>
                <w:sz w:val="20"/>
                <w:szCs w:val="20"/>
              </w:rPr>
              <w:t>Available brands:</w:t>
            </w:r>
          </w:p>
          <w:p w:rsidR="000E0915" w:rsidRDefault="000E0915" w:rsidP="000E0915">
            <w:pPr>
              <w:keepNext/>
              <w:keepLines/>
              <w:ind w:left="-108"/>
              <w:jc w:val="both"/>
              <w:rPr>
                <w:rFonts w:ascii="Arial" w:eastAsia="SimSun" w:hAnsi="Arial" w:cs="Arial"/>
                <w:sz w:val="20"/>
                <w:szCs w:val="20"/>
              </w:rPr>
            </w:pPr>
            <w:proofErr w:type="spellStart"/>
            <w:r>
              <w:rPr>
                <w:rFonts w:ascii="Arial" w:eastAsia="SimSun" w:hAnsi="Arial" w:cs="Arial"/>
                <w:sz w:val="20"/>
                <w:szCs w:val="20"/>
              </w:rPr>
              <w:t>Adcetris</w:t>
            </w:r>
            <w:proofErr w:type="spellEnd"/>
          </w:p>
          <w:p w:rsidR="000E0915" w:rsidRPr="00637638" w:rsidRDefault="000E0915" w:rsidP="000E0915">
            <w:pPr>
              <w:keepNext/>
              <w:keepLines/>
              <w:ind w:left="-108"/>
              <w:jc w:val="both"/>
              <w:rPr>
                <w:rFonts w:ascii="Arial" w:eastAsia="SimSun" w:hAnsi="Arial" w:cs="Arial"/>
                <w:smallCaps/>
                <w:sz w:val="20"/>
                <w:szCs w:val="20"/>
              </w:rPr>
            </w:pPr>
            <w:r>
              <w:rPr>
                <w:rFonts w:ascii="Arial" w:eastAsia="SimSun" w:hAnsi="Arial" w:cs="Arial"/>
                <w:sz w:val="20"/>
                <w:szCs w:val="20"/>
              </w:rPr>
              <w:t>(</w:t>
            </w:r>
            <w:proofErr w:type="spellStart"/>
            <w:r>
              <w:rPr>
                <w:rFonts w:ascii="Arial" w:eastAsia="SimSun" w:hAnsi="Arial" w:cs="Arial"/>
                <w:sz w:val="20"/>
                <w:szCs w:val="20"/>
              </w:rPr>
              <w:t>brentuximab</w:t>
            </w:r>
            <w:proofErr w:type="spellEnd"/>
            <w:r>
              <w:rPr>
                <w:rFonts w:ascii="Arial" w:eastAsia="SimSun" w:hAnsi="Arial" w:cs="Arial"/>
                <w:sz w:val="20"/>
                <w:szCs w:val="20"/>
              </w:rPr>
              <w:t xml:space="preserve"> </w:t>
            </w:r>
            <w:proofErr w:type="spellStart"/>
            <w:r>
              <w:rPr>
                <w:rFonts w:ascii="Arial" w:eastAsia="SimSun" w:hAnsi="Arial" w:cs="Arial"/>
                <w:sz w:val="20"/>
                <w:szCs w:val="20"/>
              </w:rPr>
              <w:t>vedotin</w:t>
            </w:r>
            <w:proofErr w:type="spellEnd"/>
            <w:r>
              <w:rPr>
                <w:rFonts w:ascii="Arial" w:eastAsia="SimSun" w:hAnsi="Arial" w:cs="Arial"/>
                <w:sz w:val="20"/>
                <w:szCs w:val="20"/>
              </w:rPr>
              <w:t xml:space="preserve"> 50mg injection, 1 x 50mg vial)</w:t>
            </w:r>
          </w:p>
        </w:tc>
      </w:tr>
      <w:tr w:rsidR="000E0915" w:rsidRPr="00F155E4" w:rsidTr="000E0915">
        <w:trPr>
          <w:cantSplit/>
          <w:trHeight w:val="360"/>
        </w:trPr>
        <w:tc>
          <w:tcPr>
            <w:tcW w:w="1418" w:type="dxa"/>
            <w:tcBorders>
              <w:top w:val="single" w:sz="4" w:space="0" w:color="auto"/>
              <w:left w:val="single" w:sz="4" w:space="0" w:color="auto"/>
              <w:bottom w:val="single" w:sz="4" w:space="0" w:color="auto"/>
              <w:right w:val="single" w:sz="4" w:space="0" w:color="auto"/>
            </w:tcBorders>
          </w:tcPr>
          <w:p w:rsidR="000E0915" w:rsidRDefault="000E0915" w:rsidP="000E0915">
            <w:pPr>
              <w:keepNext/>
              <w:keepLines/>
              <w:rPr>
                <w:rFonts w:ascii="Arial" w:eastAsia="SimSun" w:hAnsi="Arial" w:cs="Arial"/>
                <w:b/>
                <w:sz w:val="20"/>
                <w:szCs w:val="20"/>
                <w:lang w:eastAsia="zh-CN"/>
              </w:rPr>
            </w:pPr>
            <w:r>
              <w:rPr>
                <w:rFonts w:ascii="Arial" w:eastAsia="SimSun" w:hAnsi="Arial" w:cs="Arial"/>
                <w:b/>
                <w:sz w:val="20"/>
                <w:szCs w:val="20"/>
                <w:lang w:eastAsia="zh-CN"/>
              </w:rPr>
              <w:t>Category</w:t>
            </w:r>
          </w:p>
          <w:p w:rsidR="000E0915" w:rsidRPr="00F155E4" w:rsidRDefault="000E0915" w:rsidP="000E0915">
            <w:pPr>
              <w:keepNext/>
              <w:keepLines/>
              <w:rPr>
                <w:rFonts w:ascii="Arial" w:eastAsia="SimSun" w:hAnsi="Arial" w:cs="Arial"/>
                <w:b/>
                <w:sz w:val="20"/>
                <w:szCs w:val="20"/>
                <w:lang w:eastAsia="zh-CN"/>
              </w:rPr>
            </w:pPr>
            <w:r>
              <w:rPr>
                <w:rFonts w:ascii="Arial" w:eastAsia="SimSun" w:hAnsi="Arial" w:cs="Arial"/>
                <w:b/>
                <w:sz w:val="20"/>
                <w:szCs w:val="20"/>
                <w:lang w:eastAsia="zh-CN"/>
              </w:rPr>
              <w:t>/Program</w:t>
            </w:r>
          </w:p>
        </w:tc>
        <w:tc>
          <w:tcPr>
            <w:tcW w:w="6191" w:type="dxa"/>
            <w:gridSpan w:val="5"/>
            <w:tcBorders>
              <w:top w:val="single" w:sz="4" w:space="0" w:color="auto"/>
              <w:left w:val="single" w:sz="4" w:space="0" w:color="auto"/>
              <w:bottom w:val="single" w:sz="4" w:space="0" w:color="auto"/>
              <w:right w:val="single" w:sz="4" w:space="0" w:color="auto"/>
            </w:tcBorders>
          </w:tcPr>
          <w:p w:rsidR="000E0915" w:rsidRPr="00F155E4" w:rsidRDefault="000E0915" w:rsidP="000E0915">
            <w:pPr>
              <w:keepNext/>
              <w:keepLines/>
              <w:rPr>
                <w:rFonts w:ascii="Arial" w:eastAsia="SimSun" w:hAnsi="Arial" w:cs="Arial"/>
                <w:sz w:val="20"/>
                <w:szCs w:val="20"/>
                <w:lang w:eastAsia="zh-CN"/>
              </w:rPr>
            </w:pPr>
            <w:r>
              <w:rPr>
                <w:rFonts w:ascii="Arial" w:eastAsia="SimSun" w:hAnsi="Arial" w:cs="Arial"/>
                <w:sz w:val="20"/>
                <w:szCs w:val="20"/>
                <w:lang w:eastAsia="zh-CN"/>
              </w:rPr>
              <w:t>Chemotherapy items for Public/Private Hospital Use</w:t>
            </w:r>
          </w:p>
        </w:tc>
      </w:tr>
      <w:tr w:rsidR="000E0915" w:rsidRPr="00F155E4" w:rsidTr="000E0915">
        <w:trPr>
          <w:cantSplit/>
          <w:trHeight w:val="360"/>
        </w:trPr>
        <w:tc>
          <w:tcPr>
            <w:tcW w:w="1418" w:type="dxa"/>
            <w:tcBorders>
              <w:top w:val="single" w:sz="4" w:space="0" w:color="auto"/>
              <w:left w:val="single" w:sz="4" w:space="0" w:color="auto"/>
              <w:bottom w:val="single" w:sz="4" w:space="0" w:color="auto"/>
              <w:right w:val="single" w:sz="4" w:space="0" w:color="auto"/>
            </w:tcBorders>
          </w:tcPr>
          <w:p w:rsidR="000E0915" w:rsidRPr="00F155E4" w:rsidRDefault="000E0915" w:rsidP="000E0915">
            <w:pPr>
              <w:keepNext/>
              <w:keepLines/>
              <w:rPr>
                <w:rFonts w:ascii="Arial" w:eastAsia="SimSun" w:hAnsi="Arial" w:cs="Arial"/>
                <w:b/>
                <w:sz w:val="20"/>
                <w:szCs w:val="20"/>
                <w:lang w:eastAsia="zh-CN"/>
              </w:rPr>
            </w:pPr>
            <w:r w:rsidRPr="00F155E4">
              <w:rPr>
                <w:rFonts w:ascii="Arial" w:eastAsia="SimSun" w:hAnsi="Arial" w:cs="Arial"/>
                <w:b/>
                <w:sz w:val="20"/>
                <w:szCs w:val="20"/>
                <w:lang w:eastAsia="zh-CN"/>
              </w:rPr>
              <w:t>Condition:</w:t>
            </w:r>
          </w:p>
        </w:tc>
        <w:tc>
          <w:tcPr>
            <w:tcW w:w="6191" w:type="dxa"/>
            <w:gridSpan w:val="5"/>
            <w:tcBorders>
              <w:top w:val="single" w:sz="4" w:space="0" w:color="auto"/>
              <w:left w:val="single" w:sz="4" w:space="0" w:color="auto"/>
              <w:bottom w:val="single" w:sz="4" w:space="0" w:color="auto"/>
              <w:right w:val="single" w:sz="4" w:space="0" w:color="auto"/>
            </w:tcBorders>
          </w:tcPr>
          <w:p w:rsidR="000E0915" w:rsidRPr="00F155E4" w:rsidRDefault="000E0915" w:rsidP="000E0915">
            <w:pPr>
              <w:keepNext/>
              <w:keepLines/>
              <w:rPr>
                <w:rFonts w:ascii="Arial" w:eastAsia="SimSun" w:hAnsi="Arial" w:cs="Arial"/>
                <w:sz w:val="20"/>
                <w:szCs w:val="20"/>
                <w:lang w:eastAsia="zh-CN"/>
              </w:rPr>
            </w:pPr>
            <w:r>
              <w:rPr>
                <w:rFonts w:ascii="Arial" w:eastAsia="SimSun" w:hAnsi="Arial" w:cs="Arial"/>
                <w:sz w:val="20"/>
                <w:szCs w:val="20"/>
                <w:lang w:eastAsia="zh-CN"/>
              </w:rPr>
              <w:t>CD30 positive s</w:t>
            </w:r>
            <w:r w:rsidRPr="00F155E4">
              <w:rPr>
                <w:rFonts w:ascii="Arial" w:eastAsia="SimSun" w:hAnsi="Arial" w:cs="Arial"/>
                <w:sz w:val="20"/>
                <w:szCs w:val="20"/>
                <w:lang w:eastAsia="zh-CN"/>
              </w:rPr>
              <w:t>ystemic anaplastic large cell lymphoma</w:t>
            </w:r>
          </w:p>
        </w:tc>
      </w:tr>
      <w:tr w:rsidR="000E0915" w:rsidRPr="00F155E4" w:rsidTr="000E0915">
        <w:trPr>
          <w:cantSplit/>
          <w:trHeight w:val="360"/>
        </w:trPr>
        <w:tc>
          <w:tcPr>
            <w:tcW w:w="1418" w:type="dxa"/>
            <w:tcBorders>
              <w:top w:val="single" w:sz="4" w:space="0" w:color="auto"/>
              <w:left w:val="single" w:sz="4" w:space="0" w:color="auto"/>
              <w:bottom w:val="single" w:sz="4" w:space="0" w:color="auto"/>
              <w:right w:val="single" w:sz="4" w:space="0" w:color="auto"/>
            </w:tcBorders>
          </w:tcPr>
          <w:p w:rsidR="000E0915" w:rsidRPr="00F155E4" w:rsidRDefault="000E0915" w:rsidP="000E0915">
            <w:pPr>
              <w:keepNext/>
              <w:keepLines/>
              <w:rPr>
                <w:rFonts w:ascii="Arial" w:eastAsia="SimSun" w:hAnsi="Arial" w:cs="Arial"/>
                <w:b/>
                <w:sz w:val="20"/>
                <w:szCs w:val="20"/>
                <w:lang w:eastAsia="zh-CN"/>
              </w:rPr>
            </w:pPr>
            <w:r>
              <w:rPr>
                <w:rFonts w:ascii="Arial" w:eastAsia="SimSun" w:hAnsi="Arial" w:cs="Arial"/>
                <w:b/>
                <w:sz w:val="20"/>
                <w:szCs w:val="20"/>
                <w:lang w:eastAsia="zh-CN"/>
              </w:rPr>
              <w:t>Indication</w:t>
            </w:r>
          </w:p>
        </w:tc>
        <w:tc>
          <w:tcPr>
            <w:tcW w:w="6191" w:type="dxa"/>
            <w:gridSpan w:val="5"/>
            <w:tcBorders>
              <w:top w:val="single" w:sz="4" w:space="0" w:color="auto"/>
              <w:left w:val="single" w:sz="4" w:space="0" w:color="auto"/>
              <w:bottom w:val="single" w:sz="4" w:space="0" w:color="auto"/>
              <w:right w:val="single" w:sz="4" w:space="0" w:color="auto"/>
            </w:tcBorders>
          </w:tcPr>
          <w:p w:rsidR="000E0915" w:rsidRDefault="000E0915" w:rsidP="000E0915">
            <w:pPr>
              <w:keepNext/>
              <w:keepLines/>
              <w:rPr>
                <w:rFonts w:ascii="Arial" w:eastAsia="SimSun" w:hAnsi="Arial" w:cs="Arial"/>
                <w:sz w:val="20"/>
                <w:szCs w:val="20"/>
                <w:lang w:eastAsia="zh-CN"/>
              </w:rPr>
            </w:pPr>
            <w:r>
              <w:rPr>
                <w:rFonts w:ascii="Arial" w:eastAsia="SimSun" w:hAnsi="Arial" w:cs="Arial"/>
                <w:sz w:val="20"/>
                <w:szCs w:val="20"/>
                <w:lang w:eastAsia="zh-CN"/>
              </w:rPr>
              <w:t>CD30 positive s</w:t>
            </w:r>
            <w:r w:rsidRPr="00F155E4">
              <w:rPr>
                <w:rFonts w:ascii="Arial" w:eastAsia="SimSun" w:hAnsi="Arial" w:cs="Arial"/>
                <w:sz w:val="20"/>
                <w:szCs w:val="20"/>
                <w:lang w:eastAsia="zh-CN"/>
              </w:rPr>
              <w:t>ystemic anaplastic large cell lymphoma</w:t>
            </w:r>
          </w:p>
        </w:tc>
      </w:tr>
      <w:tr w:rsidR="000E0915" w:rsidRPr="00F155E4" w:rsidTr="000E0915">
        <w:trPr>
          <w:cantSplit/>
          <w:trHeight w:val="360"/>
        </w:trPr>
        <w:tc>
          <w:tcPr>
            <w:tcW w:w="1418" w:type="dxa"/>
            <w:tcBorders>
              <w:top w:val="single" w:sz="4" w:space="0" w:color="auto"/>
              <w:left w:val="single" w:sz="4" w:space="0" w:color="auto"/>
              <w:bottom w:val="single" w:sz="4" w:space="0" w:color="auto"/>
              <w:right w:val="single" w:sz="4" w:space="0" w:color="auto"/>
            </w:tcBorders>
          </w:tcPr>
          <w:p w:rsidR="000E0915" w:rsidRPr="00F155E4" w:rsidRDefault="000E0915" w:rsidP="000E0915">
            <w:pPr>
              <w:keepNext/>
              <w:keepLines/>
              <w:rPr>
                <w:rFonts w:ascii="Arial" w:eastAsia="SimSun" w:hAnsi="Arial" w:cs="Arial"/>
                <w:b/>
                <w:sz w:val="20"/>
                <w:szCs w:val="20"/>
                <w:lang w:eastAsia="zh-CN"/>
              </w:rPr>
            </w:pPr>
            <w:r>
              <w:rPr>
                <w:rFonts w:ascii="Arial" w:eastAsia="SimSun" w:hAnsi="Arial" w:cs="Arial"/>
                <w:b/>
                <w:sz w:val="20"/>
                <w:szCs w:val="20"/>
                <w:lang w:eastAsia="zh-CN"/>
              </w:rPr>
              <w:t>Treatment phase:</w:t>
            </w:r>
          </w:p>
        </w:tc>
        <w:tc>
          <w:tcPr>
            <w:tcW w:w="6191" w:type="dxa"/>
            <w:gridSpan w:val="5"/>
            <w:tcBorders>
              <w:top w:val="single" w:sz="4" w:space="0" w:color="auto"/>
              <w:left w:val="single" w:sz="4" w:space="0" w:color="auto"/>
              <w:bottom w:val="single" w:sz="4" w:space="0" w:color="auto"/>
              <w:right w:val="single" w:sz="4" w:space="0" w:color="auto"/>
            </w:tcBorders>
          </w:tcPr>
          <w:p w:rsidR="000E0915" w:rsidRPr="00F155E4" w:rsidRDefault="000E0915" w:rsidP="000E0915">
            <w:pPr>
              <w:keepNext/>
              <w:keepLines/>
              <w:rPr>
                <w:rFonts w:ascii="Arial" w:eastAsia="SimSun" w:hAnsi="Arial" w:cs="Arial"/>
                <w:sz w:val="20"/>
                <w:szCs w:val="20"/>
                <w:lang w:eastAsia="zh-CN"/>
              </w:rPr>
            </w:pPr>
            <w:r>
              <w:rPr>
                <w:rFonts w:ascii="Arial" w:eastAsia="SimSun" w:hAnsi="Arial" w:cs="Arial"/>
                <w:sz w:val="20"/>
                <w:szCs w:val="20"/>
                <w:lang w:eastAsia="zh-CN"/>
              </w:rPr>
              <w:t>Initial treatment</w:t>
            </w:r>
          </w:p>
        </w:tc>
      </w:tr>
      <w:tr w:rsidR="000E0915" w:rsidRPr="00F155E4" w:rsidTr="000E0915">
        <w:trPr>
          <w:cantSplit/>
          <w:trHeight w:val="360"/>
        </w:trPr>
        <w:tc>
          <w:tcPr>
            <w:tcW w:w="1418" w:type="dxa"/>
            <w:tcBorders>
              <w:top w:val="single" w:sz="4" w:space="0" w:color="auto"/>
              <w:left w:val="single" w:sz="4" w:space="0" w:color="auto"/>
              <w:bottom w:val="single" w:sz="4" w:space="0" w:color="auto"/>
              <w:right w:val="single" w:sz="4" w:space="0" w:color="auto"/>
            </w:tcBorders>
          </w:tcPr>
          <w:p w:rsidR="000E0915" w:rsidRPr="00F155E4" w:rsidRDefault="000E0915" w:rsidP="000E0915">
            <w:pPr>
              <w:keepNext/>
              <w:keepLines/>
              <w:rPr>
                <w:rFonts w:ascii="Arial" w:eastAsia="SimSun" w:hAnsi="Arial" w:cs="Arial"/>
                <w:b/>
                <w:sz w:val="20"/>
                <w:szCs w:val="20"/>
                <w:lang w:eastAsia="zh-CN"/>
              </w:rPr>
            </w:pPr>
            <w:r w:rsidRPr="00F155E4">
              <w:rPr>
                <w:rFonts w:ascii="Arial" w:eastAsia="SimSun" w:hAnsi="Arial" w:cs="Arial"/>
                <w:b/>
                <w:sz w:val="20"/>
                <w:szCs w:val="20"/>
                <w:lang w:eastAsia="zh-CN"/>
              </w:rPr>
              <w:t>Restriction:</w:t>
            </w:r>
          </w:p>
          <w:p w:rsidR="000E0915" w:rsidRPr="00F155E4" w:rsidRDefault="000E0915" w:rsidP="000E0915">
            <w:pPr>
              <w:keepNext/>
              <w:keepLines/>
              <w:rPr>
                <w:rFonts w:ascii="Arial" w:eastAsia="SimSun" w:hAnsi="Arial" w:cs="Arial"/>
                <w:sz w:val="20"/>
                <w:szCs w:val="20"/>
                <w:lang w:eastAsia="zh-CN"/>
              </w:rPr>
            </w:pPr>
          </w:p>
        </w:tc>
        <w:tc>
          <w:tcPr>
            <w:tcW w:w="6191" w:type="dxa"/>
            <w:gridSpan w:val="5"/>
            <w:tcBorders>
              <w:top w:val="single" w:sz="4" w:space="0" w:color="auto"/>
              <w:left w:val="single" w:sz="4" w:space="0" w:color="auto"/>
              <w:bottom w:val="single" w:sz="4" w:space="0" w:color="auto"/>
              <w:right w:val="single" w:sz="4" w:space="0" w:color="auto"/>
            </w:tcBorders>
          </w:tcPr>
          <w:p w:rsidR="000E0915" w:rsidRPr="009D16F7" w:rsidRDefault="000E0915" w:rsidP="000E0915">
            <w:pPr>
              <w:keepNext/>
              <w:keepLines/>
              <w:rPr>
                <w:rFonts w:ascii="Arial" w:eastAsia="SimSun" w:hAnsi="Arial" w:cs="Arial"/>
                <w:sz w:val="20"/>
                <w:szCs w:val="20"/>
                <w:lang w:eastAsia="zh-CN"/>
              </w:rPr>
            </w:pPr>
            <w:r w:rsidRPr="009D16F7">
              <w:rPr>
                <w:rFonts w:ascii="Arial" w:eastAsia="SimSun" w:hAnsi="Arial" w:cs="Arial"/>
                <w:sz w:val="20"/>
                <w:szCs w:val="20"/>
                <w:lang w:eastAsia="zh-CN"/>
              </w:rPr>
              <w:t>Authority required (Public/Private Hospital) – WRITTEN ONLY</w:t>
            </w:r>
          </w:p>
          <w:p w:rsidR="000E0915" w:rsidRPr="00F155E4" w:rsidRDefault="000E0915" w:rsidP="000E0915">
            <w:pPr>
              <w:keepNext/>
              <w:keepLines/>
              <w:rPr>
                <w:rFonts w:ascii="Arial" w:eastAsia="SimSun" w:hAnsi="Arial" w:cs="Arial"/>
                <w:i/>
                <w:sz w:val="20"/>
                <w:szCs w:val="20"/>
                <w:lang w:eastAsia="zh-CN"/>
              </w:rPr>
            </w:pPr>
          </w:p>
        </w:tc>
      </w:tr>
      <w:tr w:rsidR="000E0915" w:rsidRPr="00F155E4" w:rsidTr="000E0915">
        <w:trPr>
          <w:cantSplit/>
          <w:trHeight w:val="360"/>
        </w:trPr>
        <w:tc>
          <w:tcPr>
            <w:tcW w:w="1418" w:type="dxa"/>
            <w:tcBorders>
              <w:top w:val="single" w:sz="4" w:space="0" w:color="auto"/>
              <w:left w:val="single" w:sz="4" w:space="0" w:color="auto"/>
              <w:bottom w:val="single" w:sz="4" w:space="0" w:color="auto"/>
              <w:right w:val="single" w:sz="4" w:space="0" w:color="auto"/>
            </w:tcBorders>
          </w:tcPr>
          <w:p w:rsidR="000E0915" w:rsidRPr="00F155E4" w:rsidRDefault="000E0915" w:rsidP="000E0915">
            <w:pPr>
              <w:keepNext/>
              <w:keepLines/>
              <w:rPr>
                <w:rFonts w:ascii="Arial" w:eastAsia="SimSun" w:hAnsi="Arial" w:cs="Arial"/>
                <w:b/>
                <w:sz w:val="20"/>
                <w:szCs w:val="20"/>
                <w:lang w:eastAsia="zh-CN"/>
              </w:rPr>
            </w:pPr>
            <w:r>
              <w:rPr>
                <w:rFonts w:ascii="Arial" w:eastAsia="SimSun" w:hAnsi="Arial" w:cs="Arial"/>
                <w:b/>
                <w:sz w:val="20"/>
                <w:szCs w:val="20"/>
                <w:lang w:eastAsia="zh-CN"/>
              </w:rPr>
              <w:t xml:space="preserve">Clinical </w:t>
            </w:r>
            <w:r w:rsidRPr="00F155E4">
              <w:rPr>
                <w:rFonts w:ascii="Arial" w:eastAsia="SimSun" w:hAnsi="Arial" w:cs="Arial"/>
                <w:b/>
                <w:sz w:val="20"/>
                <w:szCs w:val="20"/>
                <w:lang w:eastAsia="zh-CN"/>
              </w:rPr>
              <w:t>criteria:</w:t>
            </w:r>
          </w:p>
          <w:p w:rsidR="000E0915" w:rsidRPr="00F155E4" w:rsidRDefault="000E0915" w:rsidP="000E0915">
            <w:pPr>
              <w:keepNext/>
              <w:keepLines/>
              <w:rPr>
                <w:rFonts w:ascii="Arial" w:eastAsia="SimSun" w:hAnsi="Arial" w:cs="Arial"/>
                <w:i/>
                <w:sz w:val="20"/>
                <w:szCs w:val="20"/>
                <w:lang w:eastAsia="zh-CN"/>
              </w:rPr>
            </w:pPr>
          </w:p>
          <w:p w:rsidR="000E0915" w:rsidRPr="00F155E4" w:rsidRDefault="000E0915" w:rsidP="000E0915">
            <w:pPr>
              <w:keepNext/>
              <w:keepLines/>
              <w:rPr>
                <w:rFonts w:ascii="Arial" w:eastAsia="SimSun" w:hAnsi="Arial" w:cs="Arial"/>
                <w:sz w:val="20"/>
                <w:szCs w:val="20"/>
                <w:lang w:eastAsia="zh-CN"/>
              </w:rPr>
            </w:pPr>
          </w:p>
        </w:tc>
        <w:tc>
          <w:tcPr>
            <w:tcW w:w="6191" w:type="dxa"/>
            <w:gridSpan w:val="5"/>
            <w:tcBorders>
              <w:top w:val="single" w:sz="4" w:space="0" w:color="auto"/>
              <w:left w:val="single" w:sz="4" w:space="0" w:color="auto"/>
              <w:bottom w:val="single" w:sz="4" w:space="0" w:color="auto"/>
              <w:right w:val="single" w:sz="4" w:space="0" w:color="auto"/>
            </w:tcBorders>
          </w:tcPr>
          <w:p w:rsidR="000E0915" w:rsidRDefault="000E0915" w:rsidP="000E0915">
            <w:pPr>
              <w:keepNext/>
              <w:keepLines/>
              <w:rPr>
                <w:rFonts w:ascii="Arial" w:eastAsia="SimSun" w:hAnsi="Arial" w:cs="Arial"/>
                <w:sz w:val="20"/>
                <w:szCs w:val="20"/>
                <w:lang w:eastAsia="zh-CN"/>
              </w:rPr>
            </w:pPr>
            <w:r w:rsidRPr="00F155E4">
              <w:rPr>
                <w:rFonts w:ascii="Arial" w:eastAsia="SimSun" w:hAnsi="Arial" w:cs="Arial"/>
                <w:sz w:val="20"/>
                <w:szCs w:val="20"/>
                <w:lang w:eastAsia="zh-CN"/>
              </w:rPr>
              <w:t>The treatment must be for curative intent</w:t>
            </w:r>
          </w:p>
          <w:p w:rsidR="000E0915" w:rsidRPr="00F155E4" w:rsidRDefault="000E0915" w:rsidP="000E0915">
            <w:pPr>
              <w:keepNext/>
              <w:keepLines/>
              <w:rPr>
                <w:rFonts w:ascii="Arial" w:eastAsia="SimSun" w:hAnsi="Arial" w:cs="Arial"/>
                <w:sz w:val="20"/>
                <w:szCs w:val="20"/>
                <w:lang w:eastAsia="zh-CN"/>
              </w:rPr>
            </w:pPr>
          </w:p>
          <w:p w:rsidR="000E0915" w:rsidRDefault="000E0915" w:rsidP="000E0915">
            <w:pPr>
              <w:keepNext/>
              <w:keepLines/>
              <w:rPr>
                <w:rFonts w:ascii="Arial" w:eastAsia="SimSun" w:hAnsi="Arial" w:cs="Arial"/>
                <w:sz w:val="20"/>
                <w:szCs w:val="20"/>
                <w:lang w:eastAsia="zh-CN"/>
              </w:rPr>
            </w:pPr>
            <w:r>
              <w:rPr>
                <w:rFonts w:ascii="Arial" w:eastAsia="SimSun" w:hAnsi="Arial" w:cs="Arial"/>
                <w:sz w:val="20"/>
                <w:szCs w:val="20"/>
                <w:lang w:eastAsia="zh-CN"/>
              </w:rPr>
              <w:t xml:space="preserve">AND </w:t>
            </w:r>
          </w:p>
          <w:p w:rsidR="000E0915" w:rsidRDefault="000E0915" w:rsidP="000E0915">
            <w:pPr>
              <w:keepNext/>
              <w:keepLines/>
              <w:rPr>
                <w:rFonts w:ascii="Arial" w:eastAsia="SimSun" w:hAnsi="Arial" w:cs="Arial"/>
                <w:sz w:val="20"/>
                <w:szCs w:val="20"/>
                <w:lang w:eastAsia="zh-CN"/>
              </w:rPr>
            </w:pPr>
          </w:p>
          <w:p w:rsidR="000E0915" w:rsidRDefault="000E0915" w:rsidP="000E0915">
            <w:pPr>
              <w:keepNext/>
              <w:keepLines/>
              <w:rPr>
                <w:rFonts w:ascii="Arial" w:eastAsia="SimSun" w:hAnsi="Arial" w:cs="Arial"/>
                <w:sz w:val="20"/>
                <w:szCs w:val="20"/>
                <w:lang w:eastAsia="zh-CN"/>
              </w:rPr>
            </w:pPr>
            <w:r>
              <w:rPr>
                <w:rFonts w:ascii="Arial" w:eastAsia="SimSun" w:hAnsi="Arial" w:cs="Arial"/>
                <w:sz w:val="20"/>
                <w:szCs w:val="20"/>
                <w:lang w:eastAsia="zh-CN"/>
              </w:rPr>
              <w:t>The patient must have undergone appropriate prior front-line curative intent chemotherapy</w:t>
            </w:r>
          </w:p>
          <w:p w:rsidR="000E0915" w:rsidRDefault="000E0915" w:rsidP="000E0915">
            <w:pPr>
              <w:keepNext/>
              <w:keepLines/>
              <w:rPr>
                <w:rFonts w:ascii="Arial" w:eastAsia="SimSun" w:hAnsi="Arial" w:cs="Arial"/>
                <w:sz w:val="20"/>
                <w:szCs w:val="20"/>
                <w:lang w:eastAsia="zh-CN"/>
              </w:rPr>
            </w:pPr>
          </w:p>
          <w:p w:rsidR="000E0915" w:rsidRDefault="000E0915" w:rsidP="000E0915">
            <w:pPr>
              <w:keepNext/>
              <w:keepLines/>
              <w:rPr>
                <w:rFonts w:ascii="Arial" w:eastAsia="SimSun" w:hAnsi="Arial" w:cs="Arial"/>
                <w:sz w:val="20"/>
                <w:szCs w:val="20"/>
                <w:lang w:eastAsia="zh-CN"/>
              </w:rPr>
            </w:pPr>
            <w:r>
              <w:rPr>
                <w:rFonts w:ascii="Arial" w:eastAsia="SimSun" w:hAnsi="Arial" w:cs="Arial"/>
                <w:sz w:val="20"/>
                <w:szCs w:val="20"/>
                <w:lang w:eastAsia="zh-CN"/>
              </w:rPr>
              <w:t>AND</w:t>
            </w:r>
          </w:p>
          <w:p w:rsidR="000E0915" w:rsidRDefault="000E0915" w:rsidP="000E0915">
            <w:pPr>
              <w:keepNext/>
              <w:keepLines/>
              <w:rPr>
                <w:rFonts w:ascii="Arial" w:eastAsia="SimSun" w:hAnsi="Arial" w:cs="Arial"/>
                <w:sz w:val="20"/>
                <w:szCs w:val="20"/>
                <w:lang w:eastAsia="zh-CN"/>
              </w:rPr>
            </w:pPr>
          </w:p>
          <w:p w:rsidR="000E0915" w:rsidRPr="00F155E4" w:rsidRDefault="000E0915" w:rsidP="000E0915">
            <w:pPr>
              <w:keepNext/>
              <w:keepLines/>
              <w:rPr>
                <w:rFonts w:ascii="Arial" w:eastAsia="SimSun" w:hAnsi="Arial" w:cs="Arial"/>
                <w:sz w:val="20"/>
                <w:szCs w:val="20"/>
                <w:lang w:eastAsia="zh-CN"/>
              </w:rPr>
            </w:pPr>
            <w:r w:rsidRPr="00F155E4">
              <w:rPr>
                <w:rFonts w:ascii="Arial" w:eastAsia="SimSun" w:hAnsi="Arial" w:cs="Arial"/>
                <w:sz w:val="20"/>
                <w:szCs w:val="20"/>
                <w:lang w:eastAsia="zh-CN"/>
              </w:rPr>
              <w:t xml:space="preserve">The </w:t>
            </w:r>
            <w:r>
              <w:rPr>
                <w:rFonts w:ascii="Arial" w:eastAsia="SimSun" w:hAnsi="Arial" w:cs="Arial"/>
                <w:sz w:val="20"/>
                <w:szCs w:val="20"/>
                <w:lang w:eastAsia="zh-CN"/>
              </w:rPr>
              <w:t>patient</w:t>
            </w:r>
            <w:r w:rsidRPr="00F155E4">
              <w:rPr>
                <w:rFonts w:ascii="Arial" w:eastAsia="SimSun" w:hAnsi="Arial" w:cs="Arial"/>
                <w:sz w:val="20"/>
                <w:szCs w:val="20"/>
                <w:lang w:eastAsia="zh-CN"/>
              </w:rPr>
              <w:t xml:space="preserve"> must </w:t>
            </w:r>
            <w:r>
              <w:rPr>
                <w:rFonts w:ascii="Arial" w:eastAsia="SimSun" w:hAnsi="Arial" w:cs="Arial"/>
                <w:sz w:val="20"/>
                <w:szCs w:val="20"/>
                <w:lang w:eastAsia="zh-CN"/>
              </w:rPr>
              <w:t>demonstrate</w:t>
            </w:r>
            <w:r w:rsidRPr="00F155E4">
              <w:rPr>
                <w:rFonts w:ascii="Arial" w:eastAsia="SimSun" w:hAnsi="Arial" w:cs="Arial"/>
                <w:sz w:val="20"/>
                <w:szCs w:val="20"/>
                <w:lang w:eastAsia="zh-CN"/>
              </w:rPr>
              <w:t xml:space="preserve"> relapsed or </w:t>
            </w:r>
            <w:r>
              <w:rPr>
                <w:rFonts w:ascii="Arial" w:eastAsia="SimSun" w:hAnsi="Arial" w:cs="Arial"/>
                <w:sz w:val="20"/>
                <w:szCs w:val="20"/>
                <w:lang w:eastAsia="zh-CN"/>
              </w:rPr>
              <w:t>chemotherapy-</w:t>
            </w:r>
            <w:r w:rsidRPr="00F155E4">
              <w:rPr>
                <w:rFonts w:ascii="Arial" w:eastAsia="SimSun" w:hAnsi="Arial" w:cs="Arial"/>
                <w:sz w:val="20"/>
                <w:szCs w:val="20"/>
                <w:lang w:eastAsia="zh-CN"/>
              </w:rPr>
              <w:t>refractory</w:t>
            </w:r>
            <w:r>
              <w:rPr>
                <w:rFonts w:ascii="Arial" w:eastAsia="SimSun" w:hAnsi="Arial" w:cs="Arial"/>
                <w:sz w:val="20"/>
                <w:szCs w:val="20"/>
                <w:lang w:eastAsia="zh-CN"/>
              </w:rPr>
              <w:t xml:space="preserve"> disease</w:t>
            </w:r>
            <w:r w:rsidRPr="00F155E4">
              <w:rPr>
                <w:rFonts w:ascii="Arial" w:eastAsia="SimSun" w:hAnsi="Arial" w:cs="Arial"/>
                <w:sz w:val="20"/>
                <w:szCs w:val="20"/>
                <w:lang w:eastAsia="zh-CN"/>
              </w:rPr>
              <w:t xml:space="preserve"> </w:t>
            </w:r>
          </w:p>
          <w:p w:rsidR="000E0915" w:rsidRPr="00F155E4" w:rsidRDefault="000E0915" w:rsidP="000E0915">
            <w:pPr>
              <w:keepNext/>
              <w:keepLines/>
              <w:rPr>
                <w:rFonts w:ascii="Arial" w:eastAsia="SimSun" w:hAnsi="Arial" w:cs="Arial"/>
                <w:sz w:val="20"/>
                <w:szCs w:val="20"/>
                <w:lang w:eastAsia="zh-CN"/>
              </w:rPr>
            </w:pPr>
          </w:p>
          <w:p w:rsidR="000E0915" w:rsidRDefault="000E0915" w:rsidP="000E0915">
            <w:pPr>
              <w:keepNext/>
              <w:keepLines/>
              <w:rPr>
                <w:rFonts w:ascii="Arial" w:eastAsia="SimSun" w:hAnsi="Arial" w:cs="Arial"/>
                <w:sz w:val="20"/>
                <w:szCs w:val="20"/>
                <w:lang w:eastAsia="zh-CN"/>
              </w:rPr>
            </w:pPr>
          </w:p>
        </w:tc>
      </w:tr>
    </w:tbl>
    <w:p w:rsidR="00E858A2" w:rsidRDefault="00E858A2" w:rsidP="00AE0550">
      <w:pPr>
        <w:jc w:val="both"/>
        <w:rPr>
          <w:rFonts w:ascii="Arial" w:hAnsi="Arial"/>
          <w:sz w:val="22"/>
          <w:szCs w:val="22"/>
        </w:rPr>
      </w:pPr>
    </w:p>
    <w:p w:rsidR="003E3489" w:rsidRDefault="003E3489" w:rsidP="003E3489"/>
    <w:tbl>
      <w:tblPr>
        <w:tblW w:w="8426" w:type="dxa"/>
        <w:tblInd w:w="817" w:type="dxa"/>
        <w:tblLayout w:type="fixed"/>
        <w:tblLook w:val="0000" w:firstRow="0" w:lastRow="0" w:firstColumn="0" w:lastColumn="0" w:noHBand="0" w:noVBand="0"/>
        <w:tblDescription w:val="brentuximab listing"/>
      </w:tblPr>
      <w:tblGrid>
        <w:gridCol w:w="1418"/>
        <w:gridCol w:w="7008"/>
      </w:tblGrid>
      <w:tr w:rsidR="003E3489" w:rsidRPr="00F155E4" w:rsidTr="00C373AA">
        <w:trPr>
          <w:cantSplit/>
          <w:trHeight w:val="360"/>
        </w:trPr>
        <w:tc>
          <w:tcPr>
            <w:tcW w:w="1418" w:type="dxa"/>
            <w:tcBorders>
              <w:top w:val="single" w:sz="4" w:space="0" w:color="auto"/>
              <w:left w:val="single" w:sz="4" w:space="0" w:color="auto"/>
              <w:bottom w:val="single" w:sz="4" w:space="0" w:color="auto"/>
              <w:right w:val="single" w:sz="4" w:space="0" w:color="auto"/>
            </w:tcBorders>
          </w:tcPr>
          <w:p w:rsidR="003E3489" w:rsidRPr="00F155E4" w:rsidRDefault="003E3489" w:rsidP="00C373AA">
            <w:pPr>
              <w:rPr>
                <w:rFonts w:ascii="Arial" w:eastAsia="SimSun" w:hAnsi="Arial" w:cs="Arial"/>
                <w:b/>
                <w:sz w:val="20"/>
                <w:szCs w:val="20"/>
                <w:lang w:eastAsia="zh-CN"/>
              </w:rPr>
            </w:pPr>
            <w:r>
              <w:rPr>
                <w:rFonts w:ascii="Arial" w:eastAsia="SimSun" w:hAnsi="Arial" w:cs="Arial"/>
                <w:b/>
                <w:sz w:val="20"/>
                <w:szCs w:val="20"/>
                <w:lang w:eastAsia="zh-CN"/>
              </w:rPr>
              <w:t>Prescriber Instructions</w:t>
            </w:r>
          </w:p>
        </w:tc>
        <w:tc>
          <w:tcPr>
            <w:tcW w:w="7008" w:type="dxa"/>
            <w:tcBorders>
              <w:top w:val="single" w:sz="4" w:space="0" w:color="auto"/>
              <w:left w:val="single" w:sz="4" w:space="0" w:color="auto"/>
              <w:bottom w:val="single" w:sz="4" w:space="0" w:color="auto"/>
              <w:right w:val="single" w:sz="4" w:space="0" w:color="auto"/>
            </w:tcBorders>
          </w:tcPr>
          <w:p w:rsidR="003E3489" w:rsidRPr="00B31BA7" w:rsidRDefault="003E3489" w:rsidP="00C373AA">
            <w:pPr>
              <w:pStyle w:val="NormalWeb"/>
              <w:rPr>
                <w:rFonts w:ascii="Arial" w:eastAsia="SimSun" w:hAnsi="Arial" w:cs="Arial"/>
                <w:sz w:val="20"/>
                <w:szCs w:val="20"/>
                <w:lang w:eastAsia="zh-CN"/>
              </w:rPr>
            </w:pPr>
            <w:r w:rsidRPr="00B31BA7">
              <w:rPr>
                <w:rFonts w:ascii="Arial" w:eastAsia="SimSun" w:hAnsi="Arial" w:cs="Arial"/>
                <w:sz w:val="20"/>
                <w:szCs w:val="20"/>
                <w:lang w:eastAsia="zh-CN"/>
              </w:rPr>
              <w:t xml:space="preserve">Applications for authorisation of initial treatment must be in writing and must include: </w:t>
            </w:r>
          </w:p>
          <w:p w:rsidR="003E3489" w:rsidRPr="00B31BA7" w:rsidRDefault="003E3489" w:rsidP="00C373AA">
            <w:pPr>
              <w:pStyle w:val="NormalWeb"/>
              <w:rPr>
                <w:rFonts w:ascii="Arial" w:eastAsia="SimSun" w:hAnsi="Arial" w:cs="Arial"/>
                <w:sz w:val="20"/>
                <w:szCs w:val="20"/>
                <w:lang w:eastAsia="zh-CN"/>
              </w:rPr>
            </w:pPr>
            <w:r w:rsidRPr="00B31BA7">
              <w:rPr>
                <w:rFonts w:ascii="Arial" w:eastAsia="SimSun" w:hAnsi="Arial" w:cs="Arial"/>
                <w:sz w:val="20"/>
                <w:szCs w:val="20"/>
                <w:lang w:eastAsia="zh-CN"/>
              </w:rPr>
              <w:t xml:space="preserve">(a) a completed authority prescription form; and </w:t>
            </w:r>
          </w:p>
          <w:p w:rsidR="003E3489" w:rsidRPr="00B31BA7" w:rsidRDefault="003E3489" w:rsidP="00C373AA">
            <w:pPr>
              <w:pStyle w:val="NormalWeb"/>
              <w:rPr>
                <w:rFonts w:ascii="Arial" w:eastAsia="SimSun" w:hAnsi="Arial" w:cs="Arial"/>
                <w:sz w:val="20"/>
                <w:szCs w:val="20"/>
                <w:lang w:eastAsia="zh-CN"/>
              </w:rPr>
            </w:pPr>
            <w:r w:rsidRPr="00B31BA7">
              <w:rPr>
                <w:rFonts w:ascii="Arial" w:eastAsia="SimSun" w:hAnsi="Arial" w:cs="Arial"/>
                <w:sz w:val="20"/>
                <w:szCs w:val="20"/>
                <w:lang w:eastAsia="zh-CN"/>
              </w:rPr>
              <w:t xml:space="preserve">(b) a completed Systemic  anaplastic large cell lymphoma </w:t>
            </w:r>
            <w:proofErr w:type="spellStart"/>
            <w:r>
              <w:rPr>
                <w:rFonts w:ascii="Arial" w:eastAsia="SimSun" w:hAnsi="Arial" w:cs="Arial"/>
                <w:sz w:val="20"/>
                <w:szCs w:val="20"/>
                <w:lang w:eastAsia="zh-CN"/>
              </w:rPr>
              <w:t>Brentuximab</w:t>
            </w:r>
            <w:proofErr w:type="spellEnd"/>
            <w:r>
              <w:rPr>
                <w:rFonts w:ascii="Arial" w:eastAsia="SimSun" w:hAnsi="Arial" w:cs="Arial"/>
                <w:sz w:val="20"/>
                <w:szCs w:val="20"/>
                <w:lang w:eastAsia="zh-CN"/>
              </w:rPr>
              <w:t xml:space="preserve"> </w:t>
            </w:r>
            <w:r w:rsidRPr="00B31BA7">
              <w:rPr>
                <w:rFonts w:ascii="Arial" w:eastAsia="SimSun" w:hAnsi="Arial" w:cs="Arial"/>
                <w:sz w:val="20"/>
                <w:szCs w:val="20"/>
                <w:lang w:eastAsia="zh-CN"/>
              </w:rPr>
              <w:t xml:space="preserve">PBS Authority Application - Supporting Information Form [may be downloaded from the Medicare Australia website (www.medicareaustralia.gov.au)] which includes the following: </w:t>
            </w:r>
          </w:p>
          <w:p w:rsidR="003E3489" w:rsidRPr="00B31BA7" w:rsidRDefault="003E3489" w:rsidP="00C373AA">
            <w:pPr>
              <w:pStyle w:val="NormalWeb"/>
              <w:spacing w:before="0" w:after="0"/>
              <w:ind w:left="74" w:right="74"/>
              <w:rPr>
                <w:rFonts w:ascii="Arial" w:eastAsia="SimSun" w:hAnsi="Arial" w:cs="Arial"/>
                <w:sz w:val="20"/>
                <w:szCs w:val="20"/>
                <w:lang w:eastAsia="zh-CN"/>
              </w:rPr>
            </w:pPr>
            <w:r>
              <w:rPr>
                <w:rFonts w:ascii="Arial" w:eastAsia="SimSun" w:hAnsi="Arial" w:cs="Arial"/>
                <w:sz w:val="20"/>
                <w:szCs w:val="20"/>
                <w:lang w:eastAsia="zh-CN"/>
              </w:rPr>
              <w:t>(</w:t>
            </w:r>
            <w:proofErr w:type="spellStart"/>
            <w:r>
              <w:rPr>
                <w:rFonts w:ascii="Arial" w:eastAsia="SimSun" w:hAnsi="Arial" w:cs="Arial"/>
                <w:sz w:val="20"/>
                <w:szCs w:val="20"/>
                <w:lang w:eastAsia="zh-CN"/>
              </w:rPr>
              <w:t>i</w:t>
            </w:r>
            <w:proofErr w:type="spellEnd"/>
            <w:r>
              <w:rPr>
                <w:rFonts w:ascii="Arial" w:eastAsia="SimSun" w:hAnsi="Arial" w:cs="Arial"/>
                <w:sz w:val="20"/>
                <w:szCs w:val="20"/>
                <w:lang w:eastAsia="zh-CN"/>
              </w:rPr>
              <w:t>) a</w:t>
            </w:r>
            <w:r w:rsidRPr="00B31BA7">
              <w:rPr>
                <w:rFonts w:ascii="Arial" w:eastAsia="SimSun" w:hAnsi="Arial" w:cs="Arial"/>
                <w:sz w:val="20"/>
                <w:szCs w:val="20"/>
                <w:lang w:eastAsia="zh-CN"/>
              </w:rPr>
              <w:t xml:space="preserve"> histology report including evidence of the tumour’s CD30 positivity</w:t>
            </w:r>
            <w:r>
              <w:rPr>
                <w:rFonts w:ascii="Arial" w:eastAsia="SimSun" w:hAnsi="Arial" w:cs="Arial"/>
                <w:sz w:val="20"/>
                <w:szCs w:val="20"/>
                <w:lang w:eastAsia="zh-CN"/>
              </w:rPr>
              <w:t xml:space="preserve"> </w:t>
            </w:r>
            <w:r w:rsidRPr="001C66E9">
              <w:rPr>
                <w:rFonts w:ascii="Arial" w:eastAsia="SimSun" w:hAnsi="Arial" w:cs="Arial"/>
                <w:sz w:val="20"/>
                <w:szCs w:val="20"/>
                <w:lang w:eastAsia="zh-CN"/>
              </w:rPr>
              <w:t>from a biopsy subsequent to the most recently delivered prior treatment with radiation, chemotherapy, biologics, immunotherapy or other agents;</w:t>
            </w:r>
            <w:r>
              <w:rPr>
                <w:rFonts w:ascii="Arial" w:eastAsia="SimSun" w:hAnsi="Arial" w:cs="Arial"/>
                <w:sz w:val="20"/>
                <w:szCs w:val="20"/>
                <w:lang w:eastAsia="zh-CN"/>
              </w:rPr>
              <w:t xml:space="preserve"> </w:t>
            </w:r>
            <w:r w:rsidRPr="00B31BA7">
              <w:rPr>
                <w:rFonts w:ascii="Arial" w:eastAsia="SimSun" w:hAnsi="Arial" w:cs="Arial"/>
                <w:sz w:val="20"/>
                <w:szCs w:val="20"/>
                <w:lang w:eastAsia="zh-CN"/>
              </w:rPr>
              <w:t>;</w:t>
            </w:r>
          </w:p>
          <w:p w:rsidR="003E3489" w:rsidRPr="001C66E9" w:rsidRDefault="003E3489" w:rsidP="00C373AA">
            <w:pPr>
              <w:pStyle w:val="NormalWeb"/>
              <w:spacing w:before="0" w:after="0"/>
              <w:ind w:left="74" w:right="74"/>
              <w:rPr>
                <w:rFonts w:ascii="Arial" w:eastAsia="SimSun" w:hAnsi="Arial" w:cs="Arial"/>
                <w:sz w:val="20"/>
                <w:szCs w:val="20"/>
                <w:lang w:eastAsia="zh-CN"/>
              </w:rPr>
            </w:pPr>
            <w:r>
              <w:rPr>
                <w:rFonts w:ascii="Arial" w:eastAsia="SimSun" w:hAnsi="Arial" w:cs="Arial"/>
                <w:sz w:val="20"/>
                <w:szCs w:val="20"/>
                <w:lang w:eastAsia="zh-CN"/>
              </w:rPr>
              <w:t xml:space="preserve">(ii) </w:t>
            </w:r>
            <w:r w:rsidRPr="00B31BA7">
              <w:rPr>
                <w:rFonts w:ascii="Arial" w:eastAsia="SimSun" w:hAnsi="Arial" w:cs="Arial"/>
                <w:sz w:val="20"/>
                <w:szCs w:val="20"/>
                <w:lang w:eastAsia="zh-CN"/>
              </w:rPr>
              <w:t>The date of initial diagnosis</w:t>
            </w:r>
            <w:r>
              <w:rPr>
                <w:rFonts w:ascii="Arial" w:eastAsia="SimSun" w:hAnsi="Arial" w:cs="Arial"/>
                <w:sz w:val="20"/>
                <w:szCs w:val="20"/>
                <w:lang w:eastAsia="zh-CN"/>
              </w:rPr>
              <w:t xml:space="preserve"> </w:t>
            </w:r>
            <w:r w:rsidRPr="001C66E9">
              <w:rPr>
                <w:rFonts w:ascii="Arial" w:eastAsia="SimSun" w:hAnsi="Arial" w:cs="Arial"/>
                <w:sz w:val="20"/>
                <w:szCs w:val="20"/>
                <w:lang w:eastAsia="zh-CN"/>
              </w:rPr>
              <w:t xml:space="preserve">of </w:t>
            </w:r>
            <w:r>
              <w:rPr>
                <w:rFonts w:ascii="Arial" w:eastAsia="SimSun" w:hAnsi="Arial" w:cs="Arial"/>
                <w:sz w:val="20"/>
                <w:szCs w:val="20"/>
                <w:lang w:eastAsia="zh-CN"/>
              </w:rPr>
              <w:t xml:space="preserve">systemic </w:t>
            </w:r>
            <w:r w:rsidRPr="001C66E9">
              <w:rPr>
                <w:rFonts w:ascii="Arial" w:eastAsia="SimSun" w:hAnsi="Arial" w:cs="Arial"/>
                <w:sz w:val="20"/>
                <w:szCs w:val="20"/>
                <w:lang w:eastAsia="zh-CN"/>
              </w:rPr>
              <w:t>anaplastic large cell lymphoma;</w:t>
            </w:r>
          </w:p>
          <w:p w:rsidR="003E3489" w:rsidRPr="00B31BA7" w:rsidRDefault="003E3489" w:rsidP="00C373AA">
            <w:pPr>
              <w:pStyle w:val="NormalWeb"/>
              <w:spacing w:before="0" w:after="0"/>
              <w:ind w:left="74" w:right="74"/>
              <w:rPr>
                <w:rFonts w:ascii="Arial" w:eastAsia="SimSun" w:hAnsi="Arial" w:cs="Arial"/>
                <w:sz w:val="20"/>
                <w:szCs w:val="20"/>
                <w:lang w:eastAsia="zh-CN"/>
              </w:rPr>
            </w:pPr>
            <w:r>
              <w:rPr>
                <w:rFonts w:ascii="Arial" w:eastAsia="SimSun" w:hAnsi="Arial" w:cs="Arial"/>
                <w:sz w:val="20"/>
                <w:szCs w:val="20"/>
                <w:lang w:eastAsia="zh-CN"/>
              </w:rPr>
              <w:t xml:space="preserve">(iii) </w:t>
            </w:r>
            <w:r w:rsidRPr="001C66E9">
              <w:rPr>
                <w:rFonts w:ascii="Arial" w:eastAsia="SimSun" w:hAnsi="Arial" w:cs="Arial"/>
                <w:sz w:val="20"/>
                <w:szCs w:val="20"/>
                <w:lang w:eastAsia="zh-CN"/>
              </w:rPr>
              <w:t>Dates of commencement and completion of front-line curative intent chemotherapy</w:t>
            </w:r>
            <w:r>
              <w:rPr>
                <w:rFonts w:ascii="Arial" w:eastAsia="SimSun" w:hAnsi="Arial" w:cs="Arial"/>
                <w:sz w:val="20"/>
                <w:szCs w:val="20"/>
                <w:lang w:eastAsia="zh-CN"/>
              </w:rPr>
              <w:t xml:space="preserve"> </w:t>
            </w:r>
            <w:r w:rsidRPr="00B31BA7">
              <w:rPr>
                <w:rFonts w:ascii="Arial" w:eastAsia="SimSun" w:hAnsi="Arial" w:cs="Arial"/>
                <w:sz w:val="20"/>
                <w:szCs w:val="20"/>
                <w:lang w:eastAsia="zh-CN"/>
              </w:rPr>
              <w:t>;</w:t>
            </w:r>
          </w:p>
          <w:p w:rsidR="003E3489" w:rsidRPr="00B31BA7" w:rsidRDefault="003E3489" w:rsidP="00C373AA">
            <w:pPr>
              <w:pStyle w:val="NormalWeb"/>
              <w:spacing w:before="0" w:after="0"/>
              <w:ind w:left="74" w:right="74"/>
              <w:rPr>
                <w:rFonts w:ascii="Arial" w:eastAsia="SimSun" w:hAnsi="Arial" w:cs="Arial"/>
                <w:sz w:val="20"/>
                <w:szCs w:val="20"/>
                <w:lang w:eastAsia="zh-CN"/>
              </w:rPr>
            </w:pPr>
            <w:r>
              <w:rPr>
                <w:rFonts w:ascii="Arial" w:eastAsia="SimSun" w:hAnsi="Arial" w:cs="Arial"/>
                <w:sz w:val="20"/>
                <w:szCs w:val="20"/>
                <w:lang w:eastAsia="zh-CN"/>
              </w:rPr>
              <w:t>(iv) a</w:t>
            </w:r>
            <w:r w:rsidRPr="00B31BA7">
              <w:rPr>
                <w:rFonts w:ascii="Arial" w:eastAsia="SimSun" w:hAnsi="Arial" w:cs="Arial"/>
                <w:sz w:val="20"/>
                <w:szCs w:val="20"/>
                <w:lang w:eastAsia="zh-CN"/>
              </w:rPr>
              <w:t xml:space="preserve"> declaration of whether the patient’s disease is relapsed or refractory, and the date </w:t>
            </w:r>
            <w:r>
              <w:rPr>
                <w:rFonts w:ascii="Arial" w:eastAsia="SimSun" w:hAnsi="Arial" w:cs="Arial"/>
                <w:sz w:val="20"/>
                <w:szCs w:val="20"/>
                <w:lang w:eastAsia="zh-CN"/>
              </w:rPr>
              <w:t>and means by</w:t>
            </w:r>
            <w:r w:rsidRPr="00B31BA7">
              <w:rPr>
                <w:rFonts w:ascii="Arial" w:eastAsia="SimSun" w:hAnsi="Arial" w:cs="Arial"/>
                <w:sz w:val="20"/>
                <w:szCs w:val="20"/>
                <w:lang w:eastAsia="zh-CN"/>
              </w:rPr>
              <w:t xml:space="preserve"> which the patient’s disease was assessed as being relapsed or refractory;</w:t>
            </w:r>
          </w:p>
          <w:p w:rsidR="003E3489" w:rsidRDefault="003E3489" w:rsidP="00C373AA">
            <w:pPr>
              <w:pStyle w:val="NormalWeb"/>
              <w:spacing w:before="0" w:after="0"/>
              <w:rPr>
                <w:rFonts w:ascii="Arial" w:eastAsia="SimSun" w:hAnsi="Arial" w:cs="Arial"/>
                <w:sz w:val="20"/>
                <w:szCs w:val="20"/>
                <w:lang w:eastAsia="zh-CN"/>
              </w:rPr>
            </w:pPr>
            <w:r>
              <w:rPr>
                <w:rFonts w:ascii="Arial" w:eastAsia="SimSun" w:hAnsi="Arial" w:cs="Arial"/>
                <w:sz w:val="20"/>
                <w:szCs w:val="20"/>
                <w:lang w:eastAsia="zh-CN"/>
              </w:rPr>
              <w:t>(v) a</w:t>
            </w:r>
            <w:r w:rsidRPr="00B31BA7">
              <w:rPr>
                <w:rFonts w:ascii="Arial" w:eastAsia="SimSun" w:hAnsi="Arial" w:cs="Arial"/>
                <w:sz w:val="20"/>
                <w:szCs w:val="20"/>
                <w:lang w:eastAsia="zh-CN"/>
              </w:rPr>
              <w:t xml:space="preserve"> declaration of whether the patient has had, or is planned to have, a transplant</w:t>
            </w:r>
          </w:p>
          <w:p w:rsidR="003E3489" w:rsidRPr="00B31BA7" w:rsidRDefault="003E3489" w:rsidP="00C373AA">
            <w:pPr>
              <w:pStyle w:val="NormalWeb"/>
              <w:rPr>
                <w:rFonts w:ascii="Arial" w:eastAsia="SimSun" w:hAnsi="Arial" w:cs="Arial"/>
                <w:sz w:val="20"/>
                <w:szCs w:val="20"/>
                <w:lang w:eastAsia="zh-CN"/>
              </w:rPr>
            </w:pPr>
            <w:r w:rsidRPr="00B31BA7">
              <w:rPr>
                <w:rFonts w:ascii="Arial" w:eastAsia="SimSun" w:hAnsi="Arial" w:cs="Arial"/>
                <w:sz w:val="20"/>
                <w:szCs w:val="20"/>
                <w:lang w:eastAsia="zh-CN"/>
              </w:rPr>
              <w:t xml:space="preserve">A maximum quantity and number of repeats to provide for an initial course of </w:t>
            </w:r>
            <w:proofErr w:type="spellStart"/>
            <w:r>
              <w:rPr>
                <w:rFonts w:ascii="Arial" w:eastAsia="SimSun" w:hAnsi="Arial" w:cs="Arial"/>
                <w:sz w:val="20"/>
                <w:szCs w:val="20"/>
                <w:lang w:eastAsia="zh-CN"/>
              </w:rPr>
              <w:t>brentuximab</w:t>
            </w:r>
            <w:proofErr w:type="spellEnd"/>
            <w:r>
              <w:rPr>
                <w:rFonts w:ascii="Arial" w:eastAsia="SimSun" w:hAnsi="Arial" w:cs="Arial"/>
                <w:sz w:val="20"/>
                <w:szCs w:val="20"/>
                <w:lang w:eastAsia="zh-CN"/>
              </w:rPr>
              <w:t xml:space="preserve"> </w:t>
            </w:r>
            <w:proofErr w:type="spellStart"/>
            <w:r>
              <w:rPr>
                <w:rFonts w:ascii="Arial" w:eastAsia="SimSun" w:hAnsi="Arial" w:cs="Arial"/>
                <w:sz w:val="20"/>
                <w:szCs w:val="20"/>
                <w:lang w:eastAsia="zh-CN"/>
              </w:rPr>
              <w:t>vedotin</w:t>
            </w:r>
            <w:proofErr w:type="spellEnd"/>
            <w:r>
              <w:rPr>
                <w:rFonts w:ascii="Arial" w:eastAsia="SimSun" w:hAnsi="Arial" w:cs="Arial"/>
                <w:sz w:val="20"/>
                <w:szCs w:val="20"/>
                <w:lang w:eastAsia="zh-CN"/>
              </w:rPr>
              <w:t xml:space="preserve"> of 4 cycles </w:t>
            </w:r>
            <w:r w:rsidRPr="00B31BA7">
              <w:rPr>
                <w:rFonts w:ascii="Arial" w:eastAsia="SimSun" w:hAnsi="Arial" w:cs="Arial"/>
                <w:sz w:val="20"/>
                <w:szCs w:val="20"/>
                <w:lang w:eastAsia="zh-CN"/>
              </w:rPr>
              <w:t>will be authorised</w:t>
            </w:r>
            <w:r>
              <w:rPr>
                <w:rFonts w:ascii="Arial" w:eastAsia="SimSun" w:hAnsi="Arial" w:cs="Arial"/>
                <w:sz w:val="20"/>
                <w:szCs w:val="20"/>
                <w:lang w:eastAsia="zh-CN"/>
              </w:rPr>
              <w:t xml:space="preserve"> as part of the initiating restriction</w:t>
            </w:r>
            <w:r w:rsidRPr="00B31BA7">
              <w:rPr>
                <w:rFonts w:ascii="Arial" w:eastAsia="SimSun" w:hAnsi="Arial" w:cs="Arial"/>
                <w:sz w:val="20"/>
                <w:szCs w:val="20"/>
                <w:lang w:eastAsia="zh-CN"/>
              </w:rPr>
              <w:t xml:space="preserve">. </w:t>
            </w:r>
          </w:p>
          <w:p w:rsidR="003E3489" w:rsidRPr="00F155E4" w:rsidRDefault="003E3489" w:rsidP="00C373AA">
            <w:pPr>
              <w:pStyle w:val="NormalWeb"/>
              <w:rPr>
                <w:rFonts w:ascii="Arial" w:eastAsia="SimSun" w:hAnsi="Arial" w:cs="Arial"/>
                <w:sz w:val="20"/>
                <w:szCs w:val="20"/>
                <w:lang w:eastAsia="zh-CN"/>
              </w:rPr>
            </w:pPr>
          </w:p>
        </w:tc>
      </w:tr>
      <w:tr w:rsidR="003E3489" w:rsidRPr="00F155E4" w:rsidTr="00C373AA">
        <w:trPr>
          <w:cantSplit/>
          <w:trHeight w:val="360"/>
        </w:trPr>
        <w:tc>
          <w:tcPr>
            <w:tcW w:w="1418" w:type="dxa"/>
            <w:tcBorders>
              <w:top w:val="single" w:sz="4" w:space="0" w:color="auto"/>
              <w:left w:val="single" w:sz="4" w:space="0" w:color="auto"/>
              <w:bottom w:val="single" w:sz="4" w:space="0" w:color="auto"/>
              <w:right w:val="single" w:sz="4" w:space="0" w:color="auto"/>
            </w:tcBorders>
          </w:tcPr>
          <w:p w:rsidR="003E3489" w:rsidRDefault="003E3489" w:rsidP="00C373AA">
            <w:pPr>
              <w:keepNext/>
              <w:keepLines/>
              <w:rPr>
                <w:rFonts w:ascii="Arial" w:eastAsia="SimSun" w:hAnsi="Arial" w:cs="Arial"/>
                <w:b/>
                <w:sz w:val="20"/>
                <w:szCs w:val="20"/>
                <w:lang w:eastAsia="zh-CN"/>
              </w:rPr>
            </w:pPr>
            <w:r>
              <w:rPr>
                <w:rFonts w:ascii="Arial" w:eastAsia="SimSun" w:hAnsi="Arial" w:cs="Arial"/>
                <w:b/>
                <w:sz w:val="20"/>
                <w:szCs w:val="20"/>
                <w:lang w:eastAsia="zh-CN"/>
              </w:rPr>
              <w:t>Administrative advice</w:t>
            </w:r>
          </w:p>
        </w:tc>
        <w:tc>
          <w:tcPr>
            <w:tcW w:w="7008" w:type="dxa"/>
            <w:tcBorders>
              <w:top w:val="single" w:sz="4" w:space="0" w:color="auto"/>
              <w:left w:val="single" w:sz="4" w:space="0" w:color="auto"/>
              <w:bottom w:val="single" w:sz="4" w:space="0" w:color="auto"/>
              <w:right w:val="single" w:sz="4" w:space="0" w:color="auto"/>
            </w:tcBorders>
          </w:tcPr>
          <w:p w:rsidR="003E3489" w:rsidRPr="005F7B14" w:rsidRDefault="003E3489" w:rsidP="00C373AA">
            <w:pPr>
              <w:pStyle w:val="NormalWeb"/>
              <w:spacing w:before="0" w:after="0"/>
              <w:ind w:left="74" w:right="74"/>
              <w:rPr>
                <w:rFonts w:ascii="Arial" w:hAnsi="Arial" w:cs="Arial"/>
                <w:sz w:val="20"/>
                <w:u w:val="single"/>
              </w:rPr>
            </w:pPr>
            <w:r w:rsidRPr="005F7B14">
              <w:rPr>
                <w:rFonts w:ascii="Arial" w:hAnsi="Arial" w:cs="Arial"/>
                <w:sz w:val="20"/>
                <w:u w:val="single"/>
              </w:rPr>
              <w:t>NOTE:</w:t>
            </w:r>
          </w:p>
          <w:p w:rsidR="003E3489" w:rsidRPr="005F7B14" w:rsidRDefault="003E3489" w:rsidP="00C373AA">
            <w:pPr>
              <w:pStyle w:val="NormalWeb"/>
              <w:spacing w:before="0" w:after="0"/>
              <w:ind w:left="74" w:right="74"/>
              <w:rPr>
                <w:rFonts w:ascii="Arial" w:hAnsi="Arial" w:cs="Arial"/>
                <w:sz w:val="20"/>
              </w:rPr>
            </w:pPr>
            <w:r w:rsidRPr="005F7B14">
              <w:rPr>
                <w:rFonts w:ascii="Arial" w:hAnsi="Arial" w:cs="Arial"/>
                <w:sz w:val="20"/>
              </w:rPr>
              <w:t xml:space="preserve">Any queries concerning the arrangements to prescribe may be directed to the Department of Human Services on 1800 700 270 (hours of operation 8 a.m. to 5 p.m. EST Monday to Friday). </w:t>
            </w:r>
          </w:p>
          <w:p w:rsidR="003E3489" w:rsidRPr="005F7B14" w:rsidRDefault="003E3489" w:rsidP="00C373AA">
            <w:pPr>
              <w:pStyle w:val="NormalWeb"/>
              <w:spacing w:before="0" w:after="0"/>
              <w:ind w:left="74" w:right="74"/>
              <w:rPr>
                <w:rFonts w:ascii="Arial" w:hAnsi="Arial" w:cs="Arial"/>
                <w:sz w:val="20"/>
              </w:rPr>
            </w:pPr>
          </w:p>
          <w:p w:rsidR="003E3489" w:rsidRPr="005F7B14" w:rsidRDefault="003E3489" w:rsidP="00C373AA">
            <w:pPr>
              <w:pStyle w:val="NormalWeb"/>
              <w:spacing w:before="0" w:after="0"/>
              <w:ind w:left="74" w:right="74"/>
              <w:rPr>
                <w:rFonts w:ascii="Arial" w:hAnsi="Arial" w:cs="Arial"/>
                <w:sz w:val="20"/>
              </w:rPr>
            </w:pPr>
            <w:r w:rsidRPr="005F7B14">
              <w:rPr>
                <w:rFonts w:ascii="Arial" w:hAnsi="Arial" w:cs="Arial"/>
                <w:sz w:val="20"/>
              </w:rPr>
              <w:t xml:space="preserve">Prescribing information (including Authority Application forms and other relevant documentation as applicable) is available on the Department of Human Services website at www.humanservices.gov.au </w:t>
            </w:r>
          </w:p>
          <w:p w:rsidR="003E3489" w:rsidRDefault="003E3489" w:rsidP="00C373AA">
            <w:pPr>
              <w:pStyle w:val="NormalWeb"/>
              <w:spacing w:before="0" w:after="0"/>
              <w:ind w:left="74" w:right="74"/>
              <w:rPr>
                <w:rFonts w:ascii="Arial" w:hAnsi="Arial" w:cs="Arial"/>
                <w:sz w:val="20"/>
              </w:rPr>
            </w:pPr>
          </w:p>
          <w:p w:rsidR="003E3489" w:rsidRPr="00972A10" w:rsidRDefault="003E3489" w:rsidP="00C373AA">
            <w:pPr>
              <w:pStyle w:val="NormalWeb"/>
              <w:spacing w:before="0" w:after="0"/>
              <w:ind w:left="74" w:right="74"/>
              <w:rPr>
                <w:rFonts w:ascii="Arial" w:hAnsi="Arial" w:cs="Arial"/>
                <w:sz w:val="20"/>
              </w:rPr>
            </w:pPr>
            <w:r w:rsidRPr="00972A10">
              <w:rPr>
                <w:rFonts w:ascii="Arial" w:hAnsi="Arial" w:cs="Arial"/>
                <w:sz w:val="20"/>
              </w:rPr>
              <w:t xml:space="preserve">Written applications for authority to prescribe should be forwarded to: </w:t>
            </w:r>
          </w:p>
          <w:p w:rsidR="003E3489" w:rsidRPr="00972A10" w:rsidRDefault="003E3489" w:rsidP="00C373AA">
            <w:pPr>
              <w:pStyle w:val="NormalWeb"/>
              <w:spacing w:before="0" w:after="0"/>
              <w:ind w:left="74" w:right="74"/>
              <w:rPr>
                <w:rFonts w:ascii="Arial" w:hAnsi="Arial" w:cs="Arial"/>
                <w:sz w:val="20"/>
              </w:rPr>
            </w:pPr>
            <w:r w:rsidRPr="00972A10">
              <w:rPr>
                <w:rFonts w:ascii="Arial" w:hAnsi="Arial" w:cs="Arial"/>
                <w:sz w:val="20"/>
              </w:rPr>
              <w:t>Department of Human Services</w:t>
            </w:r>
          </w:p>
          <w:p w:rsidR="003E3489" w:rsidRPr="00972A10" w:rsidRDefault="003E3489" w:rsidP="00C373AA">
            <w:pPr>
              <w:pStyle w:val="NormalWeb"/>
              <w:spacing w:before="0" w:after="0"/>
              <w:ind w:left="74" w:right="74"/>
              <w:rPr>
                <w:rFonts w:ascii="Arial" w:hAnsi="Arial" w:cs="Arial"/>
                <w:sz w:val="20"/>
              </w:rPr>
            </w:pPr>
            <w:r w:rsidRPr="00972A10">
              <w:rPr>
                <w:rFonts w:ascii="Arial" w:hAnsi="Arial" w:cs="Arial"/>
                <w:sz w:val="20"/>
              </w:rPr>
              <w:t xml:space="preserve">Prior Written Approval of Complex Drugs </w:t>
            </w:r>
          </w:p>
          <w:p w:rsidR="003E3489" w:rsidRPr="00972A10" w:rsidRDefault="003E3489" w:rsidP="00C373AA">
            <w:pPr>
              <w:pStyle w:val="NormalWeb"/>
              <w:spacing w:before="0" w:after="0"/>
              <w:ind w:left="74" w:right="74"/>
              <w:rPr>
                <w:rFonts w:ascii="Arial" w:hAnsi="Arial" w:cs="Arial"/>
                <w:sz w:val="20"/>
              </w:rPr>
            </w:pPr>
            <w:r w:rsidRPr="00972A10">
              <w:rPr>
                <w:rFonts w:ascii="Arial" w:hAnsi="Arial" w:cs="Arial"/>
                <w:sz w:val="20"/>
              </w:rPr>
              <w:t xml:space="preserve">Reply Paid 9826 </w:t>
            </w:r>
          </w:p>
          <w:p w:rsidR="003E3489" w:rsidRPr="00972A10" w:rsidRDefault="003E3489" w:rsidP="00C373AA">
            <w:pPr>
              <w:pStyle w:val="NormalWeb"/>
              <w:spacing w:before="0" w:after="0"/>
              <w:ind w:left="74" w:right="74"/>
              <w:rPr>
                <w:rFonts w:ascii="Arial" w:hAnsi="Arial" w:cs="Arial"/>
                <w:sz w:val="20"/>
              </w:rPr>
            </w:pPr>
            <w:r w:rsidRPr="00972A10">
              <w:rPr>
                <w:rFonts w:ascii="Arial" w:hAnsi="Arial" w:cs="Arial"/>
                <w:sz w:val="20"/>
              </w:rPr>
              <w:t xml:space="preserve">GPO Box 9826 </w:t>
            </w:r>
          </w:p>
          <w:p w:rsidR="003E3489" w:rsidRPr="00972A10" w:rsidRDefault="003E3489" w:rsidP="00C373AA">
            <w:pPr>
              <w:pStyle w:val="NormalWeb"/>
              <w:spacing w:before="0" w:after="0"/>
              <w:ind w:left="74" w:right="74"/>
              <w:rPr>
                <w:rFonts w:ascii="Arial" w:hAnsi="Arial" w:cs="Arial"/>
                <w:sz w:val="20"/>
              </w:rPr>
            </w:pPr>
            <w:r w:rsidRPr="00972A10">
              <w:rPr>
                <w:rFonts w:ascii="Arial" w:hAnsi="Arial" w:cs="Arial"/>
                <w:sz w:val="20"/>
              </w:rPr>
              <w:t>HOBART TAS 7001</w:t>
            </w:r>
          </w:p>
          <w:p w:rsidR="003E3489" w:rsidRDefault="003E3489" w:rsidP="00C373AA">
            <w:pPr>
              <w:keepNext/>
              <w:keepLines/>
              <w:rPr>
                <w:rFonts w:ascii="Arial" w:hAnsi="Arial" w:cs="Arial"/>
                <w:sz w:val="20"/>
                <w:u w:val="single"/>
              </w:rPr>
            </w:pPr>
          </w:p>
          <w:p w:rsidR="003E3489" w:rsidRPr="00BE7494" w:rsidRDefault="003E3489" w:rsidP="00C373AA">
            <w:pPr>
              <w:keepNext/>
              <w:keepLines/>
              <w:rPr>
                <w:rFonts w:ascii="Arial" w:hAnsi="Arial" w:cs="Arial"/>
                <w:sz w:val="20"/>
                <w:u w:val="single"/>
              </w:rPr>
            </w:pPr>
            <w:r w:rsidRPr="00BE7494">
              <w:rPr>
                <w:rFonts w:ascii="Arial" w:hAnsi="Arial" w:cs="Arial"/>
                <w:sz w:val="20"/>
                <w:u w:val="single"/>
              </w:rPr>
              <w:t>NOTE:</w:t>
            </w:r>
          </w:p>
          <w:p w:rsidR="003E3489" w:rsidRDefault="003E3489" w:rsidP="00C373AA">
            <w:pPr>
              <w:keepNext/>
              <w:keepLines/>
              <w:rPr>
                <w:rFonts w:ascii="Arial" w:hAnsi="Arial" w:cs="Arial"/>
                <w:sz w:val="20"/>
              </w:rPr>
            </w:pPr>
            <w:r w:rsidRPr="004D7DB4">
              <w:rPr>
                <w:rFonts w:ascii="Arial" w:hAnsi="Arial" w:cs="Arial"/>
                <w:sz w:val="20"/>
              </w:rPr>
              <w:t>No increase in the maximum number of repeats may be authorised.</w:t>
            </w:r>
          </w:p>
          <w:p w:rsidR="003E3489" w:rsidRDefault="003E3489" w:rsidP="00C373AA">
            <w:pPr>
              <w:keepNext/>
              <w:keepLines/>
              <w:rPr>
                <w:rFonts w:ascii="Arial" w:hAnsi="Arial" w:cs="Arial"/>
                <w:sz w:val="20"/>
              </w:rPr>
            </w:pPr>
          </w:p>
          <w:p w:rsidR="003E3489" w:rsidRPr="004D7DB4" w:rsidRDefault="003E3489" w:rsidP="00C373AA">
            <w:pPr>
              <w:keepNext/>
              <w:keepLines/>
              <w:rPr>
                <w:rFonts w:ascii="Arial" w:hAnsi="Arial" w:cs="Arial"/>
                <w:sz w:val="20"/>
                <w:u w:val="single"/>
              </w:rPr>
            </w:pPr>
            <w:r w:rsidRPr="004D7DB4">
              <w:rPr>
                <w:rFonts w:ascii="Arial" w:hAnsi="Arial" w:cs="Arial"/>
                <w:sz w:val="20"/>
                <w:u w:val="single"/>
              </w:rPr>
              <w:t>NOTE:</w:t>
            </w:r>
          </w:p>
          <w:p w:rsidR="003E3489" w:rsidRDefault="003E3489" w:rsidP="00C373AA">
            <w:pPr>
              <w:keepNext/>
              <w:keepLines/>
              <w:rPr>
                <w:rFonts w:ascii="Arial" w:hAnsi="Arial" w:cs="Arial"/>
                <w:sz w:val="20"/>
              </w:rPr>
            </w:pPr>
            <w:r w:rsidRPr="004D7DB4">
              <w:rPr>
                <w:rFonts w:ascii="Arial" w:hAnsi="Arial" w:cs="Arial"/>
                <w:sz w:val="20"/>
              </w:rPr>
              <w:t>No increase in the maximum quantity or number of units may be authorised.</w:t>
            </w:r>
          </w:p>
          <w:p w:rsidR="003E3489" w:rsidRDefault="003E3489" w:rsidP="00C373AA">
            <w:pPr>
              <w:rPr>
                <w:rFonts w:ascii="Arial" w:hAnsi="Arial" w:cs="Arial"/>
                <w:sz w:val="20"/>
                <w:szCs w:val="20"/>
                <w:u w:val="single"/>
              </w:rPr>
            </w:pPr>
          </w:p>
          <w:p w:rsidR="003E3489" w:rsidRPr="00BE7494" w:rsidRDefault="003E3489" w:rsidP="00C373AA">
            <w:pPr>
              <w:rPr>
                <w:rFonts w:ascii="Arial" w:hAnsi="Arial" w:cs="Arial"/>
                <w:sz w:val="20"/>
                <w:szCs w:val="20"/>
                <w:u w:val="single"/>
              </w:rPr>
            </w:pPr>
            <w:r w:rsidRPr="00BE7494">
              <w:rPr>
                <w:rFonts w:ascii="Arial" w:hAnsi="Arial" w:cs="Arial"/>
                <w:sz w:val="20"/>
                <w:szCs w:val="20"/>
                <w:u w:val="single"/>
              </w:rPr>
              <w:t>NOTE:</w:t>
            </w:r>
          </w:p>
          <w:p w:rsidR="003E3489" w:rsidRPr="00B31BA7" w:rsidRDefault="003E3489" w:rsidP="00C373AA">
            <w:pPr>
              <w:pStyle w:val="NormalWeb"/>
              <w:rPr>
                <w:rFonts w:ascii="Arial" w:eastAsia="SimSun" w:hAnsi="Arial" w:cs="Arial"/>
                <w:sz w:val="20"/>
                <w:szCs w:val="20"/>
                <w:lang w:eastAsia="zh-CN"/>
              </w:rPr>
            </w:pPr>
            <w:r w:rsidRPr="00BE7494">
              <w:rPr>
                <w:rFonts w:ascii="Arial" w:hAnsi="Arial" w:cs="Arial"/>
                <w:sz w:val="20"/>
                <w:szCs w:val="20"/>
              </w:rPr>
              <w:t>Special pricing arrangements apply.</w:t>
            </w:r>
          </w:p>
        </w:tc>
      </w:tr>
    </w:tbl>
    <w:p w:rsidR="003E3489" w:rsidRDefault="003E3489" w:rsidP="003E3489">
      <w:pPr>
        <w:jc w:val="both"/>
        <w:rPr>
          <w:rFonts w:ascii="Arial" w:hAnsi="Arial" w:cs="Arial"/>
        </w:rPr>
      </w:pPr>
    </w:p>
    <w:p w:rsidR="003E3489" w:rsidRDefault="003E3489" w:rsidP="003E3489">
      <w:pPr>
        <w:jc w:val="both"/>
        <w:rPr>
          <w:rFonts w:ascii="Arial" w:hAnsi="Arial" w:cs="Arial"/>
        </w:rPr>
      </w:pPr>
    </w:p>
    <w:p w:rsidR="003E3489" w:rsidRDefault="003E3489" w:rsidP="003E3489">
      <w:pPr>
        <w:jc w:val="both"/>
        <w:rPr>
          <w:rFonts w:ascii="Arial" w:hAnsi="Arial" w:cs="Arial"/>
        </w:rPr>
      </w:pPr>
    </w:p>
    <w:tbl>
      <w:tblPr>
        <w:tblW w:w="8426" w:type="dxa"/>
        <w:tblInd w:w="817" w:type="dxa"/>
        <w:tblLayout w:type="fixed"/>
        <w:tblLook w:val="0000" w:firstRow="0" w:lastRow="0" w:firstColumn="0" w:lastColumn="0" w:noHBand="0" w:noVBand="0"/>
        <w:tblDescription w:val="brentixumab listing"/>
      </w:tblPr>
      <w:tblGrid>
        <w:gridCol w:w="1418"/>
        <w:gridCol w:w="2976"/>
        <w:gridCol w:w="1418"/>
        <w:gridCol w:w="2551"/>
        <w:gridCol w:w="63"/>
      </w:tblGrid>
      <w:tr w:rsidR="003E3489" w:rsidRPr="00FB1003" w:rsidTr="00C373AA">
        <w:trPr>
          <w:gridAfter w:val="1"/>
          <w:wAfter w:w="63" w:type="dxa"/>
          <w:cantSplit/>
          <w:trHeight w:val="471"/>
        </w:trPr>
        <w:tc>
          <w:tcPr>
            <w:tcW w:w="4394" w:type="dxa"/>
            <w:gridSpan w:val="2"/>
            <w:tcBorders>
              <w:bottom w:val="single" w:sz="4" w:space="0" w:color="auto"/>
            </w:tcBorders>
          </w:tcPr>
          <w:p w:rsidR="003E3489" w:rsidRPr="00FB1003" w:rsidRDefault="003E3489" w:rsidP="00C373AA">
            <w:pPr>
              <w:keepNext/>
              <w:keepLines/>
              <w:ind w:left="-108"/>
              <w:jc w:val="both"/>
              <w:rPr>
                <w:rFonts w:ascii="Arial" w:hAnsi="Arial" w:cs="Arial"/>
                <w:sz w:val="20"/>
              </w:rPr>
            </w:pPr>
            <w:r w:rsidRPr="00FB1003">
              <w:rPr>
                <w:rFonts w:ascii="Arial" w:hAnsi="Arial" w:cs="Arial"/>
                <w:sz w:val="20"/>
              </w:rPr>
              <w:lastRenderedPageBreak/>
              <w:t>Name, Restriction,</w:t>
            </w:r>
          </w:p>
          <w:p w:rsidR="003E3489" w:rsidRPr="00FB1003" w:rsidRDefault="003E3489" w:rsidP="00C373AA">
            <w:pPr>
              <w:keepNext/>
              <w:keepLines/>
              <w:ind w:left="-108"/>
              <w:jc w:val="both"/>
              <w:rPr>
                <w:rFonts w:ascii="Arial" w:hAnsi="Arial" w:cs="Arial"/>
                <w:sz w:val="20"/>
              </w:rPr>
            </w:pPr>
            <w:r w:rsidRPr="00FB1003">
              <w:rPr>
                <w:rFonts w:ascii="Arial" w:hAnsi="Arial" w:cs="Arial"/>
                <w:sz w:val="20"/>
              </w:rPr>
              <w:t>Manner of administration and form</w:t>
            </w:r>
          </w:p>
        </w:tc>
        <w:tc>
          <w:tcPr>
            <w:tcW w:w="1418" w:type="dxa"/>
            <w:tcBorders>
              <w:bottom w:val="single" w:sz="4" w:space="0" w:color="auto"/>
            </w:tcBorders>
          </w:tcPr>
          <w:p w:rsidR="003E3489" w:rsidRPr="00FB1003" w:rsidRDefault="003E3489" w:rsidP="00C373AA">
            <w:pPr>
              <w:keepNext/>
              <w:keepLines/>
              <w:ind w:left="-108"/>
              <w:jc w:val="both"/>
              <w:rPr>
                <w:rFonts w:ascii="Arial" w:hAnsi="Arial" w:cs="Arial"/>
                <w:sz w:val="20"/>
              </w:rPr>
            </w:pPr>
            <w:r w:rsidRPr="00FB1003">
              <w:rPr>
                <w:rFonts w:ascii="Arial" w:hAnsi="Arial" w:cs="Arial"/>
                <w:sz w:val="20"/>
              </w:rPr>
              <w:t>Max.</w:t>
            </w:r>
          </w:p>
          <w:p w:rsidR="003E3489" w:rsidRPr="00FB1003" w:rsidRDefault="003E3489" w:rsidP="00C373AA">
            <w:pPr>
              <w:keepNext/>
              <w:keepLines/>
              <w:ind w:left="-108"/>
              <w:jc w:val="both"/>
              <w:rPr>
                <w:rFonts w:ascii="Arial" w:hAnsi="Arial" w:cs="Arial"/>
                <w:sz w:val="20"/>
              </w:rPr>
            </w:pPr>
            <w:proofErr w:type="spellStart"/>
            <w:r>
              <w:rPr>
                <w:rFonts w:ascii="Arial" w:hAnsi="Arial" w:cs="Arial"/>
                <w:sz w:val="20"/>
              </w:rPr>
              <w:t>Amt</w:t>
            </w:r>
            <w:proofErr w:type="spellEnd"/>
          </w:p>
        </w:tc>
        <w:tc>
          <w:tcPr>
            <w:tcW w:w="2551" w:type="dxa"/>
            <w:tcBorders>
              <w:bottom w:val="single" w:sz="4" w:space="0" w:color="auto"/>
            </w:tcBorders>
          </w:tcPr>
          <w:p w:rsidR="003E3489" w:rsidRPr="00FB1003" w:rsidRDefault="003E3489" w:rsidP="00C373AA">
            <w:pPr>
              <w:keepNext/>
              <w:keepLines/>
              <w:ind w:left="-108"/>
              <w:jc w:val="both"/>
              <w:rPr>
                <w:rFonts w:ascii="Arial" w:hAnsi="Arial" w:cs="Arial"/>
                <w:sz w:val="20"/>
              </w:rPr>
            </w:pPr>
            <w:r w:rsidRPr="00FB1003">
              <w:rPr>
                <w:rFonts w:ascii="Arial" w:hAnsi="Arial" w:cs="Arial"/>
                <w:sz w:val="20"/>
              </w:rPr>
              <w:t>№.of</w:t>
            </w:r>
          </w:p>
          <w:p w:rsidR="003E3489" w:rsidRPr="00FB1003" w:rsidRDefault="003E3489" w:rsidP="00C373AA">
            <w:pPr>
              <w:keepNext/>
              <w:keepLines/>
              <w:ind w:left="-108"/>
              <w:jc w:val="both"/>
              <w:rPr>
                <w:rFonts w:ascii="Arial" w:hAnsi="Arial" w:cs="Arial"/>
                <w:sz w:val="20"/>
              </w:rPr>
            </w:pPr>
            <w:proofErr w:type="spellStart"/>
            <w:r w:rsidRPr="00FB1003">
              <w:rPr>
                <w:rFonts w:ascii="Arial" w:hAnsi="Arial" w:cs="Arial"/>
                <w:sz w:val="20"/>
              </w:rPr>
              <w:t>Rpts</w:t>
            </w:r>
            <w:proofErr w:type="spellEnd"/>
          </w:p>
        </w:tc>
      </w:tr>
      <w:tr w:rsidR="003E3489" w:rsidRPr="00637638" w:rsidTr="00C373AA">
        <w:trPr>
          <w:gridAfter w:val="1"/>
          <w:wAfter w:w="63" w:type="dxa"/>
          <w:cantSplit/>
          <w:trHeight w:val="855"/>
        </w:trPr>
        <w:tc>
          <w:tcPr>
            <w:tcW w:w="4394" w:type="dxa"/>
            <w:gridSpan w:val="2"/>
          </w:tcPr>
          <w:p w:rsidR="003E3489" w:rsidRPr="00637638" w:rsidRDefault="003E3489" w:rsidP="00C373AA">
            <w:pPr>
              <w:keepNext/>
              <w:keepLines/>
              <w:ind w:left="-108"/>
              <w:jc w:val="both"/>
              <w:rPr>
                <w:rFonts w:ascii="Arial" w:eastAsia="SimSun" w:hAnsi="Arial" w:cs="Arial"/>
                <w:sz w:val="20"/>
                <w:szCs w:val="20"/>
              </w:rPr>
            </w:pPr>
            <w:r w:rsidRPr="00637638">
              <w:rPr>
                <w:rFonts w:ascii="Arial" w:eastAsia="SimSun" w:hAnsi="Arial" w:cs="Arial"/>
                <w:smallCaps/>
                <w:sz w:val="20"/>
                <w:szCs w:val="20"/>
              </w:rPr>
              <w:t>BRENTUXIMAB VEDOTIN</w:t>
            </w:r>
          </w:p>
          <w:p w:rsidR="003E3489" w:rsidRDefault="003E3489" w:rsidP="00C373AA">
            <w:pPr>
              <w:keepNext/>
              <w:keepLines/>
              <w:ind w:left="-108"/>
              <w:jc w:val="both"/>
              <w:rPr>
                <w:rFonts w:ascii="Arial" w:eastAsia="SimSun" w:hAnsi="Arial" w:cs="Arial"/>
                <w:sz w:val="20"/>
                <w:szCs w:val="20"/>
              </w:rPr>
            </w:pPr>
          </w:p>
          <w:p w:rsidR="003E3489" w:rsidRDefault="003E3489" w:rsidP="00C373AA">
            <w:pPr>
              <w:keepNext/>
              <w:keepLines/>
              <w:ind w:left="-108"/>
              <w:jc w:val="both"/>
              <w:rPr>
                <w:rFonts w:ascii="Arial" w:eastAsia="SimSun" w:hAnsi="Arial" w:cs="Arial"/>
                <w:sz w:val="20"/>
                <w:szCs w:val="20"/>
              </w:rPr>
            </w:pPr>
            <w:r w:rsidRPr="00637638">
              <w:rPr>
                <w:rFonts w:ascii="Arial" w:eastAsia="SimSun" w:hAnsi="Arial" w:cs="Arial"/>
                <w:sz w:val="20"/>
                <w:szCs w:val="20"/>
              </w:rPr>
              <w:t xml:space="preserve">Injection  </w:t>
            </w:r>
          </w:p>
          <w:p w:rsidR="003E3489" w:rsidRDefault="003E3489" w:rsidP="00C373AA">
            <w:pPr>
              <w:keepNext/>
              <w:keepLines/>
              <w:ind w:left="-108"/>
              <w:jc w:val="both"/>
              <w:rPr>
                <w:rFonts w:ascii="Arial" w:eastAsia="SimSun" w:hAnsi="Arial" w:cs="Arial"/>
                <w:sz w:val="20"/>
                <w:szCs w:val="20"/>
              </w:rPr>
            </w:pPr>
          </w:p>
        </w:tc>
        <w:tc>
          <w:tcPr>
            <w:tcW w:w="1418" w:type="dxa"/>
          </w:tcPr>
          <w:p w:rsidR="003E3489" w:rsidRDefault="003E3489" w:rsidP="00C373AA">
            <w:pPr>
              <w:keepNext/>
              <w:keepLines/>
              <w:ind w:left="-108"/>
              <w:jc w:val="both"/>
              <w:rPr>
                <w:rFonts w:ascii="Arial" w:eastAsia="SimSun" w:hAnsi="Arial" w:cs="Arial"/>
                <w:sz w:val="20"/>
                <w:szCs w:val="20"/>
              </w:rPr>
            </w:pPr>
          </w:p>
          <w:p w:rsidR="003E3489" w:rsidRPr="00637638" w:rsidRDefault="003E3489" w:rsidP="00C373AA">
            <w:pPr>
              <w:keepNext/>
              <w:keepLines/>
              <w:ind w:left="-108"/>
              <w:jc w:val="both"/>
              <w:rPr>
                <w:rFonts w:ascii="Arial" w:eastAsia="SimSun" w:hAnsi="Arial" w:cs="Arial"/>
                <w:sz w:val="20"/>
                <w:szCs w:val="20"/>
              </w:rPr>
            </w:pPr>
          </w:p>
          <w:p w:rsidR="003E3489" w:rsidRPr="00637638" w:rsidRDefault="003E3489" w:rsidP="00C373AA">
            <w:pPr>
              <w:keepNext/>
              <w:keepLines/>
              <w:ind w:left="-108"/>
              <w:jc w:val="both"/>
              <w:rPr>
                <w:rFonts w:ascii="Arial" w:eastAsia="SimSun" w:hAnsi="Arial" w:cs="Arial"/>
                <w:sz w:val="20"/>
                <w:szCs w:val="20"/>
              </w:rPr>
            </w:pPr>
            <w:r w:rsidRPr="00637638">
              <w:rPr>
                <w:rFonts w:ascii="Arial" w:eastAsia="SimSun" w:hAnsi="Arial" w:cs="Arial"/>
                <w:sz w:val="20"/>
                <w:szCs w:val="20"/>
              </w:rPr>
              <w:t>200 mg</w:t>
            </w:r>
          </w:p>
        </w:tc>
        <w:tc>
          <w:tcPr>
            <w:tcW w:w="2551" w:type="dxa"/>
          </w:tcPr>
          <w:p w:rsidR="003E3489" w:rsidRDefault="003E3489" w:rsidP="00C373AA">
            <w:pPr>
              <w:keepNext/>
              <w:keepLines/>
              <w:ind w:left="-108"/>
              <w:jc w:val="both"/>
              <w:rPr>
                <w:rFonts w:ascii="Arial" w:eastAsia="SimSun" w:hAnsi="Arial" w:cs="Arial"/>
                <w:sz w:val="20"/>
                <w:szCs w:val="20"/>
              </w:rPr>
            </w:pPr>
          </w:p>
          <w:p w:rsidR="003E3489" w:rsidRPr="00637638" w:rsidRDefault="003E3489" w:rsidP="00C373AA">
            <w:pPr>
              <w:keepNext/>
              <w:keepLines/>
              <w:ind w:left="-108"/>
              <w:jc w:val="both"/>
              <w:rPr>
                <w:rFonts w:ascii="Arial" w:eastAsia="SimSun" w:hAnsi="Arial" w:cs="Arial"/>
                <w:sz w:val="20"/>
                <w:szCs w:val="20"/>
              </w:rPr>
            </w:pPr>
          </w:p>
          <w:p w:rsidR="003E3489" w:rsidRPr="00637638" w:rsidRDefault="003E3489" w:rsidP="00C373AA">
            <w:pPr>
              <w:keepNext/>
              <w:keepLines/>
              <w:ind w:left="-108"/>
              <w:jc w:val="both"/>
              <w:rPr>
                <w:rFonts w:ascii="Arial" w:eastAsia="SimSun" w:hAnsi="Arial" w:cs="Arial"/>
                <w:sz w:val="20"/>
                <w:szCs w:val="20"/>
              </w:rPr>
            </w:pPr>
            <w:r>
              <w:rPr>
                <w:rFonts w:ascii="Arial" w:eastAsia="SimSun" w:hAnsi="Arial" w:cs="Arial"/>
                <w:sz w:val="20"/>
                <w:szCs w:val="20"/>
              </w:rPr>
              <w:t>11</w:t>
            </w:r>
          </w:p>
          <w:p w:rsidR="003E3489" w:rsidRPr="00637638" w:rsidRDefault="003E3489" w:rsidP="00C373AA">
            <w:pPr>
              <w:keepNext/>
              <w:keepLines/>
              <w:jc w:val="both"/>
              <w:rPr>
                <w:rFonts w:ascii="Arial" w:eastAsia="SimSun" w:hAnsi="Arial" w:cs="Arial"/>
                <w:sz w:val="20"/>
                <w:szCs w:val="20"/>
              </w:rPr>
            </w:pPr>
          </w:p>
        </w:tc>
      </w:tr>
      <w:tr w:rsidR="003E3489" w:rsidRPr="00637638" w:rsidTr="00C373AA">
        <w:trPr>
          <w:cantSplit/>
          <w:trHeight w:val="864"/>
        </w:trPr>
        <w:tc>
          <w:tcPr>
            <w:tcW w:w="8426" w:type="dxa"/>
            <w:gridSpan w:val="5"/>
          </w:tcPr>
          <w:p w:rsidR="003E3489" w:rsidRDefault="003E3489" w:rsidP="00C373AA">
            <w:pPr>
              <w:keepNext/>
              <w:keepLines/>
              <w:ind w:left="-108"/>
              <w:jc w:val="both"/>
              <w:rPr>
                <w:rFonts w:ascii="Arial" w:eastAsia="SimSun" w:hAnsi="Arial" w:cs="Arial"/>
                <w:sz w:val="20"/>
                <w:szCs w:val="20"/>
              </w:rPr>
            </w:pPr>
            <w:r>
              <w:rPr>
                <w:rFonts w:ascii="Arial" w:eastAsia="SimSun" w:hAnsi="Arial" w:cs="Arial"/>
                <w:sz w:val="20"/>
                <w:szCs w:val="20"/>
              </w:rPr>
              <w:t>Available brands:</w:t>
            </w:r>
          </w:p>
          <w:p w:rsidR="003E3489" w:rsidRDefault="003E3489" w:rsidP="00C373AA">
            <w:pPr>
              <w:keepNext/>
              <w:keepLines/>
              <w:ind w:left="-108"/>
              <w:jc w:val="both"/>
              <w:rPr>
                <w:rFonts w:ascii="Arial" w:eastAsia="SimSun" w:hAnsi="Arial" w:cs="Arial"/>
                <w:sz w:val="20"/>
                <w:szCs w:val="20"/>
              </w:rPr>
            </w:pPr>
            <w:proofErr w:type="spellStart"/>
            <w:r>
              <w:rPr>
                <w:rFonts w:ascii="Arial" w:eastAsia="SimSun" w:hAnsi="Arial" w:cs="Arial"/>
                <w:sz w:val="20"/>
                <w:szCs w:val="20"/>
              </w:rPr>
              <w:t>Adcetris</w:t>
            </w:r>
            <w:proofErr w:type="spellEnd"/>
          </w:p>
          <w:p w:rsidR="003E3489" w:rsidRPr="00637638" w:rsidRDefault="003E3489" w:rsidP="00C373AA">
            <w:pPr>
              <w:keepNext/>
              <w:keepLines/>
              <w:ind w:left="-108"/>
              <w:jc w:val="both"/>
              <w:rPr>
                <w:rFonts w:ascii="Arial" w:eastAsia="SimSun" w:hAnsi="Arial" w:cs="Arial"/>
                <w:smallCaps/>
                <w:sz w:val="20"/>
                <w:szCs w:val="20"/>
              </w:rPr>
            </w:pPr>
            <w:r>
              <w:rPr>
                <w:rFonts w:ascii="Arial" w:eastAsia="SimSun" w:hAnsi="Arial" w:cs="Arial"/>
                <w:sz w:val="20"/>
                <w:szCs w:val="20"/>
              </w:rPr>
              <w:t>(</w:t>
            </w:r>
            <w:proofErr w:type="spellStart"/>
            <w:r>
              <w:rPr>
                <w:rFonts w:ascii="Arial" w:eastAsia="SimSun" w:hAnsi="Arial" w:cs="Arial"/>
                <w:sz w:val="20"/>
                <w:szCs w:val="20"/>
              </w:rPr>
              <w:t>brentuximab</w:t>
            </w:r>
            <w:proofErr w:type="spellEnd"/>
            <w:r>
              <w:rPr>
                <w:rFonts w:ascii="Arial" w:eastAsia="SimSun" w:hAnsi="Arial" w:cs="Arial"/>
                <w:sz w:val="20"/>
                <w:szCs w:val="20"/>
              </w:rPr>
              <w:t xml:space="preserve"> </w:t>
            </w:r>
            <w:proofErr w:type="spellStart"/>
            <w:r>
              <w:rPr>
                <w:rFonts w:ascii="Arial" w:eastAsia="SimSun" w:hAnsi="Arial" w:cs="Arial"/>
                <w:sz w:val="20"/>
                <w:szCs w:val="20"/>
              </w:rPr>
              <w:t>vedotin</w:t>
            </w:r>
            <w:proofErr w:type="spellEnd"/>
            <w:r>
              <w:rPr>
                <w:rFonts w:ascii="Arial" w:eastAsia="SimSun" w:hAnsi="Arial" w:cs="Arial"/>
                <w:sz w:val="20"/>
                <w:szCs w:val="20"/>
              </w:rPr>
              <w:t xml:space="preserve"> 50mg injection, 1 x 50mg vial)</w:t>
            </w:r>
          </w:p>
        </w:tc>
      </w:tr>
      <w:tr w:rsidR="003E3489" w:rsidRPr="00F155E4" w:rsidTr="00C373AA">
        <w:trPr>
          <w:cantSplit/>
          <w:trHeight w:val="360"/>
        </w:trPr>
        <w:tc>
          <w:tcPr>
            <w:tcW w:w="1418" w:type="dxa"/>
            <w:tcBorders>
              <w:top w:val="single" w:sz="4" w:space="0" w:color="auto"/>
              <w:left w:val="single" w:sz="4" w:space="0" w:color="auto"/>
              <w:bottom w:val="single" w:sz="4" w:space="0" w:color="auto"/>
              <w:right w:val="single" w:sz="4" w:space="0" w:color="auto"/>
            </w:tcBorders>
          </w:tcPr>
          <w:p w:rsidR="003E3489" w:rsidRPr="00F155E4" w:rsidRDefault="003E3489" w:rsidP="00C373AA">
            <w:pPr>
              <w:keepNext/>
              <w:keepLines/>
              <w:rPr>
                <w:rFonts w:ascii="Arial" w:eastAsia="SimSun" w:hAnsi="Arial" w:cs="Arial"/>
                <w:b/>
                <w:sz w:val="20"/>
                <w:szCs w:val="20"/>
                <w:lang w:eastAsia="zh-CN"/>
              </w:rPr>
            </w:pPr>
            <w:r>
              <w:rPr>
                <w:rFonts w:ascii="Arial" w:eastAsia="SimSun" w:hAnsi="Arial" w:cs="Arial"/>
                <w:b/>
                <w:sz w:val="20"/>
                <w:szCs w:val="20"/>
                <w:lang w:eastAsia="zh-CN"/>
              </w:rPr>
              <w:t>Category/Program</w:t>
            </w:r>
          </w:p>
        </w:tc>
        <w:tc>
          <w:tcPr>
            <w:tcW w:w="7008" w:type="dxa"/>
            <w:gridSpan w:val="4"/>
            <w:tcBorders>
              <w:top w:val="single" w:sz="4" w:space="0" w:color="auto"/>
              <w:left w:val="single" w:sz="4" w:space="0" w:color="auto"/>
              <w:bottom w:val="single" w:sz="4" w:space="0" w:color="auto"/>
              <w:right w:val="single" w:sz="4" w:space="0" w:color="auto"/>
            </w:tcBorders>
          </w:tcPr>
          <w:p w:rsidR="003E3489" w:rsidRPr="00F155E4" w:rsidRDefault="003E3489" w:rsidP="00C373AA">
            <w:pPr>
              <w:keepNext/>
              <w:keepLines/>
              <w:rPr>
                <w:rFonts w:ascii="Arial" w:eastAsia="SimSun" w:hAnsi="Arial" w:cs="Arial"/>
                <w:sz w:val="20"/>
                <w:szCs w:val="20"/>
                <w:lang w:eastAsia="zh-CN"/>
              </w:rPr>
            </w:pPr>
            <w:r>
              <w:rPr>
                <w:rFonts w:ascii="Arial" w:eastAsia="SimSun" w:hAnsi="Arial" w:cs="Arial"/>
                <w:sz w:val="20"/>
                <w:szCs w:val="20"/>
                <w:lang w:eastAsia="zh-CN"/>
              </w:rPr>
              <w:t>Chemotherapy items for Public/Private Hospital Use</w:t>
            </w:r>
          </w:p>
        </w:tc>
      </w:tr>
      <w:tr w:rsidR="003E3489" w:rsidRPr="00F155E4" w:rsidTr="00C373AA">
        <w:trPr>
          <w:cantSplit/>
          <w:trHeight w:val="360"/>
        </w:trPr>
        <w:tc>
          <w:tcPr>
            <w:tcW w:w="1418" w:type="dxa"/>
            <w:tcBorders>
              <w:top w:val="single" w:sz="4" w:space="0" w:color="auto"/>
              <w:left w:val="single" w:sz="4" w:space="0" w:color="auto"/>
              <w:bottom w:val="single" w:sz="4" w:space="0" w:color="auto"/>
              <w:right w:val="single" w:sz="4" w:space="0" w:color="auto"/>
            </w:tcBorders>
          </w:tcPr>
          <w:p w:rsidR="003E3489" w:rsidRPr="00F155E4" w:rsidRDefault="003E3489" w:rsidP="00C373AA">
            <w:pPr>
              <w:rPr>
                <w:rFonts w:ascii="Arial" w:eastAsia="SimSun" w:hAnsi="Arial" w:cs="Arial"/>
                <w:b/>
                <w:sz w:val="20"/>
                <w:szCs w:val="20"/>
                <w:lang w:eastAsia="zh-CN"/>
              </w:rPr>
            </w:pPr>
            <w:r w:rsidRPr="00F155E4">
              <w:rPr>
                <w:rFonts w:ascii="Arial" w:eastAsia="SimSun" w:hAnsi="Arial" w:cs="Arial"/>
                <w:b/>
                <w:sz w:val="20"/>
                <w:szCs w:val="20"/>
                <w:lang w:eastAsia="zh-CN"/>
              </w:rPr>
              <w:t>Condition:</w:t>
            </w:r>
          </w:p>
        </w:tc>
        <w:tc>
          <w:tcPr>
            <w:tcW w:w="7008" w:type="dxa"/>
            <w:gridSpan w:val="4"/>
            <w:tcBorders>
              <w:top w:val="single" w:sz="4" w:space="0" w:color="auto"/>
              <w:left w:val="single" w:sz="4" w:space="0" w:color="auto"/>
              <w:bottom w:val="single" w:sz="4" w:space="0" w:color="auto"/>
              <w:right w:val="single" w:sz="4" w:space="0" w:color="auto"/>
            </w:tcBorders>
          </w:tcPr>
          <w:p w:rsidR="003E3489" w:rsidRPr="00F155E4" w:rsidRDefault="003E3489" w:rsidP="00C373AA">
            <w:pPr>
              <w:rPr>
                <w:rFonts w:ascii="Arial" w:eastAsia="SimSun" w:hAnsi="Arial" w:cs="Arial"/>
                <w:sz w:val="20"/>
                <w:szCs w:val="20"/>
                <w:lang w:eastAsia="zh-CN"/>
              </w:rPr>
            </w:pPr>
            <w:r>
              <w:rPr>
                <w:rFonts w:ascii="Arial" w:eastAsia="SimSun" w:hAnsi="Arial" w:cs="Arial"/>
                <w:sz w:val="20"/>
                <w:szCs w:val="20"/>
                <w:lang w:eastAsia="zh-CN"/>
              </w:rPr>
              <w:t xml:space="preserve">CD30 positive </w:t>
            </w:r>
            <w:r w:rsidRPr="00F155E4">
              <w:rPr>
                <w:rFonts w:ascii="Arial" w:eastAsia="SimSun" w:hAnsi="Arial" w:cs="Arial"/>
                <w:sz w:val="20"/>
                <w:szCs w:val="20"/>
                <w:lang w:eastAsia="zh-CN"/>
              </w:rPr>
              <w:t>Systemic  anaplastic large cell lymphoma</w:t>
            </w:r>
          </w:p>
        </w:tc>
      </w:tr>
      <w:tr w:rsidR="003E3489" w:rsidRPr="00F155E4" w:rsidTr="00C373AA">
        <w:trPr>
          <w:cantSplit/>
          <w:trHeight w:val="360"/>
        </w:trPr>
        <w:tc>
          <w:tcPr>
            <w:tcW w:w="1418" w:type="dxa"/>
            <w:tcBorders>
              <w:top w:val="single" w:sz="4" w:space="0" w:color="auto"/>
              <w:left w:val="single" w:sz="4" w:space="0" w:color="auto"/>
              <w:bottom w:val="single" w:sz="4" w:space="0" w:color="auto"/>
              <w:right w:val="single" w:sz="4" w:space="0" w:color="auto"/>
            </w:tcBorders>
          </w:tcPr>
          <w:p w:rsidR="003E3489" w:rsidRPr="00F155E4" w:rsidRDefault="003E3489" w:rsidP="00C373AA">
            <w:pPr>
              <w:rPr>
                <w:rFonts w:ascii="Arial" w:eastAsia="SimSun" w:hAnsi="Arial" w:cs="Arial"/>
                <w:b/>
                <w:sz w:val="20"/>
                <w:szCs w:val="20"/>
                <w:lang w:eastAsia="zh-CN"/>
              </w:rPr>
            </w:pPr>
            <w:r>
              <w:rPr>
                <w:rFonts w:ascii="Arial" w:eastAsia="SimSun" w:hAnsi="Arial" w:cs="Arial"/>
                <w:b/>
                <w:sz w:val="20"/>
                <w:szCs w:val="20"/>
                <w:lang w:eastAsia="zh-CN"/>
              </w:rPr>
              <w:t>Indication</w:t>
            </w:r>
          </w:p>
        </w:tc>
        <w:tc>
          <w:tcPr>
            <w:tcW w:w="7008" w:type="dxa"/>
            <w:gridSpan w:val="4"/>
            <w:tcBorders>
              <w:top w:val="single" w:sz="4" w:space="0" w:color="auto"/>
              <w:left w:val="single" w:sz="4" w:space="0" w:color="auto"/>
              <w:bottom w:val="single" w:sz="4" w:space="0" w:color="auto"/>
              <w:right w:val="single" w:sz="4" w:space="0" w:color="auto"/>
            </w:tcBorders>
          </w:tcPr>
          <w:p w:rsidR="003E3489" w:rsidRDefault="003E3489" w:rsidP="00C373AA">
            <w:pPr>
              <w:rPr>
                <w:rFonts w:ascii="Arial" w:eastAsia="SimSun" w:hAnsi="Arial" w:cs="Arial"/>
                <w:sz w:val="20"/>
                <w:szCs w:val="20"/>
                <w:lang w:eastAsia="zh-CN"/>
              </w:rPr>
            </w:pPr>
            <w:r>
              <w:rPr>
                <w:rFonts w:ascii="Arial" w:eastAsia="SimSun" w:hAnsi="Arial" w:cs="Arial"/>
                <w:sz w:val="20"/>
                <w:szCs w:val="20"/>
                <w:lang w:eastAsia="zh-CN"/>
              </w:rPr>
              <w:t>CD30 positive s</w:t>
            </w:r>
            <w:r w:rsidRPr="00F155E4">
              <w:rPr>
                <w:rFonts w:ascii="Arial" w:eastAsia="SimSun" w:hAnsi="Arial" w:cs="Arial"/>
                <w:sz w:val="20"/>
                <w:szCs w:val="20"/>
                <w:lang w:eastAsia="zh-CN"/>
              </w:rPr>
              <w:t>ystemic  anaplastic large cell lymphoma</w:t>
            </w:r>
          </w:p>
        </w:tc>
      </w:tr>
      <w:tr w:rsidR="003E3489" w:rsidRPr="00F155E4" w:rsidTr="00C373AA">
        <w:trPr>
          <w:cantSplit/>
          <w:trHeight w:val="360"/>
        </w:trPr>
        <w:tc>
          <w:tcPr>
            <w:tcW w:w="1418" w:type="dxa"/>
            <w:tcBorders>
              <w:top w:val="single" w:sz="4" w:space="0" w:color="auto"/>
              <w:left w:val="single" w:sz="4" w:space="0" w:color="auto"/>
              <w:bottom w:val="single" w:sz="4" w:space="0" w:color="auto"/>
              <w:right w:val="single" w:sz="4" w:space="0" w:color="auto"/>
            </w:tcBorders>
          </w:tcPr>
          <w:p w:rsidR="003E3489" w:rsidRPr="00F155E4" w:rsidRDefault="003E3489" w:rsidP="00C373AA">
            <w:pPr>
              <w:rPr>
                <w:rFonts w:ascii="Arial" w:eastAsia="SimSun" w:hAnsi="Arial" w:cs="Arial"/>
                <w:b/>
                <w:sz w:val="20"/>
                <w:szCs w:val="20"/>
                <w:lang w:eastAsia="zh-CN"/>
              </w:rPr>
            </w:pPr>
            <w:r>
              <w:rPr>
                <w:rFonts w:ascii="Arial" w:eastAsia="SimSun" w:hAnsi="Arial" w:cs="Arial"/>
                <w:b/>
                <w:sz w:val="20"/>
                <w:szCs w:val="20"/>
                <w:lang w:eastAsia="zh-CN"/>
              </w:rPr>
              <w:t>Treatment phase:</w:t>
            </w:r>
          </w:p>
        </w:tc>
        <w:tc>
          <w:tcPr>
            <w:tcW w:w="7008" w:type="dxa"/>
            <w:gridSpan w:val="4"/>
            <w:tcBorders>
              <w:top w:val="single" w:sz="4" w:space="0" w:color="auto"/>
              <w:left w:val="single" w:sz="4" w:space="0" w:color="auto"/>
              <w:bottom w:val="single" w:sz="4" w:space="0" w:color="auto"/>
              <w:right w:val="single" w:sz="4" w:space="0" w:color="auto"/>
            </w:tcBorders>
          </w:tcPr>
          <w:p w:rsidR="003E3489" w:rsidRPr="00F155E4" w:rsidRDefault="003E3489" w:rsidP="00C373AA">
            <w:pPr>
              <w:rPr>
                <w:rFonts w:ascii="Arial" w:eastAsia="SimSun" w:hAnsi="Arial" w:cs="Arial"/>
                <w:sz w:val="20"/>
                <w:szCs w:val="20"/>
                <w:lang w:eastAsia="zh-CN"/>
              </w:rPr>
            </w:pPr>
            <w:r>
              <w:rPr>
                <w:rFonts w:ascii="Arial" w:eastAsia="SimSun" w:hAnsi="Arial" w:cs="Arial"/>
                <w:sz w:val="20"/>
                <w:szCs w:val="20"/>
                <w:lang w:eastAsia="zh-CN"/>
              </w:rPr>
              <w:t>Continuing treatment</w:t>
            </w:r>
            <w:bookmarkStart w:id="0" w:name="_GoBack"/>
            <w:bookmarkEnd w:id="0"/>
          </w:p>
        </w:tc>
      </w:tr>
      <w:tr w:rsidR="003E3489" w:rsidRPr="00F155E4" w:rsidTr="00C373AA">
        <w:trPr>
          <w:trHeight w:val="594"/>
        </w:trPr>
        <w:tc>
          <w:tcPr>
            <w:tcW w:w="1418" w:type="dxa"/>
            <w:tcBorders>
              <w:top w:val="single" w:sz="4" w:space="0" w:color="auto"/>
              <w:left w:val="single" w:sz="4" w:space="0" w:color="auto"/>
              <w:bottom w:val="single" w:sz="4" w:space="0" w:color="auto"/>
              <w:right w:val="single" w:sz="4" w:space="0" w:color="auto"/>
            </w:tcBorders>
          </w:tcPr>
          <w:p w:rsidR="003E3489" w:rsidRPr="00F155E4" w:rsidRDefault="003E3489" w:rsidP="00C373AA">
            <w:pPr>
              <w:rPr>
                <w:rFonts w:ascii="Arial" w:eastAsia="SimSun" w:hAnsi="Arial" w:cs="Arial"/>
                <w:b/>
                <w:sz w:val="20"/>
                <w:szCs w:val="20"/>
                <w:lang w:eastAsia="zh-CN"/>
              </w:rPr>
            </w:pPr>
            <w:r w:rsidRPr="00F155E4">
              <w:rPr>
                <w:rFonts w:ascii="Arial" w:eastAsia="SimSun" w:hAnsi="Arial" w:cs="Arial"/>
                <w:b/>
                <w:sz w:val="20"/>
                <w:szCs w:val="20"/>
                <w:lang w:eastAsia="zh-CN"/>
              </w:rPr>
              <w:t>Restriction:</w:t>
            </w:r>
          </w:p>
          <w:p w:rsidR="003E3489" w:rsidRPr="00F155E4" w:rsidRDefault="003E3489" w:rsidP="00C373AA">
            <w:pPr>
              <w:rPr>
                <w:rFonts w:ascii="Arial" w:eastAsia="SimSun" w:hAnsi="Arial" w:cs="Arial"/>
                <w:sz w:val="20"/>
                <w:szCs w:val="20"/>
                <w:lang w:eastAsia="zh-CN"/>
              </w:rPr>
            </w:pPr>
          </w:p>
        </w:tc>
        <w:tc>
          <w:tcPr>
            <w:tcW w:w="7008" w:type="dxa"/>
            <w:gridSpan w:val="4"/>
            <w:tcBorders>
              <w:top w:val="single" w:sz="4" w:space="0" w:color="auto"/>
              <w:left w:val="single" w:sz="4" w:space="0" w:color="auto"/>
              <w:bottom w:val="single" w:sz="4" w:space="0" w:color="auto"/>
              <w:right w:val="single" w:sz="4" w:space="0" w:color="auto"/>
            </w:tcBorders>
          </w:tcPr>
          <w:p w:rsidR="003E3489" w:rsidRPr="009D16F7" w:rsidRDefault="003E3489" w:rsidP="00C373AA">
            <w:pPr>
              <w:rPr>
                <w:rFonts w:ascii="Arial" w:eastAsia="SimSun" w:hAnsi="Arial" w:cs="Arial"/>
                <w:sz w:val="20"/>
                <w:szCs w:val="20"/>
                <w:lang w:eastAsia="zh-CN"/>
              </w:rPr>
            </w:pPr>
            <w:r w:rsidRPr="009D16F7">
              <w:rPr>
                <w:rFonts w:ascii="Arial" w:eastAsia="SimSun" w:hAnsi="Arial" w:cs="Arial"/>
                <w:sz w:val="20"/>
                <w:szCs w:val="20"/>
                <w:lang w:eastAsia="zh-CN"/>
              </w:rPr>
              <w:t xml:space="preserve">Authority required (Public/Private Hospital) – </w:t>
            </w:r>
            <w:r>
              <w:rPr>
                <w:rFonts w:ascii="Arial" w:eastAsia="SimSun" w:hAnsi="Arial" w:cs="Arial"/>
                <w:sz w:val="20"/>
                <w:szCs w:val="20"/>
                <w:lang w:eastAsia="zh-CN"/>
              </w:rPr>
              <w:t>telephone</w:t>
            </w:r>
          </w:p>
          <w:p w:rsidR="003E3489" w:rsidRPr="00F155E4" w:rsidRDefault="003E3489" w:rsidP="00C373AA">
            <w:pPr>
              <w:rPr>
                <w:rFonts w:ascii="Arial" w:eastAsia="SimSun" w:hAnsi="Arial" w:cs="Arial"/>
                <w:i/>
                <w:sz w:val="20"/>
                <w:szCs w:val="20"/>
                <w:lang w:eastAsia="zh-CN"/>
              </w:rPr>
            </w:pPr>
          </w:p>
        </w:tc>
      </w:tr>
      <w:tr w:rsidR="003E3489" w:rsidRPr="00F155E4" w:rsidTr="00C373AA">
        <w:trPr>
          <w:cantSplit/>
          <w:trHeight w:val="360"/>
        </w:trPr>
        <w:tc>
          <w:tcPr>
            <w:tcW w:w="1418" w:type="dxa"/>
            <w:tcBorders>
              <w:top w:val="single" w:sz="4" w:space="0" w:color="auto"/>
              <w:left w:val="single" w:sz="4" w:space="0" w:color="auto"/>
              <w:bottom w:val="single" w:sz="4" w:space="0" w:color="auto"/>
              <w:right w:val="single" w:sz="4" w:space="0" w:color="auto"/>
            </w:tcBorders>
          </w:tcPr>
          <w:p w:rsidR="003E3489" w:rsidRPr="00F155E4" w:rsidRDefault="003E3489" w:rsidP="00C373AA">
            <w:pPr>
              <w:rPr>
                <w:rFonts w:ascii="Arial" w:eastAsia="SimSun" w:hAnsi="Arial" w:cs="Arial"/>
                <w:b/>
                <w:sz w:val="20"/>
                <w:szCs w:val="20"/>
                <w:lang w:eastAsia="zh-CN"/>
              </w:rPr>
            </w:pPr>
            <w:r>
              <w:rPr>
                <w:rFonts w:ascii="Arial" w:eastAsia="SimSun" w:hAnsi="Arial" w:cs="Arial"/>
                <w:b/>
                <w:sz w:val="20"/>
                <w:szCs w:val="20"/>
                <w:lang w:eastAsia="zh-CN"/>
              </w:rPr>
              <w:t>Clinical</w:t>
            </w:r>
            <w:r w:rsidRPr="00F155E4">
              <w:rPr>
                <w:rFonts w:ascii="Arial" w:eastAsia="SimSun" w:hAnsi="Arial" w:cs="Arial"/>
                <w:b/>
                <w:sz w:val="20"/>
                <w:szCs w:val="20"/>
                <w:lang w:eastAsia="zh-CN"/>
              </w:rPr>
              <w:t xml:space="preserve"> criteria:</w:t>
            </w:r>
          </w:p>
          <w:p w:rsidR="003E3489" w:rsidRPr="00F155E4" w:rsidRDefault="003E3489" w:rsidP="00C373AA">
            <w:pPr>
              <w:rPr>
                <w:rFonts w:ascii="Arial" w:eastAsia="SimSun" w:hAnsi="Arial" w:cs="Arial"/>
                <w:i/>
                <w:sz w:val="20"/>
                <w:szCs w:val="20"/>
                <w:lang w:eastAsia="zh-CN"/>
              </w:rPr>
            </w:pPr>
          </w:p>
          <w:p w:rsidR="003E3489" w:rsidRPr="00F155E4" w:rsidRDefault="003E3489" w:rsidP="00C373AA">
            <w:pPr>
              <w:rPr>
                <w:rFonts w:ascii="Arial" w:eastAsia="SimSun" w:hAnsi="Arial" w:cs="Arial"/>
                <w:sz w:val="20"/>
                <w:szCs w:val="20"/>
                <w:lang w:eastAsia="zh-CN"/>
              </w:rPr>
            </w:pPr>
          </w:p>
        </w:tc>
        <w:tc>
          <w:tcPr>
            <w:tcW w:w="7008" w:type="dxa"/>
            <w:gridSpan w:val="4"/>
            <w:tcBorders>
              <w:top w:val="single" w:sz="4" w:space="0" w:color="auto"/>
              <w:left w:val="single" w:sz="4" w:space="0" w:color="auto"/>
              <w:bottom w:val="single" w:sz="4" w:space="0" w:color="auto"/>
              <w:right w:val="single" w:sz="4" w:space="0" w:color="auto"/>
            </w:tcBorders>
          </w:tcPr>
          <w:p w:rsidR="003E3489" w:rsidRPr="008D6B66" w:rsidRDefault="003E3489" w:rsidP="00C373AA">
            <w:pPr>
              <w:rPr>
                <w:rFonts w:ascii="Arial" w:hAnsi="Arial" w:cs="Arial"/>
                <w:sz w:val="20"/>
              </w:rPr>
            </w:pPr>
            <w:r>
              <w:rPr>
                <w:rFonts w:ascii="Arial" w:hAnsi="Arial" w:cs="Arial"/>
                <w:sz w:val="20"/>
              </w:rPr>
              <w:t xml:space="preserve">Patient must not have progressive disease </w:t>
            </w:r>
          </w:p>
          <w:p w:rsidR="003E3489" w:rsidRDefault="003E3489" w:rsidP="00C373AA">
            <w:pPr>
              <w:rPr>
                <w:rFonts w:ascii="Arial" w:hAnsi="Arial" w:cs="Arial"/>
                <w:sz w:val="20"/>
              </w:rPr>
            </w:pPr>
            <w:r>
              <w:rPr>
                <w:rFonts w:ascii="Arial" w:hAnsi="Arial" w:cs="Arial"/>
                <w:sz w:val="20"/>
              </w:rPr>
              <w:t>AND</w:t>
            </w:r>
          </w:p>
          <w:p w:rsidR="003E3489" w:rsidRDefault="003E3489" w:rsidP="00C373AA">
            <w:pPr>
              <w:rPr>
                <w:rFonts w:ascii="Arial" w:hAnsi="Arial" w:cs="Arial"/>
                <w:sz w:val="20"/>
              </w:rPr>
            </w:pPr>
          </w:p>
          <w:p w:rsidR="003E3489" w:rsidRPr="00674D1B" w:rsidRDefault="003E3489" w:rsidP="00C373AA">
            <w:pPr>
              <w:rPr>
                <w:rFonts w:ascii="Arial" w:hAnsi="Arial" w:cs="Arial"/>
                <w:sz w:val="20"/>
                <w:lang w:eastAsia="zh-CN"/>
              </w:rPr>
            </w:pPr>
            <w:r>
              <w:rPr>
                <w:rFonts w:ascii="Arial" w:hAnsi="Arial" w:cs="Arial"/>
                <w:sz w:val="20"/>
              </w:rPr>
              <w:t>P</w:t>
            </w:r>
            <w:r w:rsidRPr="00BE7494">
              <w:rPr>
                <w:rFonts w:ascii="Arial" w:hAnsi="Arial" w:cs="Arial"/>
                <w:sz w:val="20"/>
              </w:rPr>
              <w:t>atient must have previously been issued with an authority prescription for this drug</w:t>
            </w:r>
            <w:r>
              <w:rPr>
                <w:rFonts w:ascii="Arial" w:hAnsi="Arial" w:cs="Arial"/>
                <w:sz w:val="20"/>
                <w:lang w:eastAsia="zh-CN"/>
              </w:rPr>
              <w:t>.</w:t>
            </w:r>
          </w:p>
        </w:tc>
      </w:tr>
      <w:tr w:rsidR="003E3489" w:rsidRPr="00F155E4" w:rsidTr="00C373AA">
        <w:trPr>
          <w:cantSplit/>
          <w:trHeight w:val="360"/>
        </w:trPr>
        <w:tc>
          <w:tcPr>
            <w:tcW w:w="1418" w:type="dxa"/>
            <w:tcBorders>
              <w:top w:val="single" w:sz="4" w:space="0" w:color="auto"/>
              <w:left w:val="single" w:sz="4" w:space="0" w:color="auto"/>
              <w:bottom w:val="single" w:sz="4" w:space="0" w:color="auto"/>
              <w:right w:val="single" w:sz="4" w:space="0" w:color="auto"/>
            </w:tcBorders>
          </w:tcPr>
          <w:p w:rsidR="003E3489" w:rsidRPr="00F155E4" w:rsidRDefault="003E3489" w:rsidP="00C373AA">
            <w:pPr>
              <w:rPr>
                <w:rFonts w:ascii="Arial" w:eastAsia="SimSun" w:hAnsi="Arial" w:cs="Arial"/>
                <w:b/>
                <w:sz w:val="20"/>
                <w:szCs w:val="20"/>
                <w:lang w:eastAsia="zh-CN"/>
              </w:rPr>
            </w:pPr>
            <w:r>
              <w:rPr>
                <w:rFonts w:ascii="Arial" w:eastAsia="SimSun" w:hAnsi="Arial" w:cs="Arial"/>
                <w:b/>
                <w:sz w:val="20"/>
                <w:szCs w:val="20"/>
                <w:lang w:eastAsia="zh-CN"/>
              </w:rPr>
              <w:t>Prescriber Instructions</w:t>
            </w:r>
          </w:p>
        </w:tc>
        <w:tc>
          <w:tcPr>
            <w:tcW w:w="7008" w:type="dxa"/>
            <w:gridSpan w:val="4"/>
            <w:tcBorders>
              <w:top w:val="single" w:sz="4" w:space="0" w:color="auto"/>
              <w:left w:val="single" w:sz="4" w:space="0" w:color="auto"/>
              <w:bottom w:val="single" w:sz="4" w:space="0" w:color="auto"/>
              <w:right w:val="single" w:sz="4" w:space="0" w:color="auto"/>
            </w:tcBorders>
          </w:tcPr>
          <w:p w:rsidR="003E3489" w:rsidRDefault="003E3489" w:rsidP="00C373AA">
            <w:pPr>
              <w:pStyle w:val="NormalWeb"/>
              <w:rPr>
                <w:rFonts w:ascii="Arial" w:eastAsia="SimSun" w:hAnsi="Arial" w:cs="Arial"/>
                <w:sz w:val="20"/>
                <w:szCs w:val="20"/>
                <w:lang w:eastAsia="zh-CN"/>
              </w:rPr>
            </w:pPr>
          </w:p>
          <w:p w:rsidR="003E3489" w:rsidRPr="00F155E4" w:rsidRDefault="003E3489" w:rsidP="00C373AA">
            <w:pPr>
              <w:pStyle w:val="NormalWeb"/>
              <w:rPr>
                <w:rFonts w:ascii="Arial" w:eastAsia="SimSun" w:hAnsi="Arial" w:cs="Arial"/>
                <w:sz w:val="20"/>
                <w:szCs w:val="20"/>
                <w:lang w:eastAsia="zh-CN"/>
              </w:rPr>
            </w:pPr>
            <w:r>
              <w:rPr>
                <w:rFonts w:ascii="Arial" w:hAnsi="Arial" w:cs="Arial"/>
                <w:sz w:val="20"/>
                <w:szCs w:val="20"/>
              </w:rPr>
              <w:t xml:space="preserve">The treatment must not exceed a lifetime total of 16 cycles. </w:t>
            </w:r>
          </w:p>
        </w:tc>
      </w:tr>
      <w:tr w:rsidR="003E3489" w:rsidRPr="00F155E4" w:rsidTr="00C373AA">
        <w:trPr>
          <w:cantSplit/>
          <w:trHeight w:val="360"/>
        </w:trPr>
        <w:tc>
          <w:tcPr>
            <w:tcW w:w="1418" w:type="dxa"/>
            <w:tcBorders>
              <w:top w:val="single" w:sz="4" w:space="0" w:color="auto"/>
              <w:left w:val="single" w:sz="4" w:space="0" w:color="auto"/>
              <w:bottom w:val="single" w:sz="4" w:space="0" w:color="auto"/>
              <w:right w:val="single" w:sz="4" w:space="0" w:color="auto"/>
            </w:tcBorders>
          </w:tcPr>
          <w:p w:rsidR="003E3489" w:rsidRDefault="003E3489" w:rsidP="00C373AA">
            <w:pPr>
              <w:rPr>
                <w:rFonts w:ascii="Arial" w:eastAsia="SimSun" w:hAnsi="Arial" w:cs="Arial"/>
                <w:b/>
                <w:sz w:val="20"/>
                <w:szCs w:val="20"/>
                <w:lang w:eastAsia="zh-CN"/>
              </w:rPr>
            </w:pPr>
            <w:r>
              <w:rPr>
                <w:rFonts w:ascii="Arial" w:eastAsia="SimSun" w:hAnsi="Arial" w:cs="Arial"/>
                <w:b/>
                <w:sz w:val="20"/>
                <w:szCs w:val="20"/>
                <w:lang w:eastAsia="zh-CN"/>
              </w:rPr>
              <w:t>Administrative advice</w:t>
            </w:r>
          </w:p>
        </w:tc>
        <w:tc>
          <w:tcPr>
            <w:tcW w:w="7008" w:type="dxa"/>
            <w:gridSpan w:val="4"/>
            <w:tcBorders>
              <w:top w:val="single" w:sz="4" w:space="0" w:color="auto"/>
              <w:left w:val="single" w:sz="4" w:space="0" w:color="auto"/>
              <w:bottom w:val="single" w:sz="4" w:space="0" w:color="auto"/>
              <w:right w:val="single" w:sz="4" w:space="0" w:color="auto"/>
            </w:tcBorders>
          </w:tcPr>
          <w:p w:rsidR="003E3489" w:rsidRPr="00BE7494" w:rsidRDefault="003E3489" w:rsidP="00C373AA">
            <w:pPr>
              <w:keepNext/>
              <w:keepLines/>
              <w:rPr>
                <w:rFonts w:ascii="Arial" w:hAnsi="Arial" w:cs="Arial"/>
                <w:sz w:val="20"/>
                <w:u w:val="single"/>
              </w:rPr>
            </w:pPr>
            <w:r w:rsidRPr="00BE7494">
              <w:rPr>
                <w:rFonts w:ascii="Arial" w:hAnsi="Arial" w:cs="Arial"/>
                <w:sz w:val="20"/>
                <w:u w:val="single"/>
              </w:rPr>
              <w:t>NOTE:</w:t>
            </w:r>
          </w:p>
          <w:p w:rsidR="003E3489" w:rsidRDefault="003E3489" w:rsidP="00C373AA">
            <w:pPr>
              <w:keepNext/>
              <w:keepLines/>
              <w:rPr>
                <w:rFonts w:ascii="Arial" w:hAnsi="Arial" w:cs="Arial"/>
                <w:sz w:val="20"/>
              </w:rPr>
            </w:pPr>
            <w:r w:rsidRPr="004D7DB4">
              <w:rPr>
                <w:rFonts w:ascii="Arial" w:hAnsi="Arial" w:cs="Arial"/>
                <w:sz w:val="20"/>
              </w:rPr>
              <w:t>No increase in the maximum number of repeats may be authorised.</w:t>
            </w:r>
          </w:p>
          <w:p w:rsidR="003E3489" w:rsidRDefault="003E3489" w:rsidP="00C373AA">
            <w:pPr>
              <w:keepNext/>
              <w:keepLines/>
              <w:rPr>
                <w:rFonts w:ascii="Arial" w:hAnsi="Arial" w:cs="Arial"/>
                <w:sz w:val="20"/>
              </w:rPr>
            </w:pPr>
          </w:p>
          <w:p w:rsidR="003E3489" w:rsidRPr="004D7DB4" w:rsidRDefault="003E3489" w:rsidP="00C373AA">
            <w:pPr>
              <w:keepNext/>
              <w:keepLines/>
              <w:rPr>
                <w:rFonts w:ascii="Arial" w:hAnsi="Arial" w:cs="Arial"/>
                <w:sz w:val="20"/>
                <w:u w:val="single"/>
              </w:rPr>
            </w:pPr>
            <w:r w:rsidRPr="004D7DB4">
              <w:rPr>
                <w:rFonts w:ascii="Arial" w:hAnsi="Arial" w:cs="Arial"/>
                <w:sz w:val="20"/>
                <w:u w:val="single"/>
              </w:rPr>
              <w:t>NOTE:</w:t>
            </w:r>
          </w:p>
          <w:p w:rsidR="003E3489" w:rsidRDefault="003E3489" w:rsidP="00C373AA">
            <w:pPr>
              <w:keepNext/>
              <w:keepLines/>
              <w:rPr>
                <w:rFonts w:ascii="Arial" w:hAnsi="Arial" w:cs="Arial"/>
                <w:sz w:val="20"/>
              </w:rPr>
            </w:pPr>
            <w:r w:rsidRPr="004D7DB4">
              <w:rPr>
                <w:rFonts w:ascii="Arial" w:hAnsi="Arial" w:cs="Arial"/>
                <w:sz w:val="20"/>
              </w:rPr>
              <w:t>No increase in the maximum quantity or number of units may be authorised.</w:t>
            </w:r>
          </w:p>
          <w:p w:rsidR="003E3489" w:rsidRDefault="003E3489" w:rsidP="00C373AA">
            <w:pPr>
              <w:keepNext/>
              <w:keepLines/>
              <w:rPr>
                <w:rFonts w:ascii="Arial" w:hAnsi="Arial" w:cs="Arial"/>
                <w:sz w:val="20"/>
              </w:rPr>
            </w:pPr>
          </w:p>
          <w:p w:rsidR="003E3489" w:rsidRPr="00BE7494" w:rsidRDefault="003E3489" w:rsidP="00C373AA">
            <w:pPr>
              <w:rPr>
                <w:rFonts w:ascii="Arial" w:hAnsi="Arial" w:cs="Arial"/>
                <w:sz w:val="20"/>
                <w:szCs w:val="20"/>
                <w:u w:val="single"/>
              </w:rPr>
            </w:pPr>
            <w:r w:rsidRPr="00BE7494">
              <w:rPr>
                <w:rFonts w:ascii="Arial" w:hAnsi="Arial" w:cs="Arial"/>
                <w:sz w:val="20"/>
                <w:szCs w:val="20"/>
                <w:u w:val="single"/>
              </w:rPr>
              <w:t>NOTE:</w:t>
            </w:r>
          </w:p>
          <w:p w:rsidR="003E3489" w:rsidRDefault="003E3489" w:rsidP="00C373AA">
            <w:pPr>
              <w:pStyle w:val="NormalWeb"/>
              <w:rPr>
                <w:rFonts w:ascii="Arial" w:hAnsi="Arial" w:cs="Arial"/>
                <w:sz w:val="20"/>
                <w:szCs w:val="20"/>
              </w:rPr>
            </w:pPr>
            <w:r w:rsidRPr="00BE7494">
              <w:rPr>
                <w:rFonts w:ascii="Arial" w:hAnsi="Arial" w:cs="Arial"/>
                <w:sz w:val="20"/>
                <w:szCs w:val="20"/>
              </w:rPr>
              <w:t>Special pricing arrangements apply.</w:t>
            </w:r>
          </w:p>
          <w:p w:rsidR="003E3489" w:rsidRDefault="003E3489" w:rsidP="00C373AA">
            <w:pPr>
              <w:pStyle w:val="NormalWeb"/>
              <w:rPr>
                <w:rFonts w:ascii="Arial" w:hAnsi="Arial" w:cs="Arial"/>
                <w:sz w:val="20"/>
                <w:szCs w:val="20"/>
              </w:rPr>
            </w:pPr>
          </w:p>
          <w:p w:rsidR="003E3489" w:rsidRPr="00B31BA7" w:rsidRDefault="003E3489" w:rsidP="00C373AA">
            <w:pPr>
              <w:pStyle w:val="NormalWeb"/>
              <w:rPr>
                <w:rFonts w:ascii="Arial" w:eastAsia="SimSun" w:hAnsi="Arial" w:cs="Arial"/>
                <w:sz w:val="20"/>
                <w:szCs w:val="20"/>
                <w:lang w:eastAsia="zh-CN"/>
              </w:rPr>
            </w:pPr>
          </w:p>
        </w:tc>
      </w:tr>
    </w:tbl>
    <w:p w:rsidR="003E3489" w:rsidRDefault="003E3489" w:rsidP="003E3489">
      <w:pPr>
        <w:keepNext/>
        <w:keepLines/>
        <w:rPr>
          <w:rFonts w:ascii="Arial" w:hAnsi="Arial"/>
          <w:sz w:val="20"/>
          <w:szCs w:val="20"/>
        </w:rPr>
      </w:pPr>
    </w:p>
    <w:p w:rsidR="00E858A2" w:rsidRDefault="00E858A2" w:rsidP="00B86B81">
      <w:pPr>
        <w:keepNext/>
        <w:keepLines/>
        <w:rPr>
          <w:rFonts w:ascii="Arial" w:hAnsi="Arial"/>
          <w:sz w:val="20"/>
          <w:szCs w:val="20"/>
        </w:rPr>
      </w:pPr>
    </w:p>
    <w:p w:rsidR="00D86361" w:rsidRPr="00A875B4" w:rsidRDefault="00D86361" w:rsidP="00D86361">
      <w:pPr>
        <w:pStyle w:val="ListParagraph"/>
        <w:numPr>
          <w:ilvl w:val="0"/>
          <w:numId w:val="1"/>
        </w:numPr>
        <w:jc w:val="both"/>
        <w:rPr>
          <w:rFonts w:ascii="Arial" w:hAnsi="Arial" w:cs="Arial"/>
          <w:b/>
          <w:sz w:val="22"/>
        </w:rPr>
      </w:pPr>
      <w:r w:rsidRPr="00A875B4">
        <w:rPr>
          <w:rFonts w:ascii="Arial" w:hAnsi="Arial" w:cs="Arial"/>
          <w:b/>
          <w:sz w:val="22"/>
        </w:rPr>
        <w:t>Context for Decision</w:t>
      </w:r>
    </w:p>
    <w:p w:rsidR="00D86361" w:rsidRPr="00A875B4" w:rsidRDefault="00D86361" w:rsidP="00D86361">
      <w:pPr>
        <w:pStyle w:val="ListParagraph"/>
        <w:rPr>
          <w:rFonts w:ascii="Arial" w:hAnsi="Arial" w:cs="Arial"/>
          <w:b/>
          <w:sz w:val="22"/>
        </w:rPr>
      </w:pPr>
    </w:p>
    <w:p w:rsidR="00D86361" w:rsidRPr="00A875B4" w:rsidRDefault="00D86361" w:rsidP="00D86361">
      <w:pPr>
        <w:ind w:left="720"/>
        <w:rPr>
          <w:rFonts w:ascii="Arial" w:hAnsi="Arial" w:cs="Arial"/>
          <w:sz w:val="22"/>
        </w:rPr>
      </w:pPr>
      <w:r w:rsidRPr="00A875B4">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86361" w:rsidRPr="00A875B4" w:rsidRDefault="00D86361" w:rsidP="00D86361">
      <w:pPr>
        <w:rPr>
          <w:rFonts w:ascii="Arial" w:hAnsi="Arial" w:cs="Arial"/>
          <w:sz w:val="22"/>
        </w:rPr>
      </w:pPr>
    </w:p>
    <w:p w:rsidR="00D86361" w:rsidRPr="00A875B4" w:rsidRDefault="00D86361" w:rsidP="00D86361">
      <w:pPr>
        <w:pStyle w:val="ListParagraph"/>
        <w:numPr>
          <w:ilvl w:val="0"/>
          <w:numId w:val="1"/>
        </w:numPr>
        <w:jc w:val="both"/>
        <w:rPr>
          <w:rFonts w:ascii="Arial" w:hAnsi="Arial" w:cs="Arial"/>
          <w:b/>
          <w:sz w:val="22"/>
        </w:rPr>
      </w:pPr>
      <w:r w:rsidRPr="00A875B4">
        <w:rPr>
          <w:rFonts w:ascii="Arial" w:hAnsi="Arial" w:cs="Arial"/>
          <w:b/>
          <w:sz w:val="22"/>
        </w:rPr>
        <w:t>Sponsor’s Comment</w:t>
      </w:r>
    </w:p>
    <w:p w:rsidR="008968E1" w:rsidRDefault="008968E1" w:rsidP="008968E1">
      <w:pPr>
        <w:keepNext/>
        <w:keepLines/>
        <w:ind w:left="720"/>
        <w:rPr>
          <w:rFonts w:ascii="Arial" w:hAnsi="Arial"/>
          <w:sz w:val="22"/>
          <w:szCs w:val="22"/>
        </w:rPr>
      </w:pPr>
      <w:r w:rsidRPr="008968E1">
        <w:rPr>
          <w:rFonts w:ascii="Arial" w:hAnsi="Arial"/>
          <w:sz w:val="22"/>
          <w:szCs w:val="22"/>
        </w:rPr>
        <w:t xml:space="preserve">The sponsor thanks the PBAC for their positive recommendation for the listing of </w:t>
      </w:r>
      <w:proofErr w:type="spellStart"/>
      <w:r w:rsidRPr="008968E1">
        <w:rPr>
          <w:rFonts w:ascii="Arial" w:hAnsi="Arial"/>
          <w:sz w:val="22"/>
          <w:szCs w:val="22"/>
        </w:rPr>
        <w:t>brentuximab</w:t>
      </w:r>
      <w:proofErr w:type="spellEnd"/>
      <w:r w:rsidRPr="008968E1">
        <w:rPr>
          <w:rFonts w:ascii="Arial" w:hAnsi="Arial"/>
          <w:sz w:val="22"/>
          <w:szCs w:val="22"/>
        </w:rPr>
        <w:t xml:space="preserve"> </w:t>
      </w:r>
      <w:proofErr w:type="spellStart"/>
      <w:r w:rsidRPr="008968E1">
        <w:rPr>
          <w:rFonts w:ascii="Arial" w:hAnsi="Arial"/>
          <w:sz w:val="22"/>
          <w:szCs w:val="22"/>
        </w:rPr>
        <w:t>vedotin</w:t>
      </w:r>
      <w:proofErr w:type="spellEnd"/>
      <w:r w:rsidRPr="008968E1">
        <w:rPr>
          <w:rFonts w:ascii="Arial" w:hAnsi="Arial"/>
          <w:sz w:val="22"/>
          <w:szCs w:val="22"/>
        </w:rPr>
        <w:t xml:space="preserve"> on the PBS for the treatment of patients with </w:t>
      </w:r>
      <w:proofErr w:type="spellStart"/>
      <w:r w:rsidRPr="008968E1">
        <w:rPr>
          <w:rFonts w:ascii="Arial" w:hAnsi="Arial"/>
          <w:sz w:val="22"/>
          <w:szCs w:val="22"/>
        </w:rPr>
        <w:t>sALCL</w:t>
      </w:r>
      <w:proofErr w:type="spellEnd"/>
      <w:r w:rsidRPr="008968E1">
        <w:rPr>
          <w:rFonts w:ascii="Arial" w:hAnsi="Arial"/>
          <w:sz w:val="22"/>
          <w:szCs w:val="22"/>
        </w:rPr>
        <w:t>, which is an orphan indication</w:t>
      </w:r>
      <w:r w:rsidR="00B454A5">
        <w:rPr>
          <w:rFonts w:ascii="Arial" w:hAnsi="Arial"/>
          <w:sz w:val="22"/>
          <w:szCs w:val="22"/>
        </w:rPr>
        <w:t>.</w:t>
      </w:r>
      <w:r w:rsidRPr="008968E1">
        <w:rPr>
          <w:rFonts w:ascii="Arial" w:hAnsi="Arial"/>
          <w:sz w:val="22"/>
          <w:szCs w:val="22"/>
        </w:rPr>
        <w:t xml:space="preserve"> </w:t>
      </w:r>
    </w:p>
    <w:p w:rsidR="00D86361" w:rsidRDefault="00D86361" w:rsidP="00B86B81">
      <w:pPr>
        <w:keepNext/>
        <w:keepLines/>
        <w:rPr>
          <w:rFonts w:ascii="Arial" w:hAnsi="Arial"/>
          <w:sz w:val="20"/>
          <w:szCs w:val="20"/>
        </w:rPr>
      </w:pPr>
    </w:p>
    <w:sectPr w:rsidR="00D86361" w:rsidSect="00653D6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55B" w:rsidRDefault="00EA555B">
      <w:r>
        <w:separator/>
      </w:r>
    </w:p>
  </w:endnote>
  <w:endnote w:type="continuationSeparator" w:id="0">
    <w:p w:rsidR="00EA555B" w:rsidRDefault="00EA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E4" w:rsidRPr="00EA555B" w:rsidRDefault="004D20E4" w:rsidP="00EA5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E4" w:rsidRPr="00EA555B" w:rsidRDefault="004D20E4" w:rsidP="00EA55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E4" w:rsidRPr="00EA555B" w:rsidRDefault="004D20E4" w:rsidP="00EA5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55B" w:rsidRDefault="00EA555B">
      <w:r>
        <w:separator/>
      </w:r>
    </w:p>
  </w:footnote>
  <w:footnote w:type="continuationSeparator" w:id="0">
    <w:p w:rsidR="00EA555B" w:rsidRDefault="00EA555B">
      <w:r>
        <w:continuationSeparator/>
      </w:r>
    </w:p>
  </w:footnote>
  <w:footnote w:id="1">
    <w:p w:rsidR="004D20E4" w:rsidRDefault="004D20E4">
      <w:pPr>
        <w:pStyle w:val="FootnoteText"/>
      </w:pPr>
      <w:r>
        <w:rPr>
          <w:rStyle w:val="FootnoteReference"/>
        </w:rPr>
        <w:footnoteRef/>
      </w:r>
      <w:r w:rsidRPr="001C66E9">
        <w:rPr>
          <w:lang w:val="de-DE"/>
        </w:rPr>
        <w:t xml:space="preserve"> </w:t>
      </w:r>
      <w:r w:rsidRPr="001C66E9">
        <w:rPr>
          <w:rFonts w:ascii="Arial Narrow" w:hAnsi="Arial Narrow"/>
          <w:sz w:val="18"/>
          <w:szCs w:val="18"/>
          <w:lang w:val="de-DE"/>
        </w:rPr>
        <w:t xml:space="preserve">Lee R, Zou D, Demetrick D et al. </w:t>
      </w:r>
      <w:r w:rsidRPr="00A9231E">
        <w:rPr>
          <w:rFonts w:ascii="Arial Narrow" w:hAnsi="Arial Narrow"/>
          <w:sz w:val="18"/>
          <w:szCs w:val="18"/>
        </w:rPr>
        <w:t xml:space="preserve">Costs Associated with Diffuse Large B-Cell Lymphoma Patient Treatment in a Canadian Integrated Cancer Care Centre. </w:t>
      </w:r>
      <w:proofErr w:type="gramStart"/>
      <w:r w:rsidRPr="00A9231E">
        <w:rPr>
          <w:rFonts w:ascii="Arial Narrow" w:hAnsi="Arial Narrow"/>
          <w:sz w:val="18"/>
          <w:szCs w:val="18"/>
        </w:rPr>
        <w:t>Value in Health.</w:t>
      </w:r>
      <w:proofErr w:type="gramEnd"/>
      <w:r w:rsidRPr="00A9231E">
        <w:rPr>
          <w:rFonts w:ascii="Arial Narrow" w:hAnsi="Arial Narrow"/>
          <w:sz w:val="18"/>
          <w:szCs w:val="18"/>
        </w:rPr>
        <w:t xml:space="preserve"> 2008. 11(2), 221-230.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E4" w:rsidRPr="00EA555B" w:rsidRDefault="004D20E4" w:rsidP="00EA5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55B" w:rsidRPr="00DF217D" w:rsidRDefault="00EA555B" w:rsidP="00EA555B">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4D20E4" w:rsidRPr="00EA555B" w:rsidRDefault="004D20E4" w:rsidP="00EA55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55B" w:rsidRDefault="00EA5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840"/>
    <w:multiLevelType w:val="hybridMultilevel"/>
    <w:tmpl w:val="CDF6DC9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
    <w:nsid w:val="28B14280"/>
    <w:multiLevelType w:val="hybridMultilevel"/>
    <w:tmpl w:val="38687996"/>
    <w:lvl w:ilvl="0" w:tplc="7FE03212">
      <w:start w:val="800"/>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9BC5196"/>
    <w:multiLevelType w:val="multilevel"/>
    <w:tmpl w:val="72B05460"/>
    <w:lvl w:ilvl="0">
      <w:start w:val="6"/>
      <w:numFmt w:val="decimal"/>
      <w:lvlText w:val="%1"/>
      <w:lvlJc w:val="left"/>
      <w:pPr>
        <w:ind w:left="360" w:hanging="360"/>
      </w:pPr>
      <w:rPr>
        <w:rFonts w:cs="Times New Roman" w:hint="default"/>
        <w:i w:val="0"/>
      </w:rPr>
    </w:lvl>
    <w:lvl w:ilvl="1">
      <w:start w:val="1"/>
      <w:numFmt w:val="decimal"/>
      <w:lvlText w:val="%1.%2"/>
      <w:lvlJc w:val="left"/>
      <w:pPr>
        <w:ind w:left="1070" w:hanging="360"/>
      </w:pPr>
      <w:rPr>
        <w:rFonts w:ascii="Arial" w:hAnsi="Arial" w:cs="Arial" w:hint="default"/>
        <w:b w:val="0"/>
        <w:i w:val="0"/>
        <w:color w:val="auto"/>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63D52934"/>
    <w:multiLevelType w:val="hybridMultilevel"/>
    <w:tmpl w:val="B336D2DE"/>
    <w:lvl w:ilvl="0" w:tplc="8ADEED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64D45A30"/>
    <w:multiLevelType w:val="hybridMultilevel"/>
    <w:tmpl w:val="AE14B43C"/>
    <w:lvl w:ilvl="0" w:tplc="044A0E4A">
      <w:numFmt w:val="bullet"/>
      <w:lvlText w:val="-"/>
      <w:lvlJc w:val="left"/>
      <w:pPr>
        <w:ind w:left="1069" w:hanging="360"/>
      </w:pPr>
      <w:rPr>
        <w:rFonts w:ascii="Arial Narrow" w:eastAsia="Times New Roman" w:hAnsi="Arial Narrow" w:hint="default"/>
      </w:rPr>
    </w:lvl>
    <w:lvl w:ilvl="1" w:tplc="0C090003" w:tentative="1">
      <w:start w:val="1"/>
      <w:numFmt w:val="bullet"/>
      <w:lvlText w:val="o"/>
      <w:lvlJc w:val="left"/>
      <w:pPr>
        <w:ind w:left="1789" w:hanging="360"/>
      </w:pPr>
      <w:rPr>
        <w:rFonts w:ascii="Courier New" w:hAnsi="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nsid w:val="77DD1A79"/>
    <w:multiLevelType w:val="multilevel"/>
    <w:tmpl w:val="B972F86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784D033C"/>
    <w:multiLevelType w:val="multilevel"/>
    <w:tmpl w:val="9C4206EA"/>
    <w:lvl w:ilvl="0">
      <w:start w:val="1"/>
      <w:numFmt w:val="decimal"/>
      <w:lvlText w:val="%1"/>
      <w:lvlJc w:val="left"/>
      <w:pPr>
        <w:ind w:left="720" w:hanging="720"/>
      </w:pPr>
      <w:rPr>
        <w:rFonts w:cs="Times New Roman" w:hint="default"/>
        <w:b/>
        <w:i w:val="0"/>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69A"/>
    <w:rsid w:val="0002464A"/>
    <w:rsid w:val="0003106B"/>
    <w:rsid w:val="0003280F"/>
    <w:rsid w:val="00033B9C"/>
    <w:rsid w:val="000353B3"/>
    <w:rsid w:val="000421A1"/>
    <w:rsid w:val="0004240E"/>
    <w:rsid w:val="00045E26"/>
    <w:rsid w:val="00050586"/>
    <w:rsid w:val="00050A9C"/>
    <w:rsid w:val="000514B5"/>
    <w:rsid w:val="0005718F"/>
    <w:rsid w:val="00060E64"/>
    <w:rsid w:val="00066755"/>
    <w:rsid w:val="000969AD"/>
    <w:rsid w:val="000B491D"/>
    <w:rsid w:val="000B558D"/>
    <w:rsid w:val="000C2E82"/>
    <w:rsid w:val="000C434E"/>
    <w:rsid w:val="000C4BAE"/>
    <w:rsid w:val="000C6996"/>
    <w:rsid w:val="000D03D9"/>
    <w:rsid w:val="000D23BA"/>
    <w:rsid w:val="000D464E"/>
    <w:rsid w:val="000E0915"/>
    <w:rsid w:val="000E681E"/>
    <w:rsid w:val="000F4E6A"/>
    <w:rsid w:val="000F6699"/>
    <w:rsid w:val="001107BF"/>
    <w:rsid w:val="0011090A"/>
    <w:rsid w:val="0012417C"/>
    <w:rsid w:val="00142395"/>
    <w:rsid w:val="00142714"/>
    <w:rsid w:val="00144C9E"/>
    <w:rsid w:val="001452ED"/>
    <w:rsid w:val="00150C1F"/>
    <w:rsid w:val="00160F31"/>
    <w:rsid w:val="001655C2"/>
    <w:rsid w:val="001677FB"/>
    <w:rsid w:val="00176174"/>
    <w:rsid w:val="001830CE"/>
    <w:rsid w:val="00194BC5"/>
    <w:rsid w:val="00196307"/>
    <w:rsid w:val="001B017F"/>
    <w:rsid w:val="001B5129"/>
    <w:rsid w:val="001C1195"/>
    <w:rsid w:val="001C2CAF"/>
    <w:rsid w:val="001C66E9"/>
    <w:rsid w:val="001D1842"/>
    <w:rsid w:val="001D5C32"/>
    <w:rsid w:val="001F1F94"/>
    <w:rsid w:val="001F62EA"/>
    <w:rsid w:val="00213CFB"/>
    <w:rsid w:val="002154EE"/>
    <w:rsid w:val="00222402"/>
    <w:rsid w:val="00237881"/>
    <w:rsid w:val="00243D5B"/>
    <w:rsid w:val="00247E66"/>
    <w:rsid w:val="002537AF"/>
    <w:rsid w:val="00253C0E"/>
    <w:rsid w:val="00254439"/>
    <w:rsid w:val="00254A6C"/>
    <w:rsid w:val="00271BA1"/>
    <w:rsid w:val="00277505"/>
    <w:rsid w:val="00285A41"/>
    <w:rsid w:val="0029229B"/>
    <w:rsid w:val="002926B7"/>
    <w:rsid w:val="0029458F"/>
    <w:rsid w:val="00296B5C"/>
    <w:rsid w:val="0029782F"/>
    <w:rsid w:val="002A0D49"/>
    <w:rsid w:val="002A104C"/>
    <w:rsid w:val="002A4960"/>
    <w:rsid w:val="002A4D4F"/>
    <w:rsid w:val="002B1AE6"/>
    <w:rsid w:val="002B1BE3"/>
    <w:rsid w:val="002B30F8"/>
    <w:rsid w:val="002C212F"/>
    <w:rsid w:val="002C60E3"/>
    <w:rsid w:val="002D27DC"/>
    <w:rsid w:val="002D581D"/>
    <w:rsid w:val="002E2415"/>
    <w:rsid w:val="002E41E3"/>
    <w:rsid w:val="002E72CA"/>
    <w:rsid w:val="002E7700"/>
    <w:rsid w:val="002F7B83"/>
    <w:rsid w:val="00302647"/>
    <w:rsid w:val="0030443B"/>
    <w:rsid w:val="00314DA2"/>
    <w:rsid w:val="00316320"/>
    <w:rsid w:val="00326E79"/>
    <w:rsid w:val="00330E07"/>
    <w:rsid w:val="00335232"/>
    <w:rsid w:val="003366C9"/>
    <w:rsid w:val="003367EF"/>
    <w:rsid w:val="00341AE4"/>
    <w:rsid w:val="00351CA2"/>
    <w:rsid w:val="003613CA"/>
    <w:rsid w:val="0037632C"/>
    <w:rsid w:val="003829E6"/>
    <w:rsid w:val="003910AF"/>
    <w:rsid w:val="00395156"/>
    <w:rsid w:val="003A5B4A"/>
    <w:rsid w:val="003B23C5"/>
    <w:rsid w:val="003B2A75"/>
    <w:rsid w:val="003B3FF3"/>
    <w:rsid w:val="003B610D"/>
    <w:rsid w:val="003C46EF"/>
    <w:rsid w:val="003D4AC4"/>
    <w:rsid w:val="003D63B7"/>
    <w:rsid w:val="003D653C"/>
    <w:rsid w:val="003E3489"/>
    <w:rsid w:val="003E468B"/>
    <w:rsid w:val="003E5BD4"/>
    <w:rsid w:val="003E7E1C"/>
    <w:rsid w:val="003F5C8C"/>
    <w:rsid w:val="00410F3F"/>
    <w:rsid w:val="00426178"/>
    <w:rsid w:val="0043038D"/>
    <w:rsid w:val="004465BD"/>
    <w:rsid w:val="00461710"/>
    <w:rsid w:val="00466ADA"/>
    <w:rsid w:val="00466C2D"/>
    <w:rsid w:val="00481AFA"/>
    <w:rsid w:val="00483FEB"/>
    <w:rsid w:val="00485940"/>
    <w:rsid w:val="004A005F"/>
    <w:rsid w:val="004B3079"/>
    <w:rsid w:val="004B5640"/>
    <w:rsid w:val="004C1BD7"/>
    <w:rsid w:val="004C691D"/>
    <w:rsid w:val="004D20E4"/>
    <w:rsid w:val="004D7DB4"/>
    <w:rsid w:val="004E4192"/>
    <w:rsid w:val="004E692D"/>
    <w:rsid w:val="004E6EA7"/>
    <w:rsid w:val="004F76F1"/>
    <w:rsid w:val="005079E1"/>
    <w:rsid w:val="00514CD7"/>
    <w:rsid w:val="00523BAE"/>
    <w:rsid w:val="00534E2E"/>
    <w:rsid w:val="00544552"/>
    <w:rsid w:val="00561517"/>
    <w:rsid w:val="00581932"/>
    <w:rsid w:val="005963BB"/>
    <w:rsid w:val="005A3173"/>
    <w:rsid w:val="005A3223"/>
    <w:rsid w:val="005A3DA3"/>
    <w:rsid w:val="005A52C4"/>
    <w:rsid w:val="005B6B70"/>
    <w:rsid w:val="005D03AB"/>
    <w:rsid w:val="005D5017"/>
    <w:rsid w:val="005F740F"/>
    <w:rsid w:val="005F7B14"/>
    <w:rsid w:val="00600CCD"/>
    <w:rsid w:val="00601A91"/>
    <w:rsid w:val="00602BA3"/>
    <w:rsid w:val="006053E1"/>
    <w:rsid w:val="00614159"/>
    <w:rsid w:val="00617C00"/>
    <w:rsid w:val="006263BF"/>
    <w:rsid w:val="00627598"/>
    <w:rsid w:val="00630A2C"/>
    <w:rsid w:val="00637638"/>
    <w:rsid w:val="00640BD7"/>
    <w:rsid w:val="00651169"/>
    <w:rsid w:val="00651D97"/>
    <w:rsid w:val="00653D69"/>
    <w:rsid w:val="00661F85"/>
    <w:rsid w:val="00666B6A"/>
    <w:rsid w:val="00670756"/>
    <w:rsid w:val="00670A76"/>
    <w:rsid w:val="006711AA"/>
    <w:rsid w:val="00674D1B"/>
    <w:rsid w:val="00675622"/>
    <w:rsid w:val="00676EB6"/>
    <w:rsid w:val="006850DB"/>
    <w:rsid w:val="006906DB"/>
    <w:rsid w:val="006A12A5"/>
    <w:rsid w:val="006B0D94"/>
    <w:rsid w:val="006B485D"/>
    <w:rsid w:val="006B503A"/>
    <w:rsid w:val="006C708E"/>
    <w:rsid w:val="006D6EC7"/>
    <w:rsid w:val="006F5125"/>
    <w:rsid w:val="00707856"/>
    <w:rsid w:val="00715A1C"/>
    <w:rsid w:val="007174BB"/>
    <w:rsid w:val="00737AB4"/>
    <w:rsid w:val="00752B3C"/>
    <w:rsid w:val="00755589"/>
    <w:rsid w:val="007753C2"/>
    <w:rsid w:val="007838B8"/>
    <w:rsid w:val="0078668D"/>
    <w:rsid w:val="00796FE1"/>
    <w:rsid w:val="007B2B9D"/>
    <w:rsid w:val="007B765F"/>
    <w:rsid w:val="007C0F57"/>
    <w:rsid w:val="007C40B6"/>
    <w:rsid w:val="007C437B"/>
    <w:rsid w:val="007C729F"/>
    <w:rsid w:val="007E1D28"/>
    <w:rsid w:val="007F2641"/>
    <w:rsid w:val="007F7C36"/>
    <w:rsid w:val="00800F42"/>
    <w:rsid w:val="00802D38"/>
    <w:rsid w:val="00806796"/>
    <w:rsid w:val="00837CDD"/>
    <w:rsid w:val="008450BE"/>
    <w:rsid w:val="008458B1"/>
    <w:rsid w:val="008559B6"/>
    <w:rsid w:val="00856262"/>
    <w:rsid w:val="00856DDD"/>
    <w:rsid w:val="00860BFA"/>
    <w:rsid w:val="00863E68"/>
    <w:rsid w:val="00866757"/>
    <w:rsid w:val="00882085"/>
    <w:rsid w:val="00883188"/>
    <w:rsid w:val="008968E1"/>
    <w:rsid w:val="00897D58"/>
    <w:rsid w:val="008A4937"/>
    <w:rsid w:val="008B3B3F"/>
    <w:rsid w:val="008C09A0"/>
    <w:rsid w:val="008C2516"/>
    <w:rsid w:val="008D3C82"/>
    <w:rsid w:val="008D447E"/>
    <w:rsid w:val="008D6B66"/>
    <w:rsid w:val="008E09EB"/>
    <w:rsid w:val="008E0D90"/>
    <w:rsid w:val="008E3680"/>
    <w:rsid w:val="008E5870"/>
    <w:rsid w:val="008F1434"/>
    <w:rsid w:val="008F5367"/>
    <w:rsid w:val="008F68AA"/>
    <w:rsid w:val="008F7355"/>
    <w:rsid w:val="009067B7"/>
    <w:rsid w:val="00911D8D"/>
    <w:rsid w:val="00930937"/>
    <w:rsid w:val="00933E6C"/>
    <w:rsid w:val="00942160"/>
    <w:rsid w:val="00942FEA"/>
    <w:rsid w:val="00946DCB"/>
    <w:rsid w:val="009602C5"/>
    <w:rsid w:val="00963437"/>
    <w:rsid w:val="00966526"/>
    <w:rsid w:val="00972A10"/>
    <w:rsid w:val="00974C21"/>
    <w:rsid w:val="00997F41"/>
    <w:rsid w:val="009C703C"/>
    <w:rsid w:val="009C7088"/>
    <w:rsid w:val="009D16F7"/>
    <w:rsid w:val="009D2439"/>
    <w:rsid w:val="009D3CAA"/>
    <w:rsid w:val="009D783A"/>
    <w:rsid w:val="009F3AD3"/>
    <w:rsid w:val="009F5B65"/>
    <w:rsid w:val="009F5F2E"/>
    <w:rsid w:val="009F6D9F"/>
    <w:rsid w:val="00A06225"/>
    <w:rsid w:val="00A11BCB"/>
    <w:rsid w:val="00A34202"/>
    <w:rsid w:val="00A37C8D"/>
    <w:rsid w:val="00A442A1"/>
    <w:rsid w:val="00A5273B"/>
    <w:rsid w:val="00A53A9D"/>
    <w:rsid w:val="00A5419A"/>
    <w:rsid w:val="00A62C1A"/>
    <w:rsid w:val="00A6426D"/>
    <w:rsid w:val="00A70622"/>
    <w:rsid w:val="00A70977"/>
    <w:rsid w:val="00A8390C"/>
    <w:rsid w:val="00A9231E"/>
    <w:rsid w:val="00A96465"/>
    <w:rsid w:val="00AA219F"/>
    <w:rsid w:val="00AA4D1C"/>
    <w:rsid w:val="00AC5206"/>
    <w:rsid w:val="00AC53A2"/>
    <w:rsid w:val="00AC7585"/>
    <w:rsid w:val="00AE0550"/>
    <w:rsid w:val="00AE11A5"/>
    <w:rsid w:val="00AF43CD"/>
    <w:rsid w:val="00AF68CC"/>
    <w:rsid w:val="00AF6EB2"/>
    <w:rsid w:val="00B06708"/>
    <w:rsid w:val="00B205AA"/>
    <w:rsid w:val="00B25F75"/>
    <w:rsid w:val="00B31BA7"/>
    <w:rsid w:val="00B32E7F"/>
    <w:rsid w:val="00B43E90"/>
    <w:rsid w:val="00B454A5"/>
    <w:rsid w:val="00B56118"/>
    <w:rsid w:val="00B63AD8"/>
    <w:rsid w:val="00B667FA"/>
    <w:rsid w:val="00B6773F"/>
    <w:rsid w:val="00B7096D"/>
    <w:rsid w:val="00B74A88"/>
    <w:rsid w:val="00B76C9A"/>
    <w:rsid w:val="00B81C35"/>
    <w:rsid w:val="00B86B81"/>
    <w:rsid w:val="00B9052F"/>
    <w:rsid w:val="00BA05A0"/>
    <w:rsid w:val="00BA596E"/>
    <w:rsid w:val="00BB69F5"/>
    <w:rsid w:val="00BB7EC3"/>
    <w:rsid w:val="00BC4B9A"/>
    <w:rsid w:val="00BD6992"/>
    <w:rsid w:val="00BD784C"/>
    <w:rsid w:val="00BE7494"/>
    <w:rsid w:val="00BF4CB6"/>
    <w:rsid w:val="00C0351E"/>
    <w:rsid w:val="00C12768"/>
    <w:rsid w:val="00C23D5D"/>
    <w:rsid w:val="00C31753"/>
    <w:rsid w:val="00C35996"/>
    <w:rsid w:val="00C454DA"/>
    <w:rsid w:val="00C46EF3"/>
    <w:rsid w:val="00C51BDC"/>
    <w:rsid w:val="00C5342C"/>
    <w:rsid w:val="00C57916"/>
    <w:rsid w:val="00C60A96"/>
    <w:rsid w:val="00C6256A"/>
    <w:rsid w:val="00C86961"/>
    <w:rsid w:val="00C91449"/>
    <w:rsid w:val="00C92D10"/>
    <w:rsid w:val="00CB5FA7"/>
    <w:rsid w:val="00CB7D6D"/>
    <w:rsid w:val="00CC79FD"/>
    <w:rsid w:val="00CE0916"/>
    <w:rsid w:val="00CE10C4"/>
    <w:rsid w:val="00CE27B5"/>
    <w:rsid w:val="00CE6AE2"/>
    <w:rsid w:val="00CF27A4"/>
    <w:rsid w:val="00D00654"/>
    <w:rsid w:val="00D0321E"/>
    <w:rsid w:val="00D054EA"/>
    <w:rsid w:val="00D059D0"/>
    <w:rsid w:val="00D212AF"/>
    <w:rsid w:val="00D3280C"/>
    <w:rsid w:val="00D3406A"/>
    <w:rsid w:val="00D469B2"/>
    <w:rsid w:val="00D52384"/>
    <w:rsid w:val="00D623AC"/>
    <w:rsid w:val="00D63B5C"/>
    <w:rsid w:val="00D67B04"/>
    <w:rsid w:val="00D741EB"/>
    <w:rsid w:val="00D86361"/>
    <w:rsid w:val="00D91271"/>
    <w:rsid w:val="00D96CF1"/>
    <w:rsid w:val="00DA4BAC"/>
    <w:rsid w:val="00DC3E8F"/>
    <w:rsid w:val="00DE6D27"/>
    <w:rsid w:val="00DF1E6F"/>
    <w:rsid w:val="00DF2021"/>
    <w:rsid w:val="00DF217D"/>
    <w:rsid w:val="00DF26A7"/>
    <w:rsid w:val="00E032FE"/>
    <w:rsid w:val="00E05708"/>
    <w:rsid w:val="00E157E4"/>
    <w:rsid w:val="00E164B3"/>
    <w:rsid w:val="00E16910"/>
    <w:rsid w:val="00E2043E"/>
    <w:rsid w:val="00E2295A"/>
    <w:rsid w:val="00E27A1F"/>
    <w:rsid w:val="00E65E54"/>
    <w:rsid w:val="00E7096C"/>
    <w:rsid w:val="00E75F66"/>
    <w:rsid w:val="00E80155"/>
    <w:rsid w:val="00E848C0"/>
    <w:rsid w:val="00E8493A"/>
    <w:rsid w:val="00E858A2"/>
    <w:rsid w:val="00E872DE"/>
    <w:rsid w:val="00E91B96"/>
    <w:rsid w:val="00E93B05"/>
    <w:rsid w:val="00E941A1"/>
    <w:rsid w:val="00E95CE3"/>
    <w:rsid w:val="00E96F75"/>
    <w:rsid w:val="00E972F7"/>
    <w:rsid w:val="00EA2825"/>
    <w:rsid w:val="00EA555B"/>
    <w:rsid w:val="00EB5088"/>
    <w:rsid w:val="00ED0106"/>
    <w:rsid w:val="00ED1644"/>
    <w:rsid w:val="00ED59ED"/>
    <w:rsid w:val="00EE7DAD"/>
    <w:rsid w:val="00EF09E1"/>
    <w:rsid w:val="00EF132F"/>
    <w:rsid w:val="00F050BD"/>
    <w:rsid w:val="00F05657"/>
    <w:rsid w:val="00F05D89"/>
    <w:rsid w:val="00F155E4"/>
    <w:rsid w:val="00F1654D"/>
    <w:rsid w:val="00F25578"/>
    <w:rsid w:val="00F258E5"/>
    <w:rsid w:val="00F300BC"/>
    <w:rsid w:val="00F31EBF"/>
    <w:rsid w:val="00F3334E"/>
    <w:rsid w:val="00F33C76"/>
    <w:rsid w:val="00F50EC4"/>
    <w:rsid w:val="00F57A6D"/>
    <w:rsid w:val="00F638CC"/>
    <w:rsid w:val="00F63F9E"/>
    <w:rsid w:val="00F8247A"/>
    <w:rsid w:val="00F852E5"/>
    <w:rsid w:val="00F87D09"/>
    <w:rsid w:val="00F9011F"/>
    <w:rsid w:val="00FA2081"/>
    <w:rsid w:val="00FA2F45"/>
    <w:rsid w:val="00FA5883"/>
    <w:rsid w:val="00FA6055"/>
    <w:rsid w:val="00FB0912"/>
    <w:rsid w:val="00FB1003"/>
    <w:rsid w:val="00FB322F"/>
    <w:rsid w:val="00FB442F"/>
    <w:rsid w:val="00FC1929"/>
    <w:rsid w:val="00FC5B46"/>
    <w:rsid w:val="00FD4BF2"/>
    <w:rsid w:val="00FF1ED4"/>
    <w:rsid w:val="00FF61D4"/>
    <w:rsid w:val="00FF67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iPriority="0" w:unhideWhenUsed="0"/>
    <w:lsdException w:name="caption" w:locked="1" w:uiPriority="0" w:qFormat="1"/>
    <w:lsdException w:name="annotation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A7"/>
    <w:rPr>
      <w:sz w:val="24"/>
      <w:szCs w:val="24"/>
    </w:rPr>
  </w:style>
  <w:style w:type="paragraph" w:styleId="Heading1">
    <w:name w:val="heading 1"/>
    <w:basedOn w:val="Normal"/>
    <w:next w:val="Normal"/>
    <w:link w:val="Heading1Char"/>
    <w:uiPriority w:val="99"/>
    <w:qFormat/>
    <w:rsid w:val="004E6EA7"/>
    <w:pPr>
      <w:keepNext/>
      <w:outlineLvl w:val="0"/>
    </w:pPr>
    <w:rPr>
      <w:b/>
    </w:rPr>
  </w:style>
  <w:style w:type="paragraph" w:styleId="Heading2">
    <w:name w:val="heading 2"/>
    <w:basedOn w:val="Normal"/>
    <w:next w:val="Normal"/>
    <w:link w:val="Heading2Char"/>
    <w:uiPriority w:val="99"/>
    <w:qFormat/>
    <w:rsid w:val="004E6EA7"/>
    <w:pPr>
      <w:keepNext/>
      <w:outlineLvl w:val="1"/>
    </w:pPr>
  </w:style>
  <w:style w:type="paragraph" w:styleId="Heading3">
    <w:name w:val="heading 3"/>
    <w:basedOn w:val="Normal"/>
    <w:next w:val="Normal"/>
    <w:link w:val="Heading3Char"/>
    <w:uiPriority w:val="99"/>
    <w:qFormat/>
    <w:rsid w:val="00856DDD"/>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9"/>
    <w:qFormat/>
    <w:rsid w:val="004E6EA7"/>
    <w:pPr>
      <w:spacing w:before="240" w:after="60"/>
      <w:outlineLvl w:val="4"/>
    </w:pPr>
    <w:rPr>
      <w:b/>
      <w:bCs/>
      <w:i/>
      <w:iCs/>
      <w:sz w:val="26"/>
      <w:szCs w:val="26"/>
    </w:rPr>
  </w:style>
  <w:style w:type="paragraph" w:styleId="Heading6">
    <w:name w:val="heading 6"/>
    <w:basedOn w:val="Normal"/>
    <w:next w:val="Normal"/>
    <w:link w:val="Heading6Char"/>
    <w:uiPriority w:val="99"/>
    <w:qFormat/>
    <w:rsid w:val="004E6EA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C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B4EC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semiHidden/>
    <w:locked/>
    <w:rsid w:val="00856DDD"/>
    <w:rPr>
      <w:rFonts w:ascii="Cambria" w:hAnsi="Cambria" w:cs="Times New Roman"/>
      <w:b/>
      <w:bCs/>
      <w:color w:val="4F81BD"/>
      <w:sz w:val="24"/>
      <w:szCs w:val="24"/>
    </w:rPr>
  </w:style>
  <w:style w:type="character" w:customStyle="1" w:styleId="Heading5Char">
    <w:name w:val="Heading 5 Char"/>
    <w:basedOn w:val="DefaultParagraphFont"/>
    <w:link w:val="Heading5"/>
    <w:uiPriority w:val="9"/>
    <w:semiHidden/>
    <w:rsid w:val="009B4EC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B4ECE"/>
    <w:rPr>
      <w:rFonts w:asciiTheme="minorHAnsi" w:eastAsiaTheme="minorEastAsia" w:hAnsiTheme="minorHAnsi" w:cstheme="minorBidi"/>
      <w:b/>
      <w:bCs/>
    </w:rPr>
  </w:style>
  <w:style w:type="paragraph" w:styleId="Header">
    <w:name w:val="header"/>
    <w:aliases w:val="Page Header,Header title,he=header,cntr/bld"/>
    <w:basedOn w:val="Normal"/>
    <w:link w:val="HeaderChar"/>
    <w:uiPriority w:val="99"/>
    <w:rsid w:val="004E6EA7"/>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locked/>
    <w:rsid w:val="005A3173"/>
    <w:rPr>
      <w:sz w:val="24"/>
      <w:lang w:eastAsia="en-AU"/>
    </w:rPr>
  </w:style>
  <w:style w:type="paragraph" w:styleId="Footer">
    <w:name w:val="footer"/>
    <w:basedOn w:val="Normal"/>
    <w:link w:val="FooterChar"/>
    <w:uiPriority w:val="99"/>
    <w:rsid w:val="004E6EA7"/>
    <w:pPr>
      <w:tabs>
        <w:tab w:val="center" w:pos="4153"/>
        <w:tab w:val="right" w:pos="8306"/>
      </w:tabs>
    </w:pPr>
  </w:style>
  <w:style w:type="character" w:customStyle="1" w:styleId="FooterChar">
    <w:name w:val="Footer Char"/>
    <w:basedOn w:val="DefaultParagraphFont"/>
    <w:link w:val="Footer"/>
    <w:uiPriority w:val="99"/>
    <w:locked/>
    <w:rsid w:val="00B205AA"/>
    <w:rPr>
      <w:rFonts w:cs="Times New Roman"/>
      <w:sz w:val="24"/>
      <w:szCs w:val="24"/>
    </w:rPr>
  </w:style>
  <w:style w:type="character" w:styleId="PageNumber">
    <w:name w:val="page number"/>
    <w:basedOn w:val="DefaultParagraphFont"/>
    <w:uiPriority w:val="99"/>
    <w:rsid w:val="004E6EA7"/>
    <w:rPr>
      <w:rFonts w:cs="Times New Roman"/>
    </w:rPr>
  </w:style>
  <w:style w:type="paragraph" w:styleId="BalloonText">
    <w:name w:val="Balloon Text"/>
    <w:basedOn w:val="Normal"/>
    <w:link w:val="BalloonTextChar"/>
    <w:uiPriority w:val="99"/>
    <w:semiHidden/>
    <w:rsid w:val="004E6EA7"/>
    <w:rPr>
      <w:rFonts w:ascii="Tahoma" w:hAnsi="Tahoma" w:cs="Tahoma"/>
      <w:sz w:val="16"/>
      <w:szCs w:val="16"/>
    </w:rPr>
  </w:style>
  <w:style w:type="character" w:customStyle="1" w:styleId="BalloonTextChar">
    <w:name w:val="Balloon Text Char"/>
    <w:basedOn w:val="DefaultParagraphFont"/>
    <w:link w:val="BalloonText"/>
    <w:uiPriority w:val="99"/>
    <w:semiHidden/>
    <w:rsid w:val="009B4ECE"/>
    <w:rPr>
      <w:sz w:val="0"/>
      <w:szCs w:val="0"/>
    </w:rPr>
  </w:style>
  <w:style w:type="table" w:styleId="TableGrid">
    <w:name w:val="Table Grid"/>
    <w:basedOn w:val="TableNormal"/>
    <w:uiPriority w:val="99"/>
    <w:rsid w:val="004E6E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4E6EA7"/>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uiPriority w:val="99"/>
    <w:rsid w:val="004E6EA7"/>
    <w:pPr>
      <w:spacing w:after="120"/>
    </w:pPr>
    <w:rPr>
      <w:rFonts w:ascii="Arial" w:hAnsi="Arial"/>
      <w:sz w:val="20"/>
      <w:szCs w:val="20"/>
      <w:lang w:eastAsia="en-US"/>
    </w:rPr>
  </w:style>
  <w:style w:type="paragraph" w:styleId="BodyText2">
    <w:name w:val="Body Text 2"/>
    <w:basedOn w:val="Normal"/>
    <w:link w:val="BodyText2Char"/>
    <w:uiPriority w:val="99"/>
    <w:rsid w:val="004E6EA7"/>
    <w:pPr>
      <w:widowControl w:val="0"/>
      <w:jc w:val="both"/>
    </w:pPr>
    <w:rPr>
      <w:rFonts w:ascii="Arial" w:hAnsi="Arial"/>
      <w:sz w:val="20"/>
      <w:szCs w:val="20"/>
      <w:lang w:eastAsia="en-US"/>
    </w:rPr>
  </w:style>
  <w:style w:type="character" w:customStyle="1" w:styleId="BodyText2Char">
    <w:name w:val="Body Text 2 Char"/>
    <w:basedOn w:val="DefaultParagraphFont"/>
    <w:link w:val="BodyText2"/>
    <w:uiPriority w:val="99"/>
    <w:locked/>
    <w:rsid w:val="004E6EA7"/>
    <w:rPr>
      <w:rFonts w:ascii="Arial" w:hAnsi="Arial"/>
      <w:snapToGrid w:val="0"/>
      <w:lang w:val="en-AU" w:eastAsia="en-US"/>
    </w:rPr>
  </w:style>
  <w:style w:type="paragraph" w:customStyle="1" w:styleId="TableHeading">
    <w:name w:val="TableHeading"/>
    <w:basedOn w:val="Normal"/>
    <w:uiPriority w:val="99"/>
    <w:rsid w:val="004E6EA7"/>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uiPriority w:val="99"/>
    <w:rsid w:val="004E6EA7"/>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rsid w:val="004E6EA7"/>
    <w:pPr>
      <w:spacing w:after="120"/>
    </w:pPr>
    <w:rPr>
      <w:sz w:val="16"/>
      <w:szCs w:val="16"/>
    </w:rPr>
  </w:style>
  <w:style w:type="character" w:customStyle="1" w:styleId="BodyText3Char">
    <w:name w:val="Body Text 3 Char"/>
    <w:basedOn w:val="DefaultParagraphFont"/>
    <w:link w:val="BodyText3"/>
    <w:uiPriority w:val="99"/>
    <w:semiHidden/>
    <w:rsid w:val="009B4ECE"/>
    <w:rPr>
      <w:sz w:val="16"/>
      <w:szCs w:val="16"/>
    </w:rPr>
  </w:style>
  <w:style w:type="character" w:customStyle="1" w:styleId="SubtitleChar">
    <w:name w:val="Subtitle Char"/>
    <w:link w:val="Subtitle"/>
    <w:uiPriority w:val="99"/>
    <w:semiHidden/>
    <w:locked/>
    <w:rsid w:val="004E6EA7"/>
    <w:rPr>
      <w:lang w:val="en-AU" w:eastAsia="en-US"/>
    </w:rPr>
  </w:style>
  <w:style w:type="paragraph" w:styleId="Subtitle">
    <w:name w:val="Subtitle"/>
    <w:basedOn w:val="Normal"/>
    <w:link w:val="SubtitleChar"/>
    <w:uiPriority w:val="99"/>
    <w:qFormat/>
    <w:rsid w:val="004E6EA7"/>
    <w:pPr>
      <w:jc w:val="both"/>
    </w:pPr>
    <w:rPr>
      <w:sz w:val="20"/>
      <w:szCs w:val="20"/>
      <w:lang w:eastAsia="en-US"/>
    </w:rPr>
  </w:style>
  <w:style w:type="character" w:customStyle="1" w:styleId="SubtitleChar1">
    <w:name w:val="Subtitle Char1"/>
    <w:basedOn w:val="DefaultParagraphFont"/>
    <w:uiPriority w:val="11"/>
    <w:rsid w:val="009B4ECE"/>
    <w:rPr>
      <w:rFonts w:asciiTheme="majorHAnsi" w:eastAsiaTheme="majorEastAsia" w:hAnsiTheme="majorHAnsi" w:cstheme="majorBidi"/>
      <w:sz w:val="24"/>
      <w:szCs w:val="24"/>
    </w:rPr>
  </w:style>
  <w:style w:type="paragraph" w:customStyle="1" w:styleId="MediumGrid21">
    <w:name w:val="Medium Grid 21"/>
    <w:link w:val="MediumGrid2Char"/>
    <w:uiPriority w:val="99"/>
    <w:rsid w:val="005A3173"/>
    <w:rPr>
      <w:rFonts w:ascii="PMingLiU" w:eastAsia="MS Mincho" w:hAnsi="PMingLiU"/>
      <w:lang w:val="en-US"/>
    </w:rPr>
  </w:style>
  <w:style w:type="character" w:customStyle="1" w:styleId="MediumGrid2Char">
    <w:name w:val="Medium Grid 2 Char"/>
    <w:link w:val="MediumGrid21"/>
    <w:uiPriority w:val="99"/>
    <w:locked/>
    <w:rsid w:val="005A3173"/>
    <w:rPr>
      <w:rFonts w:ascii="PMingLiU" w:eastAsia="MS Mincho" w:hAnsi="PMingLiU"/>
      <w:sz w:val="22"/>
      <w:lang w:val="en-US"/>
    </w:rPr>
  </w:style>
  <w:style w:type="table" w:customStyle="1" w:styleId="IntenseQuote1">
    <w:name w:val="Intense Quote1"/>
    <w:uiPriority w:val="99"/>
    <w:rsid w:val="00A06225"/>
    <w:rPr>
      <w:rFonts w:ascii="Cambria" w:eastAsia="MS Mincho" w:hAnsi="Cambria"/>
      <w:color w:val="365F91"/>
      <w:sz w:val="20"/>
      <w:szCs w:val="20"/>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rsid w:val="00BB7EC3"/>
    <w:rPr>
      <w:rFonts w:cs="Times New Roman"/>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locked/>
    <w:rsid w:val="00BB7EC3"/>
    <w:rPr>
      <w:rFonts w:cs="Times New Roman"/>
    </w:rPr>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locked/>
    <w:rsid w:val="00BB7EC3"/>
    <w:rPr>
      <w:rFonts w:cs="Times New Roman"/>
      <w:b/>
      <w:bCs/>
    </w:rPr>
  </w:style>
  <w:style w:type="paragraph" w:customStyle="1" w:styleId="tablenotes">
    <w:name w:val="table notes"/>
    <w:basedOn w:val="BodyText2"/>
    <w:uiPriority w:val="99"/>
    <w:rsid w:val="009F5F2E"/>
  </w:style>
  <w:style w:type="paragraph" w:styleId="Revision">
    <w:name w:val="Revision"/>
    <w:hidden/>
    <w:uiPriority w:val="99"/>
    <w:rsid w:val="002D27DC"/>
    <w:rPr>
      <w:sz w:val="24"/>
      <w:szCs w:val="24"/>
    </w:rPr>
  </w:style>
  <w:style w:type="character" w:customStyle="1" w:styleId="ListParagraphChar">
    <w:name w:val="List Paragraph Char"/>
    <w:basedOn w:val="DefaultParagraphFont"/>
    <w:link w:val="ListParagraph"/>
    <w:uiPriority w:val="72"/>
    <w:locked/>
    <w:rsid w:val="00D63B5C"/>
    <w:rPr>
      <w:rFonts w:cs="Times New Roman"/>
      <w:sz w:val="24"/>
      <w:szCs w:val="24"/>
    </w:rPr>
  </w:style>
  <w:style w:type="paragraph" w:styleId="NormalWeb">
    <w:name w:val="Normal (Web)"/>
    <w:basedOn w:val="Normal"/>
    <w:uiPriority w:val="99"/>
    <w:rsid w:val="00B31BA7"/>
    <w:pPr>
      <w:spacing w:before="75" w:after="75"/>
      <w:ind w:left="75" w:right="75"/>
    </w:pPr>
  </w:style>
  <w:style w:type="paragraph" w:styleId="FootnoteText">
    <w:name w:val="footnote text"/>
    <w:basedOn w:val="Normal"/>
    <w:link w:val="FootnoteTextChar"/>
    <w:uiPriority w:val="99"/>
    <w:rsid w:val="00481AFA"/>
    <w:rPr>
      <w:sz w:val="20"/>
      <w:szCs w:val="20"/>
    </w:rPr>
  </w:style>
  <w:style w:type="character" w:customStyle="1" w:styleId="FootnoteTextChar">
    <w:name w:val="Footnote Text Char"/>
    <w:basedOn w:val="DefaultParagraphFont"/>
    <w:link w:val="FootnoteText"/>
    <w:uiPriority w:val="99"/>
    <w:locked/>
    <w:rsid w:val="00481AFA"/>
    <w:rPr>
      <w:rFonts w:cs="Times New Roman"/>
    </w:rPr>
  </w:style>
  <w:style w:type="character" w:styleId="FootnoteReference">
    <w:name w:val="footnote reference"/>
    <w:basedOn w:val="DefaultParagraphFont"/>
    <w:uiPriority w:val="99"/>
    <w:rsid w:val="00481AFA"/>
    <w:rPr>
      <w:rFonts w:cs="Times New Roman"/>
      <w:vertAlign w:val="superscript"/>
    </w:rPr>
  </w:style>
  <w:style w:type="table" w:customStyle="1" w:styleId="TableGrid1">
    <w:name w:val="Table Grid1"/>
    <w:uiPriority w:val="99"/>
    <w:rsid w:val="001655C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iPriority="0" w:unhideWhenUsed="0"/>
    <w:lsdException w:name="caption" w:locked="1" w:uiPriority="0" w:qFormat="1"/>
    <w:lsdException w:name="annotation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A7"/>
    <w:rPr>
      <w:sz w:val="24"/>
      <w:szCs w:val="24"/>
    </w:rPr>
  </w:style>
  <w:style w:type="paragraph" w:styleId="Heading1">
    <w:name w:val="heading 1"/>
    <w:basedOn w:val="Normal"/>
    <w:next w:val="Normal"/>
    <w:link w:val="Heading1Char"/>
    <w:uiPriority w:val="99"/>
    <w:qFormat/>
    <w:rsid w:val="004E6EA7"/>
    <w:pPr>
      <w:keepNext/>
      <w:outlineLvl w:val="0"/>
    </w:pPr>
    <w:rPr>
      <w:b/>
    </w:rPr>
  </w:style>
  <w:style w:type="paragraph" w:styleId="Heading2">
    <w:name w:val="heading 2"/>
    <w:basedOn w:val="Normal"/>
    <w:next w:val="Normal"/>
    <w:link w:val="Heading2Char"/>
    <w:uiPriority w:val="99"/>
    <w:qFormat/>
    <w:rsid w:val="004E6EA7"/>
    <w:pPr>
      <w:keepNext/>
      <w:outlineLvl w:val="1"/>
    </w:pPr>
  </w:style>
  <w:style w:type="paragraph" w:styleId="Heading3">
    <w:name w:val="heading 3"/>
    <w:basedOn w:val="Normal"/>
    <w:next w:val="Normal"/>
    <w:link w:val="Heading3Char"/>
    <w:uiPriority w:val="99"/>
    <w:qFormat/>
    <w:rsid w:val="00856DDD"/>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9"/>
    <w:qFormat/>
    <w:rsid w:val="004E6EA7"/>
    <w:pPr>
      <w:spacing w:before="240" w:after="60"/>
      <w:outlineLvl w:val="4"/>
    </w:pPr>
    <w:rPr>
      <w:b/>
      <w:bCs/>
      <w:i/>
      <w:iCs/>
      <w:sz w:val="26"/>
      <w:szCs w:val="26"/>
    </w:rPr>
  </w:style>
  <w:style w:type="paragraph" w:styleId="Heading6">
    <w:name w:val="heading 6"/>
    <w:basedOn w:val="Normal"/>
    <w:next w:val="Normal"/>
    <w:link w:val="Heading6Char"/>
    <w:uiPriority w:val="99"/>
    <w:qFormat/>
    <w:rsid w:val="004E6EA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C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B4EC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semiHidden/>
    <w:locked/>
    <w:rsid w:val="00856DDD"/>
    <w:rPr>
      <w:rFonts w:ascii="Cambria" w:hAnsi="Cambria" w:cs="Times New Roman"/>
      <w:b/>
      <w:bCs/>
      <w:color w:val="4F81BD"/>
      <w:sz w:val="24"/>
      <w:szCs w:val="24"/>
    </w:rPr>
  </w:style>
  <w:style w:type="character" w:customStyle="1" w:styleId="Heading5Char">
    <w:name w:val="Heading 5 Char"/>
    <w:basedOn w:val="DefaultParagraphFont"/>
    <w:link w:val="Heading5"/>
    <w:uiPriority w:val="9"/>
    <w:semiHidden/>
    <w:rsid w:val="009B4EC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B4ECE"/>
    <w:rPr>
      <w:rFonts w:asciiTheme="minorHAnsi" w:eastAsiaTheme="minorEastAsia" w:hAnsiTheme="minorHAnsi" w:cstheme="minorBidi"/>
      <w:b/>
      <w:bCs/>
    </w:rPr>
  </w:style>
  <w:style w:type="paragraph" w:styleId="Header">
    <w:name w:val="header"/>
    <w:aliases w:val="Page Header,Header title,he=header,cntr/bld"/>
    <w:basedOn w:val="Normal"/>
    <w:link w:val="HeaderChar"/>
    <w:uiPriority w:val="99"/>
    <w:rsid w:val="004E6EA7"/>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locked/>
    <w:rsid w:val="005A3173"/>
    <w:rPr>
      <w:sz w:val="24"/>
      <w:lang w:eastAsia="en-AU"/>
    </w:rPr>
  </w:style>
  <w:style w:type="paragraph" w:styleId="Footer">
    <w:name w:val="footer"/>
    <w:basedOn w:val="Normal"/>
    <w:link w:val="FooterChar"/>
    <w:uiPriority w:val="99"/>
    <w:rsid w:val="004E6EA7"/>
    <w:pPr>
      <w:tabs>
        <w:tab w:val="center" w:pos="4153"/>
        <w:tab w:val="right" w:pos="8306"/>
      </w:tabs>
    </w:pPr>
  </w:style>
  <w:style w:type="character" w:customStyle="1" w:styleId="FooterChar">
    <w:name w:val="Footer Char"/>
    <w:basedOn w:val="DefaultParagraphFont"/>
    <w:link w:val="Footer"/>
    <w:uiPriority w:val="99"/>
    <w:locked/>
    <w:rsid w:val="00B205AA"/>
    <w:rPr>
      <w:rFonts w:cs="Times New Roman"/>
      <w:sz w:val="24"/>
      <w:szCs w:val="24"/>
    </w:rPr>
  </w:style>
  <w:style w:type="character" w:styleId="PageNumber">
    <w:name w:val="page number"/>
    <w:basedOn w:val="DefaultParagraphFont"/>
    <w:uiPriority w:val="99"/>
    <w:rsid w:val="004E6EA7"/>
    <w:rPr>
      <w:rFonts w:cs="Times New Roman"/>
    </w:rPr>
  </w:style>
  <w:style w:type="paragraph" w:styleId="BalloonText">
    <w:name w:val="Balloon Text"/>
    <w:basedOn w:val="Normal"/>
    <w:link w:val="BalloonTextChar"/>
    <w:uiPriority w:val="99"/>
    <w:semiHidden/>
    <w:rsid w:val="004E6EA7"/>
    <w:rPr>
      <w:rFonts w:ascii="Tahoma" w:hAnsi="Tahoma" w:cs="Tahoma"/>
      <w:sz w:val="16"/>
      <w:szCs w:val="16"/>
    </w:rPr>
  </w:style>
  <w:style w:type="character" w:customStyle="1" w:styleId="BalloonTextChar">
    <w:name w:val="Balloon Text Char"/>
    <w:basedOn w:val="DefaultParagraphFont"/>
    <w:link w:val="BalloonText"/>
    <w:uiPriority w:val="99"/>
    <w:semiHidden/>
    <w:rsid w:val="009B4ECE"/>
    <w:rPr>
      <w:sz w:val="0"/>
      <w:szCs w:val="0"/>
    </w:rPr>
  </w:style>
  <w:style w:type="table" w:styleId="TableGrid">
    <w:name w:val="Table Grid"/>
    <w:basedOn w:val="TableNormal"/>
    <w:uiPriority w:val="99"/>
    <w:rsid w:val="004E6E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uiPriority w:val="99"/>
    <w:rsid w:val="004E6EA7"/>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uiPriority w:val="99"/>
    <w:rsid w:val="004E6EA7"/>
    <w:pPr>
      <w:spacing w:after="120"/>
    </w:pPr>
    <w:rPr>
      <w:rFonts w:ascii="Arial" w:hAnsi="Arial"/>
      <w:sz w:val="20"/>
      <w:szCs w:val="20"/>
      <w:lang w:eastAsia="en-US"/>
    </w:rPr>
  </w:style>
  <w:style w:type="paragraph" w:styleId="BodyText2">
    <w:name w:val="Body Text 2"/>
    <w:basedOn w:val="Normal"/>
    <w:link w:val="BodyText2Char"/>
    <w:uiPriority w:val="99"/>
    <w:rsid w:val="004E6EA7"/>
    <w:pPr>
      <w:widowControl w:val="0"/>
      <w:jc w:val="both"/>
    </w:pPr>
    <w:rPr>
      <w:rFonts w:ascii="Arial" w:hAnsi="Arial"/>
      <w:sz w:val="20"/>
      <w:szCs w:val="20"/>
      <w:lang w:eastAsia="en-US"/>
    </w:rPr>
  </w:style>
  <w:style w:type="character" w:customStyle="1" w:styleId="BodyText2Char">
    <w:name w:val="Body Text 2 Char"/>
    <w:basedOn w:val="DefaultParagraphFont"/>
    <w:link w:val="BodyText2"/>
    <w:uiPriority w:val="99"/>
    <w:locked/>
    <w:rsid w:val="004E6EA7"/>
    <w:rPr>
      <w:rFonts w:ascii="Arial" w:hAnsi="Arial"/>
      <w:snapToGrid w:val="0"/>
      <w:lang w:val="en-AU" w:eastAsia="en-US"/>
    </w:rPr>
  </w:style>
  <w:style w:type="paragraph" w:customStyle="1" w:styleId="TableHeading">
    <w:name w:val="TableHeading"/>
    <w:basedOn w:val="Normal"/>
    <w:uiPriority w:val="99"/>
    <w:rsid w:val="004E6EA7"/>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uiPriority w:val="99"/>
    <w:rsid w:val="004E6EA7"/>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uiPriority w:val="99"/>
    <w:rsid w:val="004E6EA7"/>
    <w:pPr>
      <w:spacing w:after="120"/>
    </w:pPr>
    <w:rPr>
      <w:sz w:val="16"/>
      <w:szCs w:val="16"/>
    </w:rPr>
  </w:style>
  <w:style w:type="character" w:customStyle="1" w:styleId="BodyText3Char">
    <w:name w:val="Body Text 3 Char"/>
    <w:basedOn w:val="DefaultParagraphFont"/>
    <w:link w:val="BodyText3"/>
    <w:uiPriority w:val="99"/>
    <w:semiHidden/>
    <w:rsid w:val="009B4ECE"/>
    <w:rPr>
      <w:sz w:val="16"/>
      <w:szCs w:val="16"/>
    </w:rPr>
  </w:style>
  <w:style w:type="character" w:customStyle="1" w:styleId="SubtitleChar">
    <w:name w:val="Subtitle Char"/>
    <w:link w:val="Subtitle"/>
    <w:uiPriority w:val="99"/>
    <w:semiHidden/>
    <w:locked/>
    <w:rsid w:val="004E6EA7"/>
    <w:rPr>
      <w:lang w:val="en-AU" w:eastAsia="en-US"/>
    </w:rPr>
  </w:style>
  <w:style w:type="paragraph" w:styleId="Subtitle">
    <w:name w:val="Subtitle"/>
    <w:basedOn w:val="Normal"/>
    <w:link w:val="SubtitleChar"/>
    <w:uiPriority w:val="99"/>
    <w:qFormat/>
    <w:rsid w:val="004E6EA7"/>
    <w:pPr>
      <w:jc w:val="both"/>
    </w:pPr>
    <w:rPr>
      <w:sz w:val="20"/>
      <w:szCs w:val="20"/>
      <w:lang w:eastAsia="en-US"/>
    </w:rPr>
  </w:style>
  <w:style w:type="character" w:customStyle="1" w:styleId="SubtitleChar1">
    <w:name w:val="Subtitle Char1"/>
    <w:basedOn w:val="DefaultParagraphFont"/>
    <w:uiPriority w:val="11"/>
    <w:rsid w:val="009B4ECE"/>
    <w:rPr>
      <w:rFonts w:asciiTheme="majorHAnsi" w:eastAsiaTheme="majorEastAsia" w:hAnsiTheme="majorHAnsi" w:cstheme="majorBidi"/>
      <w:sz w:val="24"/>
      <w:szCs w:val="24"/>
    </w:rPr>
  </w:style>
  <w:style w:type="paragraph" w:customStyle="1" w:styleId="MediumGrid21">
    <w:name w:val="Medium Grid 21"/>
    <w:link w:val="MediumGrid2Char"/>
    <w:uiPriority w:val="99"/>
    <w:rsid w:val="005A3173"/>
    <w:rPr>
      <w:rFonts w:ascii="PMingLiU" w:eastAsia="MS Mincho" w:hAnsi="PMingLiU"/>
      <w:lang w:val="en-US"/>
    </w:rPr>
  </w:style>
  <w:style w:type="character" w:customStyle="1" w:styleId="MediumGrid2Char">
    <w:name w:val="Medium Grid 2 Char"/>
    <w:link w:val="MediumGrid21"/>
    <w:uiPriority w:val="99"/>
    <w:locked/>
    <w:rsid w:val="005A3173"/>
    <w:rPr>
      <w:rFonts w:ascii="PMingLiU" w:eastAsia="MS Mincho" w:hAnsi="PMingLiU"/>
      <w:sz w:val="22"/>
      <w:lang w:val="en-US"/>
    </w:rPr>
  </w:style>
  <w:style w:type="table" w:customStyle="1" w:styleId="IntenseQuote1">
    <w:name w:val="Intense Quote1"/>
    <w:uiPriority w:val="99"/>
    <w:rsid w:val="00A06225"/>
    <w:rPr>
      <w:rFonts w:ascii="Cambria" w:eastAsia="MS Mincho" w:hAnsi="Cambria"/>
      <w:color w:val="365F91"/>
      <w:sz w:val="20"/>
      <w:szCs w:val="20"/>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rsid w:val="00BB7EC3"/>
    <w:rPr>
      <w:rFonts w:cs="Times New Roman"/>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locked/>
    <w:rsid w:val="00BB7EC3"/>
    <w:rPr>
      <w:rFonts w:cs="Times New Roman"/>
    </w:rPr>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locked/>
    <w:rsid w:val="00BB7EC3"/>
    <w:rPr>
      <w:rFonts w:cs="Times New Roman"/>
      <w:b/>
      <w:bCs/>
    </w:rPr>
  </w:style>
  <w:style w:type="paragraph" w:customStyle="1" w:styleId="tablenotes">
    <w:name w:val="table notes"/>
    <w:basedOn w:val="BodyText2"/>
    <w:uiPriority w:val="99"/>
    <w:rsid w:val="009F5F2E"/>
  </w:style>
  <w:style w:type="paragraph" w:styleId="Revision">
    <w:name w:val="Revision"/>
    <w:hidden/>
    <w:uiPriority w:val="99"/>
    <w:rsid w:val="002D27DC"/>
    <w:rPr>
      <w:sz w:val="24"/>
      <w:szCs w:val="24"/>
    </w:rPr>
  </w:style>
  <w:style w:type="character" w:customStyle="1" w:styleId="ListParagraphChar">
    <w:name w:val="List Paragraph Char"/>
    <w:basedOn w:val="DefaultParagraphFont"/>
    <w:link w:val="ListParagraph"/>
    <w:uiPriority w:val="72"/>
    <w:locked/>
    <w:rsid w:val="00D63B5C"/>
    <w:rPr>
      <w:rFonts w:cs="Times New Roman"/>
      <w:sz w:val="24"/>
      <w:szCs w:val="24"/>
    </w:rPr>
  </w:style>
  <w:style w:type="paragraph" w:styleId="NormalWeb">
    <w:name w:val="Normal (Web)"/>
    <w:basedOn w:val="Normal"/>
    <w:uiPriority w:val="99"/>
    <w:rsid w:val="00B31BA7"/>
    <w:pPr>
      <w:spacing w:before="75" w:after="75"/>
      <w:ind w:left="75" w:right="75"/>
    </w:pPr>
  </w:style>
  <w:style w:type="paragraph" w:styleId="FootnoteText">
    <w:name w:val="footnote text"/>
    <w:basedOn w:val="Normal"/>
    <w:link w:val="FootnoteTextChar"/>
    <w:uiPriority w:val="99"/>
    <w:rsid w:val="00481AFA"/>
    <w:rPr>
      <w:sz w:val="20"/>
      <w:szCs w:val="20"/>
    </w:rPr>
  </w:style>
  <w:style w:type="character" w:customStyle="1" w:styleId="FootnoteTextChar">
    <w:name w:val="Footnote Text Char"/>
    <w:basedOn w:val="DefaultParagraphFont"/>
    <w:link w:val="FootnoteText"/>
    <w:uiPriority w:val="99"/>
    <w:locked/>
    <w:rsid w:val="00481AFA"/>
    <w:rPr>
      <w:rFonts w:cs="Times New Roman"/>
    </w:rPr>
  </w:style>
  <w:style w:type="character" w:styleId="FootnoteReference">
    <w:name w:val="footnote reference"/>
    <w:basedOn w:val="DefaultParagraphFont"/>
    <w:uiPriority w:val="99"/>
    <w:rsid w:val="00481AFA"/>
    <w:rPr>
      <w:rFonts w:cs="Times New Roman"/>
      <w:vertAlign w:val="superscript"/>
    </w:rPr>
  </w:style>
  <w:style w:type="table" w:customStyle="1" w:styleId="TableGrid1">
    <w:name w:val="Table Grid1"/>
    <w:uiPriority w:val="99"/>
    <w:rsid w:val="001655C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5810">
      <w:marLeft w:val="0"/>
      <w:marRight w:val="0"/>
      <w:marTop w:val="0"/>
      <w:marBottom w:val="0"/>
      <w:divBdr>
        <w:top w:val="none" w:sz="0" w:space="0" w:color="auto"/>
        <w:left w:val="none" w:sz="0" w:space="0" w:color="auto"/>
        <w:bottom w:val="none" w:sz="0" w:space="0" w:color="auto"/>
        <w:right w:val="none" w:sz="0" w:space="0" w:color="auto"/>
      </w:divBdr>
    </w:div>
    <w:div w:id="86275813">
      <w:marLeft w:val="0"/>
      <w:marRight w:val="0"/>
      <w:marTop w:val="0"/>
      <w:marBottom w:val="0"/>
      <w:divBdr>
        <w:top w:val="none" w:sz="0" w:space="0" w:color="auto"/>
        <w:left w:val="none" w:sz="0" w:space="0" w:color="auto"/>
        <w:bottom w:val="none" w:sz="0" w:space="0" w:color="auto"/>
        <w:right w:val="none" w:sz="0" w:space="0" w:color="auto"/>
      </w:divBdr>
    </w:div>
    <w:div w:id="86275814">
      <w:marLeft w:val="0"/>
      <w:marRight w:val="0"/>
      <w:marTop w:val="0"/>
      <w:marBottom w:val="0"/>
      <w:divBdr>
        <w:top w:val="none" w:sz="0" w:space="0" w:color="auto"/>
        <w:left w:val="none" w:sz="0" w:space="0" w:color="auto"/>
        <w:bottom w:val="none" w:sz="0" w:space="0" w:color="auto"/>
        <w:right w:val="none" w:sz="0" w:space="0" w:color="auto"/>
      </w:divBdr>
      <w:divsChild>
        <w:div w:id="86275818">
          <w:marLeft w:val="0"/>
          <w:marRight w:val="0"/>
          <w:marTop w:val="0"/>
          <w:marBottom w:val="0"/>
          <w:divBdr>
            <w:top w:val="none" w:sz="0" w:space="0" w:color="auto"/>
            <w:left w:val="none" w:sz="0" w:space="0" w:color="auto"/>
            <w:bottom w:val="none" w:sz="0" w:space="0" w:color="auto"/>
            <w:right w:val="none" w:sz="0" w:space="0" w:color="auto"/>
          </w:divBdr>
        </w:div>
      </w:divsChild>
    </w:div>
    <w:div w:id="86275817">
      <w:marLeft w:val="0"/>
      <w:marRight w:val="0"/>
      <w:marTop w:val="0"/>
      <w:marBottom w:val="0"/>
      <w:divBdr>
        <w:top w:val="none" w:sz="0" w:space="0" w:color="auto"/>
        <w:left w:val="none" w:sz="0" w:space="0" w:color="auto"/>
        <w:bottom w:val="none" w:sz="0" w:space="0" w:color="auto"/>
        <w:right w:val="none" w:sz="0" w:space="0" w:color="auto"/>
      </w:divBdr>
      <w:divsChild>
        <w:div w:id="86275820">
          <w:marLeft w:val="0"/>
          <w:marRight w:val="0"/>
          <w:marTop w:val="0"/>
          <w:marBottom w:val="0"/>
          <w:divBdr>
            <w:top w:val="none" w:sz="0" w:space="0" w:color="auto"/>
            <w:left w:val="none" w:sz="0" w:space="0" w:color="auto"/>
            <w:bottom w:val="none" w:sz="0" w:space="0" w:color="auto"/>
            <w:right w:val="none" w:sz="0" w:space="0" w:color="auto"/>
          </w:divBdr>
          <w:divsChild>
            <w:div w:id="86275815">
              <w:marLeft w:val="0"/>
              <w:marRight w:val="0"/>
              <w:marTop w:val="0"/>
              <w:marBottom w:val="0"/>
              <w:divBdr>
                <w:top w:val="none" w:sz="0" w:space="0" w:color="auto"/>
                <w:left w:val="none" w:sz="0" w:space="0" w:color="auto"/>
                <w:bottom w:val="none" w:sz="0" w:space="0" w:color="auto"/>
                <w:right w:val="none" w:sz="0" w:space="0" w:color="auto"/>
              </w:divBdr>
              <w:divsChild>
                <w:div w:id="86275816">
                  <w:marLeft w:val="0"/>
                  <w:marRight w:val="0"/>
                  <w:marTop w:val="0"/>
                  <w:marBottom w:val="0"/>
                  <w:divBdr>
                    <w:top w:val="none" w:sz="0" w:space="0" w:color="auto"/>
                    <w:left w:val="none" w:sz="0" w:space="0" w:color="auto"/>
                    <w:bottom w:val="none" w:sz="0" w:space="0" w:color="auto"/>
                    <w:right w:val="none" w:sz="0" w:space="0" w:color="auto"/>
                  </w:divBdr>
                  <w:divsChild>
                    <w:div w:id="862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5819">
      <w:marLeft w:val="0"/>
      <w:marRight w:val="0"/>
      <w:marTop w:val="0"/>
      <w:marBottom w:val="0"/>
      <w:divBdr>
        <w:top w:val="none" w:sz="0" w:space="0" w:color="auto"/>
        <w:left w:val="none" w:sz="0" w:space="0" w:color="auto"/>
        <w:bottom w:val="none" w:sz="0" w:space="0" w:color="auto"/>
        <w:right w:val="none" w:sz="0" w:space="0" w:color="auto"/>
      </w:divBdr>
      <w:divsChild>
        <w:div w:id="86275812">
          <w:marLeft w:val="0"/>
          <w:marRight w:val="0"/>
          <w:marTop w:val="0"/>
          <w:marBottom w:val="0"/>
          <w:divBdr>
            <w:top w:val="none" w:sz="0" w:space="0" w:color="auto"/>
            <w:left w:val="none" w:sz="0" w:space="0" w:color="auto"/>
            <w:bottom w:val="none" w:sz="0" w:space="0" w:color="auto"/>
            <w:right w:val="none" w:sz="0" w:space="0" w:color="auto"/>
          </w:divBdr>
        </w:div>
      </w:divsChild>
    </w:div>
    <w:div w:id="862758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3286</Words>
  <Characters>20105</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2014-10-03T05:57:00Z</dcterms:created>
  <dcterms:modified xsi:type="dcterms:W3CDTF">2014-11-05T00:11:00Z</dcterms:modified>
</cp:coreProperties>
</file>