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C00" w:rsidRPr="00FA6936" w:rsidRDefault="004C7F6D" w:rsidP="00FA6936">
      <w:pPr>
        <w:pStyle w:val="Heading1"/>
        <w:rPr>
          <w:sz w:val="28"/>
          <w:szCs w:val="28"/>
        </w:rPr>
      </w:pPr>
      <w:r w:rsidRPr="00FA6936">
        <w:rPr>
          <w:sz w:val="28"/>
          <w:szCs w:val="28"/>
        </w:rPr>
        <w:t>5.1</w:t>
      </w:r>
      <w:r w:rsidRPr="00FA6936">
        <w:rPr>
          <w:sz w:val="28"/>
          <w:szCs w:val="28"/>
        </w:rPr>
        <w:tab/>
        <w:t xml:space="preserve">ALEMTUZUMAB, solution for infusion, 10 mg/ mL, </w:t>
      </w:r>
    </w:p>
    <w:p w:rsidR="004C7F6D" w:rsidRPr="00FA6936" w:rsidRDefault="004C7F6D" w:rsidP="00FA6936">
      <w:pPr>
        <w:pStyle w:val="Heading1"/>
        <w:rPr>
          <w:sz w:val="28"/>
          <w:szCs w:val="28"/>
        </w:rPr>
      </w:pPr>
      <w:proofErr w:type="spellStart"/>
      <w:r w:rsidRPr="00FA6936">
        <w:rPr>
          <w:sz w:val="28"/>
          <w:szCs w:val="28"/>
        </w:rPr>
        <w:t>Lemtrada</w:t>
      </w:r>
      <w:proofErr w:type="spellEnd"/>
      <w:r w:rsidRPr="00FA6936">
        <w:rPr>
          <w:sz w:val="28"/>
          <w:szCs w:val="28"/>
          <w:vertAlign w:val="superscript"/>
        </w:rPr>
        <w:t>®</w:t>
      </w:r>
      <w:r w:rsidRPr="00FA6936">
        <w:rPr>
          <w:sz w:val="28"/>
          <w:szCs w:val="28"/>
        </w:rPr>
        <w:t xml:space="preserve">, </w:t>
      </w:r>
      <w:r w:rsidR="00B70DC7" w:rsidRPr="00FA6936">
        <w:rPr>
          <w:sz w:val="28"/>
          <w:szCs w:val="28"/>
        </w:rPr>
        <w:t>Genzyme (</w:t>
      </w:r>
      <w:r w:rsidRPr="00FA6936">
        <w:rPr>
          <w:sz w:val="28"/>
          <w:szCs w:val="28"/>
        </w:rPr>
        <w:t>Sanofi-Aventis Australia Pty Ltd</w:t>
      </w:r>
      <w:r w:rsidR="00B70DC7" w:rsidRPr="00FA6936">
        <w:rPr>
          <w:sz w:val="28"/>
          <w:szCs w:val="28"/>
        </w:rPr>
        <w:t>)</w:t>
      </w:r>
    </w:p>
    <w:p w:rsidR="004C7F6D" w:rsidRPr="006706A8" w:rsidRDefault="004C7F6D" w:rsidP="00A5273B">
      <w:pPr>
        <w:rPr>
          <w:rFonts w:ascii="Arial" w:hAnsi="Arial"/>
        </w:rPr>
      </w:pPr>
    </w:p>
    <w:p w:rsidR="004C7F6D" w:rsidRPr="006706A8" w:rsidRDefault="004C7F6D" w:rsidP="00A5273B">
      <w:pPr>
        <w:rPr>
          <w:rFonts w:ascii="Arial" w:hAnsi="Arial"/>
        </w:rPr>
      </w:pPr>
    </w:p>
    <w:p w:rsidR="004C7F6D" w:rsidRPr="006706A8" w:rsidRDefault="004C7F6D" w:rsidP="006C3768">
      <w:pPr>
        <w:pStyle w:val="ListParagraph"/>
        <w:numPr>
          <w:ilvl w:val="0"/>
          <w:numId w:val="25"/>
        </w:numPr>
        <w:jc w:val="both"/>
        <w:rPr>
          <w:rFonts w:ascii="Arial" w:hAnsi="Arial"/>
          <w:b/>
          <w:sz w:val="22"/>
          <w:szCs w:val="22"/>
        </w:rPr>
      </w:pPr>
      <w:r w:rsidRPr="006706A8">
        <w:rPr>
          <w:rFonts w:ascii="Arial" w:hAnsi="Arial"/>
          <w:b/>
          <w:sz w:val="22"/>
          <w:szCs w:val="22"/>
        </w:rPr>
        <w:t>Purpose of Application</w:t>
      </w:r>
    </w:p>
    <w:p w:rsidR="004C7F6D" w:rsidRPr="006706A8" w:rsidRDefault="004C7F6D" w:rsidP="00882085">
      <w:pPr>
        <w:jc w:val="both"/>
        <w:rPr>
          <w:rFonts w:ascii="Arial" w:hAnsi="Arial"/>
          <w:sz w:val="22"/>
          <w:szCs w:val="22"/>
        </w:rPr>
      </w:pPr>
    </w:p>
    <w:p w:rsidR="004C7F6D" w:rsidRPr="006706A8" w:rsidRDefault="004C7F6D" w:rsidP="00646A2F">
      <w:pPr>
        <w:pStyle w:val="ListParagraph"/>
        <w:numPr>
          <w:ilvl w:val="1"/>
          <w:numId w:val="25"/>
        </w:numPr>
        <w:jc w:val="both"/>
        <w:rPr>
          <w:rFonts w:ascii="Arial" w:hAnsi="Arial"/>
          <w:sz w:val="22"/>
          <w:szCs w:val="22"/>
        </w:rPr>
      </w:pPr>
      <w:r w:rsidRPr="006706A8">
        <w:rPr>
          <w:rFonts w:ascii="Arial" w:hAnsi="Arial"/>
          <w:sz w:val="22"/>
          <w:szCs w:val="22"/>
        </w:rPr>
        <w:t xml:space="preserve">Authority </w:t>
      </w:r>
      <w:proofErr w:type="gramStart"/>
      <w:r w:rsidRPr="006706A8">
        <w:rPr>
          <w:rFonts w:ascii="Arial" w:hAnsi="Arial"/>
          <w:sz w:val="22"/>
          <w:szCs w:val="22"/>
        </w:rPr>
        <w:t>Required</w:t>
      </w:r>
      <w:proofErr w:type="gramEnd"/>
      <w:r w:rsidRPr="006706A8">
        <w:rPr>
          <w:rFonts w:ascii="Arial" w:hAnsi="Arial"/>
          <w:sz w:val="22"/>
          <w:szCs w:val="22"/>
        </w:rPr>
        <w:t xml:space="preserve"> listing of </w:t>
      </w:r>
      <w:proofErr w:type="spellStart"/>
      <w:r w:rsidRPr="006706A8">
        <w:rPr>
          <w:rFonts w:ascii="Arial" w:hAnsi="Arial"/>
          <w:sz w:val="22"/>
          <w:szCs w:val="22"/>
        </w:rPr>
        <w:t>alemtuzumab</w:t>
      </w:r>
      <w:proofErr w:type="spellEnd"/>
      <w:r w:rsidRPr="006706A8">
        <w:rPr>
          <w:rFonts w:ascii="Arial" w:hAnsi="Arial"/>
          <w:sz w:val="22"/>
          <w:szCs w:val="22"/>
        </w:rPr>
        <w:t xml:space="preserve"> for the treatment of relapsing-remitting multiple sclerosis.</w:t>
      </w:r>
      <w:r w:rsidRPr="006706A8">
        <w:rPr>
          <w:rFonts w:ascii="Arial" w:hAnsi="Arial"/>
          <w:color w:val="00B050"/>
          <w:sz w:val="22"/>
          <w:szCs w:val="22"/>
        </w:rPr>
        <w:t xml:space="preserve">  </w:t>
      </w:r>
    </w:p>
    <w:p w:rsidR="004C7F6D" w:rsidRDefault="004C7F6D" w:rsidP="00882085">
      <w:pPr>
        <w:jc w:val="both"/>
        <w:rPr>
          <w:rFonts w:ascii="Arial" w:hAnsi="Arial"/>
          <w:sz w:val="22"/>
          <w:szCs w:val="22"/>
        </w:rPr>
      </w:pPr>
    </w:p>
    <w:p w:rsidR="00496175" w:rsidRPr="006706A8" w:rsidRDefault="00496175" w:rsidP="00882085">
      <w:pPr>
        <w:jc w:val="both"/>
        <w:rPr>
          <w:rFonts w:ascii="Arial" w:hAnsi="Arial"/>
          <w:sz w:val="22"/>
          <w:szCs w:val="22"/>
        </w:rPr>
      </w:pPr>
    </w:p>
    <w:p w:rsidR="004C7F6D" w:rsidRPr="006706A8" w:rsidRDefault="004C7F6D" w:rsidP="00882085">
      <w:pPr>
        <w:pStyle w:val="ListParagraph"/>
        <w:numPr>
          <w:ilvl w:val="0"/>
          <w:numId w:val="25"/>
        </w:numPr>
        <w:jc w:val="both"/>
        <w:rPr>
          <w:rFonts w:ascii="Arial" w:hAnsi="Arial"/>
          <w:b/>
          <w:sz w:val="22"/>
          <w:szCs w:val="22"/>
        </w:rPr>
      </w:pPr>
      <w:r w:rsidRPr="006706A8">
        <w:rPr>
          <w:rFonts w:ascii="Arial" w:hAnsi="Arial"/>
          <w:b/>
          <w:sz w:val="22"/>
          <w:szCs w:val="22"/>
        </w:rPr>
        <w:t>Requested listing</w:t>
      </w:r>
    </w:p>
    <w:p w:rsidR="004C7F6D" w:rsidRPr="006706A8" w:rsidRDefault="004C7F6D" w:rsidP="00882085">
      <w:pPr>
        <w:jc w:val="both"/>
        <w:rPr>
          <w:rFonts w:ascii="Arial" w:hAnsi="Arial"/>
          <w:sz w:val="22"/>
          <w:szCs w:val="22"/>
        </w:rPr>
      </w:pPr>
    </w:p>
    <w:p w:rsidR="004C7F6D" w:rsidRPr="006706A8" w:rsidRDefault="004C7F6D" w:rsidP="00882085">
      <w:pPr>
        <w:pStyle w:val="ListParagraph"/>
        <w:numPr>
          <w:ilvl w:val="1"/>
          <w:numId w:val="25"/>
        </w:numPr>
        <w:jc w:val="both"/>
        <w:rPr>
          <w:rFonts w:ascii="Arial" w:hAnsi="Arial"/>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Description w:val="alemtuzumab listing"/>
      </w:tblPr>
      <w:tblGrid>
        <w:gridCol w:w="2977"/>
        <w:gridCol w:w="708"/>
        <w:gridCol w:w="708"/>
        <w:gridCol w:w="1901"/>
        <w:gridCol w:w="1005"/>
        <w:gridCol w:w="1046"/>
      </w:tblGrid>
      <w:tr w:rsidR="004C7F6D" w:rsidRPr="006706A8" w:rsidTr="001B07A8">
        <w:trPr>
          <w:cantSplit/>
          <w:trHeight w:val="471"/>
        </w:trPr>
        <w:tc>
          <w:tcPr>
            <w:tcW w:w="1784" w:type="pct"/>
          </w:tcPr>
          <w:p w:rsidR="004C7F6D" w:rsidRPr="006706A8" w:rsidRDefault="004C7F6D" w:rsidP="00A7461C">
            <w:pPr>
              <w:keepNext/>
              <w:widowControl w:val="0"/>
              <w:jc w:val="both"/>
              <w:rPr>
                <w:rFonts w:ascii="Arial" w:hAnsi="Arial" w:cs="Arial"/>
                <w:b/>
                <w:snapToGrid w:val="0"/>
                <w:sz w:val="20"/>
                <w:szCs w:val="20"/>
                <w:lang w:eastAsia="en-US"/>
              </w:rPr>
            </w:pPr>
            <w:r w:rsidRPr="006706A8">
              <w:rPr>
                <w:rFonts w:ascii="Arial" w:hAnsi="Arial" w:cs="Arial"/>
                <w:b/>
                <w:snapToGrid w:val="0"/>
                <w:sz w:val="20"/>
                <w:szCs w:val="20"/>
                <w:lang w:eastAsia="en-US"/>
              </w:rPr>
              <w:t>Name, Restriction,</w:t>
            </w:r>
          </w:p>
          <w:p w:rsidR="004C7F6D" w:rsidRPr="006706A8" w:rsidRDefault="004C7F6D" w:rsidP="00A7461C">
            <w:pPr>
              <w:keepNext/>
              <w:widowControl w:val="0"/>
              <w:jc w:val="both"/>
              <w:rPr>
                <w:rFonts w:ascii="Arial" w:hAnsi="Arial" w:cs="Arial"/>
                <w:b/>
                <w:snapToGrid w:val="0"/>
                <w:sz w:val="20"/>
                <w:szCs w:val="20"/>
                <w:lang w:eastAsia="en-US"/>
              </w:rPr>
            </w:pPr>
            <w:r w:rsidRPr="006706A8">
              <w:rPr>
                <w:rFonts w:ascii="Arial" w:hAnsi="Arial" w:cs="Arial"/>
                <w:b/>
                <w:snapToGrid w:val="0"/>
                <w:sz w:val="20"/>
                <w:szCs w:val="20"/>
                <w:lang w:eastAsia="en-US"/>
              </w:rPr>
              <w:t>Manner of administration and form</w:t>
            </w:r>
          </w:p>
        </w:tc>
        <w:tc>
          <w:tcPr>
            <w:tcW w:w="424" w:type="pct"/>
          </w:tcPr>
          <w:p w:rsidR="004C7F6D" w:rsidRPr="006706A8" w:rsidRDefault="004C7F6D" w:rsidP="00A7461C">
            <w:pPr>
              <w:keepNext/>
              <w:widowControl w:val="0"/>
              <w:jc w:val="center"/>
              <w:rPr>
                <w:rFonts w:ascii="Arial" w:hAnsi="Arial" w:cs="Arial"/>
                <w:b/>
                <w:snapToGrid w:val="0"/>
                <w:sz w:val="20"/>
                <w:szCs w:val="20"/>
                <w:lang w:eastAsia="en-US"/>
              </w:rPr>
            </w:pPr>
            <w:r w:rsidRPr="006706A8">
              <w:rPr>
                <w:rFonts w:ascii="Arial" w:hAnsi="Arial" w:cs="Arial"/>
                <w:b/>
                <w:snapToGrid w:val="0"/>
                <w:sz w:val="20"/>
                <w:szCs w:val="20"/>
                <w:lang w:eastAsia="en-US"/>
              </w:rPr>
              <w:t>Max.</w:t>
            </w:r>
          </w:p>
          <w:p w:rsidR="004C7F6D" w:rsidRPr="006706A8" w:rsidRDefault="004C7F6D" w:rsidP="00A7461C">
            <w:pPr>
              <w:keepNext/>
              <w:widowControl w:val="0"/>
              <w:jc w:val="center"/>
              <w:rPr>
                <w:rFonts w:ascii="Arial" w:hAnsi="Arial" w:cs="Arial"/>
                <w:b/>
                <w:snapToGrid w:val="0"/>
                <w:sz w:val="20"/>
                <w:szCs w:val="20"/>
                <w:lang w:eastAsia="en-US"/>
              </w:rPr>
            </w:pPr>
            <w:proofErr w:type="spellStart"/>
            <w:r w:rsidRPr="006706A8">
              <w:rPr>
                <w:rFonts w:ascii="Arial" w:hAnsi="Arial" w:cs="Arial"/>
                <w:b/>
                <w:snapToGrid w:val="0"/>
                <w:sz w:val="20"/>
                <w:szCs w:val="20"/>
                <w:lang w:eastAsia="en-US"/>
              </w:rPr>
              <w:t>Qty</w:t>
            </w:r>
            <w:proofErr w:type="spellEnd"/>
          </w:p>
        </w:tc>
        <w:tc>
          <w:tcPr>
            <w:tcW w:w="424" w:type="pct"/>
          </w:tcPr>
          <w:p w:rsidR="004C7F6D" w:rsidRPr="006706A8" w:rsidRDefault="004C7F6D" w:rsidP="00A7461C">
            <w:pPr>
              <w:keepNext/>
              <w:widowControl w:val="0"/>
              <w:jc w:val="center"/>
              <w:rPr>
                <w:rFonts w:ascii="Arial" w:hAnsi="Arial" w:cs="Arial"/>
                <w:b/>
                <w:snapToGrid w:val="0"/>
                <w:sz w:val="20"/>
                <w:szCs w:val="20"/>
                <w:lang w:eastAsia="en-US"/>
              </w:rPr>
            </w:pPr>
            <w:r w:rsidRPr="006706A8">
              <w:rPr>
                <w:rFonts w:ascii="Arial" w:hAnsi="Arial" w:cs="Arial"/>
                <w:b/>
                <w:snapToGrid w:val="0"/>
                <w:sz w:val="20"/>
                <w:szCs w:val="20"/>
                <w:lang w:eastAsia="en-US"/>
              </w:rPr>
              <w:t>№.of</w:t>
            </w:r>
          </w:p>
          <w:p w:rsidR="004C7F6D" w:rsidRPr="006706A8" w:rsidRDefault="004C7F6D" w:rsidP="00A7461C">
            <w:pPr>
              <w:keepNext/>
              <w:widowControl w:val="0"/>
              <w:jc w:val="center"/>
              <w:rPr>
                <w:rFonts w:ascii="Arial" w:hAnsi="Arial" w:cs="Arial"/>
                <w:b/>
                <w:snapToGrid w:val="0"/>
                <w:sz w:val="20"/>
                <w:szCs w:val="20"/>
                <w:lang w:eastAsia="en-US"/>
              </w:rPr>
            </w:pPr>
            <w:proofErr w:type="spellStart"/>
            <w:r w:rsidRPr="006706A8">
              <w:rPr>
                <w:rFonts w:ascii="Arial" w:hAnsi="Arial" w:cs="Arial"/>
                <w:b/>
                <w:snapToGrid w:val="0"/>
                <w:sz w:val="20"/>
                <w:szCs w:val="20"/>
                <w:lang w:eastAsia="en-US"/>
              </w:rPr>
              <w:t>Rpts</w:t>
            </w:r>
            <w:proofErr w:type="spellEnd"/>
          </w:p>
        </w:tc>
        <w:tc>
          <w:tcPr>
            <w:tcW w:w="1139" w:type="pct"/>
          </w:tcPr>
          <w:p w:rsidR="004C7F6D" w:rsidRPr="006706A8" w:rsidRDefault="004C7F6D" w:rsidP="00A7461C">
            <w:pPr>
              <w:keepNext/>
              <w:widowControl w:val="0"/>
              <w:jc w:val="center"/>
              <w:rPr>
                <w:rFonts w:ascii="Arial" w:hAnsi="Arial" w:cs="Arial"/>
                <w:b/>
                <w:snapToGrid w:val="0"/>
                <w:sz w:val="20"/>
                <w:szCs w:val="20"/>
                <w:lang w:eastAsia="en-US"/>
              </w:rPr>
            </w:pPr>
            <w:r w:rsidRPr="006706A8">
              <w:rPr>
                <w:rFonts w:ascii="Arial" w:hAnsi="Arial" w:cs="Arial"/>
                <w:b/>
                <w:snapToGrid w:val="0"/>
                <w:sz w:val="20"/>
                <w:szCs w:val="20"/>
                <w:lang w:eastAsia="en-US"/>
              </w:rPr>
              <w:t xml:space="preserve">Dispensed Price for Max. </w:t>
            </w:r>
            <w:proofErr w:type="spellStart"/>
            <w:r w:rsidRPr="006706A8">
              <w:rPr>
                <w:rFonts w:ascii="Arial" w:hAnsi="Arial" w:cs="Arial"/>
                <w:b/>
                <w:snapToGrid w:val="0"/>
                <w:sz w:val="20"/>
                <w:szCs w:val="20"/>
                <w:lang w:eastAsia="en-US"/>
              </w:rPr>
              <w:t>Qty</w:t>
            </w:r>
            <w:proofErr w:type="spellEnd"/>
          </w:p>
        </w:tc>
        <w:tc>
          <w:tcPr>
            <w:tcW w:w="1229" w:type="pct"/>
            <w:gridSpan w:val="2"/>
          </w:tcPr>
          <w:p w:rsidR="004C7F6D" w:rsidRPr="006706A8" w:rsidRDefault="004C7F6D" w:rsidP="00A7461C">
            <w:pPr>
              <w:keepNext/>
              <w:widowControl w:val="0"/>
              <w:jc w:val="center"/>
              <w:rPr>
                <w:rFonts w:ascii="Arial" w:hAnsi="Arial" w:cs="Arial"/>
                <w:b/>
                <w:snapToGrid w:val="0"/>
                <w:sz w:val="20"/>
                <w:szCs w:val="20"/>
                <w:lang w:eastAsia="en-US"/>
              </w:rPr>
            </w:pPr>
            <w:r w:rsidRPr="006706A8">
              <w:rPr>
                <w:rFonts w:ascii="Arial" w:hAnsi="Arial" w:cs="Arial"/>
                <w:b/>
                <w:snapToGrid w:val="0"/>
                <w:sz w:val="20"/>
                <w:szCs w:val="20"/>
                <w:lang w:eastAsia="en-US"/>
              </w:rPr>
              <w:t>Proprietary Name and Manufacturer</w:t>
            </w:r>
          </w:p>
        </w:tc>
      </w:tr>
      <w:tr w:rsidR="004C7F6D" w:rsidRPr="006706A8" w:rsidTr="001B07A8">
        <w:trPr>
          <w:cantSplit/>
          <w:trHeight w:val="577"/>
        </w:trPr>
        <w:tc>
          <w:tcPr>
            <w:tcW w:w="1784" w:type="pct"/>
            <w:vAlign w:val="center"/>
          </w:tcPr>
          <w:p w:rsidR="004C7F6D" w:rsidRPr="006706A8" w:rsidRDefault="004C7F6D" w:rsidP="00A7461C">
            <w:pPr>
              <w:keepNext/>
              <w:widowControl w:val="0"/>
              <w:rPr>
                <w:rFonts w:ascii="Arial" w:hAnsi="Arial" w:cs="Arial"/>
                <w:snapToGrid w:val="0"/>
                <w:color w:val="000000"/>
                <w:sz w:val="20"/>
                <w:szCs w:val="20"/>
                <w:lang w:eastAsia="en-US"/>
              </w:rPr>
            </w:pPr>
            <w:r w:rsidRPr="006706A8">
              <w:rPr>
                <w:rFonts w:ascii="Arial" w:hAnsi="Arial" w:cs="Arial"/>
                <w:snapToGrid w:val="0"/>
                <w:color w:val="000000"/>
                <w:sz w:val="20"/>
                <w:szCs w:val="20"/>
                <w:lang w:eastAsia="en-US"/>
              </w:rPr>
              <w:t>Initial treatment</w:t>
            </w:r>
          </w:p>
          <w:p w:rsidR="004C7F6D" w:rsidRPr="006706A8" w:rsidRDefault="004C7F6D" w:rsidP="00A7461C">
            <w:pPr>
              <w:keepNext/>
              <w:widowControl w:val="0"/>
              <w:rPr>
                <w:rFonts w:ascii="Arial" w:hAnsi="Arial" w:cs="Arial"/>
                <w:snapToGrid w:val="0"/>
                <w:sz w:val="20"/>
                <w:szCs w:val="20"/>
                <w:lang w:eastAsia="en-US"/>
              </w:rPr>
            </w:pPr>
            <w:proofErr w:type="spellStart"/>
            <w:r w:rsidRPr="006706A8">
              <w:rPr>
                <w:rFonts w:ascii="Arial" w:hAnsi="Arial" w:cs="Arial"/>
                <w:smallCaps/>
                <w:snapToGrid w:val="0"/>
                <w:sz w:val="20"/>
                <w:szCs w:val="20"/>
                <w:lang w:eastAsia="en-US"/>
              </w:rPr>
              <w:t>alemtuzumab</w:t>
            </w:r>
            <w:proofErr w:type="spellEnd"/>
          </w:p>
          <w:p w:rsidR="004C7F6D" w:rsidRPr="006706A8" w:rsidRDefault="004C7F6D" w:rsidP="00A7461C">
            <w:pPr>
              <w:keepNext/>
              <w:widowControl w:val="0"/>
              <w:rPr>
                <w:rFonts w:ascii="Arial" w:hAnsi="Arial" w:cs="Arial"/>
                <w:snapToGrid w:val="0"/>
                <w:sz w:val="20"/>
                <w:szCs w:val="20"/>
                <w:lang w:eastAsia="en-US"/>
              </w:rPr>
            </w:pPr>
            <w:r w:rsidRPr="006706A8">
              <w:rPr>
                <w:rFonts w:ascii="Arial" w:hAnsi="Arial" w:cs="Arial"/>
                <w:snapToGrid w:val="0"/>
                <w:sz w:val="20"/>
                <w:szCs w:val="20"/>
                <w:lang w:eastAsia="en-US"/>
              </w:rPr>
              <w:t>10mg/mL injection, 1 x 2 mL vial</w:t>
            </w:r>
          </w:p>
        </w:tc>
        <w:tc>
          <w:tcPr>
            <w:tcW w:w="424" w:type="pct"/>
          </w:tcPr>
          <w:p w:rsidR="004C7F6D" w:rsidRPr="006706A8" w:rsidRDefault="004C7F6D" w:rsidP="00A7461C">
            <w:pPr>
              <w:keepNext/>
              <w:widowControl w:val="0"/>
              <w:jc w:val="center"/>
              <w:rPr>
                <w:rFonts w:ascii="Arial" w:hAnsi="Arial" w:cs="Arial"/>
                <w:snapToGrid w:val="0"/>
                <w:sz w:val="20"/>
                <w:szCs w:val="20"/>
                <w:lang w:eastAsia="en-US"/>
              </w:rPr>
            </w:pPr>
          </w:p>
          <w:p w:rsidR="004C7F6D" w:rsidRPr="006706A8" w:rsidRDefault="004C7F6D" w:rsidP="00A7461C">
            <w:pPr>
              <w:keepNext/>
              <w:widowControl w:val="0"/>
              <w:jc w:val="center"/>
              <w:rPr>
                <w:rFonts w:ascii="Arial" w:hAnsi="Arial" w:cs="Arial"/>
                <w:snapToGrid w:val="0"/>
                <w:sz w:val="20"/>
                <w:szCs w:val="20"/>
                <w:lang w:eastAsia="en-US"/>
              </w:rPr>
            </w:pPr>
            <w:r w:rsidRPr="006706A8">
              <w:rPr>
                <w:rFonts w:ascii="Arial" w:hAnsi="Arial" w:cs="Arial"/>
                <w:snapToGrid w:val="0"/>
                <w:sz w:val="20"/>
                <w:szCs w:val="20"/>
                <w:lang w:eastAsia="en-US"/>
              </w:rPr>
              <w:t>5</w:t>
            </w:r>
          </w:p>
        </w:tc>
        <w:tc>
          <w:tcPr>
            <w:tcW w:w="424" w:type="pct"/>
          </w:tcPr>
          <w:p w:rsidR="004C7F6D" w:rsidRPr="006706A8" w:rsidRDefault="004C7F6D" w:rsidP="00A7461C">
            <w:pPr>
              <w:keepNext/>
              <w:widowControl w:val="0"/>
              <w:jc w:val="center"/>
              <w:rPr>
                <w:rFonts w:ascii="Arial" w:hAnsi="Arial" w:cs="Arial"/>
                <w:snapToGrid w:val="0"/>
                <w:sz w:val="20"/>
                <w:szCs w:val="20"/>
                <w:lang w:eastAsia="en-US"/>
              </w:rPr>
            </w:pPr>
          </w:p>
          <w:p w:rsidR="004C7F6D" w:rsidRPr="006706A8" w:rsidRDefault="004C7F6D" w:rsidP="00A7461C">
            <w:pPr>
              <w:keepNext/>
              <w:widowControl w:val="0"/>
              <w:jc w:val="center"/>
              <w:rPr>
                <w:rFonts w:ascii="Arial" w:hAnsi="Arial" w:cs="Arial"/>
                <w:snapToGrid w:val="0"/>
                <w:sz w:val="20"/>
                <w:szCs w:val="20"/>
                <w:lang w:eastAsia="en-US"/>
              </w:rPr>
            </w:pPr>
            <w:r w:rsidRPr="006706A8">
              <w:rPr>
                <w:rFonts w:ascii="Arial" w:hAnsi="Arial" w:cs="Arial"/>
                <w:snapToGrid w:val="0"/>
                <w:sz w:val="20"/>
                <w:szCs w:val="20"/>
                <w:lang w:eastAsia="en-US"/>
              </w:rPr>
              <w:t>0</w:t>
            </w:r>
          </w:p>
        </w:tc>
        <w:tc>
          <w:tcPr>
            <w:tcW w:w="1139" w:type="pct"/>
          </w:tcPr>
          <w:p w:rsidR="004C7F6D" w:rsidRPr="006706A8" w:rsidRDefault="004C7F6D" w:rsidP="00A7461C">
            <w:pPr>
              <w:keepNext/>
              <w:widowControl w:val="0"/>
              <w:jc w:val="center"/>
              <w:rPr>
                <w:rFonts w:ascii="Arial" w:hAnsi="Arial" w:cs="Arial"/>
                <w:snapToGrid w:val="0"/>
                <w:sz w:val="20"/>
                <w:szCs w:val="20"/>
                <w:lang w:eastAsia="en-US"/>
              </w:rPr>
            </w:pPr>
          </w:p>
          <w:p w:rsidR="004C7F6D" w:rsidRPr="007C62F0" w:rsidRDefault="007C62F0" w:rsidP="00A7461C">
            <w:pPr>
              <w:keepNext/>
              <w:widowControl w:val="0"/>
              <w:jc w:val="center"/>
              <w:rPr>
                <w:rFonts w:ascii="Arial" w:hAnsi="Arial" w:cs="Arial"/>
                <w:snapToGrid w:val="0"/>
                <w:sz w:val="20"/>
                <w:szCs w:val="20"/>
                <w:highlight w:val="black"/>
                <w:lang w:eastAsia="en-US"/>
              </w:rPr>
            </w:pPr>
            <w:r>
              <w:rPr>
                <w:rFonts w:ascii="Arial" w:hAnsi="Arial" w:cs="Arial"/>
                <w:noProof/>
                <w:snapToGrid w:val="0"/>
                <w:color w:val="000000"/>
                <w:sz w:val="20"/>
                <w:szCs w:val="20"/>
                <w:highlight w:val="black"/>
                <w:lang w:eastAsia="en-US"/>
              </w:rPr>
              <w:t>'''''''''''''''''''''''''''' ''''''''''''''''''</w:t>
            </w:r>
          </w:p>
          <w:p w:rsidR="004C7F6D" w:rsidRPr="007C62F0" w:rsidRDefault="007C62F0" w:rsidP="00A7461C">
            <w:pPr>
              <w:keepNext/>
              <w:widowControl w:val="0"/>
              <w:ind w:left="-107" w:hanging="28"/>
              <w:jc w:val="center"/>
              <w:rPr>
                <w:rFonts w:ascii="Arial" w:hAnsi="Arial" w:cs="Arial"/>
                <w:snapToGrid w:val="0"/>
                <w:sz w:val="20"/>
                <w:szCs w:val="20"/>
                <w:highlight w:val="black"/>
                <w:lang w:eastAsia="en-US"/>
              </w:rPr>
            </w:pPr>
            <w:r>
              <w:rPr>
                <w:rFonts w:ascii="Arial" w:hAnsi="Arial" w:cs="Arial"/>
                <w:noProof/>
                <w:snapToGrid w:val="0"/>
                <w:color w:val="000000"/>
                <w:sz w:val="20"/>
                <w:szCs w:val="20"/>
                <w:highlight w:val="black"/>
                <w:lang w:eastAsia="en-US"/>
              </w:rPr>
              <w:t xml:space="preserve">  ''''''''''''''''''''''''''' '''''''''''''''''''''</w:t>
            </w:r>
          </w:p>
        </w:tc>
        <w:tc>
          <w:tcPr>
            <w:tcW w:w="602" w:type="pct"/>
            <w:vAlign w:val="center"/>
          </w:tcPr>
          <w:p w:rsidR="004C7F6D" w:rsidRPr="006706A8" w:rsidRDefault="004C7F6D" w:rsidP="00A7461C">
            <w:pPr>
              <w:keepNext/>
              <w:widowControl w:val="0"/>
              <w:jc w:val="center"/>
              <w:rPr>
                <w:rFonts w:ascii="Arial" w:hAnsi="Arial" w:cs="Arial"/>
                <w:snapToGrid w:val="0"/>
                <w:sz w:val="20"/>
                <w:szCs w:val="20"/>
                <w:lang w:eastAsia="en-US"/>
              </w:rPr>
            </w:pPr>
            <w:proofErr w:type="spellStart"/>
            <w:r w:rsidRPr="006706A8">
              <w:rPr>
                <w:rFonts w:ascii="Arial" w:hAnsi="Arial" w:cs="Arial"/>
                <w:snapToGrid w:val="0"/>
                <w:sz w:val="20"/>
                <w:szCs w:val="20"/>
                <w:lang w:eastAsia="en-US"/>
              </w:rPr>
              <w:t>Lemtrada</w:t>
            </w:r>
            <w:proofErr w:type="spellEnd"/>
            <w:r w:rsidRPr="006706A8">
              <w:rPr>
                <w:rFonts w:ascii="Arial" w:hAnsi="Arial" w:cs="Arial"/>
                <w:snapToGrid w:val="0"/>
                <w:sz w:val="22"/>
                <w:szCs w:val="20"/>
                <w:vertAlign w:val="superscript"/>
                <w:lang w:eastAsia="en-US"/>
              </w:rPr>
              <w:t>®</w:t>
            </w:r>
          </w:p>
        </w:tc>
        <w:tc>
          <w:tcPr>
            <w:tcW w:w="627" w:type="pct"/>
            <w:vAlign w:val="center"/>
          </w:tcPr>
          <w:p w:rsidR="004C7F6D" w:rsidRPr="006706A8" w:rsidRDefault="004C7F6D" w:rsidP="00A7461C">
            <w:pPr>
              <w:keepNext/>
              <w:widowControl w:val="0"/>
              <w:jc w:val="center"/>
              <w:rPr>
                <w:rFonts w:ascii="Arial" w:hAnsi="Arial" w:cs="Arial"/>
                <w:snapToGrid w:val="0"/>
                <w:sz w:val="20"/>
                <w:szCs w:val="20"/>
                <w:lang w:eastAsia="en-US"/>
              </w:rPr>
            </w:pPr>
            <w:r w:rsidRPr="006706A8">
              <w:rPr>
                <w:rFonts w:ascii="Arial" w:hAnsi="Arial" w:cs="Arial"/>
                <w:snapToGrid w:val="0"/>
                <w:sz w:val="20"/>
                <w:szCs w:val="20"/>
                <w:lang w:eastAsia="en-US"/>
              </w:rPr>
              <w:t>GZ</w:t>
            </w:r>
          </w:p>
        </w:tc>
      </w:tr>
      <w:tr w:rsidR="004C7F6D" w:rsidRPr="006706A8" w:rsidTr="001B07A8">
        <w:trPr>
          <w:cantSplit/>
          <w:trHeight w:val="577"/>
        </w:trPr>
        <w:tc>
          <w:tcPr>
            <w:tcW w:w="1784" w:type="pct"/>
            <w:vAlign w:val="center"/>
          </w:tcPr>
          <w:p w:rsidR="004C7F6D" w:rsidRPr="006706A8" w:rsidRDefault="004C7F6D" w:rsidP="00A7461C">
            <w:pPr>
              <w:keepNext/>
              <w:widowControl w:val="0"/>
              <w:rPr>
                <w:rFonts w:ascii="Arial" w:hAnsi="Arial" w:cs="Arial"/>
                <w:snapToGrid w:val="0"/>
                <w:color w:val="000000"/>
                <w:sz w:val="20"/>
                <w:szCs w:val="20"/>
                <w:lang w:eastAsia="en-US"/>
              </w:rPr>
            </w:pPr>
            <w:r w:rsidRPr="006706A8">
              <w:rPr>
                <w:rFonts w:ascii="Arial" w:hAnsi="Arial" w:cs="Arial"/>
                <w:snapToGrid w:val="0"/>
                <w:color w:val="000000"/>
                <w:sz w:val="20"/>
                <w:szCs w:val="20"/>
                <w:lang w:eastAsia="en-US"/>
              </w:rPr>
              <w:t>Continuing treatment</w:t>
            </w:r>
          </w:p>
          <w:p w:rsidR="004C7F6D" w:rsidRPr="006706A8" w:rsidRDefault="004C7F6D" w:rsidP="00A7461C">
            <w:pPr>
              <w:keepNext/>
              <w:widowControl w:val="0"/>
              <w:rPr>
                <w:rFonts w:ascii="Arial" w:hAnsi="Arial" w:cs="Arial"/>
                <w:snapToGrid w:val="0"/>
                <w:sz w:val="20"/>
                <w:szCs w:val="20"/>
                <w:lang w:eastAsia="en-US"/>
              </w:rPr>
            </w:pPr>
            <w:proofErr w:type="spellStart"/>
            <w:r w:rsidRPr="006706A8">
              <w:rPr>
                <w:rFonts w:ascii="Arial" w:hAnsi="Arial" w:cs="Arial"/>
                <w:smallCaps/>
                <w:snapToGrid w:val="0"/>
                <w:sz w:val="20"/>
                <w:szCs w:val="20"/>
                <w:lang w:eastAsia="en-US"/>
              </w:rPr>
              <w:t>alemtuzumab</w:t>
            </w:r>
            <w:proofErr w:type="spellEnd"/>
          </w:p>
          <w:p w:rsidR="004C7F6D" w:rsidRPr="006706A8" w:rsidRDefault="004C7F6D" w:rsidP="00A7461C">
            <w:pPr>
              <w:keepNext/>
              <w:widowControl w:val="0"/>
              <w:rPr>
                <w:rFonts w:ascii="Arial" w:hAnsi="Arial" w:cs="Arial"/>
                <w:snapToGrid w:val="0"/>
                <w:sz w:val="20"/>
                <w:szCs w:val="20"/>
                <w:lang w:eastAsia="en-US"/>
              </w:rPr>
            </w:pPr>
            <w:r w:rsidRPr="006706A8">
              <w:rPr>
                <w:rFonts w:ascii="Arial" w:hAnsi="Arial" w:cs="Arial"/>
                <w:snapToGrid w:val="0"/>
                <w:sz w:val="20"/>
                <w:szCs w:val="20"/>
                <w:lang w:eastAsia="en-US"/>
              </w:rPr>
              <w:t>10mg/mL injection, 1 x 2 mL vial</w:t>
            </w:r>
          </w:p>
        </w:tc>
        <w:tc>
          <w:tcPr>
            <w:tcW w:w="424" w:type="pct"/>
          </w:tcPr>
          <w:p w:rsidR="004C7F6D" w:rsidRPr="006706A8" w:rsidRDefault="004C7F6D" w:rsidP="00A7461C">
            <w:pPr>
              <w:keepNext/>
              <w:widowControl w:val="0"/>
              <w:jc w:val="center"/>
              <w:rPr>
                <w:rFonts w:ascii="Arial" w:hAnsi="Arial" w:cs="Arial"/>
                <w:snapToGrid w:val="0"/>
                <w:sz w:val="20"/>
                <w:szCs w:val="20"/>
                <w:lang w:eastAsia="en-US"/>
              </w:rPr>
            </w:pPr>
          </w:p>
          <w:p w:rsidR="004C7F6D" w:rsidRPr="006706A8" w:rsidRDefault="004C7F6D" w:rsidP="00A7461C">
            <w:pPr>
              <w:keepNext/>
              <w:widowControl w:val="0"/>
              <w:jc w:val="center"/>
              <w:rPr>
                <w:rFonts w:ascii="Arial" w:hAnsi="Arial" w:cs="Arial"/>
                <w:snapToGrid w:val="0"/>
                <w:sz w:val="20"/>
                <w:szCs w:val="20"/>
                <w:lang w:eastAsia="en-US"/>
              </w:rPr>
            </w:pPr>
            <w:r w:rsidRPr="006706A8">
              <w:rPr>
                <w:rFonts w:ascii="Arial" w:hAnsi="Arial" w:cs="Arial"/>
                <w:snapToGrid w:val="0"/>
                <w:sz w:val="20"/>
                <w:szCs w:val="20"/>
                <w:lang w:eastAsia="en-US"/>
              </w:rPr>
              <w:t>3</w:t>
            </w:r>
          </w:p>
        </w:tc>
        <w:tc>
          <w:tcPr>
            <w:tcW w:w="424" w:type="pct"/>
          </w:tcPr>
          <w:p w:rsidR="004C7F6D" w:rsidRPr="006706A8" w:rsidRDefault="004C7F6D" w:rsidP="00A7461C">
            <w:pPr>
              <w:keepNext/>
              <w:widowControl w:val="0"/>
              <w:jc w:val="center"/>
              <w:rPr>
                <w:rFonts w:ascii="Arial" w:hAnsi="Arial" w:cs="Arial"/>
                <w:snapToGrid w:val="0"/>
                <w:sz w:val="20"/>
                <w:szCs w:val="20"/>
                <w:lang w:eastAsia="en-US"/>
              </w:rPr>
            </w:pPr>
          </w:p>
          <w:p w:rsidR="004C7F6D" w:rsidRPr="006706A8" w:rsidRDefault="004C7F6D" w:rsidP="00A7461C">
            <w:pPr>
              <w:keepNext/>
              <w:widowControl w:val="0"/>
              <w:jc w:val="center"/>
              <w:rPr>
                <w:rFonts w:ascii="Arial" w:hAnsi="Arial" w:cs="Arial"/>
                <w:snapToGrid w:val="0"/>
                <w:sz w:val="20"/>
                <w:szCs w:val="20"/>
                <w:lang w:eastAsia="en-US"/>
              </w:rPr>
            </w:pPr>
            <w:r w:rsidRPr="006706A8">
              <w:rPr>
                <w:rFonts w:ascii="Arial" w:hAnsi="Arial" w:cs="Arial"/>
                <w:snapToGrid w:val="0"/>
                <w:sz w:val="20"/>
                <w:szCs w:val="20"/>
                <w:lang w:eastAsia="en-US"/>
              </w:rPr>
              <w:t>0</w:t>
            </w:r>
          </w:p>
        </w:tc>
        <w:tc>
          <w:tcPr>
            <w:tcW w:w="1139" w:type="pct"/>
          </w:tcPr>
          <w:p w:rsidR="004C7F6D" w:rsidRPr="006706A8" w:rsidRDefault="004C7F6D" w:rsidP="00A7461C">
            <w:pPr>
              <w:keepNext/>
              <w:widowControl w:val="0"/>
              <w:jc w:val="center"/>
              <w:rPr>
                <w:rFonts w:ascii="Arial" w:hAnsi="Arial" w:cs="Arial"/>
                <w:snapToGrid w:val="0"/>
                <w:sz w:val="20"/>
                <w:szCs w:val="20"/>
                <w:lang w:eastAsia="en-US"/>
              </w:rPr>
            </w:pPr>
          </w:p>
          <w:p w:rsidR="004C7F6D" w:rsidRPr="007C62F0" w:rsidRDefault="007C62F0" w:rsidP="00A7461C">
            <w:pPr>
              <w:keepNext/>
              <w:widowControl w:val="0"/>
              <w:jc w:val="center"/>
              <w:rPr>
                <w:rFonts w:ascii="Arial" w:hAnsi="Arial" w:cs="Arial"/>
                <w:snapToGrid w:val="0"/>
                <w:sz w:val="20"/>
                <w:szCs w:val="20"/>
                <w:highlight w:val="black"/>
                <w:lang w:eastAsia="en-US"/>
              </w:rPr>
            </w:pPr>
            <w:r>
              <w:rPr>
                <w:rFonts w:ascii="Arial" w:hAnsi="Arial" w:cs="Arial"/>
                <w:noProof/>
                <w:snapToGrid w:val="0"/>
                <w:color w:val="000000"/>
                <w:sz w:val="20"/>
                <w:szCs w:val="20"/>
                <w:highlight w:val="black"/>
                <w:lang w:eastAsia="en-US"/>
              </w:rPr>
              <w:t>''''''''''''''''''''''''''' '''''''''''''''''</w:t>
            </w:r>
          </w:p>
          <w:p w:rsidR="004C7F6D" w:rsidRPr="007C62F0" w:rsidRDefault="007C62F0" w:rsidP="00A7461C">
            <w:pPr>
              <w:keepNext/>
              <w:widowControl w:val="0"/>
              <w:jc w:val="center"/>
              <w:rPr>
                <w:rFonts w:ascii="Arial" w:hAnsi="Arial" w:cs="Arial"/>
                <w:snapToGrid w:val="0"/>
                <w:sz w:val="20"/>
                <w:szCs w:val="20"/>
                <w:highlight w:val="black"/>
                <w:vertAlign w:val="superscript"/>
                <w:lang w:eastAsia="en-US"/>
              </w:rPr>
            </w:pPr>
            <w:r>
              <w:rPr>
                <w:rFonts w:ascii="Arial" w:hAnsi="Arial" w:cs="Arial"/>
                <w:noProof/>
                <w:snapToGrid w:val="0"/>
                <w:color w:val="000000"/>
                <w:sz w:val="20"/>
                <w:szCs w:val="20"/>
                <w:highlight w:val="black"/>
                <w:lang w:eastAsia="en-US"/>
              </w:rPr>
              <w:t>'''''''''''''''''''''''''' '''''''''''''''''''''</w:t>
            </w:r>
          </w:p>
        </w:tc>
        <w:tc>
          <w:tcPr>
            <w:tcW w:w="602" w:type="pct"/>
            <w:vAlign w:val="center"/>
          </w:tcPr>
          <w:p w:rsidR="004C7F6D" w:rsidRPr="006706A8" w:rsidRDefault="004C7F6D" w:rsidP="00A7461C">
            <w:pPr>
              <w:keepNext/>
              <w:widowControl w:val="0"/>
              <w:jc w:val="center"/>
              <w:rPr>
                <w:rFonts w:ascii="Arial" w:hAnsi="Arial" w:cs="Arial"/>
                <w:snapToGrid w:val="0"/>
                <w:sz w:val="20"/>
                <w:szCs w:val="20"/>
                <w:lang w:eastAsia="en-US"/>
              </w:rPr>
            </w:pPr>
            <w:proofErr w:type="spellStart"/>
            <w:r w:rsidRPr="006706A8">
              <w:rPr>
                <w:rFonts w:ascii="Arial" w:hAnsi="Arial" w:cs="Arial"/>
                <w:snapToGrid w:val="0"/>
                <w:sz w:val="20"/>
                <w:szCs w:val="20"/>
                <w:lang w:eastAsia="en-US"/>
              </w:rPr>
              <w:t>Lemtrada</w:t>
            </w:r>
            <w:proofErr w:type="spellEnd"/>
            <w:r w:rsidRPr="006706A8">
              <w:rPr>
                <w:rFonts w:ascii="Arial" w:hAnsi="Arial" w:cs="Arial"/>
                <w:snapToGrid w:val="0"/>
                <w:sz w:val="22"/>
                <w:szCs w:val="20"/>
                <w:vertAlign w:val="superscript"/>
                <w:lang w:eastAsia="en-US"/>
              </w:rPr>
              <w:t>®</w:t>
            </w:r>
          </w:p>
        </w:tc>
        <w:tc>
          <w:tcPr>
            <w:tcW w:w="627" w:type="pct"/>
            <w:vAlign w:val="center"/>
          </w:tcPr>
          <w:p w:rsidR="004C7F6D" w:rsidRPr="006706A8" w:rsidRDefault="004C7F6D" w:rsidP="00A7461C">
            <w:pPr>
              <w:keepNext/>
              <w:widowControl w:val="0"/>
              <w:jc w:val="center"/>
              <w:rPr>
                <w:rFonts w:ascii="Arial" w:hAnsi="Arial" w:cs="Arial"/>
                <w:snapToGrid w:val="0"/>
                <w:sz w:val="20"/>
                <w:szCs w:val="20"/>
                <w:lang w:eastAsia="en-US"/>
              </w:rPr>
            </w:pPr>
            <w:r w:rsidRPr="006706A8">
              <w:rPr>
                <w:rFonts w:ascii="Arial" w:hAnsi="Arial" w:cs="Arial"/>
                <w:snapToGrid w:val="0"/>
                <w:sz w:val="20"/>
                <w:szCs w:val="20"/>
                <w:lang w:eastAsia="en-US"/>
              </w:rPr>
              <w:t>GZ</w:t>
            </w:r>
          </w:p>
        </w:tc>
      </w:tr>
    </w:tbl>
    <w:p w:rsidR="004C7F6D" w:rsidRPr="006706A8" w:rsidRDefault="004C7F6D" w:rsidP="00882085">
      <w:pPr>
        <w:pStyle w:val="ListParagraph"/>
        <w:jc w:val="both"/>
        <w:rPr>
          <w:rFonts w:ascii="Arial" w:hAnsi="Arial"/>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45"/>
      </w:tblGrid>
      <w:tr w:rsidR="004C7F6D" w:rsidRPr="006706A8" w:rsidTr="00D4629C">
        <w:trPr>
          <w:cantSplit/>
          <w:trHeight w:val="471"/>
        </w:trPr>
        <w:tc>
          <w:tcPr>
            <w:tcW w:w="5000" w:type="pct"/>
          </w:tcPr>
          <w:p w:rsidR="004C7F6D" w:rsidRPr="006706A8" w:rsidRDefault="004C7F6D" w:rsidP="00D4629C">
            <w:pPr>
              <w:keepNext/>
              <w:widowControl w:val="0"/>
              <w:rPr>
                <w:rFonts w:ascii="Arial" w:hAnsi="Arial" w:cs="Arial"/>
                <w:b/>
                <w:snapToGrid w:val="0"/>
                <w:sz w:val="20"/>
                <w:szCs w:val="20"/>
                <w:u w:val="single"/>
                <w:lang w:eastAsia="en-US"/>
              </w:rPr>
            </w:pPr>
            <w:r w:rsidRPr="006706A8">
              <w:rPr>
                <w:rFonts w:ascii="Arial" w:hAnsi="Arial" w:cs="Arial"/>
                <w:b/>
                <w:snapToGrid w:val="0"/>
                <w:sz w:val="20"/>
                <w:szCs w:val="20"/>
                <w:u w:val="single"/>
                <w:lang w:eastAsia="en-US"/>
              </w:rPr>
              <w:t>Authority Required Section 100 (Highly Specialised Drugs Program)</w:t>
            </w:r>
          </w:p>
          <w:p w:rsidR="004C7F6D" w:rsidRPr="006706A8" w:rsidRDefault="004C7F6D" w:rsidP="00D4629C">
            <w:pPr>
              <w:keepNext/>
              <w:widowControl w:val="0"/>
              <w:rPr>
                <w:rFonts w:ascii="Arial" w:hAnsi="Arial" w:cs="Arial"/>
                <w:snapToGrid w:val="0"/>
                <w:sz w:val="20"/>
                <w:szCs w:val="20"/>
                <w:lang w:eastAsia="en-US"/>
              </w:rPr>
            </w:pPr>
            <w:r w:rsidRPr="006706A8">
              <w:rPr>
                <w:rFonts w:ascii="Arial" w:hAnsi="Arial" w:cs="Arial"/>
                <w:snapToGrid w:val="0"/>
                <w:sz w:val="20"/>
                <w:szCs w:val="20"/>
                <w:lang w:eastAsia="en-US"/>
              </w:rPr>
              <w:t>Relapsing-remitting multiple sclerosis</w:t>
            </w:r>
          </w:p>
        </w:tc>
      </w:tr>
    </w:tbl>
    <w:p w:rsidR="004C7F6D" w:rsidRPr="006706A8" w:rsidRDefault="004C7F6D" w:rsidP="00882085">
      <w:pPr>
        <w:pStyle w:val="ListParagraph"/>
        <w:jc w:val="both"/>
        <w:rPr>
          <w:rFonts w:ascii="Arial" w:hAnsi="Arial"/>
          <w:sz w:val="22"/>
          <w:szCs w:val="22"/>
        </w:rPr>
      </w:pPr>
    </w:p>
    <w:p w:rsidR="004C7F6D" w:rsidRDefault="004C7F6D" w:rsidP="00882085">
      <w:pPr>
        <w:pStyle w:val="ListParagraph"/>
        <w:numPr>
          <w:ilvl w:val="1"/>
          <w:numId w:val="25"/>
        </w:numPr>
        <w:jc w:val="both"/>
        <w:rPr>
          <w:rFonts w:ascii="Arial" w:hAnsi="Arial"/>
          <w:sz w:val="22"/>
          <w:szCs w:val="22"/>
        </w:rPr>
      </w:pPr>
      <w:r w:rsidRPr="006706A8">
        <w:rPr>
          <w:rFonts w:ascii="Arial" w:hAnsi="Arial"/>
          <w:sz w:val="22"/>
          <w:szCs w:val="22"/>
        </w:rPr>
        <w:t xml:space="preserve">Listing was sought on a cost-minimisation basis with two years of treatment with </w:t>
      </w:r>
      <w:proofErr w:type="spellStart"/>
      <w:r w:rsidRPr="006706A8">
        <w:rPr>
          <w:rFonts w:ascii="Arial" w:hAnsi="Arial"/>
          <w:sz w:val="22"/>
          <w:szCs w:val="22"/>
        </w:rPr>
        <w:t>alemtuzumab</w:t>
      </w:r>
      <w:proofErr w:type="spellEnd"/>
      <w:r w:rsidRPr="006706A8">
        <w:rPr>
          <w:rFonts w:ascii="Arial" w:hAnsi="Arial"/>
          <w:sz w:val="22"/>
          <w:szCs w:val="22"/>
        </w:rPr>
        <w:t xml:space="preserve"> </w:t>
      </w:r>
      <w:r w:rsidRPr="002C44C4">
        <w:rPr>
          <w:rFonts w:ascii="Arial" w:hAnsi="Arial"/>
          <w:sz w:val="22"/>
          <w:szCs w:val="22"/>
        </w:rPr>
        <w:t>compared to 2-5 years</w:t>
      </w:r>
      <w:r w:rsidRPr="006706A8">
        <w:rPr>
          <w:rFonts w:ascii="Arial" w:hAnsi="Arial"/>
          <w:sz w:val="22"/>
          <w:szCs w:val="22"/>
        </w:rPr>
        <w:t xml:space="preserve"> of treatment with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w:t>
      </w:r>
    </w:p>
    <w:p w:rsidR="00077AC5" w:rsidRDefault="00077AC5" w:rsidP="00077AC5">
      <w:pPr>
        <w:pStyle w:val="ListParagraph"/>
        <w:jc w:val="both"/>
        <w:rPr>
          <w:rFonts w:ascii="Arial" w:hAnsi="Arial"/>
          <w:sz w:val="22"/>
          <w:szCs w:val="22"/>
        </w:rPr>
      </w:pPr>
    </w:p>
    <w:p w:rsidR="004C7F6D" w:rsidRDefault="008664A9" w:rsidP="00882085">
      <w:pPr>
        <w:pStyle w:val="ListParagraph"/>
        <w:numPr>
          <w:ilvl w:val="1"/>
          <w:numId w:val="25"/>
        </w:numPr>
        <w:jc w:val="both"/>
        <w:rPr>
          <w:rFonts w:ascii="Arial" w:hAnsi="Arial"/>
          <w:sz w:val="22"/>
          <w:szCs w:val="22"/>
        </w:rPr>
      </w:pPr>
      <w:r w:rsidRPr="00077AC5">
        <w:rPr>
          <w:rFonts w:ascii="Arial" w:hAnsi="Arial"/>
          <w:sz w:val="22"/>
          <w:szCs w:val="22"/>
        </w:rPr>
        <w:t xml:space="preserve">The submission proposed a PBS listing under a managed entry scheme (MES) using the currently available evidence for </w:t>
      </w:r>
      <w:proofErr w:type="spellStart"/>
      <w:r w:rsidRPr="00077AC5">
        <w:rPr>
          <w:rFonts w:ascii="Arial" w:hAnsi="Arial"/>
          <w:sz w:val="22"/>
          <w:szCs w:val="22"/>
        </w:rPr>
        <w:t>alemtuzumab</w:t>
      </w:r>
      <w:proofErr w:type="spellEnd"/>
      <w:r w:rsidRPr="00077AC5">
        <w:rPr>
          <w:rFonts w:ascii="Arial" w:hAnsi="Arial"/>
          <w:sz w:val="22"/>
          <w:szCs w:val="22"/>
        </w:rPr>
        <w:t xml:space="preserve"> with a proviso that the sponsor will provide the final results of </w:t>
      </w:r>
      <w:r w:rsidR="006706A8" w:rsidRPr="00077AC5">
        <w:rPr>
          <w:rFonts w:ascii="Arial" w:hAnsi="Arial"/>
          <w:sz w:val="22"/>
          <w:szCs w:val="22"/>
        </w:rPr>
        <w:t>ongoing clinical trials</w:t>
      </w:r>
      <w:r w:rsidRPr="00077AC5">
        <w:rPr>
          <w:rFonts w:ascii="Arial" w:hAnsi="Arial"/>
          <w:sz w:val="22"/>
          <w:szCs w:val="22"/>
        </w:rPr>
        <w:t xml:space="preserve"> when available.</w:t>
      </w:r>
    </w:p>
    <w:p w:rsidR="00077AC5" w:rsidRPr="00077AC5" w:rsidRDefault="00077AC5" w:rsidP="00077AC5">
      <w:pPr>
        <w:jc w:val="both"/>
        <w:rPr>
          <w:rFonts w:ascii="Arial" w:hAnsi="Arial"/>
          <w:sz w:val="22"/>
          <w:szCs w:val="22"/>
        </w:rPr>
      </w:pPr>
    </w:p>
    <w:p w:rsidR="004C7F6D" w:rsidRPr="006706A8" w:rsidRDefault="004C7F6D" w:rsidP="00BB7EC3">
      <w:pPr>
        <w:pStyle w:val="ListParagraph"/>
        <w:ind w:left="709"/>
        <w:jc w:val="both"/>
        <w:rPr>
          <w:rFonts w:ascii="Arial" w:hAnsi="Arial"/>
          <w:i/>
          <w:sz w:val="22"/>
          <w:szCs w:val="22"/>
        </w:rPr>
      </w:pPr>
      <w:r w:rsidRPr="006706A8">
        <w:rPr>
          <w:rFonts w:ascii="Arial" w:hAnsi="Arial"/>
          <w:i/>
          <w:sz w:val="22"/>
          <w:szCs w:val="22"/>
        </w:rPr>
        <w:t>For more detail on PBAC’s view, see section 7 “PBAC outcome”</w:t>
      </w:r>
    </w:p>
    <w:p w:rsidR="004C7F6D" w:rsidRDefault="004C7F6D" w:rsidP="00882085">
      <w:pPr>
        <w:jc w:val="both"/>
        <w:rPr>
          <w:rFonts w:ascii="Arial" w:hAnsi="Arial"/>
          <w:sz w:val="22"/>
          <w:szCs w:val="22"/>
        </w:rPr>
      </w:pPr>
    </w:p>
    <w:p w:rsidR="00496175" w:rsidRPr="006706A8" w:rsidRDefault="00496175" w:rsidP="00882085">
      <w:pPr>
        <w:jc w:val="both"/>
        <w:rPr>
          <w:rFonts w:ascii="Arial" w:hAnsi="Arial"/>
          <w:sz w:val="22"/>
          <w:szCs w:val="22"/>
        </w:rPr>
      </w:pPr>
    </w:p>
    <w:p w:rsidR="004C7F6D" w:rsidRPr="006706A8" w:rsidRDefault="004C7F6D" w:rsidP="00882085">
      <w:pPr>
        <w:pStyle w:val="ListParagraph"/>
        <w:numPr>
          <w:ilvl w:val="0"/>
          <w:numId w:val="25"/>
        </w:numPr>
        <w:jc w:val="both"/>
        <w:rPr>
          <w:rFonts w:ascii="Arial" w:hAnsi="Arial"/>
          <w:sz w:val="22"/>
          <w:szCs w:val="22"/>
        </w:rPr>
      </w:pPr>
      <w:r w:rsidRPr="006706A8">
        <w:rPr>
          <w:rFonts w:ascii="Arial" w:hAnsi="Arial"/>
          <w:b/>
          <w:sz w:val="22"/>
          <w:szCs w:val="22"/>
        </w:rPr>
        <w:t>Background</w:t>
      </w:r>
    </w:p>
    <w:p w:rsidR="004C7F6D" w:rsidRPr="006706A8" w:rsidRDefault="004C7F6D" w:rsidP="00882085">
      <w:pPr>
        <w:jc w:val="both"/>
        <w:rPr>
          <w:rFonts w:ascii="Arial" w:hAnsi="Arial"/>
          <w:sz w:val="22"/>
          <w:szCs w:val="22"/>
        </w:rPr>
      </w:pPr>
    </w:p>
    <w:p w:rsidR="004C7F6D" w:rsidRPr="006706A8" w:rsidRDefault="004C7F6D" w:rsidP="001C2541">
      <w:pPr>
        <w:pStyle w:val="ListParagraph"/>
        <w:numPr>
          <w:ilvl w:val="1"/>
          <w:numId w:val="25"/>
        </w:numPr>
        <w:jc w:val="both"/>
        <w:rPr>
          <w:rFonts w:ascii="Arial" w:hAnsi="Arial"/>
          <w:sz w:val="22"/>
          <w:szCs w:val="22"/>
        </w:rPr>
      </w:pPr>
      <w:proofErr w:type="spellStart"/>
      <w:r w:rsidRPr="006706A8">
        <w:rPr>
          <w:rFonts w:ascii="Arial" w:hAnsi="Arial"/>
          <w:sz w:val="22"/>
          <w:szCs w:val="22"/>
        </w:rPr>
        <w:t>Alemtuzumab</w:t>
      </w:r>
      <w:proofErr w:type="spellEnd"/>
      <w:r w:rsidRPr="006706A8">
        <w:rPr>
          <w:rFonts w:ascii="Arial" w:hAnsi="Arial"/>
          <w:sz w:val="22"/>
          <w:szCs w:val="22"/>
        </w:rPr>
        <w:t xml:space="preserve"> was TGA registered on 18 December 2013 for the ‘treatment of relapsing forms of multiple sclerosis for patients with active disease defined by clinical or imaging features to slow the accumulation of physical disability and reduce the frequency of clinical relapses’. </w:t>
      </w:r>
    </w:p>
    <w:p w:rsidR="004C7F6D" w:rsidRPr="006706A8" w:rsidRDefault="004C7F6D" w:rsidP="001E4E70">
      <w:pPr>
        <w:jc w:val="both"/>
        <w:rPr>
          <w:rFonts w:ascii="Arial" w:hAnsi="Arial"/>
          <w:sz w:val="22"/>
          <w:szCs w:val="22"/>
        </w:rPr>
      </w:pPr>
    </w:p>
    <w:p w:rsidR="004C7F6D" w:rsidRPr="006706A8" w:rsidRDefault="004C7F6D" w:rsidP="001C2541">
      <w:pPr>
        <w:pStyle w:val="ListParagraph"/>
        <w:numPr>
          <w:ilvl w:val="1"/>
          <w:numId w:val="25"/>
        </w:numPr>
        <w:jc w:val="both"/>
        <w:rPr>
          <w:rFonts w:ascii="Arial" w:hAnsi="Arial"/>
          <w:sz w:val="22"/>
          <w:szCs w:val="22"/>
        </w:rPr>
      </w:pPr>
      <w:r w:rsidRPr="006706A8">
        <w:rPr>
          <w:rFonts w:ascii="Arial" w:hAnsi="Arial"/>
          <w:sz w:val="22"/>
          <w:szCs w:val="22"/>
        </w:rPr>
        <w:t xml:space="preserve">The PBAC has not previously considered </w:t>
      </w:r>
      <w:proofErr w:type="spellStart"/>
      <w:r w:rsidRPr="006706A8">
        <w:rPr>
          <w:rFonts w:ascii="Arial" w:hAnsi="Arial"/>
          <w:sz w:val="22"/>
          <w:szCs w:val="22"/>
        </w:rPr>
        <w:t>alemtuzumab</w:t>
      </w:r>
      <w:proofErr w:type="spellEnd"/>
      <w:r w:rsidRPr="006706A8">
        <w:rPr>
          <w:rFonts w:ascii="Arial" w:hAnsi="Arial"/>
          <w:sz w:val="22"/>
          <w:szCs w:val="22"/>
        </w:rPr>
        <w:t xml:space="preserve"> for multiple sclerosis.</w:t>
      </w:r>
    </w:p>
    <w:p w:rsidR="004C7F6D" w:rsidRPr="006706A8" w:rsidRDefault="004C7F6D" w:rsidP="00882085">
      <w:pPr>
        <w:jc w:val="both"/>
        <w:rPr>
          <w:rFonts w:ascii="Arial" w:hAnsi="Arial"/>
          <w:sz w:val="22"/>
          <w:szCs w:val="22"/>
        </w:rPr>
      </w:pPr>
    </w:p>
    <w:p w:rsidR="004C7F6D" w:rsidRPr="006706A8" w:rsidRDefault="004C7F6D" w:rsidP="00882085">
      <w:pPr>
        <w:pStyle w:val="ListParagraph"/>
        <w:numPr>
          <w:ilvl w:val="0"/>
          <w:numId w:val="25"/>
        </w:numPr>
        <w:jc w:val="both"/>
        <w:rPr>
          <w:rFonts w:ascii="Arial" w:hAnsi="Arial"/>
          <w:b/>
          <w:sz w:val="22"/>
          <w:szCs w:val="22"/>
        </w:rPr>
      </w:pPr>
      <w:r w:rsidRPr="006706A8">
        <w:rPr>
          <w:rFonts w:ascii="Arial" w:hAnsi="Arial"/>
          <w:b/>
          <w:sz w:val="22"/>
          <w:szCs w:val="22"/>
        </w:rPr>
        <w:t>Clinical place for the proposed therapy</w:t>
      </w:r>
    </w:p>
    <w:p w:rsidR="004C7F6D" w:rsidRPr="006706A8" w:rsidRDefault="004C7F6D" w:rsidP="00D703FD">
      <w:pPr>
        <w:jc w:val="both"/>
        <w:rPr>
          <w:rFonts w:ascii="Arial" w:hAnsi="Arial"/>
          <w:sz w:val="22"/>
          <w:szCs w:val="22"/>
        </w:rPr>
      </w:pPr>
    </w:p>
    <w:p w:rsidR="004C7F6D" w:rsidRPr="006706A8" w:rsidRDefault="004C7F6D" w:rsidP="00D306D0">
      <w:pPr>
        <w:pStyle w:val="ListParagraph"/>
        <w:numPr>
          <w:ilvl w:val="1"/>
          <w:numId w:val="25"/>
        </w:numPr>
        <w:jc w:val="both"/>
        <w:rPr>
          <w:rFonts w:ascii="Arial" w:hAnsi="Arial"/>
          <w:sz w:val="22"/>
          <w:szCs w:val="22"/>
        </w:rPr>
      </w:pPr>
      <w:r w:rsidRPr="006706A8">
        <w:rPr>
          <w:rFonts w:ascii="Arial" w:hAnsi="Arial"/>
          <w:sz w:val="22"/>
          <w:szCs w:val="22"/>
        </w:rPr>
        <w:t>Multiple sclerosis is a progressive, chronic disease of the central nervous system in which the myelin sheath protecting axons is damaged, resulting in distorted nerve signals and pathways. Most patients present with relapsing-remitting multiple sclerosis</w:t>
      </w:r>
      <w:r w:rsidR="00BF46B1">
        <w:rPr>
          <w:rFonts w:ascii="Arial" w:hAnsi="Arial"/>
          <w:sz w:val="22"/>
          <w:szCs w:val="22"/>
        </w:rPr>
        <w:t xml:space="preserve"> (RRMS)</w:t>
      </w:r>
      <w:r w:rsidRPr="006706A8">
        <w:rPr>
          <w:rFonts w:ascii="Arial" w:hAnsi="Arial"/>
          <w:sz w:val="22"/>
          <w:szCs w:val="22"/>
        </w:rPr>
        <w:t xml:space="preserve">, characterised by acute clinical attacks (relapses) followed by variable recovery and periods of clinical stability. Multiple sclerosis is characterised </w:t>
      </w:r>
      <w:r w:rsidRPr="006706A8">
        <w:rPr>
          <w:rFonts w:ascii="Arial" w:hAnsi="Arial"/>
          <w:sz w:val="22"/>
          <w:szCs w:val="22"/>
        </w:rPr>
        <w:lastRenderedPageBreak/>
        <w:t>by a complex range of symptoms including visual disturbance, fatigue, pain, reduced mobility and coordination, cognitive impairment and mood changes.</w:t>
      </w:r>
    </w:p>
    <w:p w:rsidR="004C7F6D" w:rsidRPr="006706A8" w:rsidRDefault="004C7F6D" w:rsidP="00D306D0">
      <w:pPr>
        <w:jc w:val="both"/>
        <w:rPr>
          <w:rFonts w:ascii="Arial" w:hAnsi="Arial"/>
          <w:sz w:val="22"/>
          <w:szCs w:val="22"/>
        </w:rPr>
      </w:pPr>
    </w:p>
    <w:p w:rsidR="004C7F6D" w:rsidRPr="006706A8" w:rsidRDefault="004C7F6D" w:rsidP="00D306D0">
      <w:pPr>
        <w:pStyle w:val="ListParagraph"/>
        <w:numPr>
          <w:ilvl w:val="1"/>
          <w:numId w:val="25"/>
        </w:numPr>
        <w:jc w:val="both"/>
        <w:rPr>
          <w:rFonts w:ascii="Arial" w:hAnsi="Arial"/>
          <w:sz w:val="22"/>
          <w:szCs w:val="22"/>
        </w:rPr>
      </w:pPr>
      <w:proofErr w:type="spellStart"/>
      <w:r w:rsidRPr="006706A8">
        <w:rPr>
          <w:rFonts w:ascii="Arial" w:hAnsi="Arial"/>
          <w:sz w:val="22"/>
          <w:szCs w:val="22"/>
        </w:rPr>
        <w:t>Alemtuzumab</w:t>
      </w:r>
      <w:proofErr w:type="spellEnd"/>
      <w:r w:rsidRPr="006706A8">
        <w:rPr>
          <w:rFonts w:ascii="Arial" w:hAnsi="Arial"/>
          <w:sz w:val="22"/>
          <w:szCs w:val="22"/>
        </w:rPr>
        <w:t xml:space="preserve"> is a disease modifying therapy for multiple sclerosis. The submission positions </w:t>
      </w:r>
      <w:proofErr w:type="spellStart"/>
      <w:r w:rsidRPr="006706A8">
        <w:rPr>
          <w:rFonts w:ascii="Arial" w:hAnsi="Arial"/>
          <w:sz w:val="22"/>
          <w:szCs w:val="22"/>
        </w:rPr>
        <w:t>alemtuzumab</w:t>
      </w:r>
      <w:proofErr w:type="spellEnd"/>
      <w:r w:rsidRPr="006706A8">
        <w:rPr>
          <w:rFonts w:ascii="Arial" w:hAnsi="Arial"/>
          <w:sz w:val="22"/>
          <w:szCs w:val="22"/>
        </w:rPr>
        <w:t xml:space="preserve"> as a first-line alternative to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in patients with aggressive disease (rapidly evolving severe RRMS and/or highly active RRMS) as well as a second-line alternative to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in patients failing other disease modifying therapies.</w:t>
      </w:r>
    </w:p>
    <w:p w:rsidR="004C7F6D" w:rsidRPr="006706A8" w:rsidRDefault="004C7F6D" w:rsidP="00A7461C">
      <w:pPr>
        <w:rPr>
          <w:rFonts w:ascii="Arial" w:hAnsi="Arial"/>
          <w:sz w:val="22"/>
          <w:szCs w:val="22"/>
        </w:rPr>
      </w:pPr>
    </w:p>
    <w:p w:rsidR="004C7F6D" w:rsidRPr="006706A8" w:rsidRDefault="004C7F6D" w:rsidP="00A7461C">
      <w:pPr>
        <w:pStyle w:val="ListParagraph"/>
        <w:numPr>
          <w:ilvl w:val="1"/>
          <w:numId w:val="25"/>
        </w:numPr>
        <w:jc w:val="both"/>
        <w:rPr>
          <w:rFonts w:ascii="Arial" w:hAnsi="Arial"/>
          <w:sz w:val="22"/>
          <w:szCs w:val="22"/>
        </w:rPr>
      </w:pPr>
      <w:r w:rsidRPr="006706A8">
        <w:rPr>
          <w:rFonts w:ascii="Arial" w:hAnsi="Arial"/>
          <w:sz w:val="22"/>
          <w:szCs w:val="22"/>
        </w:rPr>
        <w:t xml:space="preserve">The ESC noted that there are currently eight disease modifying drugs listed on the PBS for MS, however the listing of these items does not specify whether they are to be used as first line therapy or not. The clinical place of </w:t>
      </w:r>
      <w:proofErr w:type="spellStart"/>
      <w:r w:rsidRPr="006706A8">
        <w:rPr>
          <w:rFonts w:ascii="Arial" w:hAnsi="Arial"/>
          <w:sz w:val="22"/>
          <w:szCs w:val="22"/>
        </w:rPr>
        <w:t>alemtuzumab</w:t>
      </w:r>
      <w:proofErr w:type="spellEnd"/>
      <w:r w:rsidRPr="006706A8">
        <w:rPr>
          <w:rFonts w:ascii="Arial" w:hAnsi="Arial"/>
          <w:sz w:val="22"/>
          <w:szCs w:val="22"/>
        </w:rPr>
        <w:t xml:space="preserve"> may be unclear as there is no consensus on the sequence of treatments that patients should receive or switch between, although given its adverse effect profile, </w:t>
      </w:r>
      <w:proofErr w:type="spellStart"/>
      <w:r w:rsidRPr="006706A8">
        <w:rPr>
          <w:rFonts w:ascii="Arial" w:hAnsi="Arial"/>
          <w:sz w:val="22"/>
          <w:szCs w:val="22"/>
        </w:rPr>
        <w:t>natalizumab</w:t>
      </w:r>
      <w:proofErr w:type="spellEnd"/>
      <w:r w:rsidRPr="006706A8">
        <w:rPr>
          <w:rFonts w:ascii="Arial" w:hAnsi="Arial"/>
          <w:sz w:val="22"/>
          <w:szCs w:val="22"/>
        </w:rPr>
        <w:t xml:space="preserve"> is likely to be used as a second line therapy.</w:t>
      </w:r>
    </w:p>
    <w:p w:rsidR="004C7F6D" w:rsidRPr="006706A8" w:rsidRDefault="004C7F6D" w:rsidP="00882085">
      <w:pPr>
        <w:pStyle w:val="Header"/>
        <w:tabs>
          <w:tab w:val="clear" w:pos="4153"/>
          <w:tab w:val="clear" w:pos="8306"/>
        </w:tabs>
        <w:jc w:val="both"/>
        <w:rPr>
          <w:rFonts w:ascii="Arial" w:hAnsi="Arial"/>
          <w:sz w:val="22"/>
          <w:szCs w:val="22"/>
        </w:rPr>
      </w:pPr>
    </w:p>
    <w:p w:rsidR="004C7F6D" w:rsidRPr="006706A8" w:rsidRDefault="004C7F6D" w:rsidP="00BB7EC3">
      <w:pPr>
        <w:pStyle w:val="ListParagraph"/>
        <w:ind w:left="709"/>
        <w:jc w:val="both"/>
        <w:rPr>
          <w:rFonts w:ascii="Arial" w:hAnsi="Arial"/>
          <w:i/>
          <w:sz w:val="22"/>
          <w:szCs w:val="22"/>
        </w:rPr>
      </w:pPr>
      <w:r w:rsidRPr="006706A8">
        <w:rPr>
          <w:rFonts w:ascii="Arial" w:hAnsi="Arial"/>
          <w:i/>
          <w:sz w:val="22"/>
          <w:szCs w:val="22"/>
        </w:rPr>
        <w:t>For more detail on PBAC’s view, see section 7 “PBAC outcome”</w:t>
      </w:r>
    </w:p>
    <w:p w:rsidR="004C7F6D" w:rsidRDefault="004C7F6D" w:rsidP="00882085">
      <w:pPr>
        <w:pStyle w:val="Header"/>
        <w:tabs>
          <w:tab w:val="clear" w:pos="4153"/>
          <w:tab w:val="clear" w:pos="8306"/>
        </w:tabs>
        <w:jc w:val="both"/>
        <w:rPr>
          <w:rFonts w:ascii="Arial" w:hAnsi="Arial"/>
          <w:sz w:val="22"/>
          <w:szCs w:val="22"/>
        </w:rPr>
      </w:pPr>
    </w:p>
    <w:p w:rsidR="00496175" w:rsidRPr="006706A8" w:rsidRDefault="00496175" w:rsidP="00882085">
      <w:pPr>
        <w:pStyle w:val="Header"/>
        <w:tabs>
          <w:tab w:val="clear" w:pos="4153"/>
          <w:tab w:val="clear" w:pos="8306"/>
        </w:tabs>
        <w:jc w:val="both"/>
        <w:rPr>
          <w:rFonts w:ascii="Arial" w:hAnsi="Arial"/>
          <w:sz w:val="22"/>
          <w:szCs w:val="22"/>
        </w:rPr>
      </w:pPr>
    </w:p>
    <w:p w:rsidR="004C7F6D" w:rsidRPr="006706A8" w:rsidRDefault="004C7F6D" w:rsidP="00882085">
      <w:pPr>
        <w:pStyle w:val="Header"/>
        <w:numPr>
          <w:ilvl w:val="0"/>
          <w:numId w:val="25"/>
        </w:numPr>
        <w:tabs>
          <w:tab w:val="clear" w:pos="4153"/>
          <w:tab w:val="clear" w:pos="8306"/>
        </w:tabs>
        <w:jc w:val="both"/>
        <w:rPr>
          <w:rFonts w:ascii="Arial" w:hAnsi="Arial"/>
          <w:b/>
          <w:sz w:val="22"/>
          <w:szCs w:val="22"/>
        </w:rPr>
      </w:pPr>
      <w:r w:rsidRPr="006706A8">
        <w:rPr>
          <w:rFonts w:ascii="Arial" w:hAnsi="Arial"/>
          <w:b/>
          <w:sz w:val="22"/>
          <w:szCs w:val="22"/>
        </w:rPr>
        <w:t>Comparator</w:t>
      </w:r>
    </w:p>
    <w:p w:rsidR="004C7F6D" w:rsidRPr="006706A8" w:rsidRDefault="004C7F6D" w:rsidP="00882085">
      <w:pPr>
        <w:pStyle w:val="Header"/>
        <w:tabs>
          <w:tab w:val="clear" w:pos="4153"/>
          <w:tab w:val="clear" w:pos="8306"/>
        </w:tabs>
        <w:jc w:val="both"/>
        <w:rPr>
          <w:rFonts w:ascii="Arial" w:hAnsi="Arial"/>
          <w:sz w:val="22"/>
          <w:szCs w:val="22"/>
        </w:rPr>
      </w:pPr>
    </w:p>
    <w:p w:rsidR="004C7F6D" w:rsidRPr="006706A8" w:rsidRDefault="004C7F6D" w:rsidP="00817091">
      <w:pPr>
        <w:pStyle w:val="ListParagraph"/>
        <w:numPr>
          <w:ilvl w:val="1"/>
          <w:numId w:val="25"/>
        </w:numPr>
        <w:jc w:val="both"/>
        <w:rPr>
          <w:rFonts w:ascii="Arial" w:hAnsi="Arial"/>
          <w:sz w:val="22"/>
          <w:szCs w:val="22"/>
        </w:rPr>
      </w:pPr>
      <w:r w:rsidRPr="006706A8">
        <w:rPr>
          <w:rFonts w:ascii="Arial" w:hAnsi="Arial"/>
          <w:sz w:val="22"/>
          <w:szCs w:val="22"/>
        </w:rPr>
        <w:t xml:space="preserve">The submission nominates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as the main comparators. The main argument provided in support of these comparators is that </w:t>
      </w:r>
      <w:proofErr w:type="spellStart"/>
      <w:r w:rsidRPr="006706A8">
        <w:rPr>
          <w:rFonts w:ascii="Arial" w:hAnsi="Arial"/>
          <w:sz w:val="22"/>
          <w:szCs w:val="22"/>
        </w:rPr>
        <w:t>alemtuzumab</w:t>
      </w:r>
      <w:proofErr w:type="spellEnd"/>
      <w:r w:rsidRPr="006706A8">
        <w:rPr>
          <w:rFonts w:ascii="Arial" w:hAnsi="Arial"/>
          <w:sz w:val="22"/>
          <w:szCs w:val="22"/>
        </w:rPr>
        <w:t xml:space="preserve">,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are all likely to be used in the same subsets of the PBS population.</w:t>
      </w:r>
    </w:p>
    <w:p w:rsidR="004C7F6D" w:rsidRPr="006706A8" w:rsidRDefault="004C7F6D" w:rsidP="004E2785">
      <w:pPr>
        <w:jc w:val="both"/>
        <w:rPr>
          <w:rFonts w:ascii="Arial" w:hAnsi="Arial"/>
          <w:sz w:val="22"/>
          <w:szCs w:val="22"/>
        </w:rPr>
      </w:pPr>
    </w:p>
    <w:p w:rsidR="004C7F6D" w:rsidRPr="006706A8" w:rsidRDefault="004C7F6D" w:rsidP="004E2785">
      <w:pPr>
        <w:pStyle w:val="ListParagraph"/>
        <w:numPr>
          <w:ilvl w:val="1"/>
          <w:numId w:val="25"/>
        </w:numPr>
        <w:jc w:val="both"/>
        <w:rPr>
          <w:rFonts w:ascii="Arial" w:hAnsi="Arial"/>
          <w:sz w:val="22"/>
          <w:szCs w:val="22"/>
        </w:rPr>
      </w:pPr>
      <w:r w:rsidRPr="006706A8">
        <w:rPr>
          <w:rFonts w:ascii="Arial" w:hAnsi="Arial"/>
          <w:sz w:val="22"/>
          <w:szCs w:val="22"/>
        </w:rPr>
        <w:t>Whilst using these drugs as comparators is in line with clinician recommendations in the physician survey, the ESC considered that subcutaneous interferon beta-1a may be the appropriate main comparator, given the more robust trial data (direct comparisons) and uncertainty in the clinical management of MS patients.</w:t>
      </w:r>
    </w:p>
    <w:p w:rsidR="004C7F6D" w:rsidRPr="006706A8" w:rsidRDefault="004C7F6D" w:rsidP="00D703FD">
      <w:pPr>
        <w:jc w:val="both"/>
        <w:rPr>
          <w:rFonts w:ascii="Arial" w:hAnsi="Arial"/>
          <w:sz w:val="22"/>
          <w:szCs w:val="22"/>
        </w:rPr>
      </w:pPr>
    </w:p>
    <w:p w:rsidR="004C7F6D" w:rsidRPr="006706A8" w:rsidRDefault="004C7F6D" w:rsidP="00BB7EC3">
      <w:pPr>
        <w:pStyle w:val="ListParagraph"/>
        <w:ind w:left="709"/>
        <w:jc w:val="both"/>
        <w:rPr>
          <w:rFonts w:ascii="Arial" w:hAnsi="Arial"/>
          <w:i/>
          <w:sz w:val="22"/>
          <w:szCs w:val="22"/>
        </w:rPr>
      </w:pPr>
      <w:r w:rsidRPr="006706A8">
        <w:rPr>
          <w:rFonts w:ascii="Arial" w:hAnsi="Arial"/>
          <w:i/>
          <w:sz w:val="22"/>
          <w:szCs w:val="22"/>
        </w:rPr>
        <w:t>For more detail on PBAC’s view, see section 7 “PBAC outcome”</w:t>
      </w:r>
    </w:p>
    <w:p w:rsidR="004C7F6D" w:rsidRDefault="004C7F6D" w:rsidP="0051703A">
      <w:pPr>
        <w:jc w:val="both"/>
        <w:rPr>
          <w:rFonts w:ascii="Arial" w:hAnsi="Arial"/>
          <w:sz w:val="22"/>
          <w:szCs w:val="22"/>
        </w:rPr>
      </w:pPr>
    </w:p>
    <w:p w:rsidR="00496175" w:rsidRPr="006706A8" w:rsidRDefault="00496175" w:rsidP="0051703A">
      <w:pPr>
        <w:jc w:val="both"/>
        <w:rPr>
          <w:rFonts w:ascii="Arial" w:hAnsi="Arial"/>
          <w:sz w:val="22"/>
          <w:szCs w:val="22"/>
        </w:rPr>
      </w:pPr>
    </w:p>
    <w:p w:rsidR="004C7F6D" w:rsidRPr="006706A8" w:rsidRDefault="004C7F6D" w:rsidP="006C3768">
      <w:pPr>
        <w:pStyle w:val="Header"/>
        <w:numPr>
          <w:ilvl w:val="0"/>
          <w:numId w:val="25"/>
        </w:numPr>
        <w:tabs>
          <w:tab w:val="clear" w:pos="4153"/>
          <w:tab w:val="clear" w:pos="8306"/>
        </w:tabs>
        <w:jc w:val="both"/>
        <w:rPr>
          <w:rFonts w:ascii="Arial" w:hAnsi="Arial"/>
          <w:b/>
          <w:sz w:val="22"/>
          <w:szCs w:val="22"/>
        </w:rPr>
      </w:pPr>
      <w:r w:rsidRPr="006706A8">
        <w:rPr>
          <w:rFonts w:ascii="Arial" w:hAnsi="Arial"/>
          <w:b/>
          <w:sz w:val="22"/>
          <w:szCs w:val="22"/>
        </w:rPr>
        <w:t>Consideration of the evidence</w:t>
      </w:r>
    </w:p>
    <w:p w:rsidR="004C7F6D" w:rsidRPr="006706A8" w:rsidRDefault="004C7F6D" w:rsidP="00882085">
      <w:pPr>
        <w:jc w:val="both"/>
        <w:rPr>
          <w:rFonts w:ascii="Arial" w:hAnsi="Arial"/>
          <w:sz w:val="22"/>
          <w:szCs w:val="22"/>
        </w:rPr>
      </w:pPr>
    </w:p>
    <w:p w:rsidR="004C7F6D" w:rsidRPr="006706A8" w:rsidRDefault="004C7F6D" w:rsidP="00BB7EC3">
      <w:pPr>
        <w:jc w:val="both"/>
        <w:rPr>
          <w:rFonts w:ascii="Arial" w:hAnsi="Arial"/>
          <w:b/>
          <w:i/>
          <w:sz w:val="22"/>
          <w:szCs w:val="22"/>
        </w:rPr>
      </w:pPr>
      <w:r w:rsidRPr="006706A8">
        <w:rPr>
          <w:rFonts w:ascii="Arial" w:hAnsi="Arial"/>
          <w:b/>
          <w:i/>
          <w:sz w:val="22"/>
          <w:szCs w:val="22"/>
        </w:rPr>
        <w:t>Sponsor hearing</w:t>
      </w:r>
    </w:p>
    <w:p w:rsidR="004C7F6D" w:rsidRPr="006706A8" w:rsidRDefault="004C7F6D" w:rsidP="0051703A">
      <w:pPr>
        <w:jc w:val="both"/>
        <w:rPr>
          <w:rFonts w:ascii="Arial" w:hAnsi="Arial"/>
          <w:sz w:val="22"/>
          <w:szCs w:val="22"/>
        </w:rPr>
      </w:pPr>
    </w:p>
    <w:p w:rsidR="004C7F6D" w:rsidRDefault="004C7F6D" w:rsidP="00245733">
      <w:pPr>
        <w:pStyle w:val="ListParagraph"/>
        <w:numPr>
          <w:ilvl w:val="1"/>
          <w:numId w:val="25"/>
        </w:numPr>
        <w:ind w:left="709" w:hanging="709"/>
        <w:jc w:val="both"/>
        <w:rPr>
          <w:rFonts w:ascii="Arial" w:hAnsi="Arial"/>
          <w:sz w:val="22"/>
          <w:szCs w:val="22"/>
        </w:rPr>
      </w:pPr>
      <w:r w:rsidRPr="006706A8">
        <w:rPr>
          <w:rFonts w:ascii="Arial" w:hAnsi="Arial"/>
          <w:sz w:val="22"/>
          <w:szCs w:val="22"/>
        </w:rPr>
        <w:t>The sponsor requested a hearing for this item. The clinician discussed the natural history of the disease, how the drug would be used in practice, and addressed other matters in response to the Committee’s questions. The PBAC considered that the hearing was informative as it provided a clinical perspective on treating this disease and the likely clinical place of this therapy.</w:t>
      </w:r>
    </w:p>
    <w:p w:rsidR="00C63AEC" w:rsidRPr="006706A8" w:rsidRDefault="00C63AEC" w:rsidP="00C63AEC">
      <w:pPr>
        <w:pStyle w:val="ListParagraph"/>
        <w:ind w:left="709"/>
        <w:jc w:val="both"/>
        <w:rPr>
          <w:rFonts w:ascii="Arial" w:hAnsi="Arial"/>
          <w:sz w:val="22"/>
          <w:szCs w:val="22"/>
        </w:rPr>
      </w:pPr>
    </w:p>
    <w:p w:rsidR="004C7F6D" w:rsidRPr="006706A8" w:rsidRDefault="004C7F6D" w:rsidP="00BB7EC3">
      <w:pPr>
        <w:jc w:val="both"/>
        <w:rPr>
          <w:rFonts w:ascii="Arial" w:hAnsi="Arial"/>
          <w:b/>
          <w:i/>
          <w:sz w:val="22"/>
          <w:szCs w:val="22"/>
        </w:rPr>
      </w:pPr>
      <w:r w:rsidRPr="006706A8">
        <w:rPr>
          <w:rFonts w:ascii="Arial" w:hAnsi="Arial"/>
          <w:b/>
          <w:i/>
          <w:sz w:val="22"/>
          <w:szCs w:val="22"/>
        </w:rPr>
        <w:t>Consumer comments</w:t>
      </w:r>
    </w:p>
    <w:p w:rsidR="004C7F6D" w:rsidRPr="006706A8" w:rsidRDefault="004C7F6D" w:rsidP="0051703A">
      <w:pPr>
        <w:jc w:val="both"/>
        <w:rPr>
          <w:rFonts w:ascii="Arial" w:hAnsi="Arial"/>
          <w:sz w:val="22"/>
          <w:szCs w:val="22"/>
        </w:rPr>
      </w:pPr>
    </w:p>
    <w:p w:rsidR="004C7F6D" w:rsidRPr="006706A8" w:rsidRDefault="004C7F6D" w:rsidP="0051703A">
      <w:pPr>
        <w:pStyle w:val="ListParagraph"/>
        <w:numPr>
          <w:ilvl w:val="1"/>
          <w:numId w:val="25"/>
        </w:numPr>
        <w:ind w:left="709" w:hanging="709"/>
        <w:jc w:val="both"/>
        <w:rPr>
          <w:rFonts w:ascii="Arial" w:hAnsi="Arial"/>
          <w:sz w:val="22"/>
          <w:szCs w:val="22"/>
        </w:rPr>
      </w:pPr>
      <w:r w:rsidRPr="006706A8">
        <w:rPr>
          <w:rFonts w:ascii="Arial" w:hAnsi="Arial"/>
          <w:sz w:val="22"/>
          <w:szCs w:val="22"/>
        </w:rPr>
        <w:t xml:space="preserve">The PBAC noted and welcomed the input from individuals (40), health care professionals (36) and organisations (8) via the Consumer Comments facility on the PBS website. The comments described a range of perceived benefits of treatment with </w:t>
      </w:r>
      <w:proofErr w:type="spellStart"/>
      <w:r w:rsidRPr="006706A8">
        <w:rPr>
          <w:rFonts w:ascii="Arial" w:hAnsi="Arial"/>
          <w:sz w:val="22"/>
          <w:szCs w:val="22"/>
        </w:rPr>
        <w:t>alemtuzumab</w:t>
      </w:r>
      <w:proofErr w:type="spellEnd"/>
      <w:r w:rsidRPr="006706A8">
        <w:rPr>
          <w:rFonts w:ascii="Arial" w:hAnsi="Arial"/>
          <w:sz w:val="22"/>
          <w:szCs w:val="22"/>
        </w:rPr>
        <w:t xml:space="preserve"> including its use in patients with aggressive forms of multiple sclerosis</w:t>
      </w:r>
      <w:r w:rsidR="00CA5600" w:rsidRPr="006706A8">
        <w:rPr>
          <w:rFonts w:ascii="Arial" w:hAnsi="Arial"/>
          <w:sz w:val="22"/>
          <w:szCs w:val="22"/>
        </w:rPr>
        <w:t xml:space="preserve">, </w:t>
      </w:r>
      <w:r w:rsidRPr="006706A8">
        <w:rPr>
          <w:rFonts w:ascii="Arial" w:hAnsi="Arial"/>
          <w:sz w:val="22"/>
          <w:szCs w:val="22"/>
        </w:rPr>
        <w:t xml:space="preserve">and </w:t>
      </w:r>
      <w:r w:rsidR="00CA5600" w:rsidRPr="006706A8">
        <w:rPr>
          <w:rFonts w:ascii="Arial" w:hAnsi="Arial"/>
          <w:sz w:val="22"/>
          <w:szCs w:val="22"/>
        </w:rPr>
        <w:t xml:space="preserve">the convenience of </w:t>
      </w:r>
      <w:r w:rsidRPr="006706A8">
        <w:rPr>
          <w:rFonts w:ascii="Arial" w:hAnsi="Arial"/>
          <w:sz w:val="22"/>
          <w:szCs w:val="22"/>
        </w:rPr>
        <w:t xml:space="preserve">yearly administration of </w:t>
      </w:r>
      <w:proofErr w:type="spellStart"/>
      <w:r w:rsidRPr="006706A8">
        <w:rPr>
          <w:rFonts w:ascii="Arial" w:hAnsi="Arial"/>
          <w:sz w:val="22"/>
          <w:szCs w:val="22"/>
        </w:rPr>
        <w:t>alemtuzumab</w:t>
      </w:r>
      <w:proofErr w:type="spellEnd"/>
      <w:r w:rsidRPr="006706A8">
        <w:rPr>
          <w:rFonts w:ascii="Arial" w:hAnsi="Arial"/>
          <w:sz w:val="22"/>
          <w:szCs w:val="22"/>
        </w:rPr>
        <w:t>.</w:t>
      </w:r>
    </w:p>
    <w:p w:rsidR="004C7F6D" w:rsidRPr="006706A8" w:rsidRDefault="004C7F6D" w:rsidP="00882085">
      <w:pPr>
        <w:jc w:val="both"/>
        <w:rPr>
          <w:rFonts w:ascii="Arial" w:hAnsi="Arial"/>
          <w:sz w:val="22"/>
          <w:szCs w:val="22"/>
        </w:rPr>
      </w:pPr>
    </w:p>
    <w:p w:rsidR="004C7F6D" w:rsidRPr="006706A8" w:rsidRDefault="004C7F6D" w:rsidP="00BB7EC3">
      <w:pPr>
        <w:pStyle w:val="ListParagraph"/>
        <w:ind w:left="709"/>
        <w:jc w:val="both"/>
        <w:rPr>
          <w:rFonts w:ascii="Arial" w:hAnsi="Arial"/>
          <w:i/>
          <w:sz w:val="22"/>
          <w:szCs w:val="22"/>
        </w:rPr>
      </w:pPr>
      <w:r w:rsidRPr="006706A8">
        <w:rPr>
          <w:rFonts w:ascii="Arial" w:hAnsi="Arial"/>
          <w:i/>
          <w:sz w:val="22"/>
          <w:szCs w:val="22"/>
        </w:rPr>
        <w:t>For more detail on PBAC’s view, see section 7 “PBAC outcome”</w:t>
      </w:r>
    </w:p>
    <w:p w:rsidR="004C7F6D" w:rsidRPr="006706A8" w:rsidRDefault="004C7F6D" w:rsidP="0051703A">
      <w:pPr>
        <w:jc w:val="both"/>
        <w:rPr>
          <w:rFonts w:ascii="Arial" w:hAnsi="Arial"/>
          <w:sz w:val="22"/>
          <w:szCs w:val="22"/>
        </w:rPr>
      </w:pPr>
    </w:p>
    <w:p w:rsidR="004C7F6D" w:rsidRPr="006706A8" w:rsidRDefault="004C7F6D" w:rsidP="00882085">
      <w:pPr>
        <w:jc w:val="both"/>
        <w:rPr>
          <w:rFonts w:ascii="Arial" w:hAnsi="Arial"/>
          <w:b/>
          <w:i/>
          <w:sz w:val="22"/>
          <w:szCs w:val="22"/>
        </w:rPr>
      </w:pPr>
      <w:r w:rsidRPr="006706A8">
        <w:rPr>
          <w:rFonts w:ascii="Arial" w:hAnsi="Arial"/>
          <w:b/>
          <w:i/>
          <w:sz w:val="22"/>
          <w:szCs w:val="22"/>
        </w:rPr>
        <w:t>Clinical trials</w:t>
      </w:r>
    </w:p>
    <w:p w:rsidR="004C7F6D" w:rsidRPr="006706A8" w:rsidRDefault="004C7F6D" w:rsidP="00882085">
      <w:pPr>
        <w:jc w:val="both"/>
        <w:rPr>
          <w:rFonts w:ascii="Arial" w:hAnsi="Arial"/>
          <w:sz w:val="22"/>
          <w:szCs w:val="22"/>
        </w:rPr>
      </w:pPr>
    </w:p>
    <w:p w:rsidR="004C7F6D" w:rsidRPr="006706A8" w:rsidRDefault="004C7F6D" w:rsidP="004E2785">
      <w:pPr>
        <w:pStyle w:val="ListParagraph"/>
        <w:numPr>
          <w:ilvl w:val="1"/>
          <w:numId w:val="25"/>
        </w:numPr>
        <w:jc w:val="both"/>
        <w:rPr>
          <w:rFonts w:ascii="Arial" w:hAnsi="Arial" w:cs="Arial"/>
          <w:sz w:val="22"/>
          <w:szCs w:val="22"/>
        </w:rPr>
      </w:pPr>
      <w:r w:rsidRPr="006706A8">
        <w:rPr>
          <w:rFonts w:ascii="Arial" w:hAnsi="Arial" w:cs="Arial"/>
          <w:sz w:val="22"/>
          <w:szCs w:val="22"/>
        </w:rPr>
        <w:t>A summary of the trials presented in the submission.</w:t>
      </w:r>
    </w:p>
    <w:p w:rsidR="004C7F6D" w:rsidRPr="006706A8" w:rsidRDefault="004C7F6D" w:rsidP="00C05C1D">
      <w:pPr>
        <w:widowControl w:val="0"/>
        <w:jc w:val="both"/>
        <w:rPr>
          <w:rFonts w:ascii="Arial Narrow" w:hAnsi="Arial Narrow" w:cs="Arial"/>
          <w:b/>
          <w:snapToGrid w:val="0"/>
          <w:sz w:val="20"/>
          <w:szCs w:val="20"/>
          <w:lang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summary of the trials presented"/>
      </w:tblPr>
      <w:tblGrid>
        <w:gridCol w:w="1276"/>
        <w:gridCol w:w="5386"/>
        <w:gridCol w:w="1700"/>
      </w:tblGrid>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Trial ID</w:t>
            </w:r>
          </w:p>
        </w:tc>
        <w:tc>
          <w:tcPr>
            <w:tcW w:w="5386" w:type="dxa"/>
            <w:vAlign w:val="center"/>
          </w:tcPr>
          <w:p w:rsidR="004C7F6D" w:rsidRPr="006706A8" w:rsidRDefault="004C7F6D" w:rsidP="001D7574">
            <w:pPr>
              <w:widowControl w:val="0"/>
              <w:jc w:val="center"/>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Protocol title/ Publication title</w:t>
            </w:r>
          </w:p>
        </w:tc>
        <w:tc>
          <w:tcPr>
            <w:tcW w:w="1700" w:type="dxa"/>
            <w:vAlign w:val="center"/>
          </w:tcPr>
          <w:p w:rsidR="004C7F6D" w:rsidRPr="006706A8" w:rsidRDefault="004C7F6D" w:rsidP="001D7574">
            <w:pPr>
              <w:widowControl w:val="0"/>
              <w:jc w:val="center"/>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Publication citation</w:t>
            </w:r>
          </w:p>
        </w:tc>
      </w:tr>
      <w:tr w:rsidR="004C7F6D" w:rsidRPr="006706A8" w:rsidTr="001D7574">
        <w:tc>
          <w:tcPr>
            <w:tcW w:w="8362" w:type="dxa"/>
            <w:gridSpan w:val="3"/>
            <w:vAlign w:val="center"/>
          </w:tcPr>
          <w:p w:rsidR="004C7F6D" w:rsidRPr="006706A8" w:rsidRDefault="004C7F6D" w:rsidP="001D7574">
            <w:pPr>
              <w:widowControl w:val="0"/>
              <w:jc w:val="both"/>
              <w:rPr>
                <w:rFonts w:ascii="Arial Narrow" w:hAnsi="Arial Narrow" w:cs="Arial"/>
                <w:b/>
                <w:snapToGrid w:val="0"/>
                <w:sz w:val="20"/>
                <w:szCs w:val="20"/>
                <w:lang w:eastAsia="en-US"/>
              </w:rPr>
            </w:pPr>
            <w:proofErr w:type="spellStart"/>
            <w:r w:rsidRPr="006706A8">
              <w:rPr>
                <w:rFonts w:ascii="Arial Narrow" w:hAnsi="Arial Narrow" w:cs="Arial"/>
                <w:b/>
                <w:snapToGrid w:val="0"/>
                <w:sz w:val="20"/>
                <w:szCs w:val="20"/>
                <w:lang w:eastAsia="en-US"/>
              </w:rPr>
              <w:t>Alemtuzumab</w:t>
            </w:r>
            <w:proofErr w:type="spellEnd"/>
            <w:r w:rsidRPr="006706A8">
              <w:rPr>
                <w:rFonts w:ascii="Arial Narrow" w:hAnsi="Arial Narrow" w:cs="Arial"/>
                <w:b/>
                <w:snapToGrid w:val="0"/>
                <w:sz w:val="20"/>
                <w:szCs w:val="20"/>
                <w:lang w:eastAsia="en-US"/>
              </w:rPr>
              <w:t xml:space="preserve"> vs. subcutaneous interferon beta-1a</w:t>
            </w:r>
          </w:p>
        </w:tc>
      </w:tr>
      <w:tr w:rsidR="004C7F6D" w:rsidRPr="006706A8" w:rsidTr="001D7574">
        <w:tc>
          <w:tcPr>
            <w:tcW w:w="1276" w:type="dxa"/>
            <w:vMerge w:val="restart"/>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color w:val="000000"/>
                <w:sz w:val="20"/>
                <w:szCs w:val="20"/>
                <w:lang w:eastAsia="en-US"/>
              </w:rPr>
              <w:t>CAMMS223</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Genzyme Corporation Clinical Study Report (2010). A Phase 2, Randomised, Open-Label, Three-Arm Study Comparing Low- and High-Dose </w:t>
            </w:r>
            <w:proofErr w:type="spellStart"/>
            <w:r w:rsidRPr="006706A8">
              <w:rPr>
                <w:rFonts w:ascii="Arial Narrow" w:hAnsi="Arial Narrow" w:cs="Arial"/>
                <w:snapToGrid w:val="0"/>
                <w:sz w:val="20"/>
                <w:szCs w:val="20"/>
                <w:lang w:eastAsia="en-US"/>
              </w:rPr>
              <w:t>Alemtuzumab</w:t>
            </w:r>
            <w:proofErr w:type="spellEnd"/>
            <w:r w:rsidRPr="006706A8">
              <w:rPr>
                <w:rFonts w:ascii="Arial Narrow" w:hAnsi="Arial Narrow" w:cs="Arial"/>
                <w:snapToGrid w:val="0"/>
                <w:sz w:val="20"/>
                <w:szCs w:val="20"/>
                <w:lang w:eastAsia="en-US"/>
              </w:rPr>
              <w:t xml:space="preserve"> and High-Dose Subcutaneous Interferon Beta-1a (</w:t>
            </w:r>
            <w:proofErr w:type="spellStart"/>
            <w:r w:rsidRPr="006706A8">
              <w:rPr>
                <w:rFonts w:ascii="Arial Narrow" w:hAnsi="Arial Narrow" w:cs="Arial"/>
                <w:snapToGrid w:val="0"/>
                <w:sz w:val="20"/>
                <w:szCs w:val="20"/>
                <w:lang w:eastAsia="en-US"/>
              </w:rPr>
              <w:t>Rebif</w:t>
            </w:r>
            <w:proofErr w:type="spellEnd"/>
            <w:r w:rsidRPr="006706A8">
              <w:rPr>
                <w:rFonts w:ascii="Arial Narrow" w:hAnsi="Arial Narrow" w:cs="Arial"/>
                <w:snapToGrid w:val="0"/>
                <w:sz w:val="20"/>
                <w:szCs w:val="20"/>
                <w:lang w:eastAsia="en-US"/>
              </w:rPr>
              <w:t xml:space="preserve"> ®) in Patients With Early, Active Relapsing-Remitting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Internal study report</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color w:val="00000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Coles et al (2008). </w:t>
            </w:r>
            <w:proofErr w:type="spellStart"/>
            <w:r w:rsidRPr="006706A8">
              <w:rPr>
                <w:rFonts w:ascii="Arial Narrow" w:hAnsi="Arial Narrow" w:cs="Arial"/>
                <w:snapToGrid w:val="0"/>
                <w:sz w:val="20"/>
                <w:szCs w:val="20"/>
                <w:lang w:eastAsia="en-US"/>
              </w:rPr>
              <w:t>Alemtuzumab</w:t>
            </w:r>
            <w:proofErr w:type="spellEnd"/>
            <w:r w:rsidRPr="006706A8">
              <w:rPr>
                <w:rFonts w:ascii="Arial Narrow" w:hAnsi="Arial Narrow" w:cs="Arial"/>
                <w:snapToGrid w:val="0"/>
                <w:sz w:val="20"/>
                <w:szCs w:val="20"/>
                <w:lang w:eastAsia="en-US"/>
              </w:rPr>
              <w:t xml:space="preserve"> vs. interferon beta-1a in early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 England Journal of Medicine 359: 1786-1801</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color w:val="00000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Jones et al (2010). Improvement in disability after </w:t>
            </w:r>
            <w:proofErr w:type="spellStart"/>
            <w:r w:rsidRPr="006706A8">
              <w:rPr>
                <w:rFonts w:ascii="Arial Narrow" w:hAnsi="Arial Narrow" w:cs="Arial"/>
                <w:snapToGrid w:val="0"/>
                <w:sz w:val="20"/>
                <w:szCs w:val="20"/>
                <w:lang w:eastAsia="en-US"/>
              </w:rPr>
              <w:t>alemtuzumab</w:t>
            </w:r>
            <w:proofErr w:type="spellEnd"/>
            <w:r w:rsidRPr="006706A8">
              <w:rPr>
                <w:rFonts w:ascii="Arial Narrow" w:hAnsi="Arial Narrow" w:cs="Arial"/>
                <w:snapToGrid w:val="0"/>
                <w:sz w:val="20"/>
                <w:szCs w:val="20"/>
                <w:lang w:eastAsia="en-US"/>
              </w:rPr>
              <w:t xml:space="preserve"> treatment of multiple sclerosis is associated with </w:t>
            </w:r>
            <w:proofErr w:type="spellStart"/>
            <w:r w:rsidRPr="006706A8">
              <w:rPr>
                <w:rFonts w:ascii="Arial Narrow" w:hAnsi="Arial Narrow" w:cs="Arial"/>
                <w:snapToGrid w:val="0"/>
                <w:sz w:val="20"/>
                <w:szCs w:val="20"/>
                <w:lang w:eastAsia="en-US"/>
              </w:rPr>
              <w:t>neuroprotective</w:t>
            </w:r>
            <w:proofErr w:type="spellEnd"/>
            <w:r w:rsidRPr="006706A8">
              <w:rPr>
                <w:rFonts w:ascii="Arial Narrow" w:hAnsi="Arial Narrow" w:cs="Arial"/>
                <w:snapToGrid w:val="0"/>
                <w:sz w:val="20"/>
                <w:szCs w:val="20"/>
                <w:lang w:eastAsia="en-US"/>
              </w:rPr>
              <w:t xml:space="preserve"> autoimmunity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Brain 133: 2232-2247</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color w:val="00000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Coles et al (2011). </w:t>
            </w:r>
            <w:proofErr w:type="spellStart"/>
            <w:r w:rsidRPr="006706A8">
              <w:rPr>
                <w:rFonts w:ascii="Arial Narrow" w:hAnsi="Arial Narrow" w:cs="Arial"/>
                <w:snapToGrid w:val="0"/>
                <w:sz w:val="20"/>
                <w:szCs w:val="20"/>
                <w:lang w:eastAsia="en-US"/>
              </w:rPr>
              <w:t>Alemtuzumab</w:t>
            </w:r>
            <w:proofErr w:type="spellEnd"/>
            <w:r w:rsidRPr="006706A8">
              <w:rPr>
                <w:rFonts w:ascii="Arial Narrow" w:hAnsi="Arial Narrow" w:cs="Arial"/>
                <w:snapToGrid w:val="0"/>
                <w:sz w:val="20"/>
                <w:szCs w:val="20"/>
                <w:lang w:eastAsia="en-US"/>
              </w:rPr>
              <w:t xml:space="preserve"> versus interferon beta-1a in early relapsing-remitting multiple sclerosis: post-hoc and subset analyses of clinical efficacy outcomes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Lancet Neurology 10: 338-348</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color w:val="00000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Coles et al (2012). </w:t>
            </w:r>
            <w:proofErr w:type="spellStart"/>
            <w:r w:rsidRPr="006706A8">
              <w:rPr>
                <w:rFonts w:ascii="Arial Narrow" w:hAnsi="Arial Narrow" w:cs="Arial"/>
                <w:snapToGrid w:val="0"/>
                <w:sz w:val="20"/>
                <w:szCs w:val="20"/>
                <w:lang w:eastAsia="en-US"/>
              </w:rPr>
              <w:t>Alemtuzumab</w:t>
            </w:r>
            <w:proofErr w:type="spellEnd"/>
            <w:r w:rsidRPr="006706A8">
              <w:rPr>
                <w:rFonts w:ascii="Arial Narrow" w:hAnsi="Arial Narrow" w:cs="Arial"/>
                <w:snapToGrid w:val="0"/>
                <w:sz w:val="20"/>
                <w:szCs w:val="20"/>
                <w:lang w:eastAsia="en-US"/>
              </w:rPr>
              <w:t xml:space="preserve"> more effective than interferon-1a at 5-year follow-up of CAMMS223 clinical trial</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78: 1069-1078</w:t>
            </w:r>
          </w:p>
        </w:tc>
      </w:tr>
      <w:tr w:rsidR="004C7F6D" w:rsidRPr="006706A8" w:rsidTr="001D7574">
        <w:tc>
          <w:tcPr>
            <w:tcW w:w="1276" w:type="dxa"/>
            <w:vMerge w:val="restart"/>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CARE MS-I</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Genzyme Corporation Clinical Study Report (2012). A Phase 3 Randomized, </w:t>
            </w:r>
            <w:proofErr w:type="spellStart"/>
            <w:r w:rsidRPr="006706A8">
              <w:rPr>
                <w:rFonts w:ascii="Arial Narrow" w:hAnsi="Arial Narrow" w:cs="Arial"/>
                <w:snapToGrid w:val="0"/>
                <w:sz w:val="20"/>
                <w:szCs w:val="20"/>
                <w:lang w:eastAsia="en-US"/>
              </w:rPr>
              <w:t>Rater</w:t>
            </w:r>
            <w:proofErr w:type="spellEnd"/>
            <w:r w:rsidRPr="006706A8">
              <w:rPr>
                <w:rFonts w:ascii="Arial Narrow" w:hAnsi="Arial Narrow" w:cs="Arial"/>
                <w:snapToGrid w:val="0"/>
                <w:sz w:val="20"/>
                <w:szCs w:val="20"/>
                <w:lang w:eastAsia="en-US"/>
              </w:rPr>
              <w:t xml:space="preserve">-Blinded Study Comparing Two Annual Cycles of Intravenous </w:t>
            </w:r>
            <w:proofErr w:type="spellStart"/>
            <w:r w:rsidRPr="006706A8">
              <w:rPr>
                <w:rFonts w:ascii="Arial Narrow" w:hAnsi="Arial Narrow" w:cs="Arial"/>
                <w:snapToGrid w:val="0"/>
                <w:sz w:val="20"/>
                <w:szCs w:val="20"/>
                <w:lang w:eastAsia="en-US"/>
              </w:rPr>
              <w:t>Alemtuzumab</w:t>
            </w:r>
            <w:proofErr w:type="spellEnd"/>
            <w:r w:rsidRPr="006706A8">
              <w:rPr>
                <w:rFonts w:ascii="Arial Narrow" w:hAnsi="Arial Narrow" w:cs="Arial"/>
                <w:snapToGrid w:val="0"/>
                <w:sz w:val="20"/>
                <w:szCs w:val="20"/>
                <w:lang w:eastAsia="en-US"/>
              </w:rPr>
              <w:t xml:space="preserve"> to Three-Times Weekly Subcutaneous Interferon Beta-1a (</w:t>
            </w:r>
            <w:proofErr w:type="spellStart"/>
            <w:r w:rsidRPr="006706A8">
              <w:rPr>
                <w:rFonts w:ascii="Arial Narrow" w:hAnsi="Arial Narrow" w:cs="Arial"/>
                <w:snapToGrid w:val="0"/>
                <w:sz w:val="20"/>
                <w:szCs w:val="20"/>
                <w:lang w:eastAsia="en-US"/>
              </w:rPr>
              <w:t>Rebif</w:t>
            </w:r>
            <w:proofErr w:type="spellEnd"/>
            <w:r w:rsidRPr="006706A8">
              <w:rPr>
                <w:rFonts w:ascii="Arial Narrow" w:hAnsi="Arial Narrow" w:cs="Arial"/>
                <w:snapToGrid w:val="0"/>
                <w:sz w:val="20"/>
                <w:szCs w:val="20"/>
                <w:lang w:eastAsia="en-US"/>
              </w:rPr>
              <w:t>®) in Treatment-Naïve Patients with Relapsing-Remitting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Internal study report</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Cohen et al (2012). </w:t>
            </w:r>
            <w:proofErr w:type="spellStart"/>
            <w:r w:rsidRPr="006706A8">
              <w:rPr>
                <w:rFonts w:ascii="Arial Narrow" w:hAnsi="Arial Narrow" w:cs="Arial"/>
                <w:snapToGrid w:val="0"/>
                <w:sz w:val="20"/>
                <w:szCs w:val="20"/>
                <w:lang w:eastAsia="en-US"/>
              </w:rPr>
              <w:t>Alemtuzumab</w:t>
            </w:r>
            <w:proofErr w:type="spellEnd"/>
            <w:r w:rsidRPr="006706A8">
              <w:rPr>
                <w:rFonts w:ascii="Arial Narrow" w:hAnsi="Arial Narrow" w:cs="Arial"/>
                <w:snapToGrid w:val="0"/>
                <w:sz w:val="20"/>
                <w:szCs w:val="20"/>
                <w:lang w:eastAsia="en-US"/>
              </w:rPr>
              <w:t xml:space="preserve"> versus interferon beta 1a as first-line treatment for patients with relapsing-remitting multiple sclerosis: a randomised controlled phase 3 trial. </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The Lancet 380: 1819-1828</w:t>
            </w:r>
          </w:p>
        </w:tc>
      </w:tr>
      <w:tr w:rsidR="004C7F6D" w:rsidRPr="006706A8" w:rsidTr="001D7574">
        <w:tc>
          <w:tcPr>
            <w:tcW w:w="1276" w:type="dxa"/>
            <w:vMerge w:val="restart"/>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CARE MS-II</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Genzyme Corporation Clinical Study Report (2012). A Phase 3 Randomized, </w:t>
            </w:r>
            <w:proofErr w:type="spellStart"/>
            <w:r w:rsidRPr="006706A8">
              <w:rPr>
                <w:rFonts w:ascii="Arial Narrow" w:hAnsi="Arial Narrow" w:cs="Arial"/>
                <w:snapToGrid w:val="0"/>
                <w:sz w:val="20"/>
                <w:szCs w:val="20"/>
                <w:lang w:eastAsia="en-US"/>
              </w:rPr>
              <w:t>Rater</w:t>
            </w:r>
            <w:proofErr w:type="spellEnd"/>
            <w:r w:rsidRPr="006706A8">
              <w:rPr>
                <w:rFonts w:ascii="Arial Narrow" w:hAnsi="Arial Narrow" w:cs="Arial"/>
                <w:snapToGrid w:val="0"/>
                <w:sz w:val="20"/>
                <w:szCs w:val="20"/>
                <w:lang w:eastAsia="en-US"/>
              </w:rPr>
              <w:t xml:space="preserve">- and Dose-Blinded Study Comparing Two Annual Cycles of Intravenous Low- and High-Dose </w:t>
            </w:r>
            <w:proofErr w:type="spellStart"/>
            <w:r w:rsidRPr="006706A8">
              <w:rPr>
                <w:rFonts w:ascii="Arial Narrow" w:hAnsi="Arial Narrow" w:cs="Arial"/>
                <w:snapToGrid w:val="0"/>
                <w:sz w:val="20"/>
                <w:szCs w:val="20"/>
                <w:lang w:eastAsia="en-US"/>
              </w:rPr>
              <w:t>Alemtuzumab</w:t>
            </w:r>
            <w:proofErr w:type="spellEnd"/>
            <w:r w:rsidRPr="006706A8">
              <w:rPr>
                <w:rFonts w:ascii="Arial Narrow" w:hAnsi="Arial Narrow" w:cs="Arial"/>
                <w:snapToGrid w:val="0"/>
                <w:sz w:val="20"/>
                <w:szCs w:val="20"/>
                <w:lang w:eastAsia="en-US"/>
              </w:rPr>
              <w:t xml:space="preserve"> to Three-Times Weekly Subcutaneous Interferon Beta-1a (</w:t>
            </w:r>
            <w:proofErr w:type="spellStart"/>
            <w:r w:rsidRPr="006706A8">
              <w:rPr>
                <w:rFonts w:ascii="Arial Narrow" w:hAnsi="Arial Narrow" w:cs="Arial"/>
                <w:snapToGrid w:val="0"/>
                <w:sz w:val="20"/>
                <w:szCs w:val="20"/>
                <w:lang w:eastAsia="en-US"/>
              </w:rPr>
              <w:t>Rebif</w:t>
            </w:r>
            <w:proofErr w:type="spellEnd"/>
            <w:r w:rsidRPr="006706A8">
              <w:rPr>
                <w:rFonts w:ascii="Arial Narrow" w:hAnsi="Arial Narrow" w:cs="Arial"/>
                <w:snapToGrid w:val="0"/>
                <w:sz w:val="20"/>
                <w:szCs w:val="20"/>
                <w:lang w:eastAsia="en-US"/>
              </w:rPr>
              <w:t>®) in Patients with Relapsing-Remitting Multiple Sclerosis who Have Relapsed on Therapy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Internal study report</w:t>
            </w:r>
          </w:p>
        </w:tc>
      </w:tr>
      <w:tr w:rsidR="004C7F6D" w:rsidRPr="006706A8" w:rsidTr="001D7574">
        <w:tc>
          <w:tcPr>
            <w:tcW w:w="1276" w:type="dxa"/>
            <w:vMerge/>
            <w:vAlign w:val="center"/>
          </w:tcPr>
          <w:p w:rsidR="004C7F6D" w:rsidRPr="006706A8" w:rsidRDefault="004C7F6D" w:rsidP="001D7574">
            <w:pPr>
              <w:widowControl w:val="0"/>
              <w:ind w:firstLine="72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Coles et al (2012). </w:t>
            </w:r>
            <w:proofErr w:type="spellStart"/>
            <w:r w:rsidRPr="006706A8">
              <w:rPr>
                <w:rFonts w:ascii="Arial Narrow" w:hAnsi="Arial Narrow" w:cs="Arial"/>
                <w:snapToGrid w:val="0"/>
                <w:sz w:val="20"/>
                <w:szCs w:val="20"/>
                <w:lang w:eastAsia="en-US"/>
              </w:rPr>
              <w:t>Alemtuzumab</w:t>
            </w:r>
            <w:proofErr w:type="spellEnd"/>
            <w:r w:rsidRPr="006706A8">
              <w:rPr>
                <w:rFonts w:ascii="Arial Narrow" w:hAnsi="Arial Narrow" w:cs="Arial"/>
                <w:snapToGrid w:val="0"/>
                <w:sz w:val="20"/>
                <w:szCs w:val="20"/>
                <w:lang w:eastAsia="en-US"/>
              </w:rPr>
              <w:t xml:space="preserve"> for patients with relapsing multiple sclerosis after disease-modifying therapy: a randomised controlled phase 3 trial</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The Lancet 380: 1829-1839</w:t>
            </w:r>
          </w:p>
        </w:tc>
      </w:tr>
      <w:tr w:rsidR="004C7F6D" w:rsidRPr="006706A8" w:rsidTr="001D7574">
        <w:tc>
          <w:tcPr>
            <w:tcW w:w="8362" w:type="dxa"/>
            <w:gridSpan w:val="3"/>
            <w:vAlign w:val="center"/>
          </w:tcPr>
          <w:p w:rsidR="004C7F6D" w:rsidRPr="006706A8" w:rsidRDefault="004C7F6D" w:rsidP="001D7574">
            <w:pPr>
              <w:widowControl w:val="0"/>
              <w:jc w:val="both"/>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Trials of other disease modifying therapies</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SELECT</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Giovannoni</w:t>
            </w:r>
            <w:proofErr w:type="spellEnd"/>
            <w:r w:rsidRPr="006706A8">
              <w:rPr>
                <w:rFonts w:ascii="Arial Narrow" w:hAnsi="Arial Narrow" w:cs="Arial"/>
                <w:snapToGrid w:val="0"/>
                <w:sz w:val="20"/>
                <w:szCs w:val="20"/>
                <w:lang w:eastAsia="en-US"/>
              </w:rPr>
              <w:t xml:space="preserve"> et al (2011). A randomized, double-blind, placebo-controlled study to evaluate the safety and efficacy of </w:t>
            </w:r>
            <w:proofErr w:type="spellStart"/>
            <w:r w:rsidRPr="006706A8">
              <w:rPr>
                <w:rFonts w:ascii="Arial Narrow" w:hAnsi="Arial Narrow" w:cs="Arial"/>
                <w:snapToGrid w:val="0"/>
                <w:sz w:val="20"/>
                <w:szCs w:val="20"/>
                <w:lang w:eastAsia="en-US"/>
              </w:rPr>
              <w:t>daclizumab</w:t>
            </w:r>
            <w:proofErr w:type="spellEnd"/>
            <w:r w:rsidRPr="006706A8">
              <w:rPr>
                <w:rFonts w:ascii="Arial Narrow" w:hAnsi="Arial Narrow" w:cs="Arial"/>
                <w:snapToGrid w:val="0"/>
                <w:sz w:val="20"/>
                <w:szCs w:val="20"/>
                <w:lang w:eastAsia="en-US"/>
              </w:rPr>
              <w:t xml:space="preserve"> HYP monotherapy in relapsing-remitting multiple sclerosis: Primary results of the SELECT trial</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Multiple Sclerosis 17: S508-S509.</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Kappos</w:t>
            </w:r>
            <w:proofErr w:type="spellEnd"/>
            <w:r w:rsidRPr="006706A8">
              <w:rPr>
                <w:rFonts w:ascii="Arial Narrow" w:hAnsi="Arial Narrow" w:cs="Arial"/>
                <w:snapToGrid w:val="0"/>
                <w:sz w:val="20"/>
                <w:szCs w:val="20"/>
                <w:lang w:eastAsia="en-US"/>
              </w:rPr>
              <w:t xml:space="preserve"> </w:t>
            </w:r>
          </w:p>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(2008)</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Kappos</w:t>
            </w:r>
            <w:proofErr w:type="spellEnd"/>
            <w:r w:rsidRPr="006706A8">
              <w:rPr>
                <w:rFonts w:ascii="Arial Narrow" w:hAnsi="Arial Narrow" w:cs="Arial"/>
                <w:snapToGrid w:val="0"/>
                <w:sz w:val="20"/>
                <w:szCs w:val="20"/>
                <w:lang w:eastAsia="en-US"/>
              </w:rPr>
              <w:t xml:space="preserve"> et al (2008). Efficacy and safety of oral </w:t>
            </w:r>
            <w:proofErr w:type="spellStart"/>
            <w:r w:rsidRPr="006706A8">
              <w:rPr>
                <w:rFonts w:ascii="Arial Narrow" w:hAnsi="Arial Narrow" w:cs="Arial"/>
                <w:snapToGrid w:val="0"/>
                <w:sz w:val="20"/>
                <w:szCs w:val="20"/>
                <w:lang w:eastAsia="en-US"/>
              </w:rPr>
              <w:t>fumarate</w:t>
            </w:r>
            <w:proofErr w:type="spellEnd"/>
            <w:r w:rsidRPr="006706A8">
              <w:rPr>
                <w:rFonts w:ascii="Arial Narrow" w:hAnsi="Arial Narrow" w:cs="Arial"/>
                <w:snapToGrid w:val="0"/>
                <w:sz w:val="20"/>
                <w:szCs w:val="20"/>
                <w:lang w:eastAsia="en-US"/>
              </w:rPr>
              <w:t xml:space="preserve"> in patients with relapsing-remitting multiple sclerosis: a multicentre, randomised, double-blind, placebo-controlled phase </w:t>
            </w:r>
            <w:proofErr w:type="spellStart"/>
            <w:r w:rsidRPr="006706A8">
              <w:rPr>
                <w:rFonts w:ascii="Arial Narrow" w:hAnsi="Arial Narrow" w:cs="Arial"/>
                <w:snapToGrid w:val="0"/>
                <w:sz w:val="20"/>
                <w:szCs w:val="20"/>
                <w:lang w:eastAsia="en-US"/>
              </w:rPr>
              <w:t>IIb</w:t>
            </w:r>
            <w:proofErr w:type="spellEnd"/>
            <w:r w:rsidRPr="006706A8">
              <w:rPr>
                <w:rFonts w:ascii="Arial Narrow" w:hAnsi="Arial Narrow" w:cs="Arial"/>
                <w:snapToGrid w:val="0"/>
                <w:sz w:val="20"/>
                <w:szCs w:val="20"/>
                <w:lang w:eastAsia="en-US"/>
              </w:rPr>
              <w:t xml:space="preserve"> study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The Lancet 372: 1463-1472</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CONFIRM</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Fox et al (2012). Placebo-controlled phase 3 study of oral BG-12 or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in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 England Journal of Medicine 367: 1087-1097</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DEFINE</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Gold et al (2012). Placebo-controlled phase 3 study of oral BG-12 for relapsing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 England Journal of Medicine 367: 1098-1107</w:t>
            </w:r>
          </w:p>
        </w:tc>
      </w:tr>
      <w:tr w:rsidR="004C7F6D" w:rsidRPr="006706A8" w:rsidTr="001D7574">
        <w:tc>
          <w:tcPr>
            <w:tcW w:w="1276" w:type="dxa"/>
            <w:vMerge w:val="restart"/>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FREEDOMS</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Kappos</w:t>
            </w:r>
            <w:proofErr w:type="spellEnd"/>
            <w:r w:rsidRPr="006706A8">
              <w:rPr>
                <w:rFonts w:ascii="Arial Narrow" w:hAnsi="Arial Narrow" w:cs="Arial"/>
                <w:snapToGrid w:val="0"/>
                <w:sz w:val="20"/>
                <w:szCs w:val="20"/>
                <w:lang w:eastAsia="en-US"/>
              </w:rPr>
              <w:t xml:space="preserve"> et al (2010). A placebo-controlled trial of oral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xml:space="preserve"> in relapsing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 England Journal of Medicine 362: 387-401</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Devonshire et al (2012). Relapse and disability outcomes in patients with multiple sclerosis treated with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subgroup analyses of the double-blind, randomised, placebo-controlled FREEDOMS study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The Lancet Neurology 11: 420-428</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Radue</w:t>
            </w:r>
            <w:proofErr w:type="spellEnd"/>
            <w:r w:rsidRPr="006706A8">
              <w:rPr>
                <w:rFonts w:ascii="Arial Narrow" w:hAnsi="Arial Narrow" w:cs="Arial"/>
                <w:snapToGrid w:val="0"/>
                <w:sz w:val="20"/>
                <w:szCs w:val="20"/>
                <w:lang w:eastAsia="en-US"/>
              </w:rPr>
              <w:t xml:space="preserve"> et al (2012). Impact of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xml:space="preserve"> therapy on magnetic resonance imaging outcomes in patients with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Archives of Neurology 69: 1259-1269</w:t>
            </w:r>
          </w:p>
        </w:tc>
      </w:tr>
      <w:tr w:rsidR="004C7F6D" w:rsidRPr="006706A8" w:rsidTr="001D7574">
        <w:tc>
          <w:tcPr>
            <w:tcW w:w="1276" w:type="dxa"/>
            <w:vMerge w:val="restart"/>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FREEDOMS II</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Calabresi</w:t>
            </w:r>
            <w:proofErr w:type="spellEnd"/>
            <w:r w:rsidRPr="006706A8">
              <w:rPr>
                <w:rFonts w:ascii="Arial Narrow" w:hAnsi="Arial Narrow" w:cs="Arial"/>
                <w:snapToGrid w:val="0"/>
                <w:sz w:val="20"/>
                <w:szCs w:val="20"/>
                <w:lang w:eastAsia="en-US"/>
              </w:rPr>
              <w:t xml:space="preserve"> et al (2012). Efficacy and safety of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xml:space="preserve"> in patients with relapsing-remitting multiple sclerosis (RRMS): Results from an additional 24-month double-blind, placebo-controlled study (FREEDOMS II study)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79: e90-e91</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Calabresi</w:t>
            </w:r>
            <w:proofErr w:type="spellEnd"/>
            <w:r w:rsidRPr="006706A8">
              <w:rPr>
                <w:rFonts w:ascii="Arial Narrow" w:hAnsi="Arial Narrow" w:cs="Arial"/>
                <w:snapToGrid w:val="0"/>
                <w:sz w:val="20"/>
                <w:szCs w:val="20"/>
                <w:lang w:eastAsia="en-US"/>
              </w:rPr>
              <w:t xml:space="preserve"> et al (2012). Efficacy and safety of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xml:space="preserve"> in patients with relapsing remitting multiple sclerosis (RRMS): results from an additional 24-month double-blind, placebo-controlled study (FREEDOMS II Study)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American Academy of Neurology Meeting 2012</w:t>
            </w:r>
          </w:p>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Poster E-002</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Calabresi</w:t>
            </w:r>
            <w:proofErr w:type="spellEnd"/>
            <w:r w:rsidRPr="006706A8">
              <w:rPr>
                <w:rFonts w:ascii="Arial Narrow" w:hAnsi="Arial Narrow" w:cs="Arial"/>
                <w:snapToGrid w:val="0"/>
                <w:sz w:val="20"/>
                <w:szCs w:val="20"/>
                <w:lang w:eastAsia="en-US"/>
              </w:rPr>
              <w:t xml:space="preserve"> et al (2012). Efficacy and safety of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xml:space="preserve"> versus placebo: primary outcomes from the phase 3 FREEDOMS II study in patients with relapsing–remitting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European Committee for Treatment and Research in Multiple Sclerosis Congress 2012</w:t>
            </w:r>
            <w:r w:rsidRPr="006706A8">
              <w:rPr>
                <w:rFonts w:ascii="Arial" w:hAnsi="Arial" w:cs="Arial"/>
                <w:snapToGrid w:val="0"/>
                <w:sz w:val="22"/>
                <w:szCs w:val="20"/>
                <w:lang w:eastAsia="en-US"/>
              </w:rPr>
              <w:t xml:space="preserve"> </w:t>
            </w:r>
            <w:r w:rsidRPr="006706A8">
              <w:rPr>
                <w:rFonts w:ascii="Arial Narrow" w:hAnsi="Arial Narrow" w:cs="Arial"/>
                <w:snapToGrid w:val="0"/>
                <w:sz w:val="20"/>
                <w:szCs w:val="20"/>
                <w:lang w:eastAsia="en-US"/>
              </w:rPr>
              <w:t>Abstract P491</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Vollmer et al (2012). Effect of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xml:space="preserve"> on severe relapses, healthcare utilisation and relapse recovery in patients with relapsing–remitting multiple sclerosis: results from the phase 3 FREEDOMS II study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European Committee for Treatment and Research in Multiple Sclerosis Congress 2012</w:t>
            </w:r>
            <w:r w:rsidRPr="006706A8">
              <w:rPr>
                <w:rFonts w:ascii="Arial" w:hAnsi="Arial" w:cs="Arial"/>
                <w:snapToGrid w:val="0"/>
                <w:sz w:val="22"/>
                <w:szCs w:val="20"/>
                <w:lang w:eastAsia="en-US"/>
              </w:rPr>
              <w:t xml:space="preserve"> </w:t>
            </w:r>
            <w:r w:rsidRPr="006706A8">
              <w:rPr>
                <w:rFonts w:ascii="Arial Narrow" w:hAnsi="Arial Narrow" w:cs="Arial"/>
                <w:snapToGrid w:val="0"/>
                <w:sz w:val="20"/>
                <w:szCs w:val="20"/>
                <w:lang w:eastAsia="en-US"/>
              </w:rPr>
              <w:t>Abstract P952</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Goodin</w:t>
            </w:r>
            <w:proofErr w:type="spellEnd"/>
            <w:r w:rsidRPr="006706A8">
              <w:rPr>
                <w:rFonts w:ascii="Arial Narrow" w:hAnsi="Arial Narrow" w:cs="Arial"/>
                <w:snapToGrid w:val="0"/>
                <w:sz w:val="20"/>
                <w:szCs w:val="20"/>
                <w:lang w:eastAsia="en-US"/>
              </w:rPr>
              <w:t xml:space="preserve"> et al (2013).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xml:space="preserve"> reduces annualized relapse rate in patients with relapsing-remitting multiple sclerosis: FREEDOMS II study subgroup analysis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80: P07.102</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Vollmer et al (2013). Long-term safety of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xml:space="preserve"> in patients with relapsing-remitting multiple sclerosis: Results from phase 3 FREEDOMS II extension study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80: P01.165</w:t>
            </w:r>
          </w:p>
        </w:tc>
      </w:tr>
      <w:tr w:rsidR="004C7F6D" w:rsidRPr="006706A8" w:rsidTr="001D7574">
        <w:tc>
          <w:tcPr>
            <w:tcW w:w="1276" w:type="dxa"/>
            <w:vMerge w:val="restart"/>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18"/>
                <w:szCs w:val="20"/>
                <w:lang w:eastAsia="en-US"/>
              </w:rPr>
              <w:t>TRANSFORMS</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Cohen et al (2010). Oral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xml:space="preserve"> or intramuscular interferon for relapsing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 England Journal of Medicine 362: 402-415</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Khatri et al (2011). Comparison of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xml:space="preserve"> with interferon beta-1a in relapsing-remitting multiple sclerosis: a randomised extension of the TRANSFORMS study</w:t>
            </w:r>
          </w:p>
        </w:tc>
        <w:tc>
          <w:tcPr>
            <w:tcW w:w="1700" w:type="dxa"/>
            <w:vAlign w:val="center"/>
          </w:tcPr>
          <w:p w:rsidR="004C7F6D" w:rsidRPr="006706A8" w:rsidRDefault="004C7F6D" w:rsidP="005879E8">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The Lancet Neurology 10: 520-529</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Cohen et al (2013).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xml:space="preserve"> versus intramuscular interferon in patient subgroups from TRANSFORMS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Journal of Neurology 260: 2023-2032</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Saida</w:t>
            </w:r>
            <w:proofErr w:type="spellEnd"/>
            <w:r w:rsidRPr="006706A8">
              <w:rPr>
                <w:rFonts w:ascii="Arial Narrow" w:hAnsi="Arial Narrow" w:cs="Arial"/>
                <w:snapToGrid w:val="0"/>
                <w:sz w:val="20"/>
                <w:szCs w:val="20"/>
                <w:lang w:eastAsia="en-US"/>
              </w:rPr>
              <w:t xml:space="preserve"> </w:t>
            </w:r>
          </w:p>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(2012)</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Saida</w:t>
            </w:r>
            <w:proofErr w:type="spellEnd"/>
            <w:r w:rsidRPr="006706A8">
              <w:rPr>
                <w:rFonts w:ascii="Arial Narrow" w:hAnsi="Arial Narrow" w:cs="Arial"/>
                <w:snapToGrid w:val="0"/>
                <w:sz w:val="20"/>
                <w:szCs w:val="20"/>
                <w:lang w:eastAsia="en-US"/>
              </w:rPr>
              <w:t xml:space="preserve"> et al (2012). A randomized, controlled trial of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xml:space="preserve"> (FTY720) in Japanese patients with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Multiple Sclerosis 18: 1269-1277</w:t>
            </w:r>
          </w:p>
        </w:tc>
      </w:tr>
      <w:tr w:rsidR="004C7F6D" w:rsidRPr="006706A8" w:rsidTr="001D7574">
        <w:tc>
          <w:tcPr>
            <w:tcW w:w="1276" w:type="dxa"/>
            <w:vMerge w:val="restart"/>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Kappos</w:t>
            </w:r>
            <w:proofErr w:type="spellEnd"/>
            <w:r w:rsidRPr="006706A8">
              <w:rPr>
                <w:rFonts w:ascii="Arial Narrow" w:hAnsi="Arial Narrow" w:cs="Arial"/>
                <w:snapToGrid w:val="0"/>
                <w:sz w:val="20"/>
                <w:szCs w:val="20"/>
                <w:lang w:eastAsia="en-US"/>
              </w:rPr>
              <w:t xml:space="preserve"> </w:t>
            </w:r>
          </w:p>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(2006)</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Kappos</w:t>
            </w:r>
            <w:proofErr w:type="spellEnd"/>
            <w:r w:rsidRPr="006706A8">
              <w:rPr>
                <w:rFonts w:ascii="Arial Narrow" w:hAnsi="Arial Narrow" w:cs="Arial"/>
                <w:snapToGrid w:val="0"/>
                <w:sz w:val="20"/>
                <w:szCs w:val="20"/>
                <w:lang w:eastAsia="en-US"/>
              </w:rPr>
              <w:t xml:space="preserve"> et al (2006). Oral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xml:space="preserve"> (FTY720) for relapsing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 England Journal of Medicine 355: 1124-1140</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O'Connor et al (2009). Oral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xml:space="preserve"> (FTY720) in multiple sclerosis: two-year results of a phase II extension study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72: 73-79</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Comi</w:t>
            </w:r>
            <w:proofErr w:type="spellEnd"/>
            <w:r w:rsidRPr="006706A8">
              <w:rPr>
                <w:rFonts w:ascii="Arial Narrow" w:hAnsi="Arial Narrow" w:cs="Arial"/>
                <w:snapToGrid w:val="0"/>
                <w:sz w:val="20"/>
                <w:szCs w:val="20"/>
                <w:lang w:eastAsia="en-US"/>
              </w:rPr>
              <w:t xml:space="preserve"> et al (2010). Phase II study of oral </w:t>
            </w:r>
            <w:proofErr w:type="spellStart"/>
            <w:r w:rsidRPr="006706A8">
              <w:rPr>
                <w:rFonts w:ascii="Arial Narrow" w:hAnsi="Arial Narrow" w:cs="Arial"/>
                <w:snapToGrid w:val="0"/>
                <w:sz w:val="20"/>
                <w:szCs w:val="20"/>
                <w:lang w:eastAsia="en-US"/>
              </w:rPr>
              <w:t>fingolimod</w:t>
            </w:r>
            <w:proofErr w:type="spellEnd"/>
            <w:r w:rsidRPr="006706A8">
              <w:rPr>
                <w:rFonts w:ascii="Arial Narrow" w:hAnsi="Arial Narrow" w:cs="Arial"/>
                <w:snapToGrid w:val="0"/>
                <w:sz w:val="20"/>
                <w:szCs w:val="20"/>
                <w:lang w:eastAsia="en-US"/>
              </w:rPr>
              <w:t xml:space="preserve"> (FTY720) in multiple sclerosis: 3-year results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Multiple Sclerosis 16: 197-207</w:t>
            </w:r>
          </w:p>
        </w:tc>
      </w:tr>
      <w:tr w:rsidR="004C7F6D" w:rsidRPr="006706A8" w:rsidTr="001D7574">
        <w:tc>
          <w:tcPr>
            <w:tcW w:w="1276" w:type="dxa"/>
            <w:vMerge w:val="restart"/>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Cohen </w:t>
            </w:r>
          </w:p>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(2007)</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Cohen et al (2007). Randomized, double-blind, dose-comparison study of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acetate in relapsing-remitting MS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68: 939-944</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Wynn et al (2008). Optimal Dosing of </w:t>
            </w:r>
            <w:proofErr w:type="spellStart"/>
            <w:r w:rsidRPr="006706A8">
              <w:rPr>
                <w:rFonts w:ascii="Arial Narrow" w:hAnsi="Arial Narrow" w:cs="Arial"/>
                <w:snapToGrid w:val="0"/>
                <w:sz w:val="20"/>
                <w:szCs w:val="20"/>
                <w:lang w:eastAsia="en-US"/>
              </w:rPr>
              <w:t>Immunomodulating</w:t>
            </w:r>
            <w:proofErr w:type="spellEnd"/>
            <w:r w:rsidRPr="006706A8">
              <w:rPr>
                <w:rFonts w:ascii="Arial Narrow" w:hAnsi="Arial Narrow" w:cs="Arial"/>
                <w:snapToGrid w:val="0"/>
                <w:sz w:val="20"/>
                <w:szCs w:val="20"/>
                <w:lang w:eastAsia="en-US"/>
              </w:rPr>
              <w:t xml:space="preserve"> Drugs: A Dose-comparison Study of GA in RRMS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Progress in </w:t>
            </w:r>
            <w:proofErr w:type="spellStart"/>
            <w:r w:rsidRPr="006706A8">
              <w:rPr>
                <w:rFonts w:ascii="Arial Narrow" w:hAnsi="Arial Narrow" w:cs="Arial"/>
                <w:snapToGrid w:val="0"/>
                <w:sz w:val="20"/>
                <w:szCs w:val="20"/>
                <w:lang w:eastAsia="en-US"/>
              </w:rPr>
              <w:t>Neurotherapeutics</w:t>
            </w:r>
            <w:proofErr w:type="spellEnd"/>
            <w:r w:rsidRPr="006706A8">
              <w:rPr>
                <w:rFonts w:ascii="Arial Narrow" w:hAnsi="Arial Narrow" w:cs="Arial"/>
                <w:snapToGrid w:val="0"/>
                <w:sz w:val="20"/>
                <w:szCs w:val="20"/>
                <w:lang w:eastAsia="en-US"/>
              </w:rPr>
              <w:t xml:space="preserve"> and </w:t>
            </w:r>
            <w:proofErr w:type="spellStart"/>
            <w:r w:rsidRPr="006706A8">
              <w:rPr>
                <w:rFonts w:ascii="Arial Narrow" w:hAnsi="Arial Narrow" w:cs="Arial"/>
                <w:snapToGrid w:val="0"/>
                <w:sz w:val="20"/>
                <w:szCs w:val="20"/>
                <w:lang w:eastAsia="en-US"/>
              </w:rPr>
              <w:t>Neuropsychopharmacology</w:t>
            </w:r>
            <w:proofErr w:type="spellEnd"/>
            <w:r w:rsidRPr="006706A8">
              <w:rPr>
                <w:rFonts w:ascii="Arial Narrow" w:hAnsi="Arial Narrow" w:cs="Arial"/>
                <w:snapToGrid w:val="0"/>
                <w:sz w:val="20"/>
                <w:szCs w:val="20"/>
                <w:lang w:eastAsia="en-US"/>
              </w:rPr>
              <w:t xml:space="preserve"> 3:137-151</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FORTE</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Comi</w:t>
            </w:r>
            <w:proofErr w:type="spellEnd"/>
            <w:r w:rsidRPr="006706A8">
              <w:rPr>
                <w:rFonts w:ascii="Arial Narrow" w:hAnsi="Arial Narrow" w:cs="Arial"/>
                <w:snapToGrid w:val="0"/>
                <w:sz w:val="20"/>
                <w:szCs w:val="20"/>
                <w:lang w:eastAsia="en-US"/>
              </w:rPr>
              <w:t xml:space="preserve"> et al (2011). Phase III dose-comparison study of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acetate for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Annals of Neurology 69: 75-82</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BECOME</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Cadavid</w:t>
            </w:r>
            <w:proofErr w:type="spellEnd"/>
            <w:r w:rsidRPr="006706A8">
              <w:rPr>
                <w:rFonts w:ascii="Arial Narrow" w:hAnsi="Arial Narrow" w:cs="Arial"/>
                <w:snapToGrid w:val="0"/>
                <w:sz w:val="20"/>
                <w:szCs w:val="20"/>
                <w:lang w:eastAsia="en-US"/>
              </w:rPr>
              <w:t xml:space="preserve"> et al (2009). Efficacy of treatment of MS with IFNβ-1b or </w:t>
            </w:r>
            <w:proofErr w:type="spellStart"/>
            <w:r w:rsidRPr="006706A8">
              <w:rPr>
                <w:rFonts w:ascii="Arial Narrow" w:hAnsi="Arial Narrow" w:cs="Arial"/>
                <w:snapToGrid w:val="0"/>
                <w:sz w:val="20"/>
                <w:szCs w:val="20"/>
                <w:lang w:eastAsia="en-US"/>
              </w:rPr>
              <w:lastRenderedPageBreak/>
              <w:t>glatiramer</w:t>
            </w:r>
            <w:proofErr w:type="spellEnd"/>
            <w:r w:rsidRPr="006706A8">
              <w:rPr>
                <w:rFonts w:ascii="Arial Narrow" w:hAnsi="Arial Narrow" w:cs="Arial"/>
                <w:snapToGrid w:val="0"/>
                <w:sz w:val="20"/>
                <w:szCs w:val="20"/>
                <w:lang w:eastAsia="en-US"/>
              </w:rPr>
              <w:t xml:space="preserve"> acetate by monthly brain MRI in the BECOME study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lastRenderedPageBreak/>
              <w:t xml:space="preserve">Neurology 72: </w:t>
            </w:r>
            <w:r w:rsidRPr="006706A8">
              <w:rPr>
                <w:rFonts w:ascii="Arial Narrow" w:hAnsi="Arial Narrow" w:cs="Arial"/>
                <w:snapToGrid w:val="0"/>
                <w:sz w:val="20"/>
                <w:szCs w:val="20"/>
                <w:lang w:eastAsia="en-US"/>
              </w:rPr>
              <w:lastRenderedPageBreak/>
              <w:t>1976-1983</w:t>
            </w:r>
          </w:p>
        </w:tc>
      </w:tr>
      <w:tr w:rsidR="004C7F6D" w:rsidRPr="006706A8" w:rsidTr="001D7574">
        <w:tc>
          <w:tcPr>
            <w:tcW w:w="1276" w:type="dxa"/>
            <w:vMerge w:val="restart"/>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lastRenderedPageBreak/>
              <w:t>CombiRx</w:t>
            </w:r>
            <w:proofErr w:type="spellEnd"/>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Cutter et al (2012). EDSS changes and progression in the </w:t>
            </w:r>
            <w:proofErr w:type="spellStart"/>
            <w:r w:rsidRPr="006706A8">
              <w:rPr>
                <w:rFonts w:ascii="Arial Narrow" w:hAnsi="Arial Narrow" w:cs="Arial"/>
                <w:snapToGrid w:val="0"/>
                <w:sz w:val="20"/>
                <w:szCs w:val="20"/>
                <w:lang w:eastAsia="en-US"/>
              </w:rPr>
              <w:t>CombiRx</w:t>
            </w:r>
            <w:proofErr w:type="spellEnd"/>
            <w:r w:rsidRPr="006706A8">
              <w:rPr>
                <w:rFonts w:ascii="Arial Narrow" w:hAnsi="Arial Narrow" w:cs="Arial"/>
                <w:snapToGrid w:val="0"/>
                <w:sz w:val="20"/>
                <w:szCs w:val="20"/>
                <w:lang w:eastAsia="en-US"/>
              </w:rPr>
              <w:t xml:space="preserve"> randomized clinical trial: 3-year results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European Committee for Treatment and Research in Multiple Sclerosis Congress 2012</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CombRx</w:t>
            </w:r>
            <w:proofErr w:type="spellEnd"/>
            <w:r w:rsidRPr="006706A8">
              <w:rPr>
                <w:rFonts w:ascii="Arial Narrow" w:hAnsi="Arial Narrow" w:cs="Arial"/>
                <w:snapToGrid w:val="0"/>
                <w:sz w:val="20"/>
                <w:szCs w:val="20"/>
                <w:lang w:eastAsia="en-US"/>
              </w:rPr>
              <w:t xml:space="preserve"> (2012). The </w:t>
            </w:r>
            <w:proofErr w:type="spellStart"/>
            <w:r w:rsidRPr="006706A8">
              <w:rPr>
                <w:rFonts w:ascii="Arial Narrow" w:hAnsi="Arial Narrow" w:cs="Arial"/>
                <w:snapToGrid w:val="0"/>
                <w:sz w:val="20"/>
                <w:szCs w:val="20"/>
                <w:lang w:eastAsia="en-US"/>
              </w:rPr>
              <w:t>CombiRx</w:t>
            </w:r>
            <w:proofErr w:type="spellEnd"/>
            <w:r w:rsidRPr="006706A8">
              <w:rPr>
                <w:rFonts w:ascii="Arial Narrow" w:hAnsi="Arial Narrow" w:cs="Arial"/>
                <w:snapToGrid w:val="0"/>
                <w:sz w:val="20"/>
                <w:szCs w:val="20"/>
                <w:lang w:eastAsia="en-US"/>
              </w:rPr>
              <w:t xml:space="preserve"> trial: a multi-</w:t>
            </w:r>
            <w:proofErr w:type="spellStart"/>
            <w:r w:rsidRPr="006706A8">
              <w:rPr>
                <w:rFonts w:ascii="Arial Narrow" w:hAnsi="Arial Narrow" w:cs="Arial"/>
                <w:snapToGrid w:val="0"/>
                <w:sz w:val="20"/>
                <w:szCs w:val="20"/>
                <w:lang w:eastAsia="en-US"/>
              </w:rPr>
              <w:t>center</w:t>
            </w:r>
            <w:proofErr w:type="spellEnd"/>
            <w:r w:rsidRPr="006706A8">
              <w:rPr>
                <w:rFonts w:ascii="Arial Narrow" w:hAnsi="Arial Narrow" w:cs="Arial"/>
                <w:snapToGrid w:val="0"/>
                <w:sz w:val="20"/>
                <w:szCs w:val="20"/>
                <w:lang w:eastAsia="en-US"/>
              </w:rPr>
              <w:t xml:space="preserve">, double-blind, randomized study comparing the combined use of interferon beta-1a and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acetate to either agent alone in participants with relapsing remitting multiple sclerosis - clinical and MRI outcomes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American Academy of Neurology Meeting 2012</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Wolinsky</w:t>
            </w:r>
            <w:proofErr w:type="spellEnd"/>
            <w:r w:rsidRPr="006706A8">
              <w:rPr>
                <w:rFonts w:ascii="Arial Narrow" w:hAnsi="Arial Narrow" w:cs="Arial"/>
                <w:snapToGrid w:val="0"/>
                <w:sz w:val="20"/>
                <w:szCs w:val="20"/>
                <w:lang w:eastAsia="en-US"/>
              </w:rPr>
              <w:t xml:space="preserve"> et al (2012). The </w:t>
            </w:r>
            <w:proofErr w:type="spellStart"/>
            <w:r w:rsidRPr="006706A8">
              <w:rPr>
                <w:rFonts w:ascii="Arial Narrow" w:hAnsi="Arial Narrow" w:cs="Arial"/>
                <w:snapToGrid w:val="0"/>
                <w:sz w:val="20"/>
                <w:szCs w:val="20"/>
                <w:lang w:eastAsia="en-US"/>
              </w:rPr>
              <w:t>CombiRx</w:t>
            </w:r>
            <w:proofErr w:type="spellEnd"/>
            <w:r w:rsidRPr="006706A8">
              <w:rPr>
                <w:rFonts w:ascii="Arial Narrow" w:hAnsi="Arial Narrow" w:cs="Arial"/>
                <w:snapToGrid w:val="0"/>
                <w:sz w:val="20"/>
                <w:szCs w:val="20"/>
                <w:lang w:eastAsia="en-US"/>
              </w:rPr>
              <w:t xml:space="preserve"> trial: a </w:t>
            </w:r>
            <w:proofErr w:type="spellStart"/>
            <w:r w:rsidRPr="006706A8">
              <w:rPr>
                <w:rFonts w:ascii="Arial Narrow" w:hAnsi="Arial Narrow" w:cs="Arial"/>
                <w:snapToGrid w:val="0"/>
                <w:sz w:val="20"/>
                <w:szCs w:val="20"/>
                <w:lang w:eastAsia="en-US"/>
              </w:rPr>
              <w:t>multicenter</w:t>
            </w:r>
            <w:proofErr w:type="spellEnd"/>
            <w:r w:rsidRPr="006706A8">
              <w:rPr>
                <w:rFonts w:ascii="Arial Narrow" w:hAnsi="Arial Narrow" w:cs="Arial"/>
                <w:snapToGrid w:val="0"/>
                <w:sz w:val="20"/>
                <w:szCs w:val="20"/>
                <w:lang w:eastAsia="en-US"/>
              </w:rPr>
              <w:t xml:space="preserve">, double-blind, randomized study comparing the combined use of interferon beta-1a and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acetate to either agent alone in participants with relapsing remitting multiple sclerosis - MRI outcomes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American Academy of Neurology Meeting 2012</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Bornstein (1987)</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Bornstein et al (1987). A pilot trial of Cop 1 in exacerbating-remitting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 England Journal of Medicine 317: 408-414</w:t>
            </w:r>
          </w:p>
        </w:tc>
      </w:tr>
      <w:tr w:rsidR="004C7F6D" w:rsidRPr="006706A8" w:rsidTr="001D7574">
        <w:tc>
          <w:tcPr>
            <w:tcW w:w="1276" w:type="dxa"/>
            <w:vMerge w:val="restart"/>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Johnson </w:t>
            </w:r>
          </w:p>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(1995)</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Johnson et al (1995). Copolymer 1 reduces relapse rate and improves disability in relapsing-remitting multiple sclerosis: results of a phase III </w:t>
            </w:r>
            <w:proofErr w:type="spellStart"/>
            <w:r w:rsidRPr="006706A8">
              <w:rPr>
                <w:rFonts w:ascii="Arial Narrow" w:hAnsi="Arial Narrow" w:cs="Arial"/>
                <w:snapToGrid w:val="0"/>
                <w:sz w:val="20"/>
                <w:szCs w:val="20"/>
                <w:lang w:eastAsia="en-US"/>
              </w:rPr>
              <w:t>multicenter</w:t>
            </w:r>
            <w:proofErr w:type="spellEnd"/>
            <w:r w:rsidRPr="006706A8">
              <w:rPr>
                <w:rFonts w:ascii="Arial Narrow" w:hAnsi="Arial Narrow" w:cs="Arial"/>
                <w:snapToGrid w:val="0"/>
                <w:sz w:val="20"/>
                <w:szCs w:val="20"/>
                <w:lang w:eastAsia="en-US"/>
              </w:rPr>
              <w:t>, double-blind placebo-controlled trial. The Copolymer 1 Multiple Sclerosis Study Group</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45: 1268-1276</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Johnson (1996). Management of relapsing/remitting multiple sclerosis with copolymer 1 (</w:t>
            </w:r>
            <w:proofErr w:type="spellStart"/>
            <w:r w:rsidRPr="006706A8">
              <w:rPr>
                <w:rFonts w:ascii="Arial Narrow" w:hAnsi="Arial Narrow" w:cs="Arial"/>
                <w:snapToGrid w:val="0"/>
                <w:sz w:val="20"/>
                <w:szCs w:val="20"/>
                <w:lang w:eastAsia="en-US"/>
              </w:rPr>
              <w:t>Copaxone</w:t>
            </w:r>
            <w:proofErr w:type="spellEnd"/>
            <w:r w:rsidRPr="006706A8">
              <w:rPr>
                <w:rFonts w:ascii="Arial Narrow" w:hAnsi="Arial Narrow" w:cs="Arial"/>
                <w:snapToGrid w:val="0"/>
                <w:sz w:val="20"/>
                <w:szCs w:val="20"/>
                <w:lang w:eastAsia="en-US"/>
              </w:rPr>
              <w:t>)</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Multiple Sclerosis 1: 325-326</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Johnson et al (1998). Extended use of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acetate (</w:t>
            </w:r>
            <w:proofErr w:type="spellStart"/>
            <w:r w:rsidRPr="006706A8">
              <w:rPr>
                <w:rFonts w:ascii="Arial Narrow" w:hAnsi="Arial Narrow" w:cs="Arial"/>
                <w:snapToGrid w:val="0"/>
                <w:sz w:val="20"/>
                <w:szCs w:val="20"/>
                <w:lang w:eastAsia="en-US"/>
              </w:rPr>
              <w:t>Copaxone</w:t>
            </w:r>
            <w:proofErr w:type="spellEnd"/>
            <w:r w:rsidRPr="006706A8">
              <w:rPr>
                <w:rFonts w:ascii="Arial Narrow" w:hAnsi="Arial Narrow" w:cs="Arial"/>
                <w:snapToGrid w:val="0"/>
                <w:sz w:val="20"/>
                <w:szCs w:val="20"/>
                <w:lang w:eastAsia="en-US"/>
              </w:rPr>
              <w:t>) is well tolerated and maintains its clinical effect on multiple sclerosis relapse rate and degree of disability. Copolymer 1 Multiple Sclerosis Study Group</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50: 701-708</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Johnson et al (2000). Sustained clinical benefits of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acetate in relapsing multiple sclerosis patients observed for 6 years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Multiple Sclerosis 6:255-266</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Wolinsky</w:t>
            </w:r>
            <w:proofErr w:type="spellEnd"/>
            <w:r w:rsidRPr="006706A8">
              <w:rPr>
                <w:rFonts w:ascii="Arial Narrow" w:hAnsi="Arial Narrow" w:cs="Arial"/>
                <w:snapToGrid w:val="0"/>
                <w:sz w:val="20"/>
                <w:szCs w:val="20"/>
                <w:lang w:eastAsia="en-US"/>
              </w:rPr>
              <w:t xml:space="preserve"> et al (2001). United States open-label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acetate extension trial for relapsing multiple sclerosis: MRI and clinical correlates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Multiple Sclerosis 7: 33-41</w:t>
            </w:r>
          </w:p>
        </w:tc>
      </w:tr>
      <w:tr w:rsidR="004C7F6D" w:rsidRPr="006706A8" w:rsidTr="001D7574">
        <w:trPr>
          <w:trHeight w:val="688"/>
        </w:trPr>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Johnson et al (2003).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acetate (</w:t>
            </w:r>
            <w:proofErr w:type="spellStart"/>
            <w:r w:rsidRPr="006706A8">
              <w:rPr>
                <w:rFonts w:ascii="Arial Narrow" w:hAnsi="Arial Narrow" w:cs="Arial"/>
                <w:snapToGrid w:val="0"/>
                <w:sz w:val="20"/>
                <w:szCs w:val="20"/>
                <w:lang w:eastAsia="en-US"/>
              </w:rPr>
              <w:t>Copaxone</w:t>
            </w:r>
            <w:proofErr w:type="spellEnd"/>
            <w:r w:rsidRPr="006706A8">
              <w:rPr>
                <w:rFonts w:ascii="Arial Narrow" w:hAnsi="Arial Narrow" w:cs="Arial"/>
                <w:snapToGrid w:val="0"/>
                <w:sz w:val="20"/>
                <w:szCs w:val="20"/>
                <w:lang w:eastAsia="en-US"/>
              </w:rPr>
              <w:t>): comparison of continuous versus delayed therapy in a six-year organized multiple sclerosis trial</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Multiple Sclerosis 9: 585-591</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Johnson et al (2005). Neurologic consequence of delaying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acetate therapy for multiple sclerosis: 8-year data</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Acta</w:t>
            </w:r>
            <w:proofErr w:type="spellEnd"/>
            <w:r w:rsidRPr="006706A8">
              <w:rPr>
                <w:rFonts w:ascii="Arial Narrow" w:hAnsi="Arial Narrow" w:cs="Arial"/>
                <w:snapToGrid w:val="0"/>
                <w:sz w:val="20"/>
                <w:szCs w:val="20"/>
                <w:lang w:eastAsia="en-US"/>
              </w:rPr>
              <w:t xml:space="preserve"> </w:t>
            </w:r>
            <w:proofErr w:type="spellStart"/>
            <w:r w:rsidRPr="006706A8">
              <w:rPr>
                <w:rFonts w:ascii="Arial Narrow" w:hAnsi="Arial Narrow" w:cs="Arial"/>
                <w:snapToGrid w:val="0"/>
                <w:sz w:val="20"/>
                <w:szCs w:val="20"/>
                <w:lang w:eastAsia="en-US"/>
              </w:rPr>
              <w:t>Neurologica</w:t>
            </w:r>
            <w:proofErr w:type="spellEnd"/>
            <w:r w:rsidRPr="006706A8">
              <w:rPr>
                <w:rFonts w:ascii="Arial Narrow" w:hAnsi="Arial Narrow" w:cs="Arial"/>
                <w:snapToGrid w:val="0"/>
                <w:sz w:val="20"/>
                <w:szCs w:val="20"/>
                <w:lang w:eastAsia="en-US"/>
              </w:rPr>
              <w:t xml:space="preserve"> </w:t>
            </w:r>
            <w:proofErr w:type="spellStart"/>
            <w:r w:rsidRPr="006706A8">
              <w:rPr>
                <w:rFonts w:ascii="Arial Narrow" w:hAnsi="Arial Narrow" w:cs="Arial"/>
                <w:snapToGrid w:val="0"/>
                <w:sz w:val="20"/>
                <w:szCs w:val="20"/>
                <w:lang w:eastAsia="en-US"/>
              </w:rPr>
              <w:t>Scandinavica</w:t>
            </w:r>
            <w:proofErr w:type="spellEnd"/>
            <w:r w:rsidRPr="006706A8">
              <w:rPr>
                <w:rFonts w:ascii="Arial Narrow" w:hAnsi="Arial Narrow" w:cs="Arial"/>
                <w:snapToGrid w:val="0"/>
                <w:sz w:val="20"/>
                <w:szCs w:val="20"/>
                <w:lang w:eastAsia="en-US"/>
              </w:rPr>
              <w:t xml:space="preserve"> 111: 42-47</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Ford et al (2006). A prospective open-label study of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acetate: over a decade of continuous use in multiple sclerosis patients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Multiple Sclerosis 12: 309-320</w:t>
            </w:r>
          </w:p>
        </w:tc>
      </w:tr>
      <w:tr w:rsidR="004C7F6D" w:rsidRPr="006706A8" w:rsidTr="001D7574">
        <w:tc>
          <w:tcPr>
            <w:tcW w:w="1276" w:type="dxa"/>
            <w:vMerge w:val="restart"/>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Comi</w:t>
            </w:r>
            <w:proofErr w:type="spellEnd"/>
            <w:r w:rsidRPr="006706A8">
              <w:rPr>
                <w:rFonts w:ascii="Arial Narrow" w:hAnsi="Arial Narrow" w:cs="Arial"/>
                <w:snapToGrid w:val="0"/>
                <w:sz w:val="20"/>
                <w:szCs w:val="20"/>
                <w:lang w:eastAsia="en-US"/>
              </w:rPr>
              <w:t xml:space="preserve"> </w:t>
            </w:r>
          </w:p>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(2001)</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Comi</w:t>
            </w:r>
            <w:proofErr w:type="spellEnd"/>
            <w:r w:rsidRPr="006706A8">
              <w:rPr>
                <w:rFonts w:ascii="Arial Narrow" w:hAnsi="Arial Narrow" w:cs="Arial"/>
                <w:snapToGrid w:val="0"/>
                <w:sz w:val="20"/>
                <w:szCs w:val="20"/>
                <w:lang w:eastAsia="en-US"/>
              </w:rPr>
              <w:t xml:space="preserve"> et al (2001). European/Canadian </w:t>
            </w:r>
            <w:proofErr w:type="spellStart"/>
            <w:r w:rsidRPr="006706A8">
              <w:rPr>
                <w:rFonts w:ascii="Arial Narrow" w:hAnsi="Arial Narrow" w:cs="Arial"/>
                <w:snapToGrid w:val="0"/>
                <w:sz w:val="20"/>
                <w:szCs w:val="20"/>
                <w:lang w:eastAsia="en-US"/>
              </w:rPr>
              <w:t>multicenter</w:t>
            </w:r>
            <w:proofErr w:type="spellEnd"/>
            <w:r w:rsidRPr="006706A8">
              <w:rPr>
                <w:rFonts w:ascii="Arial Narrow" w:hAnsi="Arial Narrow" w:cs="Arial"/>
                <w:snapToGrid w:val="0"/>
                <w:sz w:val="20"/>
                <w:szCs w:val="20"/>
                <w:lang w:eastAsia="en-US"/>
              </w:rPr>
              <w:t xml:space="preserve">, double-blind, randomized, placebo-controlled study of the effects of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acetate on magnetic resonance imaging--measured disease activity and burden in patients with relapsing multiple sclerosis. European/Canadian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Acetate Study Group</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Annals of Neurology 49: 290-297</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Wolinsky</w:t>
            </w:r>
            <w:proofErr w:type="spellEnd"/>
            <w:r w:rsidRPr="006706A8">
              <w:rPr>
                <w:rFonts w:ascii="Arial Narrow" w:hAnsi="Arial Narrow" w:cs="Arial"/>
                <w:snapToGrid w:val="0"/>
                <w:sz w:val="20"/>
                <w:szCs w:val="20"/>
                <w:lang w:eastAsia="en-US"/>
              </w:rPr>
              <w:t xml:space="preserve"> et al (2002). </w:t>
            </w:r>
            <w:proofErr w:type="spellStart"/>
            <w:r w:rsidRPr="006706A8">
              <w:rPr>
                <w:rFonts w:ascii="Arial Narrow" w:hAnsi="Arial Narrow" w:cs="Arial"/>
                <w:snapToGrid w:val="0"/>
                <w:sz w:val="20"/>
                <w:szCs w:val="20"/>
                <w:lang w:eastAsia="en-US"/>
              </w:rPr>
              <w:t>Copaxone's</w:t>
            </w:r>
            <w:proofErr w:type="spellEnd"/>
            <w:r w:rsidRPr="006706A8">
              <w:rPr>
                <w:rFonts w:ascii="Arial Narrow" w:hAnsi="Arial Narrow" w:cs="Arial"/>
                <w:snapToGrid w:val="0"/>
                <w:sz w:val="20"/>
                <w:szCs w:val="20"/>
                <w:lang w:eastAsia="en-US"/>
              </w:rPr>
              <w:t xml:space="preserve"> effect on MRI-monitored disease in relapsing MS is reproducible and sustained</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59:1284-1286</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BEYOND</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O'Connor et al (2009). 250 </w:t>
            </w:r>
            <w:proofErr w:type="spellStart"/>
            <w:r w:rsidRPr="006706A8">
              <w:rPr>
                <w:rFonts w:ascii="Arial Narrow" w:hAnsi="Arial Narrow" w:cs="Arial"/>
                <w:snapToGrid w:val="0"/>
                <w:sz w:val="20"/>
                <w:szCs w:val="20"/>
                <w:lang w:eastAsia="en-US"/>
              </w:rPr>
              <w:t>microg</w:t>
            </w:r>
            <w:proofErr w:type="spellEnd"/>
            <w:r w:rsidRPr="006706A8">
              <w:rPr>
                <w:rFonts w:ascii="Arial Narrow" w:hAnsi="Arial Narrow" w:cs="Arial"/>
                <w:snapToGrid w:val="0"/>
                <w:sz w:val="20"/>
                <w:szCs w:val="20"/>
                <w:lang w:eastAsia="en-US"/>
              </w:rPr>
              <w:t xml:space="preserve"> or 500 </w:t>
            </w:r>
            <w:proofErr w:type="spellStart"/>
            <w:r w:rsidRPr="006706A8">
              <w:rPr>
                <w:rFonts w:ascii="Arial Narrow" w:hAnsi="Arial Narrow" w:cs="Arial"/>
                <w:snapToGrid w:val="0"/>
                <w:sz w:val="20"/>
                <w:szCs w:val="20"/>
                <w:lang w:eastAsia="en-US"/>
              </w:rPr>
              <w:t>microg</w:t>
            </w:r>
            <w:proofErr w:type="spellEnd"/>
            <w:r w:rsidRPr="006706A8">
              <w:rPr>
                <w:rFonts w:ascii="Arial Narrow" w:hAnsi="Arial Narrow" w:cs="Arial"/>
                <w:snapToGrid w:val="0"/>
                <w:sz w:val="20"/>
                <w:szCs w:val="20"/>
                <w:lang w:eastAsia="en-US"/>
              </w:rPr>
              <w:t xml:space="preserve"> interferon beta-1b versus 20 mg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acetate in relapsing-remitting multiple sclerosis: a prospective, randomised, multicentre study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The Lancet Neurology 8: 889-897</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Duquette</w:t>
            </w:r>
            <w:proofErr w:type="spellEnd"/>
            <w:r w:rsidRPr="006706A8">
              <w:rPr>
                <w:rFonts w:ascii="Arial Narrow" w:hAnsi="Arial Narrow" w:cs="Arial"/>
                <w:snapToGrid w:val="0"/>
                <w:sz w:val="20"/>
                <w:szCs w:val="20"/>
                <w:lang w:eastAsia="en-US"/>
              </w:rPr>
              <w:t xml:space="preserve"> (1993)</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Duquette</w:t>
            </w:r>
            <w:proofErr w:type="spellEnd"/>
            <w:r w:rsidRPr="006706A8">
              <w:rPr>
                <w:rFonts w:ascii="Arial Narrow" w:hAnsi="Arial Narrow" w:cs="Arial"/>
                <w:snapToGrid w:val="0"/>
                <w:sz w:val="20"/>
                <w:szCs w:val="20"/>
                <w:lang w:eastAsia="en-US"/>
              </w:rPr>
              <w:t xml:space="preserve"> (1993). Interferon beta-1b is effective in relapsing-remitting multiple sclerosis. I. Clinical results of a </w:t>
            </w:r>
            <w:proofErr w:type="spellStart"/>
            <w:r w:rsidRPr="006706A8">
              <w:rPr>
                <w:rFonts w:ascii="Arial Narrow" w:hAnsi="Arial Narrow" w:cs="Arial"/>
                <w:snapToGrid w:val="0"/>
                <w:sz w:val="20"/>
                <w:szCs w:val="20"/>
                <w:lang w:eastAsia="en-US"/>
              </w:rPr>
              <w:t>multicenter</w:t>
            </w:r>
            <w:proofErr w:type="spellEnd"/>
            <w:r w:rsidRPr="006706A8">
              <w:rPr>
                <w:rFonts w:ascii="Arial Narrow" w:hAnsi="Arial Narrow" w:cs="Arial"/>
                <w:snapToGrid w:val="0"/>
                <w:sz w:val="20"/>
                <w:szCs w:val="20"/>
                <w:lang w:eastAsia="en-US"/>
              </w:rPr>
              <w:t>, randomized, double-blind, placebo-controlled trial. The IFNB Multiple Sclerosis Study Group</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43: 655-661</w:t>
            </w:r>
          </w:p>
        </w:tc>
      </w:tr>
      <w:tr w:rsidR="004C7F6D" w:rsidRPr="006706A8" w:rsidTr="001D7574">
        <w:tc>
          <w:tcPr>
            <w:tcW w:w="1276" w:type="dxa"/>
            <w:vMerge w:val="restart"/>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Jacobs </w:t>
            </w:r>
          </w:p>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(1996)</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Jacobs et al (1996). Intramuscular interferon beta-1a for disease progression in relapsing multiple sclerosis. The Multiple Sclerosis Collaborative Research Group (MSCRG)</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Annals of Neurology 39: 285-294</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Simon et al (1998). Magnetic resonance studies of intramuscular </w:t>
            </w:r>
            <w:r w:rsidRPr="006706A8">
              <w:rPr>
                <w:rFonts w:ascii="Arial Narrow" w:hAnsi="Arial Narrow" w:cs="Arial"/>
                <w:snapToGrid w:val="0"/>
                <w:sz w:val="20"/>
                <w:szCs w:val="20"/>
                <w:lang w:eastAsia="en-US"/>
              </w:rPr>
              <w:lastRenderedPageBreak/>
              <w:t>interferon beta-1a for relapsing multiple sclerosis. The Multiple Sclerosis Collaborative Research Group</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lastRenderedPageBreak/>
              <w:t xml:space="preserve">Annals of Neurology </w:t>
            </w:r>
            <w:r w:rsidRPr="006706A8">
              <w:rPr>
                <w:rFonts w:ascii="Arial Narrow" w:hAnsi="Arial Narrow" w:cs="Arial"/>
                <w:snapToGrid w:val="0"/>
                <w:sz w:val="20"/>
                <w:szCs w:val="20"/>
                <w:lang w:eastAsia="en-US"/>
              </w:rPr>
              <w:lastRenderedPageBreak/>
              <w:t>43: 79-87</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Rudick</w:t>
            </w:r>
            <w:proofErr w:type="spellEnd"/>
            <w:r w:rsidRPr="006706A8">
              <w:rPr>
                <w:rFonts w:ascii="Arial Narrow" w:hAnsi="Arial Narrow" w:cs="Arial"/>
                <w:snapToGrid w:val="0"/>
                <w:sz w:val="20"/>
                <w:szCs w:val="20"/>
                <w:lang w:eastAsia="en-US"/>
              </w:rPr>
              <w:t xml:space="preserve"> et al (1997). Impact of interferon beta-1a on neurologic disability in relapsing multiple sclerosis. The Multiple Sclerosis Collaborative Research Group (MSCRG)</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49: 358-363</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Bermel</w:t>
            </w:r>
            <w:proofErr w:type="spellEnd"/>
            <w:r w:rsidRPr="006706A8">
              <w:rPr>
                <w:rFonts w:ascii="Arial Narrow" w:hAnsi="Arial Narrow" w:cs="Arial"/>
                <w:snapToGrid w:val="0"/>
                <w:sz w:val="20"/>
                <w:szCs w:val="20"/>
                <w:lang w:eastAsia="en-US"/>
              </w:rPr>
              <w:t xml:space="preserve"> et al (2010). Intramuscular interferon beta-1a therapy in patients with relapsing-remitting multiple sclerosis: A 15-year follow-up study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Multiple Sclerosis 16: 588-596</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Polman</w:t>
            </w:r>
            <w:proofErr w:type="spellEnd"/>
            <w:r w:rsidRPr="006706A8">
              <w:rPr>
                <w:rFonts w:ascii="Arial Narrow" w:hAnsi="Arial Narrow" w:cs="Arial"/>
                <w:snapToGrid w:val="0"/>
                <w:sz w:val="20"/>
                <w:szCs w:val="20"/>
                <w:lang w:eastAsia="en-US"/>
              </w:rPr>
              <w:t xml:space="preserve"> </w:t>
            </w:r>
          </w:p>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(2005)</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Polman</w:t>
            </w:r>
            <w:proofErr w:type="spellEnd"/>
            <w:r w:rsidRPr="006706A8">
              <w:rPr>
                <w:rFonts w:ascii="Arial Narrow" w:hAnsi="Arial Narrow" w:cs="Arial"/>
                <w:snapToGrid w:val="0"/>
                <w:sz w:val="20"/>
                <w:szCs w:val="20"/>
                <w:lang w:eastAsia="en-US"/>
              </w:rPr>
              <w:t xml:space="preserve"> et al (2005). Treatment with </w:t>
            </w:r>
            <w:proofErr w:type="spellStart"/>
            <w:r w:rsidRPr="006706A8">
              <w:rPr>
                <w:rFonts w:ascii="Arial Narrow" w:hAnsi="Arial Narrow" w:cs="Arial"/>
                <w:snapToGrid w:val="0"/>
                <w:sz w:val="20"/>
                <w:szCs w:val="20"/>
                <w:lang w:eastAsia="en-US"/>
              </w:rPr>
              <w:t>laquinimod</w:t>
            </w:r>
            <w:proofErr w:type="spellEnd"/>
            <w:r w:rsidRPr="006706A8">
              <w:rPr>
                <w:rFonts w:ascii="Arial Narrow" w:hAnsi="Arial Narrow" w:cs="Arial"/>
                <w:snapToGrid w:val="0"/>
                <w:sz w:val="20"/>
                <w:szCs w:val="20"/>
                <w:lang w:eastAsia="en-US"/>
              </w:rPr>
              <w:t xml:space="preserve"> reduces development of active MRI lesions in relapsing MS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64: 987-991</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Comi</w:t>
            </w:r>
            <w:proofErr w:type="spellEnd"/>
            <w:r w:rsidRPr="006706A8">
              <w:rPr>
                <w:rFonts w:ascii="Arial Narrow" w:hAnsi="Arial Narrow" w:cs="Arial"/>
                <w:snapToGrid w:val="0"/>
                <w:sz w:val="20"/>
                <w:szCs w:val="20"/>
                <w:lang w:eastAsia="en-US"/>
              </w:rPr>
              <w:t xml:space="preserve"> </w:t>
            </w:r>
          </w:p>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(2008)</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Comi</w:t>
            </w:r>
            <w:proofErr w:type="spellEnd"/>
            <w:r w:rsidRPr="006706A8">
              <w:rPr>
                <w:rFonts w:ascii="Arial Narrow" w:hAnsi="Arial Narrow" w:cs="Arial"/>
                <w:snapToGrid w:val="0"/>
                <w:sz w:val="20"/>
                <w:szCs w:val="20"/>
                <w:lang w:eastAsia="en-US"/>
              </w:rPr>
              <w:t xml:space="preserve"> et al (2008). Effect of </w:t>
            </w:r>
            <w:proofErr w:type="spellStart"/>
            <w:r w:rsidRPr="006706A8">
              <w:rPr>
                <w:rFonts w:ascii="Arial Narrow" w:hAnsi="Arial Narrow" w:cs="Arial"/>
                <w:snapToGrid w:val="0"/>
                <w:sz w:val="20"/>
                <w:szCs w:val="20"/>
                <w:lang w:eastAsia="en-US"/>
              </w:rPr>
              <w:t>laquinimod</w:t>
            </w:r>
            <w:proofErr w:type="spellEnd"/>
            <w:r w:rsidRPr="006706A8">
              <w:rPr>
                <w:rFonts w:ascii="Arial Narrow" w:hAnsi="Arial Narrow" w:cs="Arial"/>
                <w:snapToGrid w:val="0"/>
                <w:sz w:val="20"/>
                <w:szCs w:val="20"/>
                <w:lang w:eastAsia="en-US"/>
              </w:rPr>
              <w:t xml:space="preserve"> on MRI-monitored disease activity in patients with relapsing-remitting multiple sclerosis: a multicentre, randomised, double-blind, placebo-controlled phase </w:t>
            </w:r>
            <w:proofErr w:type="spellStart"/>
            <w:r w:rsidRPr="006706A8">
              <w:rPr>
                <w:rFonts w:ascii="Arial Narrow" w:hAnsi="Arial Narrow" w:cs="Arial"/>
                <w:snapToGrid w:val="0"/>
                <w:sz w:val="20"/>
                <w:szCs w:val="20"/>
                <w:lang w:eastAsia="en-US"/>
              </w:rPr>
              <w:t>IIb</w:t>
            </w:r>
            <w:proofErr w:type="spellEnd"/>
            <w:r w:rsidRPr="006706A8">
              <w:rPr>
                <w:rFonts w:ascii="Arial Narrow" w:hAnsi="Arial Narrow" w:cs="Arial"/>
                <w:snapToGrid w:val="0"/>
                <w:sz w:val="20"/>
                <w:szCs w:val="20"/>
                <w:lang w:eastAsia="en-US"/>
              </w:rPr>
              <w:t xml:space="preserve"> study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The Lancet 371: 2085-2092</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BRAVO</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Vollmer et al (2011). A placebo-controlled and active comparator phase III trial (BRAVO) for relapsing-remitting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Multiple Sclerosis 17: S507-S508</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ALLEGRO</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Comi</w:t>
            </w:r>
            <w:proofErr w:type="spellEnd"/>
            <w:r w:rsidRPr="006706A8">
              <w:rPr>
                <w:rFonts w:ascii="Arial Narrow" w:hAnsi="Arial Narrow" w:cs="Arial"/>
                <w:snapToGrid w:val="0"/>
                <w:sz w:val="20"/>
                <w:szCs w:val="20"/>
                <w:lang w:eastAsia="en-US"/>
              </w:rPr>
              <w:t xml:space="preserve"> et al (2012). Placebo-controlled trial of oral </w:t>
            </w:r>
            <w:proofErr w:type="spellStart"/>
            <w:r w:rsidRPr="006706A8">
              <w:rPr>
                <w:rFonts w:ascii="Arial Narrow" w:hAnsi="Arial Narrow" w:cs="Arial"/>
                <w:snapToGrid w:val="0"/>
                <w:sz w:val="20"/>
                <w:szCs w:val="20"/>
                <w:lang w:eastAsia="en-US"/>
              </w:rPr>
              <w:t>laquinimod</w:t>
            </w:r>
            <w:proofErr w:type="spellEnd"/>
            <w:r w:rsidRPr="006706A8">
              <w:rPr>
                <w:rFonts w:ascii="Arial Narrow" w:hAnsi="Arial Narrow" w:cs="Arial"/>
                <w:snapToGrid w:val="0"/>
                <w:sz w:val="20"/>
                <w:szCs w:val="20"/>
                <w:lang w:eastAsia="en-US"/>
              </w:rPr>
              <w:t xml:space="preserve"> for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 England Journal of Medicine 366: 1000-1009</w:t>
            </w:r>
          </w:p>
        </w:tc>
      </w:tr>
      <w:tr w:rsidR="004C7F6D" w:rsidRPr="006706A8" w:rsidTr="001D7574">
        <w:tc>
          <w:tcPr>
            <w:tcW w:w="1276" w:type="dxa"/>
            <w:vMerge w:val="restart"/>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AFFIRM</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Polman</w:t>
            </w:r>
            <w:proofErr w:type="spellEnd"/>
            <w:r w:rsidRPr="006706A8">
              <w:rPr>
                <w:rFonts w:ascii="Arial Narrow" w:hAnsi="Arial Narrow" w:cs="Arial"/>
                <w:snapToGrid w:val="0"/>
                <w:sz w:val="20"/>
                <w:szCs w:val="20"/>
                <w:lang w:eastAsia="en-US"/>
              </w:rPr>
              <w:t xml:space="preserve"> et al (2006). A randomized, placebo-controlled trial of </w:t>
            </w:r>
            <w:proofErr w:type="spellStart"/>
            <w:r w:rsidRPr="006706A8">
              <w:rPr>
                <w:rFonts w:ascii="Arial Narrow" w:hAnsi="Arial Narrow" w:cs="Arial"/>
                <w:snapToGrid w:val="0"/>
                <w:sz w:val="20"/>
                <w:szCs w:val="20"/>
                <w:lang w:eastAsia="en-US"/>
              </w:rPr>
              <w:t>natalizumab</w:t>
            </w:r>
            <w:proofErr w:type="spellEnd"/>
            <w:r w:rsidRPr="006706A8">
              <w:rPr>
                <w:rFonts w:ascii="Arial Narrow" w:hAnsi="Arial Narrow" w:cs="Arial"/>
                <w:snapToGrid w:val="0"/>
                <w:sz w:val="20"/>
                <w:szCs w:val="20"/>
                <w:lang w:eastAsia="en-US"/>
              </w:rPr>
              <w:t xml:space="preserve"> for relapsing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 England Journal of Medicine 354: 899-910</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Balcer</w:t>
            </w:r>
            <w:proofErr w:type="spellEnd"/>
            <w:r w:rsidRPr="006706A8">
              <w:rPr>
                <w:rFonts w:ascii="Arial Narrow" w:hAnsi="Arial Narrow" w:cs="Arial"/>
                <w:snapToGrid w:val="0"/>
                <w:sz w:val="20"/>
                <w:szCs w:val="20"/>
                <w:lang w:eastAsia="en-US"/>
              </w:rPr>
              <w:t xml:space="preserve"> et al (2007). </w:t>
            </w:r>
            <w:proofErr w:type="spellStart"/>
            <w:r w:rsidRPr="006706A8">
              <w:rPr>
                <w:rFonts w:ascii="Arial Narrow" w:hAnsi="Arial Narrow" w:cs="Arial"/>
                <w:snapToGrid w:val="0"/>
                <w:sz w:val="20"/>
                <w:szCs w:val="20"/>
                <w:lang w:eastAsia="en-US"/>
              </w:rPr>
              <w:t>Natalizumab</w:t>
            </w:r>
            <w:proofErr w:type="spellEnd"/>
            <w:r w:rsidRPr="006706A8">
              <w:rPr>
                <w:rFonts w:ascii="Arial Narrow" w:hAnsi="Arial Narrow" w:cs="Arial"/>
                <w:snapToGrid w:val="0"/>
                <w:sz w:val="20"/>
                <w:szCs w:val="20"/>
                <w:lang w:eastAsia="en-US"/>
              </w:rPr>
              <w:t xml:space="preserve"> reduces visual loss in patients with relapsing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68: 1299-304</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Miller et al (2007). MRI outcomes in a placebo-controlled trial of </w:t>
            </w:r>
            <w:proofErr w:type="spellStart"/>
            <w:r w:rsidRPr="006706A8">
              <w:rPr>
                <w:rFonts w:ascii="Arial Narrow" w:hAnsi="Arial Narrow" w:cs="Arial"/>
                <w:snapToGrid w:val="0"/>
                <w:sz w:val="20"/>
                <w:szCs w:val="20"/>
                <w:lang w:eastAsia="en-US"/>
              </w:rPr>
              <w:t>natalizumab</w:t>
            </w:r>
            <w:proofErr w:type="spellEnd"/>
            <w:r w:rsidRPr="006706A8">
              <w:rPr>
                <w:rFonts w:ascii="Arial Narrow" w:hAnsi="Arial Narrow" w:cs="Arial"/>
                <w:snapToGrid w:val="0"/>
                <w:sz w:val="20"/>
                <w:szCs w:val="20"/>
                <w:lang w:eastAsia="en-US"/>
              </w:rPr>
              <w:t xml:space="preserve"> in relapsing MS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68: 1390-1401</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Havrdova</w:t>
            </w:r>
            <w:proofErr w:type="spellEnd"/>
            <w:r w:rsidRPr="006706A8">
              <w:rPr>
                <w:rFonts w:ascii="Arial Narrow" w:hAnsi="Arial Narrow" w:cs="Arial"/>
                <w:snapToGrid w:val="0"/>
                <w:sz w:val="20"/>
                <w:szCs w:val="20"/>
                <w:lang w:eastAsia="en-US"/>
              </w:rPr>
              <w:t xml:space="preserve"> et al (2009). Effect of </w:t>
            </w:r>
            <w:proofErr w:type="spellStart"/>
            <w:r w:rsidRPr="006706A8">
              <w:rPr>
                <w:rFonts w:ascii="Arial Narrow" w:hAnsi="Arial Narrow" w:cs="Arial"/>
                <w:snapToGrid w:val="0"/>
                <w:sz w:val="20"/>
                <w:szCs w:val="20"/>
                <w:lang w:eastAsia="en-US"/>
              </w:rPr>
              <w:t>natalizumab</w:t>
            </w:r>
            <w:proofErr w:type="spellEnd"/>
            <w:r w:rsidRPr="006706A8">
              <w:rPr>
                <w:rFonts w:ascii="Arial Narrow" w:hAnsi="Arial Narrow" w:cs="Arial"/>
                <w:snapToGrid w:val="0"/>
                <w:sz w:val="20"/>
                <w:szCs w:val="20"/>
                <w:lang w:eastAsia="en-US"/>
              </w:rPr>
              <w:t xml:space="preserve"> on clinical and radiological disease activity in multiple sclerosis: A retrospective analysis of the </w:t>
            </w:r>
            <w:proofErr w:type="spellStart"/>
            <w:r w:rsidRPr="006706A8">
              <w:rPr>
                <w:rFonts w:ascii="Arial Narrow" w:hAnsi="Arial Narrow" w:cs="Arial"/>
                <w:snapToGrid w:val="0"/>
                <w:sz w:val="20"/>
                <w:szCs w:val="20"/>
                <w:lang w:eastAsia="en-US"/>
              </w:rPr>
              <w:t>natalizumab</w:t>
            </w:r>
            <w:proofErr w:type="spellEnd"/>
            <w:r w:rsidRPr="006706A8">
              <w:rPr>
                <w:rFonts w:ascii="Arial Narrow" w:hAnsi="Arial Narrow" w:cs="Arial"/>
                <w:snapToGrid w:val="0"/>
                <w:sz w:val="20"/>
                <w:szCs w:val="20"/>
                <w:lang w:eastAsia="en-US"/>
              </w:rPr>
              <w:t xml:space="preserve"> safety and efficacy in relapsing-remitting multiple sclerosis (AFFIRM) study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The Lancet Neurology 8: 254-60</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Hutchinson et al (2009). The efficacy of </w:t>
            </w:r>
            <w:proofErr w:type="spellStart"/>
            <w:r w:rsidRPr="006706A8">
              <w:rPr>
                <w:rFonts w:ascii="Arial Narrow" w:hAnsi="Arial Narrow" w:cs="Arial"/>
                <w:snapToGrid w:val="0"/>
                <w:sz w:val="20"/>
                <w:szCs w:val="20"/>
                <w:lang w:eastAsia="en-US"/>
              </w:rPr>
              <w:t>natalizumab</w:t>
            </w:r>
            <w:proofErr w:type="spellEnd"/>
            <w:r w:rsidRPr="006706A8">
              <w:rPr>
                <w:rFonts w:ascii="Arial Narrow" w:hAnsi="Arial Narrow" w:cs="Arial"/>
                <w:snapToGrid w:val="0"/>
                <w:sz w:val="20"/>
                <w:szCs w:val="20"/>
                <w:lang w:eastAsia="en-US"/>
              </w:rPr>
              <w:t xml:space="preserve"> in patients with relapsing multiple sclerosis: Subgroup analyses of AFFIRM and SENTINEL</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Journal of Neurology 256: 405-415</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Cree et al (2011). Efficacy of </w:t>
            </w:r>
            <w:proofErr w:type="spellStart"/>
            <w:r w:rsidRPr="006706A8">
              <w:rPr>
                <w:rFonts w:ascii="Arial Narrow" w:hAnsi="Arial Narrow" w:cs="Arial"/>
                <w:snapToGrid w:val="0"/>
                <w:sz w:val="20"/>
                <w:szCs w:val="20"/>
                <w:lang w:eastAsia="en-US"/>
              </w:rPr>
              <w:t>natalizumab</w:t>
            </w:r>
            <w:proofErr w:type="spellEnd"/>
            <w:r w:rsidRPr="006706A8">
              <w:rPr>
                <w:rFonts w:ascii="Arial Narrow" w:hAnsi="Arial Narrow" w:cs="Arial"/>
                <w:snapToGrid w:val="0"/>
                <w:sz w:val="20"/>
                <w:szCs w:val="20"/>
                <w:lang w:eastAsia="en-US"/>
              </w:rPr>
              <w:t xml:space="preserve"> therapy in patients of African descent with relapsing multiple sclerosis: Analysis of affirm and sentinel data</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Archives of Neurology 68: 464-468</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Phillips et al (2011). Sustained improvement in expanded disability status scale as a new efficacy measure of neurological change in multiple sclerosis: Treatment effects with </w:t>
            </w:r>
            <w:proofErr w:type="spellStart"/>
            <w:r w:rsidRPr="006706A8">
              <w:rPr>
                <w:rFonts w:ascii="Arial Narrow" w:hAnsi="Arial Narrow" w:cs="Arial"/>
                <w:snapToGrid w:val="0"/>
                <w:sz w:val="20"/>
                <w:szCs w:val="20"/>
                <w:lang w:eastAsia="en-US"/>
              </w:rPr>
              <w:t>natalizumab</w:t>
            </w:r>
            <w:proofErr w:type="spellEnd"/>
            <w:r w:rsidRPr="006706A8">
              <w:rPr>
                <w:rFonts w:ascii="Arial Narrow" w:hAnsi="Arial Narrow" w:cs="Arial"/>
                <w:snapToGrid w:val="0"/>
                <w:sz w:val="20"/>
                <w:szCs w:val="20"/>
                <w:lang w:eastAsia="en-US"/>
              </w:rPr>
              <w:t xml:space="preserve"> in patients with relapsing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Multiple Sclerosis 17: 970-979</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Kappos</w:t>
            </w:r>
            <w:proofErr w:type="spellEnd"/>
            <w:r w:rsidRPr="006706A8">
              <w:rPr>
                <w:rFonts w:ascii="Arial Narrow" w:hAnsi="Arial Narrow" w:cs="Arial"/>
                <w:snapToGrid w:val="0"/>
                <w:sz w:val="20"/>
                <w:szCs w:val="20"/>
                <w:lang w:eastAsia="en-US"/>
              </w:rPr>
              <w:t xml:space="preserve"> et al (2013). Clinical effects of </w:t>
            </w:r>
            <w:proofErr w:type="spellStart"/>
            <w:r w:rsidRPr="006706A8">
              <w:rPr>
                <w:rFonts w:ascii="Arial Narrow" w:hAnsi="Arial Narrow" w:cs="Arial"/>
                <w:snapToGrid w:val="0"/>
                <w:sz w:val="20"/>
                <w:szCs w:val="20"/>
                <w:lang w:eastAsia="en-US"/>
              </w:rPr>
              <w:t>natalizumab</w:t>
            </w:r>
            <w:proofErr w:type="spellEnd"/>
            <w:r w:rsidRPr="006706A8">
              <w:rPr>
                <w:rFonts w:ascii="Arial Narrow" w:hAnsi="Arial Narrow" w:cs="Arial"/>
                <w:snapToGrid w:val="0"/>
                <w:sz w:val="20"/>
                <w:szCs w:val="20"/>
                <w:lang w:eastAsia="en-US"/>
              </w:rPr>
              <w:t xml:space="preserve"> on multiple sclerosis appear early in treatment course</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Journal of Neurology 260: 1388-1395</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HERMES</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Hauser et al (2008). B-cell depletion with rituximab in relapsing-remitting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 England Journal of Medicine 358: 676-688</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REGARD</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Mikol</w:t>
            </w:r>
            <w:proofErr w:type="spellEnd"/>
            <w:r w:rsidRPr="006706A8">
              <w:rPr>
                <w:rFonts w:ascii="Arial Narrow" w:hAnsi="Arial Narrow" w:cs="Arial"/>
                <w:snapToGrid w:val="0"/>
                <w:sz w:val="20"/>
                <w:szCs w:val="20"/>
                <w:lang w:eastAsia="en-US"/>
              </w:rPr>
              <w:t xml:space="preserve"> et al (2008). Comparison of subcutaneous interferon beta-1a with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acetate in patients with relapsing multiple sclerosis (the </w:t>
            </w:r>
            <w:proofErr w:type="spellStart"/>
            <w:r w:rsidRPr="006706A8">
              <w:rPr>
                <w:rFonts w:ascii="Arial Narrow" w:hAnsi="Arial Narrow" w:cs="Arial"/>
                <w:snapToGrid w:val="0"/>
                <w:sz w:val="20"/>
                <w:szCs w:val="20"/>
                <w:lang w:eastAsia="en-US"/>
              </w:rPr>
              <w:t>REbif</w:t>
            </w:r>
            <w:proofErr w:type="spellEnd"/>
            <w:r w:rsidRPr="006706A8">
              <w:rPr>
                <w:rFonts w:ascii="Arial Narrow" w:hAnsi="Arial Narrow" w:cs="Arial"/>
                <w:snapToGrid w:val="0"/>
                <w:sz w:val="20"/>
                <w:szCs w:val="20"/>
                <w:lang w:eastAsia="en-US"/>
              </w:rPr>
              <w:t xml:space="preserve"> vs </w:t>
            </w:r>
            <w:proofErr w:type="spellStart"/>
            <w:r w:rsidRPr="006706A8">
              <w:rPr>
                <w:rFonts w:ascii="Arial Narrow" w:hAnsi="Arial Narrow" w:cs="Arial"/>
                <w:snapToGrid w:val="0"/>
                <w:sz w:val="20"/>
                <w:szCs w:val="20"/>
                <w:lang w:eastAsia="en-US"/>
              </w:rPr>
              <w:t>Glatiramer</w:t>
            </w:r>
            <w:proofErr w:type="spellEnd"/>
            <w:r w:rsidRPr="006706A8">
              <w:rPr>
                <w:rFonts w:ascii="Arial Narrow" w:hAnsi="Arial Narrow" w:cs="Arial"/>
                <w:snapToGrid w:val="0"/>
                <w:sz w:val="20"/>
                <w:szCs w:val="20"/>
                <w:lang w:eastAsia="en-US"/>
              </w:rPr>
              <w:t xml:space="preserve"> Acetate in Relapsing MS Disease [REGARD] study): a multicentre, randomised, parallel, open-label trial</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The Lancet Neurology 7: 903-914</w:t>
            </w:r>
          </w:p>
        </w:tc>
      </w:tr>
      <w:tr w:rsidR="004C7F6D" w:rsidRPr="006706A8" w:rsidTr="001D7574">
        <w:tc>
          <w:tcPr>
            <w:tcW w:w="1276" w:type="dxa"/>
            <w:vMerge w:val="restart"/>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EVIDENCE</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Panitch</w:t>
            </w:r>
            <w:proofErr w:type="spellEnd"/>
            <w:r w:rsidRPr="006706A8">
              <w:rPr>
                <w:rFonts w:ascii="Arial Narrow" w:hAnsi="Arial Narrow" w:cs="Arial"/>
                <w:snapToGrid w:val="0"/>
                <w:sz w:val="20"/>
                <w:szCs w:val="20"/>
                <w:lang w:eastAsia="en-US"/>
              </w:rPr>
              <w:t xml:space="preserve"> et al (2002). Randomized, comparative study of interferon beta-1a treatment regimens in MS: The EVIDENCE Trial</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59: 1496-1506</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Panitch</w:t>
            </w:r>
            <w:proofErr w:type="spellEnd"/>
            <w:r w:rsidRPr="006706A8">
              <w:rPr>
                <w:rFonts w:ascii="Arial Narrow" w:hAnsi="Arial Narrow" w:cs="Arial"/>
                <w:snapToGrid w:val="0"/>
                <w:sz w:val="20"/>
                <w:szCs w:val="20"/>
                <w:lang w:eastAsia="en-US"/>
              </w:rPr>
              <w:t xml:space="preserve"> et al (2005). Benefits of high-dose, high-frequency interferon beta-1a in relapsing-remitting multiple sclerosis are sustained to 16 months: final comparative results of the EVIDENCE trial</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Journal of Neurological Sciences 239: 67-74</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Sandberg-</w:t>
            </w:r>
            <w:proofErr w:type="spellStart"/>
            <w:r w:rsidRPr="006706A8">
              <w:rPr>
                <w:rFonts w:ascii="Arial Narrow" w:hAnsi="Arial Narrow" w:cs="Arial"/>
                <w:snapToGrid w:val="0"/>
                <w:sz w:val="20"/>
                <w:szCs w:val="20"/>
                <w:lang w:eastAsia="en-US"/>
              </w:rPr>
              <w:t>Wollheim</w:t>
            </w:r>
            <w:proofErr w:type="spellEnd"/>
            <w:r w:rsidRPr="006706A8">
              <w:rPr>
                <w:rFonts w:ascii="Arial Narrow" w:hAnsi="Arial Narrow" w:cs="Arial"/>
                <w:snapToGrid w:val="0"/>
                <w:sz w:val="20"/>
                <w:szCs w:val="20"/>
                <w:lang w:eastAsia="en-US"/>
              </w:rPr>
              <w:t xml:space="preserve"> et al (2005). Comparative tolerance of IFN beta-1a regimens in patients with relapsing multiple sclerosis. The EVIDENCE study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Journal of Neurology 252: 8-13</w:t>
            </w:r>
          </w:p>
        </w:tc>
      </w:tr>
      <w:tr w:rsidR="004C7F6D" w:rsidRPr="006706A8" w:rsidTr="001D7574">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Schwid</w:t>
            </w:r>
            <w:proofErr w:type="spellEnd"/>
            <w:r w:rsidRPr="006706A8">
              <w:rPr>
                <w:rFonts w:ascii="Arial Narrow" w:hAnsi="Arial Narrow" w:cs="Arial"/>
                <w:snapToGrid w:val="0"/>
                <w:sz w:val="20"/>
                <w:szCs w:val="20"/>
                <w:lang w:eastAsia="en-US"/>
              </w:rPr>
              <w:t xml:space="preserve"> et al (2005). Enhanced benefit of increasing interferon beta-1a dose and frequency in relapsing multiple sclerosis: the EVIDENCE Study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Archives of Neurology 62: 785-792</w:t>
            </w:r>
          </w:p>
        </w:tc>
      </w:tr>
      <w:tr w:rsidR="004C7F6D" w:rsidRPr="006706A8" w:rsidTr="001D7574">
        <w:trPr>
          <w:trHeight w:val="1147"/>
        </w:trPr>
        <w:tc>
          <w:tcPr>
            <w:tcW w:w="1276" w:type="dxa"/>
            <w:vMerge/>
            <w:vAlign w:val="center"/>
          </w:tcPr>
          <w:p w:rsidR="004C7F6D" w:rsidRPr="006706A8" w:rsidRDefault="004C7F6D" w:rsidP="001D7574">
            <w:pPr>
              <w:widowControl w:val="0"/>
              <w:jc w:val="both"/>
              <w:rPr>
                <w:rFonts w:ascii="Arial Narrow" w:hAnsi="Arial Narrow" w:cs="Arial"/>
                <w:snapToGrid w:val="0"/>
                <w:sz w:val="20"/>
                <w:szCs w:val="20"/>
                <w:lang w:eastAsia="en-US"/>
              </w:rPr>
            </w:pP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Schwid</w:t>
            </w:r>
            <w:proofErr w:type="spellEnd"/>
            <w:r w:rsidRPr="006706A8">
              <w:rPr>
                <w:rFonts w:ascii="Arial Narrow" w:hAnsi="Arial Narrow" w:cs="Arial"/>
                <w:snapToGrid w:val="0"/>
                <w:sz w:val="20"/>
                <w:szCs w:val="20"/>
                <w:lang w:eastAsia="en-US"/>
              </w:rPr>
              <w:t xml:space="preserve"> et al (2007). Full results of the Evidence of Interferon Dose-Response-European North American Comparative Efficacy (EVIDENCE) study: a </w:t>
            </w:r>
            <w:proofErr w:type="spellStart"/>
            <w:r w:rsidRPr="006706A8">
              <w:rPr>
                <w:rFonts w:ascii="Arial Narrow" w:hAnsi="Arial Narrow" w:cs="Arial"/>
                <w:snapToGrid w:val="0"/>
                <w:sz w:val="20"/>
                <w:szCs w:val="20"/>
                <w:lang w:eastAsia="en-US"/>
              </w:rPr>
              <w:t>multicenter</w:t>
            </w:r>
            <w:proofErr w:type="spellEnd"/>
            <w:r w:rsidRPr="006706A8">
              <w:rPr>
                <w:rFonts w:ascii="Arial Narrow" w:hAnsi="Arial Narrow" w:cs="Arial"/>
                <w:snapToGrid w:val="0"/>
                <w:sz w:val="20"/>
                <w:szCs w:val="20"/>
                <w:lang w:eastAsia="en-US"/>
              </w:rPr>
              <w:t>, randomized, assessor-blinded comparison of low-dose weekly versus high-dose, high-frequency interferon beta-1a for relapsing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Clinical Therapeutics 29: 2031-2048</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Etamadifar</w:t>
            </w:r>
            <w:proofErr w:type="spellEnd"/>
            <w:r w:rsidRPr="006706A8">
              <w:rPr>
                <w:rFonts w:ascii="Arial Narrow" w:hAnsi="Arial Narrow" w:cs="Arial"/>
                <w:snapToGrid w:val="0"/>
                <w:sz w:val="20"/>
                <w:szCs w:val="20"/>
                <w:lang w:eastAsia="en-US"/>
              </w:rPr>
              <w:t xml:space="preserve"> (2006)</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Etemadifar</w:t>
            </w:r>
            <w:proofErr w:type="spellEnd"/>
            <w:r w:rsidRPr="006706A8">
              <w:rPr>
                <w:rFonts w:ascii="Arial Narrow" w:hAnsi="Arial Narrow" w:cs="Arial"/>
                <w:snapToGrid w:val="0"/>
                <w:sz w:val="20"/>
                <w:szCs w:val="20"/>
                <w:lang w:eastAsia="en-US"/>
              </w:rPr>
              <w:t xml:space="preserve"> et al (2006). Comparison of </w:t>
            </w:r>
            <w:proofErr w:type="spellStart"/>
            <w:r w:rsidRPr="006706A8">
              <w:rPr>
                <w:rFonts w:ascii="Arial Narrow" w:hAnsi="Arial Narrow" w:cs="Arial"/>
                <w:snapToGrid w:val="0"/>
                <w:sz w:val="20"/>
                <w:szCs w:val="20"/>
                <w:lang w:eastAsia="en-US"/>
              </w:rPr>
              <w:t>Betaferon</w:t>
            </w:r>
            <w:proofErr w:type="spellEnd"/>
            <w:r w:rsidRPr="006706A8">
              <w:rPr>
                <w:rFonts w:ascii="Arial Narrow" w:hAnsi="Arial Narrow" w:cs="Arial"/>
                <w:snapToGrid w:val="0"/>
                <w:sz w:val="20"/>
                <w:szCs w:val="20"/>
                <w:lang w:eastAsia="en-US"/>
              </w:rPr>
              <w:t xml:space="preserve">, </w:t>
            </w:r>
            <w:proofErr w:type="spellStart"/>
            <w:r w:rsidRPr="006706A8">
              <w:rPr>
                <w:rFonts w:ascii="Arial Narrow" w:hAnsi="Arial Narrow" w:cs="Arial"/>
                <w:snapToGrid w:val="0"/>
                <w:sz w:val="20"/>
                <w:szCs w:val="20"/>
                <w:lang w:eastAsia="en-US"/>
              </w:rPr>
              <w:t>Avonex</w:t>
            </w:r>
            <w:proofErr w:type="spellEnd"/>
            <w:r w:rsidRPr="006706A8">
              <w:rPr>
                <w:rFonts w:ascii="Arial Narrow" w:hAnsi="Arial Narrow" w:cs="Arial"/>
                <w:snapToGrid w:val="0"/>
                <w:sz w:val="20"/>
                <w:szCs w:val="20"/>
                <w:lang w:eastAsia="en-US"/>
              </w:rPr>
              <w:t xml:space="preserve">, and </w:t>
            </w:r>
            <w:proofErr w:type="spellStart"/>
            <w:r w:rsidRPr="006706A8">
              <w:rPr>
                <w:rFonts w:ascii="Arial Narrow" w:hAnsi="Arial Narrow" w:cs="Arial"/>
                <w:snapToGrid w:val="0"/>
                <w:sz w:val="20"/>
                <w:szCs w:val="20"/>
                <w:lang w:eastAsia="en-US"/>
              </w:rPr>
              <w:t>Rebif</w:t>
            </w:r>
            <w:proofErr w:type="spellEnd"/>
            <w:r w:rsidRPr="006706A8">
              <w:rPr>
                <w:rFonts w:ascii="Arial Narrow" w:hAnsi="Arial Narrow" w:cs="Arial"/>
                <w:snapToGrid w:val="0"/>
                <w:sz w:val="20"/>
                <w:szCs w:val="20"/>
                <w:lang w:eastAsia="en-US"/>
              </w:rPr>
              <w:t xml:space="preserve"> in treatment of relapsing-remitting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Acta</w:t>
            </w:r>
            <w:proofErr w:type="spellEnd"/>
            <w:r w:rsidRPr="006706A8">
              <w:rPr>
                <w:rFonts w:ascii="Arial Narrow" w:hAnsi="Arial Narrow" w:cs="Arial"/>
                <w:snapToGrid w:val="0"/>
                <w:sz w:val="20"/>
                <w:szCs w:val="20"/>
                <w:lang w:eastAsia="en-US"/>
              </w:rPr>
              <w:t xml:space="preserve"> </w:t>
            </w:r>
            <w:proofErr w:type="spellStart"/>
            <w:r w:rsidRPr="006706A8">
              <w:rPr>
                <w:rFonts w:ascii="Arial Narrow" w:hAnsi="Arial Narrow" w:cs="Arial"/>
                <w:snapToGrid w:val="0"/>
                <w:sz w:val="20"/>
                <w:szCs w:val="20"/>
                <w:lang w:eastAsia="en-US"/>
              </w:rPr>
              <w:t>Neurologica</w:t>
            </w:r>
            <w:proofErr w:type="spellEnd"/>
            <w:r w:rsidRPr="006706A8">
              <w:rPr>
                <w:rFonts w:ascii="Arial Narrow" w:hAnsi="Arial Narrow" w:cs="Arial"/>
                <w:snapToGrid w:val="0"/>
                <w:sz w:val="20"/>
                <w:szCs w:val="20"/>
                <w:lang w:eastAsia="en-US"/>
              </w:rPr>
              <w:t xml:space="preserve"> </w:t>
            </w:r>
            <w:proofErr w:type="spellStart"/>
            <w:r w:rsidRPr="006706A8">
              <w:rPr>
                <w:rFonts w:ascii="Arial Narrow" w:hAnsi="Arial Narrow" w:cs="Arial"/>
                <w:snapToGrid w:val="0"/>
                <w:sz w:val="20"/>
                <w:szCs w:val="20"/>
                <w:lang w:eastAsia="en-US"/>
              </w:rPr>
              <w:t>Scandinavica</w:t>
            </w:r>
            <w:proofErr w:type="spellEnd"/>
            <w:r w:rsidRPr="006706A8">
              <w:rPr>
                <w:rFonts w:ascii="Arial Narrow" w:hAnsi="Arial Narrow" w:cs="Arial"/>
                <w:snapToGrid w:val="0"/>
                <w:sz w:val="20"/>
                <w:szCs w:val="20"/>
                <w:lang w:eastAsia="en-US"/>
              </w:rPr>
              <w:t xml:space="preserve"> 113: 283-287</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PRISMS</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Ebers</w:t>
            </w:r>
            <w:proofErr w:type="spellEnd"/>
            <w:r w:rsidRPr="006706A8">
              <w:rPr>
                <w:rFonts w:ascii="Arial Narrow" w:hAnsi="Arial Narrow" w:cs="Arial"/>
                <w:snapToGrid w:val="0"/>
                <w:sz w:val="20"/>
                <w:szCs w:val="20"/>
                <w:lang w:eastAsia="en-US"/>
              </w:rPr>
              <w:t xml:space="preserve"> G (1998). Randomised double-blind placebo-controlled study of interferon beta-1a in relapsing/remitting multiple sclerosis. PRISMS (Prevention of Relapses and Disability by Interferon beta-1a Subcutaneously in Multiple Sclerosis) Study Group</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The Lancet 352: 1498-1504</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TEMSO</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O'Connor P et al (2011). Randomized trial of oral </w:t>
            </w:r>
            <w:proofErr w:type="spellStart"/>
            <w:r w:rsidRPr="006706A8">
              <w:rPr>
                <w:rFonts w:ascii="Arial Narrow" w:hAnsi="Arial Narrow" w:cs="Arial"/>
                <w:snapToGrid w:val="0"/>
                <w:sz w:val="20"/>
                <w:szCs w:val="20"/>
                <w:lang w:eastAsia="en-US"/>
              </w:rPr>
              <w:t>teriflunomide</w:t>
            </w:r>
            <w:proofErr w:type="spellEnd"/>
            <w:r w:rsidRPr="006706A8">
              <w:rPr>
                <w:rFonts w:ascii="Arial Narrow" w:hAnsi="Arial Narrow" w:cs="Arial"/>
                <w:snapToGrid w:val="0"/>
                <w:sz w:val="20"/>
                <w:szCs w:val="20"/>
                <w:lang w:eastAsia="en-US"/>
              </w:rPr>
              <w:t xml:space="preserve"> for relapsing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 England Journal of Medicine 365: 1293-1303</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O’Connor </w:t>
            </w:r>
          </w:p>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(2006)</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O'Connor et al (2006). A Phase II study of the safety and efficacy of </w:t>
            </w:r>
            <w:proofErr w:type="spellStart"/>
            <w:r w:rsidRPr="006706A8">
              <w:rPr>
                <w:rFonts w:ascii="Arial Narrow" w:hAnsi="Arial Narrow" w:cs="Arial"/>
                <w:snapToGrid w:val="0"/>
                <w:sz w:val="20"/>
                <w:szCs w:val="20"/>
                <w:lang w:eastAsia="en-US"/>
              </w:rPr>
              <w:t>teriflunomide</w:t>
            </w:r>
            <w:proofErr w:type="spellEnd"/>
            <w:r w:rsidRPr="006706A8">
              <w:rPr>
                <w:rFonts w:ascii="Arial Narrow" w:hAnsi="Arial Narrow" w:cs="Arial"/>
                <w:snapToGrid w:val="0"/>
                <w:sz w:val="20"/>
                <w:szCs w:val="20"/>
                <w:lang w:eastAsia="en-US"/>
              </w:rPr>
              <w:t xml:space="preserve"> in multiple sclerosis with relapses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Neurology 66: 894-900</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TOWER</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Kappos</w:t>
            </w:r>
            <w:proofErr w:type="spellEnd"/>
            <w:r w:rsidRPr="006706A8">
              <w:rPr>
                <w:rFonts w:ascii="Arial Narrow" w:hAnsi="Arial Narrow" w:cs="Arial"/>
                <w:snapToGrid w:val="0"/>
                <w:sz w:val="20"/>
                <w:szCs w:val="20"/>
                <w:lang w:eastAsia="en-US"/>
              </w:rPr>
              <w:t xml:space="preserve"> et al (2012). The efficacy and safety of </w:t>
            </w:r>
            <w:proofErr w:type="spellStart"/>
            <w:r w:rsidRPr="006706A8">
              <w:rPr>
                <w:rFonts w:ascii="Arial Narrow" w:hAnsi="Arial Narrow" w:cs="Arial"/>
                <w:snapToGrid w:val="0"/>
                <w:sz w:val="20"/>
                <w:szCs w:val="20"/>
                <w:lang w:eastAsia="en-US"/>
              </w:rPr>
              <w:t>teriflunomide</w:t>
            </w:r>
            <w:proofErr w:type="spellEnd"/>
            <w:r w:rsidRPr="006706A8">
              <w:rPr>
                <w:rFonts w:ascii="Arial Narrow" w:hAnsi="Arial Narrow" w:cs="Arial"/>
                <w:snapToGrid w:val="0"/>
                <w:sz w:val="20"/>
                <w:szCs w:val="20"/>
                <w:lang w:eastAsia="en-US"/>
              </w:rPr>
              <w:t xml:space="preserve"> in patients with relapsing MS: results from TOWER, a phase III, placebo-controlled study</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European Committee for Treatment and Research in Multiple Sclerosis Congress 2012</w:t>
            </w:r>
            <w:r w:rsidRPr="006706A8">
              <w:rPr>
                <w:rFonts w:ascii="Arial" w:hAnsi="Arial" w:cs="Arial"/>
                <w:snapToGrid w:val="0"/>
                <w:sz w:val="22"/>
                <w:szCs w:val="20"/>
                <w:lang w:eastAsia="en-US"/>
              </w:rPr>
              <w:t xml:space="preserve"> </w:t>
            </w:r>
            <w:r w:rsidRPr="006706A8">
              <w:rPr>
                <w:rFonts w:ascii="Arial Narrow" w:hAnsi="Arial Narrow" w:cs="Arial"/>
                <w:snapToGrid w:val="0"/>
                <w:sz w:val="20"/>
                <w:szCs w:val="20"/>
                <w:lang w:eastAsia="en-US"/>
              </w:rPr>
              <w:t>Abstract 153</w:t>
            </w:r>
          </w:p>
        </w:tc>
      </w:tr>
      <w:tr w:rsidR="004C7F6D" w:rsidRPr="006706A8" w:rsidTr="001D7574">
        <w:tc>
          <w:tcPr>
            <w:tcW w:w="1276"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TENERE</w:t>
            </w:r>
          </w:p>
        </w:tc>
        <w:tc>
          <w:tcPr>
            <w:tcW w:w="5386" w:type="dxa"/>
            <w:vAlign w:val="center"/>
          </w:tcPr>
          <w:p w:rsidR="004C7F6D" w:rsidRPr="006706A8" w:rsidRDefault="004C7F6D" w:rsidP="001D7574">
            <w:pPr>
              <w:widowControl w:val="0"/>
              <w:jc w:val="both"/>
              <w:rPr>
                <w:rFonts w:ascii="Arial Narrow" w:hAnsi="Arial Narrow" w:cs="Arial"/>
                <w:snapToGrid w:val="0"/>
                <w:sz w:val="20"/>
                <w:szCs w:val="20"/>
                <w:lang w:eastAsia="en-US"/>
              </w:rPr>
            </w:pPr>
            <w:proofErr w:type="spellStart"/>
            <w:r w:rsidRPr="006706A8">
              <w:rPr>
                <w:rFonts w:ascii="Arial Narrow" w:hAnsi="Arial Narrow" w:cs="Arial"/>
                <w:snapToGrid w:val="0"/>
                <w:sz w:val="20"/>
                <w:szCs w:val="20"/>
                <w:lang w:eastAsia="en-US"/>
              </w:rPr>
              <w:t>Vermersch</w:t>
            </w:r>
            <w:proofErr w:type="spellEnd"/>
            <w:r w:rsidRPr="006706A8">
              <w:rPr>
                <w:rFonts w:ascii="Arial Narrow" w:hAnsi="Arial Narrow" w:cs="Arial"/>
                <w:snapToGrid w:val="0"/>
                <w:sz w:val="20"/>
                <w:szCs w:val="20"/>
                <w:lang w:eastAsia="en-US"/>
              </w:rPr>
              <w:t xml:space="preserve"> et al (2012). A </w:t>
            </w:r>
            <w:proofErr w:type="spellStart"/>
            <w:r w:rsidRPr="006706A8">
              <w:rPr>
                <w:rFonts w:ascii="Arial Narrow" w:hAnsi="Arial Narrow" w:cs="Arial"/>
                <w:snapToGrid w:val="0"/>
                <w:sz w:val="20"/>
                <w:szCs w:val="20"/>
                <w:lang w:eastAsia="en-US"/>
              </w:rPr>
              <w:t>multicenter</w:t>
            </w:r>
            <w:proofErr w:type="spellEnd"/>
            <w:r w:rsidRPr="006706A8">
              <w:rPr>
                <w:rFonts w:ascii="Arial Narrow" w:hAnsi="Arial Narrow" w:cs="Arial"/>
                <w:snapToGrid w:val="0"/>
                <w:sz w:val="20"/>
                <w:szCs w:val="20"/>
                <w:lang w:eastAsia="en-US"/>
              </w:rPr>
              <w:t xml:space="preserve">, randomized, parallel-group, </w:t>
            </w:r>
            <w:proofErr w:type="spellStart"/>
            <w:r w:rsidRPr="006706A8">
              <w:rPr>
                <w:rFonts w:ascii="Arial Narrow" w:hAnsi="Arial Narrow" w:cs="Arial"/>
                <w:snapToGrid w:val="0"/>
                <w:sz w:val="20"/>
                <w:szCs w:val="20"/>
                <w:lang w:eastAsia="en-US"/>
              </w:rPr>
              <w:t>rater</w:t>
            </w:r>
            <w:proofErr w:type="spellEnd"/>
            <w:r w:rsidRPr="006706A8">
              <w:rPr>
                <w:rFonts w:ascii="Arial Narrow" w:hAnsi="Arial Narrow" w:cs="Arial"/>
                <w:snapToGrid w:val="0"/>
                <w:sz w:val="20"/>
                <w:szCs w:val="20"/>
                <w:lang w:eastAsia="en-US"/>
              </w:rPr>
              <w:t xml:space="preserve">-blinded study comparing the effectiveness and safety of </w:t>
            </w:r>
            <w:proofErr w:type="spellStart"/>
            <w:r w:rsidRPr="006706A8">
              <w:rPr>
                <w:rFonts w:ascii="Arial Narrow" w:hAnsi="Arial Narrow" w:cs="Arial"/>
                <w:snapToGrid w:val="0"/>
                <w:sz w:val="20"/>
                <w:szCs w:val="20"/>
                <w:lang w:eastAsia="en-US"/>
              </w:rPr>
              <w:t>teriflunomide</w:t>
            </w:r>
            <w:proofErr w:type="spellEnd"/>
            <w:r w:rsidRPr="006706A8">
              <w:rPr>
                <w:rFonts w:ascii="Arial Narrow" w:hAnsi="Arial Narrow" w:cs="Arial"/>
                <w:snapToGrid w:val="0"/>
                <w:sz w:val="20"/>
                <w:szCs w:val="20"/>
                <w:lang w:eastAsia="en-US"/>
              </w:rPr>
              <w:t xml:space="preserve"> and subcutaneous interferon beta-1a in patients with relapsing multiple sclerosis</w:t>
            </w:r>
          </w:p>
        </w:tc>
        <w:tc>
          <w:tcPr>
            <w:tcW w:w="1700" w:type="dxa"/>
            <w:vAlign w:val="center"/>
          </w:tcPr>
          <w:p w:rsidR="004C7F6D" w:rsidRPr="006706A8" w:rsidRDefault="004C7F6D" w:rsidP="001D7574">
            <w:pPr>
              <w:widowControl w:val="0"/>
              <w:jc w:val="both"/>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America’s Committee for Treatment and Research in Multiple Sclerosis Meeting 2012</w:t>
            </w:r>
          </w:p>
        </w:tc>
      </w:tr>
    </w:tbl>
    <w:p w:rsidR="004C7F6D" w:rsidRPr="006706A8" w:rsidRDefault="004C7F6D" w:rsidP="00FC09C1">
      <w:pPr>
        <w:widowControl w:val="0"/>
        <w:ind w:firstLine="720"/>
        <w:jc w:val="both"/>
        <w:rPr>
          <w:rFonts w:ascii="Arial Narrow" w:hAnsi="Arial Narrow"/>
          <w:snapToGrid w:val="0"/>
          <w:sz w:val="20"/>
          <w:szCs w:val="20"/>
          <w:lang w:eastAsia="en-US"/>
        </w:rPr>
      </w:pPr>
      <w:r w:rsidRPr="006706A8">
        <w:rPr>
          <w:rFonts w:ascii="Arial Narrow" w:hAnsi="Arial Narrow"/>
          <w:snapToGrid w:val="0"/>
          <w:sz w:val="20"/>
          <w:szCs w:val="20"/>
          <w:lang w:eastAsia="en-US"/>
        </w:rPr>
        <w:t xml:space="preserve">Source: Table B.3 (p 43-50) and Attachment 6 of the submission </w:t>
      </w:r>
    </w:p>
    <w:p w:rsidR="004C7F6D" w:rsidRPr="006706A8" w:rsidRDefault="004C7F6D" w:rsidP="00FC09C1">
      <w:pPr>
        <w:widowControl w:val="0"/>
        <w:ind w:firstLine="709"/>
        <w:jc w:val="both"/>
        <w:rPr>
          <w:rFonts w:ascii="Arial Narrow" w:hAnsi="Arial Narrow"/>
          <w:snapToGrid w:val="0"/>
          <w:sz w:val="20"/>
          <w:szCs w:val="20"/>
          <w:lang w:eastAsia="en-US"/>
        </w:rPr>
      </w:pPr>
      <w:r w:rsidRPr="006706A8">
        <w:rPr>
          <w:rFonts w:ascii="Arial Narrow" w:hAnsi="Arial Narrow" w:cs="Arial"/>
          <w:snapToGrid w:val="0"/>
          <w:sz w:val="20"/>
          <w:szCs w:val="20"/>
          <w:lang w:eastAsia="en-US"/>
        </w:rPr>
        <w:t>Note: Abstracts of studies with full publications are not presented</w:t>
      </w:r>
    </w:p>
    <w:p w:rsidR="004C7F6D" w:rsidRDefault="004C7F6D" w:rsidP="00FC09C1">
      <w:pPr>
        <w:jc w:val="both"/>
        <w:rPr>
          <w:rFonts w:ascii="Arial" w:hAnsi="Arial" w:cs="Arial"/>
          <w:sz w:val="22"/>
          <w:szCs w:val="22"/>
        </w:rPr>
      </w:pPr>
    </w:p>
    <w:p w:rsidR="00496175" w:rsidRPr="006706A8" w:rsidRDefault="00496175" w:rsidP="00FC09C1">
      <w:pPr>
        <w:jc w:val="both"/>
        <w:rPr>
          <w:rFonts w:ascii="Arial" w:hAnsi="Arial" w:cs="Arial"/>
          <w:sz w:val="22"/>
          <w:szCs w:val="22"/>
        </w:rPr>
      </w:pPr>
    </w:p>
    <w:p w:rsidR="004C7F6D" w:rsidRPr="006706A8" w:rsidRDefault="004C7F6D" w:rsidP="004E2785">
      <w:pPr>
        <w:pStyle w:val="ListParagraph"/>
        <w:numPr>
          <w:ilvl w:val="1"/>
          <w:numId w:val="25"/>
        </w:numPr>
        <w:jc w:val="both"/>
        <w:rPr>
          <w:rFonts w:ascii="Arial" w:hAnsi="Arial"/>
          <w:sz w:val="22"/>
          <w:szCs w:val="22"/>
        </w:rPr>
      </w:pPr>
      <w:r w:rsidRPr="006706A8">
        <w:rPr>
          <w:rFonts w:ascii="Arial" w:hAnsi="Arial"/>
          <w:sz w:val="22"/>
          <w:szCs w:val="22"/>
        </w:rPr>
        <w:t xml:space="preserve">The ESC considered that comparative efficacy and safety against interferon beta-1a in all three direct randomised controlled trials may be more robust for informing decision making, while the mixed-treatment comparison (MTC) used for comparing </w:t>
      </w:r>
      <w:proofErr w:type="spellStart"/>
      <w:r w:rsidRPr="006706A8">
        <w:rPr>
          <w:rFonts w:ascii="Arial" w:hAnsi="Arial"/>
          <w:sz w:val="22"/>
          <w:szCs w:val="22"/>
        </w:rPr>
        <w:t>alemtuzumab</w:t>
      </w:r>
      <w:proofErr w:type="spellEnd"/>
      <w:r w:rsidRPr="006706A8">
        <w:rPr>
          <w:rFonts w:ascii="Arial" w:hAnsi="Arial"/>
          <w:sz w:val="22"/>
          <w:szCs w:val="22"/>
        </w:rPr>
        <w:t xml:space="preserve"> versus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is highly complex, the results of efficacy are uncertain and without direct comparison of safety.</w:t>
      </w:r>
    </w:p>
    <w:p w:rsidR="004C7F6D" w:rsidRPr="006706A8" w:rsidRDefault="004C7F6D" w:rsidP="00701BB6">
      <w:pPr>
        <w:jc w:val="both"/>
        <w:rPr>
          <w:rFonts w:ascii="Arial" w:hAnsi="Arial"/>
          <w:sz w:val="22"/>
          <w:szCs w:val="22"/>
        </w:rPr>
      </w:pPr>
    </w:p>
    <w:p w:rsidR="004C7F6D" w:rsidRPr="006706A8" w:rsidRDefault="00496175" w:rsidP="00701BB6">
      <w:pPr>
        <w:widowControl w:val="0"/>
        <w:tabs>
          <w:tab w:val="left" w:pos="720"/>
        </w:tabs>
        <w:rPr>
          <w:rFonts w:ascii="Arial Narrow" w:hAnsi="Arial Narrow" w:cs="Arial"/>
          <w:b/>
          <w:snapToGrid w:val="0"/>
          <w:sz w:val="20"/>
          <w:szCs w:val="20"/>
          <w:lang w:eastAsia="en-US"/>
        </w:rPr>
      </w:pPr>
      <w:r>
        <w:rPr>
          <w:rFonts w:ascii="Arial Narrow" w:hAnsi="Arial Narrow" w:cs="Arial"/>
          <w:b/>
          <w:snapToGrid w:val="0"/>
          <w:sz w:val="20"/>
          <w:szCs w:val="20"/>
          <w:lang w:eastAsia="en-US"/>
        </w:rPr>
        <w:tab/>
      </w:r>
      <w:r w:rsidR="004C7F6D" w:rsidRPr="006706A8">
        <w:rPr>
          <w:rFonts w:ascii="Arial Narrow" w:hAnsi="Arial Narrow" w:cs="Arial"/>
          <w:b/>
          <w:snapToGrid w:val="0"/>
          <w:sz w:val="20"/>
          <w:szCs w:val="20"/>
          <w:lang w:eastAsia="en-US"/>
        </w:rPr>
        <w:t xml:space="preserve">Key features of the </w:t>
      </w:r>
      <w:proofErr w:type="spellStart"/>
      <w:r w:rsidR="004C7F6D" w:rsidRPr="006706A8">
        <w:rPr>
          <w:rFonts w:ascii="Arial Narrow" w:hAnsi="Arial Narrow" w:cs="Arial"/>
          <w:b/>
          <w:snapToGrid w:val="0"/>
          <w:sz w:val="20"/>
          <w:szCs w:val="20"/>
          <w:lang w:eastAsia="en-US"/>
        </w:rPr>
        <w:t>alemtuzumab</w:t>
      </w:r>
      <w:proofErr w:type="spellEnd"/>
      <w:r w:rsidR="004C7F6D" w:rsidRPr="006706A8">
        <w:rPr>
          <w:rFonts w:ascii="Arial Narrow" w:hAnsi="Arial Narrow" w:cs="Arial"/>
          <w:b/>
          <w:snapToGrid w:val="0"/>
          <w:sz w:val="20"/>
          <w:szCs w:val="20"/>
          <w:lang w:eastAsia="en-US"/>
        </w:rPr>
        <w:t xml:space="preserve"> clinical trials: direct comparison to interferon beta-1a</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Description w:val="Key features of the alemtuzumab clinical trials"/>
      </w:tblPr>
      <w:tblGrid>
        <w:gridCol w:w="1133"/>
        <w:gridCol w:w="709"/>
        <w:gridCol w:w="1701"/>
        <w:gridCol w:w="1133"/>
        <w:gridCol w:w="1983"/>
        <w:gridCol w:w="1686"/>
      </w:tblGrid>
      <w:tr w:rsidR="004C7F6D" w:rsidRPr="006706A8" w:rsidTr="003C2C00">
        <w:tc>
          <w:tcPr>
            <w:tcW w:w="679" w:type="pct"/>
            <w:vAlign w:val="center"/>
          </w:tcPr>
          <w:p w:rsidR="004C7F6D" w:rsidRPr="006706A8" w:rsidRDefault="004C7F6D" w:rsidP="00701BB6">
            <w:pPr>
              <w:widowControl w:val="0"/>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Trial</w:t>
            </w:r>
          </w:p>
        </w:tc>
        <w:tc>
          <w:tcPr>
            <w:tcW w:w="425" w:type="pct"/>
            <w:vAlign w:val="center"/>
          </w:tcPr>
          <w:p w:rsidR="004C7F6D" w:rsidRPr="006706A8" w:rsidRDefault="004C7F6D" w:rsidP="00701BB6">
            <w:pPr>
              <w:widowControl w:val="0"/>
              <w:jc w:val="center"/>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N</w:t>
            </w:r>
          </w:p>
        </w:tc>
        <w:tc>
          <w:tcPr>
            <w:tcW w:w="1019" w:type="pct"/>
            <w:vAlign w:val="center"/>
          </w:tcPr>
          <w:p w:rsidR="004C7F6D" w:rsidRPr="006706A8" w:rsidRDefault="004C7F6D" w:rsidP="00701BB6">
            <w:pPr>
              <w:widowControl w:val="0"/>
              <w:jc w:val="center"/>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Design/ duration</w:t>
            </w:r>
          </w:p>
        </w:tc>
        <w:tc>
          <w:tcPr>
            <w:tcW w:w="679" w:type="pct"/>
            <w:vAlign w:val="center"/>
          </w:tcPr>
          <w:p w:rsidR="004C7F6D" w:rsidRPr="006706A8" w:rsidRDefault="004C7F6D" w:rsidP="00701BB6">
            <w:pPr>
              <w:widowControl w:val="0"/>
              <w:jc w:val="center"/>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Risk of bias</w:t>
            </w:r>
          </w:p>
        </w:tc>
        <w:tc>
          <w:tcPr>
            <w:tcW w:w="1188" w:type="pct"/>
            <w:vAlign w:val="center"/>
          </w:tcPr>
          <w:p w:rsidR="004C7F6D" w:rsidRPr="006706A8" w:rsidRDefault="004C7F6D" w:rsidP="00701BB6">
            <w:pPr>
              <w:widowControl w:val="0"/>
              <w:jc w:val="center"/>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Patient population</w:t>
            </w:r>
          </w:p>
        </w:tc>
        <w:tc>
          <w:tcPr>
            <w:tcW w:w="1010" w:type="pct"/>
            <w:vAlign w:val="center"/>
          </w:tcPr>
          <w:p w:rsidR="004C7F6D" w:rsidRPr="006706A8" w:rsidRDefault="004C7F6D" w:rsidP="00701BB6">
            <w:pPr>
              <w:widowControl w:val="0"/>
              <w:jc w:val="center"/>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Outcomes</w:t>
            </w:r>
          </w:p>
        </w:tc>
      </w:tr>
      <w:tr w:rsidR="004C7F6D" w:rsidRPr="006706A8" w:rsidTr="003C2C00">
        <w:tc>
          <w:tcPr>
            <w:tcW w:w="5000" w:type="pct"/>
            <w:gridSpan w:val="6"/>
            <w:vAlign w:val="center"/>
          </w:tcPr>
          <w:p w:rsidR="004C7F6D" w:rsidRPr="006706A8" w:rsidRDefault="004C7F6D" w:rsidP="00701BB6">
            <w:pPr>
              <w:widowControl w:val="0"/>
              <w:rPr>
                <w:rFonts w:ascii="Arial Narrow" w:hAnsi="Arial Narrow" w:cs="Arial"/>
                <w:b/>
                <w:snapToGrid w:val="0"/>
                <w:sz w:val="20"/>
                <w:szCs w:val="20"/>
                <w:lang w:eastAsia="en-US"/>
              </w:rPr>
            </w:pPr>
            <w:proofErr w:type="spellStart"/>
            <w:r w:rsidRPr="006706A8">
              <w:rPr>
                <w:rFonts w:ascii="Arial Narrow" w:hAnsi="Arial Narrow" w:cs="Arial"/>
                <w:b/>
                <w:snapToGrid w:val="0"/>
                <w:sz w:val="20"/>
                <w:szCs w:val="20"/>
                <w:lang w:eastAsia="en-US"/>
              </w:rPr>
              <w:t>Alemtuzumab</w:t>
            </w:r>
            <w:proofErr w:type="spellEnd"/>
            <w:r w:rsidRPr="006706A8">
              <w:rPr>
                <w:rFonts w:ascii="Arial Narrow" w:hAnsi="Arial Narrow" w:cs="Arial"/>
                <w:b/>
                <w:snapToGrid w:val="0"/>
                <w:sz w:val="20"/>
                <w:szCs w:val="20"/>
                <w:lang w:eastAsia="en-US"/>
              </w:rPr>
              <w:t xml:space="preserve"> vs. subcutaneous interferon beta-1a</w:t>
            </w:r>
          </w:p>
        </w:tc>
      </w:tr>
      <w:tr w:rsidR="004C7F6D" w:rsidRPr="006706A8" w:rsidTr="003C2C00">
        <w:tc>
          <w:tcPr>
            <w:tcW w:w="679" w:type="pct"/>
            <w:vAlign w:val="center"/>
          </w:tcPr>
          <w:p w:rsidR="004C7F6D" w:rsidRPr="006706A8" w:rsidRDefault="004C7F6D" w:rsidP="00701BB6">
            <w:pPr>
              <w:widowControl w:val="0"/>
              <w:rPr>
                <w:rFonts w:ascii="Arial Narrow" w:hAnsi="Arial Narrow" w:cs="Arial"/>
                <w:iCs/>
                <w:snapToGrid w:val="0"/>
                <w:sz w:val="20"/>
                <w:szCs w:val="20"/>
                <w:lang w:eastAsia="en-US"/>
              </w:rPr>
            </w:pPr>
            <w:r w:rsidRPr="006706A8">
              <w:rPr>
                <w:rFonts w:ascii="Arial Narrow" w:hAnsi="Arial Narrow" w:cs="Arial"/>
                <w:iCs/>
                <w:snapToGrid w:val="0"/>
                <w:sz w:val="20"/>
                <w:szCs w:val="20"/>
                <w:lang w:eastAsia="en-US"/>
              </w:rPr>
              <w:t>CAMMS223</w:t>
            </w:r>
          </w:p>
        </w:tc>
        <w:tc>
          <w:tcPr>
            <w:tcW w:w="425" w:type="pct"/>
            <w:vAlign w:val="center"/>
          </w:tcPr>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334</w:t>
            </w:r>
          </w:p>
        </w:tc>
        <w:tc>
          <w:tcPr>
            <w:tcW w:w="1019" w:type="pct"/>
            <w:vAlign w:val="center"/>
          </w:tcPr>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MC, R, OL, PG</w:t>
            </w:r>
          </w:p>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3 years</w:t>
            </w:r>
          </w:p>
        </w:tc>
        <w:tc>
          <w:tcPr>
            <w:tcW w:w="679" w:type="pct"/>
            <w:vAlign w:val="center"/>
          </w:tcPr>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High</w:t>
            </w:r>
          </w:p>
        </w:tc>
        <w:tc>
          <w:tcPr>
            <w:tcW w:w="1188" w:type="pct"/>
            <w:vAlign w:val="center"/>
          </w:tcPr>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Treatment naïve </w:t>
            </w:r>
          </w:p>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RRMS patients</w:t>
            </w:r>
          </w:p>
        </w:tc>
        <w:tc>
          <w:tcPr>
            <w:tcW w:w="1010" w:type="pct"/>
            <w:vAlign w:val="center"/>
          </w:tcPr>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Relapse rates, disability progression</w:t>
            </w:r>
          </w:p>
        </w:tc>
      </w:tr>
      <w:tr w:rsidR="004C7F6D" w:rsidRPr="006706A8" w:rsidTr="003C2C00">
        <w:tc>
          <w:tcPr>
            <w:tcW w:w="679" w:type="pct"/>
            <w:vAlign w:val="center"/>
          </w:tcPr>
          <w:p w:rsidR="004C7F6D" w:rsidRPr="006706A8" w:rsidRDefault="004C7F6D" w:rsidP="00701BB6">
            <w:pPr>
              <w:widowControl w:val="0"/>
              <w:rPr>
                <w:rFonts w:ascii="Arial Narrow" w:hAnsi="Arial Narrow" w:cs="Arial"/>
                <w:iCs/>
                <w:snapToGrid w:val="0"/>
                <w:sz w:val="20"/>
                <w:szCs w:val="20"/>
                <w:lang w:eastAsia="en-US"/>
              </w:rPr>
            </w:pPr>
            <w:r w:rsidRPr="006706A8">
              <w:rPr>
                <w:rFonts w:ascii="Arial Narrow" w:hAnsi="Arial Narrow" w:cs="Arial"/>
                <w:iCs/>
                <w:snapToGrid w:val="0"/>
                <w:sz w:val="20"/>
                <w:szCs w:val="20"/>
                <w:lang w:eastAsia="en-US"/>
              </w:rPr>
              <w:t>CARE MS-I</w:t>
            </w:r>
          </w:p>
        </w:tc>
        <w:tc>
          <w:tcPr>
            <w:tcW w:w="425" w:type="pct"/>
            <w:vAlign w:val="center"/>
          </w:tcPr>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581</w:t>
            </w:r>
          </w:p>
        </w:tc>
        <w:tc>
          <w:tcPr>
            <w:tcW w:w="1019" w:type="pct"/>
            <w:vAlign w:val="center"/>
          </w:tcPr>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MC, R, OL, PG</w:t>
            </w:r>
          </w:p>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 years</w:t>
            </w:r>
          </w:p>
        </w:tc>
        <w:tc>
          <w:tcPr>
            <w:tcW w:w="679" w:type="pct"/>
            <w:vAlign w:val="center"/>
          </w:tcPr>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High</w:t>
            </w:r>
          </w:p>
        </w:tc>
        <w:tc>
          <w:tcPr>
            <w:tcW w:w="1188" w:type="pct"/>
            <w:vAlign w:val="center"/>
          </w:tcPr>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Treatment naïve </w:t>
            </w:r>
          </w:p>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RRMS patients</w:t>
            </w:r>
          </w:p>
        </w:tc>
        <w:tc>
          <w:tcPr>
            <w:tcW w:w="1010" w:type="pct"/>
            <w:vAlign w:val="center"/>
          </w:tcPr>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Relapse rates, disability progression</w:t>
            </w:r>
          </w:p>
        </w:tc>
      </w:tr>
      <w:tr w:rsidR="004C7F6D" w:rsidRPr="006706A8" w:rsidTr="003C2C00">
        <w:tc>
          <w:tcPr>
            <w:tcW w:w="679" w:type="pct"/>
            <w:vAlign w:val="center"/>
          </w:tcPr>
          <w:p w:rsidR="004C7F6D" w:rsidRPr="006706A8" w:rsidRDefault="004C7F6D" w:rsidP="00701BB6">
            <w:pPr>
              <w:widowControl w:val="0"/>
              <w:rPr>
                <w:rFonts w:ascii="Arial Narrow" w:hAnsi="Arial Narrow" w:cs="Arial"/>
                <w:iCs/>
                <w:snapToGrid w:val="0"/>
                <w:sz w:val="20"/>
                <w:szCs w:val="20"/>
                <w:lang w:eastAsia="en-US"/>
              </w:rPr>
            </w:pPr>
            <w:r w:rsidRPr="006706A8">
              <w:rPr>
                <w:rFonts w:ascii="Arial Narrow" w:hAnsi="Arial Narrow" w:cs="Arial"/>
                <w:iCs/>
                <w:snapToGrid w:val="0"/>
                <w:sz w:val="20"/>
                <w:szCs w:val="20"/>
                <w:lang w:eastAsia="en-US"/>
              </w:rPr>
              <w:t>CARE MS-II</w:t>
            </w:r>
          </w:p>
        </w:tc>
        <w:tc>
          <w:tcPr>
            <w:tcW w:w="425" w:type="pct"/>
            <w:vAlign w:val="center"/>
          </w:tcPr>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840</w:t>
            </w:r>
          </w:p>
        </w:tc>
        <w:tc>
          <w:tcPr>
            <w:tcW w:w="1019" w:type="pct"/>
            <w:vAlign w:val="center"/>
          </w:tcPr>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MC, R, OL, PG</w:t>
            </w:r>
          </w:p>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 years</w:t>
            </w:r>
          </w:p>
        </w:tc>
        <w:tc>
          <w:tcPr>
            <w:tcW w:w="679" w:type="pct"/>
            <w:vAlign w:val="center"/>
          </w:tcPr>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High</w:t>
            </w:r>
          </w:p>
        </w:tc>
        <w:tc>
          <w:tcPr>
            <w:tcW w:w="1188" w:type="pct"/>
            <w:vAlign w:val="center"/>
          </w:tcPr>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Treatment experienced  RRMS patients</w:t>
            </w:r>
          </w:p>
        </w:tc>
        <w:tc>
          <w:tcPr>
            <w:tcW w:w="1010" w:type="pct"/>
            <w:vAlign w:val="center"/>
          </w:tcPr>
          <w:p w:rsidR="004C7F6D" w:rsidRPr="006706A8" w:rsidRDefault="004C7F6D" w:rsidP="00701BB6">
            <w:pPr>
              <w:widowControl w:val="0"/>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Relapse rates, disability progression</w:t>
            </w:r>
          </w:p>
        </w:tc>
      </w:tr>
    </w:tbl>
    <w:p w:rsidR="004C7F6D" w:rsidRPr="006706A8" w:rsidRDefault="004C7F6D" w:rsidP="00BE1146">
      <w:pPr>
        <w:widowControl w:val="0"/>
        <w:ind w:firstLine="720"/>
        <w:jc w:val="both"/>
        <w:rPr>
          <w:rFonts w:ascii="Arial Narrow" w:hAnsi="Arial Narrow" w:cs="Arial"/>
          <w:snapToGrid w:val="0"/>
          <w:sz w:val="18"/>
          <w:szCs w:val="20"/>
          <w:lang w:eastAsia="en-US"/>
        </w:rPr>
      </w:pPr>
      <w:r w:rsidRPr="006706A8">
        <w:rPr>
          <w:rFonts w:ascii="Arial Narrow" w:hAnsi="Arial Narrow" w:cs="Arial"/>
          <w:snapToGrid w:val="0"/>
          <w:sz w:val="18"/>
          <w:szCs w:val="20"/>
          <w:lang w:eastAsia="en-US"/>
        </w:rPr>
        <w:t>Abbreviations: MC, multi-centre; OL, open label; PG, parallel-group; R, randomised</w:t>
      </w:r>
    </w:p>
    <w:p w:rsidR="004C7F6D" w:rsidRPr="006706A8" w:rsidRDefault="004C7F6D" w:rsidP="00701BB6">
      <w:pPr>
        <w:jc w:val="both"/>
        <w:rPr>
          <w:rFonts w:ascii="Arial" w:hAnsi="Arial"/>
          <w:sz w:val="22"/>
          <w:szCs w:val="22"/>
        </w:rPr>
      </w:pPr>
    </w:p>
    <w:p w:rsidR="004C7F6D" w:rsidRPr="006706A8" w:rsidRDefault="004C7F6D" w:rsidP="00701BB6">
      <w:pPr>
        <w:pStyle w:val="ListParagraph"/>
        <w:numPr>
          <w:ilvl w:val="1"/>
          <w:numId w:val="25"/>
        </w:numPr>
        <w:jc w:val="both"/>
        <w:rPr>
          <w:rFonts w:ascii="Arial" w:hAnsi="Arial"/>
          <w:sz w:val="22"/>
          <w:szCs w:val="22"/>
        </w:rPr>
      </w:pPr>
      <w:r w:rsidRPr="006706A8">
        <w:rPr>
          <w:rFonts w:ascii="Arial" w:hAnsi="Arial"/>
          <w:sz w:val="22"/>
          <w:szCs w:val="22"/>
        </w:rPr>
        <w:t>The ESC considered that the risk of bias in these three trials was high.</w:t>
      </w:r>
    </w:p>
    <w:p w:rsidR="004C7F6D" w:rsidRPr="006706A8" w:rsidRDefault="004C7F6D" w:rsidP="00172BFA">
      <w:pPr>
        <w:pStyle w:val="ListParagraph"/>
        <w:numPr>
          <w:ilvl w:val="0"/>
          <w:numId w:val="39"/>
        </w:numPr>
        <w:ind w:left="1134"/>
        <w:jc w:val="both"/>
        <w:rPr>
          <w:rFonts w:ascii="Arial" w:hAnsi="Arial"/>
          <w:sz w:val="22"/>
          <w:szCs w:val="22"/>
        </w:rPr>
      </w:pPr>
      <w:r w:rsidRPr="006706A8">
        <w:rPr>
          <w:rFonts w:ascii="Arial" w:hAnsi="Arial"/>
          <w:sz w:val="22"/>
          <w:szCs w:val="22"/>
        </w:rPr>
        <w:t xml:space="preserve">These were open-label trials with </w:t>
      </w:r>
      <w:proofErr w:type="spellStart"/>
      <w:r w:rsidRPr="006706A8">
        <w:rPr>
          <w:rFonts w:ascii="Arial" w:hAnsi="Arial"/>
          <w:sz w:val="22"/>
          <w:szCs w:val="22"/>
        </w:rPr>
        <w:t>rater</w:t>
      </w:r>
      <w:proofErr w:type="spellEnd"/>
      <w:r w:rsidRPr="006706A8">
        <w:rPr>
          <w:rFonts w:ascii="Arial" w:hAnsi="Arial"/>
          <w:sz w:val="22"/>
          <w:szCs w:val="22"/>
        </w:rPr>
        <w:t xml:space="preserve"> blinding. However, it may be difficult to blind patients and investigators given the different modes of administration.</w:t>
      </w:r>
    </w:p>
    <w:p w:rsidR="004C7F6D" w:rsidRPr="006706A8" w:rsidRDefault="004C7F6D" w:rsidP="00172BFA">
      <w:pPr>
        <w:pStyle w:val="ListParagraph"/>
        <w:numPr>
          <w:ilvl w:val="0"/>
          <w:numId w:val="39"/>
        </w:numPr>
        <w:ind w:left="1134"/>
        <w:jc w:val="both"/>
        <w:rPr>
          <w:rFonts w:ascii="Arial" w:hAnsi="Arial"/>
          <w:sz w:val="22"/>
          <w:szCs w:val="22"/>
        </w:rPr>
      </w:pPr>
      <w:r w:rsidRPr="006706A8">
        <w:rPr>
          <w:rFonts w:ascii="Arial" w:hAnsi="Arial"/>
          <w:sz w:val="22"/>
          <w:szCs w:val="22"/>
        </w:rPr>
        <w:t>Relapse rates and disability progression can be subjective outcomes.</w:t>
      </w:r>
    </w:p>
    <w:p w:rsidR="004C7F6D" w:rsidRPr="006706A8" w:rsidRDefault="004C7F6D" w:rsidP="00172BFA">
      <w:pPr>
        <w:pStyle w:val="ListParagraph"/>
        <w:numPr>
          <w:ilvl w:val="0"/>
          <w:numId w:val="39"/>
        </w:numPr>
        <w:ind w:left="1134"/>
        <w:jc w:val="both"/>
        <w:rPr>
          <w:rFonts w:ascii="Arial" w:hAnsi="Arial"/>
          <w:sz w:val="22"/>
          <w:szCs w:val="22"/>
        </w:rPr>
      </w:pPr>
      <w:r w:rsidRPr="006706A8">
        <w:rPr>
          <w:rFonts w:ascii="Arial" w:hAnsi="Arial"/>
          <w:sz w:val="22"/>
          <w:szCs w:val="22"/>
        </w:rPr>
        <w:lastRenderedPageBreak/>
        <w:t>There were differential rates of discontinuation, with higher discontinuations in the subcutaneous interferon beta-1a arm. Based on FDA documentation, the consent form states that patients would discontinue therapy if their clinical condition worsened, which may have affected reporting of changes in clinical condition.</w:t>
      </w:r>
    </w:p>
    <w:p w:rsidR="004C7F6D" w:rsidRPr="006706A8" w:rsidRDefault="004C7F6D" w:rsidP="00172BFA">
      <w:pPr>
        <w:pStyle w:val="ListParagraph"/>
        <w:numPr>
          <w:ilvl w:val="0"/>
          <w:numId w:val="39"/>
        </w:numPr>
        <w:ind w:left="1134"/>
        <w:jc w:val="both"/>
        <w:rPr>
          <w:rFonts w:ascii="Arial" w:hAnsi="Arial"/>
          <w:sz w:val="22"/>
          <w:szCs w:val="22"/>
        </w:rPr>
      </w:pPr>
      <w:r w:rsidRPr="006706A8">
        <w:rPr>
          <w:rFonts w:ascii="Arial" w:hAnsi="Arial"/>
          <w:sz w:val="22"/>
          <w:szCs w:val="22"/>
        </w:rPr>
        <w:t>The majority of patients in the CARE MS-II trials had already previously failed interferon therapy (including subcutaneous interferon beta-1a).</w:t>
      </w:r>
    </w:p>
    <w:p w:rsidR="004C7F6D" w:rsidRPr="006706A8" w:rsidRDefault="004C7F6D" w:rsidP="00172BFA">
      <w:pPr>
        <w:pStyle w:val="ListParagraph"/>
        <w:numPr>
          <w:ilvl w:val="0"/>
          <w:numId w:val="39"/>
        </w:numPr>
        <w:ind w:left="1134"/>
        <w:jc w:val="both"/>
        <w:rPr>
          <w:rFonts w:ascii="Arial" w:hAnsi="Arial"/>
          <w:sz w:val="22"/>
          <w:szCs w:val="22"/>
        </w:rPr>
      </w:pPr>
      <w:r w:rsidRPr="006706A8">
        <w:rPr>
          <w:rFonts w:ascii="Arial" w:hAnsi="Arial"/>
          <w:sz w:val="22"/>
          <w:szCs w:val="22"/>
        </w:rPr>
        <w:t>The initial Phase II trial had highly favourable results, which may have affected patient expectations in later trials.</w:t>
      </w:r>
    </w:p>
    <w:p w:rsidR="004C7F6D" w:rsidRPr="006706A8" w:rsidRDefault="004C7F6D" w:rsidP="0051703A">
      <w:pPr>
        <w:jc w:val="both"/>
        <w:rPr>
          <w:rFonts w:ascii="Arial" w:hAnsi="Arial"/>
          <w:sz w:val="22"/>
          <w:szCs w:val="22"/>
        </w:rPr>
      </w:pPr>
    </w:p>
    <w:p w:rsidR="0055628B" w:rsidRPr="006706A8" w:rsidRDefault="0055628B" w:rsidP="0055628B">
      <w:pPr>
        <w:pStyle w:val="ListParagraph"/>
        <w:numPr>
          <w:ilvl w:val="1"/>
          <w:numId w:val="25"/>
        </w:numPr>
        <w:jc w:val="both"/>
        <w:rPr>
          <w:rFonts w:ascii="Arial" w:hAnsi="Arial"/>
          <w:sz w:val="22"/>
          <w:szCs w:val="22"/>
        </w:rPr>
      </w:pPr>
      <w:r w:rsidRPr="006706A8">
        <w:rPr>
          <w:rFonts w:ascii="Arial" w:hAnsi="Arial"/>
          <w:sz w:val="22"/>
          <w:szCs w:val="22"/>
        </w:rPr>
        <w:t>The PBAC noted the assessment of the ESC that risk of bias in these trials was high, however agreed with the ESC that double blinding would have been difficult to achieve.</w:t>
      </w:r>
    </w:p>
    <w:p w:rsidR="0055628B" w:rsidRPr="006706A8" w:rsidRDefault="0055628B" w:rsidP="0055628B">
      <w:pPr>
        <w:pStyle w:val="ListParagraph"/>
        <w:jc w:val="both"/>
        <w:rPr>
          <w:rFonts w:ascii="Arial" w:hAnsi="Arial"/>
          <w:sz w:val="22"/>
          <w:szCs w:val="22"/>
        </w:rPr>
      </w:pPr>
    </w:p>
    <w:p w:rsidR="004C7F6D" w:rsidRPr="006706A8" w:rsidRDefault="004C7F6D" w:rsidP="00D306D0">
      <w:pPr>
        <w:pStyle w:val="ListParagraph"/>
        <w:numPr>
          <w:ilvl w:val="1"/>
          <w:numId w:val="25"/>
        </w:numPr>
        <w:jc w:val="both"/>
        <w:rPr>
          <w:rFonts w:ascii="Arial" w:hAnsi="Arial"/>
          <w:sz w:val="22"/>
          <w:szCs w:val="22"/>
        </w:rPr>
      </w:pPr>
      <w:r w:rsidRPr="006706A8">
        <w:rPr>
          <w:rFonts w:ascii="Arial" w:hAnsi="Arial"/>
          <w:sz w:val="22"/>
          <w:szCs w:val="22"/>
        </w:rPr>
        <w:t xml:space="preserve">No head-to-head studies against </w:t>
      </w:r>
      <w:proofErr w:type="spellStart"/>
      <w:r w:rsidRPr="006706A8">
        <w:rPr>
          <w:rFonts w:ascii="Arial" w:hAnsi="Arial"/>
          <w:sz w:val="22"/>
          <w:szCs w:val="22"/>
        </w:rPr>
        <w:t>fingolimod</w:t>
      </w:r>
      <w:proofErr w:type="spellEnd"/>
      <w:r w:rsidRPr="006706A8">
        <w:rPr>
          <w:rFonts w:ascii="Arial" w:hAnsi="Arial"/>
          <w:sz w:val="22"/>
          <w:szCs w:val="22"/>
        </w:rPr>
        <w:t xml:space="preserve"> or </w:t>
      </w:r>
      <w:proofErr w:type="spellStart"/>
      <w:r w:rsidRPr="006706A8">
        <w:rPr>
          <w:rFonts w:ascii="Arial" w:hAnsi="Arial"/>
          <w:sz w:val="22"/>
          <w:szCs w:val="22"/>
        </w:rPr>
        <w:t>natalizumab</w:t>
      </w:r>
      <w:proofErr w:type="spellEnd"/>
      <w:r w:rsidRPr="006706A8">
        <w:rPr>
          <w:rFonts w:ascii="Arial" w:hAnsi="Arial"/>
          <w:sz w:val="22"/>
          <w:szCs w:val="22"/>
        </w:rPr>
        <w:t xml:space="preserve"> were available. The submission is based on a series of indirect comparisons between </w:t>
      </w:r>
      <w:proofErr w:type="spellStart"/>
      <w:r w:rsidRPr="006706A8">
        <w:rPr>
          <w:rFonts w:ascii="Arial" w:hAnsi="Arial"/>
          <w:sz w:val="22"/>
          <w:szCs w:val="22"/>
        </w:rPr>
        <w:t>alemtuzumab</w:t>
      </w:r>
      <w:proofErr w:type="spellEnd"/>
      <w:r w:rsidRPr="006706A8">
        <w:rPr>
          <w:rFonts w:ascii="Arial" w:hAnsi="Arial"/>
          <w:sz w:val="22"/>
          <w:szCs w:val="22"/>
        </w:rPr>
        <w:t xml:space="preserve"> and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w:t>
      </w:r>
    </w:p>
    <w:p w:rsidR="004C7F6D" w:rsidRPr="006706A8" w:rsidRDefault="004C7F6D" w:rsidP="00172BFA">
      <w:pPr>
        <w:pStyle w:val="ListParagraph"/>
        <w:numPr>
          <w:ilvl w:val="0"/>
          <w:numId w:val="40"/>
        </w:numPr>
        <w:ind w:left="1134"/>
        <w:jc w:val="both"/>
        <w:rPr>
          <w:rFonts w:ascii="Arial" w:hAnsi="Arial"/>
          <w:sz w:val="22"/>
          <w:szCs w:val="22"/>
        </w:rPr>
      </w:pPr>
      <w:r w:rsidRPr="006706A8">
        <w:rPr>
          <w:rFonts w:ascii="Arial" w:hAnsi="Arial"/>
          <w:sz w:val="22"/>
          <w:szCs w:val="22"/>
        </w:rPr>
        <w:t xml:space="preserve">Mixed treatment comparison of </w:t>
      </w:r>
      <w:proofErr w:type="spellStart"/>
      <w:r w:rsidRPr="006706A8">
        <w:rPr>
          <w:rFonts w:ascii="Arial" w:hAnsi="Arial"/>
          <w:sz w:val="22"/>
          <w:szCs w:val="22"/>
        </w:rPr>
        <w:t>alemtuzumab</w:t>
      </w:r>
      <w:proofErr w:type="spellEnd"/>
      <w:r w:rsidRPr="006706A8">
        <w:rPr>
          <w:rFonts w:ascii="Arial" w:hAnsi="Arial"/>
          <w:sz w:val="22"/>
          <w:szCs w:val="22"/>
        </w:rPr>
        <w:t xml:space="preserve"> vs. other disease modifying therapies including published trials of </w:t>
      </w:r>
      <w:proofErr w:type="spellStart"/>
      <w:r w:rsidRPr="006706A8">
        <w:rPr>
          <w:rFonts w:ascii="Arial" w:hAnsi="Arial"/>
          <w:sz w:val="22"/>
          <w:szCs w:val="22"/>
        </w:rPr>
        <w:t>fingolimod</w:t>
      </w:r>
      <w:proofErr w:type="spellEnd"/>
      <w:r w:rsidRPr="006706A8">
        <w:rPr>
          <w:rFonts w:ascii="Arial" w:hAnsi="Arial"/>
          <w:sz w:val="22"/>
          <w:szCs w:val="22"/>
        </w:rPr>
        <w:t xml:space="preserve">, </w:t>
      </w:r>
      <w:proofErr w:type="spellStart"/>
      <w:r w:rsidRPr="006706A8">
        <w:rPr>
          <w:rFonts w:ascii="Arial" w:hAnsi="Arial"/>
          <w:sz w:val="22"/>
          <w:szCs w:val="22"/>
        </w:rPr>
        <w:t>natalizumab</w:t>
      </w:r>
      <w:proofErr w:type="spellEnd"/>
      <w:r w:rsidRPr="006706A8">
        <w:rPr>
          <w:rFonts w:ascii="Arial" w:hAnsi="Arial"/>
          <w:sz w:val="22"/>
          <w:szCs w:val="22"/>
        </w:rPr>
        <w:t xml:space="preserve">, </w:t>
      </w:r>
      <w:proofErr w:type="spellStart"/>
      <w:r w:rsidRPr="006706A8">
        <w:rPr>
          <w:rFonts w:ascii="Arial" w:hAnsi="Arial"/>
          <w:sz w:val="22"/>
          <w:szCs w:val="22"/>
        </w:rPr>
        <w:t>teriflunomide</w:t>
      </w:r>
      <w:proofErr w:type="spellEnd"/>
      <w:r w:rsidRPr="006706A8">
        <w:rPr>
          <w:rFonts w:ascii="Arial" w:hAnsi="Arial"/>
          <w:sz w:val="22"/>
          <w:szCs w:val="22"/>
        </w:rPr>
        <w:t xml:space="preserve">, dimethyl </w:t>
      </w:r>
      <w:proofErr w:type="spellStart"/>
      <w:r w:rsidRPr="006706A8">
        <w:rPr>
          <w:rFonts w:ascii="Arial" w:hAnsi="Arial"/>
          <w:sz w:val="22"/>
          <w:szCs w:val="22"/>
        </w:rPr>
        <w:t>fumarate</w:t>
      </w:r>
      <w:proofErr w:type="spellEnd"/>
      <w:r w:rsidRPr="006706A8">
        <w:rPr>
          <w:rFonts w:ascii="Arial" w:hAnsi="Arial"/>
          <w:sz w:val="22"/>
          <w:szCs w:val="22"/>
        </w:rPr>
        <w:t xml:space="preserve">, subcutaneous interferon beta-1a, intramuscular interferon beta-1a, subcutaneous interferon beta-1b, </w:t>
      </w:r>
      <w:proofErr w:type="spellStart"/>
      <w:r w:rsidRPr="006706A8">
        <w:rPr>
          <w:rFonts w:ascii="Arial" w:hAnsi="Arial"/>
          <w:sz w:val="22"/>
          <w:szCs w:val="22"/>
        </w:rPr>
        <w:t>glatiramer</w:t>
      </w:r>
      <w:proofErr w:type="spellEnd"/>
      <w:r w:rsidRPr="006706A8">
        <w:rPr>
          <w:rFonts w:ascii="Arial" w:hAnsi="Arial"/>
          <w:sz w:val="22"/>
          <w:szCs w:val="22"/>
        </w:rPr>
        <w:t xml:space="preserve"> acetate, rituximab, </w:t>
      </w:r>
      <w:proofErr w:type="spellStart"/>
      <w:r w:rsidRPr="006706A8">
        <w:rPr>
          <w:rFonts w:ascii="Arial" w:hAnsi="Arial"/>
          <w:sz w:val="22"/>
          <w:szCs w:val="22"/>
        </w:rPr>
        <w:t>daclizumab</w:t>
      </w:r>
      <w:proofErr w:type="spellEnd"/>
      <w:r w:rsidRPr="006706A8">
        <w:rPr>
          <w:rFonts w:ascii="Arial" w:hAnsi="Arial"/>
          <w:sz w:val="22"/>
          <w:szCs w:val="22"/>
        </w:rPr>
        <w:t xml:space="preserve">, </w:t>
      </w:r>
      <w:proofErr w:type="spellStart"/>
      <w:r w:rsidRPr="006706A8">
        <w:rPr>
          <w:rFonts w:ascii="Arial" w:hAnsi="Arial"/>
          <w:sz w:val="22"/>
          <w:szCs w:val="22"/>
        </w:rPr>
        <w:t>laquinimod</w:t>
      </w:r>
      <w:proofErr w:type="spellEnd"/>
      <w:r w:rsidRPr="006706A8">
        <w:rPr>
          <w:rFonts w:ascii="Arial" w:hAnsi="Arial"/>
          <w:sz w:val="22"/>
          <w:szCs w:val="22"/>
        </w:rPr>
        <w:t xml:space="preserve"> (36 trials)</w:t>
      </w:r>
    </w:p>
    <w:p w:rsidR="004C7F6D" w:rsidRPr="006706A8" w:rsidRDefault="004C7F6D" w:rsidP="00172BFA">
      <w:pPr>
        <w:pStyle w:val="ListParagraph"/>
        <w:numPr>
          <w:ilvl w:val="0"/>
          <w:numId w:val="40"/>
        </w:numPr>
        <w:ind w:left="1134"/>
        <w:jc w:val="both"/>
        <w:rPr>
          <w:rFonts w:ascii="Arial" w:hAnsi="Arial"/>
          <w:sz w:val="22"/>
          <w:szCs w:val="22"/>
        </w:rPr>
      </w:pPr>
      <w:r w:rsidRPr="006706A8">
        <w:rPr>
          <w:rFonts w:ascii="Arial" w:hAnsi="Arial"/>
          <w:sz w:val="22"/>
          <w:szCs w:val="22"/>
        </w:rPr>
        <w:t xml:space="preserve">Mixed treatment comparison of </w:t>
      </w:r>
      <w:proofErr w:type="spellStart"/>
      <w:r w:rsidRPr="006706A8">
        <w:rPr>
          <w:rFonts w:ascii="Arial" w:hAnsi="Arial"/>
          <w:sz w:val="22"/>
          <w:szCs w:val="22"/>
        </w:rPr>
        <w:t>alemtuzumab</w:t>
      </w:r>
      <w:proofErr w:type="spellEnd"/>
      <w:r w:rsidRPr="006706A8">
        <w:rPr>
          <w:rFonts w:ascii="Arial" w:hAnsi="Arial"/>
          <w:sz w:val="22"/>
          <w:szCs w:val="22"/>
        </w:rPr>
        <w:t xml:space="preserve"> vs. other disease modifying therapies limited to trials conducted exclusively in RRMS populations and published after 2000 (26 trials)</w:t>
      </w:r>
    </w:p>
    <w:p w:rsidR="004C7F6D" w:rsidRPr="006706A8" w:rsidRDefault="004C7F6D" w:rsidP="00172BFA">
      <w:pPr>
        <w:pStyle w:val="ListParagraph"/>
        <w:numPr>
          <w:ilvl w:val="0"/>
          <w:numId w:val="40"/>
        </w:numPr>
        <w:ind w:left="1134"/>
        <w:jc w:val="both"/>
        <w:rPr>
          <w:rFonts w:ascii="Arial" w:hAnsi="Arial"/>
          <w:sz w:val="22"/>
          <w:szCs w:val="22"/>
        </w:rPr>
      </w:pPr>
      <w:r w:rsidRPr="006706A8">
        <w:rPr>
          <w:rFonts w:ascii="Arial" w:hAnsi="Arial"/>
          <w:sz w:val="22"/>
          <w:szCs w:val="22"/>
        </w:rPr>
        <w:t xml:space="preserve">Mixed treatment comparison using the minimum set of trials required to link </w:t>
      </w:r>
      <w:proofErr w:type="spellStart"/>
      <w:r w:rsidRPr="006706A8">
        <w:rPr>
          <w:rFonts w:ascii="Arial" w:hAnsi="Arial"/>
          <w:sz w:val="22"/>
          <w:szCs w:val="22"/>
        </w:rPr>
        <w:t>alemtuzumab</w:t>
      </w:r>
      <w:proofErr w:type="spellEnd"/>
      <w:r w:rsidRPr="006706A8">
        <w:rPr>
          <w:rFonts w:ascii="Arial" w:hAnsi="Arial"/>
          <w:sz w:val="22"/>
          <w:szCs w:val="22"/>
        </w:rPr>
        <w:t xml:space="preserve"> to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(14 trials)</w:t>
      </w:r>
    </w:p>
    <w:p w:rsidR="004C7F6D" w:rsidRPr="006706A8" w:rsidRDefault="004C7F6D" w:rsidP="00172BFA">
      <w:pPr>
        <w:pStyle w:val="ListParagraph"/>
        <w:numPr>
          <w:ilvl w:val="0"/>
          <w:numId w:val="40"/>
        </w:numPr>
        <w:ind w:left="1134"/>
        <w:jc w:val="both"/>
        <w:rPr>
          <w:rFonts w:ascii="Arial" w:hAnsi="Arial"/>
          <w:sz w:val="22"/>
          <w:szCs w:val="22"/>
        </w:rPr>
      </w:pPr>
      <w:r w:rsidRPr="006706A8">
        <w:rPr>
          <w:rFonts w:ascii="Arial" w:hAnsi="Arial"/>
          <w:sz w:val="22"/>
          <w:szCs w:val="22"/>
        </w:rPr>
        <w:t xml:space="preserve">Multistep indirect analysis of </w:t>
      </w:r>
      <w:proofErr w:type="spellStart"/>
      <w:r w:rsidRPr="006706A8">
        <w:rPr>
          <w:rFonts w:ascii="Arial" w:hAnsi="Arial"/>
          <w:sz w:val="22"/>
          <w:szCs w:val="22"/>
        </w:rPr>
        <w:t>alemtuzumab</w:t>
      </w:r>
      <w:proofErr w:type="spellEnd"/>
      <w:r w:rsidRPr="006706A8">
        <w:rPr>
          <w:rFonts w:ascii="Arial" w:hAnsi="Arial"/>
          <w:sz w:val="22"/>
          <w:szCs w:val="22"/>
        </w:rPr>
        <w:t xml:space="preserve"> vs.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using subcutaneous interferon beta-1a/ </w:t>
      </w:r>
      <w:proofErr w:type="spellStart"/>
      <w:r w:rsidRPr="006706A8">
        <w:rPr>
          <w:rFonts w:ascii="Arial" w:hAnsi="Arial"/>
          <w:sz w:val="22"/>
          <w:szCs w:val="22"/>
        </w:rPr>
        <w:t>teriflunomide</w:t>
      </w:r>
      <w:proofErr w:type="spellEnd"/>
      <w:r w:rsidRPr="006706A8">
        <w:rPr>
          <w:rFonts w:ascii="Arial" w:hAnsi="Arial"/>
          <w:sz w:val="22"/>
          <w:szCs w:val="22"/>
        </w:rPr>
        <w:t>/ placebo as bridging comparators (10 trials)</w:t>
      </w:r>
    </w:p>
    <w:p w:rsidR="004C7F6D" w:rsidRPr="006706A8" w:rsidRDefault="004C7F6D" w:rsidP="00172BFA">
      <w:pPr>
        <w:pStyle w:val="ListParagraph"/>
        <w:numPr>
          <w:ilvl w:val="0"/>
          <w:numId w:val="40"/>
        </w:numPr>
        <w:ind w:left="1134"/>
        <w:jc w:val="both"/>
        <w:rPr>
          <w:rFonts w:ascii="Arial" w:hAnsi="Arial"/>
          <w:sz w:val="22"/>
          <w:szCs w:val="22"/>
        </w:rPr>
      </w:pPr>
      <w:r w:rsidRPr="006706A8">
        <w:rPr>
          <w:rFonts w:ascii="Arial" w:hAnsi="Arial"/>
          <w:sz w:val="22"/>
          <w:szCs w:val="22"/>
        </w:rPr>
        <w:t xml:space="preserve">Multistep indirect analysis of </w:t>
      </w:r>
      <w:proofErr w:type="spellStart"/>
      <w:r w:rsidRPr="006706A8">
        <w:rPr>
          <w:rFonts w:ascii="Arial" w:hAnsi="Arial"/>
          <w:sz w:val="22"/>
          <w:szCs w:val="22"/>
        </w:rPr>
        <w:t>alemtuzumab</w:t>
      </w:r>
      <w:proofErr w:type="spellEnd"/>
      <w:r w:rsidRPr="006706A8">
        <w:rPr>
          <w:rFonts w:ascii="Arial" w:hAnsi="Arial"/>
          <w:sz w:val="22"/>
          <w:szCs w:val="22"/>
        </w:rPr>
        <w:t xml:space="preserve"> vs.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using subcutaneous interferon beta-1a/ intramuscular interferon beta-1a/ placebo as bridging comparators (12 trials).</w:t>
      </w:r>
    </w:p>
    <w:p w:rsidR="004C7F6D" w:rsidRPr="006706A8" w:rsidRDefault="004C7F6D" w:rsidP="00406633">
      <w:pPr>
        <w:jc w:val="both"/>
        <w:rPr>
          <w:rFonts w:ascii="Arial" w:hAnsi="Arial"/>
          <w:sz w:val="22"/>
          <w:szCs w:val="22"/>
        </w:rPr>
      </w:pPr>
    </w:p>
    <w:p w:rsidR="004C7F6D" w:rsidRPr="006706A8" w:rsidRDefault="004C7F6D" w:rsidP="00D306D0">
      <w:pPr>
        <w:pStyle w:val="ListParagraph"/>
        <w:numPr>
          <w:ilvl w:val="1"/>
          <w:numId w:val="25"/>
        </w:numPr>
        <w:jc w:val="both"/>
        <w:rPr>
          <w:rFonts w:ascii="Arial" w:hAnsi="Arial"/>
          <w:sz w:val="22"/>
          <w:szCs w:val="22"/>
        </w:rPr>
      </w:pPr>
      <w:r w:rsidRPr="006706A8">
        <w:rPr>
          <w:rFonts w:ascii="Arial" w:hAnsi="Arial"/>
          <w:sz w:val="22"/>
          <w:szCs w:val="22"/>
        </w:rPr>
        <w:t>The submission acknowledges the inherent uncertainty</w:t>
      </w:r>
      <w:r w:rsidR="00CA5600" w:rsidRPr="006706A8">
        <w:rPr>
          <w:rFonts w:ascii="Arial" w:hAnsi="Arial"/>
          <w:sz w:val="22"/>
          <w:szCs w:val="22"/>
        </w:rPr>
        <w:t xml:space="preserve"> </w:t>
      </w:r>
      <w:r w:rsidR="005879E8" w:rsidRPr="006706A8">
        <w:rPr>
          <w:rFonts w:ascii="Arial" w:hAnsi="Arial"/>
          <w:sz w:val="22"/>
          <w:szCs w:val="22"/>
        </w:rPr>
        <w:t>of indirect</w:t>
      </w:r>
      <w:r w:rsidRPr="006706A8">
        <w:rPr>
          <w:rFonts w:ascii="Arial" w:hAnsi="Arial"/>
          <w:sz w:val="22"/>
          <w:szCs w:val="22"/>
        </w:rPr>
        <w:t xml:space="preserve"> comparisons. It is unclear whether the included trial populations are sufficiently exchangeable given differences in multiple sclerosis subtypes, prior therapies, diagnostic criteria, study enrolment periods, duration of randomised treatment, outcome definitions, baseline disease activity (number of recent relapses), baseline level of disability and duration of disease.</w:t>
      </w:r>
    </w:p>
    <w:p w:rsidR="004C7F6D" w:rsidRPr="006706A8" w:rsidRDefault="004C7F6D" w:rsidP="0051703A">
      <w:pPr>
        <w:jc w:val="both"/>
        <w:rPr>
          <w:rFonts w:ascii="Arial" w:hAnsi="Arial"/>
          <w:sz w:val="22"/>
          <w:szCs w:val="22"/>
        </w:rPr>
      </w:pPr>
    </w:p>
    <w:p w:rsidR="004C7F6D" w:rsidRPr="006706A8" w:rsidRDefault="004C7F6D" w:rsidP="00BB7EC3">
      <w:pPr>
        <w:pStyle w:val="ListParagraph"/>
        <w:ind w:left="709"/>
        <w:jc w:val="both"/>
        <w:rPr>
          <w:rFonts w:ascii="Arial" w:hAnsi="Arial"/>
          <w:i/>
          <w:sz w:val="22"/>
          <w:szCs w:val="22"/>
        </w:rPr>
      </w:pPr>
      <w:r w:rsidRPr="006706A8">
        <w:rPr>
          <w:rFonts w:ascii="Arial" w:hAnsi="Arial"/>
          <w:i/>
          <w:sz w:val="22"/>
          <w:szCs w:val="22"/>
        </w:rPr>
        <w:t>For more detail on PBAC’s view, see “clinical claim” and section 7 “PBAC outcome”</w:t>
      </w:r>
    </w:p>
    <w:p w:rsidR="004C7F6D" w:rsidRPr="006706A8" w:rsidRDefault="004C7F6D" w:rsidP="0051703A">
      <w:pPr>
        <w:jc w:val="both"/>
        <w:rPr>
          <w:rFonts w:ascii="Arial" w:hAnsi="Arial"/>
          <w:sz w:val="22"/>
          <w:szCs w:val="22"/>
        </w:rPr>
      </w:pPr>
    </w:p>
    <w:p w:rsidR="004C7F6D" w:rsidRPr="006706A8" w:rsidRDefault="004C7F6D" w:rsidP="00882085">
      <w:pPr>
        <w:jc w:val="both"/>
        <w:rPr>
          <w:rFonts w:ascii="Arial" w:hAnsi="Arial"/>
          <w:b/>
          <w:i/>
          <w:sz w:val="22"/>
          <w:szCs w:val="22"/>
        </w:rPr>
      </w:pPr>
      <w:r w:rsidRPr="006706A8">
        <w:rPr>
          <w:rFonts w:ascii="Arial" w:hAnsi="Arial"/>
          <w:b/>
          <w:i/>
          <w:sz w:val="22"/>
          <w:szCs w:val="22"/>
        </w:rPr>
        <w:t>Comparative effectiveness</w:t>
      </w:r>
    </w:p>
    <w:p w:rsidR="004C7F6D" w:rsidRPr="006706A8" w:rsidRDefault="004C7F6D" w:rsidP="00DA2161">
      <w:pPr>
        <w:jc w:val="both"/>
        <w:rPr>
          <w:rFonts w:ascii="Arial" w:hAnsi="Arial"/>
          <w:sz w:val="22"/>
          <w:szCs w:val="22"/>
        </w:rPr>
      </w:pPr>
    </w:p>
    <w:p w:rsidR="004C7F6D" w:rsidRPr="006706A8" w:rsidRDefault="004C7F6D" w:rsidP="0003025B">
      <w:pPr>
        <w:pStyle w:val="ListParagraph"/>
        <w:numPr>
          <w:ilvl w:val="1"/>
          <w:numId w:val="25"/>
        </w:numPr>
        <w:jc w:val="both"/>
        <w:rPr>
          <w:rFonts w:ascii="Arial" w:hAnsi="Arial"/>
          <w:sz w:val="22"/>
          <w:szCs w:val="22"/>
        </w:rPr>
      </w:pPr>
      <w:r w:rsidRPr="006706A8">
        <w:rPr>
          <w:rFonts w:ascii="Arial" w:hAnsi="Arial"/>
          <w:sz w:val="22"/>
          <w:szCs w:val="22"/>
        </w:rPr>
        <w:t xml:space="preserve">Treatment with </w:t>
      </w:r>
      <w:proofErr w:type="spellStart"/>
      <w:r w:rsidRPr="006706A8">
        <w:rPr>
          <w:rFonts w:ascii="Arial" w:hAnsi="Arial"/>
          <w:sz w:val="22"/>
          <w:szCs w:val="22"/>
        </w:rPr>
        <w:t>alemtuzumab</w:t>
      </w:r>
      <w:proofErr w:type="spellEnd"/>
      <w:r w:rsidRPr="006706A8">
        <w:rPr>
          <w:rFonts w:ascii="Arial" w:hAnsi="Arial"/>
          <w:sz w:val="22"/>
          <w:szCs w:val="22"/>
        </w:rPr>
        <w:t xml:space="preserve"> was associated with a statistically significant reduction in protocol-defined relapses compared to subcutaneous interferon beta-1a. Treatment with </w:t>
      </w:r>
      <w:proofErr w:type="spellStart"/>
      <w:r w:rsidRPr="006706A8">
        <w:rPr>
          <w:rFonts w:ascii="Arial" w:hAnsi="Arial"/>
          <w:sz w:val="22"/>
          <w:szCs w:val="22"/>
        </w:rPr>
        <w:t>alemtuzumab</w:t>
      </w:r>
      <w:proofErr w:type="spellEnd"/>
      <w:r w:rsidRPr="006706A8">
        <w:rPr>
          <w:rFonts w:ascii="Arial" w:hAnsi="Arial"/>
          <w:sz w:val="22"/>
          <w:szCs w:val="22"/>
        </w:rPr>
        <w:t xml:space="preserve"> was associated with a statistically significant increase in the proportion of relapse-free patients at 2-3 years compared to subcutaneous interferon beta-1a.</w:t>
      </w:r>
    </w:p>
    <w:p w:rsidR="004C7F6D" w:rsidRPr="006706A8" w:rsidRDefault="004C7F6D" w:rsidP="0003025B">
      <w:pPr>
        <w:jc w:val="both"/>
        <w:rPr>
          <w:rFonts w:ascii="Arial" w:hAnsi="Arial"/>
          <w:sz w:val="22"/>
          <w:szCs w:val="22"/>
        </w:rPr>
      </w:pPr>
    </w:p>
    <w:p w:rsidR="004C7F6D" w:rsidRPr="006706A8" w:rsidRDefault="004C7F6D" w:rsidP="0069437D">
      <w:pPr>
        <w:widowControl w:val="0"/>
        <w:tabs>
          <w:tab w:val="left" w:pos="720"/>
        </w:tabs>
        <w:ind w:left="709"/>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 xml:space="preserve">Comparison of relapse rates between </w:t>
      </w:r>
      <w:proofErr w:type="spellStart"/>
      <w:r w:rsidRPr="006706A8">
        <w:rPr>
          <w:rFonts w:ascii="Arial Narrow" w:hAnsi="Arial Narrow" w:cs="Arial"/>
          <w:b/>
          <w:snapToGrid w:val="0"/>
          <w:sz w:val="20"/>
          <w:szCs w:val="20"/>
          <w:lang w:eastAsia="en-US"/>
        </w:rPr>
        <w:t>alemtuzumab</w:t>
      </w:r>
      <w:proofErr w:type="spellEnd"/>
      <w:r w:rsidRPr="006706A8">
        <w:rPr>
          <w:rFonts w:ascii="Arial Narrow" w:hAnsi="Arial Narrow" w:cs="Arial"/>
          <w:b/>
          <w:snapToGrid w:val="0"/>
          <w:sz w:val="20"/>
          <w:szCs w:val="20"/>
          <w:lang w:eastAsia="en-US"/>
        </w:rPr>
        <w:t xml:space="preserve"> and subcutaneous interferon beta-1a </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Description w:val="Comparison of relapse rates between alemtuzumab and subcutaneous interferon beta-1a "/>
      </w:tblPr>
      <w:tblGrid>
        <w:gridCol w:w="2266"/>
        <w:gridCol w:w="1276"/>
        <w:gridCol w:w="1845"/>
        <w:gridCol w:w="1840"/>
        <w:gridCol w:w="1136"/>
      </w:tblGrid>
      <w:tr w:rsidR="0069437D" w:rsidRPr="006706A8" w:rsidTr="0069437D">
        <w:tc>
          <w:tcPr>
            <w:tcW w:w="1355" w:type="pct"/>
            <w:vMerge w:val="restart"/>
            <w:vAlign w:val="center"/>
          </w:tcPr>
          <w:p w:rsidR="004C7F6D" w:rsidRPr="006706A8" w:rsidRDefault="004C7F6D" w:rsidP="00405C83">
            <w:pPr>
              <w:pStyle w:val="COMtbl-HEADLeftAligned"/>
            </w:pPr>
            <w:r w:rsidRPr="006706A8">
              <w:t>Trial ID</w:t>
            </w:r>
          </w:p>
        </w:tc>
        <w:tc>
          <w:tcPr>
            <w:tcW w:w="1866" w:type="pct"/>
            <w:gridSpan w:val="2"/>
            <w:vAlign w:val="center"/>
          </w:tcPr>
          <w:p w:rsidR="004C7F6D" w:rsidRPr="006706A8" w:rsidRDefault="004C7F6D" w:rsidP="00405C83">
            <w:pPr>
              <w:pStyle w:val="COMtbl-HEADCentred"/>
            </w:pPr>
            <w:r w:rsidRPr="006706A8">
              <w:t>Annualised relapse rate (95% CI)</w:t>
            </w:r>
          </w:p>
        </w:tc>
        <w:tc>
          <w:tcPr>
            <w:tcW w:w="1100" w:type="pct"/>
            <w:vMerge w:val="restart"/>
            <w:vAlign w:val="center"/>
          </w:tcPr>
          <w:p w:rsidR="004C7F6D" w:rsidRPr="006706A8" w:rsidRDefault="004C7F6D" w:rsidP="00405C83">
            <w:pPr>
              <w:pStyle w:val="COMtbl-HEADCentred"/>
            </w:pPr>
            <w:r w:rsidRPr="006706A8">
              <w:t>Incremental difference per 100 patients</w:t>
            </w:r>
          </w:p>
        </w:tc>
        <w:tc>
          <w:tcPr>
            <w:tcW w:w="679" w:type="pct"/>
            <w:vMerge w:val="restart"/>
            <w:vAlign w:val="center"/>
          </w:tcPr>
          <w:p w:rsidR="004C7F6D" w:rsidRPr="006706A8" w:rsidRDefault="004C7F6D" w:rsidP="00405C83">
            <w:pPr>
              <w:pStyle w:val="COMtbl-HEADCentred"/>
            </w:pPr>
            <w:r w:rsidRPr="006706A8">
              <w:t xml:space="preserve">Rate ratio </w:t>
            </w:r>
          </w:p>
          <w:p w:rsidR="004C7F6D" w:rsidRPr="006706A8" w:rsidRDefault="004C7F6D" w:rsidP="00405C83">
            <w:pPr>
              <w:pStyle w:val="COMtbl-HEADCentred"/>
              <w:rPr>
                <w:i/>
              </w:rPr>
            </w:pPr>
            <w:r w:rsidRPr="006706A8">
              <w:t>(95% CI)</w:t>
            </w:r>
          </w:p>
        </w:tc>
      </w:tr>
      <w:tr w:rsidR="0069437D" w:rsidRPr="006706A8" w:rsidTr="0069437D">
        <w:tc>
          <w:tcPr>
            <w:tcW w:w="1355" w:type="pct"/>
            <w:vMerge/>
            <w:vAlign w:val="center"/>
          </w:tcPr>
          <w:p w:rsidR="004C7F6D" w:rsidRPr="006706A8" w:rsidRDefault="004C7F6D" w:rsidP="00405C83">
            <w:pPr>
              <w:pStyle w:val="COMtbl-HEADLeftAligned"/>
            </w:pPr>
          </w:p>
        </w:tc>
        <w:tc>
          <w:tcPr>
            <w:tcW w:w="763" w:type="pct"/>
            <w:vAlign w:val="center"/>
          </w:tcPr>
          <w:p w:rsidR="004C7F6D" w:rsidRPr="006706A8" w:rsidRDefault="004C7F6D" w:rsidP="00922753">
            <w:pPr>
              <w:pStyle w:val="COMtbl-HEADCentred"/>
            </w:pPr>
            <w:proofErr w:type="spellStart"/>
            <w:r w:rsidRPr="006706A8">
              <w:t>Alemtuzumab</w:t>
            </w:r>
            <w:proofErr w:type="spellEnd"/>
          </w:p>
        </w:tc>
        <w:tc>
          <w:tcPr>
            <w:tcW w:w="1102" w:type="pct"/>
            <w:vAlign w:val="center"/>
          </w:tcPr>
          <w:p w:rsidR="004C7F6D" w:rsidRPr="006706A8" w:rsidRDefault="004C7F6D" w:rsidP="00405C83">
            <w:pPr>
              <w:pStyle w:val="COMtbl-HEADCentred"/>
            </w:pPr>
            <w:r w:rsidRPr="006706A8">
              <w:t>SC interferon beta-1a</w:t>
            </w:r>
          </w:p>
        </w:tc>
        <w:tc>
          <w:tcPr>
            <w:tcW w:w="1100" w:type="pct"/>
            <w:vMerge/>
            <w:vAlign w:val="center"/>
          </w:tcPr>
          <w:p w:rsidR="004C7F6D" w:rsidRPr="006706A8" w:rsidRDefault="004C7F6D" w:rsidP="00405C83">
            <w:pPr>
              <w:pStyle w:val="COMtbl-HEADCentred"/>
            </w:pPr>
          </w:p>
        </w:tc>
        <w:tc>
          <w:tcPr>
            <w:tcW w:w="679" w:type="pct"/>
            <w:vMerge/>
            <w:vAlign w:val="center"/>
          </w:tcPr>
          <w:p w:rsidR="004C7F6D" w:rsidRPr="006706A8" w:rsidRDefault="004C7F6D" w:rsidP="00405C83">
            <w:pPr>
              <w:pStyle w:val="COMtbl-HEADCentred"/>
              <w:rPr>
                <w:i/>
              </w:rPr>
            </w:pPr>
          </w:p>
        </w:tc>
      </w:tr>
      <w:tr w:rsidR="004C7F6D" w:rsidRPr="006706A8" w:rsidTr="0069437D">
        <w:tc>
          <w:tcPr>
            <w:tcW w:w="5000" w:type="pct"/>
            <w:gridSpan w:val="5"/>
            <w:vAlign w:val="center"/>
          </w:tcPr>
          <w:p w:rsidR="004C7F6D" w:rsidRPr="006706A8" w:rsidRDefault="004C7F6D" w:rsidP="00405C83">
            <w:pPr>
              <w:pStyle w:val="COMtbl-textCentred"/>
              <w:jc w:val="left"/>
              <w:rPr>
                <w:b/>
              </w:rPr>
            </w:pPr>
            <w:r w:rsidRPr="006706A8">
              <w:rPr>
                <w:b/>
              </w:rPr>
              <w:lastRenderedPageBreak/>
              <w:t>Protocol-defined relapses</w:t>
            </w:r>
          </w:p>
        </w:tc>
      </w:tr>
      <w:tr w:rsidR="0069437D" w:rsidRPr="006706A8" w:rsidTr="0069437D">
        <w:tc>
          <w:tcPr>
            <w:tcW w:w="1355" w:type="pct"/>
            <w:vAlign w:val="center"/>
          </w:tcPr>
          <w:p w:rsidR="004C7F6D" w:rsidRPr="006706A8" w:rsidRDefault="004C7F6D" w:rsidP="00405C83">
            <w:pPr>
              <w:pStyle w:val="COMtbl-textLeftAligned"/>
            </w:pPr>
            <w:r w:rsidRPr="006706A8">
              <w:t xml:space="preserve">CAMMS223, treatment naive </w:t>
            </w:r>
          </w:p>
          <w:p w:rsidR="004C7F6D" w:rsidRPr="006706A8" w:rsidRDefault="004C7F6D" w:rsidP="00405C83">
            <w:pPr>
              <w:pStyle w:val="COMtbl-textLeftAligned"/>
            </w:pPr>
            <w:r w:rsidRPr="006706A8">
              <w:t>(3-year results)</w:t>
            </w:r>
          </w:p>
        </w:tc>
        <w:tc>
          <w:tcPr>
            <w:tcW w:w="763" w:type="pct"/>
            <w:vAlign w:val="center"/>
          </w:tcPr>
          <w:p w:rsidR="004C7F6D" w:rsidRPr="006706A8" w:rsidRDefault="004C7F6D" w:rsidP="00405C83">
            <w:pPr>
              <w:pStyle w:val="COMtbl-textCentred"/>
            </w:pPr>
            <w:r w:rsidRPr="006706A8">
              <w:t>0.12 (0.09, 0.17)</w:t>
            </w:r>
          </w:p>
          <w:p w:rsidR="004C7F6D" w:rsidRPr="006706A8" w:rsidRDefault="004C7F6D" w:rsidP="00405C83">
            <w:pPr>
              <w:pStyle w:val="COMtbl-textCentred"/>
            </w:pPr>
            <w:r w:rsidRPr="006706A8">
              <w:t>N = 112</w:t>
            </w:r>
          </w:p>
        </w:tc>
        <w:tc>
          <w:tcPr>
            <w:tcW w:w="1102" w:type="pct"/>
            <w:vAlign w:val="center"/>
          </w:tcPr>
          <w:p w:rsidR="004C7F6D" w:rsidRPr="006706A8" w:rsidRDefault="004C7F6D" w:rsidP="00405C83">
            <w:pPr>
              <w:pStyle w:val="COMtbl-textCentred"/>
            </w:pPr>
            <w:r w:rsidRPr="006706A8">
              <w:t>0.37 (0.30, 0.45)</w:t>
            </w:r>
          </w:p>
          <w:p w:rsidR="004C7F6D" w:rsidRPr="006706A8" w:rsidRDefault="004C7F6D" w:rsidP="00405C83">
            <w:pPr>
              <w:pStyle w:val="COMtbl-textCentred"/>
            </w:pPr>
            <w:r w:rsidRPr="006706A8">
              <w:t>N = 111</w:t>
            </w:r>
          </w:p>
        </w:tc>
        <w:tc>
          <w:tcPr>
            <w:tcW w:w="1100" w:type="pct"/>
            <w:vAlign w:val="center"/>
          </w:tcPr>
          <w:p w:rsidR="004C7F6D" w:rsidRPr="006706A8" w:rsidRDefault="004C7F6D" w:rsidP="00405C83">
            <w:pPr>
              <w:pStyle w:val="COMtbl-textCentred"/>
            </w:pPr>
            <w:r w:rsidRPr="006706A8">
              <w:t xml:space="preserve">25 fewer relapses </w:t>
            </w:r>
          </w:p>
          <w:p w:rsidR="004C7F6D" w:rsidRPr="006706A8" w:rsidRDefault="004C7F6D" w:rsidP="00405C83">
            <w:pPr>
              <w:pStyle w:val="COMtbl-textCentred"/>
            </w:pPr>
            <w:r w:rsidRPr="006706A8">
              <w:t>per year</w:t>
            </w:r>
          </w:p>
        </w:tc>
        <w:tc>
          <w:tcPr>
            <w:tcW w:w="679" w:type="pct"/>
            <w:vAlign w:val="center"/>
          </w:tcPr>
          <w:p w:rsidR="004C7F6D" w:rsidRPr="006706A8" w:rsidRDefault="004C7F6D" w:rsidP="00405C83">
            <w:pPr>
              <w:pStyle w:val="COMtbl-textCentred"/>
              <w:rPr>
                <w:b/>
              </w:rPr>
            </w:pPr>
            <w:r w:rsidRPr="006706A8">
              <w:rPr>
                <w:b/>
              </w:rPr>
              <w:t xml:space="preserve">0.33 </w:t>
            </w:r>
          </w:p>
          <w:p w:rsidR="004C7F6D" w:rsidRPr="006706A8" w:rsidRDefault="004C7F6D" w:rsidP="00405C83">
            <w:pPr>
              <w:pStyle w:val="COMtbl-textCentred"/>
              <w:rPr>
                <w:b/>
                <w:i/>
              </w:rPr>
            </w:pPr>
            <w:r w:rsidRPr="006706A8">
              <w:rPr>
                <w:b/>
              </w:rPr>
              <w:t>(0.20, 0.55)</w:t>
            </w:r>
          </w:p>
        </w:tc>
      </w:tr>
      <w:tr w:rsidR="0069437D" w:rsidRPr="006706A8" w:rsidTr="0069437D">
        <w:tc>
          <w:tcPr>
            <w:tcW w:w="1355" w:type="pct"/>
            <w:vAlign w:val="center"/>
          </w:tcPr>
          <w:p w:rsidR="004C7F6D" w:rsidRPr="006706A8" w:rsidRDefault="004C7F6D" w:rsidP="00405C83">
            <w:pPr>
              <w:pStyle w:val="COMtbl-textLeftAligned"/>
            </w:pPr>
            <w:r w:rsidRPr="006706A8">
              <w:t xml:space="preserve">CARE MS-I, treatment naive </w:t>
            </w:r>
          </w:p>
          <w:p w:rsidR="004C7F6D" w:rsidRPr="006706A8" w:rsidRDefault="004C7F6D" w:rsidP="00405C83">
            <w:pPr>
              <w:pStyle w:val="COMtbl-textLeftAligned"/>
            </w:pPr>
            <w:r w:rsidRPr="006706A8">
              <w:t>(2- year results)</w:t>
            </w:r>
          </w:p>
        </w:tc>
        <w:tc>
          <w:tcPr>
            <w:tcW w:w="763" w:type="pct"/>
            <w:vAlign w:val="center"/>
          </w:tcPr>
          <w:p w:rsidR="004C7F6D" w:rsidRPr="006706A8" w:rsidRDefault="004C7F6D" w:rsidP="00405C83">
            <w:pPr>
              <w:pStyle w:val="COMtbl-textCentred"/>
            </w:pPr>
            <w:r w:rsidRPr="006706A8">
              <w:t>0.18 (0.13, 0.23)</w:t>
            </w:r>
          </w:p>
          <w:p w:rsidR="004C7F6D" w:rsidRPr="006706A8" w:rsidRDefault="004C7F6D" w:rsidP="00405C83">
            <w:pPr>
              <w:pStyle w:val="COMtbl-textCentred"/>
            </w:pPr>
            <w:r w:rsidRPr="006706A8">
              <w:t>N = 376</w:t>
            </w:r>
          </w:p>
        </w:tc>
        <w:tc>
          <w:tcPr>
            <w:tcW w:w="1102" w:type="pct"/>
            <w:vAlign w:val="center"/>
          </w:tcPr>
          <w:p w:rsidR="004C7F6D" w:rsidRPr="006706A8" w:rsidRDefault="004C7F6D" w:rsidP="00405C83">
            <w:pPr>
              <w:pStyle w:val="COMtbl-textCentred"/>
            </w:pPr>
            <w:r w:rsidRPr="006706A8">
              <w:t>0.39 (0.29, 0.53)</w:t>
            </w:r>
          </w:p>
          <w:p w:rsidR="004C7F6D" w:rsidRPr="006706A8" w:rsidRDefault="004C7F6D" w:rsidP="00405C83">
            <w:pPr>
              <w:pStyle w:val="COMtbl-textCentred"/>
            </w:pPr>
            <w:r w:rsidRPr="006706A8">
              <w:t>N = 187</w:t>
            </w:r>
          </w:p>
        </w:tc>
        <w:tc>
          <w:tcPr>
            <w:tcW w:w="1100" w:type="pct"/>
            <w:vAlign w:val="center"/>
          </w:tcPr>
          <w:p w:rsidR="004C7F6D" w:rsidRPr="006706A8" w:rsidRDefault="004C7F6D" w:rsidP="00405C83">
            <w:pPr>
              <w:pStyle w:val="COMtbl-textCentred"/>
            </w:pPr>
            <w:r w:rsidRPr="006706A8">
              <w:t>21 fewer relapses</w:t>
            </w:r>
          </w:p>
          <w:p w:rsidR="004C7F6D" w:rsidRPr="006706A8" w:rsidRDefault="004C7F6D" w:rsidP="00405C83">
            <w:pPr>
              <w:pStyle w:val="COMtbl-textCentred"/>
            </w:pPr>
            <w:r w:rsidRPr="006706A8">
              <w:t xml:space="preserve"> per year</w:t>
            </w:r>
          </w:p>
        </w:tc>
        <w:tc>
          <w:tcPr>
            <w:tcW w:w="679" w:type="pct"/>
            <w:vAlign w:val="center"/>
          </w:tcPr>
          <w:p w:rsidR="004C7F6D" w:rsidRPr="006706A8" w:rsidRDefault="004C7F6D" w:rsidP="00405C83">
            <w:pPr>
              <w:pStyle w:val="COMtbl-textCentred"/>
              <w:rPr>
                <w:b/>
              </w:rPr>
            </w:pPr>
            <w:r w:rsidRPr="006706A8">
              <w:rPr>
                <w:b/>
              </w:rPr>
              <w:t xml:space="preserve">0.45 </w:t>
            </w:r>
          </w:p>
          <w:p w:rsidR="004C7F6D" w:rsidRPr="006706A8" w:rsidRDefault="004C7F6D" w:rsidP="00405C83">
            <w:pPr>
              <w:pStyle w:val="COMtbl-textCentred"/>
              <w:rPr>
                <w:b/>
                <w:i/>
              </w:rPr>
            </w:pPr>
            <w:r w:rsidRPr="006706A8">
              <w:rPr>
                <w:b/>
              </w:rPr>
              <w:t>(0.32, 0.63)</w:t>
            </w:r>
          </w:p>
        </w:tc>
      </w:tr>
      <w:tr w:rsidR="0069437D" w:rsidRPr="006706A8" w:rsidTr="0069437D">
        <w:tc>
          <w:tcPr>
            <w:tcW w:w="1355" w:type="pct"/>
            <w:vAlign w:val="center"/>
          </w:tcPr>
          <w:p w:rsidR="004C7F6D" w:rsidRPr="006706A8" w:rsidRDefault="004C7F6D" w:rsidP="00405C83">
            <w:pPr>
              <w:pStyle w:val="COMtbl-textLeftAligned"/>
            </w:pPr>
            <w:r w:rsidRPr="006706A8">
              <w:t>CARE MS-II, treatment experienced</w:t>
            </w:r>
          </w:p>
          <w:p w:rsidR="004C7F6D" w:rsidRPr="006706A8" w:rsidRDefault="004C7F6D" w:rsidP="00405C83">
            <w:pPr>
              <w:pStyle w:val="COMtbl-textLeftAligned"/>
            </w:pPr>
            <w:r w:rsidRPr="006706A8">
              <w:t>(2-year results)</w:t>
            </w:r>
          </w:p>
        </w:tc>
        <w:tc>
          <w:tcPr>
            <w:tcW w:w="763" w:type="pct"/>
            <w:vAlign w:val="center"/>
          </w:tcPr>
          <w:p w:rsidR="004C7F6D" w:rsidRPr="006706A8" w:rsidRDefault="004C7F6D" w:rsidP="00405C83">
            <w:pPr>
              <w:pStyle w:val="COMtbl-textCentred"/>
            </w:pPr>
            <w:r w:rsidRPr="006706A8">
              <w:t>0.26 (0.21, 0.33)</w:t>
            </w:r>
          </w:p>
          <w:p w:rsidR="004C7F6D" w:rsidRPr="006706A8" w:rsidRDefault="004C7F6D" w:rsidP="00405C83">
            <w:pPr>
              <w:pStyle w:val="COMtbl-textCentred"/>
            </w:pPr>
            <w:r w:rsidRPr="006706A8">
              <w:t>N = 426</w:t>
            </w:r>
          </w:p>
        </w:tc>
        <w:tc>
          <w:tcPr>
            <w:tcW w:w="1102" w:type="pct"/>
            <w:vAlign w:val="center"/>
          </w:tcPr>
          <w:p w:rsidR="004C7F6D" w:rsidRPr="006706A8" w:rsidRDefault="004C7F6D" w:rsidP="00405C83">
            <w:pPr>
              <w:pStyle w:val="COMtbl-textCentred"/>
            </w:pPr>
            <w:r w:rsidRPr="006706A8">
              <w:t>0.52 (0.41, 0.66)</w:t>
            </w:r>
          </w:p>
          <w:p w:rsidR="004C7F6D" w:rsidRPr="006706A8" w:rsidRDefault="004C7F6D" w:rsidP="00405C83">
            <w:pPr>
              <w:pStyle w:val="COMtbl-textCentred"/>
            </w:pPr>
            <w:r w:rsidRPr="006706A8">
              <w:t>N = 202</w:t>
            </w:r>
          </w:p>
        </w:tc>
        <w:tc>
          <w:tcPr>
            <w:tcW w:w="1100" w:type="pct"/>
            <w:vAlign w:val="center"/>
          </w:tcPr>
          <w:p w:rsidR="004C7F6D" w:rsidRPr="006706A8" w:rsidRDefault="004C7F6D" w:rsidP="00405C83">
            <w:pPr>
              <w:pStyle w:val="COMtbl-textCentred"/>
            </w:pPr>
            <w:r w:rsidRPr="006706A8">
              <w:t>26 fewer relapses</w:t>
            </w:r>
          </w:p>
          <w:p w:rsidR="004C7F6D" w:rsidRPr="006706A8" w:rsidRDefault="004C7F6D" w:rsidP="00405C83">
            <w:pPr>
              <w:pStyle w:val="COMtbl-textCentred"/>
            </w:pPr>
            <w:r w:rsidRPr="006706A8">
              <w:t xml:space="preserve"> per year</w:t>
            </w:r>
          </w:p>
        </w:tc>
        <w:tc>
          <w:tcPr>
            <w:tcW w:w="679" w:type="pct"/>
            <w:vAlign w:val="center"/>
          </w:tcPr>
          <w:p w:rsidR="004C7F6D" w:rsidRPr="006706A8" w:rsidRDefault="004C7F6D" w:rsidP="00405C83">
            <w:pPr>
              <w:pStyle w:val="COMtbl-textCentred"/>
              <w:rPr>
                <w:b/>
              </w:rPr>
            </w:pPr>
            <w:r w:rsidRPr="006706A8">
              <w:rPr>
                <w:b/>
              </w:rPr>
              <w:t xml:space="preserve">0.51 </w:t>
            </w:r>
          </w:p>
          <w:p w:rsidR="004C7F6D" w:rsidRPr="006706A8" w:rsidRDefault="004C7F6D" w:rsidP="00405C83">
            <w:pPr>
              <w:pStyle w:val="COMtbl-textCentred"/>
              <w:rPr>
                <w:b/>
              </w:rPr>
            </w:pPr>
            <w:r w:rsidRPr="006706A8">
              <w:rPr>
                <w:b/>
              </w:rPr>
              <w:t>(0.39, 0.65)</w:t>
            </w:r>
          </w:p>
        </w:tc>
      </w:tr>
      <w:tr w:rsidR="004C7F6D" w:rsidRPr="006706A8" w:rsidTr="0069437D">
        <w:tc>
          <w:tcPr>
            <w:tcW w:w="4321" w:type="pct"/>
            <w:gridSpan w:val="4"/>
            <w:vAlign w:val="center"/>
          </w:tcPr>
          <w:p w:rsidR="004C7F6D" w:rsidRPr="007C62F0" w:rsidRDefault="007C62F0" w:rsidP="00405C83">
            <w:pPr>
              <w:pStyle w:val="COMtbl-textCentred"/>
              <w:jc w:val="right"/>
              <w:rPr>
                <w:highlight w:val="black"/>
              </w:rPr>
            </w:pPr>
            <w:r>
              <w:rPr>
                <w:noProof/>
                <w:color w:val="000000"/>
                <w:highlight w:val="black"/>
              </w:rPr>
              <w:t>''''''''''''''''''''''''''''''''''' ''''''''''''''''' '''' ''' ''''''''''''' '''''''''''''''''''''''''''''''''''</w:t>
            </w:r>
          </w:p>
          <w:p w:rsidR="004C7F6D" w:rsidRPr="007C62F0" w:rsidRDefault="007C62F0" w:rsidP="00405C83">
            <w:pPr>
              <w:pStyle w:val="COMtbl-textCentred"/>
              <w:jc w:val="right"/>
              <w:rPr>
                <w:highlight w:val="black"/>
              </w:rPr>
            </w:pPr>
            <w:r>
              <w:rPr>
                <w:noProof/>
                <w:color w:val="000000"/>
                <w:highlight w:val="black"/>
              </w:rPr>
              <w:t>'''' '''' '''''''''''''''''</w:t>
            </w:r>
            <w:r w:rsidR="004C7F6D" w:rsidRPr="007C62F0">
              <w:rPr>
                <w:highlight w:val="black"/>
              </w:rPr>
              <w:t xml:space="preserve"> </w:t>
            </w:r>
          </w:p>
        </w:tc>
        <w:tc>
          <w:tcPr>
            <w:tcW w:w="679" w:type="pct"/>
            <w:vAlign w:val="center"/>
          </w:tcPr>
          <w:p w:rsidR="004C7F6D" w:rsidRPr="007C62F0" w:rsidRDefault="007C62F0" w:rsidP="00405C83">
            <w:pPr>
              <w:pStyle w:val="COMtbl-textCentred"/>
              <w:rPr>
                <w:b/>
                <w:highlight w:val="black"/>
              </w:rPr>
            </w:pPr>
            <w:r>
              <w:rPr>
                <w:b/>
                <w:noProof/>
                <w:color w:val="000000"/>
                <w:highlight w:val="black"/>
              </w:rPr>
              <w:t xml:space="preserve">''''''''' </w:t>
            </w:r>
          </w:p>
          <w:p w:rsidR="004C7F6D" w:rsidRPr="007C62F0" w:rsidRDefault="007C62F0" w:rsidP="00405C83">
            <w:pPr>
              <w:pStyle w:val="COMtbl-textCentred"/>
              <w:rPr>
                <w:b/>
                <w:highlight w:val="black"/>
              </w:rPr>
            </w:pPr>
            <w:r>
              <w:rPr>
                <w:b/>
                <w:noProof/>
                <w:color w:val="000000"/>
                <w:highlight w:val="black"/>
              </w:rPr>
              <w:t>'''''''''' ''''''''''</w:t>
            </w:r>
          </w:p>
        </w:tc>
      </w:tr>
    </w:tbl>
    <w:p w:rsidR="004C7F6D" w:rsidRPr="006706A8" w:rsidRDefault="004C7F6D" w:rsidP="0069437D">
      <w:pPr>
        <w:widowControl w:val="0"/>
        <w:ind w:left="709"/>
        <w:jc w:val="both"/>
        <w:rPr>
          <w:rFonts w:ascii="Arial Narrow" w:hAnsi="Arial Narrow" w:cs="Arial"/>
          <w:snapToGrid w:val="0"/>
          <w:sz w:val="18"/>
          <w:szCs w:val="20"/>
          <w:lang w:eastAsia="en-US"/>
        </w:rPr>
      </w:pPr>
      <w:r w:rsidRPr="006706A8">
        <w:rPr>
          <w:rFonts w:ascii="Arial Narrow" w:hAnsi="Arial Narrow" w:cs="Arial"/>
          <w:snapToGrid w:val="0"/>
          <w:sz w:val="18"/>
          <w:szCs w:val="20"/>
          <w:lang w:eastAsia="en-US"/>
        </w:rPr>
        <w:t>Abbreviations: CI, confidence interval; NR, not reported; SC, subcutaneous</w:t>
      </w:r>
    </w:p>
    <w:p w:rsidR="004C7F6D" w:rsidRPr="006706A8" w:rsidRDefault="004C7F6D" w:rsidP="00922753">
      <w:pPr>
        <w:jc w:val="both"/>
        <w:rPr>
          <w:rFonts w:ascii="Arial" w:hAnsi="Arial"/>
          <w:sz w:val="22"/>
          <w:szCs w:val="22"/>
        </w:rPr>
      </w:pPr>
    </w:p>
    <w:p w:rsidR="00EF26FD" w:rsidRDefault="004C7F6D" w:rsidP="00917CA8">
      <w:pPr>
        <w:pStyle w:val="ListParagraph"/>
        <w:numPr>
          <w:ilvl w:val="1"/>
          <w:numId w:val="25"/>
        </w:numPr>
        <w:jc w:val="both"/>
        <w:rPr>
          <w:rFonts w:ascii="Arial" w:hAnsi="Arial"/>
          <w:sz w:val="22"/>
          <w:szCs w:val="22"/>
        </w:rPr>
      </w:pPr>
      <w:r w:rsidRPr="006706A8">
        <w:rPr>
          <w:rFonts w:ascii="Arial" w:hAnsi="Arial"/>
          <w:sz w:val="22"/>
          <w:szCs w:val="22"/>
        </w:rPr>
        <w:t xml:space="preserve">The PBAC considered that the proportion of patients remaining relapse-free may provide an informative basis for assessing durability of effect and </w:t>
      </w:r>
      <w:r w:rsidR="00EF26FD">
        <w:rPr>
          <w:rFonts w:ascii="Arial" w:hAnsi="Arial"/>
          <w:sz w:val="22"/>
          <w:szCs w:val="22"/>
        </w:rPr>
        <w:t xml:space="preserve">as well as </w:t>
      </w:r>
      <w:r w:rsidRPr="006706A8">
        <w:rPr>
          <w:rFonts w:ascii="Arial" w:hAnsi="Arial"/>
          <w:sz w:val="22"/>
          <w:szCs w:val="22"/>
        </w:rPr>
        <w:t>proportions</w:t>
      </w:r>
      <w:r w:rsidR="00EF26FD">
        <w:rPr>
          <w:rFonts w:ascii="Arial" w:hAnsi="Arial"/>
          <w:sz w:val="22"/>
          <w:szCs w:val="22"/>
        </w:rPr>
        <w:t xml:space="preserve"> of patents being</w:t>
      </w:r>
      <w:r w:rsidRPr="006706A8">
        <w:rPr>
          <w:rFonts w:ascii="Arial" w:hAnsi="Arial"/>
          <w:sz w:val="22"/>
          <w:szCs w:val="22"/>
        </w:rPr>
        <w:t xml:space="preserve"> re</w:t>
      </w:r>
      <w:r w:rsidR="00EF26FD">
        <w:rPr>
          <w:rFonts w:ascii="Arial" w:hAnsi="Arial"/>
          <w:sz w:val="22"/>
          <w:szCs w:val="22"/>
        </w:rPr>
        <w:t>-</w:t>
      </w:r>
      <w:r w:rsidRPr="006706A8">
        <w:rPr>
          <w:rFonts w:ascii="Arial" w:hAnsi="Arial"/>
          <w:sz w:val="22"/>
          <w:szCs w:val="22"/>
        </w:rPr>
        <w:t xml:space="preserve">treated if the necessary links </w:t>
      </w:r>
      <w:r w:rsidR="00EF26FD">
        <w:rPr>
          <w:rFonts w:ascii="Arial" w:hAnsi="Arial"/>
          <w:sz w:val="22"/>
          <w:szCs w:val="22"/>
        </w:rPr>
        <w:t xml:space="preserve">between individual patients </w:t>
      </w:r>
      <w:r w:rsidRPr="006706A8">
        <w:rPr>
          <w:rFonts w:ascii="Arial" w:hAnsi="Arial"/>
          <w:sz w:val="22"/>
          <w:szCs w:val="22"/>
        </w:rPr>
        <w:t xml:space="preserve">could be adequately demonstrated. </w:t>
      </w:r>
      <w:r w:rsidR="00917CA8" w:rsidRPr="006706A8">
        <w:rPr>
          <w:rFonts w:ascii="Arial" w:hAnsi="Arial"/>
          <w:sz w:val="22"/>
          <w:szCs w:val="22"/>
        </w:rPr>
        <w:t xml:space="preserve">The Committee considered Table B.27 </w:t>
      </w:r>
      <w:r w:rsidR="006706A8">
        <w:rPr>
          <w:rFonts w:ascii="Arial" w:hAnsi="Arial"/>
          <w:sz w:val="22"/>
          <w:szCs w:val="22"/>
        </w:rPr>
        <w:t>of</w:t>
      </w:r>
      <w:r w:rsidR="00917CA8" w:rsidRPr="006706A8">
        <w:rPr>
          <w:rFonts w:ascii="Arial" w:hAnsi="Arial"/>
          <w:sz w:val="22"/>
          <w:szCs w:val="22"/>
        </w:rPr>
        <w:t xml:space="preserve"> the submission and associated text confirming that only </w:t>
      </w:r>
      <w:r w:rsidR="007C62F0">
        <w:rPr>
          <w:rFonts w:ascii="Arial" w:hAnsi="Arial"/>
          <w:noProof/>
          <w:color w:val="000000"/>
          <w:sz w:val="22"/>
          <w:szCs w:val="22"/>
          <w:highlight w:val="black"/>
        </w:rPr>
        <w:t>''''''''''</w:t>
      </w:r>
      <w:r w:rsidR="00917CA8" w:rsidRPr="006706A8">
        <w:rPr>
          <w:rFonts w:ascii="Arial" w:hAnsi="Arial"/>
          <w:sz w:val="22"/>
          <w:szCs w:val="22"/>
        </w:rPr>
        <w:t xml:space="preserve"> of the total extension study population were relapse f</w:t>
      </w:r>
      <w:r w:rsidR="00471A1E">
        <w:rPr>
          <w:rFonts w:ascii="Arial" w:hAnsi="Arial"/>
          <w:sz w:val="22"/>
          <w:szCs w:val="22"/>
        </w:rPr>
        <w:t>ree at the end of Year 3.  The C</w:t>
      </w:r>
      <w:r w:rsidR="00917CA8" w:rsidRPr="006706A8">
        <w:rPr>
          <w:rFonts w:ascii="Arial" w:hAnsi="Arial"/>
          <w:sz w:val="22"/>
          <w:szCs w:val="22"/>
        </w:rPr>
        <w:t xml:space="preserve">ommittee noted that these data appeared to be inconsistent with the trial data, and subsequently considered that </w:t>
      </w:r>
      <w:r w:rsidR="00EF26FD">
        <w:rPr>
          <w:rFonts w:ascii="Arial" w:hAnsi="Arial"/>
          <w:sz w:val="22"/>
          <w:szCs w:val="22"/>
        </w:rPr>
        <w:t>the presentation of the data in this way</w:t>
      </w:r>
      <w:r w:rsidR="00917CA8" w:rsidRPr="006706A8">
        <w:rPr>
          <w:rFonts w:ascii="Arial" w:hAnsi="Arial"/>
          <w:sz w:val="22"/>
          <w:szCs w:val="22"/>
        </w:rPr>
        <w:t xml:space="preserve"> may in fact be erroneous. </w:t>
      </w:r>
    </w:p>
    <w:p w:rsidR="00EF26FD" w:rsidRPr="00EF26FD" w:rsidRDefault="00EF26FD" w:rsidP="00EF26FD">
      <w:pPr>
        <w:jc w:val="both"/>
        <w:rPr>
          <w:rFonts w:ascii="Arial" w:hAnsi="Arial"/>
          <w:sz w:val="22"/>
          <w:szCs w:val="22"/>
        </w:rPr>
      </w:pPr>
    </w:p>
    <w:p w:rsidR="004C7F6D" w:rsidRPr="006706A8" w:rsidRDefault="004C7F6D" w:rsidP="00917CA8">
      <w:pPr>
        <w:pStyle w:val="ListParagraph"/>
        <w:numPr>
          <w:ilvl w:val="1"/>
          <w:numId w:val="25"/>
        </w:numPr>
        <w:jc w:val="both"/>
        <w:rPr>
          <w:rFonts w:ascii="Arial" w:hAnsi="Arial"/>
          <w:sz w:val="22"/>
          <w:szCs w:val="22"/>
        </w:rPr>
      </w:pPr>
      <w:r w:rsidRPr="006706A8">
        <w:rPr>
          <w:rFonts w:ascii="Arial" w:hAnsi="Arial"/>
          <w:sz w:val="22"/>
          <w:szCs w:val="22"/>
        </w:rPr>
        <w:t>The PBAC noted in the Commentary:</w:t>
      </w:r>
    </w:p>
    <w:p w:rsidR="004C7F6D" w:rsidRPr="006706A8" w:rsidRDefault="004C7F6D" w:rsidP="00DA2161">
      <w:pPr>
        <w:jc w:val="both"/>
        <w:rPr>
          <w:rFonts w:ascii="Arial" w:hAnsi="Arial"/>
          <w:sz w:val="22"/>
          <w:szCs w:val="22"/>
        </w:rPr>
      </w:pPr>
    </w:p>
    <w:p w:rsidR="004C7F6D" w:rsidRPr="006706A8" w:rsidRDefault="004C7F6D" w:rsidP="0069437D">
      <w:pPr>
        <w:pStyle w:val="COMtbl-HEADLeftAligned"/>
        <w:ind w:left="709"/>
      </w:pPr>
      <w:r w:rsidRPr="006706A8">
        <w:t xml:space="preserve">Comparison of proportion of patients without relapse between </w:t>
      </w:r>
      <w:proofErr w:type="spellStart"/>
      <w:r w:rsidRPr="006706A8">
        <w:t>alemtuzumab</w:t>
      </w:r>
      <w:proofErr w:type="spellEnd"/>
      <w:r w:rsidRPr="006706A8">
        <w:t xml:space="preserve"> and subcutaneous interferon beta-1a </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Description w:val="Comparison of proportion of patients without relapse between alemtuzumab and subcutaneous interferon beta-1a "/>
      </w:tblPr>
      <w:tblGrid>
        <w:gridCol w:w="2265"/>
        <w:gridCol w:w="1276"/>
        <w:gridCol w:w="1843"/>
        <w:gridCol w:w="1987"/>
        <w:gridCol w:w="992"/>
      </w:tblGrid>
      <w:tr w:rsidR="0069437D" w:rsidRPr="006706A8" w:rsidTr="0069437D">
        <w:tc>
          <w:tcPr>
            <w:tcW w:w="1354" w:type="pct"/>
            <w:vMerge w:val="restart"/>
            <w:vAlign w:val="center"/>
          </w:tcPr>
          <w:p w:rsidR="004C7F6D" w:rsidRPr="006706A8" w:rsidRDefault="004C7F6D" w:rsidP="00405C83">
            <w:pPr>
              <w:pStyle w:val="COMtbl-HEADLeftAligned"/>
            </w:pPr>
            <w:r w:rsidRPr="006706A8">
              <w:t>Trial ID</w:t>
            </w:r>
          </w:p>
        </w:tc>
        <w:tc>
          <w:tcPr>
            <w:tcW w:w="1865" w:type="pct"/>
            <w:gridSpan w:val="2"/>
            <w:vAlign w:val="center"/>
          </w:tcPr>
          <w:p w:rsidR="004C7F6D" w:rsidRPr="006706A8" w:rsidRDefault="004C7F6D" w:rsidP="00405C83">
            <w:pPr>
              <w:pStyle w:val="COMtbl-HEADCentred"/>
            </w:pPr>
            <w:r w:rsidRPr="006706A8">
              <w:t>Proportion of patients</w:t>
            </w:r>
          </w:p>
        </w:tc>
        <w:tc>
          <w:tcPr>
            <w:tcW w:w="1188" w:type="pct"/>
            <w:vMerge w:val="restart"/>
            <w:vAlign w:val="center"/>
          </w:tcPr>
          <w:p w:rsidR="004C7F6D" w:rsidRPr="006706A8" w:rsidRDefault="004C7F6D" w:rsidP="00405C83">
            <w:pPr>
              <w:pStyle w:val="COMtbl-HEADCentred"/>
            </w:pPr>
            <w:r w:rsidRPr="006706A8">
              <w:t>Incremental difference per 100 patients</w:t>
            </w:r>
          </w:p>
        </w:tc>
        <w:tc>
          <w:tcPr>
            <w:tcW w:w="593" w:type="pct"/>
            <w:vMerge w:val="restart"/>
            <w:vAlign w:val="center"/>
          </w:tcPr>
          <w:p w:rsidR="004C7F6D" w:rsidRPr="006706A8" w:rsidRDefault="004C7F6D" w:rsidP="00405C83">
            <w:pPr>
              <w:pStyle w:val="COMtbl-HEADCentred"/>
            </w:pPr>
            <w:r w:rsidRPr="006706A8">
              <w:t xml:space="preserve">Odds ratio </w:t>
            </w:r>
          </w:p>
          <w:p w:rsidR="004C7F6D" w:rsidRPr="006706A8" w:rsidRDefault="004C7F6D" w:rsidP="00405C83">
            <w:pPr>
              <w:pStyle w:val="COMtbl-HEADCentred"/>
            </w:pPr>
            <w:r w:rsidRPr="006706A8">
              <w:t>(95% CI)</w:t>
            </w:r>
          </w:p>
        </w:tc>
      </w:tr>
      <w:tr w:rsidR="0069437D" w:rsidRPr="006706A8" w:rsidTr="0069437D">
        <w:tc>
          <w:tcPr>
            <w:tcW w:w="1354" w:type="pct"/>
            <w:vMerge/>
            <w:vAlign w:val="center"/>
          </w:tcPr>
          <w:p w:rsidR="004C7F6D" w:rsidRPr="006706A8" w:rsidRDefault="004C7F6D" w:rsidP="00405C83">
            <w:pPr>
              <w:pStyle w:val="COMtbl-HEADLeftAligned"/>
            </w:pPr>
          </w:p>
        </w:tc>
        <w:tc>
          <w:tcPr>
            <w:tcW w:w="763" w:type="pct"/>
            <w:vAlign w:val="center"/>
          </w:tcPr>
          <w:p w:rsidR="004C7F6D" w:rsidRPr="006706A8" w:rsidRDefault="004C7F6D" w:rsidP="0051703A">
            <w:pPr>
              <w:pStyle w:val="COMtbl-HEADCentred"/>
            </w:pPr>
            <w:proofErr w:type="spellStart"/>
            <w:r w:rsidRPr="006706A8">
              <w:t>Alemtuzumab</w:t>
            </w:r>
            <w:proofErr w:type="spellEnd"/>
          </w:p>
        </w:tc>
        <w:tc>
          <w:tcPr>
            <w:tcW w:w="1102" w:type="pct"/>
            <w:vAlign w:val="center"/>
          </w:tcPr>
          <w:p w:rsidR="004C7F6D" w:rsidRPr="006706A8" w:rsidRDefault="004C7F6D" w:rsidP="00405C83">
            <w:pPr>
              <w:pStyle w:val="COMtbl-HEADCentred"/>
            </w:pPr>
            <w:r w:rsidRPr="006706A8">
              <w:t>SC interferon beta-1a</w:t>
            </w:r>
          </w:p>
        </w:tc>
        <w:tc>
          <w:tcPr>
            <w:tcW w:w="1188" w:type="pct"/>
            <w:vMerge/>
            <w:vAlign w:val="center"/>
          </w:tcPr>
          <w:p w:rsidR="004C7F6D" w:rsidRPr="006706A8" w:rsidRDefault="004C7F6D" w:rsidP="00405C83">
            <w:pPr>
              <w:pStyle w:val="COMtbl-HEADCentred"/>
            </w:pPr>
          </w:p>
        </w:tc>
        <w:tc>
          <w:tcPr>
            <w:tcW w:w="593" w:type="pct"/>
            <w:vMerge/>
            <w:vAlign w:val="center"/>
          </w:tcPr>
          <w:p w:rsidR="004C7F6D" w:rsidRPr="006706A8" w:rsidRDefault="004C7F6D" w:rsidP="00405C83">
            <w:pPr>
              <w:pStyle w:val="COMtbl-HEADCentred"/>
            </w:pPr>
          </w:p>
        </w:tc>
      </w:tr>
      <w:tr w:rsidR="004C7F6D" w:rsidRPr="006706A8" w:rsidTr="0069437D">
        <w:tc>
          <w:tcPr>
            <w:tcW w:w="5000" w:type="pct"/>
            <w:gridSpan w:val="5"/>
            <w:vAlign w:val="center"/>
          </w:tcPr>
          <w:p w:rsidR="004C7F6D" w:rsidRPr="006706A8" w:rsidRDefault="004C7F6D" w:rsidP="00405C83">
            <w:pPr>
              <w:pStyle w:val="COMtbl-textCentred"/>
              <w:jc w:val="left"/>
              <w:rPr>
                <w:b/>
              </w:rPr>
            </w:pPr>
            <w:r w:rsidRPr="006706A8">
              <w:rPr>
                <w:b/>
              </w:rPr>
              <w:t>Proportion of relapse-free patients</w:t>
            </w:r>
          </w:p>
        </w:tc>
      </w:tr>
      <w:tr w:rsidR="0069437D" w:rsidRPr="006706A8" w:rsidTr="0069437D">
        <w:tc>
          <w:tcPr>
            <w:tcW w:w="1354" w:type="pct"/>
            <w:vAlign w:val="center"/>
          </w:tcPr>
          <w:p w:rsidR="004C7F6D" w:rsidRPr="006706A8" w:rsidRDefault="004C7F6D" w:rsidP="00405C83">
            <w:pPr>
              <w:pStyle w:val="COMtbl-textLeftAligned"/>
            </w:pPr>
            <w:r w:rsidRPr="006706A8">
              <w:t xml:space="preserve">CAMMS223, treatment naive </w:t>
            </w:r>
          </w:p>
          <w:p w:rsidR="004C7F6D" w:rsidRPr="006706A8" w:rsidRDefault="004C7F6D" w:rsidP="00405C83">
            <w:pPr>
              <w:pStyle w:val="COMtbl-textLeftAligned"/>
            </w:pPr>
            <w:r w:rsidRPr="006706A8">
              <w:t>(3-year results)</w:t>
            </w:r>
          </w:p>
        </w:tc>
        <w:tc>
          <w:tcPr>
            <w:tcW w:w="763" w:type="pct"/>
            <w:vAlign w:val="center"/>
          </w:tcPr>
          <w:p w:rsidR="004C7F6D" w:rsidRPr="006706A8" w:rsidRDefault="004C7F6D" w:rsidP="00405C83">
            <w:pPr>
              <w:pStyle w:val="COMtbl-textCentred"/>
            </w:pPr>
            <w:r w:rsidRPr="006706A8">
              <w:t>0.78</w:t>
            </w:r>
          </w:p>
          <w:p w:rsidR="004C7F6D" w:rsidRPr="006706A8" w:rsidRDefault="004C7F6D" w:rsidP="00405C83">
            <w:pPr>
              <w:pStyle w:val="COMtbl-textCentred"/>
            </w:pPr>
            <w:r w:rsidRPr="006706A8">
              <w:t>(87/112)</w:t>
            </w:r>
          </w:p>
        </w:tc>
        <w:tc>
          <w:tcPr>
            <w:tcW w:w="1102" w:type="pct"/>
            <w:vAlign w:val="center"/>
          </w:tcPr>
          <w:p w:rsidR="004C7F6D" w:rsidRPr="006706A8" w:rsidRDefault="004C7F6D" w:rsidP="00405C83">
            <w:pPr>
              <w:pStyle w:val="COMtbl-textCentred"/>
            </w:pPr>
            <w:r w:rsidRPr="006706A8">
              <w:t>0.58</w:t>
            </w:r>
          </w:p>
          <w:p w:rsidR="004C7F6D" w:rsidRPr="006706A8" w:rsidRDefault="004C7F6D" w:rsidP="00405C83">
            <w:pPr>
              <w:pStyle w:val="COMtbl-textCentred"/>
            </w:pPr>
            <w:r w:rsidRPr="006706A8">
              <w:t>(64/111)</w:t>
            </w:r>
          </w:p>
        </w:tc>
        <w:tc>
          <w:tcPr>
            <w:tcW w:w="1188" w:type="pct"/>
            <w:vAlign w:val="center"/>
          </w:tcPr>
          <w:p w:rsidR="004C7F6D" w:rsidRPr="006706A8" w:rsidRDefault="004C7F6D" w:rsidP="00405C83">
            <w:pPr>
              <w:pStyle w:val="COMtbl-textCentred"/>
            </w:pPr>
            <w:r w:rsidRPr="006706A8">
              <w:t>20 more patients without relapse at 3 years</w:t>
            </w:r>
          </w:p>
        </w:tc>
        <w:tc>
          <w:tcPr>
            <w:tcW w:w="593" w:type="pct"/>
            <w:vAlign w:val="center"/>
          </w:tcPr>
          <w:p w:rsidR="004C7F6D" w:rsidRPr="006706A8" w:rsidRDefault="004C7F6D" w:rsidP="00405C83">
            <w:pPr>
              <w:pStyle w:val="COMtbl-textCentred"/>
              <w:rPr>
                <w:b/>
              </w:rPr>
            </w:pPr>
            <w:r w:rsidRPr="006706A8">
              <w:rPr>
                <w:b/>
              </w:rPr>
              <w:t xml:space="preserve">2.67 </w:t>
            </w:r>
          </w:p>
          <w:p w:rsidR="004C7F6D" w:rsidRPr="006706A8" w:rsidRDefault="004C7F6D" w:rsidP="00405C83">
            <w:pPr>
              <w:pStyle w:val="COMtbl-textCentred"/>
            </w:pPr>
            <w:r w:rsidRPr="006706A8">
              <w:rPr>
                <w:b/>
              </w:rPr>
              <w:t>(1.47, 4.82)</w:t>
            </w:r>
          </w:p>
        </w:tc>
      </w:tr>
      <w:tr w:rsidR="0069437D" w:rsidRPr="006706A8" w:rsidTr="0069437D">
        <w:tc>
          <w:tcPr>
            <w:tcW w:w="1354" w:type="pct"/>
            <w:vAlign w:val="center"/>
          </w:tcPr>
          <w:p w:rsidR="004C7F6D" w:rsidRPr="006706A8" w:rsidRDefault="004C7F6D" w:rsidP="00405C83">
            <w:pPr>
              <w:pStyle w:val="COMtbl-textLeftAligned"/>
            </w:pPr>
            <w:r w:rsidRPr="006706A8">
              <w:t xml:space="preserve">CARE MS-I, treatment naive </w:t>
            </w:r>
          </w:p>
          <w:p w:rsidR="004C7F6D" w:rsidRPr="006706A8" w:rsidRDefault="004C7F6D" w:rsidP="00405C83">
            <w:pPr>
              <w:pStyle w:val="COMtbl-textLeftAligned"/>
            </w:pPr>
            <w:r w:rsidRPr="006706A8">
              <w:t>(2- year results)</w:t>
            </w:r>
          </w:p>
        </w:tc>
        <w:tc>
          <w:tcPr>
            <w:tcW w:w="763" w:type="pct"/>
            <w:vAlign w:val="center"/>
          </w:tcPr>
          <w:p w:rsidR="004C7F6D" w:rsidRPr="006706A8" w:rsidRDefault="004C7F6D" w:rsidP="00405C83">
            <w:pPr>
              <w:pStyle w:val="COMtbl-textCentred"/>
            </w:pPr>
            <w:r w:rsidRPr="006706A8">
              <w:t>0.78</w:t>
            </w:r>
          </w:p>
          <w:p w:rsidR="004C7F6D" w:rsidRPr="006706A8" w:rsidRDefault="004C7F6D" w:rsidP="00405C83">
            <w:pPr>
              <w:pStyle w:val="COMtbl-textCentred"/>
            </w:pPr>
            <w:r w:rsidRPr="006706A8">
              <w:t>(292/376)</w:t>
            </w:r>
          </w:p>
        </w:tc>
        <w:tc>
          <w:tcPr>
            <w:tcW w:w="1102" w:type="pct"/>
            <w:vAlign w:val="center"/>
          </w:tcPr>
          <w:p w:rsidR="004C7F6D" w:rsidRPr="006706A8" w:rsidRDefault="004C7F6D" w:rsidP="00405C83">
            <w:pPr>
              <w:pStyle w:val="COMtbl-textCentred"/>
            </w:pPr>
            <w:r w:rsidRPr="006706A8">
              <w:t>0.59</w:t>
            </w:r>
          </w:p>
          <w:p w:rsidR="004C7F6D" w:rsidRPr="006706A8" w:rsidRDefault="004C7F6D" w:rsidP="00405C83">
            <w:pPr>
              <w:pStyle w:val="COMtbl-textCentred"/>
            </w:pPr>
            <w:r w:rsidRPr="006706A8">
              <w:t xml:space="preserve">(110/187) </w:t>
            </w:r>
          </w:p>
        </w:tc>
        <w:tc>
          <w:tcPr>
            <w:tcW w:w="1188" w:type="pct"/>
            <w:vAlign w:val="center"/>
          </w:tcPr>
          <w:p w:rsidR="004C7F6D" w:rsidRPr="006706A8" w:rsidRDefault="004C7F6D" w:rsidP="00405C83">
            <w:pPr>
              <w:pStyle w:val="COMtbl-textCentred"/>
            </w:pPr>
            <w:r w:rsidRPr="006706A8">
              <w:t>19 more patients without relapse at 2 years</w:t>
            </w:r>
          </w:p>
        </w:tc>
        <w:tc>
          <w:tcPr>
            <w:tcW w:w="593" w:type="pct"/>
            <w:vAlign w:val="center"/>
          </w:tcPr>
          <w:p w:rsidR="004C7F6D" w:rsidRPr="006706A8" w:rsidRDefault="004C7F6D" w:rsidP="00405C83">
            <w:pPr>
              <w:pStyle w:val="COMtbl-textCentred"/>
              <w:rPr>
                <w:b/>
              </w:rPr>
            </w:pPr>
            <w:r w:rsidRPr="006706A8">
              <w:rPr>
                <w:b/>
              </w:rPr>
              <w:t xml:space="preserve">2.43 </w:t>
            </w:r>
          </w:p>
          <w:p w:rsidR="004C7F6D" w:rsidRPr="006706A8" w:rsidRDefault="004C7F6D" w:rsidP="00405C83">
            <w:pPr>
              <w:pStyle w:val="COMtbl-textCentred"/>
              <w:rPr>
                <w:vertAlign w:val="superscript"/>
              </w:rPr>
            </w:pPr>
            <w:r w:rsidRPr="006706A8">
              <w:rPr>
                <w:b/>
              </w:rPr>
              <w:t>(1.64, 3.55)</w:t>
            </w:r>
            <w:r w:rsidRPr="006706A8">
              <w:rPr>
                <w:vertAlign w:val="superscript"/>
              </w:rPr>
              <w:t>a</w:t>
            </w:r>
          </w:p>
        </w:tc>
      </w:tr>
      <w:tr w:rsidR="0069437D" w:rsidRPr="006706A8" w:rsidTr="0069437D">
        <w:tc>
          <w:tcPr>
            <w:tcW w:w="1354" w:type="pct"/>
            <w:vAlign w:val="center"/>
          </w:tcPr>
          <w:p w:rsidR="004C7F6D" w:rsidRPr="006706A8" w:rsidRDefault="004C7F6D" w:rsidP="00405C83">
            <w:pPr>
              <w:pStyle w:val="COMtbl-textLeftAligned"/>
            </w:pPr>
            <w:r w:rsidRPr="006706A8">
              <w:t>CARE MS-II, treatment experienced</w:t>
            </w:r>
          </w:p>
          <w:p w:rsidR="004C7F6D" w:rsidRPr="006706A8" w:rsidRDefault="004C7F6D" w:rsidP="00405C83">
            <w:pPr>
              <w:pStyle w:val="COMtbl-textLeftAligned"/>
            </w:pPr>
            <w:r w:rsidRPr="006706A8">
              <w:t>(2-year results)</w:t>
            </w:r>
          </w:p>
        </w:tc>
        <w:tc>
          <w:tcPr>
            <w:tcW w:w="763" w:type="pct"/>
            <w:vAlign w:val="center"/>
          </w:tcPr>
          <w:p w:rsidR="004C7F6D" w:rsidRPr="006706A8" w:rsidRDefault="004C7F6D" w:rsidP="00405C83">
            <w:pPr>
              <w:pStyle w:val="COMtbl-textCentred"/>
            </w:pPr>
            <w:r w:rsidRPr="006706A8">
              <w:t>0.65</w:t>
            </w:r>
          </w:p>
          <w:p w:rsidR="004C7F6D" w:rsidRPr="006706A8" w:rsidRDefault="004C7F6D" w:rsidP="00405C83">
            <w:pPr>
              <w:pStyle w:val="COMtbl-textCentred"/>
            </w:pPr>
            <w:r w:rsidRPr="006706A8">
              <w:t>(279/426)</w:t>
            </w:r>
          </w:p>
        </w:tc>
        <w:tc>
          <w:tcPr>
            <w:tcW w:w="1102" w:type="pct"/>
            <w:vAlign w:val="center"/>
          </w:tcPr>
          <w:p w:rsidR="004C7F6D" w:rsidRPr="006706A8" w:rsidRDefault="004C7F6D" w:rsidP="00405C83">
            <w:pPr>
              <w:pStyle w:val="COMtbl-textCentred"/>
            </w:pPr>
            <w:r w:rsidRPr="006706A8">
              <w:t>0.47</w:t>
            </w:r>
          </w:p>
          <w:p w:rsidR="004C7F6D" w:rsidRPr="006706A8" w:rsidRDefault="004C7F6D" w:rsidP="00405C83">
            <w:pPr>
              <w:pStyle w:val="COMtbl-textCentred"/>
            </w:pPr>
            <w:r w:rsidRPr="006706A8">
              <w:t>(94/202)</w:t>
            </w:r>
          </w:p>
        </w:tc>
        <w:tc>
          <w:tcPr>
            <w:tcW w:w="1188" w:type="pct"/>
            <w:vAlign w:val="center"/>
          </w:tcPr>
          <w:p w:rsidR="004C7F6D" w:rsidRPr="006706A8" w:rsidRDefault="004C7F6D" w:rsidP="00405C83">
            <w:pPr>
              <w:pStyle w:val="COMtbl-textCentred"/>
            </w:pPr>
            <w:r w:rsidRPr="006706A8">
              <w:t>18 more patients without relapse at 2 years</w:t>
            </w:r>
          </w:p>
        </w:tc>
        <w:tc>
          <w:tcPr>
            <w:tcW w:w="593" w:type="pct"/>
            <w:vAlign w:val="center"/>
          </w:tcPr>
          <w:p w:rsidR="004C7F6D" w:rsidRPr="006706A8" w:rsidRDefault="004C7F6D" w:rsidP="00405C83">
            <w:pPr>
              <w:pStyle w:val="COMtbl-textCentred"/>
              <w:rPr>
                <w:b/>
              </w:rPr>
            </w:pPr>
            <w:r w:rsidRPr="006706A8">
              <w:rPr>
                <w:b/>
              </w:rPr>
              <w:t xml:space="preserve">2.18 </w:t>
            </w:r>
          </w:p>
          <w:p w:rsidR="004C7F6D" w:rsidRPr="006706A8" w:rsidRDefault="004C7F6D" w:rsidP="00405C83">
            <w:pPr>
              <w:pStyle w:val="COMtbl-textCentred"/>
            </w:pPr>
            <w:r w:rsidRPr="006706A8">
              <w:rPr>
                <w:b/>
              </w:rPr>
              <w:t>(1.55, 3.07)</w:t>
            </w:r>
            <w:r w:rsidRPr="006706A8">
              <w:rPr>
                <w:vertAlign w:val="superscript"/>
              </w:rPr>
              <w:t>a</w:t>
            </w:r>
          </w:p>
        </w:tc>
      </w:tr>
      <w:tr w:rsidR="004C7F6D" w:rsidRPr="006706A8" w:rsidTr="0069437D">
        <w:tc>
          <w:tcPr>
            <w:tcW w:w="4407" w:type="pct"/>
            <w:gridSpan w:val="4"/>
            <w:vAlign w:val="center"/>
          </w:tcPr>
          <w:p w:rsidR="004C7F6D" w:rsidRPr="007C62F0" w:rsidRDefault="007C62F0" w:rsidP="00405C83">
            <w:pPr>
              <w:pStyle w:val="COMtbl-textCentred"/>
              <w:jc w:val="right"/>
              <w:rPr>
                <w:highlight w:val="black"/>
              </w:rPr>
            </w:pPr>
            <w:r>
              <w:rPr>
                <w:noProof/>
                <w:color w:val="000000"/>
                <w:highlight w:val="black"/>
              </w:rPr>
              <w:t>''''''''''''''''''''''''''''''''' '''''''''''''''' ''' ''' '''''''''''''''' '''''''''''''''''''''''''''''''''''</w:t>
            </w:r>
          </w:p>
          <w:p w:rsidR="004C7F6D" w:rsidRPr="007C62F0" w:rsidRDefault="007C62F0" w:rsidP="00405C83">
            <w:pPr>
              <w:pStyle w:val="COMtbl-textCentred"/>
              <w:jc w:val="right"/>
              <w:rPr>
                <w:highlight w:val="black"/>
              </w:rPr>
            </w:pPr>
            <w:r>
              <w:rPr>
                <w:noProof/>
                <w:color w:val="000000"/>
                <w:highlight w:val="black"/>
              </w:rPr>
              <w:t>''''' '''' ''''''''''''''</w:t>
            </w:r>
          </w:p>
        </w:tc>
        <w:tc>
          <w:tcPr>
            <w:tcW w:w="593" w:type="pct"/>
            <w:vAlign w:val="center"/>
          </w:tcPr>
          <w:p w:rsidR="004C7F6D" w:rsidRPr="007C62F0" w:rsidRDefault="007C62F0" w:rsidP="00405C83">
            <w:pPr>
              <w:pStyle w:val="COMtbl-textCentred"/>
              <w:rPr>
                <w:b/>
                <w:highlight w:val="black"/>
              </w:rPr>
            </w:pPr>
            <w:r>
              <w:rPr>
                <w:b/>
                <w:noProof/>
                <w:color w:val="000000"/>
                <w:highlight w:val="black"/>
              </w:rPr>
              <w:t xml:space="preserve">''''''''' </w:t>
            </w:r>
          </w:p>
          <w:p w:rsidR="004C7F6D" w:rsidRPr="007C62F0" w:rsidRDefault="007C62F0" w:rsidP="00405C83">
            <w:pPr>
              <w:pStyle w:val="COMtbl-textCentred"/>
              <w:rPr>
                <w:b/>
                <w:highlight w:val="black"/>
              </w:rPr>
            </w:pPr>
            <w:r>
              <w:rPr>
                <w:b/>
                <w:noProof/>
                <w:color w:val="000000"/>
                <w:highlight w:val="black"/>
              </w:rPr>
              <w:t>'''''''''' '''''''''''</w:t>
            </w:r>
          </w:p>
        </w:tc>
      </w:tr>
    </w:tbl>
    <w:p w:rsidR="004C7F6D" w:rsidRPr="006706A8" w:rsidRDefault="004C7F6D" w:rsidP="0069437D">
      <w:pPr>
        <w:pStyle w:val="COMTbl-foot"/>
        <w:ind w:left="709"/>
      </w:pPr>
      <w:proofErr w:type="gramStart"/>
      <w:r w:rsidRPr="006706A8">
        <w:rPr>
          <w:vertAlign w:val="superscript"/>
        </w:rPr>
        <w:t>a</w:t>
      </w:r>
      <w:proofErr w:type="gramEnd"/>
      <w:r w:rsidRPr="006706A8">
        <w:t xml:space="preserve"> Calculated during evaluation based on reported proportion of relapse-free patients</w:t>
      </w:r>
    </w:p>
    <w:p w:rsidR="00496175" w:rsidRDefault="00496175">
      <w:pPr>
        <w:rPr>
          <w:rFonts w:ascii="Arial" w:hAnsi="Arial"/>
          <w:sz w:val="22"/>
          <w:szCs w:val="22"/>
        </w:rPr>
      </w:pPr>
      <w:r>
        <w:rPr>
          <w:rFonts w:ascii="Arial" w:hAnsi="Arial"/>
          <w:sz w:val="22"/>
          <w:szCs w:val="22"/>
        </w:rPr>
        <w:br w:type="page"/>
      </w:r>
    </w:p>
    <w:p w:rsidR="004C7F6D" w:rsidRPr="006706A8" w:rsidRDefault="004C7F6D" w:rsidP="00DA2161">
      <w:pPr>
        <w:jc w:val="both"/>
        <w:rPr>
          <w:rFonts w:ascii="Arial" w:hAnsi="Arial"/>
          <w:sz w:val="22"/>
          <w:szCs w:val="22"/>
        </w:rPr>
      </w:pPr>
    </w:p>
    <w:p w:rsidR="004C7F6D" w:rsidRPr="006706A8" w:rsidRDefault="004C7F6D" w:rsidP="00DA2161">
      <w:pPr>
        <w:pStyle w:val="ListParagraph"/>
        <w:numPr>
          <w:ilvl w:val="1"/>
          <w:numId w:val="25"/>
        </w:numPr>
        <w:jc w:val="both"/>
        <w:rPr>
          <w:rFonts w:ascii="Arial" w:hAnsi="Arial"/>
          <w:sz w:val="22"/>
          <w:szCs w:val="22"/>
        </w:rPr>
      </w:pPr>
      <w:r w:rsidRPr="006706A8">
        <w:rPr>
          <w:rFonts w:ascii="Arial" w:hAnsi="Arial"/>
          <w:sz w:val="22"/>
          <w:szCs w:val="22"/>
        </w:rPr>
        <w:t>The PBAC considered that, consistent with its previous considerations of medicines for relapsing-remitting multiple sclerosis, disability progression results provide an</w:t>
      </w:r>
      <w:r w:rsidR="00C30BED" w:rsidRPr="006706A8">
        <w:rPr>
          <w:rFonts w:ascii="Arial" w:hAnsi="Arial"/>
          <w:sz w:val="22"/>
          <w:szCs w:val="22"/>
        </w:rPr>
        <w:t xml:space="preserve"> </w:t>
      </w:r>
      <w:r w:rsidRPr="006706A8">
        <w:rPr>
          <w:rFonts w:ascii="Arial" w:hAnsi="Arial"/>
          <w:sz w:val="22"/>
          <w:szCs w:val="22"/>
        </w:rPr>
        <w:t xml:space="preserve">informative basis for assessing patient-relevant clinical effectiveness. The PBAC noted that these generally favoured </w:t>
      </w:r>
      <w:proofErr w:type="spellStart"/>
      <w:r w:rsidRPr="006706A8">
        <w:rPr>
          <w:rFonts w:ascii="Arial" w:hAnsi="Arial"/>
          <w:sz w:val="22"/>
          <w:szCs w:val="22"/>
        </w:rPr>
        <w:t>alemtuzumab</w:t>
      </w:r>
      <w:proofErr w:type="spellEnd"/>
      <w:r w:rsidRPr="006706A8">
        <w:rPr>
          <w:rFonts w:ascii="Arial" w:hAnsi="Arial"/>
          <w:sz w:val="22"/>
          <w:szCs w:val="22"/>
        </w:rPr>
        <w:t xml:space="preserve"> compared to subcutaneous interferon beta-1a, but were not consistently statistically significant.</w:t>
      </w:r>
    </w:p>
    <w:p w:rsidR="004C7F6D" w:rsidRPr="006706A8" w:rsidRDefault="004C7F6D" w:rsidP="00961346">
      <w:pPr>
        <w:jc w:val="both"/>
        <w:rPr>
          <w:rFonts w:ascii="Arial" w:hAnsi="Arial"/>
          <w:sz w:val="22"/>
          <w:szCs w:val="22"/>
        </w:rPr>
      </w:pPr>
    </w:p>
    <w:p w:rsidR="004C7F6D" w:rsidRPr="006706A8" w:rsidRDefault="004C7F6D" w:rsidP="0069437D">
      <w:pPr>
        <w:widowControl w:val="0"/>
        <w:tabs>
          <w:tab w:val="left" w:pos="720"/>
        </w:tabs>
        <w:ind w:left="709"/>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 xml:space="preserve">Comparison of disability progression between </w:t>
      </w:r>
      <w:proofErr w:type="spellStart"/>
      <w:r w:rsidRPr="006706A8">
        <w:rPr>
          <w:rFonts w:ascii="Arial Narrow" w:hAnsi="Arial Narrow" w:cs="Arial"/>
          <w:b/>
          <w:snapToGrid w:val="0"/>
          <w:sz w:val="20"/>
          <w:szCs w:val="20"/>
          <w:lang w:eastAsia="en-US"/>
        </w:rPr>
        <w:t>alemtuzumab</w:t>
      </w:r>
      <w:proofErr w:type="spellEnd"/>
      <w:r w:rsidRPr="006706A8">
        <w:rPr>
          <w:rFonts w:ascii="Arial Narrow" w:hAnsi="Arial Narrow" w:cs="Arial"/>
          <w:b/>
          <w:snapToGrid w:val="0"/>
          <w:sz w:val="20"/>
          <w:szCs w:val="20"/>
          <w:lang w:eastAsia="en-US"/>
        </w:rPr>
        <w:t xml:space="preserve"> and subcutaneous interferon beta-1a </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Description w:val="Comparison of disability progression between alemtuzumab and subcutaneous interferon beta-1a "/>
      </w:tblPr>
      <w:tblGrid>
        <w:gridCol w:w="2267"/>
        <w:gridCol w:w="1418"/>
        <w:gridCol w:w="1843"/>
        <w:gridCol w:w="1845"/>
        <w:gridCol w:w="990"/>
      </w:tblGrid>
      <w:tr w:rsidR="004C7F6D" w:rsidRPr="006706A8" w:rsidTr="0069437D">
        <w:tc>
          <w:tcPr>
            <w:tcW w:w="1355" w:type="pct"/>
            <w:vMerge w:val="restart"/>
            <w:vAlign w:val="center"/>
          </w:tcPr>
          <w:p w:rsidR="004C7F6D" w:rsidRPr="006706A8" w:rsidRDefault="004C7F6D" w:rsidP="00405C83">
            <w:pPr>
              <w:pStyle w:val="COMtbl-HEADLeftAligned"/>
            </w:pPr>
            <w:r w:rsidRPr="006706A8">
              <w:t>Trial ID</w:t>
            </w:r>
          </w:p>
        </w:tc>
        <w:tc>
          <w:tcPr>
            <w:tcW w:w="1950" w:type="pct"/>
            <w:gridSpan w:val="2"/>
            <w:vAlign w:val="center"/>
          </w:tcPr>
          <w:p w:rsidR="004C7F6D" w:rsidRPr="006706A8" w:rsidRDefault="004C7F6D" w:rsidP="00405C83">
            <w:pPr>
              <w:pStyle w:val="COMtbl-HEADCentred"/>
            </w:pPr>
            <w:r w:rsidRPr="006706A8">
              <w:t>KM estimate of event (95%CI)</w:t>
            </w:r>
          </w:p>
        </w:tc>
        <w:tc>
          <w:tcPr>
            <w:tcW w:w="1102" w:type="pct"/>
            <w:vMerge w:val="restart"/>
            <w:vAlign w:val="center"/>
          </w:tcPr>
          <w:p w:rsidR="004C7F6D" w:rsidRPr="006706A8" w:rsidRDefault="004C7F6D" w:rsidP="00405C83">
            <w:pPr>
              <w:pStyle w:val="COMtbl-HEADCentred"/>
            </w:pPr>
            <w:r w:rsidRPr="006706A8">
              <w:t>Incremental difference per 100 patients</w:t>
            </w:r>
          </w:p>
        </w:tc>
        <w:tc>
          <w:tcPr>
            <w:tcW w:w="592" w:type="pct"/>
            <w:vMerge w:val="restart"/>
            <w:vAlign w:val="center"/>
          </w:tcPr>
          <w:p w:rsidR="004C7F6D" w:rsidRPr="006706A8" w:rsidRDefault="004C7F6D" w:rsidP="00405C83">
            <w:pPr>
              <w:pStyle w:val="COMtbl-HEADCentred"/>
            </w:pPr>
            <w:r w:rsidRPr="006706A8">
              <w:t xml:space="preserve">Hazard ratio </w:t>
            </w:r>
          </w:p>
          <w:p w:rsidR="004C7F6D" w:rsidRPr="006706A8" w:rsidRDefault="004C7F6D" w:rsidP="00405C83">
            <w:pPr>
              <w:pStyle w:val="COMtbl-HEADCentred"/>
            </w:pPr>
            <w:r w:rsidRPr="006706A8">
              <w:t>(95% CI)</w:t>
            </w:r>
          </w:p>
        </w:tc>
      </w:tr>
      <w:tr w:rsidR="0069437D" w:rsidRPr="006706A8" w:rsidTr="0069437D">
        <w:tc>
          <w:tcPr>
            <w:tcW w:w="1355" w:type="pct"/>
            <w:vMerge/>
            <w:vAlign w:val="center"/>
          </w:tcPr>
          <w:p w:rsidR="004C7F6D" w:rsidRPr="006706A8" w:rsidRDefault="004C7F6D" w:rsidP="00405C83">
            <w:pPr>
              <w:pStyle w:val="COMtbl-HEADLeftAligned"/>
            </w:pPr>
          </w:p>
        </w:tc>
        <w:tc>
          <w:tcPr>
            <w:tcW w:w="848" w:type="pct"/>
            <w:vAlign w:val="center"/>
          </w:tcPr>
          <w:p w:rsidR="004C7F6D" w:rsidRPr="006706A8" w:rsidRDefault="004C7F6D" w:rsidP="00405C83">
            <w:pPr>
              <w:pStyle w:val="COMtbl-HEADCentred"/>
            </w:pPr>
            <w:proofErr w:type="spellStart"/>
            <w:r w:rsidRPr="006706A8">
              <w:t>Alemtuzumab</w:t>
            </w:r>
            <w:proofErr w:type="spellEnd"/>
          </w:p>
        </w:tc>
        <w:tc>
          <w:tcPr>
            <w:tcW w:w="1102" w:type="pct"/>
            <w:vAlign w:val="center"/>
          </w:tcPr>
          <w:p w:rsidR="004C7F6D" w:rsidRPr="006706A8" w:rsidRDefault="004C7F6D" w:rsidP="00405C83">
            <w:pPr>
              <w:pStyle w:val="COMtbl-HEADCentred"/>
            </w:pPr>
            <w:r w:rsidRPr="006706A8">
              <w:t>SC interferon beta-1a</w:t>
            </w:r>
          </w:p>
        </w:tc>
        <w:tc>
          <w:tcPr>
            <w:tcW w:w="1102" w:type="pct"/>
            <w:vMerge/>
            <w:vAlign w:val="center"/>
          </w:tcPr>
          <w:p w:rsidR="004C7F6D" w:rsidRPr="006706A8" w:rsidRDefault="004C7F6D" w:rsidP="00405C83">
            <w:pPr>
              <w:pStyle w:val="COMtbl-HEADCentred"/>
            </w:pPr>
          </w:p>
        </w:tc>
        <w:tc>
          <w:tcPr>
            <w:tcW w:w="592" w:type="pct"/>
            <w:vMerge/>
            <w:vAlign w:val="center"/>
          </w:tcPr>
          <w:p w:rsidR="004C7F6D" w:rsidRPr="006706A8" w:rsidRDefault="004C7F6D" w:rsidP="00405C83">
            <w:pPr>
              <w:pStyle w:val="COMtbl-HEADCentred"/>
            </w:pPr>
          </w:p>
        </w:tc>
      </w:tr>
      <w:tr w:rsidR="004C7F6D" w:rsidRPr="006706A8" w:rsidTr="0069437D">
        <w:trPr>
          <w:trHeight w:val="64"/>
        </w:trPr>
        <w:tc>
          <w:tcPr>
            <w:tcW w:w="5000" w:type="pct"/>
            <w:gridSpan w:val="5"/>
            <w:vAlign w:val="center"/>
          </w:tcPr>
          <w:p w:rsidR="004C7F6D" w:rsidRPr="007C62F0" w:rsidRDefault="007C62F0" w:rsidP="00405C83">
            <w:pPr>
              <w:pStyle w:val="COMtbl-textCentred"/>
              <w:jc w:val="left"/>
              <w:rPr>
                <w:b/>
                <w:highlight w:val="black"/>
              </w:rPr>
            </w:pPr>
            <w:r>
              <w:rPr>
                <w:b/>
                <w:noProof/>
                <w:color w:val="000000"/>
                <w:highlight w:val="black"/>
              </w:rPr>
              <w:t>'''''''''''''''' '''''''''''''''''' ''''''''''''''''''''</w:t>
            </w:r>
          </w:p>
        </w:tc>
      </w:tr>
      <w:tr w:rsidR="0069437D" w:rsidRPr="006706A8" w:rsidTr="0069437D">
        <w:trPr>
          <w:trHeight w:val="401"/>
        </w:trPr>
        <w:tc>
          <w:tcPr>
            <w:tcW w:w="1355" w:type="pct"/>
            <w:vAlign w:val="center"/>
          </w:tcPr>
          <w:p w:rsidR="004C7F6D" w:rsidRPr="007C62F0" w:rsidRDefault="007C62F0" w:rsidP="00405C83">
            <w:pPr>
              <w:pStyle w:val="COMtbl-textLeftAligned"/>
              <w:rPr>
                <w:highlight w:val="black"/>
              </w:rPr>
            </w:pPr>
            <w:r>
              <w:rPr>
                <w:noProof/>
                <w:color w:val="000000"/>
                <w:highlight w:val="black"/>
              </w:rPr>
              <w:t xml:space="preserve">'''''''''''''''''''''''''''''''' '''''''''''''''''''''''' '''''''''''''' </w:t>
            </w:r>
          </w:p>
          <w:p w:rsidR="004C7F6D" w:rsidRPr="007C62F0" w:rsidRDefault="007C62F0" w:rsidP="00405C83">
            <w:pPr>
              <w:pStyle w:val="COMtbl-textLeftAligned"/>
              <w:rPr>
                <w:highlight w:val="black"/>
              </w:rPr>
            </w:pPr>
            <w:r>
              <w:rPr>
                <w:noProof/>
                <w:color w:val="000000"/>
                <w:highlight w:val="black"/>
              </w:rPr>
              <w:t>'''''''''''''''' '''''''''''''''''''</w:t>
            </w:r>
          </w:p>
        </w:tc>
        <w:tc>
          <w:tcPr>
            <w:tcW w:w="848" w:type="pct"/>
            <w:vAlign w:val="center"/>
          </w:tcPr>
          <w:p w:rsidR="004C7F6D" w:rsidRPr="007C62F0" w:rsidRDefault="007C62F0" w:rsidP="00405C83">
            <w:pPr>
              <w:pStyle w:val="COMtbl-textCentred"/>
              <w:rPr>
                <w:highlight w:val="black"/>
              </w:rPr>
            </w:pPr>
            <w:r>
              <w:rPr>
                <w:noProof/>
                <w:color w:val="000000"/>
                <w:highlight w:val="black"/>
              </w:rPr>
              <w:t>''''''''''' ''''''''''''''' '''''''''''</w:t>
            </w:r>
          </w:p>
          <w:p w:rsidR="004C7F6D" w:rsidRPr="007C62F0" w:rsidRDefault="007C62F0" w:rsidP="00405C83">
            <w:pPr>
              <w:pStyle w:val="COMtbl-textCentred"/>
              <w:rPr>
                <w:highlight w:val="black"/>
              </w:rPr>
            </w:pPr>
            <w:r>
              <w:rPr>
                <w:noProof/>
                <w:color w:val="000000"/>
                <w:highlight w:val="black"/>
              </w:rPr>
              <w:t>''''' '''' ''''''''''</w:t>
            </w:r>
          </w:p>
        </w:tc>
        <w:tc>
          <w:tcPr>
            <w:tcW w:w="1102" w:type="pct"/>
            <w:vAlign w:val="center"/>
          </w:tcPr>
          <w:p w:rsidR="004C7F6D" w:rsidRPr="007C62F0" w:rsidRDefault="007C62F0" w:rsidP="00405C83">
            <w:pPr>
              <w:pStyle w:val="COMtbl-textCentred"/>
              <w:rPr>
                <w:highlight w:val="black"/>
              </w:rPr>
            </w:pPr>
            <w:r>
              <w:rPr>
                <w:noProof/>
                <w:color w:val="000000"/>
                <w:highlight w:val="black"/>
              </w:rPr>
              <w:t>'''''''''' ''''''''''''''' '''''''''''</w:t>
            </w:r>
          </w:p>
          <w:p w:rsidR="004C7F6D" w:rsidRPr="007C62F0" w:rsidRDefault="007C62F0" w:rsidP="00405C83">
            <w:pPr>
              <w:pStyle w:val="COMtbl-textCentred"/>
              <w:rPr>
                <w:highlight w:val="black"/>
              </w:rPr>
            </w:pPr>
            <w:r>
              <w:rPr>
                <w:noProof/>
                <w:color w:val="000000"/>
                <w:highlight w:val="black"/>
              </w:rPr>
              <w:t>'''' '''' ''''''''''</w:t>
            </w:r>
          </w:p>
        </w:tc>
        <w:tc>
          <w:tcPr>
            <w:tcW w:w="1102" w:type="pct"/>
            <w:vAlign w:val="center"/>
          </w:tcPr>
          <w:p w:rsidR="004C7F6D" w:rsidRPr="007C62F0" w:rsidRDefault="007C62F0" w:rsidP="00405C83">
            <w:pPr>
              <w:pStyle w:val="COMtbl-textCentred"/>
              <w:rPr>
                <w:highlight w:val="black"/>
              </w:rPr>
            </w:pPr>
            <w:r>
              <w:rPr>
                <w:noProof/>
                <w:color w:val="000000"/>
                <w:highlight w:val="black"/>
              </w:rPr>
              <w:t>''''' '''''''''''''' ''''''''''''''''' ''''''''' '''''''''''''''''''''''''''' '''''''''' '''' '''''''''''''</w:t>
            </w:r>
          </w:p>
        </w:tc>
        <w:tc>
          <w:tcPr>
            <w:tcW w:w="592" w:type="pct"/>
            <w:vAlign w:val="center"/>
          </w:tcPr>
          <w:p w:rsidR="004C7F6D" w:rsidRPr="007C62F0" w:rsidRDefault="007C62F0" w:rsidP="00405C83">
            <w:pPr>
              <w:pStyle w:val="COMtbl-textCentred"/>
              <w:rPr>
                <w:b/>
                <w:highlight w:val="black"/>
              </w:rPr>
            </w:pPr>
            <w:r>
              <w:rPr>
                <w:b/>
                <w:noProof/>
                <w:color w:val="000000"/>
                <w:highlight w:val="black"/>
              </w:rPr>
              <w:t xml:space="preserve">''''''''' </w:t>
            </w:r>
          </w:p>
          <w:p w:rsidR="004C7F6D" w:rsidRPr="007C62F0" w:rsidRDefault="007C62F0" w:rsidP="00405C83">
            <w:pPr>
              <w:pStyle w:val="COMtbl-textCentred"/>
              <w:rPr>
                <w:highlight w:val="black"/>
              </w:rPr>
            </w:pPr>
            <w:r>
              <w:rPr>
                <w:b/>
                <w:noProof/>
                <w:color w:val="000000"/>
                <w:highlight w:val="black"/>
              </w:rPr>
              <w:t>'''''''''''' '''''''''</w:t>
            </w:r>
          </w:p>
        </w:tc>
      </w:tr>
      <w:tr w:rsidR="0069437D" w:rsidRPr="006706A8" w:rsidTr="0069437D">
        <w:trPr>
          <w:trHeight w:val="409"/>
        </w:trPr>
        <w:tc>
          <w:tcPr>
            <w:tcW w:w="1355" w:type="pct"/>
            <w:vAlign w:val="center"/>
          </w:tcPr>
          <w:p w:rsidR="004C7F6D" w:rsidRPr="006706A8" w:rsidRDefault="004C7F6D" w:rsidP="00405C83">
            <w:pPr>
              <w:pStyle w:val="COMtbl-textLeftAligned"/>
            </w:pPr>
            <w:r w:rsidRPr="006706A8">
              <w:t xml:space="preserve">CARE MS-I, treatment naive </w:t>
            </w:r>
          </w:p>
          <w:p w:rsidR="004C7F6D" w:rsidRPr="006706A8" w:rsidRDefault="004C7F6D" w:rsidP="00405C83">
            <w:pPr>
              <w:pStyle w:val="COMtbl-textLeftAligned"/>
            </w:pPr>
            <w:r w:rsidRPr="006706A8">
              <w:t>(2- year results)</w:t>
            </w:r>
          </w:p>
        </w:tc>
        <w:tc>
          <w:tcPr>
            <w:tcW w:w="848" w:type="pct"/>
            <w:vAlign w:val="center"/>
          </w:tcPr>
          <w:p w:rsidR="004C7F6D" w:rsidRPr="007C62F0" w:rsidRDefault="007C62F0" w:rsidP="00405C83">
            <w:pPr>
              <w:pStyle w:val="COMtbl-textCentred"/>
              <w:rPr>
                <w:highlight w:val="black"/>
              </w:rPr>
            </w:pPr>
            <w:r>
              <w:rPr>
                <w:noProof/>
                <w:color w:val="000000"/>
                <w:highlight w:val="black"/>
              </w:rPr>
              <w:t>''''''''''' ''''''''''''' '''''''''''''</w:t>
            </w:r>
          </w:p>
          <w:p w:rsidR="004C7F6D" w:rsidRPr="007C62F0" w:rsidRDefault="007C62F0" w:rsidP="00405C83">
            <w:pPr>
              <w:pStyle w:val="COMtbl-textCentred"/>
              <w:rPr>
                <w:highlight w:val="black"/>
              </w:rPr>
            </w:pPr>
            <w:r>
              <w:rPr>
                <w:noProof/>
                <w:color w:val="000000"/>
                <w:highlight w:val="black"/>
              </w:rPr>
              <w:t>''''' '''' ''''''''''</w:t>
            </w:r>
          </w:p>
        </w:tc>
        <w:tc>
          <w:tcPr>
            <w:tcW w:w="1102" w:type="pct"/>
            <w:vAlign w:val="center"/>
          </w:tcPr>
          <w:p w:rsidR="004C7F6D" w:rsidRPr="007C62F0" w:rsidRDefault="007C62F0" w:rsidP="00405C83">
            <w:pPr>
              <w:pStyle w:val="COMtbl-textCentred"/>
              <w:rPr>
                <w:highlight w:val="black"/>
              </w:rPr>
            </w:pPr>
            <w:r>
              <w:rPr>
                <w:noProof/>
                <w:color w:val="000000"/>
                <w:highlight w:val="black"/>
              </w:rPr>
              <w:t>'''''''''''' ''''''''''''' ''''''''''''</w:t>
            </w:r>
          </w:p>
          <w:p w:rsidR="004C7F6D" w:rsidRPr="007C62F0" w:rsidRDefault="007C62F0" w:rsidP="00405C83">
            <w:pPr>
              <w:pStyle w:val="COMtbl-textCentred"/>
              <w:rPr>
                <w:highlight w:val="black"/>
              </w:rPr>
            </w:pPr>
            <w:r>
              <w:rPr>
                <w:noProof/>
                <w:color w:val="000000"/>
                <w:highlight w:val="black"/>
              </w:rPr>
              <w:t>'''' '''' '''''''''</w:t>
            </w:r>
          </w:p>
        </w:tc>
        <w:tc>
          <w:tcPr>
            <w:tcW w:w="1102" w:type="pct"/>
            <w:vAlign w:val="center"/>
          </w:tcPr>
          <w:p w:rsidR="004C7F6D" w:rsidRPr="006706A8" w:rsidRDefault="004C7F6D" w:rsidP="00405C83">
            <w:pPr>
              <w:pStyle w:val="COMtbl-textCentred"/>
            </w:pPr>
            <w:r w:rsidRPr="006706A8">
              <w:t>-</w:t>
            </w:r>
          </w:p>
        </w:tc>
        <w:tc>
          <w:tcPr>
            <w:tcW w:w="592" w:type="pct"/>
            <w:vAlign w:val="center"/>
          </w:tcPr>
          <w:p w:rsidR="004C7F6D" w:rsidRPr="007C62F0" w:rsidRDefault="007C62F0" w:rsidP="00405C83">
            <w:pPr>
              <w:pStyle w:val="COMtbl-textCentred"/>
              <w:rPr>
                <w:highlight w:val="black"/>
              </w:rPr>
            </w:pPr>
            <w:r>
              <w:rPr>
                <w:noProof/>
                <w:color w:val="000000"/>
                <w:highlight w:val="black"/>
              </w:rPr>
              <w:t xml:space="preserve">'''''''''' </w:t>
            </w:r>
          </w:p>
          <w:p w:rsidR="004C7F6D" w:rsidRPr="006706A8" w:rsidRDefault="007C62F0" w:rsidP="00405C83">
            <w:pPr>
              <w:pStyle w:val="COMtbl-textCentred"/>
            </w:pPr>
            <w:r>
              <w:rPr>
                <w:noProof/>
                <w:color w:val="000000"/>
                <w:highlight w:val="black"/>
              </w:rPr>
              <w:t>'''''''''''''' ''''''''''''</w:t>
            </w:r>
            <w:r w:rsidR="004C7F6D" w:rsidRPr="006706A8">
              <w:t>)</w:t>
            </w:r>
          </w:p>
        </w:tc>
      </w:tr>
      <w:tr w:rsidR="0069437D" w:rsidRPr="006706A8" w:rsidTr="0069437D">
        <w:trPr>
          <w:trHeight w:val="457"/>
        </w:trPr>
        <w:tc>
          <w:tcPr>
            <w:tcW w:w="1355" w:type="pct"/>
            <w:vAlign w:val="center"/>
          </w:tcPr>
          <w:p w:rsidR="004C7F6D" w:rsidRPr="006706A8" w:rsidRDefault="004C7F6D" w:rsidP="00405C83">
            <w:pPr>
              <w:pStyle w:val="COMtbl-textLeftAligned"/>
            </w:pPr>
            <w:r w:rsidRPr="006706A8">
              <w:t>CARE MS-II, treatment experienced</w:t>
            </w:r>
          </w:p>
          <w:p w:rsidR="004C7F6D" w:rsidRPr="006706A8" w:rsidRDefault="004C7F6D" w:rsidP="00405C83">
            <w:pPr>
              <w:pStyle w:val="COMtbl-textLeftAligned"/>
            </w:pPr>
            <w:r w:rsidRPr="006706A8">
              <w:t>(2-year results)</w:t>
            </w:r>
          </w:p>
        </w:tc>
        <w:tc>
          <w:tcPr>
            <w:tcW w:w="848" w:type="pct"/>
            <w:vAlign w:val="center"/>
          </w:tcPr>
          <w:p w:rsidR="004C7F6D" w:rsidRPr="007C62F0" w:rsidRDefault="007C62F0" w:rsidP="00405C83">
            <w:pPr>
              <w:pStyle w:val="COMtbl-textCentred"/>
              <w:rPr>
                <w:highlight w:val="black"/>
              </w:rPr>
            </w:pPr>
            <w:r>
              <w:rPr>
                <w:noProof/>
                <w:color w:val="000000"/>
                <w:highlight w:val="black"/>
              </w:rPr>
              <w:t>'''''''''' ''''''''''''' '''''''''''''</w:t>
            </w:r>
          </w:p>
          <w:p w:rsidR="004C7F6D" w:rsidRPr="007C62F0" w:rsidRDefault="007C62F0" w:rsidP="00405C83">
            <w:pPr>
              <w:pStyle w:val="COMtbl-textCentred"/>
              <w:rPr>
                <w:highlight w:val="black"/>
              </w:rPr>
            </w:pPr>
            <w:r>
              <w:rPr>
                <w:noProof/>
                <w:color w:val="000000"/>
                <w:highlight w:val="black"/>
              </w:rPr>
              <w:t>'''' '''' '''''''''</w:t>
            </w:r>
          </w:p>
        </w:tc>
        <w:tc>
          <w:tcPr>
            <w:tcW w:w="1102" w:type="pct"/>
            <w:vAlign w:val="center"/>
          </w:tcPr>
          <w:p w:rsidR="004C7F6D" w:rsidRPr="007C62F0" w:rsidRDefault="007C62F0" w:rsidP="00405C83">
            <w:pPr>
              <w:pStyle w:val="COMtbl-textCentred"/>
              <w:rPr>
                <w:highlight w:val="black"/>
              </w:rPr>
            </w:pPr>
            <w:r>
              <w:rPr>
                <w:noProof/>
                <w:color w:val="000000"/>
                <w:highlight w:val="black"/>
              </w:rPr>
              <w:t>'''''''''' ''''''''''''''' ''''''''''''</w:t>
            </w:r>
          </w:p>
          <w:p w:rsidR="004C7F6D" w:rsidRPr="007C62F0" w:rsidRDefault="007C62F0" w:rsidP="00405C83">
            <w:pPr>
              <w:pStyle w:val="COMtbl-textCentred"/>
              <w:rPr>
                <w:highlight w:val="black"/>
              </w:rPr>
            </w:pPr>
            <w:r>
              <w:rPr>
                <w:noProof/>
                <w:color w:val="000000"/>
                <w:highlight w:val="black"/>
              </w:rPr>
              <w:t>'''' '''' ''''''''</w:t>
            </w:r>
          </w:p>
        </w:tc>
        <w:tc>
          <w:tcPr>
            <w:tcW w:w="1102" w:type="pct"/>
            <w:vAlign w:val="center"/>
          </w:tcPr>
          <w:p w:rsidR="004C7F6D" w:rsidRPr="006706A8" w:rsidRDefault="004C7F6D" w:rsidP="00405C83">
            <w:pPr>
              <w:pStyle w:val="COMtbl-textCentred"/>
            </w:pPr>
            <w:r w:rsidRPr="006706A8">
              <w:t>-</w:t>
            </w:r>
          </w:p>
        </w:tc>
        <w:tc>
          <w:tcPr>
            <w:tcW w:w="592" w:type="pct"/>
            <w:vAlign w:val="center"/>
          </w:tcPr>
          <w:p w:rsidR="004C7F6D" w:rsidRPr="007C62F0" w:rsidRDefault="007C62F0" w:rsidP="00405C83">
            <w:pPr>
              <w:pStyle w:val="COMtbl-textCentred"/>
              <w:rPr>
                <w:highlight w:val="black"/>
              </w:rPr>
            </w:pPr>
            <w:r>
              <w:rPr>
                <w:noProof/>
                <w:color w:val="000000"/>
                <w:highlight w:val="black"/>
              </w:rPr>
              <w:t xml:space="preserve">''''''''''' </w:t>
            </w:r>
          </w:p>
          <w:p w:rsidR="004C7F6D" w:rsidRPr="007C62F0" w:rsidRDefault="007C62F0" w:rsidP="00405C83">
            <w:pPr>
              <w:pStyle w:val="COMtbl-textCentred"/>
              <w:rPr>
                <w:highlight w:val="black"/>
              </w:rPr>
            </w:pPr>
            <w:r>
              <w:rPr>
                <w:noProof/>
                <w:color w:val="000000"/>
                <w:highlight w:val="black"/>
              </w:rPr>
              <w:t>'''''''''''''' '''''''''''''</w:t>
            </w:r>
          </w:p>
        </w:tc>
      </w:tr>
      <w:tr w:rsidR="004C7F6D" w:rsidRPr="006706A8" w:rsidTr="0069437D">
        <w:trPr>
          <w:trHeight w:val="64"/>
        </w:trPr>
        <w:tc>
          <w:tcPr>
            <w:tcW w:w="4408" w:type="pct"/>
            <w:gridSpan w:val="4"/>
            <w:vAlign w:val="center"/>
          </w:tcPr>
          <w:p w:rsidR="004C7F6D" w:rsidRPr="007C62F0" w:rsidRDefault="007C62F0" w:rsidP="00405C83">
            <w:pPr>
              <w:pStyle w:val="COMtbl-textCentred"/>
              <w:jc w:val="right"/>
              <w:rPr>
                <w:highlight w:val="black"/>
              </w:rPr>
            </w:pPr>
            <w:r>
              <w:rPr>
                <w:noProof/>
                <w:color w:val="000000"/>
                <w:highlight w:val="black"/>
              </w:rPr>
              <w:t>''''''''''''''''''''''''''''''''' '''''''''''''''' '''' ''' '''''''''''''''' '''''''''''''''''''''''''''''''''''</w:t>
            </w:r>
          </w:p>
          <w:p w:rsidR="004C7F6D" w:rsidRPr="007C62F0" w:rsidRDefault="007C62F0" w:rsidP="00405C83">
            <w:pPr>
              <w:pStyle w:val="COMtbl-textCentred"/>
              <w:jc w:val="right"/>
              <w:rPr>
                <w:highlight w:val="black"/>
              </w:rPr>
            </w:pPr>
            <w:r>
              <w:rPr>
                <w:noProof/>
                <w:color w:val="000000"/>
                <w:highlight w:val="black"/>
              </w:rPr>
              <w:t>'''' '''' '''''''''''''''''''</w:t>
            </w:r>
          </w:p>
        </w:tc>
        <w:tc>
          <w:tcPr>
            <w:tcW w:w="592" w:type="pct"/>
            <w:vAlign w:val="center"/>
          </w:tcPr>
          <w:p w:rsidR="004C7F6D" w:rsidRPr="007C62F0" w:rsidRDefault="007C62F0" w:rsidP="00405C83">
            <w:pPr>
              <w:pStyle w:val="COMtbl-textCentred"/>
              <w:rPr>
                <w:b/>
                <w:highlight w:val="black"/>
              </w:rPr>
            </w:pPr>
            <w:r>
              <w:rPr>
                <w:b/>
                <w:noProof/>
                <w:color w:val="000000"/>
                <w:highlight w:val="black"/>
              </w:rPr>
              <w:t xml:space="preserve">'''''''''' </w:t>
            </w:r>
          </w:p>
          <w:p w:rsidR="004C7F6D" w:rsidRPr="007C62F0" w:rsidRDefault="007C62F0" w:rsidP="00405C83">
            <w:pPr>
              <w:pStyle w:val="COMtbl-textCentred"/>
              <w:rPr>
                <w:highlight w:val="black"/>
              </w:rPr>
            </w:pPr>
            <w:r>
              <w:rPr>
                <w:b/>
                <w:noProof/>
                <w:color w:val="000000"/>
                <w:highlight w:val="black"/>
              </w:rPr>
              <w:t>'''''''''''' '''''''''''</w:t>
            </w:r>
          </w:p>
        </w:tc>
      </w:tr>
      <w:tr w:rsidR="004C7F6D" w:rsidRPr="006706A8" w:rsidTr="0069437D">
        <w:tc>
          <w:tcPr>
            <w:tcW w:w="5000" w:type="pct"/>
            <w:gridSpan w:val="5"/>
            <w:vAlign w:val="center"/>
          </w:tcPr>
          <w:p w:rsidR="004C7F6D" w:rsidRPr="006706A8" w:rsidRDefault="004C7F6D" w:rsidP="00405C83">
            <w:pPr>
              <w:pStyle w:val="COMtbl-textCentred"/>
              <w:jc w:val="left"/>
              <w:rPr>
                <w:b/>
              </w:rPr>
            </w:pPr>
            <w:r w:rsidRPr="006706A8">
              <w:rPr>
                <w:b/>
              </w:rPr>
              <w:t>6-month sustained disability</w:t>
            </w:r>
          </w:p>
        </w:tc>
      </w:tr>
      <w:tr w:rsidR="0069437D" w:rsidRPr="006706A8" w:rsidTr="0069437D">
        <w:trPr>
          <w:trHeight w:val="417"/>
        </w:trPr>
        <w:tc>
          <w:tcPr>
            <w:tcW w:w="1355" w:type="pct"/>
            <w:vAlign w:val="center"/>
          </w:tcPr>
          <w:p w:rsidR="004C7F6D" w:rsidRPr="006706A8" w:rsidRDefault="004C7F6D" w:rsidP="00405C83">
            <w:pPr>
              <w:pStyle w:val="COMtbl-textLeftAligned"/>
            </w:pPr>
            <w:r w:rsidRPr="006706A8">
              <w:t xml:space="preserve">CAMMS223, treatment naive </w:t>
            </w:r>
          </w:p>
          <w:p w:rsidR="004C7F6D" w:rsidRPr="006706A8" w:rsidRDefault="004C7F6D" w:rsidP="00405C83">
            <w:pPr>
              <w:pStyle w:val="COMtbl-textLeftAligned"/>
            </w:pPr>
            <w:r w:rsidRPr="006706A8">
              <w:t>(3-year results)</w:t>
            </w:r>
          </w:p>
        </w:tc>
        <w:tc>
          <w:tcPr>
            <w:tcW w:w="848" w:type="pct"/>
            <w:vAlign w:val="center"/>
          </w:tcPr>
          <w:p w:rsidR="004C7F6D" w:rsidRPr="006706A8" w:rsidRDefault="004C7F6D" w:rsidP="00405C83">
            <w:pPr>
              <w:pStyle w:val="COMtbl-textCentred"/>
            </w:pPr>
            <w:r w:rsidRPr="006706A8">
              <w:t>0.08 (0.04, 0.17)</w:t>
            </w:r>
          </w:p>
          <w:p w:rsidR="004C7F6D" w:rsidRPr="006706A8" w:rsidRDefault="004C7F6D" w:rsidP="00405C83">
            <w:pPr>
              <w:pStyle w:val="COMtbl-textCentred"/>
            </w:pPr>
            <w:r w:rsidRPr="006706A8">
              <w:t>N = 112</w:t>
            </w:r>
          </w:p>
        </w:tc>
        <w:tc>
          <w:tcPr>
            <w:tcW w:w="1102" w:type="pct"/>
            <w:vAlign w:val="center"/>
          </w:tcPr>
          <w:p w:rsidR="004C7F6D" w:rsidRPr="006706A8" w:rsidRDefault="004C7F6D" w:rsidP="00405C83">
            <w:pPr>
              <w:pStyle w:val="COMtbl-textCentred"/>
            </w:pPr>
            <w:r w:rsidRPr="006706A8">
              <w:t>0.27 (0.19, 0.38)</w:t>
            </w:r>
          </w:p>
          <w:p w:rsidR="004C7F6D" w:rsidRPr="006706A8" w:rsidRDefault="004C7F6D" w:rsidP="00405C83">
            <w:pPr>
              <w:pStyle w:val="COMtbl-textCentred"/>
            </w:pPr>
            <w:r w:rsidRPr="006706A8">
              <w:t>N = 111</w:t>
            </w:r>
          </w:p>
        </w:tc>
        <w:tc>
          <w:tcPr>
            <w:tcW w:w="1102" w:type="pct"/>
            <w:vAlign w:val="center"/>
          </w:tcPr>
          <w:p w:rsidR="004C7F6D" w:rsidRPr="006706A8" w:rsidRDefault="004C7F6D" w:rsidP="00405C83">
            <w:pPr>
              <w:pStyle w:val="COMtbl-textCentred"/>
            </w:pPr>
            <w:r w:rsidRPr="006706A8">
              <w:t>19 fewer patients with progression over 3 years</w:t>
            </w:r>
          </w:p>
        </w:tc>
        <w:tc>
          <w:tcPr>
            <w:tcW w:w="592" w:type="pct"/>
            <w:vAlign w:val="center"/>
          </w:tcPr>
          <w:p w:rsidR="004C7F6D" w:rsidRPr="006706A8" w:rsidRDefault="004C7F6D" w:rsidP="00405C83">
            <w:pPr>
              <w:pStyle w:val="COMtbl-textCentred"/>
              <w:rPr>
                <w:b/>
              </w:rPr>
            </w:pPr>
            <w:r w:rsidRPr="006706A8">
              <w:rPr>
                <w:b/>
              </w:rPr>
              <w:t xml:space="preserve">0.24 </w:t>
            </w:r>
          </w:p>
          <w:p w:rsidR="004C7F6D" w:rsidRPr="006706A8" w:rsidRDefault="004C7F6D" w:rsidP="00405C83">
            <w:pPr>
              <w:pStyle w:val="COMtbl-textCentred"/>
            </w:pPr>
            <w:r w:rsidRPr="006706A8">
              <w:rPr>
                <w:b/>
              </w:rPr>
              <w:t>(0.11, 0.55)</w:t>
            </w:r>
          </w:p>
        </w:tc>
      </w:tr>
      <w:tr w:rsidR="0069437D" w:rsidRPr="006706A8" w:rsidTr="0069437D">
        <w:trPr>
          <w:trHeight w:val="353"/>
        </w:trPr>
        <w:tc>
          <w:tcPr>
            <w:tcW w:w="1355" w:type="pct"/>
            <w:vAlign w:val="center"/>
          </w:tcPr>
          <w:p w:rsidR="004C7F6D" w:rsidRPr="006706A8" w:rsidRDefault="004C7F6D" w:rsidP="00405C83">
            <w:pPr>
              <w:pStyle w:val="COMtbl-textLeftAligned"/>
            </w:pPr>
            <w:r w:rsidRPr="006706A8">
              <w:t xml:space="preserve">CARE MS-I, treatment naive </w:t>
            </w:r>
          </w:p>
          <w:p w:rsidR="004C7F6D" w:rsidRPr="006706A8" w:rsidRDefault="004C7F6D" w:rsidP="00405C83">
            <w:pPr>
              <w:pStyle w:val="COMtbl-textLeftAligned"/>
            </w:pPr>
            <w:r w:rsidRPr="006706A8">
              <w:t>(2- year results)</w:t>
            </w:r>
          </w:p>
        </w:tc>
        <w:tc>
          <w:tcPr>
            <w:tcW w:w="848" w:type="pct"/>
            <w:vAlign w:val="center"/>
          </w:tcPr>
          <w:p w:rsidR="004C7F6D" w:rsidRPr="006706A8" w:rsidRDefault="004C7F6D" w:rsidP="00405C83">
            <w:pPr>
              <w:pStyle w:val="COMtbl-textCentred"/>
            </w:pPr>
            <w:r w:rsidRPr="006706A8">
              <w:t>0.08 (0.06, 0.11)</w:t>
            </w:r>
          </w:p>
          <w:p w:rsidR="004C7F6D" w:rsidRPr="006706A8" w:rsidRDefault="004C7F6D" w:rsidP="00405C83">
            <w:pPr>
              <w:pStyle w:val="COMtbl-textCentred"/>
            </w:pPr>
            <w:r w:rsidRPr="006706A8">
              <w:t>N = 376</w:t>
            </w:r>
          </w:p>
        </w:tc>
        <w:tc>
          <w:tcPr>
            <w:tcW w:w="1102" w:type="pct"/>
            <w:vAlign w:val="center"/>
          </w:tcPr>
          <w:p w:rsidR="004C7F6D" w:rsidRPr="006706A8" w:rsidRDefault="004C7F6D" w:rsidP="00405C83">
            <w:pPr>
              <w:pStyle w:val="COMtbl-textCentred"/>
            </w:pPr>
            <w:r w:rsidRPr="006706A8">
              <w:t>0.11 (0.07, 0.17)</w:t>
            </w:r>
          </w:p>
          <w:p w:rsidR="004C7F6D" w:rsidRPr="006706A8" w:rsidRDefault="004C7F6D" w:rsidP="00405C83">
            <w:pPr>
              <w:pStyle w:val="COMtbl-textCentred"/>
            </w:pPr>
            <w:r w:rsidRPr="006706A8">
              <w:t>N = 187</w:t>
            </w:r>
          </w:p>
        </w:tc>
        <w:tc>
          <w:tcPr>
            <w:tcW w:w="1102" w:type="pct"/>
            <w:vAlign w:val="center"/>
          </w:tcPr>
          <w:p w:rsidR="004C7F6D" w:rsidRPr="006706A8" w:rsidRDefault="004C7F6D" w:rsidP="00405C83">
            <w:pPr>
              <w:pStyle w:val="COMtbl-textCentred"/>
            </w:pPr>
            <w:r w:rsidRPr="006706A8">
              <w:t>-</w:t>
            </w:r>
          </w:p>
        </w:tc>
        <w:tc>
          <w:tcPr>
            <w:tcW w:w="592" w:type="pct"/>
            <w:vAlign w:val="center"/>
          </w:tcPr>
          <w:p w:rsidR="004C7F6D" w:rsidRPr="006706A8" w:rsidRDefault="004C7F6D" w:rsidP="00405C83">
            <w:pPr>
              <w:pStyle w:val="COMtbl-textCentred"/>
            </w:pPr>
            <w:r w:rsidRPr="006706A8">
              <w:t xml:space="preserve">0.70 </w:t>
            </w:r>
          </w:p>
          <w:p w:rsidR="004C7F6D" w:rsidRPr="006706A8" w:rsidRDefault="004C7F6D" w:rsidP="00405C83">
            <w:pPr>
              <w:pStyle w:val="COMtbl-textCentred"/>
            </w:pPr>
            <w:r w:rsidRPr="006706A8">
              <w:t>(0.40, 1.23)</w:t>
            </w:r>
          </w:p>
        </w:tc>
      </w:tr>
      <w:tr w:rsidR="0069437D" w:rsidRPr="006706A8" w:rsidTr="0069437D">
        <w:trPr>
          <w:trHeight w:val="458"/>
        </w:trPr>
        <w:tc>
          <w:tcPr>
            <w:tcW w:w="1355" w:type="pct"/>
            <w:vAlign w:val="center"/>
          </w:tcPr>
          <w:p w:rsidR="004C7F6D" w:rsidRPr="006706A8" w:rsidRDefault="004C7F6D" w:rsidP="00405C83">
            <w:pPr>
              <w:pStyle w:val="COMtbl-textLeftAligned"/>
            </w:pPr>
            <w:r w:rsidRPr="006706A8">
              <w:t>CARE MS-II, treatment experienced</w:t>
            </w:r>
          </w:p>
          <w:p w:rsidR="004C7F6D" w:rsidRPr="006706A8" w:rsidRDefault="004C7F6D" w:rsidP="00405C83">
            <w:pPr>
              <w:pStyle w:val="COMtbl-textLeftAligned"/>
            </w:pPr>
            <w:r w:rsidRPr="006706A8">
              <w:t>(2-year results)</w:t>
            </w:r>
          </w:p>
        </w:tc>
        <w:tc>
          <w:tcPr>
            <w:tcW w:w="848" w:type="pct"/>
            <w:vAlign w:val="center"/>
          </w:tcPr>
          <w:p w:rsidR="004C7F6D" w:rsidRPr="006706A8" w:rsidRDefault="004C7F6D" w:rsidP="00405C83">
            <w:pPr>
              <w:pStyle w:val="COMtbl-textCentred"/>
            </w:pPr>
            <w:r w:rsidRPr="006706A8">
              <w:t>0.13 (0.10, 0.16)</w:t>
            </w:r>
          </w:p>
          <w:p w:rsidR="004C7F6D" w:rsidRPr="006706A8" w:rsidRDefault="004C7F6D" w:rsidP="00405C83">
            <w:pPr>
              <w:pStyle w:val="COMtbl-textCentred"/>
            </w:pPr>
            <w:r w:rsidRPr="006706A8">
              <w:t>N = 426</w:t>
            </w:r>
          </w:p>
        </w:tc>
        <w:tc>
          <w:tcPr>
            <w:tcW w:w="1102" w:type="pct"/>
            <w:vAlign w:val="center"/>
          </w:tcPr>
          <w:p w:rsidR="004C7F6D" w:rsidRPr="006706A8" w:rsidRDefault="004C7F6D" w:rsidP="00405C83">
            <w:pPr>
              <w:pStyle w:val="COMtbl-textCentred"/>
            </w:pPr>
            <w:r w:rsidRPr="006706A8">
              <w:t>0.21 (0.16, 0.28)</w:t>
            </w:r>
          </w:p>
          <w:p w:rsidR="004C7F6D" w:rsidRPr="006706A8" w:rsidRDefault="004C7F6D" w:rsidP="00405C83">
            <w:pPr>
              <w:pStyle w:val="COMtbl-textCentred"/>
            </w:pPr>
            <w:r w:rsidRPr="006706A8">
              <w:t>N = 202</w:t>
            </w:r>
          </w:p>
        </w:tc>
        <w:tc>
          <w:tcPr>
            <w:tcW w:w="1102" w:type="pct"/>
            <w:vAlign w:val="center"/>
          </w:tcPr>
          <w:p w:rsidR="004C7F6D" w:rsidRPr="006706A8" w:rsidRDefault="004C7F6D" w:rsidP="00405C83">
            <w:pPr>
              <w:pStyle w:val="COMtbl-textCentred"/>
            </w:pPr>
            <w:r w:rsidRPr="006706A8">
              <w:t>8 fewer patients with progression over 2 years</w:t>
            </w:r>
          </w:p>
        </w:tc>
        <w:tc>
          <w:tcPr>
            <w:tcW w:w="592" w:type="pct"/>
            <w:vAlign w:val="center"/>
          </w:tcPr>
          <w:p w:rsidR="004C7F6D" w:rsidRPr="006706A8" w:rsidRDefault="004C7F6D" w:rsidP="00405C83">
            <w:pPr>
              <w:pStyle w:val="COMtbl-textCentred"/>
              <w:rPr>
                <w:b/>
              </w:rPr>
            </w:pPr>
            <w:r w:rsidRPr="006706A8">
              <w:rPr>
                <w:b/>
              </w:rPr>
              <w:t xml:space="preserve">0.58 </w:t>
            </w:r>
          </w:p>
          <w:p w:rsidR="004C7F6D" w:rsidRPr="006706A8" w:rsidRDefault="004C7F6D" w:rsidP="00405C83">
            <w:pPr>
              <w:pStyle w:val="COMtbl-textCentred"/>
            </w:pPr>
            <w:r w:rsidRPr="006706A8">
              <w:rPr>
                <w:b/>
              </w:rPr>
              <w:t>(0.38, 0.87)</w:t>
            </w:r>
          </w:p>
        </w:tc>
      </w:tr>
      <w:tr w:rsidR="004C7F6D" w:rsidRPr="006706A8" w:rsidTr="0069437D">
        <w:trPr>
          <w:trHeight w:val="64"/>
        </w:trPr>
        <w:tc>
          <w:tcPr>
            <w:tcW w:w="4408" w:type="pct"/>
            <w:gridSpan w:val="4"/>
            <w:vAlign w:val="center"/>
          </w:tcPr>
          <w:p w:rsidR="004C7F6D" w:rsidRPr="007C62F0" w:rsidRDefault="007C62F0" w:rsidP="00405C83">
            <w:pPr>
              <w:pStyle w:val="COMtbl-textCentred"/>
              <w:jc w:val="right"/>
              <w:rPr>
                <w:highlight w:val="black"/>
              </w:rPr>
            </w:pPr>
            <w:r>
              <w:rPr>
                <w:noProof/>
                <w:color w:val="000000"/>
                <w:highlight w:val="black"/>
              </w:rPr>
              <w:t>''''''''''''''''''''''''''''''' '''''''''''''''''' '''' ''' '''''''''''''' '''''''''''''''''''''''''''''''''''</w:t>
            </w:r>
          </w:p>
          <w:p w:rsidR="004C7F6D" w:rsidRPr="007C62F0" w:rsidRDefault="007C62F0" w:rsidP="00405C83">
            <w:pPr>
              <w:pStyle w:val="COMtbl-textCentred"/>
              <w:jc w:val="right"/>
              <w:rPr>
                <w:highlight w:val="black"/>
              </w:rPr>
            </w:pPr>
            <w:r>
              <w:rPr>
                <w:noProof/>
                <w:color w:val="000000"/>
                <w:highlight w:val="black"/>
              </w:rPr>
              <w:t>''''' '''' ''''''''''''''''''''</w:t>
            </w:r>
          </w:p>
        </w:tc>
        <w:tc>
          <w:tcPr>
            <w:tcW w:w="592" w:type="pct"/>
            <w:vAlign w:val="center"/>
          </w:tcPr>
          <w:p w:rsidR="004C7F6D" w:rsidRPr="007C62F0" w:rsidRDefault="007C62F0" w:rsidP="00405C83">
            <w:pPr>
              <w:pStyle w:val="COMtbl-textCentred"/>
              <w:rPr>
                <w:b/>
                <w:highlight w:val="black"/>
              </w:rPr>
            </w:pPr>
            <w:r>
              <w:rPr>
                <w:b/>
                <w:noProof/>
                <w:color w:val="000000"/>
                <w:highlight w:val="black"/>
              </w:rPr>
              <w:t xml:space="preserve">'''''''' </w:t>
            </w:r>
          </w:p>
          <w:p w:rsidR="004C7F6D" w:rsidRPr="007C62F0" w:rsidRDefault="007C62F0" w:rsidP="00405C83">
            <w:pPr>
              <w:pStyle w:val="COMtbl-textCentred"/>
              <w:rPr>
                <w:b/>
                <w:highlight w:val="black"/>
              </w:rPr>
            </w:pPr>
            <w:r>
              <w:rPr>
                <w:b/>
                <w:noProof/>
                <w:color w:val="000000"/>
                <w:highlight w:val="black"/>
              </w:rPr>
              <w:t>''''''''''' ''''''''''</w:t>
            </w:r>
          </w:p>
        </w:tc>
      </w:tr>
    </w:tbl>
    <w:p w:rsidR="004C7F6D" w:rsidRPr="006706A8" w:rsidRDefault="004C7F6D" w:rsidP="0069437D">
      <w:pPr>
        <w:widowControl w:val="0"/>
        <w:ind w:left="709"/>
        <w:jc w:val="both"/>
        <w:rPr>
          <w:rFonts w:ascii="Arial Narrow" w:hAnsi="Arial Narrow" w:cs="Arial"/>
          <w:i/>
          <w:snapToGrid w:val="0"/>
          <w:sz w:val="18"/>
          <w:szCs w:val="20"/>
          <w:lang w:eastAsia="en-US"/>
        </w:rPr>
      </w:pPr>
      <w:r w:rsidRPr="006706A8">
        <w:rPr>
          <w:rFonts w:ascii="Arial Narrow" w:hAnsi="Arial Narrow" w:cs="Arial"/>
          <w:snapToGrid w:val="0"/>
          <w:sz w:val="18"/>
          <w:szCs w:val="20"/>
          <w:lang w:eastAsia="en-US"/>
        </w:rPr>
        <w:t>Abbreviations: CI, confidence interval; KM, Kaplan-Meier</w:t>
      </w:r>
    </w:p>
    <w:p w:rsidR="004C7F6D" w:rsidRPr="006706A8" w:rsidRDefault="004C7F6D" w:rsidP="008A1F25">
      <w:pPr>
        <w:jc w:val="both"/>
        <w:rPr>
          <w:rFonts w:ascii="Arial" w:hAnsi="Arial"/>
          <w:sz w:val="22"/>
          <w:szCs w:val="22"/>
        </w:rPr>
      </w:pPr>
    </w:p>
    <w:p w:rsidR="004C7F6D" w:rsidRPr="006706A8" w:rsidRDefault="004C7F6D" w:rsidP="0003025B">
      <w:pPr>
        <w:pStyle w:val="ListParagraph"/>
        <w:numPr>
          <w:ilvl w:val="1"/>
          <w:numId w:val="25"/>
        </w:numPr>
        <w:jc w:val="both"/>
        <w:rPr>
          <w:rFonts w:ascii="Arial" w:hAnsi="Arial"/>
          <w:sz w:val="22"/>
          <w:szCs w:val="22"/>
        </w:rPr>
      </w:pPr>
      <w:r w:rsidRPr="006706A8">
        <w:rPr>
          <w:rFonts w:ascii="Arial" w:hAnsi="Arial"/>
          <w:sz w:val="22"/>
          <w:szCs w:val="22"/>
        </w:rPr>
        <w:t xml:space="preserve">Indirect comparisons (mixed treatment comparisons and multi-step indirect analyses) between </w:t>
      </w:r>
      <w:proofErr w:type="spellStart"/>
      <w:r w:rsidRPr="006706A8">
        <w:rPr>
          <w:rFonts w:ascii="Arial" w:hAnsi="Arial"/>
          <w:sz w:val="22"/>
          <w:szCs w:val="22"/>
        </w:rPr>
        <w:t>alemtuzumab</w:t>
      </w:r>
      <w:proofErr w:type="spellEnd"/>
      <w:r w:rsidRPr="006706A8">
        <w:rPr>
          <w:rFonts w:ascii="Arial" w:hAnsi="Arial"/>
          <w:sz w:val="22"/>
          <w:szCs w:val="22"/>
        </w:rPr>
        <w:t xml:space="preserve">,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with respect to relapse rate and disability progression are shown below.</w:t>
      </w:r>
    </w:p>
    <w:p w:rsidR="004C7F6D" w:rsidRPr="006706A8" w:rsidRDefault="004C7F6D" w:rsidP="00DA2161">
      <w:pPr>
        <w:jc w:val="both"/>
        <w:rPr>
          <w:rFonts w:ascii="Arial" w:hAnsi="Arial"/>
          <w:sz w:val="22"/>
          <w:szCs w:val="22"/>
        </w:rPr>
      </w:pPr>
    </w:p>
    <w:p w:rsidR="004C7F6D" w:rsidRPr="006706A8" w:rsidRDefault="004C7F6D" w:rsidP="00DA2161">
      <w:pPr>
        <w:widowControl w:val="0"/>
        <w:tabs>
          <w:tab w:val="left" w:pos="720"/>
        </w:tabs>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ab/>
        <w:t xml:space="preserve">Indirect comparisons between </w:t>
      </w:r>
      <w:proofErr w:type="spellStart"/>
      <w:r w:rsidRPr="006706A8">
        <w:rPr>
          <w:rFonts w:ascii="Arial Narrow" w:hAnsi="Arial Narrow" w:cs="Arial"/>
          <w:b/>
          <w:snapToGrid w:val="0"/>
          <w:sz w:val="20"/>
          <w:szCs w:val="20"/>
          <w:lang w:eastAsia="en-US"/>
        </w:rPr>
        <w:t>alemtuzumab</w:t>
      </w:r>
      <w:proofErr w:type="spellEnd"/>
      <w:r w:rsidRPr="006706A8">
        <w:rPr>
          <w:rFonts w:ascii="Arial Narrow" w:hAnsi="Arial Narrow" w:cs="Arial"/>
          <w:b/>
          <w:snapToGrid w:val="0"/>
          <w:sz w:val="20"/>
          <w:szCs w:val="20"/>
          <w:lang w:eastAsia="en-US"/>
        </w:rPr>
        <w:t xml:space="preserve">, </w:t>
      </w:r>
      <w:proofErr w:type="spellStart"/>
      <w:r w:rsidRPr="006706A8">
        <w:rPr>
          <w:rFonts w:ascii="Arial Narrow" w:hAnsi="Arial Narrow" w:cs="Arial"/>
          <w:b/>
          <w:snapToGrid w:val="0"/>
          <w:sz w:val="20"/>
          <w:szCs w:val="20"/>
          <w:lang w:eastAsia="en-US"/>
        </w:rPr>
        <w:t>fingolimod</w:t>
      </w:r>
      <w:proofErr w:type="spellEnd"/>
      <w:r w:rsidRPr="006706A8">
        <w:rPr>
          <w:rFonts w:ascii="Arial Narrow" w:hAnsi="Arial Narrow" w:cs="Arial"/>
          <w:b/>
          <w:snapToGrid w:val="0"/>
          <w:sz w:val="20"/>
          <w:szCs w:val="20"/>
          <w:lang w:eastAsia="en-US"/>
        </w:rPr>
        <w:t xml:space="preserve"> and </w:t>
      </w:r>
      <w:proofErr w:type="spellStart"/>
      <w:r w:rsidRPr="006706A8">
        <w:rPr>
          <w:rFonts w:ascii="Arial Narrow" w:hAnsi="Arial Narrow" w:cs="Arial"/>
          <w:b/>
          <w:snapToGrid w:val="0"/>
          <w:sz w:val="20"/>
          <w:szCs w:val="20"/>
          <w:lang w:eastAsia="en-US"/>
        </w:rPr>
        <w:t>natalizumab</w:t>
      </w:r>
      <w:proofErr w:type="spellEnd"/>
    </w:p>
    <w:tbl>
      <w:tblPr>
        <w:tblW w:w="459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Description w:val="Indirect comparisons between alemtuzumab, fingolimod and natalizumab"/>
      </w:tblPr>
      <w:tblGrid>
        <w:gridCol w:w="5245"/>
        <w:gridCol w:w="1559"/>
        <w:gridCol w:w="1544"/>
      </w:tblGrid>
      <w:tr w:rsidR="004C7F6D" w:rsidRPr="006706A8" w:rsidTr="00BC1CB5">
        <w:trPr>
          <w:trHeight w:val="533"/>
        </w:trPr>
        <w:tc>
          <w:tcPr>
            <w:tcW w:w="3141" w:type="pct"/>
            <w:vAlign w:val="center"/>
          </w:tcPr>
          <w:p w:rsidR="004C7F6D" w:rsidRPr="006706A8" w:rsidRDefault="004C7F6D" w:rsidP="00405C83">
            <w:pPr>
              <w:widowControl w:val="0"/>
              <w:tabs>
                <w:tab w:val="left" w:pos="720"/>
              </w:tabs>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Trial ID</w:t>
            </w:r>
          </w:p>
        </w:tc>
        <w:tc>
          <w:tcPr>
            <w:tcW w:w="934" w:type="pct"/>
            <w:vAlign w:val="center"/>
          </w:tcPr>
          <w:p w:rsidR="004C7F6D" w:rsidRPr="006706A8" w:rsidRDefault="004C7F6D" w:rsidP="00405C83">
            <w:pPr>
              <w:widowControl w:val="0"/>
              <w:tabs>
                <w:tab w:val="left" w:pos="720"/>
              </w:tabs>
              <w:jc w:val="center"/>
              <w:rPr>
                <w:rFonts w:ascii="Arial Narrow" w:hAnsi="Arial Narrow" w:cs="Arial"/>
                <w:b/>
                <w:snapToGrid w:val="0"/>
                <w:sz w:val="20"/>
                <w:szCs w:val="20"/>
                <w:lang w:eastAsia="en-US"/>
              </w:rPr>
            </w:pPr>
            <w:proofErr w:type="spellStart"/>
            <w:r w:rsidRPr="006706A8">
              <w:rPr>
                <w:rFonts w:ascii="Arial Narrow" w:hAnsi="Arial Narrow" w:cs="Arial"/>
                <w:b/>
                <w:snapToGrid w:val="0"/>
                <w:sz w:val="20"/>
                <w:szCs w:val="20"/>
                <w:lang w:eastAsia="en-US"/>
              </w:rPr>
              <w:t>alemtuzumab</w:t>
            </w:r>
            <w:proofErr w:type="spellEnd"/>
            <w:r w:rsidRPr="006706A8">
              <w:rPr>
                <w:rFonts w:ascii="Arial Narrow" w:hAnsi="Arial Narrow" w:cs="Arial"/>
                <w:b/>
                <w:snapToGrid w:val="0"/>
                <w:sz w:val="20"/>
                <w:szCs w:val="20"/>
                <w:lang w:eastAsia="en-US"/>
              </w:rPr>
              <w:t xml:space="preserve"> vs </w:t>
            </w:r>
            <w:proofErr w:type="spellStart"/>
            <w:r w:rsidRPr="006706A8">
              <w:rPr>
                <w:rFonts w:ascii="Arial Narrow" w:hAnsi="Arial Narrow" w:cs="Arial"/>
                <w:b/>
                <w:snapToGrid w:val="0"/>
                <w:sz w:val="20"/>
                <w:szCs w:val="20"/>
                <w:lang w:eastAsia="en-US"/>
              </w:rPr>
              <w:t>fingolimod</w:t>
            </w:r>
            <w:proofErr w:type="spellEnd"/>
          </w:p>
        </w:tc>
        <w:tc>
          <w:tcPr>
            <w:tcW w:w="925" w:type="pct"/>
            <w:vAlign w:val="center"/>
          </w:tcPr>
          <w:p w:rsidR="004C7F6D" w:rsidRPr="006706A8" w:rsidRDefault="004C7F6D" w:rsidP="00405C83">
            <w:pPr>
              <w:widowControl w:val="0"/>
              <w:tabs>
                <w:tab w:val="left" w:pos="720"/>
              </w:tabs>
              <w:jc w:val="center"/>
              <w:rPr>
                <w:rFonts w:ascii="Arial Narrow" w:hAnsi="Arial Narrow" w:cs="Arial"/>
                <w:b/>
                <w:snapToGrid w:val="0"/>
                <w:sz w:val="20"/>
                <w:szCs w:val="20"/>
                <w:lang w:eastAsia="en-US"/>
              </w:rPr>
            </w:pPr>
            <w:proofErr w:type="spellStart"/>
            <w:r w:rsidRPr="006706A8">
              <w:rPr>
                <w:rFonts w:ascii="Arial Narrow" w:hAnsi="Arial Narrow" w:cs="Arial"/>
                <w:b/>
                <w:snapToGrid w:val="0"/>
                <w:sz w:val="20"/>
                <w:szCs w:val="20"/>
                <w:lang w:eastAsia="en-US"/>
              </w:rPr>
              <w:t>alemtuzumab</w:t>
            </w:r>
            <w:proofErr w:type="spellEnd"/>
            <w:r w:rsidRPr="006706A8">
              <w:rPr>
                <w:rFonts w:ascii="Arial Narrow" w:hAnsi="Arial Narrow" w:cs="Arial"/>
                <w:b/>
                <w:snapToGrid w:val="0"/>
                <w:sz w:val="20"/>
                <w:szCs w:val="20"/>
                <w:lang w:eastAsia="en-US"/>
              </w:rPr>
              <w:t xml:space="preserve"> vs </w:t>
            </w:r>
            <w:proofErr w:type="spellStart"/>
            <w:r w:rsidRPr="006706A8">
              <w:rPr>
                <w:rFonts w:ascii="Arial Narrow" w:hAnsi="Arial Narrow" w:cs="Arial"/>
                <w:b/>
                <w:snapToGrid w:val="0"/>
                <w:sz w:val="20"/>
                <w:szCs w:val="20"/>
                <w:lang w:eastAsia="en-US"/>
              </w:rPr>
              <w:t>natalizumab</w:t>
            </w:r>
            <w:proofErr w:type="spellEnd"/>
          </w:p>
        </w:tc>
      </w:tr>
      <w:tr w:rsidR="004C7F6D" w:rsidRPr="006706A8" w:rsidTr="00405C83">
        <w:tc>
          <w:tcPr>
            <w:tcW w:w="5000" w:type="pct"/>
            <w:gridSpan w:val="3"/>
            <w:vAlign w:val="center"/>
          </w:tcPr>
          <w:p w:rsidR="004C7F6D" w:rsidRPr="006706A8" w:rsidRDefault="004C7F6D" w:rsidP="00405C83">
            <w:pPr>
              <w:widowControl w:val="0"/>
              <w:tabs>
                <w:tab w:val="left" w:pos="720"/>
              </w:tabs>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Annualised relapse rate</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MTC (all trials); rate ratio (95% </w:t>
            </w:r>
            <w:proofErr w:type="spellStart"/>
            <w:r w:rsidRPr="006706A8">
              <w:rPr>
                <w:rFonts w:ascii="Arial Narrow" w:hAnsi="Arial Narrow" w:cs="Arial"/>
                <w:snapToGrid w:val="0"/>
                <w:sz w:val="20"/>
                <w:szCs w:val="20"/>
                <w:lang w:eastAsia="en-US"/>
              </w:rPr>
              <w:t>CrI</w:t>
            </w:r>
            <w:proofErr w:type="spellEnd"/>
            <w:r w:rsidRPr="006706A8">
              <w:rPr>
                <w:rFonts w:ascii="Arial Narrow" w:hAnsi="Arial Narrow" w:cs="Arial"/>
                <w:snapToGrid w:val="0"/>
                <w:sz w:val="20"/>
                <w:szCs w:val="20"/>
                <w:lang w:eastAsia="en-US"/>
              </w:rPr>
              <w:t>)</w:t>
            </w:r>
          </w:p>
        </w:tc>
        <w:tc>
          <w:tcPr>
            <w:tcW w:w="934" w:type="pct"/>
            <w:vAlign w:val="center"/>
          </w:tcPr>
          <w:p w:rsidR="004C7F6D" w:rsidRPr="007C62F0" w:rsidRDefault="007C62F0" w:rsidP="00405C83">
            <w:pPr>
              <w:widowControl w:val="0"/>
              <w:tabs>
                <w:tab w:val="left" w:pos="720"/>
              </w:tabs>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MTC (post 2000 trials, all RRMS); rate ratio (95% </w:t>
            </w:r>
            <w:proofErr w:type="spellStart"/>
            <w:r w:rsidRPr="006706A8">
              <w:rPr>
                <w:rFonts w:ascii="Arial Narrow" w:hAnsi="Arial Narrow" w:cs="Arial"/>
                <w:snapToGrid w:val="0"/>
                <w:sz w:val="20"/>
                <w:szCs w:val="20"/>
                <w:lang w:eastAsia="en-US"/>
              </w:rPr>
              <w:t>CrI</w:t>
            </w:r>
            <w:proofErr w:type="spellEnd"/>
            <w:r w:rsidRPr="006706A8">
              <w:rPr>
                <w:rFonts w:ascii="Arial Narrow" w:hAnsi="Arial Narrow" w:cs="Arial"/>
                <w:snapToGrid w:val="0"/>
                <w:sz w:val="20"/>
                <w:szCs w:val="20"/>
                <w:lang w:eastAsia="en-US"/>
              </w:rPr>
              <w:t>)</w:t>
            </w:r>
          </w:p>
        </w:tc>
        <w:tc>
          <w:tcPr>
            <w:tcW w:w="934" w:type="pct"/>
            <w:vAlign w:val="center"/>
          </w:tcPr>
          <w:p w:rsidR="004C7F6D" w:rsidRPr="007C62F0" w:rsidRDefault="007C62F0" w:rsidP="00405C83">
            <w:pPr>
              <w:widowControl w:val="0"/>
              <w:tabs>
                <w:tab w:val="left" w:pos="720"/>
              </w:tabs>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MTC (minimum dataset); rate ratio (95% </w:t>
            </w:r>
            <w:proofErr w:type="spellStart"/>
            <w:r w:rsidRPr="006706A8">
              <w:rPr>
                <w:rFonts w:ascii="Arial Narrow" w:hAnsi="Arial Narrow" w:cs="Arial"/>
                <w:snapToGrid w:val="0"/>
                <w:sz w:val="20"/>
                <w:szCs w:val="20"/>
                <w:lang w:eastAsia="en-US"/>
              </w:rPr>
              <w:t>CrI</w:t>
            </w:r>
            <w:proofErr w:type="spellEnd"/>
            <w:r w:rsidRPr="006706A8">
              <w:rPr>
                <w:rFonts w:ascii="Arial Narrow" w:hAnsi="Arial Narrow" w:cs="Arial"/>
                <w:snapToGrid w:val="0"/>
                <w:sz w:val="20"/>
                <w:szCs w:val="20"/>
                <w:lang w:eastAsia="en-US"/>
              </w:rPr>
              <w:t>)</w:t>
            </w:r>
          </w:p>
        </w:tc>
        <w:tc>
          <w:tcPr>
            <w:tcW w:w="934" w:type="pct"/>
            <w:vAlign w:val="center"/>
          </w:tcPr>
          <w:p w:rsidR="004C7F6D" w:rsidRPr="007C62F0" w:rsidRDefault="007C62F0" w:rsidP="00405C83">
            <w:pPr>
              <w:widowControl w:val="0"/>
              <w:tabs>
                <w:tab w:val="left" w:pos="720"/>
              </w:tabs>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Indirect analysis (via </w:t>
            </w:r>
            <w:proofErr w:type="spellStart"/>
            <w:r w:rsidRPr="006706A8">
              <w:rPr>
                <w:rFonts w:ascii="Arial Narrow" w:hAnsi="Arial Narrow" w:cs="Arial"/>
                <w:snapToGrid w:val="0"/>
                <w:sz w:val="20"/>
                <w:szCs w:val="20"/>
                <w:lang w:eastAsia="en-US"/>
              </w:rPr>
              <w:t>teriflunomide</w:t>
            </w:r>
            <w:proofErr w:type="spellEnd"/>
            <w:r w:rsidRPr="006706A8">
              <w:rPr>
                <w:rFonts w:ascii="Arial Narrow" w:hAnsi="Arial Narrow" w:cs="Arial"/>
                <w:snapToGrid w:val="0"/>
                <w:sz w:val="20"/>
                <w:szCs w:val="20"/>
                <w:lang w:eastAsia="en-US"/>
              </w:rPr>
              <w:t xml:space="preserve"> link); rate ratio (95% CI)</w:t>
            </w:r>
          </w:p>
        </w:tc>
        <w:tc>
          <w:tcPr>
            <w:tcW w:w="934" w:type="pct"/>
            <w:vAlign w:val="center"/>
          </w:tcPr>
          <w:p w:rsidR="004C7F6D" w:rsidRPr="007C62F0" w:rsidRDefault="007C62F0" w:rsidP="00405C83">
            <w:pPr>
              <w:widowControl w:val="0"/>
              <w:tabs>
                <w:tab w:val="left" w:pos="720"/>
              </w:tabs>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Indirect analysis (via IM interferon beta-1a link); rate ratio (95% CI)</w:t>
            </w:r>
          </w:p>
        </w:tc>
        <w:tc>
          <w:tcPr>
            <w:tcW w:w="934"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4C7F6D" w:rsidRPr="006706A8" w:rsidTr="00405C83">
        <w:tc>
          <w:tcPr>
            <w:tcW w:w="5000" w:type="pct"/>
            <w:gridSpan w:val="3"/>
            <w:vAlign w:val="center"/>
          </w:tcPr>
          <w:p w:rsidR="004C7F6D" w:rsidRPr="006706A8" w:rsidRDefault="004C7F6D" w:rsidP="00405C83">
            <w:pPr>
              <w:widowControl w:val="0"/>
              <w:tabs>
                <w:tab w:val="left" w:pos="720"/>
              </w:tabs>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3-month sustained disability</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MTC (all trials); hazard ratio (95% </w:t>
            </w:r>
            <w:proofErr w:type="spellStart"/>
            <w:r w:rsidRPr="006706A8">
              <w:rPr>
                <w:rFonts w:ascii="Arial Narrow" w:hAnsi="Arial Narrow" w:cs="Arial"/>
                <w:snapToGrid w:val="0"/>
                <w:sz w:val="20"/>
                <w:szCs w:val="20"/>
                <w:lang w:eastAsia="en-US"/>
              </w:rPr>
              <w:t>CrI</w:t>
            </w:r>
            <w:proofErr w:type="spellEnd"/>
            <w:r w:rsidRPr="006706A8">
              <w:rPr>
                <w:rFonts w:ascii="Arial Narrow" w:hAnsi="Arial Narrow" w:cs="Arial"/>
                <w:snapToGrid w:val="0"/>
                <w:sz w:val="20"/>
                <w:szCs w:val="20"/>
                <w:lang w:eastAsia="en-US"/>
              </w:rPr>
              <w:t>)</w:t>
            </w:r>
          </w:p>
        </w:tc>
        <w:tc>
          <w:tcPr>
            <w:tcW w:w="934"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MTC (post 2000 trials, all RRMS); hazard ratio (95% </w:t>
            </w:r>
            <w:proofErr w:type="spellStart"/>
            <w:r w:rsidRPr="006706A8">
              <w:rPr>
                <w:rFonts w:ascii="Arial Narrow" w:hAnsi="Arial Narrow" w:cs="Arial"/>
                <w:snapToGrid w:val="0"/>
                <w:sz w:val="20"/>
                <w:szCs w:val="20"/>
                <w:lang w:eastAsia="en-US"/>
              </w:rPr>
              <w:t>CrI</w:t>
            </w:r>
            <w:proofErr w:type="spellEnd"/>
            <w:r w:rsidRPr="006706A8">
              <w:rPr>
                <w:rFonts w:ascii="Arial Narrow" w:hAnsi="Arial Narrow" w:cs="Arial"/>
                <w:snapToGrid w:val="0"/>
                <w:sz w:val="20"/>
                <w:szCs w:val="20"/>
                <w:lang w:eastAsia="en-US"/>
              </w:rPr>
              <w:t>)</w:t>
            </w:r>
          </w:p>
        </w:tc>
        <w:tc>
          <w:tcPr>
            <w:tcW w:w="934"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MTC (minimum dataset); hazard ratio (95% </w:t>
            </w:r>
            <w:proofErr w:type="spellStart"/>
            <w:r w:rsidRPr="006706A8">
              <w:rPr>
                <w:rFonts w:ascii="Arial Narrow" w:hAnsi="Arial Narrow" w:cs="Arial"/>
                <w:snapToGrid w:val="0"/>
                <w:sz w:val="20"/>
                <w:szCs w:val="20"/>
                <w:lang w:eastAsia="en-US"/>
              </w:rPr>
              <w:t>CrI</w:t>
            </w:r>
            <w:proofErr w:type="spellEnd"/>
            <w:r w:rsidRPr="006706A8">
              <w:rPr>
                <w:rFonts w:ascii="Arial Narrow" w:hAnsi="Arial Narrow" w:cs="Arial"/>
                <w:snapToGrid w:val="0"/>
                <w:sz w:val="20"/>
                <w:szCs w:val="20"/>
                <w:lang w:eastAsia="en-US"/>
              </w:rPr>
              <w:t>)</w:t>
            </w:r>
          </w:p>
        </w:tc>
        <w:tc>
          <w:tcPr>
            <w:tcW w:w="934"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Indirect analysis (via </w:t>
            </w:r>
            <w:proofErr w:type="spellStart"/>
            <w:r w:rsidRPr="006706A8">
              <w:rPr>
                <w:rFonts w:ascii="Arial Narrow" w:hAnsi="Arial Narrow" w:cs="Arial"/>
                <w:snapToGrid w:val="0"/>
                <w:sz w:val="20"/>
                <w:szCs w:val="20"/>
                <w:lang w:eastAsia="en-US"/>
              </w:rPr>
              <w:t>teriflunomide</w:t>
            </w:r>
            <w:proofErr w:type="spellEnd"/>
            <w:r w:rsidRPr="006706A8">
              <w:rPr>
                <w:rFonts w:ascii="Arial Narrow" w:hAnsi="Arial Narrow" w:cs="Arial"/>
                <w:snapToGrid w:val="0"/>
                <w:sz w:val="20"/>
                <w:szCs w:val="20"/>
                <w:lang w:eastAsia="en-US"/>
              </w:rPr>
              <w:t xml:space="preserve"> link); hazard ratio (95% CI)</w:t>
            </w:r>
          </w:p>
        </w:tc>
        <w:tc>
          <w:tcPr>
            <w:tcW w:w="934"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Indirect analysis (via IM interferon beta-1a link); hazard ratio (95% CI)</w:t>
            </w:r>
          </w:p>
        </w:tc>
        <w:tc>
          <w:tcPr>
            <w:tcW w:w="934"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4C7F6D" w:rsidRPr="006706A8" w:rsidTr="00405C83">
        <w:tc>
          <w:tcPr>
            <w:tcW w:w="5000" w:type="pct"/>
            <w:gridSpan w:val="3"/>
            <w:vAlign w:val="center"/>
          </w:tcPr>
          <w:p w:rsidR="004C7F6D" w:rsidRPr="006706A8" w:rsidRDefault="004C7F6D" w:rsidP="00405C83">
            <w:pPr>
              <w:widowControl w:val="0"/>
              <w:tabs>
                <w:tab w:val="left" w:pos="720"/>
              </w:tabs>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6-month sustained disability</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MTC (all trials); hazard ratio (95% </w:t>
            </w:r>
            <w:proofErr w:type="spellStart"/>
            <w:r w:rsidRPr="006706A8">
              <w:rPr>
                <w:rFonts w:ascii="Arial Narrow" w:hAnsi="Arial Narrow" w:cs="Arial"/>
                <w:snapToGrid w:val="0"/>
                <w:sz w:val="20"/>
                <w:szCs w:val="20"/>
                <w:lang w:eastAsia="en-US"/>
              </w:rPr>
              <w:t>CrI</w:t>
            </w:r>
            <w:proofErr w:type="spellEnd"/>
            <w:r w:rsidRPr="006706A8">
              <w:rPr>
                <w:rFonts w:ascii="Arial Narrow" w:hAnsi="Arial Narrow" w:cs="Arial"/>
                <w:snapToGrid w:val="0"/>
                <w:sz w:val="20"/>
                <w:szCs w:val="20"/>
                <w:lang w:eastAsia="en-US"/>
              </w:rPr>
              <w:t>)</w:t>
            </w:r>
          </w:p>
        </w:tc>
        <w:tc>
          <w:tcPr>
            <w:tcW w:w="934"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MTC (post 2000 trials, all RRMS); hazard ratio (95% </w:t>
            </w:r>
            <w:proofErr w:type="spellStart"/>
            <w:r w:rsidRPr="006706A8">
              <w:rPr>
                <w:rFonts w:ascii="Arial Narrow" w:hAnsi="Arial Narrow" w:cs="Arial"/>
                <w:snapToGrid w:val="0"/>
                <w:sz w:val="20"/>
                <w:szCs w:val="20"/>
                <w:lang w:eastAsia="en-US"/>
              </w:rPr>
              <w:t>CrI</w:t>
            </w:r>
            <w:proofErr w:type="spellEnd"/>
            <w:r w:rsidRPr="006706A8">
              <w:rPr>
                <w:rFonts w:ascii="Arial Narrow" w:hAnsi="Arial Narrow" w:cs="Arial"/>
                <w:snapToGrid w:val="0"/>
                <w:sz w:val="20"/>
                <w:szCs w:val="20"/>
                <w:lang w:eastAsia="en-US"/>
              </w:rPr>
              <w:t>)</w:t>
            </w:r>
          </w:p>
        </w:tc>
        <w:tc>
          <w:tcPr>
            <w:tcW w:w="934"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r w:rsidR="004C7F6D" w:rsidRPr="007C62F0">
              <w:rPr>
                <w:rFonts w:ascii="Arial Narrow" w:hAnsi="Arial Narrow" w:cs="Arial"/>
                <w:snapToGrid w:val="0"/>
                <w:sz w:val="20"/>
                <w:szCs w:val="20"/>
                <w:highlight w:val="black"/>
                <w:lang w:eastAsia="en-US"/>
              </w:rPr>
              <w:t xml:space="preserve"> </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lastRenderedPageBreak/>
              <w:t xml:space="preserve">MTC (minimum dataset); hazard ratio (95% </w:t>
            </w:r>
            <w:proofErr w:type="spellStart"/>
            <w:r w:rsidRPr="006706A8">
              <w:rPr>
                <w:rFonts w:ascii="Arial Narrow" w:hAnsi="Arial Narrow" w:cs="Arial"/>
                <w:snapToGrid w:val="0"/>
                <w:sz w:val="20"/>
                <w:szCs w:val="20"/>
                <w:lang w:eastAsia="en-US"/>
              </w:rPr>
              <w:t>CrI</w:t>
            </w:r>
            <w:proofErr w:type="spellEnd"/>
            <w:r w:rsidRPr="006706A8">
              <w:rPr>
                <w:rFonts w:ascii="Arial Narrow" w:hAnsi="Arial Narrow" w:cs="Arial"/>
                <w:snapToGrid w:val="0"/>
                <w:sz w:val="20"/>
                <w:szCs w:val="20"/>
                <w:lang w:eastAsia="en-US"/>
              </w:rPr>
              <w:t>)</w:t>
            </w:r>
          </w:p>
        </w:tc>
        <w:tc>
          <w:tcPr>
            <w:tcW w:w="934"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Indirect analysis (via </w:t>
            </w:r>
            <w:proofErr w:type="spellStart"/>
            <w:r w:rsidRPr="006706A8">
              <w:rPr>
                <w:rFonts w:ascii="Arial Narrow" w:hAnsi="Arial Narrow" w:cs="Arial"/>
                <w:snapToGrid w:val="0"/>
                <w:sz w:val="20"/>
                <w:szCs w:val="20"/>
                <w:lang w:eastAsia="en-US"/>
              </w:rPr>
              <w:t>teriflunomide</w:t>
            </w:r>
            <w:proofErr w:type="spellEnd"/>
            <w:r w:rsidRPr="006706A8">
              <w:rPr>
                <w:rFonts w:ascii="Arial Narrow" w:hAnsi="Arial Narrow" w:cs="Arial"/>
                <w:snapToGrid w:val="0"/>
                <w:sz w:val="20"/>
                <w:szCs w:val="20"/>
                <w:lang w:eastAsia="en-US"/>
              </w:rPr>
              <w:t xml:space="preserve"> link); hazard ratio (95% CI)</w:t>
            </w:r>
          </w:p>
        </w:tc>
        <w:tc>
          <w:tcPr>
            <w:tcW w:w="934"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Indirect analysis (via IM interferon beta-1a link); hazard ratio (95% CI)</w:t>
            </w:r>
          </w:p>
        </w:tc>
        <w:tc>
          <w:tcPr>
            <w:tcW w:w="934" w:type="pct"/>
            <w:vAlign w:val="center"/>
          </w:tcPr>
          <w:p w:rsidR="004C7F6D" w:rsidRPr="007C62F0" w:rsidRDefault="007C62F0" w:rsidP="00405C83">
            <w:pPr>
              <w:widowControl w:val="0"/>
              <w:tabs>
                <w:tab w:val="left" w:pos="720"/>
              </w:tabs>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4C7F6D" w:rsidRPr="006706A8" w:rsidTr="00405C83">
        <w:tc>
          <w:tcPr>
            <w:tcW w:w="5000" w:type="pct"/>
            <w:gridSpan w:val="3"/>
            <w:vAlign w:val="center"/>
          </w:tcPr>
          <w:p w:rsidR="004C7F6D" w:rsidRPr="006706A8" w:rsidRDefault="004C7F6D" w:rsidP="00405C83">
            <w:pPr>
              <w:widowControl w:val="0"/>
              <w:tabs>
                <w:tab w:val="left" w:pos="720"/>
              </w:tabs>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Proportion of relapse-free patients</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MTC (all trials); odds ratio (95% </w:t>
            </w:r>
            <w:proofErr w:type="spellStart"/>
            <w:r w:rsidRPr="006706A8">
              <w:rPr>
                <w:rFonts w:ascii="Arial Narrow" w:hAnsi="Arial Narrow" w:cs="Arial"/>
                <w:snapToGrid w:val="0"/>
                <w:sz w:val="20"/>
                <w:szCs w:val="20"/>
                <w:lang w:eastAsia="en-US"/>
              </w:rPr>
              <w:t>CrI</w:t>
            </w:r>
            <w:proofErr w:type="spellEnd"/>
            <w:r w:rsidRPr="006706A8">
              <w:rPr>
                <w:rFonts w:ascii="Arial Narrow" w:hAnsi="Arial Narrow" w:cs="Arial"/>
                <w:snapToGrid w:val="0"/>
                <w:sz w:val="20"/>
                <w:szCs w:val="20"/>
                <w:lang w:eastAsia="en-US"/>
              </w:rPr>
              <w:t>)</w:t>
            </w:r>
          </w:p>
        </w:tc>
        <w:tc>
          <w:tcPr>
            <w:tcW w:w="934" w:type="pct"/>
            <w:vAlign w:val="center"/>
          </w:tcPr>
          <w:p w:rsidR="004C7F6D" w:rsidRPr="007C62F0" w:rsidRDefault="007C62F0" w:rsidP="00405C83">
            <w:pPr>
              <w:widowControl w:val="0"/>
              <w:tabs>
                <w:tab w:val="left" w:pos="720"/>
              </w:tabs>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c>
          <w:tcPr>
            <w:tcW w:w="925" w:type="pct"/>
            <w:vAlign w:val="center"/>
          </w:tcPr>
          <w:p w:rsidR="004C7F6D" w:rsidRPr="007C62F0" w:rsidRDefault="007C62F0" w:rsidP="00405C83">
            <w:pPr>
              <w:widowControl w:val="0"/>
              <w:tabs>
                <w:tab w:val="left" w:pos="720"/>
              </w:tabs>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MTC (post 2000 trials, all RRMS); odds ratio (95% </w:t>
            </w:r>
            <w:proofErr w:type="spellStart"/>
            <w:r w:rsidRPr="006706A8">
              <w:rPr>
                <w:rFonts w:ascii="Arial Narrow" w:hAnsi="Arial Narrow" w:cs="Arial"/>
                <w:snapToGrid w:val="0"/>
                <w:sz w:val="20"/>
                <w:szCs w:val="20"/>
                <w:lang w:eastAsia="en-US"/>
              </w:rPr>
              <w:t>CrI</w:t>
            </w:r>
            <w:proofErr w:type="spellEnd"/>
            <w:r w:rsidRPr="006706A8">
              <w:rPr>
                <w:rFonts w:ascii="Arial Narrow" w:hAnsi="Arial Narrow" w:cs="Arial"/>
                <w:snapToGrid w:val="0"/>
                <w:sz w:val="20"/>
                <w:szCs w:val="20"/>
                <w:lang w:eastAsia="en-US"/>
              </w:rPr>
              <w:t>)</w:t>
            </w:r>
          </w:p>
        </w:tc>
        <w:tc>
          <w:tcPr>
            <w:tcW w:w="934" w:type="pct"/>
            <w:vAlign w:val="center"/>
          </w:tcPr>
          <w:p w:rsidR="004C7F6D" w:rsidRPr="007C62F0" w:rsidRDefault="007C62F0" w:rsidP="00405C83">
            <w:pPr>
              <w:widowControl w:val="0"/>
              <w:tabs>
                <w:tab w:val="left" w:pos="720"/>
              </w:tabs>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r w:rsidR="004C7F6D" w:rsidRPr="007C62F0">
              <w:rPr>
                <w:rFonts w:ascii="Arial Narrow" w:hAnsi="Arial Narrow" w:cs="Arial"/>
                <w:b/>
                <w:snapToGrid w:val="0"/>
                <w:sz w:val="20"/>
                <w:szCs w:val="20"/>
                <w:highlight w:val="black"/>
                <w:lang w:eastAsia="en-US"/>
              </w:rPr>
              <w:t xml:space="preserve"> </w:t>
            </w:r>
          </w:p>
        </w:tc>
        <w:tc>
          <w:tcPr>
            <w:tcW w:w="925" w:type="pct"/>
            <w:vAlign w:val="center"/>
          </w:tcPr>
          <w:p w:rsidR="004C7F6D" w:rsidRPr="007C62F0" w:rsidRDefault="007C62F0" w:rsidP="00405C83">
            <w:pPr>
              <w:widowControl w:val="0"/>
              <w:tabs>
                <w:tab w:val="left" w:pos="720"/>
              </w:tabs>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MTC (minimum dataset); odds ratio (95% </w:t>
            </w:r>
            <w:proofErr w:type="spellStart"/>
            <w:r w:rsidRPr="006706A8">
              <w:rPr>
                <w:rFonts w:ascii="Arial Narrow" w:hAnsi="Arial Narrow" w:cs="Arial"/>
                <w:snapToGrid w:val="0"/>
                <w:sz w:val="20"/>
                <w:szCs w:val="20"/>
                <w:lang w:eastAsia="en-US"/>
              </w:rPr>
              <w:t>CrI</w:t>
            </w:r>
            <w:proofErr w:type="spellEnd"/>
            <w:r w:rsidRPr="006706A8">
              <w:rPr>
                <w:rFonts w:ascii="Arial Narrow" w:hAnsi="Arial Narrow" w:cs="Arial"/>
                <w:snapToGrid w:val="0"/>
                <w:sz w:val="20"/>
                <w:szCs w:val="20"/>
                <w:lang w:eastAsia="en-US"/>
              </w:rPr>
              <w:t>)</w:t>
            </w:r>
          </w:p>
        </w:tc>
        <w:tc>
          <w:tcPr>
            <w:tcW w:w="934"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25" w:type="pct"/>
            <w:vAlign w:val="center"/>
          </w:tcPr>
          <w:p w:rsidR="004C7F6D" w:rsidRPr="007C62F0" w:rsidRDefault="007C62F0" w:rsidP="00405C83">
            <w:pPr>
              <w:widowControl w:val="0"/>
              <w:tabs>
                <w:tab w:val="left" w:pos="720"/>
              </w:tabs>
              <w:jc w:val="center"/>
              <w:rPr>
                <w:rFonts w:ascii="Arial Narrow" w:hAnsi="Arial Narrow" w:cs="Arial"/>
                <w:i/>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Indirect analysis (via </w:t>
            </w:r>
            <w:proofErr w:type="spellStart"/>
            <w:r w:rsidRPr="006706A8">
              <w:rPr>
                <w:rFonts w:ascii="Arial Narrow" w:hAnsi="Arial Narrow" w:cs="Arial"/>
                <w:snapToGrid w:val="0"/>
                <w:sz w:val="20"/>
                <w:szCs w:val="20"/>
                <w:lang w:eastAsia="en-US"/>
              </w:rPr>
              <w:t>teriflunomide</w:t>
            </w:r>
            <w:proofErr w:type="spellEnd"/>
            <w:r w:rsidRPr="006706A8">
              <w:rPr>
                <w:rFonts w:ascii="Arial Narrow" w:hAnsi="Arial Narrow" w:cs="Arial"/>
                <w:snapToGrid w:val="0"/>
                <w:sz w:val="20"/>
                <w:szCs w:val="20"/>
                <w:lang w:eastAsia="en-US"/>
              </w:rPr>
              <w:t xml:space="preserve"> link); odds ratio (95% CI)</w:t>
            </w:r>
          </w:p>
        </w:tc>
        <w:tc>
          <w:tcPr>
            <w:tcW w:w="934"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4C7F6D" w:rsidRPr="006706A8" w:rsidTr="00BC1CB5">
        <w:tc>
          <w:tcPr>
            <w:tcW w:w="3141" w:type="pct"/>
            <w:vAlign w:val="center"/>
          </w:tcPr>
          <w:p w:rsidR="004C7F6D" w:rsidRPr="006706A8" w:rsidRDefault="004C7F6D" w:rsidP="00405C83">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Indirect analysis (via IM interferon beta-1a link); odds ratio (95% CI)</w:t>
            </w:r>
          </w:p>
        </w:tc>
        <w:tc>
          <w:tcPr>
            <w:tcW w:w="934"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25" w:type="pct"/>
            <w:vAlign w:val="center"/>
          </w:tcPr>
          <w:p w:rsidR="004C7F6D" w:rsidRPr="007C62F0" w:rsidRDefault="007C62F0" w:rsidP="00405C83">
            <w:pPr>
              <w:widowControl w:val="0"/>
              <w:tabs>
                <w:tab w:val="left" w:pos="720"/>
              </w:tab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bl>
    <w:p w:rsidR="004C7F6D" w:rsidRPr="006706A8" w:rsidRDefault="004C7F6D" w:rsidP="00DA2161">
      <w:pPr>
        <w:widowControl w:val="0"/>
        <w:ind w:left="720"/>
        <w:jc w:val="both"/>
        <w:rPr>
          <w:rFonts w:ascii="Arial Narrow" w:hAnsi="Arial Narrow" w:cs="Arial"/>
          <w:snapToGrid w:val="0"/>
          <w:sz w:val="18"/>
          <w:szCs w:val="20"/>
          <w:lang w:eastAsia="en-US"/>
        </w:rPr>
      </w:pPr>
      <w:r w:rsidRPr="006706A8">
        <w:rPr>
          <w:rFonts w:ascii="Arial Narrow" w:hAnsi="Arial Narrow" w:cs="Arial"/>
          <w:snapToGrid w:val="0"/>
          <w:sz w:val="18"/>
          <w:szCs w:val="20"/>
          <w:lang w:eastAsia="en-US"/>
        </w:rPr>
        <w:t xml:space="preserve">Abbreviations: CI, confidence interval; </w:t>
      </w:r>
      <w:proofErr w:type="spellStart"/>
      <w:r w:rsidRPr="006706A8">
        <w:rPr>
          <w:rFonts w:ascii="Arial Narrow" w:hAnsi="Arial Narrow" w:cs="Arial"/>
          <w:snapToGrid w:val="0"/>
          <w:sz w:val="18"/>
          <w:szCs w:val="20"/>
          <w:lang w:eastAsia="en-US"/>
        </w:rPr>
        <w:t>CrI</w:t>
      </w:r>
      <w:proofErr w:type="spellEnd"/>
      <w:r w:rsidRPr="006706A8">
        <w:rPr>
          <w:rFonts w:ascii="Arial Narrow" w:hAnsi="Arial Narrow" w:cs="Arial"/>
          <w:snapToGrid w:val="0"/>
          <w:sz w:val="18"/>
          <w:szCs w:val="20"/>
          <w:lang w:eastAsia="en-US"/>
        </w:rPr>
        <w:t>, credible interval; IM, intramuscular; MTC, mixed treatment comparison; RRMS, relapsing-remitting multiple sclerosis</w:t>
      </w:r>
    </w:p>
    <w:p w:rsidR="004C7F6D" w:rsidRPr="006706A8" w:rsidRDefault="004C7F6D" w:rsidP="008A1F25">
      <w:pPr>
        <w:jc w:val="both"/>
        <w:rPr>
          <w:rFonts w:ascii="Arial" w:hAnsi="Arial"/>
          <w:sz w:val="22"/>
          <w:szCs w:val="22"/>
        </w:rPr>
      </w:pPr>
    </w:p>
    <w:p w:rsidR="004C7F6D" w:rsidRPr="006706A8" w:rsidRDefault="004C7F6D" w:rsidP="0003025B">
      <w:pPr>
        <w:pStyle w:val="ListParagraph"/>
        <w:numPr>
          <w:ilvl w:val="1"/>
          <w:numId w:val="25"/>
        </w:numPr>
        <w:jc w:val="both"/>
        <w:rPr>
          <w:rFonts w:ascii="Arial" w:hAnsi="Arial"/>
          <w:sz w:val="22"/>
          <w:szCs w:val="22"/>
        </w:rPr>
      </w:pPr>
      <w:r w:rsidRPr="006706A8">
        <w:rPr>
          <w:rFonts w:ascii="Arial" w:hAnsi="Arial"/>
          <w:sz w:val="22"/>
          <w:szCs w:val="22"/>
        </w:rPr>
        <w:t xml:space="preserve">The submission claims that </w:t>
      </w:r>
      <w:proofErr w:type="spellStart"/>
      <w:r w:rsidRPr="006706A8">
        <w:rPr>
          <w:rFonts w:ascii="Arial" w:hAnsi="Arial"/>
          <w:sz w:val="22"/>
          <w:szCs w:val="22"/>
        </w:rPr>
        <w:t>alemtuzumab</w:t>
      </w:r>
      <w:proofErr w:type="spellEnd"/>
      <w:r w:rsidRPr="006706A8">
        <w:rPr>
          <w:rFonts w:ascii="Arial" w:hAnsi="Arial"/>
          <w:sz w:val="22"/>
          <w:szCs w:val="22"/>
        </w:rPr>
        <w:t xml:space="preserve"> is superior to </w:t>
      </w:r>
      <w:proofErr w:type="spellStart"/>
      <w:r w:rsidRPr="006706A8">
        <w:rPr>
          <w:rFonts w:ascii="Arial" w:hAnsi="Arial"/>
          <w:sz w:val="22"/>
          <w:szCs w:val="22"/>
        </w:rPr>
        <w:t>fingolimod</w:t>
      </w:r>
      <w:proofErr w:type="spellEnd"/>
      <w:r w:rsidRPr="006706A8">
        <w:rPr>
          <w:rFonts w:ascii="Arial" w:hAnsi="Arial"/>
          <w:sz w:val="22"/>
          <w:szCs w:val="22"/>
        </w:rPr>
        <w:t xml:space="preserve"> and non-inferior compared to </w:t>
      </w:r>
      <w:proofErr w:type="spellStart"/>
      <w:r w:rsidRPr="006706A8">
        <w:rPr>
          <w:rFonts w:ascii="Arial" w:hAnsi="Arial"/>
          <w:sz w:val="22"/>
          <w:szCs w:val="22"/>
        </w:rPr>
        <w:t>natalizumab</w:t>
      </w:r>
      <w:proofErr w:type="spellEnd"/>
      <w:r w:rsidRPr="006706A8">
        <w:rPr>
          <w:rFonts w:ascii="Arial" w:hAnsi="Arial"/>
          <w:sz w:val="22"/>
          <w:szCs w:val="22"/>
        </w:rPr>
        <w:t xml:space="preserve"> in terms of efficacy based on these indirect comparisons.</w:t>
      </w:r>
    </w:p>
    <w:p w:rsidR="004C7F6D" w:rsidRPr="006706A8" w:rsidRDefault="004C7F6D" w:rsidP="00343451">
      <w:pPr>
        <w:rPr>
          <w:rFonts w:ascii="Arial" w:hAnsi="Arial"/>
          <w:sz w:val="22"/>
          <w:szCs w:val="22"/>
        </w:rPr>
      </w:pPr>
    </w:p>
    <w:p w:rsidR="004C7F6D" w:rsidRPr="006706A8" w:rsidRDefault="004C7F6D" w:rsidP="00CE4E78">
      <w:pPr>
        <w:pStyle w:val="ListParagraph"/>
        <w:numPr>
          <w:ilvl w:val="1"/>
          <w:numId w:val="25"/>
        </w:numPr>
        <w:jc w:val="both"/>
        <w:rPr>
          <w:rFonts w:ascii="Arial" w:hAnsi="Arial"/>
          <w:sz w:val="22"/>
          <w:szCs w:val="22"/>
        </w:rPr>
      </w:pPr>
      <w:r w:rsidRPr="006706A8">
        <w:rPr>
          <w:rFonts w:ascii="Arial" w:hAnsi="Arial"/>
          <w:sz w:val="22"/>
          <w:szCs w:val="22"/>
        </w:rPr>
        <w:t xml:space="preserve">The submission does not present any comparative assessment of durability of effect between </w:t>
      </w:r>
      <w:proofErr w:type="spellStart"/>
      <w:r w:rsidRPr="006706A8">
        <w:rPr>
          <w:rFonts w:ascii="Arial" w:hAnsi="Arial"/>
          <w:sz w:val="22"/>
          <w:szCs w:val="22"/>
        </w:rPr>
        <w:t>alemtuzumab</w:t>
      </w:r>
      <w:proofErr w:type="spellEnd"/>
      <w:r w:rsidRPr="006706A8">
        <w:rPr>
          <w:rFonts w:ascii="Arial" w:hAnsi="Arial"/>
          <w:sz w:val="22"/>
          <w:szCs w:val="22"/>
        </w:rPr>
        <w:t xml:space="preserve">, </w:t>
      </w:r>
      <w:proofErr w:type="spellStart"/>
      <w:r w:rsidRPr="006706A8">
        <w:rPr>
          <w:rFonts w:ascii="Arial" w:hAnsi="Arial"/>
          <w:sz w:val="22"/>
          <w:szCs w:val="22"/>
        </w:rPr>
        <w:t>natalizumab</w:t>
      </w:r>
      <w:proofErr w:type="spellEnd"/>
      <w:r w:rsidRPr="006706A8">
        <w:rPr>
          <w:rFonts w:ascii="Arial" w:hAnsi="Arial"/>
          <w:sz w:val="22"/>
          <w:szCs w:val="22"/>
        </w:rPr>
        <w:t xml:space="preserve"> and </w:t>
      </w:r>
      <w:proofErr w:type="spellStart"/>
      <w:r w:rsidRPr="006706A8">
        <w:rPr>
          <w:rFonts w:ascii="Arial" w:hAnsi="Arial"/>
          <w:sz w:val="22"/>
          <w:szCs w:val="22"/>
        </w:rPr>
        <w:t>fingolimod</w:t>
      </w:r>
      <w:proofErr w:type="spellEnd"/>
      <w:r w:rsidRPr="006706A8">
        <w:rPr>
          <w:rFonts w:ascii="Arial" w:hAnsi="Arial"/>
          <w:sz w:val="22"/>
          <w:szCs w:val="22"/>
        </w:rPr>
        <w:t xml:space="preserve">. The submission assumes that effects of </w:t>
      </w:r>
      <w:proofErr w:type="spellStart"/>
      <w:r w:rsidRPr="006706A8">
        <w:rPr>
          <w:rFonts w:ascii="Arial" w:hAnsi="Arial"/>
          <w:sz w:val="22"/>
          <w:szCs w:val="22"/>
        </w:rPr>
        <w:t>alemtuzumab</w:t>
      </w:r>
      <w:proofErr w:type="spellEnd"/>
      <w:r w:rsidRPr="006706A8">
        <w:rPr>
          <w:rFonts w:ascii="Arial" w:hAnsi="Arial"/>
          <w:sz w:val="22"/>
          <w:szCs w:val="22"/>
        </w:rPr>
        <w:t xml:space="preserve"> will persist after treatment using time until re-treatment as a proxy for durability of effect (average durability of effect, </w:t>
      </w:r>
      <w:r w:rsidR="007C62F0">
        <w:rPr>
          <w:rFonts w:ascii="Arial" w:hAnsi="Arial"/>
          <w:noProof/>
          <w:color w:val="000000"/>
          <w:sz w:val="22"/>
          <w:szCs w:val="22"/>
          <w:highlight w:val="black"/>
        </w:rPr>
        <w:t>'''''''''''''</w:t>
      </w:r>
      <w:r w:rsidRPr="006706A8">
        <w:rPr>
          <w:rFonts w:ascii="Arial" w:hAnsi="Arial"/>
          <w:sz w:val="22"/>
          <w:szCs w:val="22"/>
        </w:rPr>
        <w:t xml:space="preserve"> years from first treatment</w:t>
      </w:r>
      <w:r w:rsidR="00CE4E78">
        <w:rPr>
          <w:rFonts w:ascii="Arial" w:hAnsi="Arial"/>
          <w:sz w:val="22"/>
          <w:szCs w:val="22"/>
        </w:rPr>
        <w:t>, b</w:t>
      </w:r>
      <w:r w:rsidR="00CE4E78" w:rsidRPr="00CE4E78">
        <w:rPr>
          <w:rFonts w:ascii="Arial" w:hAnsi="Arial"/>
          <w:sz w:val="22"/>
          <w:szCs w:val="22"/>
        </w:rPr>
        <w:t xml:space="preserve">ased on preliminary analysis of </w:t>
      </w:r>
      <w:proofErr w:type="spellStart"/>
      <w:r w:rsidR="00CE4E78" w:rsidRPr="00CE4E78">
        <w:rPr>
          <w:rFonts w:ascii="Arial" w:hAnsi="Arial"/>
          <w:sz w:val="22"/>
          <w:szCs w:val="22"/>
        </w:rPr>
        <w:t>alemtuzumab</w:t>
      </w:r>
      <w:proofErr w:type="spellEnd"/>
      <w:r w:rsidR="00CE4E78" w:rsidRPr="00CE4E78">
        <w:rPr>
          <w:rFonts w:ascii="Arial" w:hAnsi="Arial"/>
          <w:sz w:val="22"/>
          <w:szCs w:val="22"/>
        </w:rPr>
        <w:t xml:space="preserve"> re-treatment rates reported in the CARE MS-I/MS-II extension study</w:t>
      </w:r>
      <w:r w:rsidR="00CE4E78">
        <w:rPr>
          <w:rFonts w:ascii="Arial" w:hAnsi="Arial"/>
          <w:sz w:val="22"/>
          <w:szCs w:val="22"/>
        </w:rPr>
        <w:t xml:space="preserve"> and the assumption that </w:t>
      </w:r>
      <w:r w:rsidR="00CE4E78" w:rsidRPr="00CE4E78">
        <w:rPr>
          <w:rFonts w:ascii="Arial" w:hAnsi="Arial"/>
          <w:sz w:val="22"/>
          <w:szCs w:val="22"/>
        </w:rPr>
        <w:t xml:space="preserve">re-treatments indicate loss of effect in </w:t>
      </w:r>
      <w:r w:rsidR="00CE4E78">
        <w:rPr>
          <w:rFonts w:ascii="Arial" w:hAnsi="Arial"/>
          <w:sz w:val="22"/>
          <w:szCs w:val="22"/>
        </w:rPr>
        <w:t xml:space="preserve">the </w:t>
      </w:r>
      <w:r w:rsidR="00CE4E78" w:rsidRPr="00CE4E78">
        <w:rPr>
          <w:rFonts w:ascii="Arial" w:hAnsi="Arial"/>
          <w:sz w:val="22"/>
          <w:szCs w:val="22"/>
        </w:rPr>
        <w:t>prior year</w:t>
      </w:r>
      <w:r w:rsidRPr="006706A8">
        <w:rPr>
          <w:rFonts w:ascii="Arial" w:hAnsi="Arial"/>
          <w:sz w:val="22"/>
          <w:szCs w:val="22"/>
        </w:rPr>
        <w:t xml:space="preserve">). Re-treatment rates may not be an adequate proxy for durability of effect as they do not account for patients switching to other therapies and patients lost to follow-up. The approach used by the submission does not account for any waning of effects before re-treatment. The submission notes that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are ongoing therapies and therefore assumes that treatment effects will cease when therapy is stopped.</w:t>
      </w:r>
    </w:p>
    <w:p w:rsidR="004C7F6D" w:rsidRPr="006706A8" w:rsidRDefault="004C7F6D" w:rsidP="00882085">
      <w:pPr>
        <w:jc w:val="both"/>
        <w:rPr>
          <w:rFonts w:ascii="Arial" w:hAnsi="Arial"/>
          <w:sz w:val="22"/>
          <w:szCs w:val="22"/>
        </w:rPr>
      </w:pPr>
    </w:p>
    <w:p w:rsidR="004C7F6D" w:rsidRPr="006706A8" w:rsidRDefault="004C7F6D" w:rsidP="00BB7EC3">
      <w:pPr>
        <w:pStyle w:val="ListParagraph"/>
        <w:ind w:left="709"/>
        <w:jc w:val="both"/>
        <w:rPr>
          <w:rFonts w:ascii="Arial" w:hAnsi="Arial"/>
          <w:i/>
          <w:sz w:val="22"/>
          <w:szCs w:val="22"/>
        </w:rPr>
      </w:pPr>
      <w:r w:rsidRPr="006706A8">
        <w:rPr>
          <w:rFonts w:ascii="Arial" w:hAnsi="Arial"/>
          <w:i/>
          <w:sz w:val="22"/>
          <w:szCs w:val="22"/>
        </w:rPr>
        <w:t>For more detail on PBAC’s view, see “clinical claim” and section 7 “PBAC outcome”</w:t>
      </w:r>
    </w:p>
    <w:p w:rsidR="004C7F6D" w:rsidRPr="006706A8" w:rsidRDefault="004C7F6D" w:rsidP="008A1F25">
      <w:pPr>
        <w:jc w:val="both"/>
        <w:rPr>
          <w:rFonts w:ascii="Arial" w:hAnsi="Arial"/>
          <w:sz w:val="22"/>
          <w:szCs w:val="22"/>
        </w:rPr>
      </w:pPr>
    </w:p>
    <w:p w:rsidR="004C7F6D" w:rsidRPr="006706A8" w:rsidRDefault="004C7F6D" w:rsidP="00882085">
      <w:pPr>
        <w:jc w:val="both"/>
        <w:rPr>
          <w:rFonts w:ascii="Arial" w:hAnsi="Arial"/>
          <w:b/>
          <w:i/>
          <w:sz w:val="22"/>
          <w:szCs w:val="22"/>
        </w:rPr>
      </w:pPr>
      <w:r w:rsidRPr="006706A8">
        <w:rPr>
          <w:rFonts w:ascii="Arial" w:hAnsi="Arial"/>
          <w:b/>
          <w:i/>
          <w:sz w:val="22"/>
          <w:szCs w:val="22"/>
        </w:rPr>
        <w:t>Comparative harms</w:t>
      </w:r>
    </w:p>
    <w:p w:rsidR="004C7F6D" w:rsidRPr="006706A8" w:rsidRDefault="004C7F6D" w:rsidP="00882085">
      <w:pPr>
        <w:ind w:left="720" w:hanging="720"/>
        <w:jc w:val="both"/>
        <w:rPr>
          <w:rFonts w:ascii="Arial" w:hAnsi="Arial"/>
          <w:sz w:val="22"/>
          <w:szCs w:val="22"/>
        </w:rPr>
      </w:pPr>
    </w:p>
    <w:p w:rsidR="004C7F6D" w:rsidRPr="006706A8" w:rsidRDefault="004C7F6D" w:rsidP="00842A6F">
      <w:pPr>
        <w:pStyle w:val="ListParagraph"/>
        <w:numPr>
          <w:ilvl w:val="1"/>
          <w:numId w:val="25"/>
        </w:numPr>
        <w:jc w:val="both"/>
        <w:rPr>
          <w:rFonts w:ascii="Arial" w:hAnsi="Arial"/>
          <w:sz w:val="22"/>
          <w:szCs w:val="22"/>
        </w:rPr>
      </w:pPr>
      <w:r w:rsidRPr="006706A8">
        <w:rPr>
          <w:rFonts w:ascii="Arial" w:hAnsi="Arial"/>
          <w:sz w:val="22"/>
          <w:szCs w:val="22"/>
        </w:rPr>
        <w:t xml:space="preserve">Treatment with </w:t>
      </w:r>
      <w:proofErr w:type="spellStart"/>
      <w:r w:rsidRPr="006706A8">
        <w:rPr>
          <w:rFonts w:ascii="Arial" w:hAnsi="Arial"/>
          <w:sz w:val="22"/>
          <w:szCs w:val="22"/>
        </w:rPr>
        <w:t>alemtuzumab</w:t>
      </w:r>
      <w:proofErr w:type="spellEnd"/>
      <w:r w:rsidRPr="006706A8">
        <w:rPr>
          <w:rFonts w:ascii="Arial" w:hAnsi="Arial"/>
          <w:sz w:val="22"/>
          <w:szCs w:val="22"/>
        </w:rPr>
        <w:t xml:space="preserve"> was associated with a higher rate of adverse events and treatment-related adverse events compared to interferon beta-1a in the clinical trials. Infusion-related reactions (rash, headache, nausea, pyrexia, urticarial, pruritus, insomnia and chills), infections (</w:t>
      </w:r>
      <w:proofErr w:type="spellStart"/>
      <w:r w:rsidRPr="006706A8">
        <w:rPr>
          <w:rFonts w:ascii="Arial" w:hAnsi="Arial"/>
          <w:sz w:val="22"/>
          <w:szCs w:val="22"/>
        </w:rPr>
        <w:t>nasopharyngitis</w:t>
      </w:r>
      <w:proofErr w:type="spellEnd"/>
      <w:r w:rsidRPr="006706A8">
        <w:rPr>
          <w:rFonts w:ascii="Arial" w:hAnsi="Arial"/>
          <w:sz w:val="22"/>
          <w:szCs w:val="22"/>
        </w:rPr>
        <w:t xml:space="preserve">, urinary tract infection, upper respiratory tract infection, sinusitis, influenza, oral herpes, bronchitis and herpes zoster) and autoimmune disease (particularly thyroid disorders) were commonly reported with </w:t>
      </w:r>
      <w:proofErr w:type="spellStart"/>
      <w:r w:rsidRPr="006706A8">
        <w:rPr>
          <w:rFonts w:ascii="Arial" w:hAnsi="Arial"/>
          <w:sz w:val="22"/>
          <w:szCs w:val="22"/>
        </w:rPr>
        <w:t>alemtuzumab</w:t>
      </w:r>
      <w:proofErr w:type="spellEnd"/>
      <w:r w:rsidRPr="006706A8">
        <w:rPr>
          <w:rFonts w:ascii="Arial" w:hAnsi="Arial"/>
          <w:sz w:val="22"/>
          <w:szCs w:val="22"/>
        </w:rPr>
        <w:t xml:space="preserve"> treatment. Based on data from the CAMMS223 study approximately 15-20% of all treated patients required surgery and/or long-term medical treatment to manage thyroid adverse events.</w:t>
      </w:r>
    </w:p>
    <w:p w:rsidR="004C7F6D" w:rsidRPr="006706A8" w:rsidRDefault="004C7F6D" w:rsidP="00842A6F">
      <w:pPr>
        <w:jc w:val="both"/>
        <w:rPr>
          <w:rFonts w:ascii="Arial" w:hAnsi="Arial"/>
          <w:sz w:val="22"/>
          <w:szCs w:val="22"/>
        </w:rPr>
      </w:pPr>
    </w:p>
    <w:p w:rsidR="004C7F6D" w:rsidRPr="006706A8" w:rsidRDefault="004C7F6D" w:rsidP="00842A6F">
      <w:pPr>
        <w:pStyle w:val="ListParagraph"/>
        <w:numPr>
          <w:ilvl w:val="1"/>
          <w:numId w:val="25"/>
        </w:numPr>
        <w:jc w:val="both"/>
        <w:rPr>
          <w:rFonts w:ascii="Arial" w:hAnsi="Arial"/>
          <w:sz w:val="22"/>
          <w:szCs w:val="22"/>
        </w:rPr>
      </w:pPr>
      <w:proofErr w:type="spellStart"/>
      <w:r w:rsidRPr="006706A8">
        <w:rPr>
          <w:rFonts w:ascii="Arial" w:hAnsi="Arial"/>
          <w:sz w:val="22"/>
          <w:szCs w:val="22"/>
        </w:rPr>
        <w:t>Alemtuzumab</w:t>
      </w:r>
      <w:proofErr w:type="spellEnd"/>
      <w:r w:rsidRPr="006706A8">
        <w:rPr>
          <w:rFonts w:ascii="Arial" w:hAnsi="Arial"/>
          <w:sz w:val="22"/>
          <w:szCs w:val="22"/>
        </w:rPr>
        <w:t xml:space="preserve"> requires ongoing monitoring (full blood counts, serum creatinine levels, urinalysis, thyroid function tests, pap smears) at periodic intervals for 48 months following the last treatment course of treatment. It is unclear whether patients will remain fully compliant with an extensive monitoring program up to 4 years after their last treatment. </w:t>
      </w:r>
      <w:r w:rsidRPr="006706A8">
        <w:rPr>
          <w:rFonts w:ascii="Arial" w:hAnsi="Arial" w:cs="Arial"/>
          <w:sz w:val="22"/>
          <w:szCs w:val="22"/>
        </w:rPr>
        <w:t xml:space="preserve">The submission assumes that all ongoing monitoring costs associated with </w:t>
      </w:r>
      <w:proofErr w:type="spellStart"/>
      <w:r w:rsidRPr="006706A8">
        <w:rPr>
          <w:rFonts w:ascii="Arial" w:hAnsi="Arial" w:cs="Arial"/>
          <w:sz w:val="22"/>
          <w:szCs w:val="22"/>
        </w:rPr>
        <w:t>alemtuzumab</w:t>
      </w:r>
      <w:proofErr w:type="spellEnd"/>
      <w:r w:rsidRPr="006706A8">
        <w:rPr>
          <w:rFonts w:ascii="Arial" w:hAnsi="Arial" w:cs="Arial"/>
          <w:sz w:val="22"/>
          <w:szCs w:val="22"/>
        </w:rPr>
        <w:t xml:space="preserve"> treatment will be covered by a private arrangement between the sponsor and a pathology provider (</w:t>
      </w:r>
      <w:r w:rsidR="007C62F0">
        <w:rPr>
          <w:rFonts w:ascii="Arial" w:hAnsi="Arial" w:cs="Arial"/>
          <w:noProof/>
          <w:color w:val="000000"/>
          <w:sz w:val="22"/>
          <w:szCs w:val="22"/>
          <w:highlight w:val="black"/>
        </w:rPr>
        <w:t>''''''''''''' '''''''''''''''''''''''''''</w:t>
      </w:r>
      <w:r w:rsidRPr="006706A8">
        <w:rPr>
          <w:rFonts w:ascii="Arial" w:hAnsi="Arial" w:cs="Arial"/>
          <w:sz w:val="22"/>
          <w:szCs w:val="22"/>
        </w:rPr>
        <w:t>).</w:t>
      </w:r>
    </w:p>
    <w:p w:rsidR="004C7F6D" w:rsidRPr="006706A8" w:rsidRDefault="004C7F6D" w:rsidP="00842A6F">
      <w:pPr>
        <w:jc w:val="both"/>
        <w:rPr>
          <w:rFonts w:ascii="Arial" w:hAnsi="Arial"/>
          <w:sz w:val="22"/>
          <w:szCs w:val="22"/>
        </w:rPr>
      </w:pPr>
    </w:p>
    <w:p w:rsidR="004C7F6D" w:rsidRPr="006706A8" w:rsidRDefault="004C7F6D" w:rsidP="0003025B">
      <w:pPr>
        <w:pStyle w:val="ListParagraph"/>
        <w:numPr>
          <w:ilvl w:val="1"/>
          <w:numId w:val="25"/>
        </w:numPr>
        <w:jc w:val="both"/>
        <w:rPr>
          <w:rFonts w:ascii="Arial" w:hAnsi="Arial"/>
          <w:sz w:val="22"/>
          <w:szCs w:val="22"/>
        </w:rPr>
      </w:pPr>
      <w:r w:rsidRPr="006706A8">
        <w:rPr>
          <w:rFonts w:ascii="Arial" w:hAnsi="Arial"/>
          <w:sz w:val="22"/>
          <w:szCs w:val="22"/>
        </w:rPr>
        <w:t xml:space="preserve">The ESC noted that </w:t>
      </w:r>
      <w:proofErr w:type="spellStart"/>
      <w:r w:rsidRPr="006706A8">
        <w:rPr>
          <w:rFonts w:ascii="Arial" w:hAnsi="Arial"/>
          <w:sz w:val="22"/>
          <w:szCs w:val="22"/>
        </w:rPr>
        <w:t>alemtuzumab</w:t>
      </w:r>
      <w:proofErr w:type="spellEnd"/>
      <w:r w:rsidRPr="006706A8">
        <w:rPr>
          <w:rFonts w:ascii="Arial" w:hAnsi="Arial"/>
          <w:sz w:val="22"/>
          <w:szCs w:val="22"/>
        </w:rPr>
        <w:t xml:space="preserve"> had previously been available for the treatment of chronic lymphocytic leukaemia. The ESC considered that this experience of clinical use of </w:t>
      </w:r>
      <w:proofErr w:type="spellStart"/>
      <w:r w:rsidRPr="006706A8">
        <w:rPr>
          <w:rFonts w:ascii="Arial" w:hAnsi="Arial"/>
          <w:sz w:val="22"/>
          <w:szCs w:val="22"/>
        </w:rPr>
        <w:t>alemtuzumab</w:t>
      </w:r>
      <w:proofErr w:type="spellEnd"/>
      <w:r w:rsidRPr="006706A8">
        <w:rPr>
          <w:rFonts w:ascii="Arial" w:hAnsi="Arial"/>
          <w:sz w:val="22"/>
          <w:szCs w:val="22"/>
        </w:rPr>
        <w:t xml:space="preserve"> may provide additional information about the safety of the product. The ESC noted that adverse events reported with higher dose </w:t>
      </w:r>
      <w:proofErr w:type="spellStart"/>
      <w:r w:rsidRPr="006706A8">
        <w:rPr>
          <w:rFonts w:ascii="Arial" w:hAnsi="Arial"/>
          <w:sz w:val="22"/>
          <w:szCs w:val="22"/>
        </w:rPr>
        <w:t>alemtuzumab</w:t>
      </w:r>
      <w:proofErr w:type="spellEnd"/>
      <w:r w:rsidRPr="006706A8">
        <w:rPr>
          <w:rFonts w:ascii="Arial" w:hAnsi="Arial"/>
          <w:sz w:val="22"/>
          <w:szCs w:val="22"/>
        </w:rPr>
        <w:t xml:space="preserve"> include autoimmune disease (e.g. </w:t>
      </w:r>
      <w:proofErr w:type="spellStart"/>
      <w:r w:rsidRPr="006706A8">
        <w:rPr>
          <w:rFonts w:ascii="Arial" w:hAnsi="Arial"/>
          <w:sz w:val="22"/>
          <w:szCs w:val="22"/>
        </w:rPr>
        <w:t>cytopenias</w:t>
      </w:r>
      <w:proofErr w:type="spellEnd"/>
      <w:r w:rsidRPr="006706A8">
        <w:rPr>
          <w:rFonts w:ascii="Arial" w:hAnsi="Arial"/>
          <w:sz w:val="22"/>
          <w:szCs w:val="22"/>
        </w:rPr>
        <w:t xml:space="preserve">, nephropathies, thyroid disorders), </w:t>
      </w:r>
      <w:r w:rsidRPr="006706A8">
        <w:rPr>
          <w:rFonts w:ascii="Arial" w:hAnsi="Arial"/>
          <w:sz w:val="22"/>
          <w:szCs w:val="22"/>
        </w:rPr>
        <w:lastRenderedPageBreak/>
        <w:t xml:space="preserve">infusion-related reactions (e.g. respiratory distress, acute cardiac events, anaphylactic shock), infections and infestations (e.g. reactivation of latent infections, progressive multifocal </w:t>
      </w:r>
      <w:proofErr w:type="spellStart"/>
      <w:r w:rsidRPr="006706A8">
        <w:rPr>
          <w:rFonts w:ascii="Arial" w:hAnsi="Arial"/>
          <w:sz w:val="22"/>
          <w:szCs w:val="22"/>
        </w:rPr>
        <w:t>leucoencephalopathy</w:t>
      </w:r>
      <w:proofErr w:type="spellEnd"/>
      <w:r w:rsidRPr="006706A8">
        <w:rPr>
          <w:rFonts w:ascii="Arial" w:hAnsi="Arial"/>
          <w:sz w:val="22"/>
          <w:szCs w:val="22"/>
        </w:rPr>
        <w:t xml:space="preserve">), blood and lymphatic system disorders (e.g. severe bleeding), cardiac disorders (e.g. congestive heart failure, cardiomyopathy) and Epstein-Barr Virus-associated </w:t>
      </w:r>
      <w:proofErr w:type="spellStart"/>
      <w:r w:rsidRPr="006706A8">
        <w:rPr>
          <w:rFonts w:ascii="Arial" w:hAnsi="Arial"/>
          <w:sz w:val="22"/>
          <w:szCs w:val="22"/>
        </w:rPr>
        <w:t>lymphoproliferative</w:t>
      </w:r>
      <w:proofErr w:type="spellEnd"/>
      <w:r w:rsidRPr="006706A8">
        <w:rPr>
          <w:rFonts w:ascii="Arial" w:hAnsi="Arial"/>
          <w:sz w:val="22"/>
          <w:szCs w:val="22"/>
        </w:rPr>
        <w:t xml:space="preserve"> disorders.</w:t>
      </w:r>
    </w:p>
    <w:p w:rsidR="004C7F6D" w:rsidRPr="006706A8" w:rsidRDefault="004C7F6D" w:rsidP="006C5A2E">
      <w:pPr>
        <w:jc w:val="both"/>
        <w:rPr>
          <w:rFonts w:ascii="Arial" w:hAnsi="Arial"/>
          <w:sz w:val="22"/>
          <w:szCs w:val="22"/>
        </w:rPr>
      </w:pPr>
    </w:p>
    <w:p w:rsidR="004C7F6D" w:rsidRPr="006706A8" w:rsidRDefault="004C7F6D" w:rsidP="006C3768">
      <w:pPr>
        <w:pStyle w:val="ListParagraph"/>
        <w:numPr>
          <w:ilvl w:val="1"/>
          <w:numId w:val="25"/>
        </w:numPr>
        <w:ind w:left="709" w:hanging="709"/>
        <w:jc w:val="both"/>
        <w:rPr>
          <w:rFonts w:ascii="Arial" w:hAnsi="Arial"/>
          <w:sz w:val="22"/>
          <w:szCs w:val="22"/>
        </w:rPr>
      </w:pPr>
      <w:r w:rsidRPr="006706A8">
        <w:rPr>
          <w:rFonts w:ascii="Arial" w:hAnsi="Arial"/>
          <w:sz w:val="22"/>
          <w:szCs w:val="22"/>
        </w:rPr>
        <w:t xml:space="preserve">A summary of the comparative harms for </w:t>
      </w:r>
      <w:proofErr w:type="spellStart"/>
      <w:r w:rsidRPr="006706A8">
        <w:rPr>
          <w:rFonts w:ascii="Arial" w:hAnsi="Arial"/>
          <w:sz w:val="22"/>
          <w:szCs w:val="22"/>
        </w:rPr>
        <w:t>alemtuzumab</w:t>
      </w:r>
      <w:proofErr w:type="spellEnd"/>
      <w:r w:rsidRPr="006706A8">
        <w:rPr>
          <w:rFonts w:ascii="Arial" w:hAnsi="Arial"/>
          <w:sz w:val="22"/>
          <w:szCs w:val="22"/>
        </w:rPr>
        <w:t xml:space="preserve"> versus subcutaneous interferon beta-1a is presented in the table below.</w:t>
      </w:r>
    </w:p>
    <w:p w:rsidR="004C7F6D" w:rsidRPr="006706A8" w:rsidRDefault="004C7F6D" w:rsidP="008A1F25">
      <w:pPr>
        <w:jc w:val="both"/>
        <w:rPr>
          <w:rFonts w:ascii="Arial" w:hAnsi="Arial"/>
          <w:sz w:val="22"/>
          <w:szCs w:val="22"/>
        </w:rPr>
      </w:pPr>
    </w:p>
    <w:p w:rsidR="004C7F6D" w:rsidRPr="006706A8" w:rsidRDefault="004C7F6D" w:rsidP="008A1F25">
      <w:pPr>
        <w:widowControl w:val="0"/>
        <w:tabs>
          <w:tab w:val="left" w:pos="720"/>
        </w:tabs>
        <w:ind w:left="709"/>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 xml:space="preserve">Summary of comparative harms for </w:t>
      </w:r>
      <w:proofErr w:type="spellStart"/>
      <w:r w:rsidRPr="006706A8">
        <w:rPr>
          <w:rFonts w:ascii="Arial Narrow" w:hAnsi="Arial Narrow" w:cs="Arial"/>
          <w:b/>
          <w:snapToGrid w:val="0"/>
          <w:sz w:val="20"/>
          <w:szCs w:val="20"/>
          <w:lang w:eastAsia="en-US"/>
        </w:rPr>
        <w:t>alemtuzumab</w:t>
      </w:r>
      <w:proofErr w:type="spellEnd"/>
      <w:r w:rsidRPr="006706A8">
        <w:rPr>
          <w:rFonts w:ascii="Arial Narrow" w:hAnsi="Arial Narrow" w:cs="Arial"/>
          <w:b/>
          <w:snapToGrid w:val="0"/>
          <w:sz w:val="20"/>
          <w:szCs w:val="20"/>
          <w:lang w:eastAsia="en-US"/>
        </w:rPr>
        <w:t xml:space="preserve"> and subcutaneous interferon beta-1a </w:t>
      </w:r>
    </w:p>
    <w:tbl>
      <w:tblPr>
        <w:tblW w:w="463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comparative harms for alemtuzumab and subcutaneous interferon beta-1a"/>
      </w:tblPr>
      <w:tblGrid>
        <w:gridCol w:w="2410"/>
        <w:gridCol w:w="1560"/>
        <w:gridCol w:w="1496"/>
        <w:gridCol w:w="1133"/>
        <w:gridCol w:w="1822"/>
      </w:tblGrid>
      <w:tr w:rsidR="004C7F6D" w:rsidRPr="006706A8" w:rsidTr="00AD3069">
        <w:trPr>
          <w:trHeight w:val="54"/>
        </w:trPr>
        <w:tc>
          <w:tcPr>
            <w:tcW w:w="1431" w:type="pct"/>
            <w:vAlign w:val="center"/>
          </w:tcPr>
          <w:p w:rsidR="004C7F6D" w:rsidRPr="006706A8" w:rsidRDefault="004C7F6D" w:rsidP="0003025B">
            <w:pPr>
              <w:widowControl w:val="0"/>
              <w:tabs>
                <w:tab w:val="left" w:pos="720"/>
              </w:tabs>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Trial ID</w:t>
            </w:r>
          </w:p>
        </w:tc>
        <w:tc>
          <w:tcPr>
            <w:tcW w:w="926" w:type="pct"/>
            <w:vAlign w:val="center"/>
          </w:tcPr>
          <w:p w:rsidR="004C7F6D" w:rsidRPr="006706A8" w:rsidRDefault="004C7F6D" w:rsidP="0003025B">
            <w:pPr>
              <w:widowControl w:val="0"/>
              <w:tabs>
                <w:tab w:val="left" w:pos="720"/>
              </w:tabs>
              <w:jc w:val="center"/>
              <w:rPr>
                <w:rFonts w:ascii="Arial Narrow" w:hAnsi="Arial Narrow" w:cs="Arial"/>
                <w:b/>
                <w:snapToGrid w:val="0"/>
                <w:sz w:val="20"/>
                <w:szCs w:val="20"/>
                <w:lang w:eastAsia="en-US"/>
              </w:rPr>
            </w:pPr>
            <w:proofErr w:type="spellStart"/>
            <w:r w:rsidRPr="006706A8">
              <w:rPr>
                <w:rFonts w:ascii="Arial Narrow" w:hAnsi="Arial Narrow" w:cs="Arial"/>
                <w:b/>
                <w:snapToGrid w:val="0"/>
                <w:sz w:val="20"/>
                <w:szCs w:val="20"/>
                <w:lang w:eastAsia="en-US"/>
              </w:rPr>
              <w:t>Alemtuzumab</w:t>
            </w:r>
            <w:proofErr w:type="spellEnd"/>
            <w:r w:rsidRPr="006706A8">
              <w:rPr>
                <w:rFonts w:ascii="Arial Narrow" w:hAnsi="Arial Narrow" w:cs="Arial"/>
                <w:b/>
                <w:snapToGrid w:val="0"/>
                <w:sz w:val="20"/>
                <w:szCs w:val="20"/>
                <w:lang w:eastAsia="en-US"/>
              </w:rPr>
              <w:t xml:space="preserve"> </w:t>
            </w:r>
          </w:p>
        </w:tc>
        <w:tc>
          <w:tcPr>
            <w:tcW w:w="888" w:type="pct"/>
            <w:vAlign w:val="center"/>
          </w:tcPr>
          <w:p w:rsidR="004C7F6D" w:rsidRPr="006706A8" w:rsidRDefault="004C7F6D" w:rsidP="0003025B">
            <w:pPr>
              <w:widowControl w:val="0"/>
              <w:tabs>
                <w:tab w:val="left" w:pos="720"/>
              </w:tabs>
              <w:jc w:val="center"/>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SC interferon beta-1a</w:t>
            </w:r>
          </w:p>
        </w:tc>
        <w:tc>
          <w:tcPr>
            <w:tcW w:w="673" w:type="pct"/>
            <w:vAlign w:val="center"/>
          </w:tcPr>
          <w:p w:rsidR="004C7F6D" w:rsidRPr="006706A8" w:rsidRDefault="004C7F6D" w:rsidP="0003025B">
            <w:pPr>
              <w:widowControl w:val="0"/>
              <w:tabs>
                <w:tab w:val="left" w:pos="720"/>
              </w:tabs>
              <w:jc w:val="center"/>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Relative difference</w:t>
            </w:r>
          </w:p>
        </w:tc>
        <w:tc>
          <w:tcPr>
            <w:tcW w:w="1082" w:type="pct"/>
            <w:vAlign w:val="center"/>
          </w:tcPr>
          <w:p w:rsidR="004C7F6D" w:rsidRPr="006706A8" w:rsidRDefault="004C7F6D" w:rsidP="0003025B">
            <w:pPr>
              <w:widowControl w:val="0"/>
              <w:tabs>
                <w:tab w:val="left" w:pos="720"/>
              </w:tabs>
              <w:jc w:val="center"/>
              <w:rPr>
                <w:rFonts w:ascii="Arial Narrow" w:hAnsi="Arial Narrow" w:cs="Arial"/>
                <w:b/>
                <w:snapToGrid w:val="0"/>
                <w:sz w:val="20"/>
                <w:szCs w:val="20"/>
                <w:vertAlign w:val="superscript"/>
                <w:lang w:eastAsia="en-US"/>
              </w:rPr>
            </w:pPr>
            <w:r w:rsidRPr="006706A8">
              <w:rPr>
                <w:rFonts w:ascii="Arial Narrow" w:hAnsi="Arial Narrow" w:cs="Arial"/>
                <w:b/>
                <w:snapToGrid w:val="0"/>
                <w:sz w:val="20"/>
                <w:szCs w:val="20"/>
                <w:lang w:eastAsia="en-US"/>
              </w:rPr>
              <w:t xml:space="preserve">Incremental difference per 100 </w:t>
            </w:r>
            <w:proofErr w:type="spellStart"/>
            <w:r w:rsidRPr="006706A8">
              <w:rPr>
                <w:rFonts w:ascii="Arial Narrow" w:hAnsi="Arial Narrow" w:cs="Arial"/>
                <w:b/>
                <w:snapToGrid w:val="0"/>
                <w:sz w:val="20"/>
                <w:szCs w:val="20"/>
                <w:lang w:eastAsia="en-US"/>
              </w:rPr>
              <w:t>patients</w:t>
            </w:r>
            <w:r w:rsidRPr="006706A8">
              <w:rPr>
                <w:rFonts w:ascii="Arial Narrow" w:hAnsi="Arial Narrow" w:cs="Arial"/>
                <w:b/>
                <w:snapToGrid w:val="0"/>
                <w:sz w:val="20"/>
                <w:szCs w:val="20"/>
                <w:vertAlign w:val="superscript"/>
                <w:lang w:eastAsia="en-US"/>
              </w:rPr>
              <w:t>a</w:t>
            </w:r>
            <w:proofErr w:type="spellEnd"/>
          </w:p>
        </w:tc>
      </w:tr>
      <w:tr w:rsidR="004C7F6D" w:rsidRPr="006706A8" w:rsidTr="006172D0">
        <w:tc>
          <w:tcPr>
            <w:tcW w:w="5000" w:type="pct"/>
            <w:gridSpan w:val="5"/>
            <w:vAlign w:val="center"/>
          </w:tcPr>
          <w:p w:rsidR="004C7F6D" w:rsidRPr="006706A8" w:rsidRDefault="004C7F6D" w:rsidP="0003025B">
            <w:pPr>
              <w:widowControl w:val="0"/>
              <w:tabs>
                <w:tab w:val="left" w:pos="720"/>
              </w:tabs>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Infection, proportion of patients with adverse events [event rate per person year]</w:t>
            </w:r>
          </w:p>
        </w:tc>
      </w:tr>
      <w:tr w:rsidR="004C7F6D" w:rsidRPr="006706A8" w:rsidTr="00AD3069">
        <w:tc>
          <w:tcPr>
            <w:tcW w:w="1431" w:type="pct"/>
            <w:vAlign w:val="center"/>
          </w:tcPr>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CAMMS223, treatment naive </w:t>
            </w:r>
          </w:p>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(3-year results)</w:t>
            </w:r>
          </w:p>
        </w:tc>
        <w:tc>
          <w:tcPr>
            <w:tcW w:w="926"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71/108 (65.7%) </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[0.67]</w:t>
            </w:r>
          </w:p>
        </w:tc>
        <w:tc>
          <w:tcPr>
            <w:tcW w:w="888"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48/107 (44.9%)</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[0.38]</w:t>
            </w:r>
          </w:p>
        </w:tc>
        <w:tc>
          <w:tcPr>
            <w:tcW w:w="673"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t>
            </w:r>
          </w:p>
        </w:tc>
        <w:tc>
          <w:tcPr>
            <w:tcW w:w="1082"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29 more infections </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per year</w:t>
            </w:r>
          </w:p>
        </w:tc>
      </w:tr>
      <w:tr w:rsidR="004C7F6D" w:rsidRPr="006706A8" w:rsidTr="00AD3069">
        <w:tc>
          <w:tcPr>
            <w:tcW w:w="1431" w:type="pct"/>
            <w:vAlign w:val="center"/>
          </w:tcPr>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CARE MS-I, treatment naive </w:t>
            </w:r>
          </w:p>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 year results)</w:t>
            </w:r>
          </w:p>
        </w:tc>
        <w:tc>
          <w:tcPr>
            <w:tcW w:w="926"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253/376 (67.3%) [1.18]</w:t>
            </w:r>
          </w:p>
        </w:tc>
        <w:tc>
          <w:tcPr>
            <w:tcW w:w="888"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85/187 (45.5%) [0.51]</w:t>
            </w:r>
          </w:p>
        </w:tc>
        <w:tc>
          <w:tcPr>
            <w:tcW w:w="673"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t>
            </w:r>
          </w:p>
        </w:tc>
        <w:tc>
          <w:tcPr>
            <w:tcW w:w="1082"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67 more infections </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per year</w:t>
            </w:r>
          </w:p>
        </w:tc>
      </w:tr>
      <w:tr w:rsidR="004C7F6D" w:rsidRPr="006706A8" w:rsidTr="00AD3069">
        <w:tc>
          <w:tcPr>
            <w:tcW w:w="1431" w:type="pct"/>
            <w:vAlign w:val="center"/>
          </w:tcPr>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CARE MS-II, treatment experienced </w:t>
            </w:r>
          </w:p>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(2-year results)</w:t>
            </w:r>
          </w:p>
        </w:tc>
        <w:tc>
          <w:tcPr>
            <w:tcW w:w="926"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334/435 (76.8%)</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[1.43]</w:t>
            </w:r>
          </w:p>
        </w:tc>
        <w:tc>
          <w:tcPr>
            <w:tcW w:w="888"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134/202 (66.3%)</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[0.94]</w:t>
            </w:r>
          </w:p>
        </w:tc>
        <w:tc>
          <w:tcPr>
            <w:tcW w:w="673"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t>
            </w:r>
          </w:p>
        </w:tc>
        <w:tc>
          <w:tcPr>
            <w:tcW w:w="1082"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49 more infections </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per year</w:t>
            </w:r>
          </w:p>
        </w:tc>
      </w:tr>
      <w:tr w:rsidR="004C7F6D" w:rsidRPr="006706A8" w:rsidTr="006172D0">
        <w:tc>
          <w:tcPr>
            <w:tcW w:w="5000" w:type="pct"/>
            <w:gridSpan w:val="5"/>
            <w:vAlign w:val="center"/>
          </w:tcPr>
          <w:p w:rsidR="004C7F6D" w:rsidRPr="006706A8" w:rsidRDefault="004C7F6D" w:rsidP="0003025B">
            <w:pPr>
              <w:widowControl w:val="0"/>
              <w:tabs>
                <w:tab w:val="left" w:pos="720"/>
              </w:tabs>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Thyroid disorders, proportion of patients with adverse events [event rate per person year]</w:t>
            </w:r>
          </w:p>
        </w:tc>
      </w:tr>
      <w:tr w:rsidR="004C7F6D" w:rsidRPr="006706A8" w:rsidTr="00AD3069">
        <w:tc>
          <w:tcPr>
            <w:tcW w:w="1431" w:type="pct"/>
            <w:vAlign w:val="center"/>
          </w:tcPr>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CAMMS223, treatment naive </w:t>
            </w:r>
          </w:p>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(3-year results)</w:t>
            </w:r>
          </w:p>
        </w:tc>
        <w:tc>
          <w:tcPr>
            <w:tcW w:w="926"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27/108 (25.0%) </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[0.10]</w:t>
            </w:r>
          </w:p>
        </w:tc>
        <w:tc>
          <w:tcPr>
            <w:tcW w:w="888"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2/107 (1.9%) [0.01]</w:t>
            </w:r>
          </w:p>
        </w:tc>
        <w:tc>
          <w:tcPr>
            <w:tcW w:w="673"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t>
            </w:r>
          </w:p>
        </w:tc>
        <w:tc>
          <w:tcPr>
            <w:tcW w:w="1082"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9 more thyroid disorders </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per year</w:t>
            </w:r>
          </w:p>
        </w:tc>
      </w:tr>
      <w:tr w:rsidR="004C7F6D" w:rsidRPr="006706A8" w:rsidTr="00AD3069">
        <w:tc>
          <w:tcPr>
            <w:tcW w:w="1431" w:type="pct"/>
            <w:vAlign w:val="center"/>
          </w:tcPr>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CARE MS-I, treatment naive </w:t>
            </w:r>
          </w:p>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 year results)</w:t>
            </w:r>
          </w:p>
        </w:tc>
        <w:tc>
          <w:tcPr>
            <w:tcW w:w="926"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68/376 (18.1%) [0.15]</w:t>
            </w:r>
          </w:p>
        </w:tc>
        <w:tc>
          <w:tcPr>
            <w:tcW w:w="888"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12/187 (6.4%) [0.04]</w:t>
            </w:r>
          </w:p>
        </w:tc>
        <w:tc>
          <w:tcPr>
            <w:tcW w:w="673"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t>
            </w:r>
          </w:p>
        </w:tc>
        <w:tc>
          <w:tcPr>
            <w:tcW w:w="1082"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11 more thyroid disorders </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per year</w:t>
            </w:r>
          </w:p>
        </w:tc>
      </w:tr>
      <w:tr w:rsidR="004C7F6D" w:rsidRPr="006706A8" w:rsidTr="00AD3069">
        <w:tc>
          <w:tcPr>
            <w:tcW w:w="1431" w:type="pct"/>
            <w:vAlign w:val="center"/>
          </w:tcPr>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CARE MS-II, treatment experienced </w:t>
            </w:r>
          </w:p>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(2-year results)</w:t>
            </w:r>
          </w:p>
        </w:tc>
        <w:tc>
          <w:tcPr>
            <w:tcW w:w="926"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69/435 (15.9%)</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[0.10]</w:t>
            </w:r>
          </w:p>
        </w:tc>
        <w:tc>
          <w:tcPr>
            <w:tcW w:w="888"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10/202 (5.0%)</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[0.03]</w:t>
            </w:r>
          </w:p>
        </w:tc>
        <w:tc>
          <w:tcPr>
            <w:tcW w:w="673"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t>
            </w:r>
          </w:p>
        </w:tc>
        <w:tc>
          <w:tcPr>
            <w:tcW w:w="1082"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7 more thyroid disorders </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per year</w:t>
            </w:r>
          </w:p>
        </w:tc>
      </w:tr>
      <w:tr w:rsidR="004C7F6D" w:rsidRPr="006706A8" w:rsidTr="006172D0">
        <w:tc>
          <w:tcPr>
            <w:tcW w:w="5000" w:type="pct"/>
            <w:gridSpan w:val="5"/>
            <w:vAlign w:val="center"/>
          </w:tcPr>
          <w:p w:rsidR="004C7F6D" w:rsidRPr="006706A8" w:rsidRDefault="004C7F6D" w:rsidP="0003025B">
            <w:pPr>
              <w:widowControl w:val="0"/>
              <w:tabs>
                <w:tab w:val="left" w:pos="720"/>
              </w:tabs>
              <w:rPr>
                <w:rFonts w:ascii="Arial Narrow" w:hAnsi="Arial Narrow" w:cs="Arial"/>
                <w:b/>
                <w:snapToGrid w:val="0"/>
                <w:sz w:val="20"/>
                <w:szCs w:val="20"/>
                <w:lang w:eastAsia="en-US"/>
              </w:rPr>
            </w:pPr>
            <w:r w:rsidRPr="006706A8">
              <w:rPr>
                <w:rFonts w:ascii="Arial Narrow" w:hAnsi="Arial Narrow" w:cs="Arial"/>
                <w:b/>
                <w:snapToGrid w:val="0"/>
                <w:sz w:val="20"/>
                <w:szCs w:val="20"/>
                <w:lang w:eastAsia="en-US"/>
              </w:rPr>
              <w:t xml:space="preserve">Immune thrombocytopenic </w:t>
            </w:r>
            <w:proofErr w:type="spellStart"/>
            <w:r w:rsidRPr="006706A8">
              <w:rPr>
                <w:rFonts w:ascii="Arial Narrow" w:hAnsi="Arial Narrow" w:cs="Arial"/>
                <w:b/>
                <w:snapToGrid w:val="0"/>
                <w:sz w:val="20"/>
                <w:szCs w:val="20"/>
                <w:lang w:eastAsia="en-US"/>
              </w:rPr>
              <w:t>purpura</w:t>
            </w:r>
            <w:proofErr w:type="spellEnd"/>
            <w:r w:rsidRPr="006706A8">
              <w:rPr>
                <w:rFonts w:ascii="Arial Narrow" w:hAnsi="Arial Narrow" w:cs="Arial"/>
                <w:b/>
                <w:snapToGrid w:val="0"/>
                <w:sz w:val="20"/>
                <w:szCs w:val="20"/>
                <w:lang w:eastAsia="en-US"/>
              </w:rPr>
              <w:t>, proportion of patients with adverse events [event rate per person year]</w:t>
            </w:r>
          </w:p>
        </w:tc>
      </w:tr>
      <w:tr w:rsidR="004C7F6D" w:rsidRPr="006706A8" w:rsidTr="00AD3069">
        <w:tc>
          <w:tcPr>
            <w:tcW w:w="1431" w:type="pct"/>
            <w:vAlign w:val="center"/>
          </w:tcPr>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CAMMS223, treatment naive </w:t>
            </w:r>
          </w:p>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(3-year results)</w:t>
            </w:r>
          </w:p>
        </w:tc>
        <w:tc>
          <w:tcPr>
            <w:tcW w:w="926"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1/108 (0.9%) </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[&lt;0.01]</w:t>
            </w:r>
          </w:p>
        </w:tc>
        <w:tc>
          <w:tcPr>
            <w:tcW w:w="888"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1/107 (0.9%)</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[&lt;0.01]</w:t>
            </w:r>
          </w:p>
        </w:tc>
        <w:tc>
          <w:tcPr>
            <w:tcW w:w="673"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t>
            </w:r>
          </w:p>
        </w:tc>
        <w:tc>
          <w:tcPr>
            <w:tcW w:w="1082"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Not estimated. Rare adverse event</w:t>
            </w:r>
          </w:p>
        </w:tc>
      </w:tr>
      <w:tr w:rsidR="004C7F6D" w:rsidRPr="006706A8" w:rsidTr="00AD3069">
        <w:tc>
          <w:tcPr>
            <w:tcW w:w="1431" w:type="pct"/>
            <w:vAlign w:val="center"/>
          </w:tcPr>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CARE MS-I, treatment naive </w:t>
            </w:r>
          </w:p>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 year results)</w:t>
            </w:r>
          </w:p>
        </w:tc>
        <w:tc>
          <w:tcPr>
            <w:tcW w:w="926"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3/376 (0.8%) </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[0.01]</w:t>
            </w:r>
          </w:p>
        </w:tc>
        <w:tc>
          <w:tcPr>
            <w:tcW w:w="888"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1/187 (0.5%) [&lt;0.01]</w:t>
            </w:r>
          </w:p>
        </w:tc>
        <w:tc>
          <w:tcPr>
            <w:tcW w:w="673"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t>
            </w:r>
          </w:p>
        </w:tc>
        <w:tc>
          <w:tcPr>
            <w:tcW w:w="1082"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Not estimated. Rare adverse event</w:t>
            </w:r>
          </w:p>
        </w:tc>
      </w:tr>
      <w:tr w:rsidR="004C7F6D" w:rsidRPr="006706A8" w:rsidTr="00AD3069">
        <w:tc>
          <w:tcPr>
            <w:tcW w:w="1431" w:type="pct"/>
            <w:vAlign w:val="center"/>
          </w:tcPr>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CARE MS-II, treatment experienced </w:t>
            </w:r>
          </w:p>
          <w:p w:rsidR="004C7F6D" w:rsidRPr="006706A8" w:rsidRDefault="004C7F6D" w:rsidP="0003025B">
            <w:pPr>
              <w:widowControl w:val="0"/>
              <w:tabs>
                <w:tab w:val="left" w:pos="720"/>
              </w:tabs>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(2-year results)</w:t>
            </w:r>
          </w:p>
        </w:tc>
        <w:tc>
          <w:tcPr>
            <w:tcW w:w="926"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 xml:space="preserve">4/435 (0.9%) </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[0.01]</w:t>
            </w:r>
          </w:p>
        </w:tc>
        <w:tc>
          <w:tcPr>
            <w:tcW w:w="888"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0/202 (0%)</w:t>
            </w:r>
          </w:p>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[&lt;0.01]</w:t>
            </w:r>
          </w:p>
        </w:tc>
        <w:tc>
          <w:tcPr>
            <w:tcW w:w="673"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NE</w:t>
            </w:r>
          </w:p>
        </w:tc>
        <w:tc>
          <w:tcPr>
            <w:tcW w:w="1082" w:type="pct"/>
            <w:vAlign w:val="center"/>
          </w:tcPr>
          <w:p w:rsidR="004C7F6D" w:rsidRPr="006706A8" w:rsidRDefault="004C7F6D" w:rsidP="0003025B">
            <w:pPr>
              <w:widowControl w:val="0"/>
              <w:tabs>
                <w:tab w:val="left" w:pos="720"/>
              </w:tabs>
              <w:jc w:val="center"/>
              <w:rPr>
                <w:rFonts w:ascii="Arial Narrow" w:hAnsi="Arial Narrow" w:cs="Arial"/>
                <w:snapToGrid w:val="0"/>
                <w:sz w:val="20"/>
                <w:szCs w:val="20"/>
                <w:lang w:eastAsia="en-US"/>
              </w:rPr>
            </w:pPr>
            <w:r w:rsidRPr="006706A8">
              <w:rPr>
                <w:rFonts w:ascii="Arial Narrow" w:hAnsi="Arial Narrow" w:cs="Arial"/>
                <w:snapToGrid w:val="0"/>
                <w:sz w:val="20"/>
                <w:szCs w:val="20"/>
                <w:lang w:eastAsia="en-US"/>
              </w:rPr>
              <w:t>Not estimated. Rare adverse event</w:t>
            </w:r>
          </w:p>
        </w:tc>
      </w:tr>
    </w:tbl>
    <w:p w:rsidR="004C7F6D" w:rsidRPr="006706A8" w:rsidRDefault="004C7F6D" w:rsidP="006172D0">
      <w:pPr>
        <w:widowControl w:val="0"/>
        <w:ind w:firstLine="720"/>
        <w:jc w:val="both"/>
        <w:rPr>
          <w:rFonts w:ascii="Arial Narrow" w:hAnsi="Arial Narrow" w:cs="Arial"/>
          <w:snapToGrid w:val="0"/>
          <w:sz w:val="18"/>
          <w:szCs w:val="20"/>
          <w:lang w:eastAsia="en-US"/>
        </w:rPr>
      </w:pPr>
      <w:r w:rsidRPr="006706A8">
        <w:rPr>
          <w:rFonts w:ascii="Arial Narrow" w:hAnsi="Arial Narrow" w:cs="Arial"/>
          <w:snapToGrid w:val="0"/>
          <w:sz w:val="18"/>
          <w:szCs w:val="20"/>
          <w:lang w:eastAsia="en-US"/>
        </w:rPr>
        <w:t>Abbreviations: CI, confidence interval; KM, Kaplan-Meier; NE, not estimated; NR, not reported; SC, subcutaneous</w:t>
      </w:r>
    </w:p>
    <w:p w:rsidR="004C7F6D" w:rsidRPr="006706A8" w:rsidRDefault="004C7F6D" w:rsidP="006172D0">
      <w:pPr>
        <w:widowControl w:val="0"/>
        <w:ind w:firstLine="720"/>
        <w:jc w:val="both"/>
        <w:rPr>
          <w:rFonts w:ascii="Arial Narrow" w:hAnsi="Arial Narrow" w:cs="Arial"/>
          <w:snapToGrid w:val="0"/>
          <w:sz w:val="18"/>
          <w:szCs w:val="20"/>
          <w:lang w:eastAsia="en-US"/>
        </w:rPr>
      </w:pPr>
      <w:proofErr w:type="spellStart"/>
      <w:proofErr w:type="gramStart"/>
      <w:r w:rsidRPr="006706A8">
        <w:rPr>
          <w:rFonts w:ascii="Arial Narrow" w:hAnsi="Arial Narrow" w:cs="Arial"/>
          <w:snapToGrid w:val="0"/>
          <w:sz w:val="18"/>
          <w:szCs w:val="20"/>
          <w:vertAlign w:val="superscript"/>
          <w:lang w:eastAsia="en-US"/>
        </w:rPr>
        <w:t>a</w:t>
      </w:r>
      <w:proofErr w:type="spellEnd"/>
      <w:proofErr w:type="gramEnd"/>
      <w:r w:rsidRPr="006706A8">
        <w:rPr>
          <w:rFonts w:ascii="Arial Narrow" w:hAnsi="Arial Narrow" w:cs="Arial"/>
          <w:snapToGrid w:val="0"/>
          <w:sz w:val="18"/>
          <w:szCs w:val="20"/>
          <w:vertAlign w:val="superscript"/>
          <w:lang w:eastAsia="en-US"/>
        </w:rPr>
        <w:t xml:space="preserve"> </w:t>
      </w:r>
      <w:r w:rsidRPr="006706A8">
        <w:rPr>
          <w:rFonts w:ascii="Arial Narrow" w:hAnsi="Arial Narrow" w:cs="Arial"/>
          <w:snapToGrid w:val="0"/>
          <w:sz w:val="18"/>
          <w:szCs w:val="20"/>
          <w:lang w:eastAsia="en-US"/>
        </w:rPr>
        <w:t>Estimated post-hoc during the evaluation. Assumes constant risk over time</w:t>
      </w:r>
    </w:p>
    <w:p w:rsidR="004C7F6D" w:rsidRPr="006706A8" w:rsidRDefault="004C7F6D" w:rsidP="008831A7">
      <w:pPr>
        <w:jc w:val="both"/>
        <w:rPr>
          <w:rFonts w:ascii="Arial" w:hAnsi="Arial"/>
          <w:sz w:val="22"/>
          <w:szCs w:val="22"/>
        </w:rPr>
      </w:pPr>
    </w:p>
    <w:p w:rsidR="004C7F6D" w:rsidRPr="006706A8" w:rsidRDefault="004C7F6D" w:rsidP="006C5A2E">
      <w:pPr>
        <w:pStyle w:val="ListParagraph"/>
        <w:numPr>
          <w:ilvl w:val="1"/>
          <w:numId w:val="25"/>
        </w:numPr>
        <w:jc w:val="both"/>
        <w:rPr>
          <w:rFonts w:ascii="Arial" w:hAnsi="Arial"/>
          <w:sz w:val="22"/>
          <w:szCs w:val="22"/>
        </w:rPr>
      </w:pPr>
      <w:r w:rsidRPr="006706A8">
        <w:rPr>
          <w:rFonts w:ascii="Arial" w:hAnsi="Arial"/>
          <w:sz w:val="22"/>
          <w:szCs w:val="22"/>
        </w:rPr>
        <w:t xml:space="preserve">The submission does not present any comparative assessment of harms between </w:t>
      </w:r>
      <w:proofErr w:type="spellStart"/>
      <w:r w:rsidRPr="006706A8">
        <w:rPr>
          <w:rFonts w:ascii="Arial" w:hAnsi="Arial"/>
          <w:sz w:val="22"/>
          <w:szCs w:val="22"/>
        </w:rPr>
        <w:t>alemtuzumab</w:t>
      </w:r>
      <w:proofErr w:type="spellEnd"/>
      <w:r w:rsidRPr="006706A8">
        <w:rPr>
          <w:rFonts w:ascii="Arial" w:hAnsi="Arial"/>
          <w:sz w:val="22"/>
          <w:szCs w:val="22"/>
        </w:rPr>
        <w:t xml:space="preserve">, </w:t>
      </w:r>
      <w:proofErr w:type="spellStart"/>
      <w:r w:rsidRPr="006706A8">
        <w:rPr>
          <w:rFonts w:ascii="Arial" w:hAnsi="Arial"/>
          <w:sz w:val="22"/>
          <w:szCs w:val="22"/>
        </w:rPr>
        <w:t>natalizumab</w:t>
      </w:r>
      <w:proofErr w:type="spellEnd"/>
      <w:r w:rsidRPr="006706A8">
        <w:rPr>
          <w:rFonts w:ascii="Arial" w:hAnsi="Arial"/>
          <w:sz w:val="22"/>
          <w:szCs w:val="22"/>
        </w:rPr>
        <w:t xml:space="preserve"> and </w:t>
      </w:r>
      <w:proofErr w:type="spellStart"/>
      <w:r w:rsidRPr="006706A8">
        <w:rPr>
          <w:rFonts w:ascii="Arial" w:hAnsi="Arial"/>
          <w:sz w:val="22"/>
          <w:szCs w:val="22"/>
        </w:rPr>
        <w:t>fingolimod</w:t>
      </w:r>
      <w:proofErr w:type="spellEnd"/>
      <w:r w:rsidRPr="006706A8">
        <w:rPr>
          <w:rFonts w:ascii="Arial" w:hAnsi="Arial"/>
          <w:sz w:val="22"/>
          <w:szCs w:val="22"/>
        </w:rPr>
        <w:t>.</w:t>
      </w:r>
    </w:p>
    <w:p w:rsidR="004C7F6D" w:rsidRPr="006706A8" w:rsidRDefault="004C7F6D" w:rsidP="00BB7EC3">
      <w:pPr>
        <w:jc w:val="both"/>
        <w:rPr>
          <w:rFonts w:ascii="Arial" w:hAnsi="Arial"/>
          <w:sz w:val="22"/>
          <w:szCs w:val="22"/>
        </w:rPr>
      </w:pPr>
    </w:p>
    <w:p w:rsidR="004C7F6D" w:rsidRPr="006706A8" w:rsidRDefault="004C7F6D" w:rsidP="00BB7EC3">
      <w:pPr>
        <w:pStyle w:val="ListParagraph"/>
        <w:ind w:left="709"/>
        <w:jc w:val="both"/>
        <w:rPr>
          <w:rFonts w:ascii="Arial" w:hAnsi="Arial"/>
          <w:i/>
          <w:sz w:val="22"/>
          <w:szCs w:val="22"/>
        </w:rPr>
      </w:pPr>
      <w:r w:rsidRPr="006706A8">
        <w:rPr>
          <w:rFonts w:ascii="Arial" w:hAnsi="Arial"/>
          <w:i/>
          <w:sz w:val="22"/>
          <w:szCs w:val="22"/>
        </w:rPr>
        <w:t>For more detail on PBAC’s view, see “clinical claim” and section 7 “PBAC outcome”</w:t>
      </w:r>
    </w:p>
    <w:p w:rsidR="004C7F6D" w:rsidRPr="006706A8" w:rsidRDefault="004C7F6D" w:rsidP="00882085">
      <w:pPr>
        <w:jc w:val="both"/>
        <w:rPr>
          <w:rFonts w:ascii="Arial" w:hAnsi="Arial"/>
          <w:i/>
          <w:sz w:val="22"/>
          <w:szCs w:val="22"/>
        </w:rPr>
      </w:pPr>
    </w:p>
    <w:p w:rsidR="004C7F6D" w:rsidRPr="006706A8" w:rsidRDefault="004C7F6D" w:rsidP="00882085">
      <w:pPr>
        <w:jc w:val="both"/>
        <w:rPr>
          <w:rFonts w:ascii="Arial" w:hAnsi="Arial"/>
          <w:b/>
          <w:i/>
          <w:sz w:val="22"/>
          <w:szCs w:val="22"/>
        </w:rPr>
      </w:pPr>
      <w:r w:rsidRPr="006706A8">
        <w:rPr>
          <w:rFonts w:ascii="Arial" w:hAnsi="Arial"/>
          <w:b/>
          <w:i/>
          <w:sz w:val="22"/>
          <w:szCs w:val="22"/>
        </w:rPr>
        <w:t>Clinical claim</w:t>
      </w:r>
    </w:p>
    <w:p w:rsidR="004C7F6D" w:rsidRPr="006706A8" w:rsidRDefault="004C7F6D" w:rsidP="00882085">
      <w:pPr>
        <w:ind w:left="720" w:hanging="720"/>
        <w:jc w:val="both"/>
        <w:rPr>
          <w:rFonts w:ascii="Arial" w:hAnsi="Arial"/>
          <w:sz w:val="22"/>
          <w:szCs w:val="22"/>
        </w:rPr>
      </w:pPr>
    </w:p>
    <w:p w:rsidR="004C7F6D" w:rsidRPr="006706A8" w:rsidRDefault="004C7F6D" w:rsidP="00761F2F">
      <w:pPr>
        <w:pStyle w:val="ListParagraph"/>
        <w:numPr>
          <w:ilvl w:val="1"/>
          <w:numId w:val="25"/>
        </w:numPr>
        <w:jc w:val="both"/>
        <w:rPr>
          <w:rFonts w:ascii="Arial" w:hAnsi="Arial"/>
          <w:sz w:val="22"/>
          <w:szCs w:val="22"/>
        </w:rPr>
      </w:pPr>
      <w:r w:rsidRPr="006706A8">
        <w:rPr>
          <w:rFonts w:ascii="Arial" w:hAnsi="Arial"/>
          <w:sz w:val="22"/>
          <w:szCs w:val="22"/>
        </w:rPr>
        <w:t xml:space="preserve">The submission describes </w:t>
      </w:r>
      <w:proofErr w:type="spellStart"/>
      <w:r w:rsidRPr="006706A8">
        <w:rPr>
          <w:rFonts w:ascii="Arial" w:hAnsi="Arial"/>
          <w:sz w:val="22"/>
          <w:szCs w:val="22"/>
        </w:rPr>
        <w:t>alemtuzumab</w:t>
      </w:r>
      <w:proofErr w:type="spellEnd"/>
      <w:r w:rsidRPr="006706A8">
        <w:rPr>
          <w:rFonts w:ascii="Arial" w:hAnsi="Arial"/>
          <w:sz w:val="22"/>
          <w:szCs w:val="22"/>
        </w:rPr>
        <w:t xml:space="preserve"> as superior compared to </w:t>
      </w:r>
      <w:proofErr w:type="spellStart"/>
      <w:r w:rsidRPr="006706A8">
        <w:rPr>
          <w:rFonts w:ascii="Arial" w:hAnsi="Arial"/>
          <w:sz w:val="22"/>
          <w:szCs w:val="22"/>
        </w:rPr>
        <w:t>fingolimod</w:t>
      </w:r>
      <w:proofErr w:type="spellEnd"/>
      <w:r w:rsidRPr="006706A8">
        <w:rPr>
          <w:rFonts w:ascii="Arial" w:hAnsi="Arial"/>
          <w:sz w:val="22"/>
          <w:szCs w:val="22"/>
        </w:rPr>
        <w:t xml:space="preserve"> and non-inferior compared to </w:t>
      </w:r>
      <w:proofErr w:type="spellStart"/>
      <w:r w:rsidRPr="006706A8">
        <w:rPr>
          <w:rFonts w:ascii="Arial" w:hAnsi="Arial"/>
          <w:sz w:val="22"/>
          <w:szCs w:val="22"/>
        </w:rPr>
        <w:t>natalizumab</w:t>
      </w:r>
      <w:proofErr w:type="spellEnd"/>
      <w:r w:rsidRPr="006706A8">
        <w:rPr>
          <w:rFonts w:ascii="Arial" w:hAnsi="Arial"/>
          <w:sz w:val="22"/>
          <w:szCs w:val="22"/>
        </w:rPr>
        <w:t xml:space="preserve"> in terms of comparative short-term effectiveness. The Commentary noted that claim of superiority is not justified based on the available data, however a claim of non-inferiority against both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may be considered reasonable.</w:t>
      </w:r>
    </w:p>
    <w:p w:rsidR="004C7F6D" w:rsidRPr="006706A8" w:rsidRDefault="004C7F6D" w:rsidP="00761F2F">
      <w:pPr>
        <w:jc w:val="both"/>
        <w:rPr>
          <w:rFonts w:ascii="Arial" w:hAnsi="Arial"/>
          <w:sz w:val="22"/>
          <w:szCs w:val="22"/>
        </w:rPr>
      </w:pPr>
    </w:p>
    <w:p w:rsidR="004C7F6D" w:rsidRPr="006706A8" w:rsidRDefault="004C7F6D" w:rsidP="00761F2F">
      <w:pPr>
        <w:pStyle w:val="ListParagraph"/>
        <w:numPr>
          <w:ilvl w:val="1"/>
          <w:numId w:val="25"/>
        </w:numPr>
        <w:jc w:val="both"/>
        <w:rPr>
          <w:rFonts w:ascii="Arial" w:hAnsi="Arial"/>
          <w:sz w:val="22"/>
          <w:szCs w:val="22"/>
        </w:rPr>
      </w:pPr>
      <w:r w:rsidRPr="006706A8">
        <w:rPr>
          <w:rFonts w:ascii="Arial" w:hAnsi="Arial"/>
          <w:sz w:val="22"/>
          <w:szCs w:val="22"/>
        </w:rPr>
        <w:t xml:space="preserve">The submission describes </w:t>
      </w:r>
      <w:proofErr w:type="spellStart"/>
      <w:r w:rsidRPr="006706A8">
        <w:rPr>
          <w:rFonts w:ascii="Arial" w:hAnsi="Arial"/>
          <w:sz w:val="22"/>
          <w:szCs w:val="22"/>
        </w:rPr>
        <w:t>alemtuzumab</w:t>
      </w:r>
      <w:proofErr w:type="spellEnd"/>
      <w:r w:rsidRPr="006706A8">
        <w:rPr>
          <w:rFonts w:ascii="Arial" w:hAnsi="Arial"/>
          <w:sz w:val="22"/>
          <w:szCs w:val="22"/>
        </w:rPr>
        <w:t xml:space="preserve"> as superior compared to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in terms of comparative long-term durability of effect.</w:t>
      </w:r>
    </w:p>
    <w:p w:rsidR="004C7F6D" w:rsidRPr="006706A8" w:rsidRDefault="004C7F6D" w:rsidP="00D534DB">
      <w:pPr>
        <w:jc w:val="both"/>
        <w:rPr>
          <w:rFonts w:ascii="Arial" w:hAnsi="Arial"/>
          <w:sz w:val="22"/>
          <w:szCs w:val="22"/>
        </w:rPr>
      </w:pPr>
    </w:p>
    <w:p w:rsidR="004C7F6D" w:rsidRPr="006706A8" w:rsidRDefault="004C7F6D" w:rsidP="00761F2F">
      <w:pPr>
        <w:pStyle w:val="ListParagraph"/>
        <w:numPr>
          <w:ilvl w:val="1"/>
          <w:numId w:val="25"/>
        </w:numPr>
        <w:jc w:val="both"/>
        <w:rPr>
          <w:rFonts w:ascii="Arial" w:hAnsi="Arial"/>
          <w:sz w:val="22"/>
          <w:szCs w:val="22"/>
        </w:rPr>
      </w:pPr>
      <w:r w:rsidRPr="006706A8">
        <w:rPr>
          <w:rFonts w:ascii="Arial" w:hAnsi="Arial"/>
          <w:sz w:val="22"/>
          <w:szCs w:val="22"/>
        </w:rPr>
        <w:t xml:space="preserve">The submission makes no specific claim in terms of comparative safety. The Commentary noted that </w:t>
      </w:r>
      <w:proofErr w:type="spellStart"/>
      <w:r w:rsidRPr="006706A8">
        <w:rPr>
          <w:rFonts w:ascii="Arial" w:hAnsi="Arial"/>
          <w:sz w:val="22"/>
          <w:szCs w:val="22"/>
        </w:rPr>
        <w:t>alemtuzumab</w:t>
      </w:r>
      <w:proofErr w:type="spellEnd"/>
      <w:r w:rsidRPr="006706A8">
        <w:rPr>
          <w:rFonts w:ascii="Arial" w:hAnsi="Arial"/>
          <w:sz w:val="22"/>
          <w:szCs w:val="22"/>
        </w:rPr>
        <w:t xml:space="preserve"> may be inferior to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based on the limited available information.</w:t>
      </w:r>
    </w:p>
    <w:p w:rsidR="004C7F6D" w:rsidRPr="006706A8" w:rsidRDefault="004C7F6D" w:rsidP="008831A7">
      <w:pPr>
        <w:rPr>
          <w:rFonts w:ascii="Arial" w:hAnsi="Arial"/>
          <w:sz w:val="22"/>
          <w:szCs w:val="22"/>
        </w:rPr>
      </w:pPr>
    </w:p>
    <w:p w:rsidR="004C7F6D" w:rsidRPr="006706A8" w:rsidRDefault="004C7F6D" w:rsidP="008831A7">
      <w:pPr>
        <w:pStyle w:val="ListParagraph"/>
        <w:numPr>
          <w:ilvl w:val="1"/>
          <w:numId w:val="25"/>
        </w:numPr>
        <w:jc w:val="both"/>
        <w:rPr>
          <w:rFonts w:ascii="Arial" w:hAnsi="Arial"/>
          <w:sz w:val="22"/>
          <w:szCs w:val="22"/>
        </w:rPr>
      </w:pPr>
      <w:r w:rsidRPr="006706A8">
        <w:rPr>
          <w:rFonts w:ascii="Arial" w:hAnsi="Arial"/>
          <w:sz w:val="22"/>
          <w:szCs w:val="22"/>
        </w:rPr>
        <w:t xml:space="preserve">The ESC considered that </w:t>
      </w:r>
      <w:proofErr w:type="spellStart"/>
      <w:r w:rsidRPr="006706A8">
        <w:rPr>
          <w:rFonts w:ascii="Arial" w:hAnsi="Arial"/>
          <w:sz w:val="22"/>
          <w:szCs w:val="22"/>
        </w:rPr>
        <w:t>alemtuzumab</w:t>
      </w:r>
      <w:proofErr w:type="spellEnd"/>
      <w:r w:rsidRPr="006706A8">
        <w:rPr>
          <w:rFonts w:ascii="Arial" w:hAnsi="Arial"/>
          <w:sz w:val="22"/>
          <w:szCs w:val="22"/>
        </w:rPr>
        <w:t xml:space="preserve"> is superior compared to subcutaneous interferon beta-1a in terms of comparative effectiveness and inferior to subcutaneous interferon beta-1a in terms of comparative safety.</w:t>
      </w:r>
    </w:p>
    <w:p w:rsidR="004C7F6D" w:rsidRPr="006706A8" w:rsidRDefault="004C7F6D" w:rsidP="00BB7EC3">
      <w:pPr>
        <w:jc w:val="both"/>
        <w:rPr>
          <w:rFonts w:ascii="Arial" w:hAnsi="Arial"/>
          <w:sz w:val="22"/>
          <w:szCs w:val="22"/>
        </w:rPr>
      </w:pPr>
    </w:p>
    <w:p w:rsidR="004C7F6D" w:rsidRPr="006706A8" w:rsidRDefault="004C7F6D" w:rsidP="006C3768">
      <w:pPr>
        <w:pStyle w:val="ListParagraph"/>
        <w:numPr>
          <w:ilvl w:val="1"/>
          <w:numId w:val="25"/>
        </w:numPr>
        <w:ind w:left="709" w:hanging="709"/>
        <w:jc w:val="both"/>
        <w:rPr>
          <w:rFonts w:ascii="Arial" w:hAnsi="Arial"/>
          <w:sz w:val="22"/>
          <w:szCs w:val="22"/>
        </w:rPr>
      </w:pPr>
      <w:r w:rsidRPr="006706A8">
        <w:rPr>
          <w:rFonts w:ascii="Arial" w:hAnsi="Arial"/>
          <w:sz w:val="22"/>
          <w:szCs w:val="22"/>
        </w:rPr>
        <w:t xml:space="preserve">The PBAC considered that the claim of superior comparative effectiveness to </w:t>
      </w:r>
      <w:proofErr w:type="spellStart"/>
      <w:r w:rsidRPr="006706A8">
        <w:rPr>
          <w:rFonts w:ascii="Arial" w:hAnsi="Arial"/>
          <w:sz w:val="22"/>
          <w:szCs w:val="22"/>
        </w:rPr>
        <w:t>fingolimod</w:t>
      </w:r>
      <w:proofErr w:type="spellEnd"/>
      <w:r w:rsidRPr="006706A8">
        <w:rPr>
          <w:rFonts w:ascii="Arial" w:hAnsi="Arial"/>
          <w:sz w:val="22"/>
          <w:szCs w:val="22"/>
        </w:rPr>
        <w:t xml:space="preserve"> was not adequately supported by the data and that a claim of non-inferior comparative effectiveness to </w:t>
      </w:r>
      <w:proofErr w:type="spellStart"/>
      <w:r w:rsidRPr="006706A8">
        <w:rPr>
          <w:rFonts w:ascii="Arial" w:hAnsi="Arial"/>
          <w:sz w:val="22"/>
          <w:szCs w:val="22"/>
        </w:rPr>
        <w:t>fingolimod</w:t>
      </w:r>
      <w:proofErr w:type="spellEnd"/>
      <w:r w:rsidRPr="006706A8">
        <w:rPr>
          <w:rFonts w:ascii="Arial" w:hAnsi="Arial"/>
          <w:sz w:val="22"/>
          <w:szCs w:val="22"/>
        </w:rPr>
        <w:t xml:space="preserve"> or </w:t>
      </w:r>
      <w:proofErr w:type="spellStart"/>
      <w:r w:rsidRPr="006706A8">
        <w:rPr>
          <w:rFonts w:ascii="Arial" w:hAnsi="Arial"/>
          <w:sz w:val="22"/>
          <w:szCs w:val="22"/>
        </w:rPr>
        <w:t>natalizumab</w:t>
      </w:r>
      <w:proofErr w:type="spellEnd"/>
      <w:r w:rsidRPr="006706A8">
        <w:rPr>
          <w:rFonts w:ascii="Arial" w:hAnsi="Arial"/>
          <w:sz w:val="22"/>
          <w:szCs w:val="22"/>
        </w:rPr>
        <w:t xml:space="preserve"> was appropriate. </w:t>
      </w:r>
      <w:r w:rsidRPr="006706A8">
        <w:rPr>
          <w:rFonts w:ascii="Arial" w:hAnsi="Arial" w:cs="Arial"/>
          <w:sz w:val="22"/>
          <w:szCs w:val="22"/>
        </w:rPr>
        <w:t>The PBAC recalled that both relapse rate and disability progression were relevant patient outcomes in the consideration of other disease modifying drugs for MS. Though the comparative effectiveness was uncertain due to the high risk of bias associated with the nature of the indirect mixed treatment comparisons and limited exchangeability</w:t>
      </w:r>
      <w:r w:rsidR="00D956EE" w:rsidRPr="006706A8">
        <w:rPr>
          <w:rFonts w:ascii="Arial" w:hAnsi="Arial" w:cs="Arial"/>
          <w:sz w:val="22"/>
          <w:szCs w:val="22"/>
        </w:rPr>
        <w:t xml:space="preserve"> of the trials</w:t>
      </w:r>
      <w:r w:rsidRPr="006706A8">
        <w:rPr>
          <w:rFonts w:ascii="Arial" w:hAnsi="Arial" w:cs="Arial"/>
          <w:sz w:val="22"/>
          <w:szCs w:val="22"/>
        </w:rPr>
        <w:t xml:space="preserve">, the PBAC considered that the </w:t>
      </w:r>
      <w:r w:rsidR="00115352" w:rsidRPr="006706A8">
        <w:rPr>
          <w:rFonts w:ascii="Arial" w:hAnsi="Arial" w:cs="Arial"/>
          <w:sz w:val="22"/>
          <w:szCs w:val="22"/>
        </w:rPr>
        <w:t>available relapse</w:t>
      </w:r>
      <w:r w:rsidRPr="006706A8">
        <w:rPr>
          <w:rFonts w:ascii="Arial" w:hAnsi="Arial" w:cs="Arial"/>
          <w:sz w:val="22"/>
          <w:szCs w:val="22"/>
        </w:rPr>
        <w:t xml:space="preserve"> rate and disability progression data supported the claim that </w:t>
      </w:r>
      <w:proofErr w:type="spellStart"/>
      <w:r w:rsidRPr="006706A8">
        <w:rPr>
          <w:rFonts w:ascii="Arial" w:hAnsi="Arial" w:cs="Arial"/>
          <w:sz w:val="22"/>
          <w:szCs w:val="22"/>
        </w:rPr>
        <w:t>alemtuzumab</w:t>
      </w:r>
      <w:proofErr w:type="spellEnd"/>
      <w:r w:rsidRPr="006706A8">
        <w:rPr>
          <w:rFonts w:ascii="Arial" w:hAnsi="Arial" w:cs="Arial"/>
          <w:sz w:val="22"/>
          <w:szCs w:val="22"/>
        </w:rPr>
        <w:t xml:space="preserve"> was non-inferior to both </w:t>
      </w:r>
      <w:proofErr w:type="spellStart"/>
      <w:r w:rsidRPr="006706A8">
        <w:rPr>
          <w:rFonts w:ascii="Arial" w:hAnsi="Arial" w:cs="Arial"/>
          <w:sz w:val="22"/>
          <w:szCs w:val="22"/>
        </w:rPr>
        <w:t>natalizumab</w:t>
      </w:r>
      <w:proofErr w:type="spellEnd"/>
      <w:r w:rsidRPr="006706A8">
        <w:rPr>
          <w:rFonts w:ascii="Arial" w:hAnsi="Arial" w:cs="Arial"/>
          <w:sz w:val="22"/>
          <w:szCs w:val="22"/>
        </w:rPr>
        <w:t xml:space="preserve"> and </w:t>
      </w:r>
      <w:proofErr w:type="spellStart"/>
      <w:r w:rsidRPr="006706A8">
        <w:rPr>
          <w:rFonts w:ascii="Arial" w:hAnsi="Arial" w:cs="Arial"/>
          <w:sz w:val="22"/>
          <w:szCs w:val="22"/>
        </w:rPr>
        <w:t>fingolimod</w:t>
      </w:r>
      <w:proofErr w:type="spellEnd"/>
      <w:r w:rsidRPr="006706A8">
        <w:rPr>
          <w:rFonts w:ascii="Arial" w:hAnsi="Arial" w:cs="Arial"/>
          <w:sz w:val="22"/>
          <w:szCs w:val="22"/>
        </w:rPr>
        <w:t xml:space="preserve"> in terms of comparative effectiveness.</w:t>
      </w:r>
    </w:p>
    <w:p w:rsidR="004C7F6D" w:rsidRPr="006706A8" w:rsidRDefault="004C7F6D" w:rsidP="008A1F25">
      <w:pPr>
        <w:rPr>
          <w:rFonts w:ascii="Arial" w:hAnsi="Arial"/>
          <w:sz w:val="22"/>
          <w:szCs w:val="22"/>
        </w:rPr>
      </w:pPr>
    </w:p>
    <w:p w:rsidR="004C7F6D" w:rsidRPr="006706A8" w:rsidRDefault="004C7F6D" w:rsidP="006C3768">
      <w:pPr>
        <w:pStyle w:val="ListParagraph"/>
        <w:numPr>
          <w:ilvl w:val="1"/>
          <w:numId w:val="25"/>
        </w:numPr>
        <w:ind w:left="709" w:hanging="709"/>
        <w:jc w:val="both"/>
        <w:rPr>
          <w:rFonts w:ascii="Arial" w:hAnsi="Arial"/>
          <w:sz w:val="22"/>
          <w:szCs w:val="22"/>
        </w:rPr>
      </w:pPr>
      <w:r w:rsidRPr="006706A8">
        <w:rPr>
          <w:rFonts w:ascii="Arial" w:hAnsi="Arial"/>
          <w:sz w:val="22"/>
          <w:szCs w:val="22"/>
        </w:rPr>
        <w:t xml:space="preserve">The PBAC considered that there were no adequate data provided in the submission to support any claim of comparative safety to </w:t>
      </w:r>
      <w:proofErr w:type="spellStart"/>
      <w:r w:rsidRPr="006706A8">
        <w:rPr>
          <w:rFonts w:ascii="Arial" w:hAnsi="Arial"/>
          <w:sz w:val="22"/>
          <w:szCs w:val="22"/>
        </w:rPr>
        <w:t>fingolimod</w:t>
      </w:r>
      <w:proofErr w:type="spellEnd"/>
      <w:r w:rsidRPr="006706A8">
        <w:rPr>
          <w:rFonts w:ascii="Arial" w:hAnsi="Arial"/>
          <w:sz w:val="22"/>
          <w:szCs w:val="22"/>
        </w:rPr>
        <w:t xml:space="preserve"> or </w:t>
      </w:r>
      <w:proofErr w:type="spellStart"/>
      <w:r w:rsidRPr="006706A8">
        <w:rPr>
          <w:rFonts w:ascii="Arial" w:hAnsi="Arial"/>
          <w:sz w:val="22"/>
          <w:szCs w:val="22"/>
        </w:rPr>
        <w:t>natalizumab</w:t>
      </w:r>
      <w:proofErr w:type="spellEnd"/>
      <w:r w:rsidRPr="006706A8">
        <w:rPr>
          <w:rFonts w:ascii="Arial" w:hAnsi="Arial"/>
          <w:sz w:val="22"/>
          <w:szCs w:val="22"/>
        </w:rPr>
        <w:t xml:space="preserve">. </w:t>
      </w:r>
      <w:r w:rsidRPr="006706A8">
        <w:rPr>
          <w:rFonts w:ascii="Arial" w:hAnsi="Arial" w:cs="Arial"/>
          <w:sz w:val="22"/>
          <w:szCs w:val="22"/>
        </w:rPr>
        <w:t xml:space="preserve">The PBAC noted that there was no comparative assessment of harms </w:t>
      </w:r>
      <w:r w:rsidR="00D956EE" w:rsidRPr="006706A8">
        <w:rPr>
          <w:rFonts w:ascii="Arial" w:hAnsi="Arial" w:cs="Arial"/>
          <w:sz w:val="22"/>
          <w:szCs w:val="22"/>
        </w:rPr>
        <w:t xml:space="preserve">of </w:t>
      </w:r>
      <w:proofErr w:type="spellStart"/>
      <w:r w:rsidRPr="006706A8">
        <w:rPr>
          <w:rFonts w:ascii="Arial" w:hAnsi="Arial" w:cs="Arial"/>
          <w:sz w:val="22"/>
          <w:szCs w:val="22"/>
        </w:rPr>
        <w:t>alemtuzumab</w:t>
      </w:r>
      <w:proofErr w:type="spellEnd"/>
      <w:r w:rsidRPr="006706A8">
        <w:rPr>
          <w:rFonts w:ascii="Arial" w:hAnsi="Arial" w:cs="Arial"/>
          <w:sz w:val="22"/>
          <w:szCs w:val="22"/>
        </w:rPr>
        <w:t xml:space="preserve">, </w:t>
      </w:r>
      <w:proofErr w:type="spellStart"/>
      <w:r w:rsidRPr="006706A8">
        <w:rPr>
          <w:rFonts w:ascii="Arial" w:hAnsi="Arial" w:cs="Arial"/>
          <w:sz w:val="22"/>
          <w:szCs w:val="22"/>
        </w:rPr>
        <w:t>natalizumab</w:t>
      </w:r>
      <w:proofErr w:type="spellEnd"/>
      <w:r w:rsidRPr="006706A8">
        <w:rPr>
          <w:rFonts w:ascii="Arial" w:hAnsi="Arial" w:cs="Arial"/>
          <w:sz w:val="22"/>
          <w:szCs w:val="22"/>
        </w:rPr>
        <w:t xml:space="preserve"> and </w:t>
      </w:r>
      <w:proofErr w:type="spellStart"/>
      <w:r w:rsidRPr="006706A8">
        <w:rPr>
          <w:rFonts w:ascii="Arial" w:hAnsi="Arial" w:cs="Arial"/>
          <w:sz w:val="22"/>
          <w:szCs w:val="22"/>
        </w:rPr>
        <w:t>fingolimod</w:t>
      </w:r>
      <w:proofErr w:type="spellEnd"/>
      <w:r w:rsidRPr="006706A8">
        <w:rPr>
          <w:rFonts w:ascii="Arial" w:hAnsi="Arial" w:cs="Arial"/>
          <w:sz w:val="22"/>
          <w:szCs w:val="22"/>
        </w:rPr>
        <w:t xml:space="preserve">, though each drug has a different safety profile. The PBAC noted </w:t>
      </w:r>
      <w:r w:rsidRPr="006706A8">
        <w:rPr>
          <w:rFonts w:ascii="Arial" w:hAnsi="Arial"/>
          <w:sz w:val="22"/>
          <w:szCs w:val="22"/>
        </w:rPr>
        <w:t xml:space="preserve">in the direct randomised controlled trials against interferon beta-1a </w:t>
      </w:r>
      <w:r w:rsidRPr="006706A8">
        <w:rPr>
          <w:rFonts w:ascii="Arial" w:hAnsi="Arial" w:cs="Arial"/>
          <w:sz w:val="22"/>
          <w:szCs w:val="22"/>
        </w:rPr>
        <w:t xml:space="preserve">treatment, that patients treated with </w:t>
      </w:r>
      <w:proofErr w:type="spellStart"/>
      <w:r w:rsidRPr="006706A8">
        <w:rPr>
          <w:rFonts w:ascii="Arial" w:hAnsi="Arial" w:cs="Arial"/>
          <w:sz w:val="22"/>
          <w:szCs w:val="22"/>
        </w:rPr>
        <w:t>alemtuzumab</w:t>
      </w:r>
      <w:proofErr w:type="spellEnd"/>
      <w:r w:rsidRPr="006706A8">
        <w:rPr>
          <w:rFonts w:ascii="Arial" w:hAnsi="Arial" w:cs="Arial"/>
          <w:sz w:val="22"/>
          <w:szCs w:val="22"/>
        </w:rPr>
        <w:t xml:space="preserve"> had a higher rate of infections and required prophylactic treatment </w:t>
      </w:r>
      <w:r w:rsidR="00D956EE" w:rsidRPr="006706A8">
        <w:rPr>
          <w:rFonts w:ascii="Arial" w:hAnsi="Arial" w:cs="Arial"/>
          <w:sz w:val="22"/>
          <w:szCs w:val="22"/>
        </w:rPr>
        <w:t>with</w:t>
      </w:r>
      <w:r w:rsidRPr="006706A8">
        <w:rPr>
          <w:rFonts w:ascii="Arial" w:hAnsi="Arial" w:cs="Arial"/>
          <w:sz w:val="22"/>
          <w:szCs w:val="22"/>
        </w:rPr>
        <w:t xml:space="preserve"> methylprednisolone and </w:t>
      </w:r>
      <w:proofErr w:type="spellStart"/>
      <w:r w:rsidRPr="006706A8">
        <w:rPr>
          <w:rFonts w:ascii="Arial" w:hAnsi="Arial" w:cs="Arial"/>
          <w:sz w:val="22"/>
          <w:szCs w:val="22"/>
        </w:rPr>
        <w:t>aciclovir</w:t>
      </w:r>
      <w:proofErr w:type="spellEnd"/>
      <w:r w:rsidRPr="006706A8">
        <w:rPr>
          <w:rFonts w:ascii="Arial" w:hAnsi="Arial" w:cs="Arial"/>
          <w:sz w:val="22"/>
          <w:szCs w:val="22"/>
        </w:rPr>
        <w:t>.</w:t>
      </w:r>
    </w:p>
    <w:p w:rsidR="004C7F6D" w:rsidRPr="006706A8" w:rsidRDefault="004C7F6D" w:rsidP="00882085">
      <w:pPr>
        <w:ind w:left="720" w:hanging="720"/>
        <w:jc w:val="both"/>
        <w:rPr>
          <w:rFonts w:ascii="Arial" w:hAnsi="Arial"/>
          <w:sz w:val="22"/>
          <w:szCs w:val="22"/>
        </w:rPr>
      </w:pPr>
    </w:p>
    <w:p w:rsidR="004C7F6D" w:rsidRPr="006706A8" w:rsidRDefault="004C7F6D" w:rsidP="00882085">
      <w:pPr>
        <w:ind w:left="720" w:hanging="720"/>
        <w:jc w:val="both"/>
        <w:rPr>
          <w:rFonts w:ascii="Arial" w:hAnsi="Arial"/>
          <w:b/>
          <w:i/>
          <w:sz w:val="22"/>
          <w:szCs w:val="22"/>
        </w:rPr>
      </w:pPr>
      <w:r w:rsidRPr="006706A8">
        <w:rPr>
          <w:rFonts w:ascii="Arial" w:hAnsi="Arial"/>
          <w:b/>
          <w:i/>
          <w:sz w:val="22"/>
          <w:szCs w:val="22"/>
        </w:rPr>
        <w:t>Economic analysis</w:t>
      </w:r>
    </w:p>
    <w:p w:rsidR="004C7F6D" w:rsidRPr="006706A8" w:rsidRDefault="004C7F6D" w:rsidP="00D534DB">
      <w:pPr>
        <w:rPr>
          <w:rFonts w:ascii="Arial" w:hAnsi="Arial"/>
          <w:sz w:val="22"/>
          <w:szCs w:val="22"/>
        </w:rPr>
      </w:pPr>
    </w:p>
    <w:p w:rsidR="004C7F6D" w:rsidRPr="006706A8" w:rsidRDefault="004C7F6D" w:rsidP="00953906">
      <w:pPr>
        <w:pStyle w:val="ListParagraph"/>
        <w:numPr>
          <w:ilvl w:val="1"/>
          <w:numId w:val="25"/>
        </w:numPr>
        <w:jc w:val="both"/>
        <w:rPr>
          <w:rFonts w:ascii="Arial" w:hAnsi="Arial"/>
          <w:sz w:val="22"/>
          <w:szCs w:val="22"/>
        </w:rPr>
      </w:pPr>
      <w:r w:rsidRPr="006706A8">
        <w:rPr>
          <w:rFonts w:ascii="Arial" w:hAnsi="Arial"/>
          <w:sz w:val="22"/>
          <w:szCs w:val="22"/>
        </w:rPr>
        <w:t xml:space="preserve">The submission presents a cost-minimisation analysis comparing two years of treatment with </w:t>
      </w:r>
      <w:proofErr w:type="spellStart"/>
      <w:r w:rsidRPr="006706A8">
        <w:rPr>
          <w:rFonts w:ascii="Arial" w:hAnsi="Arial"/>
          <w:sz w:val="22"/>
          <w:szCs w:val="22"/>
        </w:rPr>
        <w:t>alemtuzumab</w:t>
      </w:r>
      <w:proofErr w:type="spellEnd"/>
      <w:r w:rsidRPr="006706A8">
        <w:rPr>
          <w:rFonts w:ascii="Arial" w:hAnsi="Arial"/>
          <w:sz w:val="22"/>
          <w:szCs w:val="22"/>
        </w:rPr>
        <w:t xml:space="preserve"> to 2-5 years of treatment with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(average </w:t>
      </w:r>
      <w:r w:rsidR="007C62F0">
        <w:rPr>
          <w:rFonts w:ascii="Arial" w:hAnsi="Arial"/>
          <w:noProof/>
          <w:color w:val="000000"/>
          <w:sz w:val="22"/>
          <w:szCs w:val="22"/>
          <w:highlight w:val="black"/>
        </w:rPr>
        <w:t xml:space="preserve">''''''''''''' </w:t>
      </w:r>
      <w:r w:rsidRPr="006706A8">
        <w:rPr>
          <w:rFonts w:ascii="Arial" w:hAnsi="Arial"/>
          <w:sz w:val="22"/>
          <w:szCs w:val="22"/>
        </w:rPr>
        <w:t xml:space="preserve">years) based on the claim of superior durability of effect. The analysis includes drug costs, prophylactic treatment costs and administration costs. The key source of uncertainty is the claimed durability of effect associated with </w:t>
      </w:r>
      <w:proofErr w:type="spellStart"/>
      <w:r w:rsidRPr="006706A8">
        <w:rPr>
          <w:rFonts w:ascii="Arial" w:hAnsi="Arial"/>
          <w:sz w:val="22"/>
          <w:szCs w:val="22"/>
        </w:rPr>
        <w:t>alemtuzumab</w:t>
      </w:r>
      <w:proofErr w:type="spellEnd"/>
      <w:r w:rsidRPr="006706A8">
        <w:rPr>
          <w:rFonts w:ascii="Arial" w:hAnsi="Arial"/>
          <w:sz w:val="22"/>
          <w:szCs w:val="22"/>
        </w:rPr>
        <w:t xml:space="preserve"> treatment.</w:t>
      </w:r>
    </w:p>
    <w:p w:rsidR="004C7F6D" w:rsidRPr="006706A8" w:rsidRDefault="004C7F6D" w:rsidP="00953906">
      <w:pPr>
        <w:rPr>
          <w:rFonts w:ascii="Arial" w:hAnsi="Arial"/>
          <w:sz w:val="22"/>
          <w:szCs w:val="22"/>
        </w:rPr>
      </w:pPr>
    </w:p>
    <w:p w:rsidR="004C7F6D" w:rsidRPr="006706A8" w:rsidRDefault="004C7F6D" w:rsidP="00922753">
      <w:pPr>
        <w:widowControl w:val="0"/>
        <w:ind w:left="709"/>
        <w:rPr>
          <w:rFonts w:ascii="Arial Narrow" w:hAnsi="Arial Narrow" w:cs="Arial"/>
          <w:b/>
          <w:snapToGrid w:val="0"/>
          <w:sz w:val="20"/>
          <w:szCs w:val="20"/>
          <w:lang w:eastAsia="en-US"/>
        </w:rPr>
      </w:pPr>
      <w:proofErr w:type="spellStart"/>
      <w:r w:rsidRPr="006706A8">
        <w:rPr>
          <w:rFonts w:ascii="Arial Narrow" w:hAnsi="Arial Narrow" w:cs="Arial"/>
          <w:b/>
          <w:snapToGrid w:val="0"/>
          <w:sz w:val="20"/>
          <w:szCs w:val="20"/>
          <w:lang w:eastAsia="en-US"/>
        </w:rPr>
        <w:t>Alemtuzumab</w:t>
      </w:r>
      <w:proofErr w:type="spellEnd"/>
      <w:r w:rsidRPr="006706A8">
        <w:rPr>
          <w:rFonts w:ascii="Arial Narrow" w:hAnsi="Arial Narrow" w:cs="Arial"/>
          <w:b/>
          <w:snapToGrid w:val="0"/>
          <w:sz w:val="20"/>
          <w:szCs w:val="20"/>
          <w:lang w:eastAsia="en-US"/>
        </w:rPr>
        <w:t xml:space="preserve"> price based on cost-minimisation analysis: base case and sensitivity analyses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Alemtuzumab price based on cost-minimisation analysis: base case and sensitivity analyses"/>
      </w:tblPr>
      <w:tblGrid>
        <w:gridCol w:w="5381"/>
        <w:gridCol w:w="2964"/>
      </w:tblGrid>
      <w:tr w:rsidR="004C7F6D" w:rsidRPr="006706A8" w:rsidTr="006172D0">
        <w:trPr>
          <w:tblHeader/>
        </w:trPr>
        <w:tc>
          <w:tcPr>
            <w:tcW w:w="3224" w:type="pct"/>
            <w:vAlign w:val="center"/>
          </w:tcPr>
          <w:p w:rsidR="004C7F6D" w:rsidRPr="006706A8" w:rsidRDefault="004C7F6D" w:rsidP="00953906">
            <w:pPr>
              <w:widowControl w:val="0"/>
              <w:rPr>
                <w:rFonts w:ascii="Arial Narrow" w:hAnsi="Arial Narrow" w:cs="Arial"/>
                <w:snapToGrid w:val="0"/>
                <w:sz w:val="20"/>
                <w:szCs w:val="20"/>
                <w:lang w:eastAsia="en-US"/>
              </w:rPr>
            </w:pPr>
            <w:r w:rsidRPr="006706A8">
              <w:rPr>
                <w:rFonts w:ascii="Arial Narrow" w:hAnsi="Arial Narrow" w:cs="Arial"/>
                <w:b/>
                <w:snapToGrid w:val="0"/>
                <w:sz w:val="20"/>
                <w:szCs w:val="20"/>
                <w:lang w:eastAsia="en-US"/>
              </w:rPr>
              <w:t>Analysis</w:t>
            </w:r>
          </w:p>
        </w:tc>
        <w:tc>
          <w:tcPr>
            <w:tcW w:w="1776" w:type="pct"/>
            <w:vAlign w:val="center"/>
          </w:tcPr>
          <w:p w:rsidR="004C7F6D" w:rsidRPr="006706A8" w:rsidRDefault="004C7F6D" w:rsidP="00953906">
            <w:pPr>
              <w:widowControl w:val="0"/>
              <w:jc w:val="center"/>
              <w:rPr>
                <w:rFonts w:ascii="Arial Narrow" w:hAnsi="Arial Narrow" w:cs="Arial"/>
                <w:snapToGrid w:val="0"/>
                <w:sz w:val="20"/>
                <w:szCs w:val="20"/>
                <w:lang w:eastAsia="en-US"/>
              </w:rPr>
            </w:pPr>
            <w:r w:rsidRPr="006706A8">
              <w:rPr>
                <w:rFonts w:ascii="Arial Narrow" w:hAnsi="Arial Narrow" w:cs="Arial"/>
                <w:b/>
                <w:snapToGrid w:val="0"/>
                <w:sz w:val="20"/>
                <w:szCs w:val="20"/>
                <w:lang w:eastAsia="en-US"/>
              </w:rPr>
              <w:t>Ex-man cost per vial</w:t>
            </w:r>
          </w:p>
        </w:tc>
      </w:tr>
      <w:tr w:rsidR="004C7F6D" w:rsidRPr="006706A8" w:rsidTr="006172D0">
        <w:tc>
          <w:tcPr>
            <w:tcW w:w="3224" w:type="pct"/>
            <w:vAlign w:val="center"/>
          </w:tcPr>
          <w:p w:rsidR="004C7F6D" w:rsidRPr="006706A8" w:rsidRDefault="004C7F6D" w:rsidP="00953906">
            <w:pPr>
              <w:widowControl w:val="0"/>
              <w:rPr>
                <w:rFonts w:ascii="Arial Narrow" w:hAnsi="Arial Narrow" w:cs="Arial"/>
                <w:iCs/>
                <w:snapToGrid w:val="0"/>
                <w:sz w:val="20"/>
                <w:szCs w:val="20"/>
                <w:lang w:eastAsia="en-US"/>
              </w:rPr>
            </w:pPr>
            <w:r w:rsidRPr="006706A8">
              <w:rPr>
                <w:rFonts w:ascii="Arial Narrow" w:hAnsi="Arial Narrow" w:cs="Arial"/>
                <w:iCs/>
                <w:snapToGrid w:val="0"/>
                <w:sz w:val="20"/>
                <w:szCs w:val="20"/>
                <w:lang w:eastAsia="en-US"/>
              </w:rPr>
              <w:t>Base case</w:t>
            </w:r>
          </w:p>
        </w:tc>
        <w:tc>
          <w:tcPr>
            <w:tcW w:w="1776" w:type="pct"/>
            <w:vAlign w:val="center"/>
          </w:tcPr>
          <w:p w:rsidR="004C7F6D" w:rsidRPr="007C62F0" w:rsidRDefault="007C62F0" w:rsidP="00953906">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4C7F6D" w:rsidRPr="006706A8" w:rsidTr="006172D0">
        <w:tc>
          <w:tcPr>
            <w:tcW w:w="3224" w:type="pct"/>
            <w:vAlign w:val="center"/>
          </w:tcPr>
          <w:p w:rsidR="004C7F6D" w:rsidRPr="006706A8" w:rsidRDefault="004C7F6D" w:rsidP="00953906">
            <w:pPr>
              <w:widowControl w:val="0"/>
              <w:rPr>
                <w:rFonts w:ascii="Arial Narrow" w:hAnsi="Arial Narrow" w:cs="Arial"/>
                <w:iCs/>
                <w:snapToGrid w:val="0"/>
                <w:sz w:val="20"/>
                <w:szCs w:val="20"/>
                <w:lang w:eastAsia="en-US"/>
              </w:rPr>
            </w:pPr>
            <w:r w:rsidRPr="006706A8">
              <w:rPr>
                <w:rFonts w:ascii="Arial Narrow" w:hAnsi="Arial Narrow" w:cs="Arial"/>
                <w:iCs/>
                <w:snapToGrid w:val="0"/>
                <w:sz w:val="20"/>
                <w:szCs w:val="20"/>
                <w:lang w:eastAsia="en-US"/>
              </w:rPr>
              <w:t>2 year treatment durability, all patients</w:t>
            </w:r>
          </w:p>
        </w:tc>
        <w:tc>
          <w:tcPr>
            <w:tcW w:w="1776" w:type="pct"/>
            <w:vAlign w:val="center"/>
          </w:tcPr>
          <w:p w:rsidR="004C7F6D" w:rsidRPr="007C62F0" w:rsidRDefault="007C62F0" w:rsidP="00953906">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4C7F6D" w:rsidRPr="006706A8" w:rsidTr="006172D0">
        <w:tc>
          <w:tcPr>
            <w:tcW w:w="3224" w:type="pct"/>
            <w:vAlign w:val="center"/>
          </w:tcPr>
          <w:p w:rsidR="004C7F6D" w:rsidRPr="006706A8" w:rsidRDefault="004C7F6D" w:rsidP="00953906">
            <w:pPr>
              <w:widowControl w:val="0"/>
              <w:rPr>
                <w:rFonts w:ascii="Arial Narrow" w:hAnsi="Arial Narrow" w:cs="Arial"/>
                <w:iCs/>
                <w:snapToGrid w:val="0"/>
                <w:sz w:val="20"/>
                <w:szCs w:val="20"/>
                <w:lang w:eastAsia="en-US"/>
              </w:rPr>
            </w:pPr>
            <w:r w:rsidRPr="006706A8">
              <w:rPr>
                <w:rFonts w:ascii="Arial Narrow" w:hAnsi="Arial Narrow" w:cs="Arial"/>
                <w:iCs/>
                <w:snapToGrid w:val="0"/>
                <w:sz w:val="20"/>
                <w:szCs w:val="20"/>
                <w:lang w:eastAsia="en-US"/>
              </w:rPr>
              <w:t>3 year treatment durability, all patients</w:t>
            </w:r>
          </w:p>
        </w:tc>
        <w:tc>
          <w:tcPr>
            <w:tcW w:w="1776" w:type="pct"/>
            <w:vAlign w:val="center"/>
          </w:tcPr>
          <w:p w:rsidR="004C7F6D" w:rsidRPr="007C62F0" w:rsidRDefault="007C62F0" w:rsidP="00953906">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4C7F6D" w:rsidRPr="006706A8" w:rsidTr="006172D0">
        <w:tc>
          <w:tcPr>
            <w:tcW w:w="3224" w:type="pct"/>
            <w:vAlign w:val="center"/>
          </w:tcPr>
          <w:p w:rsidR="004C7F6D" w:rsidRPr="006706A8" w:rsidRDefault="004C7F6D" w:rsidP="00953906">
            <w:pPr>
              <w:widowControl w:val="0"/>
              <w:rPr>
                <w:rFonts w:ascii="Arial Narrow" w:hAnsi="Arial Narrow" w:cs="Arial"/>
                <w:iCs/>
                <w:snapToGrid w:val="0"/>
                <w:sz w:val="20"/>
                <w:szCs w:val="20"/>
                <w:lang w:eastAsia="en-US"/>
              </w:rPr>
            </w:pPr>
            <w:r w:rsidRPr="006706A8">
              <w:rPr>
                <w:rFonts w:ascii="Arial Narrow" w:hAnsi="Arial Narrow" w:cs="Arial"/>
                <w:iCs/>
                <w:snapToGrid w:val="0"/>
                <w:sz w:val="20"/>
                <w:szCs w:val="20"/>
                <w:lang w:eastAsia="en-US"/>
              </w:rPr>
              <w:t>4 year treatment durability, all patients</w:t>
            </w:r>
          </w:p>
        </w:tc>
        <w:tc>
          <w:tcPr>
            <w:tcW w:w="1776" w:type="pct"/>
            <w:vAlign w:val="center"/>
          </w:tcPr>
          <w:p w:rsidR="004C7F6D" w:rsidRPr="007C62F0" w:rsidRDefault="007C62F0" w:rsidP="00953906">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4C7F6D" w:rsidRPr="006706A8" w:rsidTr="006172D0">
        <w:tc>
          <w:tcPr>
            <w:tcW w:w="3224" w:type="pct"/>
            <w:vAlign w:val="center"/>
          </w:tcPr>
          <w:p w:rsidR="004C7F6D" w:rsidRPr="006706A8" w:rsidRDefault="004C7F6D" w:rsidP="00953906">
            <w:pPr>
              <w:widowControl w:val="0"/>
              <w:rPr>
                <w:rFonts w:ascii="Arial Narrow" w:hAnsi="Arial Narrow" w:cs="Arial"/>
                <w:iCs/>
                <w:snapToGrid w:val="0"/>
                <w:sz w:val="20"/>
                <w:szCs w:val="20"/>
                <w:lang w:eastAsia="en-US"/>
              </w:rPr>
            </w:pPr>
            <w:r w:rsidRPr="006706A8">
              <w:rPr>
                <w:rFonts w:ascii="Arial Narrow" w:hAnsi="Arial Narrow" w:cs="Arial"/>
                <w:iCs/>
                <w:snapToGrid w:val="0"/>
                <w:sz w:val="20"/>
                <w:szCs w:val="20"/>
                <w:lang w:eastAsia="en-US"/>
              </w:rPr>
              <w:t>5 year treatment durability, all patients</w:t>
            </w:r>
          </w:p>
        </w:tc>
        <w:tc>
          <w:tcPr>
            <w:tcW w:w="1776" w:type="pct"/>
            <w:vAlign w:val="center"/>
          </w:tcPr>
          <w:p w:rsidR="004C7F6D" w:rsidRPr="007C62F0" w:rsidRDefault="007C62F0" w:rsidP="00953906">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bl>
    <w:p w:rsidR="004C7F6D" w:rsidRPr="006706A8" w:rsidRDefault="004C7F6D" w:rsidP="006172D0">
      <w:pPr>
        <w:widowControl w:val="0"/>
        <w:ind w:firstLine="720"/>
        <w:jc w:val="both"/>
        <w:rPr>
          <w:rFonts w:ascii="Arial Narrow" w:hAnsi="Arial Narrow" w:cs="Arial"/>
          <w:snapToGrid w:val="0"/>
          <w:sz w:val="18"/>
          <w:szCs w:val="20"/>
          <w:lang w:eastAsia="en-US"/>
        </w:rPr>
      </w:pPr>
      <w:r w:rsidRPr="006706A8">
        <w:rPr>
          <w:rFonts w:ascii="Arial Narrow" w:hAnsi="Arial Narrow" w:cs="Arial"/>
          <w:snapToGrid w:val="0"/>
          <w:sz w:val="18"/>
          <w:szCs w:val="20"/>
          <w:lang w:eastAsia="en-US"/>
        </w:rPr>
        <w:t xml:space="preserve">Source: Constructed during the evaluation using the </w:t>
      </w:r>
      <w:proofErr w:type="spellStart"/>
      <w:r w:rsidRPr="006706A8">
        <w:rPr>
          <w:rFonts w:ascii="Arial Narrow" w:hAnsi="Arial Narrow" w:cs="Arial"/>
          <w:snapToGrid w:val="0"/>
          <w:sz w:val="18"/>
          <w:szCs w:val="20"/>
          <w:lang w:eastAsia="en-US"/>
        </w:rPr>
        <w:t>Alemtuzumab</w:t>
      </w:r>
      <w:proofErr w:type="spellEnd"/>
      <w:r w:rsidRPr="006706A8">
        <w:rPr>
          <w:rFonts w:ascii="Arial Narrow" w:hAnsi="Arial Narrow" w:cs="Arial"/>
          <w:snapToGrid w:val="0"/>
          <w:sz w:val="18"/>
          <w:szCs w:val="20"/>
          <w:lang w:eastAsia="en-US"/>
        </w:rPr>
        <w:t xml:space="preserve"> Section D excel spreadsheet</w:t>
      </w:r>
    </w:p>
    <w:p w:rsidR="004C7F6D" w:rsidRPr="006706A8" w:rsidRDefault="004C7F6D" w:rsidP="00953906">
      <w:pPr>
        <w:jc w:val="both"/>
        <w:rPr>
          <w:rFonts w:ascii="Arial" w:hAnsi="Arial"/>
          <w:sz w:val="22"/>
          <w:szCs w:val="22"/>
        </w:rPr>
      </w:pPr>
    </w:p>
    <w:p w:rsidR="004C7F6D" w:rsidRPr="006706A8" w:rsidRDefault="004C7F6D" w:rsidP="00E061A0">
      <w:pPr>
        <w:pStyle w:val="ListParagraph"/>
        <w:numPr>
          <w:ilvl w:val="1"/>
          <w:numId w:val="25"/>
        </w:numPr>
        <w:jc w:val="both"/>
        <w:rPr>
          <w:rFonts w:ascii="Arial" w:hAnsi="Arial"/>
          <w:sz w:val="22"/>
          <w:szCs w:val="22"/>
        </w:rPr>
      </w:pPr>
      <w:r w:rsidRPr="006706A8">
        <w:rPr>
          <w:rFonts w:ascii="Arial" w:hAnsi="Arial"/>
          <w:sz w:val="22"/>
          <w:szCs w:val="22"/>
        </w:rPr>
        <w:t xml:space="preserve">Additionally, the cost-minimisation does not include adverse events costs, drug monitoring costs (fully funded by sponsor) and costs associated with healthcare professional attendances. The analysis does not account for </w:t>
      </w:r>
      <w:proofErr w:type="spellStart"/>
      <w:r w:rsidRPr="006706A8">
        <w:rPr>
          <w:rFonts w:ascii="Arial" w:hAnsi="Arial"/>
          <w:sz w:val="22"/>
          <w:szCs w:val="22"/>
        </w:rPr>
        <w:t>alemtuzumab</w:t>
      </w:r>
      <w:proofErr w:type="spellEnd"/>
      <w:r w:rsidRPr="006706A8">
        <w:rPr>
          <w:rFonts w:ascii="Arial" w:hAnsi="Arial"/>
          <w:sz w:val="22"/>
          <w:szCs w:val="22"/>
        </w:rPr>
        <w:t xml:space="preserve"> re-treatments beyond the standard two course of therapy.</w:t>
      </w:r>
    </w:p>
    <w:p w:rsidR="004C7F6D" w:rsidRPr="006706A8" w:rsidRDefault="004C7F6D" w:rsidP="00E061A0">
      <w:pPr>
        <w:jc w:val="both"/>
        <w:rPr>
          <w:rFonts w:ascii="Arial" w:hAnsi="Arial" w:cs="Arial"/>
          <w:sz w:val="22"/>
          <w:szCs w:val="22"/>
        </w:rPr>
      </w:pPr>
    </w:p>
    <w:p w:rsidR="004C7F6D" w:rsidRPr="006706A8" w:rsidRDefault="004C7F6D" w:rsidP="00E061A0">
      <w:pPr>
        <w:pStyle w:val="ListParagraph"/>
        <w:numPr>
          <w:ilvl w:val="1"/>
          <w:numId w:val="25"/>
        </w:numPr>
        <w:jc w:val="both"/>
        <w:rPr>
          <w:rFonts w:ascii="Arial" w:hAnsi="Arial" w:cs="Arial"/>
          <w:sz w:val="22"/>
          <w:szCs w:val="22"/>
        </w:rPr>
      </w:pPr>
      <w:r w:rsidRPr="006706A8">
        <w:rPr>
          <w:rFonts w:ascii="Arial" w:hAnsi="Arial" w:cs="Arial"/>
          <w:sz w:val="22"/>
          <w:szCs w:val="22"/>
        </w:rPr>
        <w:t>The ESC agreed with the Commentary that a modelled cost-utility analysis may be more appropriate to better account for the differences in the risk/benefit profile (both short-term and long-term) between treatments.</w:t>
      </w:r>
    </w:p>
    <w:p w:rsidR="004C7F6D" w:rsidRPr="006706A8" w:rsidRDefault="004C7F6D" w:rsidP="00AD3287">
      <w:pPr>
        <w:rPr>
          <w:rFonts w:ascii="Arial" w:hAnsi="Arial" w:cs="Arial"/>
          <w:sz w:val="22"/>
          <w:szCs w:val="22"/>
        </w:rPr>
      </w:pPr>
    </w:p>
    <w:p w:rsidR="004C7F6D" w:rsidRPr="006706A8" w:rsidRDefault="004C7F6D" w:rsidP="00AD3287">
      <w:pPr>
        <w:pStyle w:val="ListParagraph"/>
        <w:numPr>
          <w:ilvl w:val="1"/>
          <w:numId w:val="25"/>
        </w:numPr>
        <w:ind w:left="709" w:hanging="709"/>
        <w:jc w:val="both"/>
        <w:rPr>
          <w:rFonts w:ascii="Arial" w:hAnsi="Arial" w:cs="Arial"/>
          <w:sz w:val="22"/>
          <w:szCs w:val="22"/>
        </w:rPr>
      </w:pPr>
      <w:r w:rsidRPr="006706A8">
        <w:rPr>
          <w:rFonts w:ascii="Arial" w:hAnsi="Arial" w:cs="Arial"/>
          <w:sz w:val="22"/>
          <w:szCs w:val="22"/>
        </w:rPr>
        <w:lastRenderedPageBreak/>
        <w:t xml:space="preserve">With the evidence provided, the PBAC did not accept the submission’s claim of durability of effect, and so considered it was inappropriate to compare two years treatment with </w:t>
      </w:r>
      <w:proofErr w:type="spellStart"/>
      <w:r w:rsidRPr="006706A8">
        <w:rPr>
          <w:rFonts w:ascii="Arial" w:hAnsi="Arial" w:cs="Arial"/>
          <w:sz w:val="22"/>
          <w:szCs w:val="22"/>
        </w:rPr>
        <w:t>alemtuzumab</w:t>
      </w:r>
      <w:proofErr w:type="spellEnd"/>
      <w:r w:rsidRPr="006706A8">
        <w:rPr>
          <w:rFonts w:ascii="Arial" w:hAnsi="Arial" w:cs="Arial"/>
          <w:sz w:val="22"/>
          <w:szCs w:val="22"/>
        </w:rPr>
        <w:t xml:space="preserve"> with 2</w:t>
      </w:r>
      <w:r w:rsidRPr="006706A8">
        <w:rPr>
          <w:rFonts w:ascii="Arial" w:hAnsi="Arial" w:cs="Arial"/>
          <w:sz w:val="22"/>
          <w:szCs w:val="22"/>
        </w:rPr>
        <w:noBreakHyphen/>
        <w:t xml:space="preserve">5 (average of </w:t>
      </w:r>
      <w:r w:rsidR="007C62F0">
        <w:rPr>
          <w:rFonts w:ascii="Arial" w:hAnsi="Arial" w:cs="Arial"/>
          <w:noProof/>
          <w:color w:val="000000"/>
          <w:sz w:val="22"/>
          <w:szCs w:val="22"/>
          <w:highlight w:val="black"/>
        </w:rPr>
        <w:t>'''''''''''''</w:t>
      </w:r>
      <w:r w:rsidRPr="006706A8">
        <w:rPr>
          <w:rFonts w:ascii="Arial" w:hAnsi="Arial" w:cs="Arial"/>
          <w:sz w:val="22"/>
          <w:szCs w:val="22"/>
        </w:rPr>
        <w:t xml:space="preserve">) years duration of treatment with </w:t>
      </w:r>
      <w:proofErr w:type="spellStart"/>
      <w:r w:rsidRPr="006706A8">
        <w:rPr>
          <w:rFonts w:ascii="Arial" w:hAnsi="Arial" w:cs="Arial"/>
          <w:sz w:val="22"/>
          <w:szCs w:val="22"/>
        </w:rPr>
        <w:t>fingolimod</w:t>
      </w:r>
      <w:proofErr w:type="spellEnd"/>
      <w:r w:rsidRPr="006706A8">
        <w:rPr>
          <w:rFonts w:ascii="Arial" w:hAnsi="Arial" w:cs="Arial"/>
          <w:sz w:val="22"/>
          <w:szCs w:val="22"/>
        </w:rPr>
        <w:t xml:space="preserve"> or </w:t>
      </w:r>
      <w:proofErr w:type="spellStart"/>
      <w:r w:rsidRPr="006706A8">
        <w:rPr>
          <w:rFonts w:ascii="Arial" w:hAnsi="Arial" w:cs="Arial"/>
          <w:sz w:val="22"/>
          <w:szCs w:val="22"/>
        </w:rPr>
        <w:t>natalizumab</w:t>
      </w:r>
      <w:proofErr w:type="spellEnd"/>
      <w:r w:rsidRPr="006706A8">
        <w:rPr>
          <w:rFonts w:ascii="Arial" w:hAnsi="Arial" w:cs="Arial"/>
          <w:sz w:val="22"/>
          <w:szCs w:val="22"/>
        </w:rPr>
        <w:t xml:space="preserve">. The PBAC considered that cost-minimisation based on two years of treatment with </w:t>
      </w:r>
      <w:proofErr w:type="spellStart"/>
      <w:r w:rsidRPr="006706A8">
        <w:rPr>
          <w:rFonts w:ascii="Arial" w:hAnsi="Arial" w:cs="Arial"/>
          <w:sz w:val="22"/>
          <w:szCs w:val="22"/>
        </w:rPr>
        <w:t>fingolimod</w:t>
      </w:r>
      <w:proofErr w:type="spellEnd"/>
      <w:r w:rsidRPr="006706A8">
        <w:rPr>
          <w:rFonts w:ascii="Arial" w:hAnsi="Arial" w:cs="Arial"/>
          <w:sz w:val="22"/>
          <w:szCs w:val="22"/>
        </w:rPr>
        <w:t xml:space="preserve"> or </w:t>
      </w:r>
      <w:proofErr w:type="spellStart"/>
      <w:r w:rsidRPr="006706A8">
        <w:rPr>
          <w:rFonts w:ascii="Arial" w:hAnsi="Arial" w:cs="Arial"/>
          <w:sz w:val="22"/>
          <w:szCs w:val="22"/>
        </w:rPr>
        <w:t>natalizumab</w:t>
      </w:r>
      <w:proofErr w:type="spellEnd"/>
      <w:r w:rsidRPr="006706A8">
        <w:rPr>
          <w:rFonts w:ascii="Arial" w:hAnsi="Arial" w:cs="Arial"/>
          <w:sz w:val="22"/>
          <w:szCs w:val="22"/>
        </w:rPr>
        <w:t xml:space="preserve"> was supported by the available data. This duration of two years is based on the follow-up of the CARE randomised trials, not the interim results of the CARE MS extension studies. The PBAC considered that any price advantage for </w:t>
      </w:r>
      <w:proofErr w:type="spellStart"/>
      <w:r w:rsidRPr="006706A8">
        <w:rPr>
          <w:rFonts w:ascii="Arial" w:hAnsi="Arial" w:cs="Arial"/>
          <w:sz w:val="22"/>
          <w:szCs w:val="22"/>
        </w:rPr>
        <w:t>fingolimod</w:t>
      </w:r>
      <w:proofErr w:type="spellEnd"/>
      <w:r w:rsidRPr="006706A8">
        <w:rPr>
          <w:rFonts w:ascii="Arial" w:hAnsi="Arial" w:cs="Arial"/>
          <w:sz w:val="22"/>
          <w:szCs w:val="22"/>
        </w:rPr>
        <w:t xml:space="preserve"> accounting for its oral form should not apply in the cost-minimisation analysis. The PBAC also agreed that, given the adverse effect profile of </w:t>
      </w:r>
      <w:proofErr w:type="spellStart"/>
      <w:r w:rsidR="00115352" w:rsidRPr="006706A8">
        <w:rPr>
          <w:rFonts w:ascii="Arial" w:hAnsi="Arial" w:cs="Arial"/>
          <w:sz w:val="22"/>
          <w:szCs w:val="22"/>
        </w:rPr>
        <w:t>alemtuzumab</w:t>
      </w:r>
      <w:proofErr w:type="spellEnd"/>
      <w:r w:rsidR="00115352" w:rsidRPr="006706A8">
        <w:rPr>
          <w:rFonts w:ascii="Arial" w:hAnsi="Arial" w:cs="Arial"/>
          <w:sz w:val="22"/>
          <w:szCs w:val="22"/>
        </w:rPr>
        <w:t xml:space="preserve"> that</w:t>
      </w:r>
      <w:r w:rsidRPr="006706A8">
        <w:rPr>
          <w:rFonts w:ascii="Arial" w:hAnsi="Arial" w:cs="Arial"/>
          <w:sz w:val="22"/>
          <w:szCs w:val="22"/>
        </w:rPr>
        <w:t xml:space="preserve"> offsets for infection management as well as prophylaxis should be accounted for in the cost comparison with </w:t>
      </w:r>
      <w:proofErr w:type="spellStart"/>
      <w:r w:rsidRPr="006706A8">
        <w:rPr>
          <w:rFonts w:ascii="Arial" w:hAnsi="Arial" w:cs="Arial"/>
          <w:sz w:val="22"/>
          <w:szCs w:val="22"/>
        </w:rPr>
        <w:t>fingolimod</w:t>
      </w:r>
      <w:proofErr w:type="spellEnd"/>
      <w:r w:rsidRPr="006706A8">
        <w:rPr>
          <w:rFonts w:ascii="Arial" w:hAnsi="Arial" w:cs="Arial"/>
          <w:sz w:val="22"/>
          <w:szCs w:val="22"/>
        </w:rPr>
        <w:t>.</w:t>
      </w:r>
      <w:r w:rsidR="00115352">
        <w:rPr>
          <w:rFonts w:ascii="Arial" w:hAnsi="Arial" w:cs="Arial"/>
          <w:sz w:val="22"/>
          <w:szCs w:val="22"/>
        </w:rPr>
        <w:t xml:space="preserve"> </w:t>
      </w:r>
      <w:r w:rsidR="00115352" w:rsidRPr="00115352">
        <w:rPr>
          <w:rFonts w:ascii="Arial" w:hAnsi="Arial" w:cs="Arial"/>
          <w:sz w:val="22"/>
          <w:szCs w:val="22"/>
        </w:rPr>
        <w:t xml:space="preserve">The PBAC noted the submission, based on a clinician survey, stated that </w:t>
      </w:r>
      <w:r w:rsidR="00115352" w:rsidRPr="00115352">
        <w:rPr>
          <w:rFonts w:ascii="Arial" w:hAnsi="Arial" w:cs="Arial"/>
          <w:bCs/>
          <w:sz w:val="22"/>
          <w:szCs w:val="22"/>
        </w:rPr>
        <w:t xml:space="preserve">the relative proportion of use from replacement of </w:t>
      </w:r>
      <w:proofErr w:type="spellStart"/>
      <w:r w:rsidR="00C42322" w:rsidRPr="00115352">
        <w:rPr>
          <w:rFonts w:ascii="Arial" w:hAnsi="Arial" w:cs="Arial"/>
          <w:bCs/>
          <w:sz w:val="22"/>
          <w:szCs w:val="22"/>
        </w:rPr>
        <w:t>natalizumab</w:t>
      </w:r>
      <w:proofErr w:type="spellEnd"/>
      <w:r w:rsidR="00C42322" w:rsidRPr="00115352">
        <w:rPr>
          <w:rFonts w:ascii="Arial" w:hAnsi="Arial" w:cs="Arial"/>
          <w:bCs/>
          <w:sz w:val="22"/>
          <w:szCs w:val="22"/>
        </w:rPr>
        <w:t xml:space="preserve"> and</w:t>
      </w:r>
      <w:r w:rsidR="00115352" w:rsidRPr="00115352">
        <w:rPr>
          <w:rFonts w:ascii="Arial" w:hAnsi="Arial" w:cs="Arial"/>
          <w:bCs/>
          <w:sz w:val="22"/>
          <w:szCs w:val="22"/>
        </w:rPr>
        <w:t xml:space="preserve"> </w:t>
      </w:r>
      <w:proofErr w:type="spellStart"/>
      <w:r w:rsidR="00115352" w:rsidRPr="00115352">
        <w:rPr>
          <w:rFonts w:ascii="Arial" w:hAnsi="Arial" w:cs="Arial"/>
          <w:bCs/>
          <w:sz w:val="22"/>
          <w:szCs w:val="22"/>
        </w:rPr>
        <w:t>fingolimod</w:t>
      </w:r>
      <w:proofErr w:type="spellEnd"/>
      <w:r w:rsidR="00115352" w:rsidRPr="00115352">
        <w:rPr>
          <w:rFonts w:ascii="Arial" w:hAnsi="Arial" w:cs="Arial"/>
          <w:bCs/>
          <w:sz w:val="22"/>
          <w:szCs w:val="22"/>
        </w:rPr>
        <w:t xml:space="preserve"> is </w:t>
      </w:r>
      <w:r w:rsidR="007C62F0">
        <w:rPr>
          <w:rFonts w:ascii="Arial" w:hAnsi="Arial" w:cs="Arial"/>
          <w:bCs/>
          <w:noProof/>
          <w:color w:val="000000"/>
          <w:sz w:val="22"/>
          <w:szCs w:val="22"/>
          <w:highlight w:val="black"/>
        </w:rPr>
        <w:t>'''''''''''' ''''''''' '''''''''''''</w:t>
      </w:r>
      <w:r w:rsidR="00115352" w:rsidRPr="00115352">
        <w:rPr>
          <w:rFonts w:ascii="Arial" w:hAnsi="Arial" w:cs="Arial"/>
          <w:bCs/>
          <w:sz w:val="22"/>
          <w:szCs w:val="22"/>
        </w:rPr>
        <w:t xml:space="preserve"> respectivel</w:t>
      </w:r>
      <w:r w:rsidR="00115352">
        <w:rPr>
          <w:rFonts w:ascii="Arial" w:hAnsi="Arial" w:cs="Arial"/>
          <w:bCs/>
          <w:sz w:val="22"/>
          <w:szCs w:val="22"/>
        </w:rPr>
        <w:t xml:space="preserve">y. The PBAC considered given the </w:t>
      </w:r>
      <w:r w:rsidR="00C42322">
        <w:rPr>
          <w:rFonts w:ascii="Arial" w:hAnsi="Arial" w:cs="Arial"/>
          <w:bCs/>
          <w:sz w:val="22"/>
          <w:szCs w:val="22"/>
        </w:rPr>
        <w:t>uncertainty</w:t>
      </w:r>
      <w:r w:rsidR="00115352">
        <w:rPr>
          <w:rFonts w:ascii="Arial" w:hAnsi="Arial" w:cs="Arial"/>
          <w:bCs/>
          <w:sz w:val="22"/>
          <w:szCs w:val="22"/>
        </w:rPr>
        <w:t xml:space="preserve"> of how </w:t>
      </w:r>
      <w:proofErr w:type="spellStart"/>
      <w:r w:rsidR="00C42322">
        <w:rPr>
          <w:rFonts w:ascii="Arial" w:hAnsi="Arial" w:cs="Arial"/>
          <w:bCs/>
          <w:sz w:val="22"/>
          <w:szCs w:val="22"/>
        </w:rPr>
        <w:t>alemtuzumab</w:t>
      </w:r>
      <w:proofErr w:type="spellEnd"/>
      <w:r w:rsidR="00C42322">
        <w:rPr>
          <w:rFonts w:ascii="Arial" w:hAnsi="Arial" w:cs="Arial"/>
          <w:bCs/>
          <w:sz w:val="22"/>
          <w:szCs w:val="22"/>
        </w:rPr>
        <w:t xml:space="preserve"> would be used in </w:t>
      </w:r>
      <w:r w:rsidR="00F1078B">
        <w:rPr>
          <w:rFonts w:ascii="Arial" w:hAnsi="Arial" w:cs="Arial"/>
          <w:bCs/>
          <w:sz w:val="22"/>
          <w:szCs w:val="22"/>
        </w:rPr>
        <w:t xml:space="preserve">clinical </w:t>
      </w:r>
      <w:r w:rsidR="00C42322">
        <w:rPr>
          <w:rFonts w:ascii="Arial" w:hAnsi="Arial" w:cs="Arial"/>
          <w:bCs/>
          <w:sz w:val="22"/>
          <w:szCs w:val="22"/>
        </w:rPr>
        <w:t>practice</w:t>
      </w:r>
      <w:r w:rsidR="00220CB8">
        <w:rPr>
          <w:rFonts w:ascii="Arial" w:hAnsi="Arial" w:cs="Arial"/>
          <w:bCs/>
          <w:sz w:val="22"/>
          <w:szCs w:val="22"/>
        </w:rPr>
        <w:t>,</w:t>
      </w:r>
      <w:r w:rsidR="00C42322">
        <w:rPr>
          <w:rFonts w:ascii="Arial" w:hAnsi="Arial" w:cs="Arial"/>
          <w:bCs/>
          <w:sz w:val="22"/>
          <w:szCs w:val="22"/>
        </w:rPr>
        <w:t xml:space="preserve"> that a weighting of 50:50 would be more appropriate. </w:t>
      </w:r>
    </w:p>
    <w:p w:rsidR="004C7F6D" w:rsidRPr="006706A8" w:rsidRDefault="004C7F6D" w:rsidP="00882085">
      <w:pPr>
        <w:ind w:left="720" w:hanging="720"/>
        <w:jc w:val="both"/>
        <w:rPr>
          <w:rFonts w:ascii="Arial" w:hAnsi="Arial"/>
          <w:sz w:val="22"/>
          <w:szCs w:val="22"/>
        </w:rPr>
      </w:pPr>
    </w:p>
    <w:p w:rsidR="004C7F6D" w:rsidRPr="006706A8" w:rsidRDefault="004C7F6D" w:rsidP="00FF2A1D">
      <w:pPr>
        <w:widowControl w:val="0"/>
        <w:jc w:val="both"/>
        <w:rPr>
          <w:rFonts w:ascii="Arial" w:hAnsi="Arial" w:cs="Arial"/>
          <w:i/>
          <w:sz w:val="22"/>
          <w:szCs w:val="20"/>
          <w:lang w:eastAsia="en-US"/>
        </w:rPr>
      </w:pPr>
      <w:bookmarkStart w:id="0" w:name="_Toc382552907"/>
      <w:r w:rsidRPr="006706A8">
        <w:rPr>
          <w:rFonts w:ascii="Arial" w:hAnsi="Arial" w:cs="Arial"/>
          <w:b/>
          <w:i/>
          <w:sz w:val="22"/>
          <w:szCs w:val="20"/>
          <w:lang w:eastAsia="en-US"/>
        </w:rPr>
        <w:t>Drug cost/patient</w:t>
      </w:r>
      <w:bookmarkEnd w:id="0"/>
      <w:r w:rsidRPr="006706A8">
        <w:rPr>
          <w:rFonts w:ascii="Arial" w:hAnsi="Arial" w:cs="Arial"/>
          <w:b/>
          <w:i/>
          <w:sz w:val="22"/>
          <w:szCs w:val="20"/>
          <w:lang w:eastAsia="en-US"/>
        </w:rPr>
        <w:t>/course (over 2 years)</w:t>
      </w:r>
    </w:p>
    <w:p w:rsidR="004C7F6D" w:rsidRPr="006706A8" w:rsidRDefault="004C7F6D" w:rsidP="00FF2A1D">
      <w:pPr>
        <w:widowControl w:val="0"/>
        <w:jc w:val="both"/>
        <w:rPr>
          <w:rFonts w:ascii="Arial" w:hAnsi="Arial" w:cs="Arial"/>
          <w:sz w:val="22"/>
          <w:szCs w:val="20"/>
          <w:lang w:eastAsia="en-US"/>
        </w:rPr>
      </w:pPr>
    </w:p>
    <w:p w:rsidR="004C7F6D" w:rsidRPr="006706A8" w:rsidRDefault="004C7F6D" w:rsidP="004073F9">
      <w:pPr>
        <w:pStyle w:val="ListParagraph"/>
        <w:widowControl w:val="0"/>
        <w:numPr>
          <w:ilvl w:val="1"/>
          <w:numId w:val="25"/>
        </w:numPr>
        <w:jc w:val="both"/>
        <w:rPr>
          <w:rFonts w:ascii="Arial" w:hAnsi="Arial" w:cs="Arial"/>
          <w:sz w:val="22"/>
          <w:szCs w:val="20"/>
          <w:lang w:eastAsia="en-US"/>
        </w:rPr>
      </w:pPr>
      <w:r w:rsidRPr="006706A8">
        <w:rPr>
          <w:rFonts w:ascii="Arial" w:hAnsi="Arial" w:cs="Arial"/>
          <w:sz w:val="22"/>
          <w:szCs w:val="20"/>
          <w:lang w:eastAsia="en-US"/>
        </w:rPr>
        <w:t>In the submission, based on the proposed ex-manufacturer list price</w:t>
      </w:r>
      <w:r w:rsidR="00B9652B">
        <w:rPr>
          <w:rFonts w:ascii="Arial" w:hAnsi="Arial" w:cs="Arial"/>
          <w:sz w:val="22"/>
          <w:szCs w:val="20"/>
          <w:lang w:eastAsia="en-US"/>
        </w:rPr>
        <w:t xml:space="preserve"> and cost-minimisation approach</w:t>
      </w:r>
      <w:r w:rsidR="00D956EE" w:rsidRPr="006706A8">
        <w:rPr>
          <w:rFonts w:ascii="Arial" w:hAnsi="Arial" w:cs="Arial"/>
          <w:sz w:val="22"/>
          <w:szCs w:val="20"/>
          <w:lang w:eastAsia="en-US"/>
        </w:rPr>
        <w:t>,</w:t>
      </w:r>
      <w:r w:rsidRPr="006706A8">
        <w:rPr>
          <w:rFonts w:ascii="Arial" w:hAnsi="Arial" w:cs="Arial"/>
          <w:sz w:val="22"/>
          <w:szCs w:val="20"/>
          <w:lang w:eastAsia="en-US"/>
        </w:rPr>
        <w:t xml:space="preserve"> </w:t>
      </w:r>
      <w:proofErr w:type="spellStart"/>
      <w:r w:rsidRPr="006706A8">
        <w:rPr>
          <w:rFonts w:ascii="Arial" w:hAnsi="Arial" w:cs="Arial"/>
          <w:sz w:val="22"/>
          <w:szCs w:val="20"/>
          <w:lang w:eastAsia="en-US"/>
        </w:rPr>
        <w:t>alemtuzumab</w:t>
      </w:r>
      <w:proofErr w:type="spellEnd"/>
      <w:r w:rsidRPr="006706A8">
        <w:rPr>
          <w:rFonts w:ascii="Arial" w:hAnsi="Arial" w:cs="Arial"/>
          <w:sz w:val="22"/>
          <w:szCs w:val="20"/>
          <w:lang w:eastAsia="en-US"/>
        </w:rPr>
        <w:t xml:space="preserve"> will cost </w:t>
      </w:r>
      <w:r w:rsidR="007C62F0">
        <w:rPr>
          <w:rFonts w:ascii="Arial" w:hAnsi="Arial" w:cs="Arial"/>
          <w:noProof/>
          <w:color w:val="000000"/>
          <w:sz w:val="22"/>
          <w:szCs w:val="20"/>
          <w:highlight w:val="black"/>
          <w:lang w:eastAsia="en-US"/>
        </w:rPr>
        <w:t>''''''''''''''''''''</w:t>
      </w:r>
      <w:r w:rsidRPr="006706A8">
        <w:rPr>
          <w:rFonts w:ascii="Arial" w:hAnsi="Arial" w:cs="Arial"/>
          <w:sz w:val="22"/>
          <w:szCs w:val="20"/>
          <w:lang w:eastAsia="en-US"/>
        </w:rPr>
        <w:t xml:space="preserve"> for the standard two courses of therapy (one course per year for two years). The annual ex-manufacturer list price is $28,243 for </w:t>
      </w:r>
      <w:proofErr w:type="spellStart"/>
      <w:r w:rsidRPr="006706A8">
        <w:rPr>
          <w:rFonts w:ascii="Arial" w:hAnsi="Arial" w:cs="Arial"/>
          <w:sz w:val="22"/>
          <w:szCs w:val="20"/>
          <w:lang w:eastAsia="en-US"/>
        </w:rPr>
        <w:t>fingolimod</w:t>
      </w:r>
      <w:proofErr w:type="spellEnd"/>
      <w:r w:rsidRPr="006706A8">
        <w:rPr>
          <w:rFonts w:ascii="Arial" w:hAnsi="Arial" w:cs="Arial"/>
          <w:sz w:val="22"/>
          <w:szCs w:val="20"/>
          <w:lang w:eastAsia="en-US"/>
        </w:rPr>
        <w:t xml:space="preserve"> and $26,500 for </w:t>
      </w:r>
      <w:proofErr w:type="spellStart"/>
      <w:r w:rsidRPr="006706A8">
        <w:rPr>
          <w:rFonts w:ascii="Arial" w:hAnsi="Arial" w:cs="Arial"/>
          <w:sz w:val="22"/>
          <w:szCs w:val="20"/>
          <w:lang w:eastAsia="en-US"/>
        </w:rPr>
        <w:t>natalizumab</w:t>
      </w:r>
      <w:proofErr w:type="spellEnd"/>
      <w:r w:rsidRPr="006706A8">
        <w:rPr>
          <w:rFonts w:ascii="Arial" w:hAnsi="Arial" w:cs="Arial"/>
          <w:sz w:val="22"/>
          <w:szCs w:val="20"/>
          <w:lang w:eastAsia="en-US"/>
        </w:rPr>
        <w:t>.</w:t>
      </w:r>
    </w:p>
    <w:p w:rsidR="004C7F6D" w:rsidRPr="006706A8" w:rsidRDefault="004C7F6D" w:rsidP="00882085">
      <w:pPr>
        <w:ind w:left="720" w:hanging="720"/>
        <w:jc w:val="both"/>
        <w:rPr>
          <w:rFonts w:ascii="Arial" w:hAnsi="Arial"/>
          <w:sz w:val="22"/>
          <w:szCs w:val="22"/>
        </w:rPr>
      </w:pPr>
    </w:p>
    <w:p w:rsidR="004C7F6D" w:rsidRPr="006706A8" w:rsidRDefault="004C7F6D" w:rsidP="00882085">
      <w:pPr>
        <w:ind w:left="720" w:hanging="720"/>
        <w:jc w:val="both"/>
        <w:rPr>
          <w:rFonts w:ascii="Arial" w:hAnsi="Arial"/>
          <w:b/>
          <w:i/>
          <w:sz w:val="22"/>
          <w:szCs w:val="22"/>
        </w:rPr>
      </w:pPr>
      <w:r w:rsidRPr="006706A8">
        <w:rPr>
          <w:rFonts w:ascii="Arial" w:hAnsi="Arial"/>
          <w:b/>
          <w:i/>
          <w:sz w:val="22"/>
          <w:szCs w:val="22"/>
        </w:rPr>
        <w:t>Estimated PBS usage &amp; financial implications</w:t>
      </w:r>
    </w:p>
    <w:p w:rsidR="004C7F6D" w:rsidRPr="006706A8" w:rsidRDefault="004C7F6D" w:rsidP="00860569">
      <w:pPr>
        <w:jc w:val="both"/>
        <w:rPr>
          <w:rFonts w:ascii="Arial" w:hAnsi="Arial"/>
          <w:sz w:val="22"/>
          <w:szCs w:val="22"/>
        </w:rPr>
      </w:pPr>
    </w:p>
    <w:p w:rsidR="004C7F6D" w:rsidRPr="006706A8" w:rsidRDefault="004C7F6D" w:rsidP="00AA7D38">
      <w:pPr>
        <w:pStyle w:val="ListParagraph"/>
        <w:numPr>
          <w:ilvl w:val="1"/>
          <w:numId w:val="25"/>
        </w:numPr>
        <w:jc w:val="both"/>
        <w:rPr>
          <w:rFonts w:ascii="Arial" w:hAnsi="Arial"/>
          <w:sz w:val="22"/>
          <w:szCs w:val="22"/>
        </w:rPr>
      </w:pPr>
      <w:r w:rsidRPr="006706A8">
        <w:rPr>
          <w:rFonts w:ascii="Arial" w:hAnsi="Arial"/>
          <w:sz w:val="22"/>
          <w:szCs w:val="22"/>
        </w:rPr>
        <w:t>This submission was not considered by DUSC. The estimated PBS usage and financial implications presented in the submission are shown below.</w:t>
      </w:r>
    </w:p>
    <w:p w:rsidR="004C7F6D" w:rsidRPr="006706A8" w:rsidRDefault="004C7F6D" w:rsidP="003E5920">
      <w:pPr>
        <w:jc w:val="both"/>
        <w:rPr>
          <w:rFonts w:ascii="Arial" w:hAnsi="Arial"/>
          <w:sz w:val="22"/>
          <w:szCs w:val="22"/>
        </w:rPr>
      </w:pPr>
    </w:p>
    <w:p w:rsidR="004C7F6D" w:rsidRPr="007C62F0" w:rsidRDefault="004C7F6D" w:rsidP="00860569">
      <w:pPr>
        <w:pStyle w:val="COMtbl-HEADLeftAligned"/>
        <w:rPr>
          <w:highlight w:val="black"/>
        </w:rPr>
      </w:pPr>
      <w:r w:rsidRPr="006706A8">
        <w:tab/>
      </w:r>
      <w:r w:rsidR="007C62F0">
        <w:rPr>
          <w:noProof/>
          <w:color w:val="000000"/>
          <w:highlight w:val="black"/>
        </w:rPr>
        <w:t>'''''''''''''''''''' '''''''' ''''''''' '''''''''''''''''' '''''''''''''''''''''''''''</w:t>
      </w:r>
    </w:p>
    <w:tbl>
      <w:tblPr>
        <w:tblW w:w="459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68"/>
        <w:gridCol w:w="1196"/>
        <w:gridCol w:w="1196"/>
        <w:gridCol w:w="1196"/>
        <w:gridCol w:w="1195"/>
        <w:gridCol w:w="1197"/>
      </w:tblGrid>
      <w:tr w:rsidR="004C7F6D" w:rsidRPr="00DF05BB" w:rsidTr="006172D0">
        <w:trPr>
          <w:trHeight w:val="64"/>
        </w:trPr>
        <w:tc>
          <w:tcPr>
            <w:tcW w:w="1418" w:type="pct"/>
            <w:vAlign w:val="center"/>
          </w:tcPr>
          <w:p w:rsidR="004C7F6D" w:rsidRPr="007C62F0" w:rsidRDefault="004C7F6D" w:rsidP="00DB66C1">
            <w:pPr>
              <w:pStyle w:val="COMtbl-HEADLeftAligned"/>
            </w:pPr>
          </w:p>
        </w:tc>
        <w:tc>
          <w:tcPr>
            <w:tcW w:w="716" w:type="pct"/>
            <w:vAlign w:val="center"/>
          </w:tcPr>
          <w:p w:rsidR="004C7F6D" w:rsidRPr="007C62F0" w:rsidRDefault="007C62F0" w:rsidP="00DB66C1">
            <w:pPr>
              <w:pStyle w:val="COMtbl-HEADCentred"/>
              <w:rPr>
                <w:highlight w:val="black"/>
              </w:rPr>
            </w:pPr>
            <w:r>
              <w:rPr>
                <w:noProof/>
                <w:color w:val="000000"/>
                <w:highlight w:val="black"/>
              </w:rPr>
              <w:t>''''''''' ''' '''''''''''''</w:t>
            </w:r>
          </w:p>
        </w:tc>
        <w:tc>
          <w:tcPr>
            <w:tcW w:w="716" w:type="pct"/>
            <w:vAlign w:val="center"/>
          </w:tcPr>
          <w:p w:rsidR="004C7F6D" w:rsidRPr="007C62F0" w:rsidRDefault="007C62F0" w:rsidP="00DB66C1">
            <w:pPr>
              <w:pStyle w:val="COMtbl-HEADCentred"/>
              <w:rPr>
                <w:highlight w:val="black"/>
              </w:rPr>
            </w:pPr>
            <w:r>
              <w:rPr>
                <w:noProof/>
                <w:color w:val="000000"/>
                <w:highlight w:val="black"/>
              </w:rPr>
              <w:t>''''''''' '' ''''''''''''</w:t>
            </w:r>
          </w:p>
        </w:tc>
        <w:tc>
          <w:tcPr>
            <w:tcW w:w="716" w:type="pct"/>
            <w:vAlign w:val="center"/>
          </w:tcPr>
          <w:p w:rsidR="004C7F6D" w:rsidRPr="007C62F0" w:rsidRDefault="007C62F0" w:rsidP="00DB66C1">
            <w:pPr>
              <w:pStyle w:val="COMtbl-HEADCentred"/>
              <w:rPr>
                <w:highlight w:val="black"/>
              </w:rPr>
            </w:pPr>
            <w:r>
              <w:rPr>
                <w:noProof/>
                <w:color w:val="000000"/>
                <w:highlight w:val="black"/>
              </w:rPr>
              <w:t>''''''''' ''' '''''''''''''</w:t>
            </w:r>
          </w:p>
        </w:tc>
        <w:tc>
          <w:tcPr>
            <w:tcW w:w="716" w:type="pct"/>
            <w:vAlign w:val="center"/>
          </w:tcPr>
          <w:p w:rsidR="004C7F6D" w:rsidRPr="007C62F0" w:rsidRDefault="007C62F0" w:rsidP="00DB66C1">
            <w:pPr>
              <w:pStyle w:val="COMtbl-HEADCentred"/>
              <w:rPr>
                <w:highlight w:val="black"/>
              </w:rPr>
            </w:pPr>
            <w:r>
              <w:rPr>
                <w:noProof/>
                <w:color w:val="000000"/>
                <w:highlight w:val="black"/>
              </w:rPr>
              <w:t>''''''''' '' ''''''''''''</w:t>
            </w:r>
          </w:p>
        </w:tc>
        <w:tc>
          <w:tcPr>
            <w:tcW w:w="717" w:type="pct"/>
            <w:vAlign w:val="center"/>
          </w:tcPr>
          <w:p w:rsidR="004C7F6D" w:rsidRPr="007C62F0" w:rsidRDefault="007C62F0" w:rsidP="00DB66C1">
            <w:pPr>
              <w:pStyle w:val="COMtbl-HEADCentred"/>
              <w:rPr>
                <w:highlight w:val="black"/>
              </w:rPr>
            </w:pPr>
            <w:r>
              <w:rPr>
                <w:noProof/>
                <w:color w:val="000000"/>
                <w:highlight w:val="black"/>
              </w:rPr>
              <w:t>'''''''''' ''' '''''''''''</w:t>
            </w:r>
          </w:p>
        </w:tc>
      </w:tr>
      <w:tr w:rsidR="004C7F6D" w:rsidRPr="00DF05BB" w:rsidTr="006172D0">
        <w:tc>
          <w:tcPr>
            <w:tcW w:w="1418" w:type="pct"/>
            <w:vAlign w:val="center"/>
          </w:tcPr>
          <w:p w:rsidR="004C7F6D" w:rsidRPr="007C62F0" w:rsidRDefault="007C62F0" w:rsidP="00DB66C1">
            <w:pPr>
              <w:pStyle w:val="COMtbl-textLeftAligned"/>
              <w:rPr>
                <w:highlight w:val="black"/>
              </w:rPr>
            </w:pPr>
            <w:r>
              <w:rPr>
                <w:noProof/>
                <w:color w:val="000000"/>
                <w:highlight w:val="black"/>
              </w:rPr>
              <w:t>''''''''''''''''''''''' ''''''''''''' '''''''''''''''' '''''''''' '''''''''''''''''''''''''' '''''''''''''''''' ''''''''''''''''''' '''''' '''''''''''''''''''''''''''''</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7" w:type="pct"/>
            <w:vAlign w:val="center"/>
          </w:tcPr>
          <w:p w:rsidR="004C7F6D" w:rsidRPr="007C62F0" w:rsidRDefault="007C62F0" w:rsidP="00DB66C1">
            <w:pPr>
              <w:pStyle w:val="COMtbl-textCentred"/>
              <w:rPr>
                <w:highlight w:val="black"/>
              </w:rPr>
            </w:pPr>
            <w:r>
              <w:rPr>
                <w:noProof/>
                <w:color w:val="000000"/>
                <w:highlight w:val="black"/>
              </w:rPr>
              <w:t>'''''</w:t>
            </w:r>
          </w:p>
        </w:tc>
      </w:tr>
      <w:tr w:rsidR="004C7F6D" w:rsidRPr="00DF05BB" w:rsidTr="006172D0">
        <w:tc>
          <w:tcPr>
            <w:tcW w:w="1418" w:type="pct"/>
            <w:vAlign w:val="center"/>
          </w:tcPr>
          <w:p w:rsidR="004C7F6D" w:rsidRPr="007C62F0" w:rsidRDefault="007C62F0" w:rsidP="00DB66C1">
            <w:pPr>
              <w:pStyle w:val="COMtbl-textLeftAligned"/>
              <w:rPr>
                <w:highlight w:val="black"/>
              </w:rPr>
            </w:pPr>
            <w:r>
              <w:rPr>
                <w:noProof/>
                <w:color w:val="000000"/>
                <w:highlight w:val="black"/>
              </w:rPr>
              <w:t xml:space="preserve">''''''''''''''''''''''''''' '''''''''''''''''''''''''''''' ''''''''''''''''''' ''''''''''''' ''''''''''' ''''''''''''''''''''''' </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7" w:type="pct"/>
            <w:vAlign w:val="center"/>
          </w:tcPr>
          <w:p w:rsidR="004C7F6D" w:rsidRPr="007C62F0" w:rsidRDefault="007C62F0" w:rsidP="00DB66C1">
            <w:pPr>
              <w:pStyle w:val="COMtbl-textCentred"/>
              <w:rPr>
                <w:highlight w:val="black"/>
              </w:rPr>
            </w:pPr>
            <w:r>
              <w:rPr>
                <w:noProof/>
                <w:color w:val="000000"/>
                <w:highlight w:val="black"/>
              </w:rPr>
              <w:t>''''''''''</w:t>
            </w:r>
          </w:p>
        </w:tc>
      </w:tr>
      <w:tr w:rsidR="004C7F6D" w:rsidRPr="00DF05BB" w:rsidTr="006172D0">
        <w:tc>
          <w:tcPr>
            <w:tcW w:w="1418" w:type="pct"/>
            <w:vAlign w:val="center"/>
          </w:tcPr>
          <w:p w:rsidR="004C7F6D" w:rsidRPr="007C62F0" w:rsidRDefault="007C62F0" w:rsidP="00DB66C1">
            <w:pPr>
              <w:pStyle w:val="COMtbl-textLeftAligned"/>
              <w:rPr>
                <w:highlight w:val="black"/>
              </w:rPr>
            </w:pPr>
            <w:r>
              <w:rPr>
                <w:noProof/>
                <w:color w:val="000000"/>
                <w:highlight w:val="black"/>
              </w:rPr>
              <w:t>'''''''''''''''''' '''''''''</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7" w:type="pct"/>
            <w:vAlign w:val="center"/>
          </w:tcPr>
          <w:p w:rsidR="004C7F6D" w:rsidRPr="007C62F0" w:rsidRDefault="007C62F0" w:rsidP="00DB66C1">
            <w:pPr>
              <w:pStyle w:val="COMtbl-textCentred"/>
              <w:rPr>
                <w:highlight w:val="black"/>
              </w:rPr>
            </w:pPr>
            <w:r>
              <w:rPr>
                <w:noProof/>
                <w:color w:val="000000"/>
                <w:highlight w:val="black"/>
              </w:rPr>
              <w:t>''''''''''''</w:t>
            </w:r>
          </w:p>
        </w:tc>
      </w:tr>
      <w:tr w:rsidR="004C7F6D" w:rsidRPr="00DF05BB" w:rsidTr="006172D0">
        <w:tc>
          <w:tcPr>
            <w:tcW w:w="1418" w:type="pct"/>
            <w:vAlign w:val="center"/>
          </w:tcPr>
          <w:p w:rsidR="004C7F6D" w:rsidRPr="007C62F0" w:rsidRDefault="007C62F0" w:rsidP="00DB66C1">
            <w:pPr>
              <w:pStyle w:val="COMtbl-textLeftAligned"/>
              <w:rPr>
                <w:highlight w:val="black"/>
              </w:rPr>
            </w:pPr>
            <w:r>
              <w:rPr>
                <w:noProof/>
                <w:color w:val="000000"/>
                <w:highlight w:val="black"/>
              </w:rPr>
              <w:t>'''''''''''''''''''''''''''''' ''''''''''''''''' '''''''''''''''''' ''''''''' ''''''''''''</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7" w:type="pct"/>
            <w:vAlign w:val="center"/>
          </w:tcPr>
          <w:p w:rsidR="004C7F6D" w:rsidRPr="007C62F0" w:rsidRDefault="007C62F0" w:rsidP="00DB66C1">
            <w:pPr>
              <w:pStyle w:val="COMtbl-textCentred"/>
              <w:rPr>
                <w:highlight w:val="black"/>
              </w:rPr>
            </w:pPr>
            <w:r>
              <w:rPr>
                <w:noProof/>
                <w:color w:val="000000"/>
                <w:highlight w:val="black"/>
              </w:rPr>
              <w:t>'''''''''</w:t>
            </w:r>
          </w:p>
        </w:tc>
      </w:tr>
      <w:tr w:rsidR="004C7F6D" w:rsidRPr="00DF05BB" w:rsidTr="006172D0">
        <w:tc>
          <w:tcPr>
            <w:tcW w:w="1418" w:type="pct"/>
            <w:vAlign w:val="center"/>
          </w:tcPr>
          <w:p w:rsidR="004C7F6D" w:rsidRPr="007C62F0" w:rsidRDefault="007C62F0" w:rsidP="00DB66C1">
            <w:pPr>
              <w:pStyle w:val="COMtbl-textLeftAligned"/>
              <w:rPr>
                <w:highlight w:val="black"/>
              </w:rPr>
            </w:pPr>
            <w:r>
              <w:rPr>
                <w:noProof/>
                <w:color w:val="000000"/>
                <w:highlight w:val="black"/>
              </w:rPr>
              <w:t>''''''''''''''''''''''''''''' ''''''''''''''''' ''''''''''''''''''' ''''''''''' '''''''''''</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7" w:type="pct"/>
            <w:vAlign w:val="center"/>
          </w:tcPr>
          <w:p w:rsidR="004C7F6D" w:rsidRPr="007C62F0" w:rsidRDefault="007C62F0" w:rsidP="00DB66C1">
            <w:pPr>
              <w:pStyle w:val="COMtbl-textCentred"/>
              <w:rPr>
                <w:highlight w:val="black"/>
              </w:rPr>
            </w:pPr>
            <w:r>
              <w:rPr>
                <w:noProof/>
                <w:color w:val="000000"/>
                <w:highlight w:val="black"/>
              </w:rPr>
              <w:t>'''''''''</w:t>
            </w:r>
          </w:p>
        </w:tc>
      </w:tr>
      <w:tr w:rsidR="004C7F6D" w:rsidRPr="00DF05BB" w:rsidTr="006172D0">
        <w:tc>
          <w:tcPr>
            <w:tcW w:w="1418" w:type="pct"/>
            <w:vAlign w:val="center"/>
          </w:tcPr>
          <w:p w:rsidR="004C7F6D" w:rsidRPr="007C62F0" w:rsidRDefault="007C62F0" w:rsidP="00DB66C1">
            <w:pPr>
              <w:pStyle w:val="COMtbl-textLeftAligned"/>
              <w:rPr>
                <w:highlight w:val="black"/>
              </w:rPr>
            </w:pPr>
            <w:r>
              <w:rPr>
                <w:noProof/>
                <w:color w:val="000000"/>
                <w:highlight w:val="black"/>
              </w:rPr>
              <w:t>''''''''''''''''''''''''''''''' ''''''''''' ''''''''''''''''''''''</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7" w:type="pct"/>
            <w:vAlign w:val="center"/>
          </w:tcPr>
          <w:p w:rsidR="004C7F6D" w:rsidRPr="007C62F0" w:rsidRDefault="007C62F0" w:rsidP="00DB66C1">
            <w:pPr>
              <w:pStyle w:val="COMtbl-textCentred"/>
              <w:rPr>
                <w:highlight w:val="black"/>
              </w:rPr>
            </w:pPr>
            <w:r>
              <w:rPr>
                <w:noProof/>
                <w:color w:val="000000"/>
                <w:highlight w:val="black"/>
              </w:rPr>
              <w:t>''''''''''''''</w:t>
            </w:r>
          </w:p>
        </w:tc>
      </w:tr>
      <w:tr w:rsidR="004C7F6D" w:rsidRPr="00DF05BB" w:rsidTr="006172D0">
        <w:tc>
          <w:tcPr>
            <w:tcW w:w="1418" w:type="pct"/>
            <w:vAlign w:val="center"/>
          </w:tcPr>
          <w:p w:rsidR="004C7F6D" w:rsidRPr="007C62F0" w:rsidRDefault="007C62F0" w:rsidP="00DB66C1">
            <w:pPr>
              <w:pStyle w:val="COMtbl-textLeftAligned"/>
              <w:rPr>
                <w:highlight w:val="black"/>
              </w:rPr>
            </w:pPr>
            <w:r>
              <w:rPr>
                <w:noProof/>
                <w:color w:val="000000"/>
                <w:highlight w:val="black"/>
              </w:rPr>
              <w:t>''''''''''' ''''''''' '''' '''''''''''''''''''''''''''''' ''''''''''' '''''''''''''''''</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7" w:type="pct"/>
            <w:vAlign w:val="center"/>
          </w:tcPr>
          <w:p w:rsidR="004C7F6D" w:rsidRPr="007C62F0" w:rsidRDefault="007C62F0" w:rsidP="00DB66C1">
            <w:pPr>
              <w:pStyle w:val="COMtbl-textCentred"/>
              <w:rPr>
                <w:highlight w:val="black"/>
              </w:rPr>
            </w:pPr>
            <w:r>
              <w:rPr>
                <w:noProof/>
                <w:color w:val="000000"/>
                <w:highlight w:val="black"/>
              </w:rPr>
              <w:t>'''''''''''''''''''''''''''''''</w:t>
            </w:r>
          </w:p>
        </w:tc>
      </w:tr>
      <w:tr w:rsidR="004C7F6D" w:rsidRPr="00DF05BB" w:rsidTr="006172D0">
        <w:tc>
          <w:tcPr>
            <w:tcW w:w="1418" w:type="pct"/>
            <w:vAlign w:val="center"/>
          </w:tcPr>
          <w:p w:rsidR="004C7F6D" w:rsidRPr="007C62F0" w:rsidRDefault="007C62F0" w:rsidP="00DB66C1">
            <w:pPr>
              <w:pStyle w:val="COMtbl-textLeftAligned"/>
              <w:rPr>
                <w:highlight w:val="black"/>
              </w:rPr>
            </w:pPr>
            <w:r>
              <w:rPr>
                <w:noProof/>
                <w:color w:val="000000"/>
                <w:highlight w:val="black"/>
              </w:rPr>
              <w:t>'''''''''''' ''''''''''''''''''''''''''' ''''''''' ''''''''''''''' ''''''''' '''''''''''''''</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7" w:type="pct"/>
            <w:vAlign w:val="center"/>
          </w:tcPr>
          <w:p w:rsidR="004C7F6D" w:rsidRPr="007C62F0" w:rsidRDefault="007C62F0" w:rsidP="00DB66C1">
            <w:pPr>
              <w:pStyle w:val="COMtbl-textCentred"/>
              <w:rPr>
                <w:highlight w:val="black"/>
              </w:rPr>
            </w:pPr>
            <w:r>
              <w:rPr>
                <w:noProof/>
                <w:color w:val="000000"/>
                <w:highlight w:val="black"/>
              </w:rPr>
              <w:t>''''''''''''''''''''''''''''''</w:t>
            </w:r>
          </w:p>
        </w:tc>
      </w:tr>
      <w:tr w:rsidR="004C7F6D" w:rsidRPr="00DF05BB" w:rsidTr="006172D0">
        <w:tc>
          <w:tcPr>
            <w:tcW w:w="1418" w:type="pct"/>
            <w:vAlign w:val="center"/>
          </w:tcPr>
          <w:p w:rsidR="004C7F6D" w:rsidRPr="007C62F0" w:rsidRDefault="007C62F0" w:rsidP="00DB66C1">
            <w:pPr>
              <w:pStyle w:val="COMtbl-textLeftAligned"/>
              <w:rPr>
                <w:highlight w:val="black"/>
              </w:rPr>
            </w:pPr>
            <w:r>
              <w:rPr>
                <w:b/>
                <w:noProof/>
                <w:color w:val="000000"/>
                <w:highlight w:val="black"/>
              </w:rPr>
              <w:t>''''''' '''''''''' ''''' ''''''' '''''''''</w:t>
            </w:r>
          </w:p>
        </w:tc>
        <w:tc>
          <w:tcPr>
            <w:tcW w:w="716" w:type="pct"/>
            <w:vAlign w:val="center"/>
          </w:tcPr>
          <w:p w:rsidR="004C7F6D" w:rsidRPr="007C62F0" w:rsidRDefault="007C62F0" w:rsidP="00DB66C1">
            <w:pPr>
              <w:pStyle w:val="COMtbl-textCentred"/>
              <w:rPr>
                <w:b/>
                <w:highlight w:val="black"/>
              </w:rPr>
            </w:pPr>
            <w:r>
              <w:rPr>
                <w:b/>
                <w:noProof/>
                <w:color w:val="000000"/>
                <w:highlight w:val="black"/>
              </w:rPr>
              <w:t>''''''''''''''''''''''''''</w:t>
            </w:r>
          </w:p>
        </w:tc>
        <w:tc>
          <w:tcPr>
            <w:tcW w:w="716" w:type="pct"/>
            <w:vAlign w:val="center"/>
          </w:tcPr>
          <w:p w:rsidR="004C7F6D" w:rsidRPr="007C62F0" w:rsidRDefault="007C62F0" w:rsidP="00DB66C1">
            <w:pPr>
              <w:pStyle w:val="COMtbl-textCentred"/>
              <w:rPr>
                <w:b/>
                <w:highlight w:val="black"/>
              </w:rPr>
            </w:pPr>
            <w:r>
              <w:rPr>
                <w:b/>
                <w:noProof/>
                <w:color w:val="000000"/>
                <w:highlight w:val="black"/>
              </w:rPr>
              <w:t>''''''''''''''''''''''</w:t>
            </w:r>
          </w:p>
        </w:tc>
        <w:tc>
          <w:tcPr>
            <w:tcW w:w="716" w:type="pct"/>
            <w:vAlign w:val="center"/>
          </w:tcPr>
          <w:p w:rsidR="004C7F6D" w:rsidRPr="007C62F0" w:rsidRDefault="007C62F0" w:rsidP="00DB66C1">
            <w:pPr>
              <w:pStyle w:val="COMtbl-textCentred"/>
              <w:rPr>
                <w:b/>
                <w:highlight w:val="black"/>
              </w:rPr>
            </w:pPr>
            <w:r>
              <w:rPr>
                <w:b/>
                <w:noProof/>
                <w:color w:val="000000"/>
                <w:highlight w:val="black"/>
              </w:rPr>
              <w:t>'''''''''''''''''''''''''</w:t>
            </w:r>
          </w:p>
        </w:tc>
        <w:tc>
          <w:tcPr>
            <w:tcW w:w="716" w:type="pct"/>
            <w:vAlign w:val="center"/>
          </w:tcPr>
          <w:p w:rsidR="004C7F6D" w:rsidRPr="007C62F0" w:rsidRDefault="007C62F0" w:rsidP="00DB66C1">
            <w:pPr>
              <w:pStyle w:val="COMtbl-textCentred"/>
              <w:rPr>
                <w:b/>
                <w:highlight w:val="black"/>
              </w:rPr>
            </w:pPr>
            <w:r>
              <w:rPr>
                <w:b/>
                <w:noProof/>
                <w:color w:val="000000"/>
                <w:highlight w:val="black"/>
              </w:rPr>
              <w:t>''''''''''''''''''''''</w:t>
            </w:r>
          </w:p>
        </w:tc>
        <w:tc>
          <w:tcPr>
            <w:tcW w:w="717" w:type="pct"/>
            <w:vAlign w:val="center"/>
          </w:tcPr>
          <w:p w:rsidR="004C7F6D" w:rsidRPr="007C62F0" w:rsidRDefault="007C62F0" w:rsidP="00DB66C1">
            <w:pPr>
              <w:pStyle w:val="COMtbl-textCentred"/>
              <w:rPr>
                <w:b/>
                <w:highlight w:val="black"/>
              </w:rPr>
            </w:pPr>
            <w:r>
              <w:rPr>
                <w:b/>
                <w:noProof/>
                <w:color w:val="000000"/>
                <w:highlight w:val="black"/>
              </w:rPr>
              <w:t>'''''''''''''''''''''</w:t>
            </w:r>
          </w:p>
        </w:tc>
      </w:tr>
      <w:tr w:rsidR="004C7F6D" w:rsidRPr="00DF05BB" w:rsidTr="006172D0">
        <w:tc>
          <w:tcPr>
            <w:tcW w:w="1418" w:type="pct"/>
            <w:vAlign w:val="center"/>
          </w:tcPr>
          <w:p w:rsidR="004C7F6D" w:rsidRPr="007C62F0" w:rsidRDefault="007C62F0" w:rsidP="00DB66C1">
            <w:pPr>
              <w:pStyle w:val="COMtbl-textLeftAligned"/>
              <w:rPr>
                <w:highlight w:val="black"/>
              </w:rPr>
            </w:pPr>
            <w:r>
              <w:rPr>
                <w:noProof/>
                <w:color w:val="000000"/>
                <w:highlight w:val="black"/>
              </w:rPr>
              <w:t>'''''''''''' '''''''''' '''''''''''''''' ''''''''''''''''''' ''''''''''''''''''''''</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6" w:type="pct"/>
            <w:vAlign w:val="center"/>
          </w:tcPr>
          <w:p w:rsidR="004C7F6D" w:rsidRPr="007C62F0" w:rsidRDefault="007C62F0" w:rsidP="00DB66C1">
            <w:pPr>
              <w:pStyle w:val="COMtbl-textCentred"/>
              <w:rPr>
                <w:highlight w:val="black"/>
              </w:rPr>
            </w:pPr>
            <w:r>
              <w:rPr>
                <w:noProof/>
                <w:color w:val="000000"/>
                <w:highlight w:val="black"/>
              </w:rPr>
              <w:t>'''''''''''''''''''''''''''''''</w:t>
            </w:r>
          </w:p>
        </w:tc>
        <w:tc>
          <w:tcPr>
            <w:tcW w:w="717" w:type="pct"/>
            <w:vAlign w:val="center"/>
          </w:tcPr>
          <w:p w:rsidR="004C7F6D" w:rsidRPr="007C62F0" w:rsidRDefault="007C62F0" w:rsidP="00DB66C1">
            <w:pPr>
              <w:pStyle w:val="COMtbl-textCentred"/>
              <w:rPr>
                <w:highlight w:val="black"/>
              </w:rPr>
            </w:pPr>
            <w:r>
              <w:rPr>
                <w:noProof/>
                <w:color w:val="000000"/>
                <w:highlight w:val="black"/>
              </w:rPr>
              <w:t>''''''''''''''''''''''''''</w:t>
            </w:r>
          </w:p>
        </w:tc>
      </w:tr>
      <w:tr w:rsidR="004C7F6D" w:rsidRPr="00DF05BB" w:rsidTr="006172D0">
        <w:tc>
          <w:tcPr>
            <w:tcW w:w="1418" w:type="pct"/>
            <w:vAlign w:val="center"/>
          </w:tcPr>
          <w:p w:rsidR="004C7F6D" w:rsidRPr="007C62F0" w:rsidRDefault="007C62F0" w:rsidP="00DB66C1">
            <w:pPr>
              <w:pStyle w:val="COMtbl-textLeftAligned"/>
              <w:rPr>
                <w:b/>
                <w:highlight w:val="black"/>
              </w:rPr>
            </w:pPr>
            <w:r>
              <w:rPr>
                <w:b/>
                <w:noProof/>
                <w:color w:val="000000"/>
                <w:highlight w:val="black"/>
              </w:rPr>
              <w:t>''''''' ''''''''' ''''' ''''''' ''''''''''''''''''''''</w:t>
            </w:r>
          </w:p>
        </w:tc>
        <w:tc>
          <w:tcPr>
            <w:tcW w:w="716" w:type="pct"/>
            <w:vAlign w:val="center"/>
          </w:tcPr>
          <w:p w:rsidR="004C7F6D" w:rsidRPr="007C62F0" w:rsidRDefault="007C62F0" w:rsidP="00DB66C1">
            <w:pPr>
              <w:pStyle w:val="COMtbl-textCentred"/>
              <w:rPr>
                <w:b/>
                <w:highlight w:val="black"/>
              </w:rPr>
            </w:pPr>
            <w:r>
              <w:rPr>
                <w:b/>
                <w:noProof/>
                <w:color w:val="000000"/>
                <w:highlight w:val="black"/>
              </w:rPr>
              <w:t>''''''''''''''''''''''</w:t>
            </w:r>
          </w:p>
        </w:tc>
        <w:tc>
          <w:tcPr>
            <w:tcW w:w="716" w:type="pct"/>
            <w:vAlign w:val="center"/>
          </w:tcPr>
          <w:p w:rsidR="004C7F6D" w:rsidRPr="007C62F0" w:rsidRDefault="007C62F0" w:rsidP="00DB66C1">
            <w:pPr>
              <w:pStyle w:val="COMtbl-textCentred"/>
              <w:rPr>
                <w:b/>
                <w:highlight w:val="black"/>
              </w:rPr>
            </w:pPr>
            <w:r>
              <w:rPr>
                <w:b/>
                <w:noProof/>
                <w:color w:val="000000"/>
                <w:highlight w:val="black"/>
              </w:rPr>
              <w:t>''''''''''''''''''''''''''</w:t>
            </w:r>
          </w:p>
        </w:tc>
        <w:tc>
          <w:tcPr>
            <w:tcW w:w="716" w:type="pct"/>
            <w:vAlign w:val="center"/>
          </w:tcPr>
          <w:p w:rsidR="004C7F6D" w:rsidRPr="007C62F0" w:rsidRDefault="007C62F0" w:rsidP="00DB66C1">
            <w:pPr>
              <w:pStyle w:val="COMtbl-textCentred"/>
              <w:rPr>
                <w:b/>
                <w:highlight w:val="black"/>
              </w:rPr>
            </w:pPr>
            <w:r>
              <w:rPr>
                <w:b/>
                <w:noProof/>
                <w:color w:val="000000"/>
                <w:highlight w:val="black"/>
              </w:rPr>
              <w:t>'''''''''''''''''''''''''</w:t>
            </w:r>
          </w:p>
        </w:tc>
        <w:tc>
          <w:tcPr>
            <w:tcW w:w="716" w:type="pct"/>
            <w:vAlign w:val="center"/>
          </w:tcPr>
          <w:p w:rsidR="004C7F6D" w:rsidRPr="007C62F0" w:rsidRDefault="007C62F0" w:rsidP="00DB66C1">
            <w:pPr>
              <w:pStyle w:val="COMtbl-textCentred"/>
              <w:rPr>
                <w:b/>
                <w:highlight w:val="black"/>
              </w:rPr>
            </w:pPr>
            <w:r>
              <w:rPr>
                <w:b/>
                <w:noProof/>
                <w:color w:val="000000"/>
                <w:highlight w:val="black"/>
              </w:rPr>
              <w:t>'''''''''''''''''''''''''</w:t>
            </w:r>
          </w:p>
        </w:tc>
        <w:tc>
          <w:tcPr>
            <w:tcW w:w="717" w:type="pct"/>
            <w:vAlign w:val="center"/>
          </w:tcPr>
          <w:p w:rsidR="004C7F6D" w:rsidRPr="007C62F0" w:rsidRDefault="007C62F0" w:rsidP="00DB66C1">
            <w:pPr>
              <w:pStyle w:val="COMtbl-textCentred"/>
              <w:rPr>
                <w:b/>
                <w:highlight w:val="black"/>
              </w:rPr>
            </w:pPr>
            <w:r>
              <w:rPr>
                <w:b/>
                <w:noProof/>
                <w:color w:val="000000"/>
                <w:highlight w:val="black"/>
              </w:rPr>
              <w:t>'''''''''''''''''''''</w:t>
            </w:r>
          </w:p>
        </w:tc>
      </w:tr>
    </w:tbl>
    <w:p w:rsidR="004C7F6D" w:rsidRPr="007C62F0" w:rsidRDefault="007C62F0" w:rsidP="006172D0">
      <w:pPr>
        <w:pStyle w:val="COMTbl-foot"/>
        <w:ind w:firstLine="709"/>
        <w:rPr>
          <w:highlight w:val="black"/>
        </w:rPr>
      </w:pPr>
      <w:r>
        <w:rPr>
          <w:noProof/>
          <w:color w:val="000000"/>
          <w:highlight w:val="black"/>
        </w:rPr>
        <w:t>''''''''''''''''''''''''''''''' '''''''''''''' '''''''''''''''''''' '''''''''''''''''' ''''''''''''''''''''''''' '''''''''''''' '''''''''''''''''''''''''''''''' ''''''''''''''''''' '''''''''''''''''''''''</w:t>
      </w:r>
    </w:p>
    <w:p w:rsidR="004C7F6D" w:rsidRPr="006706A8" w:rsidRDefault="004C7F6D" w:rsidP="00860569">
      <w:pPr>
        <w:pStyle w:val="COMBody"/>
        <w:rPr>
          <w:i/>
        </w:rPr>
      </w:pPr>
    </w:p>
    <w:p w:rsidR="004C7F6D" w:rsidRPr="006706A8" w:rsidRDefault="004C7F6D" w:rsidP="00002420">
      <w:pPr>
        <w:pStyle w:val="COMBody"/>
        <w:ind w:left="709"/>
      </w:pPr>
      <w:r w:rsidRPr="006706A8">
        <w:t xml:space="preserve">The submission appears to substantially underestimate the costs associated with </w:t>
      </w:r>
      <w:proofErr w:type="spellStart"/>
      <w:r w:rsidRPr="006706A8">
        <w:t>alemtuzumab</w:t>
      </w:r>
      <w:proofErr w:type="spellEnd"/>
      <w:r w:rsidRPr="006706A8">
        <w:t xml:space="preserve"> and to substantially overestimate the cost-offsets associated with comparator therapies. The Commentary reported: </w:t>
      </w:r>
    </w:p>
    <w:p w:rsidR="004C7F6D" w:rsidRPr="006706A8" w:rsidRDefault="004C7F6D" w:rsidP="00172BFA">
      <w:pPr>
        <w:pStyle w:val="COMBody"/>
        <w:numPr>
          <w:ilvl w:val="0"/>
          <w:numId w:val="42"/>
        </w:numPr>
        <w:ind w:left="1134"/>
      </w:pPr>
      <w:proofErr w:type="spellStart"/>
      <w:r w:rsidRPr="006706A8">
        <w:t>Alemtuzumab</w:t>
      </w:r>
      <w:proofErr w:type="spellEnd"/>
      <w:r w:rsidRPr="006706A8">
        <w:t xml:space="preserve"> may grow the market for multiple sclerosis therapies by providing another line of therapy. The submission argues against this on the basis that </w:t>
      </w:r>
      <w:r w:rsidRPr="006706A8">
        <w:lastRenderedPageBreak/>
        <w:t xml:space="preserve">there are already several other PBS-listed treatment options that would be used if </w:t>
      </w:r>
      <w:proofErr w:type="spellStart"/>
      <w:r w:rsidRPr="006706A8">
        <w:t>alemtuzumab</w:t>
      </w:r>
      <w:proofErr w:type="spellEnd"/>
      <w:r w:rsidRPr="006706A8">
        <w:t xml:space="preserve"> was not available. The submission also suggests that patients are unlikely to be prescribed another disease modifying therapy after </w:t>
      </w:r>
      <w:proofErr w:type="spellStart"/>
      <w:r w:rsidRPr="006706A8">
        <w:t>alemtuzumab</w:t>
      </w:r>
      <w:proofErr w:type="spellEnd"/>
      <w:r w:rsidRPr="006706A8">
        <w:t>. This assumption is unjustified.</w:t>
      </w:r>
    </w:p>
    <w:p w:rsidR="004C7F6D" w:rsidRPr="006706A8" w:rsidRDefault="004C7F6D" w:rsidP="00172BFA">
      <w:pPr>
        <w:pStyle w:val="COMBody"/>
        <w:numPr>
          <w:ilvl w:val="0"/>
          <w:numId w:val="42"/>
        </w:numPr>
        <w:ind w:left="1134"/>
      </w:pPr>
      <w:r w:rsidRPr="006706A8">
        <w:t xml:space="preserve">The estimates implicitly assume that patients prematurely discontinuing </w:t>
      </w:r>
      <w:proofErr w:type="spellStart"/>
      <w:r w:rsidRPr="006706A8">
        <w:t>alemtuzumab</w:t>
      </w:r>
      <w:proofErr w:type="spellEnd"/>
      <w:r w:rsidRPr="006706A8">
        <w:t xml:space="preserve"> treatment after one course of therapy will have the same level of substitutions as patients who undergo the standard two courses of therapy. This assumption is unjustified.</w:t>
      </w:r>
    </w:p>
    <w:p w:rsidR="004C7F6D" w:rsidRPr="006706A8" w:rsidRDefault="004C7F6D" w:rsidP="00172BFA">
      <w:pPr>
        <w:pStyle w:val="COMBody"/>
        <w:numPr>
          <w:ilvl w:val="0"/>
          <w:numId w:val="42"/>
        </w:numPr>
        <w:ind w:left="1134"/>
      </w:pPr>
      <w:r w:rsidRPr="006706A8">
        <w:t xml:space="preserve">The submission does not include re-treatment dosing with </w:t>
      </w:r>
      <w:proofErr w:type="spellStart"/>
      <w:r w:rsidRPr="006706A8">
        <w:t>alemtuzumab</w:t>
      </w:r>
      <w:proofErr w:type="spellEnd"/>
      <w:r w:rsidRPr="006706A8">
        <w:t xml:space="preserve"> beyond the standard two courses in the utilisation/financial estimates. This is inappropriate as the available study data indicate that some patients will require re-treatments within </w:t>
      </w:r>
      <w:r w:rsidR="00DF05BB" w:rsidRPr="006706A8">
        <w:t>this timeframe</w:t>
      </w:r>
      <w:r w:rsidRPr="006706A8">
        <w:t>.</w:t>
      </w:r>
    </w:p>
    <w:p w:rsidR="004C7F6D" w:rsidRPr="006706A8" w:rsidRDefault="004C7F6D" w:rsidP="00172BFA">
      <w:pPr>
        <w:pStyle w:val="COMBody"/>
        <w:numPr>
          <w:ilvl w:val="0"/>
          <w:numId w:val="42"/>
        </w:numPr>
        <w:ind w:left="1134"/>
      </w:pPr>
      <w:r w:rsidRPr="006706A8">
        <w:t>Comparator utilisation is based on the number of scripts/packs needed to cover the forecast period (2015-2020) at the recommended dose with adjustments for treatment adherence (discontinuation rates reported from clinical trials and compliance rates reported from the 10% Medicare sample). There are a number of issues associated with the predicted estimates:</w:t>
      </w:r>
    </w:p>
    <w:p w:rsidR="004C7F6D" w:rsidRPr="006706A8" w:rsidRDefault="004C7F6D" w:rsidP="00172BFA">
      <w:pPr>
        <w:pStyle w:val="COMBody"/>
        <w:numPr>
          <w:ilvl w:val="1"/>
          <w:numId w:val="42"/>
        </w:numPr>
        <w:ind w:left="1560"/>
      </w:pPr>
      <w:r w:rsidRPr="006706A8">
        <w:t xml:space="preserve">The calculation of compliance rates is not adequately justified in the submission and appears high for all treatments </w:t>
      </w:r>
      <w:r w:rsidR="007C62F0">
        <w:rPr>
          <w:noProof/>
          <w:color w:val="000000"/>
          <w:highlight w:val="black"/>
        </w:rPr>
        <w:t>''''' '''''''''''</w:t>
      </w:r>
      <w:r w:rsidRPr="006706A8">
        <w:t xml:space="preserve"> compliance). There is limited documentation describing the methodology used in the calculation, the analysis uses immature utilisation data for </w:t>
      </w:r>
      <w:proofErr w:type="spellStart"/>
      <w:r w:rsidRPr="006706A8">
        <w:t>fingolimod</w:t>
      </w:r>
      <w:proofErr w:type="spellEnd"/>
      <w:r w:rsidRPr="006706A8">
        <w:t xml:space="preserve"> (11 months), the submission assumes compliance for other oral treatments based on </w:t>
      </w:r>
      <w:proofErr w:type="spellStart"/>
      <w:r w:rsidRPr="006706A8">
        <w:t>fingolimod</w:t>
      </w:r>
      <w:proofErr w:type="spellEnd"/>
      <w:r w:rsidRPr="006706A8">
        <w:t>, and the submission does not assess the sensitivity of changing assumptions regarding the definition of a ‘medicated’ patient and an ‘active’ patient in the analysis of the 10% Medicare sample.</w:t>
      </w:r>
    </w:p>
    <w:p w:rsidR="004C7F6D" w:rsidRPr="006706A8" w:rsidRDefault="004C7F6D" w:rsidP="00172BFA">
      <w:pPr>
        <w:pStyle w:val="COMBody"/>
        <w:numPr>
          <w:ilvl w:val="1"/>
          <w:numId w:val="42"/>
        </w:numPr>
        <w:ind w:left="1560"/>
      </w:pPr>
      <w:r w:rsidRPr="006706A8">
        <w:t xml:space="preserve">The discontinuation rates reported from clinical trials are substantially lower than those estimated in the Australian PBS population (for example, </w:t>
      </w:r>
      <w:proofErr w:type="spellStart"/>
      <w:r w:rsidRPr="006706A8">
        <w:t>natalizumab</w:t>
      </w:r>
      <w:proofErr w:type="spellEnd"/>
      <w:r w:rsidRPr="006706A8">
        <w:t xml:space="preserve"> and </w:t>
      </w:r>
      <w:proofErr w:type="spellStart"/>
      <w:r w:rsidRPr="006706A8">
        <w:t>fingolimod</w:t>
      </w:r>
      <w:proofErr w:type="spellEnd"/>
      <w:r w:rsidRPr="006706A8">
        <w:t xml:space="preserve">, 2.39-6.21% in trials and </w:t>
      </w:r>
      <w:r w:rsidR="007C62F0">
        <w:rPr>
          <w:noProof/>
          <w:color w:val="000000"/>
          <w:highlight w:val="black"/>
        </w:rPr>
        <w:t>''''''''''''''''</w:t>
      </w:r>
      <w:r w:rsidRPr="006706A8">
        <w:t xml:space="preserve"> in PBS population) indicating that the submission substantially overestimates adherence to comparator therapies.</w:t>
      </w:r>
    </w:p>
    <w:p w:rsidR="004C7F6D" w:rsidRPr="006706A8" w:rsidRDefault="004C7F6D" w:rsidP="00172BFA">
      <w:pPr>
        <w:pStyle w:val="COMBody"/>
        <w:numPr>
          <w:ilvl w:val="0"/>
          <w:numId w:val="42"/>
        </w:numPr>
        <w:ind w:left="1134"/>
      </w:pPr>
      <w:r w:rsidRPr="006706A8">
        <w:t>The financial estimates do not account for any differences in prophylactic treatment, adverse events, drug monitoring (assumed to be covered by a private arrangement between the sponsor and a pathology provider) and healthcare professional attendance costs between therapies.</w:t>
      </w:r>
    </w:p>
    <w:p w:rsidR="004C7F6D" w:rsidRPr="006706A8" w:rsidRDefault="004C7F6D" w:rsidP="00172BFA">
      <w:pPr>
        <w:pStyle w:val="COMBody"/>
        <w:numPr>
          <w:ilvl w:val="0"/>
          <w:numId w:val="42"/>
        </w:numPr>
        <w:ind w:left="1134"/>
      </w:pPr>
      <w:r w:rsidRPr="006706A8">
        <w:t xml:space="preserve">The submission assumes a cost-saving associated with a reduced number of infusions with </w:t>
      </w:r>
      <w:proofErr w:type="spellStart"/>
      <w:r w:rsidRPr="006706A8">
        <w:t>alemtuzumab</w:t>
      </w:r>
      <w:proofErr w:type="spellEnd"/>
      <w:r w:rsidRPr="006706A8">
        <w:t xml:space="preserve"> compared to </w:t>
      </w:r>
      <w:proofErr w:type="spellStart"/>
      <w:r w:rsidRPr="006706A8">
        <w:t>natalizumab</w:t>
      </w:r>
      <w:proofErr w:type="spellEnd"/>
      <w:r w:rsidRPr="006706A8">
        <w:t xml:space="preserve">. This saving may not be reasonable as it assumes that the cost per infusion is the same for both treatments despite differences in administration times between </w:t>
      </w:r>
      <w:proofErr w:type="spellStart"/>
      <w:r w:rsidRPr="006706A8">
        <w:t>alemtuzumab</w:t>
      </w:r>
      <w:proofErr w:type="spellEnd"/>
      <w:r w:rsidRPr="006706A8">
        <w:t xml:space="preserve"> (4 hour infusion, 2 hour post-observation) and </w:t>
      </w:r>
      <w:proofErr w:type="spellStart"/>
      <w:r w:rsidRPr="006706A8">
        <w:t>natalizumab</w:t>
      </w:r>
      <w:proofErr w:type="spellEnd"/>
      <w:r w:rsidRPr="006706A8">
        <w:t xml:space="preserve"> (1 hour infusion, 1 hour post-observation).</w:t>
      </w:r>
    </w:p>
    <w:p w:rsidR="004C7F6D" w:rsidRPr="006706A8" w:rsidRDefault="004C7F6D" w:rsidP="00860569">
      <w:pPr>
        <w:pStyle w:val="COMBody"/>
      </w:pPr>
    </w:p>
    <w:p w:rsidR="004C7F6D" w:rsidRPr="006706A8" w:rsidRDefault="004C7F6D" w:rsidP="00DC3791">
      <w:pPr>
        <w:pStyle w:val="COMBody"/>
        <w:numPr>
          <w:ilvl w:val="1"/>
          <w:numId w:val="25"/>
        </w:numPr>
      </w:pPr>
      <w:r w:rsidRPr="006706A8">
        <w:t xml:space="preserve">The submission proposes a PBS listing under a managed entry scheme (MES) using the currently available evidence for </w:t>
      </w:r>
      <w:proofErr w:type="spellStart"/>
      <w:r w:rsidRPr="006706A8">
        <w:t>alemtuzumab</w:t>
      </w:r>
      <w:proofErr w:type="spellEnd"/>
      <w:r w:rsidRPr="006706A8">
        <w:t xml:space="preserve"> with a proviso that the sponsor will provide the final results of the CARE MS extension study when available. The ESC noted that the full five year results are due to be reported in the 2nd quarter of 2015.</w:t>
      </w:r>
    </w:p>
    <w:p w:rsidR="004C7F6D" w:rsidRPr="006706A8" w:rsidRDefault="004C7F6D" w:rsidP="002B76B3">
      <w:pPr>
        <w:pStyle w:val="COMBody"/>
      </w:pPr>
    </w:p>
    <w:p w:rsidR="004C7F6D" w:rsidRPr="006706A8" w:rsidRDefault="004C7F6D" w:rsidP="00DC3791">
      <w:pPr>
        <w:pStyle w:val="COMBody"/>
        <w:numPr>
          <w:ilvl w:val="1"/>
          <w:numId w:val="25"/>
        </w:numPr>
      </w:pPr>
      <w:r w:rsidRPr="006706A8">
        <w:t xml:space="preserve">The submission claims that the current evidence base is sufficient to justify the requested price and that the final results from the CARE MS extension study are for confirmative purposes only and are not necessary to establish the magnitude of benefit associated with </w:t>
      </w:r>
      <w:proofErr w:type="spellStart"/>
      <w:r w:rsidRPr="006706A8">
        <w:t>alemtuzumab</w:t>
      </w:r>
      <w:proofErr w:type="spellEnd"/>
      <w:r w:rsidRPr="006706A8">
        <w:t xml:space="preserve"> treatment. The ESC Advice noted in regards to the MES, based on the proposal in the submission, it may be more appropriate to base the price of </w:t>
      </w:r>
      <w:proofErr w:type="spellStart"/>
      <w:r w:rsidRPr="006706A8">
        <w:t>alemtuzumab</w:t>
      </w:r>
      <w:proofErr w:type="spellEnd"/>
      <w:r w:rsidRPr="006706A8">
        <w:t xml:space="preserve"> on 2 years of therapy with </w:t>
      </w:r>
      <w:proofErr w:type="spellStart"/>
      <w:r w:rsidRPr="006706A8">
        <w:t>fingolimod</w:t>
      </w:r>
      <w:proofErr w:type="spellEnd"/>
      <w:r w:rsidRPr="006706A8">
        <w:t xml:space="preserve"> and </w:t>
      </w:r>
      <w:proofErr w:type="spellStart"/>
      <w:r w:rsidRPr="006706A8">
        <w:t>natalizumab</w:t>
      </w:r>
      <w:proofErr w:type="spellEnd"/>
      <w:r w:rsidRPr="006706A8">
        <w:t xml:space="preserve"> with future price increases dependent on further evidence of durability of effect. Alternatively, the basis of MES may be constructed from the direct clinical </w:t>
      </w:r>
      <w:r w:rsidRPr="006706A8">
        <w:lastRenderedPageBreak/>
        <w:t xml:space="preserve">evidence with interferon beta-1a, given the clinical uncertainties of </w:t>
      </w:r>
      <w:proofErr w:type="spellStart"/>
      <w:r w:rsidRPr="006706A8">
        <w:t>alemtuzumab</w:t>
      </w:r>
      <w:proofErr w:type="spellEnd"/>
      <w:r w:rsidRPr="006706A8">
        <w:t>, including the place in the treatment algorithm, comparative efficacy and safety with other treatment for MS in terms of magnitude and duration, and requirements for the treatment of adverse effects.</w:t>
      </w:r>
    </w:p>
    <w:p w:rsidR="004C7F6D" w:rsidRPr="006706A8" w:rsidRDefault="004C7F6D" w:rsidP="002B76B3">
      <w:pPr>
        <w:pStyle w:val="COMBody"/>
      </w:pPr>
    </w:p>
    <w:p w:rsidR="004C7F6D" w:rsidRPr="006706A8" w:rsidRDefault="004C7F6D" w:rsidP="00740FA2">
      <w:pPr>
        <w:pStyle w:val="COMBody"/>
        <w:numPr>
          <w:ilvl w:val="1"/>
          <w:numId w:val="25"/>
        </w:numPr>
      </w:pPr>
      <w:r w:rsidRPr="006706A8">
        <w:t>The submission states that confirmation of durability of effect will be based on re-treatment rates reported over five years. Longer-term results of the CARE MS extension study may reduce some but not all of the uncertainty associated with durability of effect. The ESC Advice noted that results would need to include efficacy and safety outcomes in addition to re-treatment rates. Final results are likely to be subject to many of the same limitations as the preliminary data</w:t>
      </w:r>
      <w:r w:rsidR="00D956EE" w:rsidRPr="006706A8">
        <w:t xml:space="preserve">: </w:t>
      </w:r>
      <w:r w:rsidRPr="006706A8">
        <w:t>re-treatment rates do not account for patients switching to other therapies and patients lost to follow-up; waning of effects before re-treatment are not accounted for; it is unclear whether the re-treatment criteria used in the CARE MS extension studies are likely to be representative of clinical practice.</w:t>
      </w:r>
    </w:p>
    <w:p w:rsidR="004C7F6D" w:rsidRPr="006706A8" w:rsidRDefault="004C7F6D" w:rsidP="002B76B3">
      <w:pPr>
        <w:pStyle w:val="COMBody"/>
      </w:pPr>
    </w:p>
    <w:p w:rsidR="004C7F6D" w:rsidRPr="006706A8" w:rsidRDefault="004C7F6D" w:rsidP="00DC3791">
      <w:pPr>
        <w:pStyle w:val="COMBody"/>
        <w:numPr>
          <w:ilvl w:val="1"/>
          <w:numId w:val="25"/>
        </w:numPr>
      </w:pPr>
      <w:proofErr w:type="spellStart"/>
      <w:r w:rsidRPr="006706A8">
        <w:t>Fingolimod</w:t>
      </w:r>
      <w:proofErr w:type="spellEnd"/>
      <w:r w:rsidRPr="006706A8">
        <w:t xml:space="preserve"> and </w:t>
      </w:r>
      <w:proofErr w:type="spellStart"/>
      <w:r w:rsidRPr="006706A8">
        <w:t>natalizumab</w:t>
      </w:r>
      <w:proofErr w:type="spellEnd"/>
      <w:r w:rsidRPr="006706A8">
        <w:t xml:space="preserve"> are subject to special pricing arrangements. The sponsor proposes a similar arrangement for </w:t>
      </w:r>
      <w:proofErr w:type="spellStart"/>
      <w:r w:rsidRPr="006706A8">
        <w:t>alemtuzumab</w:t>
      </w:r>
      <w:proofErr w:type="spellEnd"/>
      <w:r w:rsidRPr="006706A8">
        <w:t>.</w:t>
      </w:r>
    </w:p>
    <w:p w:rsidR="004C7F6D" w:rsidRPr="006706A8" w:rsidRDefault="004C7F6D" w:rsidP="00002420">
      <w:pPr>
        <w:rPr>
          <w:rFonts w:ascii="Arial" w:hAnsi="Arial" w:cs="Arial"/>
          <w:sz w:val="22"/>
          <w:szCs w:val="22"/>
        </w:rPr>
      </w:pPr>
    </w:p>
    <w:p w:rsidR="004C7F6D" w:rsidRPr="006706A8" w:rsidRDefault="004C7F6D" w:rsidP="00E77399">
      <w:pPr>
        <w:pStyle w:val="ListParagraph"/>
        <w:numPr>
          <w:ilvl w:val="1"/>
          <w:numId w:val="25"/>
        </w:numPr>
        <w:ind w:left="709" w:hanging="709"/>
        <w:jc w:val="both"/>
        <w:rPr>
          <w:rFonts w:ascii="Arial" w:hAnsi="Arial"/>
          <w:sz w:val="22"/>
          <w:szCs w:val="22"/>
        </w:rPr>
      </w:pPr>
      <w:r w:rsidRPr="006706A8">
        <w:rPr>
          <w:rFonts w:ascii="Arial" w:hAnsi="Arial"/>
          <w:sz w:val="22"/>
          <w:szCs w:val="22"/>
        </w:rPr>
        <w:t xml:space="preserve">The PBAC considered, among other matters, that the measures below should be implemented to contain risks associated with the cost of the </w:t>
      </w:r>
      <w:proofErr w:type="spellStart"/>
      <w:r w:rsidRPr="006706A8">
        <w:rPr>
          <w:rFonts w:ascii="Arial" w:hAnsi="Arial"/>
          <w:sz w:val="22"/>
          <w:szCs w:val="22"/>
        </w:rPr>
        <w:t>alemtuzumab</w:t>
      </w:r>
      <w:proofErr w:type="spellEnd"/>
      <w:r w:rsidRPr="006706A8">
        <w:rPr>
          <w:rFonts w:ascii="Arial" w:hAnsi="Arial"/>
          <w:sz w:val="22"/>
          <w:szCs w:val="22"/>
        </w:rPr>
        <w:t xml:space="preserve"> to the PBS:</w:t>
      </w:r>
    </w:p>
    <w:p w:rsidR="004C7F6D" w:rsidRPr="006706A8" w:rsidRDefault="004C7F6D" w:rsidP="00E77399">
      <w:pPr>
        <w:pStyle w:val="ListParagraph"/>
        <w:rPr>
          <w:rFonts w:ascii="Arial" w:hAnsi="Arial"/>
          <w:sz w:val="22"/>
          <w:szCs w:val="22"/>
        </w:rPr>
      </w:pPr>
      <w:r w:rsidRPr="006706A8">
        <w:rPr>
          <w:rFonts w:ascii="Arial" w:hAnsi="Arial"/>
          <w:sz w:val="22"/>
          <w:szCs w:val="22"/>
        </w:rPr>
        <w:t>•</w:t>
      </w:r>
      <w:r w:rsidRPr="006706A8">
        <w:rPr>
          <w:rFonts w:ascii="Arial" w:hAnsi="Arial"/>
          <w:sz w:val="22"/>
          <w:szCs w:val="22"/>
        </w:rPr>
        <w:tab/>
        <w:t>A Risk Share Agreement (RSA) between the sponsor and the Government</w:t>
      </w:r>
    </w:p>
    <w:p w:rsidR="004C7F6D" w:rsidRPr="006706A8" w:rsidRDefault="004C7F6D" w:rsidP="00E77399">
      <w:pPr>
        <w:pStyle w:val="ListParagraph"/>
        <w:rPr>
          <w:rFonts w:ascii="Arial" w:hAnsi="Arial"/>
          <w:sz w:val="22"/>
          <w:szCs w:val="22"/>
        </w:rPr>
      </w:pPr>
      <w:r w:rsidRPr="006706A8">
        <w:rPr>
          <w:rFonts w:ascii="Arial" w:hAnsi="Arial"/>
          <w:sz w:val="22"/>
          <w:szCs w:val="22"/>
        </w:rPr>
        <w:t>•</w:t>
      </w:r>
      <w:r w:rsidRPr="006706A8">
        <w:rPr>
          <w:rFonts w:ascii="Arial" w:hAnsi="Arial"/>
          <w:sz w:val="22"/>
          <w:szCs w:val="22"/>
        </w:rPr>
        <w:tab/>
        <w:t xml:space="preserve">The RSA should include a rebate during the treatment period for other treatments for MS used by patients including re-treatment beyond the standard two doses of </w:t>
      </w:r>
      <w:proofErr w:type="spellStart"/>
      <w:r w:rsidRPr="006706A8">
        <w:rPr>
          <w:rFonts w:ascii="Arial" w:hAnsi="Arial"/>
          <w:sz w:val="22"/>
          <w:szCs w:val="22"/>
        </w:rPr>
        <w:t>alemtuzumab</w:t>
      </w:r>
      <w:proofErr w:type="spellEnd"/>
      <w:r w:rsidRPr="006706A8">
        <w:rPr>
          <w:rFonts w:ascii="Arial" w:hAnsi="Arial"/>
          <w:sz w:val="22"/>
          <w:szCs w:val="22"/>
        </w:rPr>
        <w:t>.</w:t>
      </w:r>
    </w:p>
    <w:p w:rsidR="004C7F6D" w:rsidRPr="006706A8" w:rsidRDefault="004C7F6D" w:rsidP="00BB7EC3">
      <w:pPr>
        <w:pStyle w:val="ListParagraph"/>
        <w:ind w:left="709"/>
        <w:jc w:val="both"/>
        <w:rPr>
          <w:rFonts w:ascii="Arial" w:hAnsi="Arial"/>
          <w:sz w:val="22"/>
          <w:szCs w:val="22"/>
        </w:rPr>
      </w:pPr>
    </w:p>
    <w:p w:rsidR="004C7F6D" w:rsidRPr="006706A8" w:rsidRDefault="004C7F6D" w:rsidP="00BB7EC3">
      <w:pPr>
        <w:pStyle w:val="ListParagraph"/>
        <w:ind w:left="709"/>
        <w:jc w:val="both"/>
        <w:rPr>
          <w:rFonts w:ascii="Arial" w:hAnsi="Arial"/>
          <w:i/>
          <w:sz w:val="22"/>
          <w:szCs w:val="22"/>
        </w:rPr>
      </w:pPr>
      <w:r w:rsidRPr="006706A8">
        <w:rPr>
          <w:rFonts w:ascii="Arial" w:hAnsi="Arial"/>
          <w:i/>
          <w:sz w:val="22"/>
          <w:szCs w:val="22"/>
        </w:rPr>
        <w:t>For more detail on PBAC’s view, see section 7 “PBAC outcome”</w:t>
      </w:r>
    </w:p>
    <w:p w:rsidR="004C7F6D" w:rsidRDefault="004C7F6D" w:rsidP="00882085">
      <w:pPr>
        <w:jc w:val="both"/>
        <w:rPr>
          <w:rFonts w:ascii="Arial" w:hAnsi="Arial"/>
          <w:sz w:val="22"/>
          <w:szCs w:val="22"/>
        </w:rPr>
      </w:pPr>
    </w:p>
    <w:p w:rsidR="003C2C00" w:rsidRPr="006706A8" w:rsidRDefault="003C2C00" w:rsidP="00882085">
      <w:pPr>
        <w:jc w:val="both"/>
        <w:rPr>
          <w:rFonts w:ascii="Arial" w:hAnsi="Arial"/>
          <w:sz w:val="22"/>
          <w:szCs w:val="22"/>
        </w:rPr>
      </w:pPr>
    </w:p>
    <w:p w:rsidR="004C7F6D" w:rsidRPr="006706A8" w:rsidRDefault="004C7F6D" w:rsidP="00245733">
      <w:pPr>
        <w:pStyle w:val="ListParagraph"/>
        <w:numPr>
          <w:ilvl w:val="0"/>
          <w:numId w:val="25"/>
        </w:numPr>
        <w:jc w:val="both"/>
        <w:rPr>
          <w:rFonts w:ascii="Arial" w:hAnsi="Arial"/>
          <w:b/>
          <w:sz w:val="22"/>
          <w:szCs w:val="22"/>
        </w:rPr>
      </w:pPr>
      <w:r w:rsidRPr="006706A8">
        <w:rPr>
          <w:rFonts w:ascii="Arial" w:hAnsi="Arial"/>
          <w:b/>
          <w:sz w:val="22"/>
          <w:szCs w:val="22"/>
        </w:rPr>
        <w:t>PBAC Outcome</w:t>
      </w:r>
    </w:p>
    <w:p w:rsidR="004C7F6D" w:rsidRPr="006706A8" w:rsidRDefault="004C7F6D" w:rsidP="00EE00CC">
      <w:pPr>
        <w:jc w:val="both"/>
        <w:rPr>
          <w:rFonts w:ascii="Arial" w:hAnsi="Arial"/>
          <w:sz w:val="22"/>
          <w:szCs w:val="22"/>
        </w:rPr>
      </w:pPr>
    </w:p>
    <w:p w:rsidR="004C7F6D" w:rsidRPr="006706A8" w:rsidRDefault="004C7F6D" w:rsidP="00650C26">
      <w:pPr>
        <w:pStyle w:val="ListParagraph"/>
        <w:numPr>
          <w:ilvl w:val="1"/>
          <w:numId w:val="25"/>
        </w:numPr>
        <w:ind w:left="709" w:hanging="709"/>
        <w:jc w:val="both"/>
        <w:rPr>
          <w:rFonts w:ascii="Arial" w:hAnsi="Arial" w:cs="Arial"/>
          <w:sz w:val="22"/>
          <w:szCs w:val="22"/>
        </w:rPr>
      </w:pPr>
      <w:r w:rsidRPr="006706A8">
        <w:rPr>
          <w:rFonts w:ascii="Arial" w:hAnsi="Arial" w:cs="Arial"/>
          <w:sz w:val="22"/>
          <w:szCs w:val="22"/>
        </w:rPr>
        <w:t xml:space="preserve">The PBAC recommended the Authority Required Section 100 (Highly Specialised Drugs Program) listing of </w:t>
      </w:r>
      <w:proofErr w:type="spellStart"/>
      <w:r w:rsidRPr="006706A8">
        <w:rPr>
          <w:rFonts w:ascii="Arial" w:hAnsi="Arial" w:cs="Arial"/>
          <w:sz w:val="22"/>
          <w:szCs w:val="22"/>
        </w:rPr>
        <w:t>alemtuzumab</w:t>
      </w:r>
      <w:proofErr w:type="spellEnd"/>
      <w:r w:rsidRPr="006706A8">
        <w:rPr>
          <w:rFonts w:ascii="Arial" w:hAnsi="Arial" w:cs="Arial"/>
          <w:sz w:val="22"/>
          <w:szCs w:val="22"/>
        </w:rPr>
        <w:t xml:space="preserve"> for the treatment of relapsing-remitting multiple sclerosis, on the basis of non-inferior effectiveness and a different safety profile to </w:t>
      </w:r>
      <w:proofErr w:type="spellStart"/>
      <w:r w:rsidRPr="006706A8">
        <w:rPr>
          <w:rFonts w:ascii="Arial" w:hAnsi="Arial" w:cs="Arial"/>
          <w:sz w:val="22"/>
          <w:szCs w:val="22"/>
        </w:rPr>
        <w:t>fingolimod</w:t>
      </w:r>
      <w:proofErr w:type="spellEnd"/>
      <w:r w:rsidRPr="006706A8">
        <w:rPr>
          <w:rFonts w:ascii="Arial" w:hAnsi="Arial" w:cs="Arial"/>
          <w:sz w:val="22"/>
          <w:szCs w:val="22"/>
        </w:rPr>
        <w:t xml:space="preserve"> and </w:t>
      </w:r>
      <w:proofErr w:type="spellStart"/>
      <w:r w:rsidRPr="006706A8">
        <w:rPr>
          <w:rFonts w:ascii="Arial" w:hAnsi="Arial" w:cs="Arial"/>
          <w:sz w:val="22"/>
          <w:szCs w:val="22"/>
        </w:rPr>
        <w:t>natalizumab</w:t>
      </w:r>
      <w:proofErr w:type="spellEnd"/>
      <w:r w:rsidRPr="006706A8">
        <w:rPr>
          <w:rFonts w:ascii="Arial" w:hAnsi="Arial" w:cs="Arial"/>
          <w:sz w:val="22"/>
          <w:szCs w:val="22"/>
        </w:rPr>
        <w:t>.</w:t>
      </w:r>
    </w:p>
    <w:p w:rsidR="004C7F6D" w:rsidRPr="006706A8" w:rsidRDefault="004C7F6D" w:rsidP="002B76B3">
      <w:pPr>
        <w:jc w:val="both"/>
        <w:rPr>
          <w:rFonts w:ascii="Arial" w:hAnsi="Arial" w:cs="Arial"/>
          <w:sz w:val="22"/>
          <w:szCs w:val="22"/>
        </w:rPr>
      </w:pPr>
    </w:p>
    <w:p w:rsidR="004C7F6D" w:rsidRPr="006706A8" w:rsidRDefault="004C7F6D" w:rsidP="00AD3287">
      <w:pPr>
        <w:pStyle w:val="ListParagraph"/>
        <w:numPr>
          <w:ilvl w:val="1"/>
          <w:numId w:val="25"/>
        </w:numPr>
        <w:ind w:left="709" w:hanging="709"/>
        <w:jc w:val="both"/>
        <w:rPr>
          <w:rFonts w:ascii="Arial" w:hAnsi="Arial"/>
          <w:sz w:val="22"/>
          <w:szCs w:val="22"/>
        </w:rPr>
      </w:pPr>
      <w:r w:rsidRPr="006706A8">
        <w:rPr>
          <w:rFonts w:ascii="Arial" w:hAnsi="Arial"/>
          <w:sz w:val="22"/>
          <w:szCs w:val="22"/>
        </w:rPr>
        <w:t xml:space="preserve">The PBAC noted that the clinician at the hearing reaffirmed the proposed clinical place for </w:t>
      </w:r>
      <w:proofErr w:type="spellStart"/>
      <w:r w:rsidRPr="006706A8">
        <w:rPr>
          <w:rFonts w:ascii="Arial" w:hAnsi="Arial"/>
          <w:sz w:val="22"/>
          <w:szCs w:val="22"/>
        </w:rPr>
        <w:t>alemtuzumab</w:t>
      </w:r>
      <w:proofErr w:type="spellEnd"/>
      <w:r w:rsidRPr="006706A8">
        <w:rPr>
          <w:rFonts w:ascii="Arial" w:hAnsi="Arial"/>
          <w:sz w:val="22"/>
          <w:szCs w:val="22"/>
        </w:rPr>
        <w:t xml:space="preserve"> as: a first-line therapy in patients with poor prognostic signs; and as escalation therapy in treatment experienced patients with ongoing disease activity. The PBAC recognised that there may be a clinical need for the drug in patients with high disease activity, noting the consumer comments. The PBAC considered that this clinical place was uncertain, particularly in the early stages of the disease, where there is pressure to decide which treatment to initiate before poor prognostic signs manifest. Over time, should confidence with this medicine grow in the absence of any emerging but unexpected safety concerns, this is likely to result in earlier treatment in patients with better prognosis.</w:t>
      </w:r>
    </w:p>
    <w:p w:rsidR="004C7F6D" w:rsidRPr="006706A8" w:rsidRDefault="004C7F6D" w:rsidP="002B76B3">
      <w:pPr>
        <w:rPr>
          <w:rFonts w:ascii="Arial" w:hAnsi="Arial"/>
          <w:sz w:val="22"/>
          <w:szCs w:val="22"/>
        </w:rPr>
      </w:pPr>
    </w:p>
    <w:p w:rsidR="004C7F6D" w:rsidRPr="006706A8" w:rsidRDefault="004C7F6D" w:rsidP="00AD3287">
      <w:pPr>
        <w:pStyle w:val="ListParagraph"/>
        <w:numPr>
          <w:ilvl w:val="1"/>
          <w:numId w:val="25"/>
        </w:numPr>
        <w:ind w:left="709" w:hanging="709"/>
        <w:jc w:val="both"/>
        <w:rPr>
          <w:rFonts w:ascii="Arial" w:hAnsi="Arial"/>
          <w:sz w:val="22"/>
          <w:szCs w:val="22"/>
        </w:rPr>
      </w:pPr>
      <w:r w:rsidRPr="006706A8">
        <w:rPr>
          <w:rFonts w:ascii="Arial" w:hAnsi="Arial"/>
          <w:sz w:val="22"/>
          <w:szCs w:val="22"/>
        </w:rPr>
        <w:t xml:space="preserve">The PBAC considered the submission’s main comparators, </w:t>
      </w:r>
      <w:proofErr w:type="spellStart"/>
      <w:r w:rsidRPr="006706A8">
        <w:rPr>
          <w:rFonts w:ascii="Arial" w:hAnsi="Arial" w:cs="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were acceptable. The PBAC noted the ESC advice that subcutaneous interferon beta-1a may be a more appropriate comparator, given the available randomised data. However, the PBAC agreed with the submission and the hearing that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are the therapies that would be replaced by </w:t>
      </w:r>
      <w:proofErr w:type="spellStart"/>
      <w:r w:rsidRPr="006706A8">
        <w:rPr>
          <w:rFonts w:ascii="Arial" w:hAnsi="Arial"/>
          <w:sz w:val="22"/>
          <w:szCs w:val="22"/>
        </w:rPr>
        <w:t>alemtuzumab</w:t>
      </w:r>
      <w:proofErr w:type="spellEnd"/>
      <w:r w:rsidRPr="006706A8">
        <w:rPr>
          <w:rFonts w:ascii="Arial" w:hAnsi="Arial"/>
          <w:sz w:val="22"/>
          <w:szCs w:val="22"/>
        </w:rPr>
        <w:t xml:space="preserve"> in practice, particularly in the period immediately after listing, and therefore could also be considered appropriate comparators.</w:t>
      </w:r>
    </w:p>
    <w:p w:rsidR="004C7F6D" w:rsidRPr="006706A8" w:rsidRDefault="004C7F6D" w:rsidP="006432DA">
      <w:pPr>
        <w:jc w:val="both"/>
        <w:rPr>
          <w:rFonts w:ascii="Arial" w:hAnsi="Arial" w:cs="Arial"/>
          <w:sz w:val="22"/>
          <w:szCs w:val="22"/>
        </w:rPr>
      </w:pPr>
    </w:p>
    <w:p w:rsidR="004C7F6D" w:rsidRPr="006706A8" w:rsidRDefault="004C7F6D" w:rsidP="00634F35">
      <w:pPr>
        <w:pStyle w:val="ListParagraph"/>
        <w:numPr>
          <w:ilvl w:val="1"/>
          <w:numId w:val="25"/>
        </w:numPr>
        <w:ind w:left="709" w:hanging="709"/>
        <w:jc w:val="both"/>
        <w:rPr>
          <w:rFonts w:ascii="Arial" w:hAnsi="Arial"/>
          <w:sz w:val="22"/>
          <w:szCs w:val="22"/>
        </w:rPr>
      </w:pPr>
      <w:r w:rsidRPr="006706A8">
        <w:rPr>
          <w:rFonts w:ascii="Arial" w:hAnsi="Arial"/>
          <w:sz w:val="22"/>
          <w:szCs w:val="22"/>
        </w:rPr>
        <w:t xml:space="preserve">The PBAC considered that the claim of clinical durability of </w:t>
      </w:r>
      <w:proofErr w:type="spellStart"/>
      <w:r w:rsidRPr="006706A8">
        <w:rPr>
          <w:rFonts w:ascii="Arial" w:hAnsi="Arial"/>
          <w:sz w:val="22"/>
          <w:szCs w:val="22"/>
        </w:rPr>
        <w:t>alemtuzumab</w:t>
      </w:r>
      <w:proofErr w:type="spellEnd"/>
      <w:r w:rsidRPr="006706A8">
        <w:rPr>
          <w:rFonts w:ascii="Arial" w:hAnsi="Arial"/>
          <w:sz w:val="22"/>
          <w:szCs w:val="22"/>
        </w:rPr>
        <w:t xml:space="preserve"> compared to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had not been supported in the submission. The PBAC noted that the claim of durability was informed by the interim results of the CARE-MS extension study, and that the duration of the clinical effect compared to </w:t>
      </w:r>
      <w:proofErr w:type="spellStart"/>
      <w:r w:rsidRPr="006706A8">
        <w:rPr>
          <w:rFonts w:ascii="Arial" w:hAnsi="Arial"/>
          <w:sz w:val="22"/>
          <w:szCs w:val="22"/>
        </w:rPr>
        <w:t>fingolimod</w:t>
      </w:r>
      <w:proofErr w:type="spellEnd"/>
      <w:r w:rsidRPr="006706A8">
        <w:rPr>
          <w:rFonts w:ascii="Arial" w:hAnsi="Arial"/>
          <w:sz w:val="22"/>
          <w:szCs w:val="22"/>
        </w:rPr>
        <w:t xml:space="preserve"> and </w:t>
      </w:r>
      <w:proofErr w:type="spellStart"/>
      <w:r w:rsidRPr="006706A8">
        <w:rPr>
          <w:rFonts w:ascii="Arial" w:hAnsi="Arial"/>
          <w:sz w:val="22"/>
          <w:szCs w:val="22"/>
        </w:rPr>
        <w:t>natalizumab</w:t>
      </w:r>
      <w:proofErr w:type="spellEnd"/>
      <w:r w:rsidRPr="006706A8">
        <w:rPr>
          <w:rFonts w:ascii="Arial" w:hAnsi="Arial"/>
          <w:sz w:val="22"/>
          <w:szCs w:val="22"/>
        </w:rPr>
        <w:t xml:space="preserve"> remains uncertain. The PBAC did not accept that in-trial re-treatment rates were justified to be an adequate proxy for durability of effect as they do not account for patients switching to other therapies and patients lost to follow-up. Further, the basis of the clinician’s decision to re-treat with </w:t>
      </w:r>
      <w:proofErr w:type="spellStart"/>
      <w:r w:rsidRPr="006706A8">
        <w:rPr>
          <w:rFonts w:ascii="Arial" w:hAnsi="Arial"/>
          <w:sz w:val="22"/>
          <w:szCs w:val="22"/>
        </w:rPr>
        <w:t>alemtuzumab</w:t>
      </w:r>
      <w:proofErr w:type="spellEnd"/>
      <w:r w:rsidRPr="006706A8">
        <w:rPr>
          <w:rFonts w:ascii="Arial" w:hAnsi="Arial"/>
          <w:sz w:val="22"/>
          <w:szCs w:val="22"/>
        </w:rPr>
        <w:t xml:space="preserve"> (as opposed to another </w:t>
      </w:r>
      <w:r w:rsidR="00B32EBC" w:rsidRPr="006706A8">
        <w:rPr>
          <w:rFonts w:ascii="Arial" w:hAnsi="Arial"/>
          <w:sz w:val="22"/>
          <w:szCs w:val="22"/>
        </w:rPr>
        <w:t>disease modifying therapy</w:t>
      </w:r>
      <w:r w:rsidRPr="006706A8">
        <w:rPr>
          <w:rFonts w:ascii="Arial" w:hAnsi="Arial"/>
          <w:sz w:val="22"/>
          <w:szCs w:val="22"/>
        </w:rPr>
        <w:t xml:space="preserve">) is not clearly linked to monitoring of any particular aspect of effect. The PBAC noted that the approach used by the submission does not account for any waning of effects before re-treatment. The PBAC considered that the criteria for a patient to seek re-treatment was unclear and that it was uncertain how any such criteria may be interpreted by clinicians. The PBAC considered that once the final results of the extension study are known, and if they support durability of effect, the sponsor is welcome to lodge a submission to the PBAC providing this evidence. The PBAC also agreed with the ESC that a </w:t>
      </w:r>
      <w:r w:rsidRPr="006706A8">
        <w:rPr>
          <w:rFonts w:ascii="Arial" w:hAnsi="Arial" w:cs="Arial"/>
          <w:sz w:val="22"/>
          <w:szCs w:val="22"/>
        </w:rPr>
        <w:t xml:space="preserve">modelled cost-utility analysis may be an alternate way to value </w:t>
      </w:r>
      <w:proofErr w:type="spellStart"/>
      <w:r w:rsidRPr="006706A8">
        <w:rPr>
          <w:rFonts w:ascii="Arial" w:hAnsi="Arial" w:cs="Arial"/>
          <w:sz w:val="22"/>
          <w:szCs w:val="22"/>
        </w:rPr>
        <w:t>alemtuzumab</w:t>
      </w:r>
      <w:proofErr w:type="spellEnd"/>
      <w:r w:rsidRPr="006706A8">
        <w:rPr>
          <w:rFonts w:ascii="Arial" w:hAnsi="Arial" w:cs="Arial"/>
          <w:sz w:val="22"/>
          <w:szCs w:val="22"/>
        </w:rPr>
        <w:t xml:space="preserve"> to better account for the differences in the risk/benefit profile (both short-term and long-term) between treatments.</w:t>
      </w:r>
    </w:p>
    <w:p w:rsidR="004C7F6D" w:rsidRPr="006706A8" w:rsidRDefault="004C7F6D" w:rsidP="00F1575D">
      <w:pPr>
        <w:jc w:val="both"/>
        <w:rPr>
          <w:rFonts w:ascii="Arial" w:hAnsi="Arial"/>
          <w:sz w:val="22"/>
          <w:szCs w:val="22"/>
        </w:rPr>
      </w:pPr>
    </w:p>
    <w:p w:rsidR="004C7F6D" w:rsidRPr="006706A8" w:rsidRDefault="004C7F6D" w:rsidP="00BB7EC3">
      <w:pPr>
        <w:pStyle w:val="COMBody"/>
        <w:numPr>
          <w:ilvl w:val="1"/>
          <w:numId w:val="25"/>
        </w:numPr>
      </w:pPr>
      <w:r w:rsidRPr="006706A8">
        <w:t>The PBAC considered the submission’s proposed MES, but was concerned that the CARE MS extension studies would not further address the uncertainty of the treatment duration for patient relevant outcomes and that the sponsor had not presented a proposal for what action should be taken if the final results from the CARE MS extension study do not confirm the treatment duration claimed in the submission. The PBAC recommended a RSA between the sponsor and the Government.</w:t>
      </w:r>
    </w:p>
    <w:p w:rsidR="004C7F6D" w:rsidRPr="006706A8" w:rsidRDefault="004C7F6D" w:rsidP="00AD3069">
      <w:pPr>
        <w:rPr>
          <w:szCs w:val="22"/>
        </w:rPr>
      </w:pPr>
    </w:p>
    <w:p w:rsidR="004C7F6D" w:rsidRPr="006706A8" w:rsidRDefault="004C7F6D" w:rsidP="00BB7EC3">
      <w:pPr>
        <w:pStyle w:val="COMBody"/>
        <w:numPr>
          <w:ilvl w:val="1"/>
          <w:numId w:val="25"/>
        </w:numPr>
      </w:pPr>
      <w:r w:rsidRPr="006706A8">
        <w:rPr>
          <w:szCs w:val="22"/>
        </w:rPr>
        <w:t xml:space="preserve">The PBAC noted that, although based on a cost-minimisation approach, the submission estimates a substantial net cost to the PBS of </w:t>
      </w:r>
      <w:r w:rsidR="007C62F0">
        <w:rPr>
          <w:noProof/>
          <w:color w:val="000000"/>
          <w:szCs w:val="22"/>
          <w:highlight w:val="black"/>
        </w:rPr>
        <w:t>''''''''' '''''''''''''''''</w:t>
      </w:r>
      <w:r w:rsidRPr="006706A8">
        <w:rPr>
          <w:szCs w:val="22"/>
        </w:rPr>
        <w:t xml:space="preserve"> over 5 years.</w:t>
      </w:r>
    </w:p>
    <w:p w:rsidR="004C7F6D" w:rsidRPr="006706A8" w:rsidRDefault="004C7F6D" w:rsidP="00AD3069">
      <w:pPr>
        <w:pStyle w:val="COMBody"/>
      </w:pPr>
    </w:p>
    <w:p w:rsidR="004C7F6D" w:rsidRPr="006706A8" w:rsidRDefault="004C7F6D" w:rsidP="00800E0F">
      <w:pPr>
        <w:pStyle w:val="ListParagraph"/>
        <w:numPr>
          <w:ilvl w:val="1"/>
          <w:numId w:val="25"/>
        </w:numPr>
        <w:jc w:val="both"/>
        <w:rPr>
          <w:rFonts w:ascii="Arial" w:hAnsi="Arial"/>
          <w:sz w:val="22"/>
          <w:szCs w:val="22"/>
        </w:rPr>
      </w:pPr>
      <w:r w:rsidRPr="006706A8">
        <w:rPr>
          <w:rFonts w:ascii="Arial" w:hAnsi="Arial"/>
          <w:sz w:val="22"/>
          <w:szCs w:val="22"/>
        </w:rPr>
        <w:t xml:space="preserve">The PBAC advised that </w:t>
      </w:r>
      <w:proofErr w:type="spellStart"/>
      <w:r w:rsidRPr="006706A8">
        <w:rPr>
          <w:rFonts w:ascii="Arial" w:hAnsi="Arial"/>
          <w:sz w:val="22"/>
          <w:szCs w:val="22"/>
        </w:rPr>
        <w:t>alemtuzumab</w:t>
      </w:r>
      <w:proofErr w:type="spellEnd"/>
      <w:r w:rsidRPr="006706A8">
        <w:rPr>
          <w:rFonts w:ascii="Arial" w:hAnsi="Arial"/>
          <w:sz w:val="22"/>
          <w:szCs w:val="22"/>
        </w:rPr>
        <w:t xml:space="preserve"> is not suitable for prescribing by nurse practitioners as it is a Section 100 medicine.</w:t>
      </w:r>
    </w:p>
    <w:p w:rsidR="004C7F6D" w:rsidRPr="006706A8" w:rsidRDefault="004C7F6D" w:rsidP="00BB7EC3">
      <w:pPr>
        <w:rPr>
          <w:rFonts w:ascii="Arial" w:hAnsi="Arial"/>
          <w:sz w:val="22"/>
          <w:szCs w:val="22"/>
        </w:rPr>
      </w:pPr>
    </w:p>
    <w:p w:rsidR="004C7F6D" w:rsidRPr="006706A8" w:rsidRDefault="004C7F6D" w:rsidP="00800E0F">
      <w:pPr>
        <w:numPr>
          <w:ilvl w:val="1"/>
          <w:numId w:val="25"/>
        </w:numPr>
        <w:jc w:val="both"/>
        <w:rPr>
          <w:rFonts w:ascii="Arial" w:hAnsi="Arial"/>
          <w:sz w:val="22"/>
          <w:szCs w:val="22"/>
        </w:rPr>
      </w:pPr>
      <w:r w:rsidRPr="006706A8">
        <w:rPr>
          <w:rFonts w:ascii="Arial" w:hAnsi="Arial"/>
          <w:sz w:val="22"/>
          <w:szCs w:val="22"/>
        </w:rPr>
        <w:t xml:space="preserve">The PBAC recommended that the Safety Net 20 Day Rule should not apply to </w:t>
      </w:r>
      <w:proofErr w:type="spellStart"/>
      <w:r w:rsidRPr="006706A8">
        <w:rPr>
          <w:rFonts w:ascii="Arial" w:hAnsi="Arial"/>
          <w:sz w:val="22"/>
          <w:szCs w:val="22"/>
        </w:rPr>
        <w:t>alemtuzumab</w:t>
      </w:r>
      <w:proofErr w:type="spellEnd"/>
      <w:r w:rsidRPr="006706A8">
        <w:rPr>
          <w:rFonts w:ascii="Arial" w:hAnsi="Arial"/>
          <w:sz w:val="22"/>
          <w:szCs w:val="22"/>
        </w:rPr>
        <w:t xml:space="preserve">, as it does not apply to items supplied under Section 100. </w:t>
      </w:r>
    </w:p>
    <w:p w:rsidR="004C7F6D" w:rsidRPr="006706A8" w:rsidRDefault="004C7F6D" w:rsidP="003971BC">
      <w:pPr>
        <w:rPr>
          <w:rFonts w:ascii="Arial" w:hAnsi="Arial"/>
          <w:sz w:val="22"/>
          <w:szCs w:val="22"/>
        </w:rPr>
      </w:pPr>
    </w:p>
    <w:p w:rsidR="004C7F6D" w:rsidRPr="006706A8" w:rsidRDefault="004C7F6D" w:rsidP="003971BC">
      <w:pPr>
        <w:numPr>
          <w:ilvl w:val="1"/>
          <w:numId w:val="25"/>
        </w:numPr>
        <w:jc w:val="both"/>
        <w:rPr>
          <w:rFonts w:ascii="Arial" w:hAnsi="Arial"/>
          <w:sz w:val="22"/>
          <w:szCs w:val="22"/>
        </w:rPr>
      </w:pPr>
      <w:r w:rsidRPr="006706A8">
        <w:rPr>
          <w:rFonts w:ascii="Arial" w:hAnsi="Arial"/>
          <w:sz w:val="22"/>
          <w:szCs w:val="22"/>
        </w:rPr>
        <w:t xml:space="preserve">The PBAC advised under Section 101(3BA) that it did not consider there were any other PBS listed drugs that are interchangeable with </w:t>
      </w:r>
      <w:proofErr w:type="spellStart"/>
      <w:r w:rsidRPr="006706A8">
        <w:rPr>
          <w:rFonts w:ascii="Arial" w:hAnsi="Arial"/>
          <w:sz w:val="22"/>
          <w:szCs w:val="22"/>
        </w:rPr>
        <w:t>alemtuzumab</w:t>
      </w:r>
      <w:proofErr w:type="spellEnd"/>
      <w:r w:rsidRPr="006706A8">
        <w:rPr>
          <w:rFonts w:ascii="Arial" w:hAnsi="Arial"/>
          <w:sz w:val="22"/>
          <w:szCs w:val="22"/>
        </w:rPr>
        <w:t xml:space="preserve"> on an individual patient basis.</w:t>
      </w:r>
    </w:p>
    <w:p w:rsidR="004C7F6D" w:rsidRPr="006706A8" w:rsidRDefault="004C7F6D" w:rsidP="007764F8"/>
    <w:p w:rsidR="004C7F6D" w:rsidRPr="006706A8" w:rsidRDefault="004C7F6D" w:rsidP="009F77AD">
      <w:pPr>
        <w:pStyle w:val="ListParagraph"/>
        <w:numPr>
          <w:ilvl w:val="1"/>
          <w:numId w:val="25"/>
        </w:numPr>
        <w:ind w:left="709" w:hanging="709"/>
        <w:jc w:val="both"/>
        <w:rPr>
          <w:rFonts w:ascii="Arial" w:hAnsi="Arial"/>
          <w:bCs/>
          <w:sz w:val="22"/>
          <w:szCs w:val="22"/>
        </w:rPr>
      </w:pPr>
      <w:r w:rsidRPr="006706A8">
        <w:rPr>
          <w:rFonts w:ascii="Arial" w:hAnsi="Arial"/>
          <w:sz w:val="22"/>
          <w:szCs w:val="22"/>
        </w:rPr>
        <w:t>The PBAC noted that this submission is not eligible for an Independent Review.</w:t>
      </w:r>
    </w:p>
    <w:p w:rsidR="004C7F6D" w:rsidRPr="006706A8" w:rsidRDefault="004C7F6D" w:rsidP="00882085">
      <w:pPr>
        <w:jc w:val="both"/>
        <w:rPr>
          <w:rFonts w:ascii="Arial" w:hAnsi="Arial"/>
          <w:sz w:val="22"/>
          <w:szCs w:val="22"/>
        </w:rPr>
      </w:pPr>
    </w:p>
    <w:p w:rsidR="004C7F6D" w:rsidRPr="006706A8" w:rsidRDefault="004C7F6D" w:rsidP="00882085">
      <w:pPr>
        <w:jc w:val="both"/>
        <w:rPr>
          <w:rFonts w:ascii="Arial" w:hAnsi="Arial"/>
          <w:b/>
          <w:sz w:val="22"/>
          <w:szCs w:val="22"/>
        </w:rPr>
      </w:pPr>
      <w:r w:rsidRPr="006706A8">
        <w:rPr>
          <w:rFonts w:ascii="Arial" w:hAnsi="Arial"/>
          <w:b/>
          <w:sz w:val="22"/>
          <w:szCs w:val="22"/>
        </w:rPr>
        <w:t>Outcome:</w:t>
      </w:r>
    </w:p>
    <w:p w:rsidR="004C7F6D" w:rsidRDefault="004C7F6D" w:rsidP="00882085">
      <w:pPr>
        <w:jc w:val="both"/>
        <w:rPr>
          <w:rFonts w:ascii="Arial" w:hAnsi="Arial"/>
          <w:sz w:val="22"/>
          <w:szCs w:val="22"/>
        </w:rPr>
      </w:pPr>
      <w:proofErr w:type="gramStart"/>
      <w:r w:rsidRPr="006706A8">
        <w:rPr>
          <w:rFonts w:ascii="Arial" w:hAnsi="Arial"/>
          <w:sz w:val="22"/>
          <w:szCs w:val="22"/>
        </w:rPr>
        <w:t>Recommended.</w:t>
      </w:r>
      <w:proofErr w:type="gramEnd"/>
    </w:p>
    <w:p w:rsidR="00C63AEC" w:rsidRPr="006706A8" w:rsidRDefault="00C63AEC" w:rsidP="00882085">
      <w:pPr>
        <w:jc w:val="both"/>
        <w:rPr>
          <w:rFonts w:ascii="Arial" w:hAnsi="Arial"/>
          <w:sz w:val="22"/>
          <w:szCs w:val="22"/>
        </w:rPr>
      </w:pPr>
    </w:p>
    <w:p w:rsidR="004C7F6D" w:rsidRPr="006706A8" w:rsidRDefault="004C7F6D" w:rsidP="006C3768">
      <w:pPr>
        <w:pStyle w:val="ListParagraph"/>
        <w:numPr>
          <w:ilvl w:val="0"/>
          <w:numId w:val="25"/>
        </w:numPr>
        <w:jc w:val="both"/>
        <w:rPr>
          <w:rFonts w:ascii="Arial" w:hAnsi="Arial"/>
          <w:b/>
          <w:sz w:val="22"/>
          <w:szCs w:val="22"/>
        </w:rPr>
      </w:pPr>
      <w:r w:rsidRPr="006706A8">
        <w:rPr>
          <w:rFonts w:ascii="Arial" w:hAnsi="Arial" w:cs="Arial"/>
          <w:b/>
          <w:sz w:val="22"/>
          <w:szCs w:val="22"/>
        </w:rPr>
        <w:t>Recommended listing</w:t>
      </w:r>
    </w:p>
    <w:p w:rsidR="004C7F6D" w:rsidRPr="006706A8" w:rsidRDefault="004C7F6D" w:rsidP="00882085">
      <w:pPr>
        <w:jc w:val="both"/>
        <w:rPr>
          <w:rFonts w:ascii="Arial" w:hAnsi="Arial"/>
          <w:sz w:val="22"/>
          <w:szCs w:val="22"/>
        </w:rPr>
      </w:pPr>
    </w:p>
    <w:p w:rsidR="004C7F6D" w:rsidRPr="006706A8" w:rsidRDefault="004C7F6D" w:rsidP="00245733">
      <w:pPr>
        <w:pStyle w:val="ListParagraph"/>
        <w:numPr>
          <w:ilvl w:val="1"/>
          <w:numId w:val="25"/>
        </w:numPr>
        <w:ind w:left="709" w:hanging="709"/>
        <w:jc w:val="both"/>
        <w:rPr>
          <w:rFonts w:ascii="Arial" w:hAnsi="Arial"/>
          <w:sz w:val="22"/>
          <w:szCs w:val="22"/>
        </w:rPr>
      </w:pPr>
      <w:r w:rsidRPr="006706A8">
        <w:rPr>
          <w:rFonts w:ascii="Arial" w:hAnsi="Arial"/>
          <w:sz w:val="22"/>
          <w:szCs w:val="22"/>
        </w:rPr>
        <w:t>Add new item:</w:t>
      </w:r>
    </w:p>
    <w:p w:rsidR="004C7F6D" w:rsidRPr="006706A8" w:rsidRDefault="004C7F6D" w:rsidP="009D3CAA">
      <w:pPr>
        <w:rPr>
          <w:rFonts w:ascii="Arial" w:hAnsi="Arial"/>
        </w:rPr>
      </w:pPr>
    </w:p>
    <w:tbl>
      <w:tblPr>
        <w:tblW w:w="8458" w:type="dxa"/>
        <w:tblInd w:w="817" w:type="dxa"/>
        <w:tblLayout w:type="fixed"/>
        <w:tblLook w:val="0000" w:firstRow="0" w:lastRow="0" w:firstColumn="0" w:lastColumn="0" w:noHBand="0" w:noVBand="0"/>
        <w:tblDescription w:val="listing alemtuzumab"/>
      </w:tblPr>
      <w:tblGrid>
        <w:gridCol w:w="2126"/>
        <w:gridCol w:w="993"/>
        <w:gridCol w:w="850"/>
        <w:gridCol w:w="851"/>
        <w:gridCol w:w="1701"/>
        <w:gridCol w:w="1842"/>
        <w:gridCol w:w="95"/>
      </w:tblGrid>
      <w:tr w:rsidR="004C7F6D" w:rsidRPr="006706A8" w:rsidTr="0014092A">
        <w:trPr>
          <w:gridAfter w:val="1"/>
          <w:wAfter w:w="95" w:type="dxa"/>
          <w:cantSplit/>
          <w:trHeight w:val="471"/>
        </w:trPr>
        <w:tc>
          <w:tcPr>
            <w:tcW w:w="3119" w:type="dxa"/>
            <w:gridSpan w:val="2"/>
            <w:tcBorders>
              <w:bottom w:val="single" w:sz="4" w:space="0" w:color="auto"/>
            </w:tcBorders>
          </w:tcPr>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lastRenderedPageBreak/>
              <w:t>Name, Restriction,</w:t>
            </w:r>
          </w:p>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t xml:space="preserve">Manner of administration </w:t>
            </w:r>
          </w:p>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t>and form</w:t>
            </w:r>
          </w:p>
        </w:tc>
        <w:tc>
          <w:tcPr>
            <w:tcW w:w="850" w:type="dxa"/>
            <w:tcBorders>
              <w:bottom w:val="single" w:sz="4" w:space="0" w:color="auto"/>
            </w:tcBorders>
          </w:tcPr>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t>Max.</w:t>
            </w:r>
          </w:p>
          <w:p w:rsidR="004C7F6D" w:rsidRPr="006706A8" w:rsidRDefault="004C7F6D" w:rsidP="006E01BA">
            <w:pPr>
              <w:keepNext/>
              <w:widowControl w:val="0"/>
              <w:ind w:left="-108"/>
              <w:jc w:val="both"/>
              <w:rPr>
                <w:rFonts w:ascii="Arial" w:hAnsi="Arial" w:cs="Arial"/>
                <w:snapToGrid w:val="0"/>
                <w:lang w:eastAsia="en-US"/>
              </w:rPr>
            </w:pPr>
            <w:proofErr w:type="spellStart"/>
            <w:r w:rsidRPr="006706A8">
              <w:rPr>
                <w:rFonts w:ascii="Arial" w:hAnsi="Arial" w:cs="Arial"/>
                <w:snapToGrid w:val="0"/>
                <w:sz w:val="22"/>
                <w:szCs w:val="22"/>
                <w:lang w:eastAsia="en-US"/>
              </w:rPr>
              <w:t>Qty</w:t>
            </w:r>
            <w:proofErr w:type="spellEnd"/>
          </w:p>
        </w:tc>
        <w:tc>
          <w:tcPr>
            <w:tcW w:w="851" w:type="dxa"/>
            <w:tcBorders>
              <w:bottom w:val="single" w:sz="4" w:space="0" w:color="auto"/>
            </w:tcBorders>
          </w:tcPr>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t>№.of</w:t>
            </w:r>
          </w:p>
          <w:p w:rsidR="004C7F6D" w:rsidRPr="006706A8" w:rsidRDefault="004C7F6D" w:rsidP="006E01BA">
            <w:pPr>
              <w:keepNext/>
              <w:widowControl w:val="0"/>
              <w:ind w:left="-108"/>
              <w:jc w:val="both"/>
              <w:rPr>
                <w:rFonts w:ascii="Arial" w:hAnsi="Arial" w:cs="Arial"/>
                <w:snapToGrid w:val="0"/>
                <w:lang w:eastAsia="en-US"/>
              </w:rPr>
            </w:pPr>
            <w:proofErr w:type="spellStart"/>
            <w:r w:rsidRPr="006706A8">
              <w:rPr>
                <w:rFonts w:ascii="Arial" w:hAnsi="Arial" w:cs="Arial"/>
                <w:snapToGrid w:val="0"/>
                <w:sz w:val="22"/>
                <w:szCs w:val="22"/>
                <w:lang w:eastAsia="en-US"/>
              </w:rPr>
              <w:t>Rpts</w:t>
            </w:r>
            <w:proofErr w:type="spellEnd"/>
          </w:p>
        </w:tc>
        <w:tc>
          <w:tcPr>
            <w:tcW w:w="3543" w:type="dxa"/>
            <w:gridSpan w:val="2"/>
            <w:tcBorders>
              <w:bottom w:val="single" w:sz="4" w:space="0" w:color="auto"/>
            </w:tcBorders>
          </w:tcPr>
          <w:p w:rsidR="004C7F6D" w:rsidRPr="006706A8" w:rsidRDefault="004C7F6D" w:rsidP="006E01BA">
            <w:pPr>
              <w:keepNext/>
              <w:widowControl w:val="0"/>
              <w:jc w:val="both"/>
              <w:rPr>
                <w:rFonts w:ascii="Arial" w:hAnsi="Arial" w:cs="Arial"/>
                <w:snapToGrid w:val="0"/>
                <w:lang w:eastAsia="en-US"/>
              </w:rPr>
            </w:pPr>
            <w:r w:rsidRPr="006706A8">
              <w:rPr>
                <w:rFonts w:ascii="Arial" w:hAnsi="Arial" w:cs="Arial"/>
                <w:snapToGrid w:val="0"/>
                <w:sz w:val="22"/>
                <w:szCs w:val="22"/>
                <w:lang w:eastAsia="en-US"/>
              </w:rPr>
              <w:t xml:space="preserve">Proprietary Name </w:t>
            </w:r>
          </w:p>
          <w:p w:rsidR="004C7F6D" w:rsidRPr="006706A8" w:rsidRDefault="004C7F6D" w:rsidP="006E01BA">
            <w:pPr>
              <w:keepNext/>
              <w:widowControl w:val="0"/>
              <w:jc w:val="both"/>
              <w:rPr>
                <w:rFonts w:ascii="Arial" w:hAnsi="Arial" w:cs="Arial"/>
                <w:snapToGrid w:val="0"/>
                <w:lang w:eastAsia="en-US"/>
              </w:rPr>
            </w:pPr>
            <w:r w:rsidRPr="006706A8">
              <w:rPr>
                <w:rFonts w:ascii="Arial" w:hAnsi="Arial" w:cs="Arial"/>
                <w:snapToGrid w:val="0"/>
                <w:sz w:val="22"/>
                <w:szCs w:val="22"/>
                <w:lang w:eastAsia="en-US"/>
              </w:rPr>
              <w:t>and Manufacturer</w:t>
            </w:r>
          </w:p>
        </w:tc>
      </w:tr>
      <w:tr w:rsidR="004C7F6D" w:rsidRPr="006706A8" w:rsidTr="0014092A">
        <w:trPr>
          <w:cantSplit/>
          <w:trHeight w:val="577"/>
        </w:trPr>
        <w:tc>
          <w:tcPr>
            <w:tcW w:w="3119" w:type="dxa"/>
            <w:gridSpan w:val="2"/>
          </w:tcPr>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mallCaps/>
                <w:snapToGrid w:val="0"/>
                <w:sz w:val="22"/>
                <w:szCs w:val="22"/>
                <w:lang w:eastAsia="en-US"/>
              </w:rPr>
              <w:t>ALEMTUZUMAB</w:t>
            </w:r>
          </w:p>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t xml:space="preserve">Injection, 10 mg/ mL, </w:t>
            </w:r>
          </w:p>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t>1x 1.2 mL vial</w:t>
            </w:r>
          </w:p>
          <w:p w:rsidR="004C7F6D" w:rsidRPr="006706A8" w:rsidRDefault="004C7F6D" w:rsidP="006E01BA">
            <w:pPr>
              <w:keepNext/>
              <w:widowControl w:val="0"/>
              <w:ind w:left="-108"/>
              <w:jc w:val="both"/>
              <w:rPr>
                <w:rFonts w:ascii="Arial" w:hAnsi="Arial" w:cs="Arial"/>
                <w:snapToGrid w:val="0"/>
                <w:lang w:eastAsia="en-US"/>
              </w:rPr>
            </w:pPr>
          </w:p>
          <w:p w:rsidR="004C7F6D" w:rsidRPr="006706A8" w:rsidRDefault="004C7F6D" w:rsidP="006E01BA">
            <w:pPr>
              <w:widowControl w:val="0"/>
              <w:ind w:left="-108"/>
              <w:jc w:val="both"/>
              <w:rPr>
                <w:rFonts w:ascii="Arial" w:hAnsi="Arial" w:cs="Arial"/>
                <w:snapToGrid w:val="0"/>
                <w:lang w:eastAsia="en-US"/>
              </w:rPr>
            </w:pPr>
          </w:p>
        </w:tc>
        <w:tc>
          <w:tcPr>
            <w:tcW w:w="850" w:type="dxa"/>
          </w:tcPr>
          <w:p w:rsidR="004C7F6D" w:rsidRPr="006706A8" w:rsidRDefault="004C7F6D" w:rsidP="006E01BA">
            <w:pPr>
              <w:keepNext/>
              <w:widowControl w:val="0"/>
              <w:jc w:val="both"/>
              <w:rPr>
                <w:rFonts w:ascii="Arial" w:hAnsi="Arial" w:cs="Arial"/>
                <w:snapToGrid w:val="0"/>
                <w:lang w:eastAsia="en-US"/>
              </w:rPr>
            </w:pPr>
            <w:r w:rsidRPr="006706A8">
              <w:rPr>
                <w:rFonts w:ascii="Arial" w:hAnsi="Arial" w:cs="Arial"/>
                <w:snapToGrid w:val="0"/>
                <w:sz w:val="22"/>
                <w:szCs w:val="22"/>
                <w:lang w:eastAsia="en-US"/>
              </w:rPr>
              <w:t>5</w:t>
            </w:r>
          </w:p>
          <w:p w:rsidR="004C7F6D" w:rsidRPr="006706A8" w:rsidRDefault="004C7F6D" w:rsidP="006E01BA">
            <w:pPr>
              <w:keepNext/>
              <w:widowControl w:val="0"/>
              <w:jc w:val="both"/>
              <w:rPr>
                <w:rFonts w:ascii="Arial" w:hAnsi="Arial" w:cs="Arial"/>
                <w:snapToGrid w:val="0"/>
                <w:lang w:eastAsia="en-US"/>
              </w:rPr>
            </w:pPr>
          </w:p>
          <w:p w:rsidR="004C7F6D" w:rsidRPr="006706A8" w:rsidRDefault="004C7F6D" w:rsidP="006E01BA">
            <w:pPr>
              <w:keepNext/>
              <w:widowControl w:val="0"/>
              <w:jc w:val="both"/>
              <w:rPr>
                <w:rFonts w:ascii="Arial" w:hAnsi="Arial" w:cs="Arial"/>
                <w:snapToGrid w:val="0"/>
                <w:lang w:eastAsia="en-US"/>
              </w:rPr>
            </w:pPr>
          </w:p>
          <w:p w:rsidR="004C7F6D" w:rsidRPr="006706A8" w:rsidRDefault="004C7F6D" w:rsidP="006E01BA">
            <w:pPr>
              <w:keepNext/>
              <w:widowControl w:val="0"/>
              <w:jc w:val="both"/>
              <w:rPr>
                <w:rFonts w:ascii="Arial" w:hAnsi="Arial" w:cs="Arial"/>
                <w:snapToGrid w:val="0"/>
                <w:lang w:eastAsia="en-US"/>
              </w:rPr>
            </w:pPr>
          </w:p>
          <w:p w:rsidR="004C7F6D" w:rsidRPr="006706A8" w:rsidRDefault="004C7F6D" w:rsidP="006E01BA">
            <w:pPr>
              <w:keepNext/>
              <w:widowControl w:val="0"/>
              <w:jc w:val="both"/>
              <w:rPr>
                <w:rFonts w:ascii="Arial" w:hAnsi="Arial" w:cs="Arial"/>
                <w:snapToGrid w:val="0"/>
                <w:lang w:eastAsia="en-US"/>
              </w:rPr>
            </w:pPr>
          </w:p>
        </w:tc>
        <w:tc>
          <w:tcPr>
            <w:tcW w:w="851" w:type="dxa"/>
          </w:tcPr>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t>0</w:t>
            </w:r>
          </w:p>
          <w:p w:rsidR="004C7F6D" w:rsidRPr="006706A8" w:rsidRDefault="004C7F6D" w:rsidP="006E01BA">
            <w:pPr>
              <w:keepNext/>
              <w:widowControl w:val="0"/>
              <w:ind w:left="-108"/>
              <w:jc w:val="both"/>
              <w:rPr>
                <w:rFonts w:ascii="Arial" w:hAnsi="Arial" w:cs="Arial"/>
                <w:snapToGrid w:val="0"/>
                <w:lang w:eastAsia="en-US"/>
              </w:rPr>
            </w:pPr>
          </w:p>
          <w:p w:rsidR="004C7F6D" w:rsidRPr="006706A8" w:rsidRDefault="004C7F6D" w:rsidP="006E01BA">
            <w:pPr>
              <w:keepNext/>
              <w:widowControl w:val="0"/>
              <w:ind w:left="-108"/>
              <w:jc w:val="both"/>
              <w:rPr>
                <w:rFonts w:ascii="Arial" w:hAnsi="Arial" w:cs="Arial"/>
                <w:snapToGrid w:val="0"/>
                <w:lang w:eastAsia="en-US"/>
              </w:rPr>
            </w:pPr>
          </w:p>
          <w:p w:rsidR="004C7F6D" w:rsidRPr="006706A8" w:rsidRDefault="004C7F6D" w:rsidP="006E01BA">
            <w:pPr>
              <w:keepNext/>
              <w:widowControl w:val="0"/>
              <w:ind w:left="-108"/>
              <w:jc w:val="both"/>
              <w:rPr>
                <w:rFonts w:ascii="Arial" w:hAnsi="Arial" w:cs="Arial"/>
                <w:snapToGrid w:val="0"/>
                <w:lang w:eastAsia="en-US"/>
              </w:rPr>
            </w:pPr>
          </w:p>
          <w:p w:rsidR="004C7F6D" w:rsidRPr="006706A8" w:rsidRDefault="004C7F6D" w:rsidP="006E01BA">
            <w:pPr>
              <w:keepNext/>
              <w:widowControl w:val="0"/>
              <w:ind w:left="-108"/>
              <w:jc w:val="both"/>
              <w:rPr>
                <w:rFonts w:ascii="Arial" w:hAnsi="Arial" w:cs="Arial"/>
                <w:snapToGrid w:val="0"/>
                <w:lang w:eastAsia="en-US"/>
              </w:rPr>
            </w:pPr>
          </w:p>
        </w:tc>
        <w:tc>
          <w:tcPr>
            <w:tcW w:w="1701" w:type="dxa"/>
          </w:tcPr>
          <w:p w:rsidR="004C7F6D" w:rsidRPr="006706A8" w:rsidRDefault="004C7F6D" w:rsidP="006E01BA">
            <w:pPr>
              <w:keepNext/>
              <w:widowControl w:val="0"/>
              <w:jc w:val="both"/>
              <w:rPr>
                <w:rFonts w:ascii="Arial" w:hAnsi="Arial" w:cs="Arial"/>
                <w:snapToGrid w:val="0"/>
                <w:lang w:eastAsia="en-US"/>
              </w:rPr>
            </w:pPr>
            <w:proofErr w:type="spellStart"/>
            <w:r w:rsidRPr="006706A8">
              <w:rPr>
                <w:rFonts w:ascii="Arial" w:hAnsi="Arial" w:cs="Arial"/>
                <w:snapToGrid w:val="0"/>
                <w:sz w:val="22"/>
                <w:szCs w:val="22"/>
                <w:lang w:eastAsia="en-US"/>
              </w:rPr>
              <w:t>Lemtrada</w:t>
            </w:r>
            <w:proofErr w:type="spellEnd"/>
          </w:p>
          <w:p w:rsidR="004C7F6D" w:rsidRPr="006706A8" w:rsidRDefault="004C7F6D" w:rsidP="006E01BA">
            <w:pPr>
              <w:keepNext/>
              <w:widowControl w:val="0"/>
              <w:jc w:val="both"/>
              <w:rPr>
                <w:rFonts w:ascii="Arial" w:hAnsi="Arial" w:cs="Arial"/>
                <w:snapToGrid w:val="0"/>
                <w:lang w:eastAsia="en-US"/>
              </w:rPr>
            </w:pPr>
          </w:p>
          <w:p w:rsidR="004C7F6D" w:rsidRPr="006706A8" w:rsidRDefault="004C7F6D" w:rsidP="006E01BA">
            <w:pPr>
              <w:keepNext/>
              <w:widowControl w:val="0"/>
              <w:jc w:val="both"/>
              <w:rPr>
                <w:rFonts w:ascii="Arial" w:hAnsi="Arial" w:cs="Arial"/>
                <w:snapToGrid w:val="0"/>
                <w:lang w:eastAsia="en-US"/>
              </w:rPr>
            </w:pPr>
          </w:p>
          <w:p w:rsidR="004C7F6D" w:rsidRPr="006706A8" w:rsidRDefault="004C7F6D" w:rsidP="006E01BA">
            <w:pPr>
              <w:keepNext/>
              <w:widowControl w:val="0"/>
              <w:jc w:val="both"/>
              <w:rPr>
                <w:rFonts w:ascii="Arial" w:hAnsi="Arial" w:cs="Arial"/>
                <w:snapToGrid w:val="0"/>
                <w:lang w:eastAsia="en-US"/>
              </w:rPr>
            </w:pPr>
          </w:p>
          <w:p w:rsidR="004C7F6D" w:rsidRPr="006706A8" w:rsidRDefault="004C7F6D" w:rsidP="006E01BA">
            <w:pPr>
              <w:keepNext/>
              <w:widowControl w:val="0"/>
              <w:jc w:val="both"/>
              <w:rPr>
                <w:rFonts w:ascii="Arial" w:hAnsi="Arial" w:cs="Arial"/>
                <w:snapToGrid w:val="0"/>
                <w:lang w:eastAsia="en-US"/>
              </w:rPr>
            </w:pPr>
          </w:p>
        </w:tc>
        <w:tc>
          <w:tcPr>
            <w:tcW w:w="1937" w:type="dxa"/>
            <w:gridSpan w:val="2"/>
          </w:tcPr>
          <w:p w:rsidR="004C7F6D" w:rsidRPr="006706A8" w:rsidRDefault="004C7F6D" w:rsidP="006E01BA">
            <w:pPr>
              <w:keepNext/>
              <w:widowControl w:val="0"/>
              <w:jc w:val="both"/>
              <w:rPr>
                <w:rFonts w:ascii="Arial" w:hAnsi="Arial" w:cs="Arial"/>
                <w:snapToGrid w:val="0"/>
                <w:lang w:eastAsia="en-US"/>
              </w:rPr>
            </w:pPr>
            <w:r w:rsidRPr="006706A8">
              <w:rPr>
                <w:rFonts w:ascii="Arial" w:hAnsi="Arial" w:cs="Arial"/>
                <w:snapToGrid w:val="0"/>
                <w:sz w:val="22"/>
                <w:szCs w:val="22"/>
                <w:lang w:eastAsia="en-US"/>
              </w:rPr>
              <w:t>Sanofi-Aventis Australia</w:t>
            </w:r>
          </w:p>
          <w:p w:rsidR="004C7F6D" w:rsidRPr="006706A8" w:rsidRDefault="004C7F6D" w:rsidP="006E01BA">
            <w:pPr>
              <w:keepNext/>
              <w:widowControl w:val="0"/>
              <w:jc w:val="both"/>
              <w:rPr>
                <w:rFonts w:ascii="Arial" w:hAnsi="Arial" w:cs="Arial"/>
                <w:snapToGrid w:val="0"/>
                <w:lang w:eastAsia="en-US"/>
              </w:rPr>
            </w:pPr>
          </w:p>
          <w:p w:rsidR="004C7F6D" w:rsidRPr="006706A8" w:rsidRDefault="004C7F6D" w:rsidP="006E01BA">
            <w:pPr>
              <w:keepNext/>
              <w:widowControl w:val="0"/>
              <w:jc w:val="both"/>
              <w:rPr>
                <w:rFonts w:ascii="Arial" w:hAnsi="Arial" w:cs="Arial"/>
                <w:snapToGrid w:val="0"/>
                <w:lang w:eastAsia="en-US"/>
              </w:rPr>
            </w:pPr>
          </w:p>
          <w:p w:rsidR="004C7F6D" w:rsidRPr="006706A8" w:rsidRDefault="004C7F6D" w:rsidP="006E01BA">
            <w:pPr>
              <w:keepNext/>
              <w:widowControl w:val="0"/>
              <w:jc w:val="both"/>
              <w:rPr>
                <w:rFonts w:ascii="Arial" w:hAnsi="Arial" w:cs="Arial"/>
                <w:snapToGrid w:val="0"/>
                <w:lang w:eastAsia="en-US"/>
              </w:rPr>
            </w:pPr>
          </w:p>
        </w:tc>
      </w:tr>
      <w:tr w:rsidR="004C7F6D" w:rsidRPr="006706A8" w:rsidTr="0014092A">
        <w:trPr>
          <w:gridAfter w:val="1"/>
          <w:wAfter w:w="95" w:type="dxa"/>
          <w:cantSplit/>
          <w:trHeight w:val="360"/>
        </w:trPr>
        <w:tc>
          <w:tcPr>
            <w:tcW w:w="2126" w:type="dxa"/>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b/>
                <w:snapToGrid w:val="0"/>
                <w:sz w:val="20"/>
                <w:szCs w:val="20"/>
                <w:lang w:eastAsia="en-US"/>
              </w:rPr>
            </w:pPr>
            <w:r w:rsidRPr="0014074D">
              <w:rPr>
                <w:rFonts w:ascii="Arial Narrow" w:hAnsi="Arial Narrow" w:cs="Arial"/>
                <w:b/>
                <w:snapToGrid w:val="0"/>
                <w:sz w:val="20"/>
                <w:szCs w:val="20"/>
                <w:lang w:eastAsia="en-US"/>
              </w:rPr>
              <w:t>Category/Program</w:t>
            </w:r>
          </w:p>
        </w:tc>
        <w:tc>
          <w:tcPr>
            <w:tcW w:w="6237" w:type="dxa"/>
            <w:gridSpan w:val="5"/>
            <w:tcBorders>
              <w:top w:val="single" w:sz="4" w:space="0" w:color="auto"/>
              <w:left w:val="single" w:sz="4" w:space="0" w:color="auto"/>
              <w:bottom w:val="single" w:sz="4" w:space="0" w:color="auto"/>
              <w:right w:val="single" w:sz="4" w:space="0" w:color="auto"/>
            </w:tcBorders>
          </w:tcPr>
          <w:p w:rsidR="004C7F6D" w:rsidRPr="0014074D" w:rsidRDefault="004C7F6D" w:rsidP="00024AB9">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Section 100 Highly Specialised Drugs Program</w:t>
            </w:r>
          </w:p>
          <w:p w:rsidR="004C7F6D" w:rsidRPr="0014074D" w:rsidRDefault="004C7F6D" w:rsidP="006E01BA">
            <w:pPr>
              <w:widowControl w:val="0"/>
              <w:jc w:val="both"/>
              <w:rPr>
                <w:rFonts w:ascii="Arial Narrow" w:hAnsi="Arial Narrow" w:cs="Arial"/>
                <w:strike/>
                <w:snapToGrid w:val="0"/>
                <w:sz w:val="20"/>
                <w:szCs w:val="20"/>
                <w:lang w:eastAsia="en-US"/>
              </w:rPr>
            </w:pPr>
          </w:p>
        </w:tc>
      </w:tr>
      <w:tr w:rsidR="004C7F6D" w:rsidRPr="006706A8" w:rsidTr="0014092A">
        <w:trPr>
          <w:gridAfter w:val="1"/>
          <w:wAfter w:w="95" w:type="dxa"/>
          <w:cantSplit/>
          <w:trHeight w:val="360"/>
        </w:trPr>
        <w:tc>
          <w:tcPr>
            <w:tcW w:w="2126" w:type="dxa"/>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b/>
                <w:snapToGrid w:val="0"/>
                <w:sz w:val="20"/>
                <w:szCs w:val="20"/>
                <w:lang w:eastAsia="en-US"/>
              </w:rPr>
            </w:pPr>
            <w:r w:rsidRPr="0014074D">
              <w:rPr>
                <w:rFonts w:ascii="Arial Narrow" w:hAnsi="Arial Narrow" w:cs="Arial"/>
                <w:b/>
                <w:snapToGrid w:val="0"/>
                <w:sz w:val="20"/>
                <w:szCs w:val="20"/>
                <w:lang w:eastAsia="en-US"/>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strike/>
                <w:snapToGrid w:val="0"/>
                <w:sz w:val="20"/>
                <w:szCs w:val="20"/>
                <w:lang w:eastAsia="en-US"/>
              </w:rPr>
            </w:pPr>
            <w:r w:rsidRPr="0014074D">
              <w:rPr>
                <w:rFonts w:ascii="Arial Narrow" w:hAnsi="Arial Narrow" w:cs="Arial"/>
                <w:snapToGrid w:val="0"/>
                <w:sz w:val="20"/>
                <w:szCs w:val="20"/>
                <w:lang w:eastAsia="en-US"/>
              </w:rPr>
              <w:t>Multiple sclerosis</w:t>
            </w:r>
          </w:p>
        </w:tc>
      </w:tr>
      <w:tr w:rsidR="004C7F6D" w:rsidRPr="006706A8" w:rsidTr="0014092A">
        <w:trPr>
          <w:gridAfter w:val="1"/>
          <w:wAfter w:w="95" w:type="dxa"/>
          <w:cantSplit/>
          <w:trHeight w:val="360"/>
        </w:trPr>
        <w:tc>
          <w:tcPr>
            <w:tcW w:w="2126" w:type="dxa"/>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b/>
                <w:snapToGrid w:val="0"/>
                <w:sz w:val="20"/>
                <w:szCs w:val="20"/>
                <w:lang w:eastAsia="en-US"/>
              </w:rPr>
            </w:pPr>
            <w:r w:rsidRPr="0014074D">
              <w:rPr>
                <w:rFonts w:ascii="Arial Narrow" w:hAnsi="Arial Narrow" w:cs="Arial"/>
                <w:b/>
                <w:snapToGrid w:val="0"/>
                <w:sz w:val="20"/>
                <w:szCs w:val="20"/>
                <w:lang w:eastAsia="en-US"/>
              </w:rPr>
              <w:t>Treatment phase:</w:t>
            </w:r>
          </w:p>
        </w:tc>
        <w:tc>
          <w:tcPr>
            <w:tcW w:w="6237" w:type="dxa"/>
            <w:gridSpan w:val="5"/>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Initial</w:t>
            </w:r>
          </w:p>
        </w:tc>
      </w:tr>
      <w:tr w:rsidR="004C7F6D" w:rsidRPr="006706A8" w:rsidTr="0014092A">
        <w:trPr>
          <w:gridAfter w:val="1"/>
          <w:wAfter w:w="95" w:type="dxa"/>
          <w:cantSplit/>
          <w:trHeight w:val="360"/>
        </w:trPr>
        <w:tc>
          <w:tcPr>
            <w:tcW w:w="2126" w:type="dxa"/>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b/>
                <w:snapToGrid w:val="0"/>
                <w:sz w:val="20"/>
                <w:szCs w:val="20"/>
                <w:lang w:eastAsia="en-US"/>
              </w:rPr>
            </w:pPr>
            <w:r w:rsidRPr="0014074D">
              <w:rPr>
                <w:rFonts w:ascii="Arial Narrow" w:hAnsi="Arial Narrow" w:cs="Arial"/>
                <w:b/>
                <w:snapToGrid w:val="0"/>
                <w:sz w:val="20"/>
                <w:szCs w:val="20"/>
                <w:lang w:eastAsia="en-US"/>
              </w:rPr>
              <w:t>Restriction:</w:t>
            </w:r>
          </w:p>
        </w:tc>
        <w:tc>
          <w:tcPr>
            <w:tcW w:w="6237" w:type="dxa"/>
            <w:gridSpan w:val="5"/>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Private Hospital Authority required</w:t>
            </w:r>
          </w:p>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 xml:space="preserve">Public Hospital Authority required (STREAMLINED) </w:t>
            </w:r>
          </w:p>
        </w:tc>
      </w:tr>
      <w:tr w:rsidR="004C7F6D" w:rsidRPr="006706A8" w:rsidTr="0014092A">
        <w:trPr>
          <w:gridAfter w:val="1"/>
          <w:wAfter w:w="95" w:type="dxa"/>
          <w:cantSplit/>
          <w:trHeight w:val="360"/>
        </w:trPr>
        <w:tc>
          <w:tcPr>
            <w:tcW w:w="2126" w:type="dxa"/>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b/>
                <w:snapToGrid w:val="0"/>
                <w:sz w:val="20"/>
                <w:szCs w:val="20"/>
                <w:lang w:eastAsia="en-US"/>
              </w:rPr>
            </w:pPr>
            <w:r w:rsidRPr="0014074D">
              <w:rPr>
                <w:rFonts w:ascii="Arial Narrow" w:hAnsi="Arial Narrow" w:cs="Arial"/>
                <w:b/>
                <w:snapToGrid w:val="0"/>
                <w:sz w:val="20"/>
                <w:szCs w:val="20"/>
                <w:lang w:eastAsia="en-US"/>
              </w:rPr>
              <w:t>Treatment criteria:</w:t>
            </w:r>
          </w:p>
          <w:p w:rsidR="004C7F6D" w:rsidRPr="0014074D" w:rsidRDefault="004C7F6D" w:rsidP="006E01BA">
            <w:pPr>
              <w:widowControl w:val="0"/>
              <w:jc w:val="both"/>
              <w:rPr>
                <w:rFonts w:ascii="Arial Narrow" w:hAnsi="Arial Narrow" w:cs="Arial"/>
                <w:b/>
                <w:snapToGrid w:val="0"/>
                <w:sz w:val="20"/>
                <w:szCs w:val="20"/>
                <w:lang w:eastAsia="en-US"/>
              </w:rPr>
            </w:pPr>
          </w:p>
        </w:tc>
        <w:tc>
          <w:tcPr>
            <w:tcW w:w="6237" w:type="dxa"/>
            <w:gridSpan w:val="5"/>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The treatment must be as monotherapy</w:t>
            </w:r>
          </w:p>
          <w:p w:rsidR="004C7F6D" w:rsidRPr="0014074D" w:rsidRDefault="004C7F6D" w:rsidP="006E01BA">
            <w:pPr>
              <w:widowControl w:val="0"/>
              <w:jc w:val="both"/>
              <w:rPr>
                <w:rFonts w:ascii="Arial Narrow" w:hAnsi="Arial Narrow" w:cs="Arial"/>
                <w:snapToGrid w:val="0"/>
                <w:sz w:val="20"/>
                <w:szCs w:val="20"/>
                <w:lang w:eastAsia="en-US"/>
              </w:rPr>
            </w:pPr>
          </w:p>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 xml:space="preserve">AND </w:t>
            </w:r>
          </w:p>
          <w:p w:rsidR="004C7F6D" w:rsidRPr="0014074D" w:rsidRDefault="004C7F6D" w:rsidP="006E01BA">
            <w:pPr>
              <w:widowControl w:val="0"/>
              <w:jc w:val="both"/>
              <w:rPr>
                <w:rFonts w:ascii="Arial Narrow" w:hAnsi="Arial Narrow" w:cs="Arial"/>
                <w:snapToGrid w:val="0"/>
                <w:sz w:val="20"/>
                <w:szCs w:val="20"/>
                <w:lang w:eastAsia="en-US"/>
              </w:rPr>
            </w:pPr>
          </w:p>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 xml:space="preserve">Must be treated by a neurologist </w:t>
            </w:r>
          </w:p>
          <w:p w:rsidR="004C7F6D" w:rsidRPr="0014074D" w:rsidRDefault="004C7F6D" w:rsidP="006E01BA">
            <w:pPr>
              <w:widowControl w:val="0"/>
              <w:jc w:val="both"/>
              <w:rPr>
                <w:rFonts w:ascii="Arial Narrow" w:hAnsi="Arial Narrow" w:cs="Arial"/>
                <w:snapToGrid w:val="0"/>
                <w:sz w:val="20"/>
                <w:szCs w:val="20"/>
                <w:lang w:eastAsia="en-US"/>
              </w:rPr>
            </w:pPr>
          </w:p>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AND</w:t>
            </w:r>
          </w:p>
          <w:p w:rsidR="004C7F6D" w:rsidRPr="0014074D" w:rsidRDefault="004C7F6D" w:rsidP="006E01BA">
            <w:pPr>
              <w:widowControl w:val="0"/>
              <w:jc w:val="both"/>
              <w:rPr>
                <w:rFonts w:ascii="Arial Narrow" w:hAnsi="Arial Narrow" w:cs="Arial"/>
                <w:snapToGrid w:val="0"/>
                <w:sz w:val="20"/>
                <w:szCs w:val="20"/>
                <w:lang w:eastAsia="en-US"/>
              </w:rPr>
            </w:pPr>
          </w:p>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Patient must have experienced at least 2 documented attacks of neurological dysfunction, believed to be due to the multiple sclerosis, in the preceding 2 years</w:t>
            </w:r>
          </w:p>
          <w:p w:rsidR="004C7F6D" w:rsidRPr="0014074D" w:rsidRDefault="004C7F6D" w:rsidP="006E01BA">
            <w:pPr>
              <w:widowControl w:val="0"/>
              <w:jc w:val="both"/>
              <w:rPr>
                <w:rFonts w:ascii="Arial Narrow" w:hAnsi="Arial Narrow" w:cs="Arial"/>
                <w:snapToGrid w:val="0"/>
                <w:sz w:val="20"/>
                <w:szCs w:val="20"/>
                <w:lang w:eastAsia="en-US"/>
              </w:rPr>
            </w:pPr>
          </w:p>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 xml:space="preserve">AND </w:t>
            </w:r>
          </w:p>
          <w:p w:rsidR="004C7F6D" w:rsidRPr="0014074D" w:rsidRDefault="004C7F6D" w:rsidP="006E01BA">
            <w:pPr>
              <w:widowControl w:val="0"/>
              <w:jc w:val="both"/>
              <w:rPr>
                <w:rFonts w:ascii="Arial Narrow" w:hAnsi="Arial Narrow" w:cs="Arial"/>
                <w:snapToGrid w:val="0"/>
                <w:sz w:val="20"/>
                <w:szCs w:val="20"/>
                <w:lang w:eastAsia="en-US"/>
              </w:rPr>
            </w:pPr>
          </w:p>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 xml:space="preserve">Patient must be ambulatory (without assistance or support) </w:t>
            </w:r>
          </w:p>
        </w:tc>
      </w:tr>
      <w:tr w:rsidR="004C7F6D" w:rsidRPr="006706A8" w:rsidTr="0014092A">
        <w:trPr>
          <w:gridAfter w:val="1"/>
          <w:wAfter w:w="95" w:type="dxa"/>
          <w:cantSplit/>
          <w:trHeight w:val="360"/>
        </w:trPr>
        <w:tc>
          <w:tcPr>
            <w:tcW w:w="2126" w:type="dxa"/>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b/>
                <w:snapToGrid w:val="0"/>
                <w:sz w:val="20"/>
                <w:szCs w:val="20"/>
                <w:lang w:eastAsia="en-US"/>
              </w:rPr>
            </w:pPr>
            <w:r w:rsidRPr="0014074D">
              <w:rPr>
                <w:rFonts w:ascii="Arial Narrow" w:hAnsi="Arial Narrow" w:cs="Arial"/>
                <w:b/>
                <w:snapToGrid w:val="0"/>
                <w:sz w:val="20"/>
                <w:szCs w:val="20"/>
                <w:lang w:eastAsia="en-US"/>
              </w:rPr>
              <w:t>Clinical criteria:</w:t>
            </w:r>
          </w:p>
          <w:p w:rsidR="004C7F6D" w:rsidRPr="0014074D" w:rsidRDefault="004C7F6D" w:rsidP="006E01BA">
            <w:pPr>
              <w:widowControl w:val="0"/>
              <w:jc w:val="both"/>
              <w:rPr>
                <w:rFonts w:ascii="Arial Narrow" w:hAnsi="Arial Narrow" w:cs="Arial"/>
                <w:snapToGrid w:val="0"/>
                <w:sz w:val="20"/>
                <w:szCs w:val="20"/>
                <w:lang w:eastAsia="en-US"/>
              </w:rPr>
            </w:pPr>
          </w:p>
        </w:tc>
        <w:tc>
          <w:tcPr>
            <w:tcW w:w="6237" w:type="dxa"/>
            <w:gridSpan w:val="5"/>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snapToGrid w:val="0"/>
                <w:color w:val="000000"/>
                <w:sz w:val="20"/>
                <w:szCs w:val="20"/>
                <w:lang w:eastAsia="en-US"/>
              </w:rPr>
            </w:pPr>
            <w:r w:rsidRPr="0014074D">
              <w:rPr>
                <w:rFonts w:ascii="Arial Narrow" w:hAnsi="Arial Narrow" w:cs="Arial"/>
                <w:snapToGrid w:val="0"/>
                <w:sz w:val="20"/>
                <w:szCs w:val="20"/>
                <w:lang w:eastAsia="en-US"/>
              </w:rPr>
              <w:t xml:space="preserve">The condition must be diagnosed as clinically definite relapsing-remitting multiple sclerosis by magnetic </w:t>
            </w:r>
            <w:r w:rsidRPr="0014074D">
              <w:rPr>
                <w:rFonts w:ascii="Arial Narrow" w:hAnsi="Arial Narrow" w:cs="Arial"/>
                <w:snapToGrid w:val="0"/>
                <w:color w:val="000000"/>
                <w:sz w:val="20"/>
                <w:szCs w:val="20"/>
                <w:lang w:eastAsia="en-US"/>
              </w:rPr>
              <w:t xml:space="preserve">resonance imaging of the brain and/or spinal cord </w:t>
            </w:r>
          </w:p>
          <w:p w:rsidR="004C7F6D" w:rsidRPr="0014074D" w:rsidRDefault="004C7F6D" w:rsidP="006E01BA">
            <w:pPr>
              <w:widowControl w:val="0"/>
              <w:jc w:val="both"/>
              <w:rPr>
                <w:rFonts w:ascii="Arial Narrow" w:hAnsi="Arial Narrow" w:cs="Arial"/>
                <w:snapToGrid w:val="0"/>
                <w:color w:val="000000"/>
                <w:sz w:val="20"/>
                <w:szCs w:val="20"/>
                <w:lang w:eastAsia="en-US"/>
              </w:rPr>
            </w:pPr>
          </w:p>
          <w:p w:rsidR="004C7F6D" w:rsidRPr="0014074D" w:rsidRDefault="004C7F6D" w:rsidP="006E01BA">
            <w:pPr>
              <w:widowControl w:val="0"/>
              <w:jc w:val="both"/>
              <w:rPr>
                <w:rFonts w:ascii="Arial Narrow" w:hAnsi="Arial Narrow" w:cs="Arial"/>
                <w:snapToGrid w:val="0"/>
                <w:color w:val="000000"/>
                <w:sz w:val="20"/>
                <w:szCs w:val="20"/>
                <w:lang w:eastAsia="en-US"/>
              </w:rPr>
            </w:pPr>
            <w:r w:rsidRPr="0014074D">
              <w:rPr>
                <w:rFonts w:ascii="Arial Narrow" w:hAnsi="Arial Narrow" w:cs="Arial"/>
                <w:snapToGrid w:val="0"/>
                <w:color w:val="000000"/>
                <w:sz w:val="20"/>
                <w:szCs w:val="20"/>
                <w:lang w:eastAsia="en-US"/>
              </w:rPr>
              <w:t>OR</w:t>
            </w:r>
          </w:p>
          <w:p w:rsidR="004C7F6D" w:rsidRPr="0014074D" w:rsidRDefault="004C7F6D" w:rsidP="006E01BA">
            <w:pPr>
              <w:widowControl w:val="0"/>
              <w:jc w:val="both"/>
              <w:rPr>
                <w:rFonts w:ascii="Arial Narrow" w:hAnsi="Arial Narrow" w:cs="Arial"/>
                <w:snapToGrid w:val="0"/>
                <w:color w:val="000000"/>
                <w:sz w:val="20"/>
                <w:szCs w:val="20"/>
                <w:lang w:eastAsia="en-US"/>
              </w:rPr>
            </w:pPr>
          </w:p>
          <w:p w:rsidR="004C7F6D" w:rsidRPr="0014074D" w:rsidRDefault="004C7F6D" w:rsidP="00F1575D">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The condition must be diagnosed as clinically definite relapsing-remitting multiple sclerosis by accompanying</w:t>
            </w:r>
            <w:r w:rsidRPr="0014074D">
              <w:rPr>
                <w:rFonts w:ascii="Arial Narrow" w:hAnsi="Arial Narrow" w:cs="Arial"/>
                <w:snapToGrid w:val="0"/>
                <w:color w:val="000000"/>
                <w:sz w:val="20"/>
                <w:szCs w:val="20"/>
                <w:lang w:eastAsia="en-US"/>
              </w:rPr>
              <w:t xml:space="preserve"> written certification provided by a radiologist that a magnetic resonance imaging scan is contraindicated because of the risk of physical (not psychological) injury to the patient.</w:t>
            </w:r>
          </w:p>
        </w:tc>
      </w:tr>
      <w:tr w:rsidR="004C7F6D" w:rsidRPr="006706A8" w:rsidTr="0014092A">
        <w:trPr>
          <w:gridAfter w:val="1"/>
          <w:wAfter w:w="95" w:type="dxa"/>
          <w:cantSplit/>
          <w:trHeight w:val="360"/>
        </w:trPr>
        <w:tc>
          <w:tcPr>
            <w:tcW w:w="2126" w:type="dxa"/>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b/>
                <w:snapToGrid w:val="0"/>
                <w:sz w:val="20"/>
                <w:szCs w:val="20"/>
                <w:lang w:eastAsia="en-US"/>
              </w:rPr>
            </w:pPr>
            <w:r w:rsidRPr="0014074D">
              <w:rPr>
                <w:rFonts w:ascii="Arial Narrow" w:hAnsi="Arial Narrow" w:cs="Arial"/>
                <w:b/>
                <w:snapToGrid w:val="0"/>
                <w:sz w:val="20"/>
                <w:szCs w:val="20"/>
                <w:lang w:eastAsia="en-US"/>
              </w:rPr>
              <w:t xml:space="preserve">Prescriber instructions </w:t>
            </w:r>
          </w:p>
        </w:tc>
        <w:tc>
          <w:tcPr>
            <w:tcW w:w="6237" w:type="dxa"/>
            <w:gridSpan w:val="5"/>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snapToGrid w:val="0"/>
                <w:color w:val="000000"/>
                <w:sz w:val="20"/>
                <w:szCs w:val="20"/>
                <w:lang w:eastAsia="en-US"/>
              </w:rPr>
            </w:pPr>
            <w:r w:rsidRPr="0014074D">
              <w:rPr>
                <w:rFonts w:ascii="Arial Narrow" w:hAnsi="Arial Narrow" w:cs="Arial"/>
                <w:snapToGrid w:val="0"/>
                <w:color w:val="000000"/>
                <w:sz w:val="20"/>
                <w:szCs w:val="20"/>
                <w:lang w:eastAsia="en-US"/>
              </w:rPr>
              <w:t xml:space="preserve">Where applicable, the date of the magnetic resonance imaging scan must be provided with the authority application. </w:t>
            </w:r>
          </w:p>
          <w:p w:rsidR="004C7F6D" w:rsidRPr="0014074D" w:rsidRDefault="004C7F6D" w:rsidP="006E01BA">
            <w:pPr>
              <w:widowControl w:val="0"/>
              <w:jc w:val="both"/>
              <w:rPr>
                <w:rFonts w:ascii="Arial Narrow" w:hAnsi="Arial Narrow" w:cs="Arial"/>
                <w:snapToGrid w:val="0"/>
                <w:color w:val="000000"/>
                <w:sz w:val="20"/>
                <w:szCs w:val="20"/>
                <w:lang w:eastAsia="en-US"/>
              </w:rPr>
            </w:pPr>
          </w:p>
          <w:p w:rsidR="004C7F6D" w:rsidRPr="0014074D" w:rsidRDefault="004C7F6D" w:rsidP="00804AF7">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 xml:space="preserve">Neurologists prescribing PBS subsidised </w:t>
            </w:r>
            <w:proofErr w:type="spellStart"/>
            <w:r w:rsidRPr="0014074D">
              <w:rPr>
                <w:rFonts w:ascii="Arial Narrow" w:hAnsi="Arial Narrow" w:cs="Arial"/>
                <w:snapToGrid w:val="0"/>
                <w:sz w:val="20"/>
                <w:szCs w:val="20"/>
                <w:lang w:eastAsia="en-US"/>
              </w:rPr>
              <w:t>alemtuzumab</w:t>
            </w:r>
            <w:proofErr w:type="spellEnd"/>
            <w:r w:rsidRPr="0014074D">
              <w:rPr>
                <w:rFonts w:ascii="Arial Narrow" w:hAnsi="Arial Narrow" w:cs="Arial"/>
                <w:snapToGrid w:val="0"/>
                <w:sz w:val="20"/>
                <w:szCs w:val="20"/>
                <w:lang w:eastAsia="en-US"/>
              </w:rPr>
              <w:t xml:space="preserve"> must be registered with the </w:t>
            </w:r>
            <w:r w:rsidR="007C62F0">
              <w:rPr>
                <w:rFonts w:ascii="Arial Narrow" w:hAnsi="Arial Narrow" w:cs="Arial"/>
                <w:noProof/>
                <w:snapToGrid w:val="0"/>
                <w:color w:val="000000"/>
                <w:sz w:val="20"/>
                <w:szCs w:val="20"/>
                <w:highlight w:val="black"/>
                <w:lang w:eastAsia="en-US"/>
              </w:rPr>
              <w:t>''''''''''''''''''''' ''''''''''''''' ''''''''''''''''''''''' '''''''''''''''''''''</w:t>
            </w:r>
          </w:p>
          <w:p w:rsidR="004C7F6D" w:rsidRPr="0014074D" w:rsidRDefault="004C7F6D" w:rsidP="006E01BA">
            <w:pPr>
              <w:widowControl w:val="0"/>
              <w:jc w:val="both"/>
              <w:rPr>
                <w:rFonts w:ascii="Arial Narrow" w:hAnsi="Arial Narrow" w:cs="Arial"/>
                <w:snapToGrid w:val="0"/>
                <w:color w:val="000000"/>
                <w:sz w:val="20"/>
                <w:szCs w:val="20"/>
                <w:lang w:eastAsia="en-US"/>
              </w:rPr>
            </w:pPr>
          </w:p>
        </w:tc>
      </w:tr>
      <w:tr w:rsidR="004C7F6D" w:rsidRPr="006706A8" w:rsidTr="0014092A">
        <w:trPr>
          <w:gridAfter w:val="1"/>
          <w:wAfter w:w="95" w:type="dxa"/>
          <w:cantSplit/>
          <w:trHeight w:val="360"/>
        </w:trPr>
        <w:tc>
          <w:tcPr>
            <w:tcW w:w="2126" w:type="dxa"/>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b/>
                <w:snapToGrid w:val="0"/>
                <w:sz w:val="20"/>
                <w:szCs w:val="20"/>
                <w:lang w:eastAsia="en-US"/>
              </w:rPr>
            </w:pPr>
            <w:r w:rsidRPr="0014074D">
              <w:rPr>
                <w:rFonts w:ascii="Arial Narrow" w:hAnsi="Arial Narrow" w:cs="Arial"/>
                <w:b/>
                <w:snapToGrid w:val="0"/>
                <w:sz w:val="20"/>
                <w:szCs w:val="20"/>
                <w:lang w:eastAsia="en-US"/>
              </w:rPr>
              <w:t>Administrative Advice</w:t>
            </w:r>
          </w:p>
        </w:tc>
        <w:tc>
          <w:tcPr>
            <w:tcW w:w="6237" w:type="dxa"/>
            <w:gridSpan w:val="5"/>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Special Pricing Arrangements apply</w:t>
            </w:r>
          </w:p>
          <w:p w:rsidR="004C7F6D" w:rsidRPr="0014074D" w:rsidRDefault="004C7F6D" w:rsidP="006E01BA">
            <w:pPr>
              <w:widowControl w:val="0"/>
              <w:jc w:val="both"/>
              <w:rPr>
                <w:rFonts w:ascii="Arial Narrow" w:hAnsi="Arial Narrow" w:cs="Arial"/>
                <w:snapToGrid w:val="0"/>
                <w:sz w:val="20"/>
                <w:szCs w:val="20"/>
                <w:lang w:eastAsia="en-US"/>
              </w:rPr>
            </w:pPr>
          </w:p>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No increase in the maximum quantity or number of units may be authorised.</w:t>
            </w:r>
          </w:p>
          <w:p w:rsidR="004C7F6D" w:rsidRPr="0014074D" w:rsidRDefault="004C7F6D" w:rsidP="006E01BA">
            <w:pPr>
              <w:widowControl w:val="0"/>
              <w:jc w:val="both"/>
              <w:rPr>
                <w:rFonts w:ascii="Arial Narrow" w:hAnsi="Arial Narrow" w:cs="Arial"/>
                <w:snapToGrid w:val="0"/>
                <w:sz w:val="20"/>
                <w:szCs w:val="20"/>
                <w:lang w:eastAsia="en-US"/>
              </w:rPr>
            </w:pPr>
          </w:p>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No increase in the maximum number of repeats may be authorised.</w:t>
            </w:r>
          </w:p>
        </w:tc>
      </w:tr>
    </w:tbl>
    <w:p w:rsidR="004C7F6D" w:rsidRPr="006706A8" w:rsidRDefault="004C7F6D" w:rsidP="009D3CAA">
      <w:pPr>
        <w:rPr>
          <w:rFonts w:ascii="Arial" w:hAnsi="Arial"/>
        </w:rPr>
      </w:pPr>
    </w:p>
    <w:tbl>
      <w:tblPr>
        <w:tblW w:w="8363" w:type="dxa"/>
        <w:tblInd w:w="817" w:type="dxa"/>
        <w:tblLayout w:type="fixed"/>
        <w:tblLook w:val="0000" w:firstRow="0" w:lastRow="0" w:firstColumn="0" w:lastColumn="0" w:noHBand="0" w:noVBand="0"/>
        <w:tblDescription w:val="listing alemtuzumab"/>
      </w:tblPr>
      <w:tblGrid>
        <w:gridCol w:w="2126"/>
        <w:gridCol w:w="851"/>
        <w:gridCol w:w="992"/>
        <w:gridCol w:w="992"/>
        <w:gridCol w:w="1560"/>
        <w:gridCol w:w="1842"/>
      </w:tblGrid>
      <w:tr w:rsidR="004C7F6D" w:rsidRPr="006706A8" w:rsidTr="0014092A">
        <w:trPr>
          <w:cantSplit/>
          <w:trHeight w:val="471"/>
        </w:trPr>
        <w:tc>
          <w:tcPr>
            <w:tcW w:w="2977" w:type="dxa"/>
            <w:gridSpan w:val="2"/>
            <w:tcBorders>
              <w:bottom w:val="single" w:sz="4" w:space="0" w:color="auto"/>
            </w:tcBorders>
          </w:tcPr>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lastRenderedPageBreak/>
              <w:t>Name, Restriction,</w:t>
            </w:r>
          </w:p>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t xml:space="preserve">Manner of administration </w:t>
            </w:r>
          </w:p>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t>and form</w:t>
            </w:r>
          </w:p>
        </w:tc>
        <w:tc>
          <w:tcPr>
            <w:tcW w:w="992" w:type="dxa"/>
            <w:tcBorders>
              <w:bottom w:val="single" w:sz="4" w:space="0" w:color="auto"/>
            </w:tcBorders>
          </w:tcPr>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t>Max.</w:t>
            </w:r>
          </w:p>
          <w:p w:rsidR="004C7F6D" w:rsidRPr="006706A8" w:rsidRDefault="004C7F6D" w:rsidP="006E01BA">
            <w:pPr>
              <w:keepNext/>
              <w:widowControl w:val="0"/>
              <w:ind w:left="-108"/>
              <w:jc w:val="both"/>
              <w:rPr>
                <w:rFonts w:ascii="Arial" w:hAnsi="Arial" w:cs="Arial"/>
                <w:snapToGrid w:val="0"/>
                <w:lang w:eastAsia="en-US"/>
              </w:rPr>
            </w:pPr>
            <w:proofErr w:type="spellStart"/>
            <w:r w:rsidRPr="006706A8">
              <w:rPr>
                <w:rFonts w:ascii="Arial" w:hAnsi="Arial" w:cs="Arial"/>
                <w:snapToGrid w:val="0"/>
                <w:sz w:val="22"/>
                <w:szCs w:val="22"/>
                <w:lang w:eastAsia="en-US"/>
              </w:rPr>
              <w:t>Qty</w:t>
            </w:r>
            <w:proofErr w:type="spellEnd"/>
          </w:p>
        </w:tc>
        <w:tc>
          <w:tcPr>
            <w:tcW w:w="992" w:type="dxa"/>
            <w:tcBorders>
              <w:bottom w:val="single" w:sz="4" w:space="0" w:color="auto"/>
            </w:tcBorders>
          </w:tcPr>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t>№.of</w:t>
            </w:r>
          </w:p>
          <w:p w:rsidR="004C7F6D" w:rsidRPr="006706A8" w:rsidRDefault="004C7F6D" w:rsidP="006E01BA">
            <w:pPr>
              <w:keepNext/>
              <w:widowControl w:val="0"/>
              <w:ind w:left="-108"/>
              <w:jc w:val="both"/>
              <w:rPr>
                <w:rFonts w:ascii="Arial" w:hAnsi="Arial" w:cs="Arial"/>
                <w:snapToGrid w:val="0"/>
                <w:lang w:eastAsia="en-US"/>
              </w:rPr>
            </w:pPr>
            <w:proofErr w:type="spellStart"/>
            <w:r w:rsidRPr="006706A8">
              <w:rPr>
                <w:rFonts w:ascii="Arial" w:hAnsi="Arial" w:cs="Arial"/>
                <w:snapToGrid w:val="0"/>
                <w:sz w:val="22"/>
                <w:szCs w:val="22"/>
                <w:lang w:eastAsia="en-US"/>
              </w:rPr>
              <w:t>Rpts</w:t>
            </w:r>
            <w:proofErr w:type="spellEnd"/>
          </w:p>
        </w:tc>
        <w:tc>
          <w:tcPr>
            <w:tcW w:w="3402" w:type="dxa"/>
            <w:gridSpan w:val="2"/>
            <w:tcBorders>
              <w:bottom w:val="single" w:sz="4" w:space="0" w:color="auto"/>
            </w:tcBorders>
          </w:tcPr>
          <w:p w:rsidR="004C7F6D" w:rsidRPr="006706A8" w:rsidRDefault="004C7F6D" w:rsidP="006E01BA">
            <w:pPr>
              <w:keepNext/>
              <w:widowControl w:val="0"/>
              <w:jc w:val="both"/>
              <w:rPr>
                <w:rFonts w:ascii="Arial" w:hAnsi="Arial" w:cs="Arial"/>
                <w:snapToGrid w:val="0"/>
                <w:lang w:eastAsia="en-US"/>
              </w:rPr>
            </w:pPr>
            <w:r w:rsidRPr="006706A8">
              <w:rPr>
                <w:rFonts w:ascii="Arial" w:hAnsi="Arial" w:cs="Arial"/>
                <w:snapToGrid w:val="0"/>
                <w:sz w:val="22"/>
                <w:szCs w:val="22"/>
                <w:lang w:eastAsia="en-US"/>
              </w:rPr>
              <w:t xml:space="preserve">Proprietary Name </w:t>
            </w:r>
          </w:p>
          <w:p w:rsidR="004C7F6D" w:rsidRPr="006706A8" w:rsidRDefault="004C7F6D" w:rsidP="006E01BA">
            <w:pPr>
              <w:keepNext/>
              <w:widowControl w:val="0"/>
              <w:jc w:val="both"/>
              <w:rPr>
                <w:rFonts w:ascii="Arial" w:hAnsi="Arial" w:cs="Arial"/>
                <w:snapToGrid w:val="0"/>
                <w:lang w:eastAsia="en-US"/>
              </w:rPr>
            </w:pPr>
            <w:r w:rsidRPr="006706A8">
              <w:rPr>
                <w:rFonts w:ascii="Arial" w:hAnsi="Arial" w:cs="Arial"/>
                <w:snapToGrid w:val="0"/>
                <w:sz w:val="22"/>
                <w:szCs w:val="22"/>
                <w:lang w:eastAsia="en-US"/>
              </w:rPr>
              <w:t>and Manufacturer</w:t>
            </w:r>
          </w:p>
        </w:tc>
      </w:tr>
      <w:tr w:rsidR="004C7F6D" w:rsidRPr="006706A8" w:rsidTr="0014092A">
        <w:trPr>
          <w:cantSplit/>
          <w:trHeight w:val="577"/>
        </w:trPr>
        <w:tc>
          <w:tcPr>
            <w:tcW w:w="2977" w:type="dxa"/>
            <w:gridSpan w:val="2"/>
          </w:tcPr>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mallCaps/>
                <w:snapToGrid w:val="0"/>
                <w:sz w:val="22"/>
                <w:szCs w:val="22"/>
                <w:lang w:eastAsia="en-US"/>
              </w:rPr>
              <w:t>ALEMTUZUMAB</w:t>
            </w:r>
          </w:p>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t xml:space="preserve">Injection, 10 mg/ mL, </w:t>
            </w:r>
          </w:p>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t>1x 1.2 mL vial</w:t>
            </w:r>
          </w:p>
          <w:p w:rsidR="004C7F6D" w:rsidRPr="006706A8" w:rsidRDefault="004C7F6D" w:rsidP="006E01BA">
            <w:pPr>
              <w:keepNext/>
              <w:widowControl w:val="0"/>
              <w:ind w:left="-108"/>
              <w:jc w:val="both"/>
              <w:rPr>
                <w:rFonts w:ascii="Arial" w:hAnsi="Arial" w:cs="Arial"/>
                <w:snapToGrid w:val="0"/>
                <w:lang w:eastAsia="en-US"/>
              </w:rPr>
            </w:pPr>
          </w:p>
          <w:p w:rsidR="004C7F6D" w:rsidRPr="006706A8" w:rsidRDefault="004C7F6D" w:rsidP="006E01BA">
            <w:pPr>
              <w:widowControl w:val="0"/>
              <w:ind w:left="-108"/>
              <w:jc w:val="both"/>
              <w:rPr>
                <w:rFonts w:ascii="Arial" w:hAnsi="Arial" w:cs="Arial"/>
                <w:snapToGrid w:val="0"/>
                <w:lang w:eastAsia="en-US"/>
              </w:rPr>
            </w:pPr>
          </w:p>
        </w:tc>
        <w:tc>
          <w:tcPr>
            <w:tcW w:w="992" w:type="dxa"/>
          </w:tcPr>
          <w:p w:rsidR="004C7F6D" w:rsidRPr="006706A8" w:rsidRDefault="004C7F6D" w:rsidP="006E01BA">
            <w:pPr>
              <w:keepNext/>
              <w:widowControl w:val="0"/>
              <w:jc w:val="both"/>
              <w:rPr>
                <w:rFonts w:ascii="Arial" w:hAnsi="Arial" w:cs="Arial"/>
                <w:snapToGrid w:val="0"/>
                <w:lang w:eastAsia="en-US"/>
              </w:rPr>
            </w:pPr>
            <w:r w:rsidRPr="006706A8">
              <w:rPr>
                <w:rFonts w:ascii="Arial" w:hAnsi="Arial" w:cs="Arial"/>
                <w:snapToGrid w:val="0"/>
                <w:sz w:val="22"/>
                <w:szCs w:val="22"/>
                <w:lang w:eastAsia="en-US"/>
              </w:rPr>
              <w:t>3</w:t>
            </w:r>
          </w:p>
        </w:tc>
        <w:tc>
          <w:tcPr>
            <w:tcW w:w="992" w:type="dxa"/>
          </w:tcPr>
          <w:p w:rsidR="004C7F6D" w:rsidRPr="006706A8" w:rsidRDefault="004C7F6D" w:rsidP="006E01BA">
            <w:pPr>
              <w:keepNext/>
              <w:widowControl w:val="0"/>
              <w:ind w:left="-108"/>
              <w:jc w:val="both"/>
              <w:rPr>
                <w:rFonts w:ascii="Arial" w:hAnsi="Arial" w:cs="Arial"/>
                <w:snapToGrid w:val="0"/>
                <w:lang w:eastAsia="en-US"/>
              </w:rPr>
            </w:pPr>
            <w:r w:rsidRPr="006706A8">
              <w:rPr>
                <w:rFonts w:ascii="Arial" w:hAnsi="Arial" w:cs="Arial"/>
                <w:snapToGrid w:val="0"/>
                <w:sz w:val="22"/>
                <w:szCs w:val="22"/>
                <w:lang w:eastAsia="en-US"/>
              </w:rPr>
              <w:t>0</w:t>
            </w:r>
          </w:p>
          <w:p w:rsidR="004C7F6D" w:rsidRPr="006706A8" w:rsidRDefault="004C7F6D" w:rsidP="006E01BA">
            <w:pPr>
              <w:keepNext/>
              <w:widowControl w:val="0"/>
              <w:ind w:left="-108"/>
              <w:jc w:val="both"/>
              <w:rPr>
                <w:rFonts w:ascii="Arial" w:hAnsi="Arial" w:cs="Arial"/>
                <w:snapToGrid w:val="0"/>
                <w:lang w:eastAsia="en-US"/>
              </w:rPr>
            </w:pPr>
          </w:p>
        </w:tc>
        <w:tc>
          <w:tcPr>
            <w:tcW w:w="1560" w:type="dxa"/>
          </w:tcPr>
          <w:p w:rsidR="004C7F6D" w:rsidRPr="006706A8" w:rsidRDefault="004C7F6D" w:rsidP="006E01BA">
            <w:pPr>
              <w:keepNext/>
              <w:widowControl w:val="0"/>
              <w:jc w:val="both"/>
              <w:rPr>
                <w:rFonts w:ascii="Arial" w:hAnsi="Arial" w:cs="Arial"/>
                <w:snapToGrid w:val="0"/>
                <w:lang w:eastAsia="en-US"/>
              </w:rPr>
            </w:pPr>
            <w:proofErr w:type="spellStart"/>
            <w:r w:rsidRPr="006706A8">
              <w:rPr>
                <w:rFonts w:ascii="Arial" w:hAnsi="Arial" w:cs="Arial"/>
                <w:snapToGrid w:val="0"/>
                <w:sz w:val="22"/>
                <w:szCs w:val="22"/>
                <w:lang w:eastAsia="en-US"/>
              </w:rPr>
              <w:t>Lemtrada</w:t>
            </w:r>
            <w:proofErr w:type="spellEnd"/>
            <w:r w:rsidRPr="006706A8">
              <w:rPr>
                <w:rFonts w:ascii="Arial" w:hAnsi="Arial" w:cs="Arial"/>
                <w:snapToGrid w:val="0"/>
                <w:sz w:val="22"/>
                <w:szCs w:val="22"/>
                <w:lang w:eastAsia="en-US"/>
              </w:rPr>
              <w:t xml:space="preserve"> </w:t>
            </w:r>
          </w:p>
          <w:p w:rsidR="004C7F6D" w:rsidRPr="006706A8" w:rsidRDefault="004C7F6D" w:rsidP="006E01BA">
            <w:pPr>
              <w:keepNext/>
              <w:widowControl w:val="0"/>
              <w:jc w:val="both"/>
              <w:rPr>
                <w:rFonts w:ascii="Arial" w:hAnsi="Arial" w:cs="Arial"/>
                <w:snapToGrid w:val="0"/>
                <w:lang w:eastAsia="en-US"/>
              </w:rPr>
            </w:pPr>
          </w:p>
          <w:p w:rsidR="004C7F6D" w:rsidRPr="006706A8" w:rsidRDefault="004C7F6D" w:rsidP="006E01BA">
            <w:pPr>
              <w:keepNext/>
              <w:widowControl w:val="0"/>
              <w:jc w:val="both"/>
              <w:rPr>
                <w:rFonts w:ascii="Arial" w:hAnsi="Arial" w:cs="Arial"/>
                <w:snapToGrid w:val="0"/>
                <w:lang w:eastAsia="en-US"/>
              </w:rPr>
            </w:pPr>
          </w:p>
          <w:p w:rsidR="004C7F6D" w:rsidRPr="006706A8" w:rsidRDefault="004C7F6D" w:rsidP="006E01BA">
            <w:pPr>
              <w:keepNext/>
              <w:widowControl w:val="0"/>
              <w:jc w:val="both"/>
              <w:rPr>
                <w:rFonts w:ascii="Arial" w:hAnsi="Arial" w:cs="Arial"/>
                <w:snapToGrid w:val="0"/>
                <w:lang w:eastAsia="en-US"/>
              </w:rPr>
            </w:pPr>
          </w:p>
          <w:p w:rsidR="004C7F6D" w:rsidRPr="006706A8" w:rsidRDefault="004C7F6D" w:rsidP="006E01BA">
            <w:pPr>
              <w:keepNext/>
              <w:widowControl w:val="0"/>
              <w:jc w:val="both"/>
              <w:rPr>
                <w:rFonts w:ascii="Arial" w:hAnsi="Arial" w:cs="Arial"/>
                <w:snapToGrid w:val="0"/>
                <w:lang w:eastAsia="en-US"/>
              </w:rPr>
            </w:pPr>
          </w:p>
        </w:tc>
        <w:tc>
          <w:tcPr>
            <w:tcW w:w="1842" w:type="dxa"/>
          </w:tcPr>
          <w:p w:rsidR="004C7F6D" w:rsidRPr="006706A8" w:rsidRDefault="004C7F6D" w:rsidP="006E01BA">
            <w:pPr>
              <w:keepNext/>
              <w:widowControl w:val="0"/>
              <w:jc w:val="both"/>
              <w:rPr>
                <w:rFonts w:ascii="Arial" w:hAnsi="Arial" w:cs="Arial"/>
                <w:snapToGrid w:val="0"/>
                <w:lang w:eastAsia="en-US"/>
              </w:rPr>
            </w:pPr>
            <w:r w:rsidRPr="006706A8">
              <w:rPr>
                <w:rFonts w:ascii="Arial" w:hAnsi="Arial" w:cs="Arial"/>
                <w:snapToGrid w:val="0"/>
                <w:sz w:val="22"/>
                <w:szCs w:val="22"/>
                <w:lang w:eastAsia="en-US"/>
              </w:rPr>
              <w:t>Sanofi-Aventis Australia</w:t>
            </w:r>
          </w:p>
          <w:p w:rsidR="004C7F6D" w:rsidRPr="006706A8" w:rsidRDefault="004C7F6D" w:rsidP="006E01BA">
            <w:pPr>
              <w:keepNext/>
              <w:widowControl w:val="0"/>
              <w:jc w:val="both"/>
              <w:rPr>
                <w:rFonts w:ascii="Arial" w:hAnsi="Arial" w:cs="Arial"/>
                <w:snapToGrid w:val="0"/>
                <w:lang w:eastAsia="en-US"/>
              </w:rPr>
            </w:pPr>
            <w:r w:rsidRPr="006706A8">
              <w:rPr>
                <w:rFonts w:ascii="Arial" w:hAnsi="Arial" w:cs="Arial"/>
                <w:snapToGrid w:val="0"/>
                <w:sz w:val="22"/>
                <w:szCs w:val="22"/>
                <w:lang w:eastAsia="en-US"/>
              </w:rPr>
              <w:t xml:space="preserve"> </w:t>
            </w:r>
          </w:p>
          <w:p w:rsidR="004C7F6D" w:rsidRPr="006706A8" w:rsidRDefault="004C7F6D" w:rsidP="006E01BA">
            <w:pPr>
              <w:keepNext/>
              <w:widowControl w:val="0"/>
              <w:jc w:val="both"/>
              <w:rPr>
                <w:rFonts w:ascii="Arial" w:hAnsi="Arial" w:cs="Arial"/>
                <w:snapToGrid w:val="0"/>
                <w:lang w:eastAsia="en-US"/>
              </w:rPr>
            </w:pPr>
          </w:p>
        </w:tc>
      </w:tr>
      <w:tr w:rsidR="004C7F6D" w:rsidRPr="006706A8" w:rsidTr="0014074D">
        <w:trPr>
          <w:cantSplit/>
          <w:trHeight w:val="375"/>
        </w:trPr>
        <w:tc>
          <w:tcPr>
            <w:tcW w:w="2126" w:type="dxa"/>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b/>
                <w:snapToGrid w:val="0"/>
                <w:sz w:val="20"/>
                <w:szCs w:val="20"/>
                <w:lang w:eastAsia="en-US"/>
              </w:rPr>
            </w:pPr>
            <w:r w:rsidRPr="0014074D">
              <w:rPr>
                <w:rFonts w:ascii="Arial Narrow" w:hAnsi="Arial Narrow" w:cs="Arial"/>
                <w:b/>
                <w:snapToGrid w:val="0"/>
                <w:sz w:val="20"/>
                <w:szCs w:val="20"/>
                <w:lang w:eastAsia="en-US"/>
              </w:rPr>
              <w:t>Category/Program</w:t>
            </w:r>
          </w:p>
        </w:tc>
        <w:tc>
          <w:tcPr>
            <w:tcW w:w="6237" w:type="dxa"/>
            <w:gridSpan w:val="5"/>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strike/>
                <w:snapToGrid w:val="0"/>
                <w:sz w:val="20"/>
                <w:szCs w:val="20"/>
                <w:lang w:eastAsia="en-US"/>
              </w:rPr>
            </w:pPr>
            <w:r w:rsidRPr="0014074D">
              <w:rPr>
                <w:rFonts w:ascii="Arial Narrow" w:hAnsi="Arial Narrow" w:cs="Arial"/>
                <w:snapToGrid w:val="0"/>
                <w:sz w:val="20"/>
                <w:szCs w:val="20"/>
                <w:lang w:eastAsia="en-US"/>
              </w:rPr>
              <w:t>Section 100 Highly Specialis</w:t>
            </w:r>
            <w:bookmarkStart w:id="1" w:name="_GoBack"/>
            <w:bookmarkEnd w:id="1"/>
            <w:r w:rsidRPr="0014074D">
              <w:rPr>
                <w:rFonts w:ascii="Arial Narrow" w:hAnsi="Arial Narrow" w:cs="Arial"/>
                <w:snapToGrid w:val="0"/>
                <w:sz w:val="20"/>
                <w:szCs w:val="20"/>
                <w:lang w:eastAsia="en-US"/>
              </w:rPr>
              <w:t>ed Drugs Program</w:t>
            </w:r>
          </w:p>
        </w:tc>
      </w:tr>
      <w:tr w:rsidR="004C7F6D" w:rsidRPr="006706A8" w:rsidTr="0014092A">
        <w:trPr>
          <w:cantSplit/>
          <w:trHeight w:val="360"/>
        </w:trPr>
        <w:tc>
          <w:tcPr>
            <w:tcW w:w="2126" w:type="dxa"/>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b/>
                <w:snapToGrid w:val="0"/>
                <w:sz w:val="20"/>
                <w:szCs w:val="20"/>
                <w:lang w:eastAsia="en-US"/>
              </w:rPr>
            </w:pPr>
            <w:r w:rsidRPr="0014074D">
              <w:rPr>
                <w:rFonts w:ascii="Arial Narrow" w:hAnsi="Arial Narrow" w:cs="Arial"/>
                <w:b/>
                <w:snapToGrid w:val="0"/>
                <w:sz w:val="20"/>
                <w:szCs w:val="20"/>
                <w:lang w:eastAsia="en-US"/>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Multiple sclerosis</w:t>
            </w:r>
          </w:p>
        </w:tc>
      </w:tr>
      <w:tr w:rsidR="004C7F6D" w:rsidRPr="006706A8" w:rsidTr="0014092A">
        <w:trPr>
          <w:cantSplit/>
          <w:trHeight w:val="360"/>
        </w:trPr>
        <w:tc>
          <w:tcPr>
            <w:tcW w:w="2126" w:type="dxa"/>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b/>
                <w:snapToGrid w:val="0"/>
                <w:sz w:val="20"/>
                <w:szCs w:val="20"/>
                <w:lang w:eastAsia="en-US"/>
              </w:rPr>
              <w:t>Treatment phase:</w:t>
            </w:r>
          </w:p>
        </w:tc>
        <w:tc>
          <w:tcPr>
            <w:tcW w:w="6237" w:type="dxa"/>
            <w:gridSpan w:val="5"/>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Continuing</w:t>
            </w:r>
          </w:p>
        </w:tc>
      </w:tr>
      <w:tr w:rsidR="004C7F6D" w:rsidRPr="006706A8" w:rsidTr="0014092A">
        <w:trPr>
          <w:cantSplit/>
          <w:trHeight w:val="360"/>
        </w:trPr>
        <w:tc>
          <w:tcPr>
            <w:tcW w:w="2126" w:type="dxa"/>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b/>
                <w:snapToGrid w:val="0"/>
                <w:sz w:val="20"/>
                <w:szCs w:val="20"/>
                <w:lang w:eastAsia="en-US"/>
              </w:rPr>
            </w:pPr>
            <w:r w:rsidRPr="0014074D">
              <w:rPr>
                <w:rFonts w:ascii="Arial Narrow" w:hAnsi="Arial Narrow" w:cs="Arial"/>
                <w:b/>
                <w:snapToGrid w:val="0"/>
                <w:sz w:val="20"/>
                <w:szCs w:val="20"/>
                <w:lang w:eastAsia="en-US"/>
              </w:rPr>
              <w:t>Restriction:</w:t>
            </w:r>
          </w:p>
        </w:tc>
        <w:tc>
          <w:tcPr>
            <w:tcW w:w="6237" w:type="dxa"/>
            <w:gridSpan w:val="5"/>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Private Hospital Authority required</w:t>
            </w:r>
          </w:p>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Public Hospital Authority required (STREAMLINED)</w:t>
            </w:r>
          </w:p>
        </w:tc>
      </w:tr>
      <w:tr w:rsidR="004C7F6D" w:rsidRPr="006706A8" w:rsidTr="0014092A">
        <w:trPr>
          <w:cantSplit/>
          <w:trHeight w:val="360"/>
        </w:trPr>
        <w:tc>
          <w:tcPr>
            <w:tcW w:w="2126" w:type="dxa"/>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b/>
                <w:snapToGrid w:val="0"/>
                <w:sz w:val="20"/>
                <w:szCs w:val="20"/>
                <w:lang w:eastAsia="en-US"/>
              </w:rPr>
            </w:pPr>
            <w:r w:rsidRPr="0014074D">
              <w:rPr>
                <w:rFonts w:ascii="Arial Narrow" w:hAnsi="Arial Narrow" w:cs="Arial"/>
                <w:b/>
                <w:snapToGrid w:val="0"/>
                <w:sz w:val="20"/>
                <w:szCs w:val="20"/>
                <w:lang w:eastAsia="en-US"/>
              </w:rPr>
              <w:t>Treatment criteria:</w:t>
            </w:r>
          </w:p>
        </w:tc>
        <w:tc>
          <w:tcPr>
            <w:tcW w:w="6237" w:type="dxa"/>
            <w:gridSpan w:val="5"/>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 xml:space="preserve">The treatment must be as monotherapy </w:t>
            </w:r>
          </w:p>
          <w:p w:rsidR="004C7F6D" w:rsidRPr="0014074D" w:rsidRDefault="004C7F6D" w:rsidP="006E01BA">
            <w:pPr>
              <w:widowControl w:val="0"/>
              <w:jc w:val="both"/>
              <w:rPr>
                <w:rFonts w:ascii="Arial Narrow" w:hAnsi="Arial Narrow" w:cs="Arial"/>
                <w:snapToGrid w:val="0"/>
                <w:sz w:val="20"/>
                <w:szCs w:val="20"/>
                <w:lang w:eastAsia="en-US"/>
              </w:rPr>
            </w:pPr>
          </w:p>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AND</w:t>
            </w:r>
          </w:p>
          <w:p w:rsidR="004C7F6D" w:rsidRPr="0014074D" w:rsidRDefault="004C7F6D" w:rsidP="006E01BA">
            <w:pPr>
              <w:widowControl w:val="0"/>
              <w:jc w:val="both"/>
              <w:rPr>
                <w:rFonts w:ascii="Arial Narrow" w:hAnsi="Arial Narrow" w:cs="Arial"/>
                <w:snapToGrid w:val="0"/>
                <w:sz w:val="20"/>
                <w:szCs w:val="20"/>
                <w:lang w:eastAsia="en-US"/>
              </w:rPr>
            </w:pPr>
          </w:p>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 xml:space="preserve">Patient must have demonstrated compliance with, and an ability to tolerate this therapy </w:t>
            </w:r>
          </w:p>
          <w:p w:rsidR="004C7F6D" w:rsidRPr="0014074D" w:rsidRDefault="004C7F6D" w:rsidP="006E01BA">
            <w:pPr>
              <w:widowControl w:val="0"/>
              <w:jc w:val="both"/>
              <w:rPr>
                <w:rFonts w:ascii="Arial Narrow" w:hAnsi="Arial Narrow" w:cs="Arial"/>
                <w:snapToGrid w:val="0"/>
                <w:sz w:val="20"/>
                <w:szCs w:val="20"/>
                <w:lang w:eastAsia="en-US"/>
              </w:rPr>
            </w:pPr>
          </w:p>
          <w:p w:rsidR="004C7F6D" w:rsidRPr="0014074D" w:rsidRDefault="004C7F6D" w:rsidP="006E5252">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 xml:space="preserve">AND </w:t>
            </w:r>
          </w:p>
          <w:p w:rsidR="004C7F6D" w:rsidRPr="0014074D" w:rsidRDefault="004C7F6D" w:rsidP="006E5252">
            <w:pPr>
              <w:widowControl w:val="0"/>
              <w:jc w:val="both"/>
              <w:rPr>
                <w:rFonts w:ascii="Arial Narrow" w:hAnsi="Arial Narrow" w:cs="Arial"/>
                <w:snapToGrid w:val="0"/>
                <w:sz w:val="20"/>
                <w:szCs w:val="20"/>
                <w:lang w:eastAsia="en-US"/>
              </w:rPr>
            </w:pPr>
          </w:p>
          <w:p w:rsidR="004C7F6D" w:rsidRPr="0014074D" w:rsidRDefault="004C7F6D" w:rsidP="00F1575D">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Must be treated by a neurologist</w:t>
            </w:r>
          </w:p>
        </w:tc>
      </w:tr>
      <w:tr w:rsidR="004C7F6D" w:rsidRPr="006706A8" w:rsidTr="0014092A">
        <w:trPr>
          <w:cantSplit/>
          <w:trHeight w:val="360"/>
        </w:trPr>
        <w:tc>
          <w:tcPr>
            <w:tcW w:w="2126" w:type="dxa"/>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b/>
                <w:snapToGrid w:val="0"/>
                <w:sz w:val="20"/>
                <w:szCs w:val="20"/>
                <w:lang w:eastAsia="en-US"/>
              </w:rPr>
            </w:pPr>
            <w:r w:rsidRPr="0014074D">
              <w:rPr>
                <w:rFonts w:ascii="Arial Narrow" w:hAnsi="Arial Narrow" w:cs="Arial"/>
                <w:b/>
                <w:snapToGrid w:val="0"/>
                <w:sz w:val="20"/>
                <w:szCs w:val="20"/>
                <w:lang w:eastAsia="en-US"/>
              </w:rPr>
              <w:t>Clinical criteria:</w:t>
            </w:r>
          </w:p>
          <w:p w:rsidR="004C7F6D" w:rsidRPr="0014074D" w:rsidRDefault="004C7F6D" w:rsidP="006E01BA">
            <w:pPr>
              <w:widowControl w:val="0"/>
              <w:jc w:val="both"/>
              <w:rPr>
                <w:rFonts w:ascii="Arial Narrow" w:hAnsi="Arial Narrow" w:cs="Arial"/>
                <w:snapToGrid w:val="0"/>
                <w:sz w:val="20"/>
                <w:szCs w:val="20"/>
                <w:lang w:eastAsia="en-US"/>
              </w:rPr>
            </w:pPr>
          </w:p>
        </w:tc>
        <w:tc>
          <w:tcPr>
            <w:tcW w:w="6237" w:type="dxa"/>
            <w:gridSpan w:val="5"/>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snapToGrid w:val="0"/>
                <w:color w:val="000000"/>
                <w:sz w:val="20"/>
                <w:szCs w:val="20"/>
                <w:lang w:eastAsia="en-US"/>
              </w:rPr>
            </w:pPr>
            <w:r w:rsidRPr="0014074D">
              <w:rPr>
                <w:rFonts w:ascii="Arial Narrow" w:hAnsi="Arial Narrow" w:cs="Arial"/>
                <w:snapToGrid w:val="0"/>
                <w:color w:val="000000"/>
                <w:sz w:val="20"/>
                <w:szCs w:val="20"/>
                <w:lang w:eastAsia="en-US"/>
              </w:rPr>
              <w:t xml:space="preserve">Patient must have previously been issued with an authority prescription for this drug. </w:t>
            </w:r>
          </w:p>
          <w:p w:rsidR="004C7F6D" w:rsidRPr="0014074D" w:rsidRDefault="004C7F6D" w:rsidP="006E01BA">
            <w:pPr>
              <w:widowControl w:val="0"/>
              <w:jc w:val="both"/>
              <w:rPr>
                <w:rFonts w:ascii="Arial Narrow" w:hAnsi="Arial Narrow" w:cs="Arial"/>
                <w:snapToGrid w:val="0"/>
                <w:color w:val="000000"/>
                <w:sz w:val="20"/>
                <w:szCs w:val="20"/>
                <w:lang w:eastAsia="en-US"/>
              </w:rPr>
            </w:pPr>
          </w:p>
          <w:p w:rsidR="004C7F6D" w:rsidRPr="0014074D" w:rsidRDefault="004C7F6D" w:rsidP="006E01BA">
            <w:pPr>
              <w:widowControl w:val="0"/>
              <w:jc w:val="both"/>
              <w:rPr>
                <w:rFonts w:ascii="Arial Narrow" w:hAnsi="Arial Narrow" w:cs="Arial"/>
                <w:snapToGrid w:val="0"/>
                <w:color w:val="000000"/>
                <w:sz w:val="20"/>
                <w:szCs w:val="20"/>
                <w:lang w:eastAsia="en-US"/>
              </w:rPr>
            </w:pPr>
            <w:r w:rsidRPr="0014074D">
              <w:rPr>
                <w:rFonts w:ascii="Arial Narrow" w:hAnsi="Arial Narrow" w:cs="Arial"/>
                <w:snapToGrid w:val="0"/>
                <w:color w:val="000000"/>
                <w:sz w:val="20"/>
                <w:szCs w:val="20"/>
                <w:lang w:eastAsia="en-US"/>
              </w:rPr>
              <w:t>AND</w:t>
            </w:r>
          </w:p>
          <w:p w:rsidR="004C7F6D" w:rsidRPr="0014074D" w:rsidRDefault="004C7F6D" w:rsidP="006E01BA">
            <w:pPr>
              <w:widowControl w:val="0"/>
              <w:jc w:val="both"/>
              <w:rPr>
                <w:rFonts w:ascii="Arial Narrow" w:hAnsi="Arial Narrow" w:cs="Arial"/>
                <w:snapToGrid w:val="0"/>
                <w:color w:val="000000"/>
                <w:sz w:val="20"/>
                <w:szCs w:val="20"/>
                <w:lang w:eastAsia="en-US"/>
              </w:rPr>
            </w:pPr>
          </w:p>
          <w:p w:rsidR="004C7F6D" w:rsidRPr="0014074D" w:rsidRDefault="004C7F6D" w:rsidP="006E01BA">
            <w:pPr>
              <w:widowControl w:val="0"/>
              <w:jc w:val="both"/>
              <w:rPr>
                <w:rFonts w:ascii="Arial Narrow" w:hAnsi="Arial Narrow" w:cs="Arial"/>
                <w:snapToGrid w:val="0"/>
                <w:color w:val="000000"/>
                <w:sz w:val="20"/>
                <w:szCs w:val="20"/>
                <w:lang w:eastAsia="en-US"/>
              </w:rPr>
            </w:pPr>
            <w:r w:rsidRPr="0014074D">
              <w:rPr>
                <w:rFonts w:ascii="Arial Narrow" w:hAnsi="Arial Narrow" w:cs="Arial"/>
                <w:snapToGrid w:val="0"/>
                <w:color w:val="000000"/>
                <w:sz w:val="20"/>
                <w:szCs w:val="20"/>
                <w:lang w:eastAsia="en-US"/>
              </w:rPr>
              <w:t xml:space="preserve">Patient must not show continuing progression of disability while on treatment with this drug </w:t>
            </w:r>
          </w:p>
          <w:p w:rsidR="004C7F6D" w:rsidRPr="0014074D" w:rsidRDefault="004C7F6D" w:rsidP="006E01BA">
            <w:pPr>
              <w:widowControl w:val="0"/>
              <w:jc w:val="both"/>
              <w:rPr>
                <w:rFonts w:ascii="Arial Narrow" w:hAnsi="Arial Narrow" w:cs="Arial"/>
                <w:snapToGrid w:val="0"/>
                <w:color w:val="000000"/>
                <w:sz w:val="20"/>
                <w:szCs w:val="20"/>
                <w:lang w:eastAsia="en-US"/>
              </w:rPr>
            </w:pPr>
          </w:p>
          <w:p w:rsidR="004C7F6D" w:rsidRPr="0014074D" w:rsidRDefault="004C7F6D" w:rsidP="006E01BA">
            <w:pPr>
              <w:widowControl w:val="0"/>
              <w:jc w:val="both"/>
              <w:rPr>
                <w:rFonts w:ascii="Arial Narrow" w:hAnsi="Arial Narrow" w:cs="Arial"/>
                <w:snapToGrid w:val="0"/>
                <w:color w:val="000000"/>
                <w:sz w:val="20"/>
                <w:szCs w:val="20"/>
                <w:lang w:eastAsia="en-US"/>
              </w:rPr>
            </w:pPr>
            <w:r w:rsidRPr="0014074D">
              <w:rPr>
                <w:rFonts w:ascii="Arial Narrow" w:hAnsi="Arial Narrow" w:cs="Arial"/>
                <w:snapToGrid w:val="0"/>
                <w:color w:val="000000"/>
                <w:sz w:val="20"/>
                <w:szCs w:val="20"/>
                <w:lang w:eastAsia="en-US"/>
              </w:rPr>
              <w:t>AND</w:t>
            </w:r>
          </w:p>
          <w:p w:rsidR="004C7F6D" w:rsidRPr="0014074D" w:rsidRDefault="004C7F6D" w:rsidP="006E01BA">
            <w:pPr>
              <w:widowControl w:val="0"/>
              <w:jc w:val="both"/>
              <w:rPr>
                <w:rFonts w:ascii="Arial Narrow" w:hAnsi="Arial Narrow" w:cs="Arial"/>
                <w:snapToGrid w:val="0"/>
                <w:color w:val="000000"/>
                <w:sz w:val="20"/>
                <w:szCs w:val="20"/>
                <w:lang w:eastAsia="en-US"/>
              </w:rPr>
            </w:pPr>
          </w:p>
          <w:p w:rsidR="004C7F6D" w:rsidRPr="0014074D" w:rsidRDefault="004C7F6D" w:rsidP="006E01BA">
            <w:pPr>
              <w:widowControl w:val="0"/>
              <w:jc w:val="both"/>
              <w:rPr>
                <w:rFonts w:ascii="Arial Narrow" w:hAnsi="Arial Narrow" w:cs="Arial"/>
                <w:snapToGrid w:val="0"/>
                <w:color w:val="000000"/>
                <w:sz w:val="20"/>
                <w:szCs w:val="20"/>
                <w:lang w:eastAsia="en-US"/>
              </w:rPr>
            </w:pPr>
            <w:r w:rsidRPr="0014074D">
              <w:rPr>
                <w:rFonts w:ascii="Arial Narrow" w:hAnsi="Arial Narrow" w:cs="Arial"/>
                <w:snapToGrid w:val="0"/>
                <w:color w:val="000000"/>
                <w:sz w:val="20"/>
                <w:szCs w:val="20"/>
                <w:lang w:eastAsia="en-US"/>
              </w:rPr>
              <w:t>Patient must not receive more than one PBS-subsidised treatment per year.</w:t>
            </w:r>
          </w:p>
        </w:tc>
      </w:tr>
      <w:tr w:rsidR="004C7F6D" w:rsidRPr="006706A8" w:rsidTr="0014092A">
        <w:trPr>
          <w:cantSplit/>
          <w:trHeight w:val="360"/>
        </w:trPr>
        <w:tc>
          <w:tcPr>
            <w:tcW w:w="2126" w:type="dxa"/>
            <w:tcBorders>
              <w:top w:val="single" w:sz="4" w:space="0" w:color="auto"/>
              <w:left w:val="single" w:sz="4" w:space="0" w:color="auto"/>
              <w:bottom w:val="single" w:sz="4" w:space="0" w:color="auto"/>
              <w:right w:val="single" w:sz="4" w:space="0" w:color="auto"/>
            </w:tcBorders>
          </w:tcPr>
          <w:p w:rsidR="004C7F6D" w:rsidRPr="0014074D" w:rsidRDefault="004C7F6D" w:rsidP="006E01BA">
            <w:pPr>
              <w:widowControl w:val="0"/>
              <w:jc w:val="both"/>
              <w:rPr>
                <w:rFonts w:ascii="Arial Narrow" w:hAnsi="Arial Narrow" w:cs="Arial"/>
                <w:b/>
                <w:snapToGrid w:val="0"/>
                <w:sz w:val="20"/>
                <w:szCs w:val="20"/>
                <w:lang w:eastAsia="en-US"/>
              </w:rPr>
            </w:pPr>
            <w:r w:rsidRPr="0014074D">
              <w:rPr>
                <w:rFonts w:ascii="Arial Narrow" w:hAnsi="Arial Narrow" w:cs="Arial"/>
                <w:b/>
                <w:snapToGrid w:val="0"/>
                <w:sz w:val="20"/>
                <w:szCs w:val="20"/>
                <w:lang w:eastAsia="en-US"/>
              </w:rPr>
              <w:t>Administrative Advice</w:t>
            </w:r>
          </w:p>
        </w:tc>
        <w:tc>
          <w:tcPr>
            <w:tcW w:w="6237" w:type="dxa"/>
            <w:gridSpan w:val="5"/>
            <w:tcBorders>
              <w:top w:val="single" w:sz="4" w:space="0" w:color="auto"/>
              <w:left w:val="single" w:sz="4" w:space="0" w:color="auto"/>
              <w:bottom w:val="single" w:sz="4" w:space="0" w:color="auto"/>
              <w:right w:val="single" w:sz="4" w:space="0" w:color="auto"/>
            </w:tcBorders>
          </w:tcPr>
          <w:p w:rsidR="004C7F6D" w:rsidRPr="007C62F0"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 xml:space="preserve">Neurologists prescribing PBS subsidised </w:t>
            </w:r>
            <w:proofErr w:type="spellStart"/>
            <w:r w:rsidRPr="0014074D">
              <w:rPr>
                <w:rFonts w:ascii="Arial Narrow" w:hAnsi="Arial Narrow" w:cs="Arial"/>
                <w:snapToGrid w:val="0"/>
                <w:sz w:val="20"/>
                <w:szCs w:val="20"/>
                <w:lang w:eastAsia="en-US"/>
              </w:rPr>
              <w:t>alemtuzumab</w:t>
            </w:r>
            <w:proofErr w:type="spellEnd"/>
            <w:r w:rsidRPr="0014074D">
              <w:rPr>
                <w:rFonts w:ascii="Arial Narrow" w:hAnsi="Arial Narrow" w:cs="Arial"/>
                <w:snapToGrid w:val="0"/>
                <w:sz w:val="20"/>
                <w:szCs w:val="20"/>
                <w:lang w:eastAsia="en-US"/>
              </w:rPr>
              <w:t xml:space="preserve"> must be registered with the </w:t>
            </w:r>
            <w:r w:rsidR="007C62F0">
              <w:rPr>
                <w:rFonts w:ascii="Arial Narrow" w:hAnsi="Arial Narrow" w:cs="Arial"/>
                <w:noProof/>
                <w:snapToGrid w:val="0"/>
                <w:color w:val="000000"/>
                <w:sz w:val="20"/>
                <w:szCs w:val="20"/>
                <w:highlight w:val="black"/>
                <w:lang w:eastAsia="en-US"/>
              </w:rPr>
              <w:t>''''''''''''''''''''' '''''''''''''''' '''''''''''''''''''''''' '''''''''''''''''''''</w:t>
            </w:r>
          </w:p>
          <w:p w:rsidR="004C7F6D" w:rsidRPr="0014074D" w:rsidRDefault="004C7F6D" w:rsidP="006E01BA">
            <w:pPr>
              <w:widowControl w:val="0"/>
              <w:jc w:val="both"/>
              <w:rPr>
                <w:rFonts w:ascii="Arial Narrow" w:hAnsi="Arial Narrow" w:cs="Arial"/>
                <w:snapToGrid w:val="0"/>
                <w:sz w:val="20"/>
                <w:szCs w:val="20"/>
                <w:lang w:eastAsia="en-US"/>
              </w:rPr>
            </w:pPr>
          </w:p>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Special Pricing Arrangements apply</w:t>
            </w:r>
          </w:p>
          <w:p w:rsidR="004C7F6D" w:rsidRPr="0014074D" w:rsidRDefault="004C7F6D" w:rsidP="006E01BA">
            <w:pPr>
              <w:widowControl w:val="0"/>
              <w:jc w:val="both"/>
              <w:rPr>
                <w:rFonts w:ascii="Arial Narrow" w:hAnsi="Arial Narrow" w:cs="Arial"/>
                <w:snapToGrid w:val="0"/>
                <w:sz w:val="20"/>
                <w:szCs w:val="20"/>
                <w:lang w:eastAsia="en-US"/>
              </w:rPr>
            </w:pPr>
          </w:p>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 xml:space="preserve">No increase in the maximum quantity or number of units may be authorised. </w:t>
            </w:r>
          </w:p>
          <w:p w:rsidR="004C7F6D" w:rsidRPr="0014074D" w:rsidRDefault="004C7F6D" w:rsidP="006E01BA">
            <w:pPr>
              <w:widowControl w:val="0"/>
              <w:jc w:val="both"/>
              <w:rPr>
                <w:rFonts w:ascii="Arial Narrow" w:hAnsi="Arial Narrow" w:cs="Arial"/>
                <w:snapToGrid w:val="0"/>
                <w:sz w:val="20"/>
                <w:szCs w:val="20"/>
                <w:lang w:eastAsia="en-US"/>
              </w:rPr>
            </w:pPr>
          </w:p>
          <w:p w:rsidR="004C7F6D" w:rsidRPr="0014074D" w:rsidRDefault="004C7F6D" w:rsidP="006E01BA">
            <w:pPr>
              <w:widowControl w:val="0"/>
              <w:jc w:val="both"/>
              <w:rPr>
                <w:rFonts w:ascii="Arial Narrow" w:hAnsi="Arial Narrow" w:cs="Arial"/>
                <w:snapToGrid w:val="0"/>
                <w:sz w:val="20"/>
                <w:szCs w:val="20"/>
                <w:lang w:eastAsia="en-US"/>
              </w:rPr>
            </w:pPr>
            <w:r w:rsidRPr="0014074D">
              <w:rPr>
                <w:rFonts w:ascii="Arial Narrow" w:hAnsi="Arial Narrow" w:cs="Arial"/>
                <w:snapToGrid w:val="0"/>
                <w:sz w:val="20"/>
                <w:szCs w:val="20"/>
                <w:lang w:eastAsia="en-US"/>
              </w:rPr>
              <w:t>No increase in the maximum number of repeats may be authorised.</w:t>
            </w:r>
          </w:p>
        </w:tc>
      </w:tr>
    </w:tbl>
    <w:p w:rsidR="004C7F6D" w:rsidRDefault="004C7F6D" w:rsidP="009D3CAA">
      <w:pPr>
        <w:rPr>
          <w:rFonts w:ascii="Arial" w:hAnsi="Arial"/>
        </w:rPr>
      </w:pPr>
    </w:p>
    <w:p w:rsidR="00C63AEC" w:rsidRDefault="00C63AEC" w:rsidP="00C63AEC">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C63AEC" w:rsidRPr="00D4420F" w:rsidRDefault="00C63AEC" w:rsidP="00C63AEC">
      <w:pPr>
        <w:pStyle w:val="ListParagraph"/>
        <w:jc w:val="both"/>
        <w:rPr>
          <w:rFonts w:ascii="Arial" w:hAnsi="Arial" w:cs="Arial"/>
          <w:b/>
          <w:sz w:val="22"/>
        </w:rPr>
      </w:pPr>
    </w:p>
    <w:p w:rsidR="00C63AEC" w:rsidRPr="00D4420F" w:rsidRDefault="00C63AEC" w:rsidP="00C63AEC">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63AEC" w:rsidRPr="00D4420F" w:rsidRDefault="00C63AEC" w:rsidP="00C63AEC">
      <w:pPr>
        <w:jc w:val="both"/>
        <w:rPr>
          <w:rFonts w:ascii="Arial" w:hAnsi="Arial" w:cs="Arial"/>
          <w:sz w:val="22"/>
        </w:rPr>
      </w:pPr>
    </w:p>
    <w:p w:rsidR="00C63AEC" w:rsidRDefault="00C63AEC" w:rsidP="00C63AEC">
      <w:pPr>
        <w:pStyle w:val="ListParagraph"/>
        <w:numPr>
          <w:ilvl w:val="0"/>
          <w:numId w:val="25"/>
        </w:numPr>
        <w:jc w:val="both"/>
        <w:rPr>
          <w:rFonts w:ascii="Arial" w:hAnsi="Arial" w:cs="Arial"/>
          <w:b/>
          <w:sz w:val="22"/>
        </w:rPr>
      </w:pPr>
      <w:r w:rsidRPr="00D4420F">
        <w:rPr>
          <w:rFonts w:ascii="Arial" w:hAnsi="Arial" w:cs="Arial"/>
          <w:b/>
          <w:sz w:val="22"/>
        </w:rPr>
        <w:t>Sponsor’s Comment</w:t>
      </w:r>
    </w:p>
    <w:p w:rsidR="00C12A80" w:rsidRPr="00C12A80" w:rsidRDefault="00C12A80" w:rsidP="00C12A80">
      <w:pPr>
        <w:pStyle w:val="ListParagraph"/>
        <w:jc w:val="both"/>
        <w:rPr>
          <w:rFonts w:ascii="Arial" w:hAnsi="Arial" w:cs="Arial"/>
          <w:sz w:val="22"/>
        </w:rPr>
      </w:pPr>
      <w:r>
        <w:rPr>
          <w:rFonts w:ascii="Arial" w:hAnsi="Arial" w:cs="Arial"/>
          <w:sz w:val="22"/>
        </w:rPr>
        <w:t>The sponsor had no comment.</w:t>
      </w:r>
    </w:p>
    <w:p w:rsidR="00C63AEC" w:rsidRPr="006706A8" w:rsidRDefault="00C63AEC" w:rsidP="009D3CAA">
      <w:pPr>
        <w:rPr>
          <w:rFonts w:ascii="Arial" w:hAnsi="Arial"/>
        </w:rPr>
      </w:pPr>
    </w:p>
    <w:sectPr w:rsidR="00C63AEC" w:rsidRPr="006706A8"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936" w:rsidRDefault="00FA6936">
      <w:r>
        <w:separator/>
      </w:r>
    </w:p>
  </w:endnote>
  <w:endnote w:type="continuationSeparator" w:id="0">
    <w:p w:rsidR="00FA6936" w:rsidRDefault="00FA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0A0" w:firstRow="1" w:lastRow="0" w:firstColumn="1" w:lastColumn="0" w:noHBand="0" w:noVBand="0"/>
    </w:tblPr>
    <w:tblGrid>
      <w:gridCol w:w="3995"/>
      <w:gridCol w:w="1252"/>
      <w:gridCol w:w="3995"/>
    </w:tblGrid>
    <w:tr w:rsidR="00FA6936" w:rsidTr="005A3173">
      <w:trPr>
        <w:trHeight w:val="151"/>
      </w:trPr>
      <w:tc>
        <w:tcPr>
          <w:tcW w:w="2250" w:type="pct"/>
          <w:tcBorders>
            <w:top w:val="nil"/>
            <w:left w:val="nil"/>
            <w:bottom w:val="single" w:sz="4" w:space="0" w:color="4F81BD"/>
            <w:right w:val="nil"/>
          </w:tcBorders>
        </w:tcPr>
        <w:p w:rsidR="00FA6936" w:rsidRPr="001D7574" w:rsidRDefault="00FA6936" w:rsidP="005A3173">
          <w:pPr>
            <w:pStyle w:val="Header"/>
            <w:spacing w:line="276" w:lineRule="auto"/>
            <w:rPr>
              <w:rFonts w:ascii="Calibri" w:eastAsia="MS Gothic" w:hAnsi="Calibri"/>
              <w:b/>
              <w:bCs/>
              <w:color w:val="4F81BD"/>
            </w:rPr>
          </w:pPr>
        </w:p>
      </w:tc>
      <w:tc>
        <w:tcPr>
          <w:tcW w:w="500" w:type="pct"/>
          <w:vMerge w:val="restart"/>
          <w:noWrap/>
          <w:vAlign w:val="center"/>
        </w:tcPr>
        <w:p w:rsidR="00FA6936" w:rsidRPr="005A3173" w:rsidRDefault="00FA6936" w:rsidP="005A3173">
          <w:pPr>
            <w:pStyle w:val="MediumGrid21"/>
            <w:spacing w:line="276" w:lineRule="auto"/>
            <w:rPr>
              <w:rFonts w:ascii="Calibri" w:hAnsi="Calibri"/>
              <w:color w:val="365F91"/>
              <w:lang w:eastAsia="en-US"/>
            </w:rPr>
          </w:pPr>
          <w:r w:rsidRPr="005A3173">
            <w:rPr>
              <w:rFonts w:ascii="Cambria" w:hAnsi="Cambria"/>
              <w:color w:val="365F91"/>
              <w:lang w:eastAsia="en-US"/>
            </w:rPr>
            <w:t>[Type text]</w:t>
          </w:r>
        </w:p>
      </w:tc>
      <w:tc>
        <w:tcPr>
          <w:tcW w:w="2250" w:type="pct"/>
          <w:tcBorders>
            <w:top w:val="nil"/>
            <w:left w:val="nil"/>
            <w:bottom w:val="single" w:sz="4" w:space="0" w:color="4F81BD"/>
            <w:right w:val="nil"/>
          </w:tcBorders>
        </w:tcPr>
        <w:p w:rsidR="00FA6936" w:rsidRPr="001D7574" w:rsidRDefault="00FA6936" w:rsidP="005A3173">
          <w:pPr>
            <w:pStyle w:val="Header"/>
            <w:spacing w:line="276" w:lineRule="auto"/>
            <w:rPr>
              <w:rFonts w:ascii="Calibri" w:eastAsia="MS Gothic" w:hAnsi="Calibri"/>
              <w:b/>
              <w:bCs/>
              <w:color w:val="4F81BD"/>
            </w:rPr>
          </w:pPr>
        </w:p>
      </w:tc>
    </w:tr>
    <w:tr w:rsidR="00FA6936" w:rsidTr="005A3173">
      <w:trPr>
        <w:trHeight w:val="150"/>
      </w:trPr>
      <w:tc>
        <w:tcPr>
          <w:tcW w:w="2250" w:type="pct"/>
          <w:tcBorders>
            <w:top w:val="single" w:sz="4" w:space="0" w:color="4F81BD"/>
            <w:left w:val="nil"/>
            <w:bottom w:val="nil"/>
            <w:right w:val="nil"/>
          </w:tcBorders>
        </w:tcPr>
        <w:p w:rsidR="00FA6936" w:rsidRPr="001D7574" w:rsidRDefault="00FA6936" w:rsidP="005A3173">
          <w:pPr>
            <w:pStyle w:val="Header"/>
            <w:spacing w:line="276" w:lineRule="auto"/>
            <w:rPr>
              <w:rFonts w:ascii="Calibri" w:eastAsia="MS Gothic" w:hAnsi="Calibri"/>
              <w:b/>
              <w:bCs/>
              <w:color w:val="4F81BD"/>
            </w:rPr>
          </w:pPr>
        </w:p>
      </w:tc>
      <w:tc>
        <w:tcPr>
          <w:tcW w:w="0" w:type="auto"/>
          <w:vMerge/>
          <w:vAlign w:val="center"/>
        </w:tcPr>
        <w:p w:rsidR="00FA6936" w:rsidRPr="005A3173" w:rsidRDefault="00FA6936" w:rsidP="005A3173">
          <w:pPr>
            <w:rPr>
              <w:rFonts w:ascii="Calibri" w:hAnsi="Calibri"/>
              <w:color w:val="365F91"/>
            </w:rPr>
          </w:pPr>
        </w:p>
      </w:tc>
      <w:tc>
        <w:tcPr>
          <w:tcW w:w="2250" w:type="pct"/>
          <w:tcBorders>
            <w:top w:val="single" w:sz="4" w:space="0" w:color="4F81BD"/>
            <w:left w:val="nil"/>
            <w:bottom w:val="nil"/>
            <w:right w:val="nil"/>
          </w:tcBorders>
        </w:tcPr>
        <w:p w:rsidR="00FA6936" w:rsidRPr="001D7574" w:rsidRDefault="00FA6936" w:rsidP="005A3173">
          <w:pPr>
            <w:pStyle w:val="Header"/>
            <w:spacing w:line="276" w:lineRule="auto"/>
            <w:rPr>
              <w:rFonts w:ascii="Calibri" w:eastAsia="MS Gothic" w:hAnsi="Calibri"/>
              <w:b/>
              <w:bCs/>
              <w:color w:val="4F81BD"/>
            </w:rPr>
          </w:pPr>
        </w:p>
      </w:tc>
    </w:tr>
  </w:tbl>
  <w:p w:rsidR="00FA6936" w:rsidRDefault="00FA693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6936" w:rsidRDefault="00FA6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936" w:rsidRPr="00651169" w:rsidRDefault="00FA6936">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4A62F9">
      <w:rPr>
        <w:rFonts w:ascii="Arial" w:hAnsi="Arial" w:cs="Arial"/>
        <w:noProof/>
        <w:sz w:val="20"/>
        <w:szCs w:val="20"/>
      </w:rPr>
      <w:t>19</w:t>
    </w:r>
    <w:r w:rsidRPr="00651169">
      <w:rPr>
        <w:rFonts w:ascii="Arial" w:hAnsi="Arial" w:cs="Arial"/>
        <w:sz w:val="20"/>
        <w:szCs w:val="20"/>
      </w:rPr>
      <w:fldChar w:fldCharType="end"/>
    </w:r>
  </w:p>
  <w:p w:rsidR="00FA6936" w:rsidRPr="008F1434" w:rsidRDefault="00FA6936"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3995"/>
      <w:gridCol w:w="1252"/>
      <w:gridCol w:w="3995"/>
    </w:tblGrid>
    <w:tr w:rsidR="00FA6936" w:rsidTr="005A3173">
      <w:trPr>
        <w:trHeight w:val="151"/>
      </w:trPr>
      <w:tc>
        <w:tcPr>
          <w:tcW w:w="2250" w:type="pct"/>
          <w:tcBorders>
            <w:top w:val="nil"/>
            <w:left w:val="nil"/>
            <w:bottom w:val="single" w:sz="4" w:space="0" w:color="4F81BD"/>
            <w:right w:val="nil"/>
          </w:tcBorders>
        </w:tcPr>
        <w:p w:rsidR="00FA6936" w:rsidRPr="001D7574" w:rsidRDefault="00FA6936" w:rsidP="005A3173">
          <w:pPr>
            <w:pStyle w:val="Header"/>
            <w:spacing w:line="276" w:lineRule="auto"/>
            <w:rPr>
              <w:rFonts w:ascii="Calibri" w:eastAsia="MS Gothic" w:hAnsi="Calibri"/>
              <w:b/>
              <w:bCs/>
              <w:color w:val="4F81BD"/>
            </w:rPr>
          </w:pPr>
        </w:p>
      </w:tc>
      <w:tc>
        <w:tcPr>
          <w:tcW w:w="500" w:type="pct"/>
          <w:vMerge w:val="restart"/>
          <w:noWrap/>
          <w:vAlign w:val="center"/>
        </w:tcPr>
        <w:p w:rsidR="00FA6936" w:rsidRPr="005A3173" w:rsidRDefault="00FA6936" w:rsidP="005A3173">
          <w:pPr>
            <w:pStyle w:val="MediumGrid21"/>
            <w:spacing w:line="276" w:lineRule="auto"/>
            <w:rPr>
              <w:rFonts w:ascii="Calibri" w:hAnsi="Calibri"/>
              <w:color w:val="365F91"/>
              <w:lang w:eastAsia="en-US"/>
            </w:rPr>
          </w:pPr>
          <w:r w:rsidRPr="005A3173">
            <w:rPr>
              <w:rFonts w:ascii="Cambria" w:hAnsi="Cambria"/>
              <w:color w:val="365F91"/>
              <w:lang w:eastAsia="en-US"/>
            </w:rPr>
            <w:t>[Type text]</w:t>
          </w:r>
        </w:p>
      </w:tc>
      <w:tc>
        <w:tcPr>
          <w:tcW w:w="2250" w:type="pct"/>
          <w:tcBorders>
            <w:top w:val="nil"/>
            <w:left w:val="nil"/>
            <w:bottom w:val="single" w:sz="4" w:space="0" w:color="4F81BD"/>
            <w:right w:val="nil"/>
          </w:tcBorders>
        </w:tcPr>
        <w:p w:rsidR="00FA6936" w:rsidRPr="001D7574" w:rsidRDefault="00FA6936" w:rsidP="005A3173">
          <w:pPr>
            <w:pStyle w:val="Header"/>
            <w:spacing w:line="276" w:lineRule="auto"/>
            <w:rPr>
              <w:rFonts w:ascii="Calibri" w:eastAsia="MS Gothic" w:hAnsi="Calibri"/>
              <w:b/>
              <w:bCs/>
              <w:color w:val="4F81BD"/>
            </w:rPr>
          </w:pPr>
        </w:p>
      </w:tc>
    </w:tr>
    <w:tr w:rsidR="00FA6936" w:rsidTr="005A3173">
      <w:trPr>
        <w:trHeight w:val="150"/>
      </w:trPr>
      <w:tc>
        <w:tcPr>
          <w:tcW w:w="2250" w:type="pct"/>
          <w:tcBorders>
            <w:top w:val="single" w:sz="4" w:space="0" w:color="4F81BD"/>
            <w:left w:val="nil"/>
            <w:bottom w:val="nil"/>
            <w:right w:val="nil"/>
          </w:tcBorders>
        </w:tcPr>
        <w:p w:rsidR="00FA6936" w:rsidRPr="001D7574" w:rsidRDefault="00FA6936" w:rsidP="005A3173">
          <w:pPr>
            <w:pStyle w:val="Header"/>
            <w:spacing w:line="276" w:lineRule="auto"/>
            <w:rPr>
              <w:rFonts w:ascii="Calibri" w:eastAsia="MS Gothic" w:hAnsi="Calibri"/>
              <w:b/>
              <w:bCs/>
              <w:color w:val="4F81BD"/>
            </w:rPr>
          </w:pPr>
        </w:p>
      </w:tc>
      <w:tc>
        <w:tcPr>
          <w:tcW w:w="0" w:type="auto"/>
          <w:vMerge/>
          <w:vAlign w:val="center"/>
        </w:tcPr>
        <w:p w:rsidR="00FA6936" w:rsidRPr="005A3173" w:rsidRDefault="00FA6936" w:rsidP="005A3173">
          <w:pPr>
            <w:rPr>
              <w:rFonts w:ascii="Calibri" w:hAnsi="Calibri"/>
              <w:color w:val="365F91"/>
            </w:rPr>
          </w:pPr>
        </w:p>
      </w:tc>
      <w:tc>
        <w:tcPr>
          <w:tcW w:w="2250" w:type="pct"/>
          <w:tcBorders>
            <w:top w:val="single" w:sz="4" w:space="0" w:color="4F81BD"/>
            <w:left w:val="nil"/>
            <w:bottom w:val="nil"/>
            <w:right w:val="nil"/>
          </w:tcBorders>
        </w:tcPr>
        <w:p w:rsidR="00FA6936" w:rsidRPr="001D7574" w:rsidRDefault="00FA693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0A0" w:firstRow="1" w:lastRow="0" w:firstColumn="1" w:lastColumn="0" w:noHBand="0" w:noVBand="0"/>
    </w:tblPr>
    <w:tblGrid>
      <w:gridCol w:w="3995"/>
      <w:gridCol w:w="1252"/>
      <w:gridCol w:w="3995"/>
    </w:tblGrid>
    <w:tr w:rsidR="00FA6936" w:rsidTr="005A3173">
      <w:trPr>
        <w:trHeight w:val="151"/>
      </w:trPr>
      <w:tc>
        <w:tcPr>
          <w:tcW w:w="2250" w:type="pct"/>
          <w:tcBorders>
            <w:top w:val="nil"/>
            <w:left w:val="nil"/>
            <w:bottom w:val="single" w:sz="4" w:space="0" w:color="4F81BD"/>
            <w:right w:val="nil"/>
          </w:tcBorders>
        </w:tcPr>
        <w:p w:rsidR="00FA6936" w:rsidRPr="001D7574" w:rsidRDefault="00FA6936" w:rsidP="005A3173">
          <w:pPr>
            <w:pStyle w:val="Header"/>
            <w:spacing w:line="276" w:lineRule="auto"/>
            <w:rPr>
              <w:rFonts w:ascii="Calibri" w:eastAsia="MS Gothic" w:hAnsi="Calibri"/>
              <w:b/>
              <w:bCs/>
              <w:color w:val="4F81BD"/>
            </w:rPr>
          </w:pPr>
        </w:p>
      </w:tc>
      <w:tc>
        <w:tcPr>
          <w:tcW w:w="500" w:type="pct"/>
          <w:vMerge w:val="restart"/>
          <w:noWrap/>
          <w:vAlign w:val="center"/>
        </w:tcPr>
        <w:p w:rsidR="00FA6936" w:rsidRPr="005A3173" w:rsidRDefault="00FA6936" w:rsidP="005A3173">
          <w:pPr>
            <w:pStyle w:val="MediumGrid21"/>
            <w:spacing w:line="276" w:lineRule="auto"/>
            <w:rPr>
              <w:rFonts w:ascii="Calibri" w:hAnsi="Calibri"/>
              <w:color w:val="365F91"/>
              <w:lang w:eastAsia="en-US"/>
            </w:rPr>
          </w:pPr>
          <w:r w:rsidRPr="005A3173">
            <w:rPr>
              <w:rFonts w:ascii="Cambria" w:hAnsi="Cambria"/>
              <w:color w:val="365F91"/>
              <w:lang w:eastAsia="en-US"/>
            </w:rPr>
            <w:t>[Type text]</w:t>
          </w:r>
        </w:p>
      </w:tc>
      <w:tc>
        <w:tcPr>
          <w:tcW w:w="2250" w:type="pct"/>
          <w:tcBorders>
            <w:top w:val="nil"/>
            <w:left w:val="nil"/>
            <w:bottom w:val="single" w:sz="4" w:space="0" w:color="4F81BD"/>
            <w:right w:val="nil"/>
          </w:tcBorders>
        </w:tcPr>
        <w:p w:rsidR="00FA6936" w:rsidRPr="001D7574" w:rsidRDefault="00FA6936" w:rsidP="005A3173">
          <w:pPr>
            <w:pStyle w:val="Header"/>
            <w:spacing w:line="276" w:lineRule="auto"/>
            <w:rPr>
              <w:rFonts w:ascii="Calibri" w:eastAsia="MS Gothic" w:hAnsi="Calibri"/>
              <w:b/>
              <w:bCs/>
              <w:color w:val="4F81BD"/>
            </w:rPr>
          </w:pPr>
        </w:p>
      </w:tc>
    </w:tr>
    <w:tr w:rsidR="00FA6936" w:rsidTr="005A3173">
      <w:trPr>
        <w:trHeight w:val="150"/>
      </w:trPr>
      <w:tc>
        <w:tcPr>
          <w:tcW w:w="2250" w:type="pct"/>
          <w:tcBorders>
            <w:top w:val="single" w:sz="4" w:space="0" w:color="4F81BD"/>
            <w:left w:val="nil"/>
            <w:bottom w:val="nil"/>
            <w:right w:val="nil"/>
          </w:tcBorders>
        </w:tcPr>
        <w:p w:rsidR="00FA6936" w:rsidRPr="001D7574" w:rsidRDefault="00FA6936" w:rsidP="005A3173">
          <w:pPr>
            <w:pStyle w:val="Header"/>
            <w:spacing w:line="276" w:lineRule="auto"/>
            <w:rPr>
              <w:rFonts w:ascii="Calibri" w:eastAsia="MS Gothic" w:hAnsi="Calibri"/>
              <w:b/>
              <w:bCs/>
              <w:color w:val="4F81BD"/>
            </w:rPr>
          </w:pPr>
        </w:p>
      </w:tc>
      <w:tc>
        <w:tcPr>
          <w:tcW w:w="0" w:type="auto"/>
          <w:vMerge/>
          <w:vAlign w:val="center"/>
        </w:tcPr>
        <w:p w:rsidR="00FA6936" w:rsidRPr="005A3173" w:rsidRDefault="00FA6936" w:rsidP="005A3173">
          <w:pPr>
            <w:rPr>
              <w:rFonts w:ascii="Calibri" w:hAnsi="Calibri"/>
              <w:color w:val="365F91"/>
            </w:rPr>
          </w:pPr>
        </w:p>
      </w:tc>
      <w:tc>
        <w:tcPr>
          <w:tcW w:w="2250" w:type="pct"/>
          <w:tcBorders>
            <w:top w:val="single" w:sz="4" w:space="0" w:color="4F81BD"/>
            <w:left w:val="nil"/>
            <w:bottom w:val="nil"/>
            <w:right w:val="nil"/>
          </w:tcBorders>
        </w:tcPr>
        <w:p w:rsidR="00FA6936" w:rsidRPr="001D7574" w:rsidRDefault="00FA6936" w:rsidP="005A3173">
          <w:pPr>
            <w:pStyle w:val="Header"/>
            <w:spacing w:line="276" w:lineRule="auto"/>
            <w:rPr>
              <w:rFonts w:ascii="Calibri" w:eastAsia="MS Gothic" w:hAnsi="Calibri"/>
              <w:b/>
              <w:bCs/>
              <w:color w:val="4F81BD"/>
            </w:rPr>
          </w:pPr>
        </w:p>
      </w:tc>
    </w:tr>
  </w:tbl>
  <w:p w:rsidR="00FA6936" w:rsidRPr="007C0F57" w:rsidRDefault="00FA693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A6936" w:rsidRPr="007C0F57" w:rsidRDefault="00FA6936"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936" w:rsidRDefault="00FA6936">
      <w:r>
        <w:separator/>
      </w:r>
    </w:p>
  </w:footnote>
  <w:footnote w:type="continuationSeparator" w:id="0">
    <w:p w:rsidR="00FA6936" w:rsidRDefault="00FA6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0A0" w:firstRow="1" w:lastRow="0" w:firstColumn="1" w:lastColumn="0" w:noHBand="0" w:noVBand="0"/>
    </w:tblPr>
    <w:tblGrid>
      <w:gridCol w:w="4038"/>
      <w:gridCol w:w="1252"/>
      <w:gridCol w:w="3836"/>
    </w:tblGrid>
    <w:tr w:rsidR="00FA6936" w:rsidRPr="008E0D90" w:rsidTr="00A06225">
      <w:trPr>
        <w:trHeight w:val="151"/>
      </w:trPr>
      <w:tc>
        <w:tcPr>
          <w:tcW w:w="2389" w:type="pct"/>
          <w:tcBorders>
            <w:top w:val="nil"/>
            <w:left w:val="nil"/>
            <w:bottom w:val="single" w:sz="4" w:space="0" w:color="4F81BD"/>
            <w:right w:val="nil"/>
          </w:tcBorders>
        </w:tcPr>
        <w:p w:rsidR="00FA6936" w:rsidRPr="001D7574" w:rsidRDefault="00FA6936">
          <w:pPr>
            <w:pStyle w:val="Header"/>
            <w:spacing w:line="276" w:lineRule="auto"/>
            <w:rPr>
              <w:rFonts w:ascii="Cambria" w:eastAsia="MS Gothic" w:hAnsi="Cambria"/>
              <w:b/>
              <w:bCs/>
              <w:color w:val="4F81BD"/>
            </w:rPr>
          </w:pPr>
        </w:p>
      </w:tc>
      <w:tc>
        <w:tcPr>
          <w:tcW w:w="333" w:type="pct"/>
          <w:vMerge w:val="restart"/>
          <w:noWrap/>
          <w:vAlign w:val="center"/>
        </w:tcPr>
        <w:p w:rsidR="00FA6936" w:rsidRPr="00A06225" w:rsidRDefault="00FA6936" w:rsidP="00A06225">
          <w:pPr>
            <w:pStyle w:val="MediumGrid21"/>
            <w:rPr>
              <w:rFonts w:ascii="Cambria" w:hAnsi="Cambria"/>
              <w:color w:val="4F81BD"/>
              <w:szCs w:val="20"/>
              <w:lang w:eastAsia="en-US"/>
            </w:rPr>
          </w:pPr>
          <w:r w:rsidRPr="00A06225">
            <w:rPr>
              <w:rFonts w:ascii="Cambria" w:hAnsi="Cambria"/>
              <w:color w:val="4F81BD"/>
              <w:lang w:eastAsia="en-US"/>
            </w:rPr>
            <w:t>[Type text]</w:t>
          </w:r>
        </w:p>
      </w:tc>
      <w:tc>
        <w:tcPr>
          <w:tcW w:w="2278" w:type="pct"/>
          <w:tcBorders>
            <w:top w:val="nil"/>
            <w:left w:val="nil"/>
            <w:bottom w:val="single" w:sz="4" w:space="0" w:color="4F81BD"/>
            <w:right w:val="nil"/>
          </w:tcBorders>
        </w:tcPr>
        <w:p w:rsidR="00FA6936" w:rsidRPr="001D7574" w:rsidRDefault="00FA6936">
          <w:pPr>
            <w:pStyle w:val="Header"/>
            <w:spacing w:line="276" w:lineRule="auto"/>
            <w:rPr>
              <w:rFonts w:ascii="Cambria" w:eastAsia="MS Gothic" w:hAnsi="Cambria"/>
              <w:b/>
              <w:bCs/>
              <w:color w:val="4F81BD"/>
            </w:rPr>
          </w:pPr>
        </w:p>
      </w:tc>
    </w:tr>
    <w:tr w:rsidR="00FA6936" w:rsidRPr="008E0D90" w:rsidTr="00A06225">
      <w:trPr>
        <w:trHeight w:val="150"/>
      </w:trPr>
      <w:tc>
        <w:tcPr>
          <w:tcW w:w="2389" w:type="pct"/>
          <w:tcBorders>
            <w:top w:val="single" w:sz="4" w:space="0" w:color="4F81BD"/>
            <w:left w:val="nil"/>
            <w:bottom w:val="nil"/>
            <w:right w:val="nil"/>
          </w:tcBorders>
        </w:tcPr>
        <w:p w:rsidR="00FA6936" w:rsidRPr="001D7574" w:rsidRDefault="00FA6936">
          <w:pPr>
            <w:pStyle w:val="Header"/>
            <w:spacing w:line="276" w:lineRule="auto"/>
            <w:rPr>
              <w:rFonts w:ascii="Cambria" w:eastAsia="MS Gothic" w:hAnsi="Cambria"/>
              <w:b/>
              <w:bCs/>
              <w:color w:val="4F81BD"/>
            </w:rPr>
          </w:pPr>
        </w:p>
      </w:tc>
      <w:tc>
        <w:tcPr>
          <w:tcW w:w="0" w:type="auto"/>
          <w:vMerge/>
          <w:vAlign w:val="center"/>
        </w:tcPr>
        <w:p w:rsidR="00FA6936" w:rsidRPr="00A06225" w:rsidRDefault="00FA6936">
          <w:pPr>
            <w:rPr>
              <w:rFonts w:ascii="Cambria" w:hAnsi="Cambria"/>
              <w:color w:val="4F81BD"/>
            </w:rPr>
          </w:pPr>
        </w:p>
      </w:tc>
      <w:tc>
        <w:tcPr>
          <w:tcW w:w="2278" w:type="pct"/>
          <w:tcBorders>
            <w:top w:val="single" w:sz="4" w:space="0" w:color="4F81BD"/>
            <w:left w:val="nil"/>
            <w:bottom w:val="nil"/>
            <w:right w:val="nil"/>
          </w:tcBorders>
        </w:tcPr>
        <w:p w:rsidR="00FA6936" w:rsidRPr="001D7574" w:rsidRDefault="00FA6936">
          <w:pPr>
            <w:pStyle w:val="Header"/>
            <w:spacing w:line="276" w:lineRule="auto"/>
            <w:rPr>
              <w:rFonts w:ascii="Cambria" w:eastAsia="MS Gothic" w:hAnsi="Cambria"/>
              <w:b/>
              <w:bCs/>
              <w:color w:val="4F81BD"/>
            </w:rPr>
          </w:pPr>
        </w:p>
      </w:tc>
    </w:tr>
  </w:tbl>
  <w:p w:rsidR="00FA6936" w:rsidRDefault="00FA69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936" w:rsidRPr="00DF217D" w:rsidRDefault="00FA6936" w:rsidP="00C63AEC">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FA6936" w:rsidRPr="00DF217D" w:rsidRDefault="00FA6936"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045279"/>
    <w:multiLevelType w:val="hybridMultilevel"/>
    <w:tmpl w:val="165E5B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BBB2DED"/>
    <w:multiLevelType w:val="hybridMultilevel"/>
    <w:tmpl w:val="404E68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hint="default"/>
      </w:rPr>
    </w:lvl>
    <w:lvl w:ilvl="1" w:tplc="0C090003" w:tentative="1">
      <w:start w:val="1"/>
      <w:numFmt w:val="bullet"/>
      <w:lvlText w:val="o"/>
      <w:lvlJc w:val="left"/>
      <w:pPr>
        <w:ind w:left="1860" w:hanging="360"/>
      </w:pPr>
      <w:rPr>
        <w:rFonts w:ascii="Courier New" w:hAnsi="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cs="Times New Roman" w:hint="default"/>
        <w:b w:val="0"/>
      </w:rPr>
    </w:lvl>
    <w:lvl w:ilvl="1" w:tplc="D0EC86D2" w:tentative="1">
      <w:start w:val="1"/>
      <w:numFmt w:val="lowerLetter"/>
      <w:lvlText w:val="%2."/>
      <w:lvlJc w:val="left"/>
      <w:pPr>
        <w:tabs>
          <w:tab w:val="num" w:pos="1440"/>
        </w:tabs>
        <w:ind w:left="1440" w:hanging="360"/>
      </w:pPr>
      <w:rPr>
        <w:rFonts w:cs="Times New Roman"/>
      </w:rPr>
    </w:lvl>
    <w:lvl w:ilvl="2" w:tplc="8D14A0C2" w:tentative="1">
      <w:start w:val="1"/>
      <w:numFmt w:val="lowerRoman"/>
      <w:lvlText w:val="%3."/>
      <w:lvlJc w:val="right"/>
      <w:pPr>
        <w:tabs>
          <w:tab w:val="num" w:pos="2160"/>
        </w:tabs>
        <w:ind w:left="2160" w:hanging="180"/>
      </w:pPr>
      <w:rPr>
        <w:rFonts w:cs="Times New Roman"/>
      </w:rPr>
    </w:lvl>
    <w:lvl w:ilvl="3" w:tplc="C4BE3906" w:tentative="1">
      <w:start w:val="1"/>
      <w:numFmt w:val="decimal"/>
      <w:lvlText w:val="%4."/>
      <w:lvlJc w:val="left"/>
      <w:pPr>
        <w:tabs>
          <w:tab w:val="num" w:pos="2880"/>
        </w:tabs>
        <w:ind w:left="2880" w:hanging="360"/>
      </w:pPr>
      <w:rPr>
        <w:rFonts w:cs="Times New Roman"/>
      </w:rPr>
    </w:lvl>
    <w:lvl w:ilvl="4" w:tplc="1D220490" w:tentative="1">
      <w:start w:val="1"/>
      <w:numFmt w:val="lowerLetter"/>
      <w:lvlText w:val="%5."/>
      <w:lvlJc w:val="left"/>
      <w:pPr>
        <w:tabs>
          <w:tab w:val="num" w:pos="3600"/>
        </w:tabs>
        <w:ind w:left="3600" w:hanging="360"/>
      </w:pPr>
      <w:rPr>
        <w:rFonts w:cs="Times New Roman"/>
      </w:rPr>
    </w:lvl>
    <w:lvl w:ilvl="5" w:tplc="676CFA04" w:tentative="1">
      <w:start w:val="1"/>
      <w:numFmt w:val="lowerRoman"/>
      <w:lvlText w:val="%6."/>
      <w:lvlJc w:val="right"/>
      <w:pPr>
        <w:tabs>
          <w:tab w:val="num" w:pos="4320"/>
        </w:tabs>
        <w:ind w:left="4320" w:hanging="180"/>
      </w:pPr>
      <w:rPr>
        <w:rFonts w:cs="Times New Roman"/>
      </w:rPr>
    </w:lvl>
    <w:lvl w:ilvl="6" w:tplc="0558725C" w:tentative="1">
      <w:start w:val="1"/>
      <w:numFmt w:val="decimal"/>
      <w:lvlText w:val="%7."/>
      <w:lvlJc w:val="left"/>
      <w:pPr>
        <w:tabs>
          <w:tab w:val="num" w:pos="5040"/>
        </w:tabs>
        <w:ind w:left="5040" w:hanging="360"/>
      </w:pPr>
      <w:rPr>
        <w:rFonts w:cs="Times New Roman"/>
      </w:rPr>
    </w:lvl>
    <w:lvl w:ilvl="7" w:tplc="ADE47330" w:tentative="1">
      <w:start w:val="1"/>
      <w:numFmt w:val="lowerLetter"/>
      <w:lvlText w:val="%8."/>
      <w:lvlJc w:val="left"/>
      <w:pPr>
        <w:tabs>
          <w:tab w:val="num" w:pos="5760"/>
        </w:tabs>
        <w:ind w:left="5760" w:hanging="360"/>
      </w:pPr>
      <w:rPr>
        <w:rFonts w:cs="Times New Roman"/>
      </w:rPr>
    </w:lvl>
    <w:lvl w:ilvl="8" w:tplc="8346BE84" w:tentative="1">
      <w:start w:val="1"/>
      <w:numFmt w:val="lowerRoman"/>
      <w:lvlText w:val="%9."/>
      <w:lvlJc w:val="right"/>
      <w:pPr>
        <w:tabs>
          <w:tab w:val="num" w:pos="6480"/>
        </w:tabs>
        <w:ind w:left="6480" w:hanging="180"/>
      </w:pPr>
      <w:rPr>
        <w:rFonts w:cs="Times New Roman"/>
      </w:rPr>
    </w:lvl>
  </w:abstractNum>
  <w:abstractNum w:abstractNumId="9">
    <w:nsid w:val="19811D5E"/>
    <w:multiLevelType w:val="hybridMultilevel"/>
    <w:tmpl w:val="C2E8F05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272B511A"/>
    <w:multiLevelType w:val="hybridMultilevel"/>
    <w:tmpl w:val="381AB00E"/>
    <w:lvl w:ilvl="0" w:tplc="8E5CF8CC">
      <w:start w:val="1"/>
      <w:numFmt w:val="decimal"/>
      <w:lvlText w:val="%1."/>
      <w:lvlJc w:val="left"/>
      <w:pPr>
        <w:ind w:left="502" w:hanging="360"/>
      </w:pPr>
      <w:rPr>
        <w:rFonts w:cs="Times New Roman" w:hint="default"/>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15">
    <w:nsid w:val="292F2AAF"/>
    <w:multiLevelType w:val="hybridMultilevel"/>
    <w:tmpl w:val="63D8E72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94AD6"/>
    <w:multiLevelType w:val="hybridMultilevel"/>
    <w:tmpl w:val="7DB4DC82"/>
    <w:lvl w:ilvl="0" w:tplc="22B017EA">
      <w:start w:val="1"/>
      <w:numFmt w:val="decimal"/>
      <w:lvlText w:val="%1."/>
      <w:lvlJc w:val="left"/>
      <w:pPr>
        <w:tabs>
          <w:tab w:val="num" w:pos="1080"/>
        </w:tabs>
        <w:ind w:left="1080" w:hanging="720"/>
      </w:pPr>
      <w:rPr>
        <w:rFonts w:cs="Times New Roman"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rPr>
        <w:rFonts w:cs="Times New Roman"/>
      </w:rPr>
    </w:lvl>
    <w:lvl w:ilvl="3" w:tplc="4C4A2488" w:tentative="1">
      <w:start w:val="1"/>
      <w:numFmt w:val="decimal"/>
      <w:lvlText w:val="%4."/>
      <w:lvlJc w:val="left"/>
      <w:pPr>
        <w:tabs>
          <w:tab w:val="num" w:pos="2880"/>
        </w:tabs>
        <w:ind w:left="2880" w:hanging="360"/>
      </w:pPr>
      <w:rPr>
        <w:rFonts w:cs="Times New Roman"/>
      </w:rPr>
    </w:lvl>
    <w:lvl w:ilvl="4" w:tplc="E2046DE8" w:tentative="1">
      <w:start w:val="1"/>
      <w:numFmt w:val="lowerLetter"/>
      <w:lvlText w:val="%5."/>
      <w:lvlJc w:val="left"/>
      <w:pPr>
        <w:tabs>
          <w:tab w:val="num" w:pos="3600"/>
        </w:tabs>
        <w:ind w:left="3600" w:hanging="360"/>
      </w:pPr>
      <w:rPr>
        <w:rFonts w:cs="Times New Roman"/>
      </w:rPr>
    </w:lvl>
    <w:lvl w:ilvl="5" w:tplc="FC2E3076" w:tentative="1">
      <w:start w:val="1"/>
      <w:numFmt w:val="lowerRoman"/>
      <w:lvlText w:val="%6."/>
      <w:lvlJc w:val="right"/>
      <w:pPr>
        <w:tabs>
          <w:tab w:val="num" w:pos="4320"/>
        </w:tabs>
        <w:ind w:left="4320" w:hanging="180"/>
      </w:pPr>
      <w:rPr>
        <w:rFonts w:cs="Times New Roman"/>
      </w:rPr>
    </w:lvl>
    <w:lvl w:ilvl="6" w:tplc="7C7E4D22" w:tentative="1">
      <w:start w:val="1"/>
      <w:numFmt w:val="decimal"/>
      <w:lvlText w:val="%7."/>
      <w:lvlJc w:val="left"/>
      <w:pPr>
        <w:tabs>
          <w:tab w:val="num" w:pos="5040"/>
        </w:tabs>
        <w:ind w:left="5040" w:hanging="360"/>
      </w:pPr>
      <w:rPr>
        <w:rFonts w:cs="Times New Roman"/>
      </w:rPr>
    </w:lvl>
    <w:lvl w:ilvl="7" w:tplc="8A88F2DA" w:tentative="1">
      <w:start w:val="1"/>
      <w:numFmt w:val="lowerLetter"/>
      <w:lvlText w:val="%8."/>
      <w:lvlJc w:val="left"/>
      <w:pPr>
        <w:tabs>
          <w:tab w:val="num" w:pos="5760"/>
        </w:tabs>
        <w:ind w:left="5760" w:hanging="360"/>
      </w:pPr>
      <w:rPr>
        <w:rFonts w:cs="Times New Roman"/>
      </w:rPr>
    </w:lvl>
    <w:lvl w:ilvl="8" w:tplc="4BF21BD6" w:tentative="1">
      <w:start w:val="1"/>
      <w:numFmt w:val="lowerRoman"/>
      <w:lvlText w:val="%9."/>
      <w:lvlJc w:val="right"/>
      <w:pPr>
        <w:tabs>
          <w:tab w:val="num" w:pos="6480"/>
        </w:tabs>
        <w:ind w:left="6480" w:hanging="180"/>
      </w:pPr>
      <w:rPr>
        <w:rFonts w:cs="Times New Roman"/>
      </w:rPr>
    </w:lvl>
  </w:abstractNum>
  <w:abstractNum w:abstractNumId="18">
    <w:nsid w:val="399D6F35"/>
    <w:multiLevelType w:val="hybridMultilevel"/>
    <w:tmpl w:val="26586E3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0">
    <w:nsid w:val="3D0D5913"/>
    <w:multiLevelType w:val="hybridMultilevel"/>
    <w:tmpl w:val="DB7C9EEC"/>
    <w:lvl w:ilvl="0" w:tplc="01B82BD6">
      <w:start w:val="1"/>
      <w:numFmt w:val="lowerLetter"/>
      <w:lvlText w:val="%1)"/>
      <w:lvlJc w:val="left"/>
      <w:pPr>
        <w:tabs>
          <w:tab w:val="num" w:pos="720"/>
        </w:tabs>
        <w:ind w:left="720" w:hanging="360"/>
      </w:pPr>
      <w:rPr>
        <w:rFonts w:cs="Times New Roman" w:hint="default"/>
      </w:rPr>
    </w:lvl>
    <w:lvl w:ilvl="1" w:tplc="0DA0F9B6" w:tentative="1">
      <w:start w:val="1"/>
      <w:numFmt w:val="lowerLetter"/>
      <w:lvlText w:val="%2."/>
      <w:lvlJc w:val="left"/>
      <w:pPr>
        <w:tabs>
          <w:tab w:val="num" w:pos="1440"/>
        </w:tabs>
        <w:ind w:left="1440" w:hanging="360"/>
      </w:pPr>
      <w:rPr>
        <w:rFonts w:cs="Times New Roman"/>
      </w:rPr>
    </w:lvl>
    <w:lvl w:ilvl="2" w:tplc="6028710A" w:tentative="1">
      <w:start w:val="1"/>
      <w:numFmt w:val="lowerRoman"/>
      <w:lvlText w:val="%3."/>
      <w:lvlJc w:val="right"/>
      <w:pPr>
        <w:tabs>
          <w:tab w:val="num" w:pos="2160"/>
        </w:tabs>
        <w:ind w:left="2160" w:hanging="180"/>
      </w:pPr>
      <w:rPr>
        <w:rFonts w:cs="Times New Roman"/>
      </w:rPr>
    </w:lvl>
    <w:lvl w:ilvl="3" w:tplc="1FD486B0" w:tentative="1">
      <w:start w:val="1"/>
      <w:numFmt w:val="decimal"/>
      <w:lvlText w:val="%4."/>
      <w:lvlJc w:val="left"/>
      <w:pPr>
        <w:tabs>
          <w:tab w:val="num" w:pos="2880"/>
        </w:tabs>
        <w:ind w:left="2880" w:hanging="360"/>
      </w:pPr>
      <w:rPr>
        <w:rFonts w:cs="Times New Roman"/>
      </w:rPr>
    </w:lvl>
    <w:lvl w:ilvl="4" w:tplc="9BE2B8D4" w:tentative="1">
      <w:start w:val="1"/>
      <w:numFmt w:val="lowerLetter"/>
      <w:lvlText w:val="%5."/>
      <w:lvlJc w:val="left"/>
      <w:pPr>
        <w:tabs>
          <w:tab w:val="num" w:pos="3600"/>
        </w:tabs>
        <w:ind w:left="3600" w:hanging="360"/>
      </w:pPr>
      <w:rPr>
        <w:rFonts w:cs="Times New Roman"/>
      </w:rPr>
    </w:lvl>
    <w:lvl w:ilvl="5" w:tplc="43E8AAE6" w:tentative="1">
      <w:start w:val="1"/>
      <w:numFmt w:val="lowerRoman"/>
      <w:lvlText w:val="%6."/>
      <w:lvlJc w:val="right"/>
      <w:pPr>
        <w:tabs>
          <w:tab w:val="num" w:pos="4320"/>
        </w:tabs>
        <w:ind w:left="4320" w:hanging="180"/>
      </w:pPr>
      <w:rPr>
        <w:rFonts w:cs="Times New Roman"/>
      </w:rPr>
    </w:lvl>
    <w:lvl w:ilvl="6" w:tplc="BEA67336" w:tentative="1">
      <w:start w:val="1"/>
      <w:numFmt w:val="decimal"/>
      <w:lvlText w:val="%7."/>
      <w:lvlJc w:val="left"/>
      <w:pPr>
        <w:tabs>
          <w:tab w:val="num" w:pos="5040"/>
        </w:tabs>
        <w:ind w:left="5040" w:hanging="360"/>
      </w:pPr>
      <w:rPr>
        <w:rFonts w:cs="Times New Roman"/>
      </w:rPr>
    </w:lvl>
    <w:lvl w:ilvl="7" w:tplc="3ACE5E54" w:tentative="1">
      <w:start w:val="1"/>
      <w:numFmt w:val="lowerLetter"/>
      <w:lvlText w:val="%8."/>
      <w:lvlJc w:val="left"/>
      <w:pPr>
        <w:tabs>
          <w:tab w:val="num" w:pos="5760"/>
        </w:tabs>
        <w:ind w:left="5760" w:hanging="360"/>
      </w:pPr>
      <w:rPr>
        <w:rFonts w:cs="Times New Roman"/>
      </w:rPr>
    </w:lvl>
    <w:lvl w:ilvl="8" w:tplc="53A2C09C" w:tentative="1">
      <w:start w:val="1"/>
      <w:numFmt w:val="lowerRoman"/>
      <w:lvlText w:val="%9."/>
      <w:lvlJc w:val="right"/>
      <w:pPr>
        <w:tabs>
          <w:tab w:val="num" w:pos="6480"/>
        </w:tabs>
        <w:ind w:left="6480" w:hanging="180"/>
      </w:pPr>
      <w:rPr>
        <w:rFonts w:cs="Times New Roman"/>
      </w:r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FCC14D5"/>
    <w:multiLevelType w:val="hybridMultilevel"/>
    <w:tmpl w:val="72827708"/>
    <w:lvl w:ilvl="0" w:tplc="0D527340">
      <w:start w:val="1"/>
      <w:numFmt w:val="decimal"/>
      <w:lvlText w:val="%1."/>
      <w:lvlJc w:val="left"/>
      <w:pPr>
        <w:tabs>
          <w:tab w:val="num" w:pos="360"/>
        </w:tabs>
        <w:ind w:left="360" w:hanging="360"/>
      </w:pPr>
      <w:rPr>
        <w:rFonts w:cs="Times New Roman"/>
        <w:color w:val="auto"/>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nsid w:val="51822598"/>
    <w:multiLevelType w:val="multilevel"/>
    <w:tmpl w:val="A87079A4"/>
    <w:lvl w:ilvl="0">
      <w:start w:val="1"/>
      <w:numFmt w:val="lowerLetter"/>
      <w:lvlText w:val="(%1)"/>
      <w:lvlJc w:val="left"/>
      <w:pPr>
        <w:ind w:left="1788" w:hanging="795"/>
      </w:pPr>
      <w:rPr>
        <w:rFonts w:cs="Times New Roman" w:hint="default"/>
      </w:rPr>
    </w:lvl>
    <w:lvl w:ilvl="1" w:tentative="1">
      <w:start w:val="1"/>
      <w:numFmt w:val="lowerLetter"/>
      <w:lvlText w:val="%2."/>
      <w:lvlJc w:val="left"/>
      <w:pPr>
        <w:ind w:left="2073" w:hanging="360"/>
      </w:pPr>
      <w:rPr>
        <w:rFonts w:cs="Times New Roman"/>
      </w:rPr>
    </w:lvl>
    <w:lvl w:ilvl="2" w:tentative="1">
      <w:start w:val="1"/>
      <w:numFmt w:val="lowerRoman"/>
      <w:lvlText w:val="%3."/>
      <w:lvlJc w:val="right"/>
      <w:pPr>
        <w:ind w:left="2793" w:hanging="180"/>
      </w:pPr>
      <w:rPr>
        <w:rFonts w:cs="Times New Roman"/>
      </w:rPr>
    </w:lvl>
    <w:lvl w:ilvl="3" w:tentative="1">
      <w:start w:val="1"/>
      <w:numFmt w:val="decimal"/>
      <w:lvlText w:val="%4."/>
      <w:lvlJc w:val="left"/>
      <w:pPr>
        <w:ind w:left="3513" w:hanging="360"/>
      </w:pPr>
      <w:rPr>
        <w:rFonts w:cs="Times New Roman"/>
      </w:rPr>
    </w:lvl>
    <w:lvl w:ilvl="4" w:tentative="1">
      <w:start w:val="1"/>
      <w:numFmt w:val="lowerLetter"/>
      <w:lvlText w:val="%5."/>
      <w:lvlJc w:val="left"/>
      <w:pPr>
        <w:ind w:left="4233" w:hanging="360"/>
      </w:pPr>
      <w:rPr>
        <w:rFonts w:cs="Times New Roman"/>
      </w:rPr>
    </w:lvl>
    <w:lvl w:ilvl="5" w:tentative="1">
      <w:start w:val="1"/>
      <w:numFmt w:val="lowerRoman"/>
      <w:lvlText w:val="%6."/>
      <w:lvlJc w:val="right"/>
      <w:pPr>
        <w:ind w:left="4953" w:hanging="180"/>
      </w:pPr>
      <w:rPr>
        <w:rFonts w:cs="Times New Roman"/>
      </w:rPr>
    </w:lvl>
    <w:lvl w:ilvl="6" w:tentative="1">
      <w:start w:val="1"/>
      <w:numFmt w:val="decimal"/>
      <w:lvlText w:val="%7."/>
      <w:lvlJc w:val="left"/>
      <w:pPr>
        <w:ind w:left="5673" w:hanging="360"/>
      </w:pPr>
      <w:rPr>
        <w:rFonts w:cs="Times New Roman"/>
      </w:rPr>
    </w:lvl>
    <w:lvl w:ilvl="7" w:tentative="1">
      <w:start w:val="1"/>
      <w:numFmt w:val="lowerLetter"/>
      <w:lvlText w:val="%8."/>
      <w:lvlJc w:val="left"/>
      <w:pPr>
        <w:ind w:left="6393" w:hanging="360"/>
      </w:pPr>
      <w:rPr>
        <w:rFonts w:cs="Times New Roman"/>
      </w:rPr>
    </w:lvl>
    <w:lvl w:ilvl="8" w:tentative="1">
      <w:start w:val="1"/>
      <w:numFmt w:val="lowerRoman"/>
      <w:lvlText w:val="%9."/>
      <w:lvlJc w:val="right"/>
      <w:pPr>
        <w:ind w:left="7113" w:hanging="180"/>
      </w:pPr>
      <w:rPr>
        <w:rFonts w:cs="Times New Roman"/>
      </w:rPr>
    </w:lvl>
  </w:abstractNum>
  <w:abstractNum w:abstractNumId="26">
    <w:nsid w:val="51CF3102"/>
    <w:multiLevelType w:val="hybridMultilevel"/>
    <w:tmpl w:val="A8D09DBA"/>
    <w:lvl w:ilvl="0" w:tplc="5D4EED54">
      <w:numFmt w:val="bullet"/>
      <w:lvlText w:val="-"/>
      <w:lvlJc w:val="left"/>
      <w:pPr>
        <w:ind w:left="1849" w:hanging="360"/>
      </w:pPr>
      <w:rPr>
        <w:rFonts w:ascii="Arial" w:eastAsia="Times New Roman" w:hAnsi="Aria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62D32C1"/>
    <w:multiLevelType w:val="hybridMultilevel"/>
    <w:tmpl w:val="B5CCE7EA"/>
    <w:lvl w:ilvl="0" w:tplc="A538F58C">
      <w:start w:val="1"/>
      <w:numFmt w:val="decimal"/>
      <w:lvlText w:val="%1."/>
      <w:lvlJc w:val="left"/>
      <w:pPr>
        <w:tabs>
          <w:tab w:val="num" w:pos="720"/>
        </w:tabs>
        <w:ind w:left="720" w:hanging="360"/>
      </w:pPr>
      <w:rPr>
        <w:rFonts w:cs="Times New Roman" w:hint="default"/>
        <w:i/>
        <w:color w:val="auto"/>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nsid w:val="59BC5196"/>
    <w:multiLevelType w:val="multilevel"/>
    <w:tmpl w:val="8C66A856"/>
    <w:lvl w:ilvl="0">
      <w:start w:val="6"/>
      <w:numFmt w:val="decimal"/>
      <w:lvlText w:val="%1"/>
      <w:lvlJc w:val="left"/>
      <w:pPr>
        <w:ind w:left="360" w:hanging="360"/>
      </w:pPr>
      <w:rPr>
        <w:rFonts w:cs="Times New Roman" w:hint="default"/>
        <w:i w:val="0"/>
      </w:rPr>
    </w:lvl>
    <w:lvl w:ilvl="1">
      <w:start w:val="1"/>
      <w:numFmt w:val="decimal"/>
      <w:lvlText w:val="%1.%2"/>
      <w:lvlJc w:val="left"/>
      <w:pPr>
        <w:ind w:left="107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0A7B60"/>
    <w:multiLevelType w:val="hybridMultilevel"/>
    <w:tmpl w:val="161C7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B905492"/>
    <w:multiLevelType w:val="hybridMultilevel"/>
    <w:tmpl w:val="2084D5D4"/>
    <w:lvl w:ilvl="0" w:tplc="513E3F20">
      <w:start w:val="4"/>
      <w:numFmt w:val="decimal"/>
      <w:lvlText w:val="%1."/>
      <w:lvlJc w:val="left"/>
      <w:pPr>
        <w:tabs>
          <w:tab w:val="num" w:pos="720"/>
        </w:tabs>
        <w:ind w:left="720" w:hanging="360"/>
      </w:pPr>
      <w:rPr>
        <w:rFonts w:cs="Times New Roman" w:hint="default"/>
      </w:rPr>
    </w:lvl>
    <w:lvl w:ilvl="1" w:tplc="02E6A8EE" w:tentative="1">
      <w:start w:val="1"/>
      <w:numFmt w:val="lowerLetter"/>
      <w:lvlText w:val="%2."/>
      <w:lvlJc w:val="left"/>
      <w:pPr>
        <w:tabs>
          <w:tab w:val="num" w:pos="1440"/>
        </w:tabs>
        <w:ind w:left="1440" w:hanging="360"/>
      </w:pPr>
      <w:rPr>
        <w:rFonts w:cs="Times New Roman"/>
      </w:rPr>
    </w:lvl>
    <w:lvl w:ilvl="2" w:tplc="59C2CD90" w:tentative="1">
      <w:start w:val="1"/>
      <w:numFmt w:val="lowerRoman"/>
      <w:lvlText w:val="%3."/>
      <w:lvlJc w:val="right"/>
      <w:pPr>
        <w:tabs>
          <w:tab w:val="num" w:pos="2160"/>
        </w:tabs>
        <w:ind w:left="2160" w:hanging="180"/>
      </w:pPr>
      <w:rPr>
        <w:rFonts w:cs="Times New Roman"/>
      </w:rPr>
    </w:lvl>
    <w:lvl w:ilvl="3" w:tplc="B706D67C" w:tentative="1">
      <w:start w:val="1"/>
      <w:numFmt w:val="decimal"/>
      <w:lvlText w:val="%4."/>
      <w:lvlJc w:val="left"/>
      <w:pPr>
        <w:tabs>
          <w:tab w:val="num" w:pos="2880"/>
        </w:tabs>
        <w:ind w:left="2880" w:hanging="360"/>
      </w:pPr>
      <w:rPr>
        <w:rFonts w:cs="Times New Roman"/>
      </w:rPr>
    </w:lvl>
    <w:lvl w:ilvl="4" w:tplc="CF22E9E2" w:tentative="1">
      <w:start w:val="1"/>
      <w:numFmt w:val="lowerLetter"/>
      <w:lvlText w:val="%5."/>
      <w:lvlJc w:val="left"/>
      <w:pPr>
        <w:tabs>
          <w:tab w:val="num" w:pos="3600"/>
        </w:tabs>
        <w:ind w:left="3600" w:hanging="360"/>
      </w:pPr>
      <w:rPr>
        <w:rFonts w:cs="Times New Roman"/>
      </w:rPr>
    </w:lvl>
    <w:lvl w:ilvl="5" w:tplc="2FF2CB52" w:tentative="1">
      <w:start w:val="1"/>
      <w:numFmt w:val="lowerRoman"/>
      <w:lvlText w:val="%6."/>
      <w:lvlJc w:val="right"/>
      <w:pPr>
        <w:tabs>
          <w:tab w:val="num" w:pos="4320"/>
        </w:tabs>
        <w:ind w:left="4320" w:hanging="180"/>
      </w:pPr>
      <w:rPr>
        <w:rFonts w:cs="Times New Roman"/>
      </w:rPr>
    </w:lvl>
    <w:lvl w:ilvl="6" w:tplc="C0086DAC" w:tentative="1">
      <w:start w:val="1"/>
      <w:numFmt w:val="decimal"/>
      <w:lvlText w:val="%7."/>
      <w:lvlJc w:val="left"/>
      <w:pPr>
        <w:tabs>
          <w:tab w:val="num" w:pos="5040"/>
        </w:tabs>
        <w:ind w:left="5040" w:hanging="360"/>
      </w:pPr>
      <w:rPr>
        <w:rFonts w:cs="Times New Roman"/>
      </w:rPr>
    </w:lvl>
    <w:lvl w:ilvl="7" w:tplc="E192646A" w:tentative="1">
      <w:start w:val="1"/>
      <w:numFmt w:val="lowerLetter"/>
      <w:lvlText w:val="%8."/>
      <w:lvlJc w:val="left"/>
      <w:pPr>
        <w:tabs>
          <w:tab w:val="num" w:pos="5760"/>
        </w:tabs>
        <w:ind w:left="5760" w:hanging="360"/>
      </w:pPr>
      <w:rPr>
        <w:rFonts w:cs="Times New Roman"/>
      </w:rPr>
    </w:lvl>
    <w:lvl w:ilvl="8" w:tplc="A33818BA" w:tentative="1">
      <w:start w:val="1"/>
      <w:numFmt w:val="lowerRoman"/>
      <w:lvlText w:val="%9."/>
      <w:lvlJc w:val="right"/>
      <w:pPr>
        <w:tabs>
          <w:tab w:val="num" w:pos="6480"/>
        </w:tabs>
        <w:ind w:left="6480" w:hanging="180"/>
      </w:pPr>
      <w:rPr>
        <w:rFonts w:cs="Times New Roman"/>
      </w:rPr>
    </w:lvl>
  </w:abstractNum>
  <w:abstractNum w:abstractNumId="33">
    <w:nsid w:val="6BFD2205"/>
    <w:multiLevelType w:val="hybridMultilevel"/>
    <w:tmpl w:val="9A80B6BC"/>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6">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7">
    <w:nsid w:val="76346CBF"/>
    <w:multiLevelType w:val="hybridMultilevel"/>
    <w:tmpl w:val="A87079A4"/>
    <w:lvl w:ilvl="0" w:tplc="0DBC61CE">
      <w:start w:val="1"/>
      <w:numFmt w:val="lowerLetter"/>
      <w:lvlText w:val="(%1)"/>
      <w:lvlJc w:val="left"/>
      <w:pPr>
        <w:ind w:left="1788" w:hanging="795"/>
      </w:pPr>
      <w:rPr>
        <w:rFonts w:cs="Times New Roman" w:hint="default"/>
      </w:rPr>
    </w:lvl>
    <w:lvl w:ilvl="1" w:tplc="0C090019" w:tentative="1">
      <w:start w:val="1"/>
      <w:numFmt w:val="lowerLetter"/>
      <w:lvlText w:val="%2."/>
      <w:lvlJc w:val="left"/>
      <w:pPr>
        <w:ind w:left="2073" w:hanging="360"/>
      </w:pPr>
      <w:rPr>
        <w:rFonts w:cs="Times New Roman"/>
      </w:rPr>
    </w:lvl>
    <w:lvl w:ilvl="2" w:tplc="0C09001B" w:tentative="1">
      <w:start w:val="1"/>
      <w:numFmt w:val="lowerRoman"/>
      <w:lvlText w:val="%3."/>
      <w:lvlJc w:val="right"/>
      <w:pPr>
        <w:ind w:left="2793" w:hanging="180"/>
      </w:pPr>
      <w:rPr>
        <w:rFonts w:cs="Times New Roman"/>
      </w:rPr>
    </w:lvl>
    <w:lvl w:ilvl="3" w:tplc="0C09000F" w:tentative="1">
      <w:start w:val="1"/>
      <w:numFmt w:val="decimal"/>
      <w:lvlText w:val="%4."/>
      <w:lvlJc w:val="left"/>
      <w:pPr>
        <w:ind w:left="3513" w:hanging="360"/>
      </w:pPr>
      <w:rPr>
        <w:rFonts w:cs="Times New Roman"/>
      </w:rPr>
    </w:lvl>
    <w:lvl w:ilvl="4" w:tplc="0C090019" w:tentative="1">
      <w:start w:val="1"/>
      <w:numFmt w:val="lowerLetter"/>
      <w:lvlText w:val="%5."/>
      <w:lvlJc w:val="left"/>
      <w:pPr>
        <w:ind w:left="4233" w:hanging="360"/>
      </w:pPr>
      <w:rPr>
        <w:rFonts w:cs="Times New Roman"/>
      </w:rPr>
    </w:lvl>
    <w:lvl w:ilvl="5" w:tplc="0C09001B" w:tentative="1">
      <w:start w:val="1"/>
      <w:numFmt w:val="lowerRoman"/>
      <w:lvlText w:val="%6."/>
      <w:lvlJc w:val="right"/>
      <w:pPr>
        <w:ind w:left="4953" w:hanging="180"/>
      </w:pPr>
      <w:rPr>
        <w:rFonts w:cs="Times New Roman"/>
      </w:rPr>
    </w:lvl>
    <w:lvl w:ilvl="6" w:tplc="0C09000F" w:tentative="1">
      <w:start w:val="1"/>
      <w:numFmt w:val="decimal"/>
      <w:lvlText w:val="%7."/>
      <w:lvlJc w:val="left"/>
      <w:pPr>
        <w:ind w:left="5673" w:hanging="360"/>
      </w:pPr>
      <w:rPr>
        <w:rFonts w:cs="Times New Roman"/>
      </w:rPr>
    </w:lvl>
    <w:lvl w:ilvl="7" w:tplc="0C090019" w:tentative="1">
      <w:start w:val="1"/>
      <w:numFmt w:val="lowerLetter"/>
      <w:lvlText w:val="%8."/>
      <w:lvlJc w:val="left"/>
      <w:pPr>
        <w:ind w:left="6393" w:hanging="360"/>
      </w:pPr>
      <w:rPr>
        <w:rFonts w:cs="Times New Roman"/>
      </w:rPr>
    </w:lvl>
    <w:lvl w:ilvl="8" w:tplc="0C09001B" w:tentative="1">
      <w:start w:val="1"/>
      <w:numFmt w:val="lowerRoman"/>
      <w:lvlText w:val="%9."/>
      <w:lvlJc w:val="right"/>
      <w:pPr>
        <w:ind w:left="7113" w:hanging="180"/>
      </w:pPr>
      <w:rPr>
        <w:rFonts w:cs="Times New Roman"/>
      </w:rPr>
    </w:lvl>
  </w:abstractNum>
  <w:abstractNum w:abstractNumId="38">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9">
    <w:nsid w:val="784D033C"/>
    <w:multiLevelType w:val="multilevel"/>
    <w:tmpl w:val="96BC1D1C"/>
    <w:lvl w:ilvl="0">
      <w:start w:val="1"/>
      <w:numFmt w:val="decimal"/>
      <w:lvlText w:val="%1"/>
      <w:lvlJc w:val="left"/>
      <w:pPr>
        <w:ind w:left="720" w:hanging="720"/>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101EF5"/>
    <w:multiLevelType w:val="hybridMultilevel"/>
    <w:tmpl w:val="408E12BC"/>
    <w:lvl w:ilvl="0" w:tplc="FC4E0402">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num w:numId="1">
    <w:abstractNumId w:val="10"/>
  </w:num>
  <w:num w:numId="2">
    <w:abstractNumId w:val="35"/>
  </w:num>
  <w:num w:numId="3">
    <w:abstractNumId w:val="21"/>
  </w:num>
  <w:num w:numId="4">
    <w:abstractNumId w:val="0"/>
  </w:num>
  <w:num w:numId="5">
    <w:abstractNumId w:val="6"/>
  </w:num>
  <w:num w:numId="6">
    <w:abstractNumId w:val="20"/>
  </w:num>
  <w:num w:numId="7">
    <w:abstractNumId w:val="17"/>
  </w:num>
  <w:num w:numId="8">
    <w:abstractNumId w:val="5"/>
  </w:num>
  <w:num w:numId="9">
    <w:abstractNumId w:val="8"/>
  </w:num>
  <w:num w:numId="10">
    <w:abstractNumId w:val="32"/>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6"/>
  </w:num>
  <w:num w:numId="15">
    <w:abstractNumId w:val="28"/>
  </w:num>
  <w:num w:numId="16">
    <w:abstractNumId w:val="24"/>
  </w:num>
  <w:num w:numId="17">
    <w:abstractNumId w:val="38"/>
  </w:num>
  <w:num w:numId="18">
    <w:abstractNumId w:val="13"/>
  </w:num>
  <w:num w:numId="19">
    <w:abstractNumId w:val="19"/>
  </w:num>
  <w:num w:numId="20">
    <w:abstractNumId w:val="4"/>
  </w:num>
  <w:num w:numId="21">
    <w:abstractNumId w:val="30"/>
  </w:num>
  <w:num w:numId="22">
    <w:abstractNumId w:val="34"/>
  </w:num>
  <w:num w:numId="23">
    <w:abstractNumId w:val="40"/>
  </w:num>
  <w:num w:numId="24">
    <w:abstractNumId w:val="16"/>
  </w:num>
  <w:num w:numId="25">
    <w:abstractNumId w:val="39"/>
  </w:num>
  <w:num w:numId="26">
    <w:abstractNumId w:val="29"/>
  </w:num>
  <w:num w:numId="27">
    <w:abstractNumId w:val="12"/>
  </w:num>
  <w:num w:numId="28">
    <w:abstractNumId w:val="7"/>
  </w:num>
  <w:num w:numId="29">
    <w:abstractNumId w:val="26"/>
  </w:num>
  <w:num w:numId="30">
    <w:abstractNumId w:val="2"/>
  </w:num>
  <w:num w:numId="31">
    <w:abstractNumId w:val="27"/>
  </w:num>
  <w:num w:numId="32">
    <w:abstractNumId w:val="37"/>
  </w:num>
  <w:num w:numId="33">
    <w:abstractNumId w:val="25"/>
  </w:num>
  <w:num w:numId="34">
    <w:abstractNumId w:val="41"/>
  </w:num>
  <w:num w:numId="35">
    <w:abstractNumId w:val="11"/>
  </w:num>
  <w:num w:numId="36">
    <w:abstractNumId w:val="23"/>
  </w:num>
  <w:num w:numId="37">
    <w:abstractNumId w:val="18"/>
  </w:num>
  <w:num w:numId="38">
    <w:abstractNumId w:val="1"/>
  </w:num>
  <w:num w:numId="39">
    <w:abstractNumId w:val="3"/>
  </w:num>
  <w:num w:numId="40">
    <w:abstractNumId w:val="9"/>
  </w:num>
  <w:num w:numId="41">
    <w:abstractNumId w:val="15"/>
  </w:num>
  <w:num w:numId="42">
    <w:abstractNumId w:val="33"/>
  </w:num>
  <w:num w:numId="43">
    <w:abstractNumId w:val="31"/>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11A"/>
    <w:rsid w:val="000023CC"/>
    <w:rsid w:val="00002420"/>
    <w:rsid w:val="000025AD"/>
    <w:rsid w:val="0002464A"/>
    <w:rsid w:val="00024AB9"/>
    <w:rsid w:val="0003025B"/>
    <w:rsid w:val="0003106B"/>
    <w:rsid w:val="000360EF"/>
    <w:rsid w:val="000376A6"/>
    <w:rsid w:val="0004035D"/>
    <w:rsid w:val="000421A1"/>
    <w:rsid w:val="0004240E"/>
    <w:rsid w:val="00045E26"/>
    <w:rsid w:val="000460F0"/>
    <w:rsid w:val="000514B5"/>
    <w:rsid w:val="000520E9"/>
    <w:rsid w:val="00060E64"/>
    <w:rsid w:val="00065CF3"/>
    <w:rsid w:val="00077AC5"/>
    <w:rsid w:val="000806AF"/>
    <w:rsid w:val="000969AD"/>
    <w:rsid w:val="000A1FC4"/>
    <w:rsid w:val="000B558D"/>
    <w:rsid w:val="000C62FD"/>
    <w:rsid w:val="000C6996"/>
    <w:rsid w:val="000D23BA"/>
    <w:rsid w:val="000D2FA9"/>
    <w:rsid w:val="000E681E"/>
    <w:rsid w:val="000F4E6A"/>
    <w:rsid w:val="001107BF"/>
    <w:rsid w:val="00115352"/>
    <w:rsid w:val="0012417C"/>
    <w:rsid w:val="00137240"/>
    <w:rsid w:val="0014074D"/>
    <w:rsid w:val="0014092A"/>
    <w:rsid w:val="00142395"/>
    <w:rsid w:val="001424D2"/>
    <w:rsid w:val="00142714"/>
    <w:rsid w:val="001452ED"/>
    <w:rsid w:val="00152D08"/>
    <w:rsid w:val="001645A2"/>
    <w:rsid w:val="00172BFA"/>
    <w:rsid w:val="001830CE"/>
    <w:rsid w:val="00196307"/>
    <w:rsid w:val="001A5B82"/>
    <w:rsid w:val="001B017F"/>
    <w:rsid w:val="001B07A8"/>
    <w:rsid w:val="001B5129"/>
    <w:rsid w:val="001C1195"/>
    <w:rsid w:val="001C2541"/>
    <w:rsid w:val="001C369C"/>
    <w:rsid w:val="001D678A"/>
    <w:rsid w:val="001D7574"/>
    <w:rsid w:val="001E2BE3"/>
    <w:rsid w:val="001E4E70"/>
    <w:rsid w:val="0020729B"/>
    <w:rsid w:val="002168D0"/>
    <w:rsid w:val="00220CB8"/>
    <w:rsid w:val="002259AD"/>
    <w:rsid w:val="00230CF6"/>
    <w:rsid w:val="00245733"/>
    <w:rsid w:val="002462B0"/>
    <w:rsid w:val="00252AC9"/>
    <w:rsid w:val="002607E3"/>
    <w:rsid w:val="0026123E"/>
    <w:rsid w:val="00262DF9"/>
    <w:rsid w:val="00271BA1"/>
    <w:rsid w:val="00277505"/>
    <w:rsid w:val="00281DC0"/>
    <w:rsid w:val="002922AB"/>
    <w:rsid w:val="0029247A"/>
    <w:rsid w:val="00294183"/>
    <w:rsid w:val="0029458F"/>
    <w:rsid w:val="002A4960"/>
    <w:rsid w:val="002B00D1"/>
    <w:rsid w:val="002B1AE6"/>
    <w:rsid w:val="002B30F8"/>
    <w:rsid w:val="002B76B3"/>
    <w:rsid w:val="002C212F"/>
    <w:rsid w:val="002C33F5"/>
    <w:rsid w:val="002C44C4"/>
    <w:rsid w:val="002D1487"/>
    <w:rsid w:val="002E22B8"/>
    <w:rsid w:val="002F0F8E"/>
    <w:rsid w:val="002F2FE5"/>
    <w:rsid w:val="002F5C5E"/>
    <w:rsid w:val="002F5DE9"/>
    <w:rsid w:val="003171CF"/>
    <w:rsid w:val="00317740"/>
    <w:rsid w:val="003253B2"/>
    <w:rsid w:val="00326E79"/>
    <w:rsid w:val="003367EF"/>
    <w:rsid w:val="00341AE4"/>
    <w:rsid w:val="00343451"/>
    <w:rsid w:val="003504A8"/>
    <w:rsid w:val="00355100"/>
    <w:rsid w:val="00357437"/>
    <w:rsid w:val="00357E0A"/>
    <w:rsid w:val="003719FA"/>
    <w:rsid w:val="00391F67"/>
    <w:rsid w:val="003971BC"/>
    <w:rsid w:val="003A3D88"/>
    <w:rsid w:val="003A5B4A"/>
    <w:rsid w:val="003B23C5"/>
    <w:rsid w:val="003B2A75"/>
    <w:rsid w:val="003C2C00"/>
    <w:rsid w:val="003C6D9F"/>
    <w:rsid w:val="003D1A90"/>
    <w:rsid w:val="003D4AC4"/>
    <w:rsid w:val="003D63B7"/>
    <w:rsid w:val="003E468B"/>
    <w:rsid w:val="003E5920"/>
    <w:rsid w:val="003F5C8C"/>
    <w:rsid w:val="00405C83"/>
    <w:rsid w:val="00406633"/>
    <w:rsid w:val="00407310"/>
    <w:rsid w:val="004073F9"/>
    <w:rsid w:val="00410CAF"/>
    <w:rsid w:val="00427B60"/>
    <w:rsid w:val="00434AE1"/>
    <w:rsid w:val="004462CC"/>
    <w:rsid w:val="00466ADA"/>
    <w:rsid w:val="00471A1E"/>
    <w:rsid w:val="00472D09"/>
    <w:rsid w:val="00496175"/>
    <w:rsid w:val="004A62F9"/>
    <w:rsid w:val="004B5640"/>
    <w:rsid w:val="004B5AED"/>
    <w:rsid w:val="004C1BD7"/>
    <w:rsid w:val="004C521B"/>
    <w:rsid w:val="004C6761"/>
    <w:rsid w:val="004C691D"/>
    <w:rsid w:val="004C7F6D"/>
    <w:rsid w:val="004D1896"/>
    <w:rsid w:val="004E2785"/>
    <w:rsid w:val="004E692D"/>
    <w:rsid w:val="00514CD7"/>
    <w:rsid w:val="0051703A"/>
    <w:rsid w:val="00521E3E"/>
    <w:rsid w:val="00522D1E"/>
    <w:rsid w:val="00534E2E"/>
    <w:rsid w:val="00544552"/>
    <w:rsid w:val="00550CA0"/>
    <w:rsid w:val="0055628B"/>
    <w:rsid w:val="00581932"/>
    <w:rsid w:val="005879E8"/>
    <w:rsid w:val="00590EC9"/>
    <w:rsid w:val="005A1DB2"/>
    <w:rsid w:val="005A3173"/>
    <w:rsid w:val="005A3223"/>
    <w:rsid w:val="005A3DA3"/>
    <w:rsid w:val="005A52C4"/>
    <w:rsid w:val="005B7A50"/>
    <w:rsid w:val="005C2885"/>
    <w:rsid w:val="005D03AB"/>
    <w:rsid w:val="005D5017"/>
    <w:rsid w:val="005F09FE"/>
    <w:rsid w:val="005F61F2"/>
    <w:rsid w:val="006008F2"/>
    <w:rsid w:val="00601A91"/>
    <w:rsid w:val="00602BA3"/>
    <w:rsid w:val="00605408"/>
    <w:rsid w:val="00605EE7"/>
    <w:rsid w:val="00613E19"/>
    <w:rsid w:val="00614159"/>
    <w:rsid w:val="00615925"/>
    <w:rsid w:val="00617156"/>
    <w:rsid w:val="006172D0"/>
    <w:rsid w:val="00617C00"/>
    <w:rsid w:val="0062049E"/>
    <w:rsid w:val="006263BF"/>
    <w:rsid w:val="00630A2C"/>
    <w:rsid w:val="00630CC1"/>
    <w:rsid w:val="00633D2C"/>
    <w:rsid w:val="00634F35"/>
    <w:rsid w:val="00636443"/>
    <w:rsid w:val="006432DA"/>
    <w:rsid w:val="00646A2F"/>
    <w:rsid w:val="00650C26"/>
    <w:rsid w:val="00651169"/>
    <w:rsid w:val="00653D69"/>
    <w:rsid w:val="00654E50"/>
    <w:rsid w:val="006611A2"/>
    <w:rsid w:val="006633E1"/>
    <w:rsid w:val="006706A8"/>
    <w:rsid w:val="00670A76"/>
    <w:rsid w:val="006711AA"/>
    <w:rsid w:val="00675622"/>
    <w:rsid w:val="00677D31"/>
    <w:rsid w:val="00681627"/>
    <w:rsid w:val="00682A18"/>
    <w:rsid w:val="006871DA"/>
    <w:rsid w:val="006906DB"/>
    <w:rsid w:val="0069433B"/>
    <w:rsid w:val="0069437D"/>
    <w:rsid w:val="006A12A5"/>
    <w:rsid w:val="006A5CF8"/>
    <w:rsid w:val="006A5DEF"/>
    <w:rsid w:val="006A7FDF"/>
    <w:rsid w:val="006B0D94"/>
    <w:rsid w:val="006B485D"/>
    <w:rsid w:val="006B7EC3"/>
    <w:rsid w:val="006C3768"/>
    <w:rsid w:val="006C3B67"/>
    <w:rsid w:val="006C5A2E"/>
    <w:rsid w:val="006D361B"/>
    <w:rsid w:val="006D6EC7"/>
    <w:rsid w:val="006D7CF0"/>
    <w:rsid w:val="006E01BA"/>
    <w:rsid w:val="006E19A7"/>
    <w:rsid w:val="006E5252"/>
    <w:rsid w:val="006F2C24"/>
    <w:rsid w:val="006F302C"/>
    <w:rsid w:val="006F5125"/>
    <w:rsid w:val="00701BB6"/>
    <w:rsid w:val="007174BB"/>
    <w:rsid w:val="00725703"/>
    <w:rsid w:val="00740FA2"/>
    <w:rsid w:val="00761F2F"/>
    <w:rsid w:val="007634D5"/>
    <w:rsid w:val="007753C2"/>
    <w:rsid w:val="007764F8"/>
    <w:rsid w:val="007838B8"/>
    <w:rsid w:val="00785B30"/>
    <w:rsid w:val="007A607E"/>
    <w:rsid w:val="007B100A"/>
    <w:rsid w:val="007B326E"/>
    <w:rsid w:val="007B7CDF"/>
    <w:rsid w:val="007C0F57"/>
    <w:rsid w:val="007C40B6"/>
    <w:rsid w:val="007C5469"/>
    <w:rsid w:val="007C62F0"/>
    <w:rsid w:val="007C729F"/>
    <w:rsid w:val="007D659B"/>
    <w:rsid w:val="007E1D28"/>
    <w:rsid w:val="007E1DC0"/>
    <w:rsid w:val="007F2641"/>
    <w:rsid w:val="00800E0F"/>
    <w:rsid w:val="00804AF7"/>
    <w:rsid w:val="00806796"/>
    <w:rsid w:val="0081678B"/>
    <w:rsid w:val="00817091"/>
    <w:rsid w:val="00842A6F"/>
    <w:rsid w:val="00860557"/>
    <w:rsid w:val="00860569"/>
    <w:rsid w:val="00862BE0"/>
    <w:rsid w:val="00863E68"/>
    <w:rsid w:val="008664A9"/>
    <w:rsid w:val="00867D90"/>
    <w:rsid w:val="00871A88"/>
    <w:rsid w:val="008735D7"/>
    <w:rsid w:val="00882085"/>
    <w:rsid w:val="00882AE5"/>
    <w:rsid w:val="00883188"/>
    <w:rsid w:val="008831A7"/>
    <w:rsid w:val="008871F5"/>
    <w:rsid w:val="00887BC1"/>
    <w:rsid w:val="00897D58"/>
    <w:rsid w:val="008A177E"/>
    <w:rsid w:val="008A1F25"/>
    <w:rsid w:val="008A4937"/>
    <w:rsid w:val="008B3315"/>
    <w:rsid w:val="008B3F13"/>
    <w:rsid w:val="008C79D1"/>
    <w:rsid w:val="008D1808"/>
    <w:rsid w:val="008D1B87"/>
    <w:rsid w:val="008D3C82"/>
    <w:rsid w:val="008D447E"/>
    <w:rsid w:val="008E0D90"/>
    <w:rsid w:val="008E3680"/>
    <w:rsid w:val="008E5870"/>
    <w:rsid w:val="008F1434"/>
    <w:rsid w:val="008F7355"/>
    <w:rsid w:val="00917CA8"/>
    <w:rsid w:val="0092117C"/>
    <w:rsid w:val="00922753"/>
    <w:rsid w:val="009279AF"/>
    <w:rsid w:val="00930937"/>
    <w:rsid w:val="00936EDC"/>
    <w:rsid w:val="00942160"/>
    <w:rsid w:val="0094540A"/>
    <w:rsid w:val="00950F2C"/>
    <w:rsid w:val="00952D51"/>
    <w:rsid w:val="00953906"/>
    <w:rsid w:val="009602C5"/>
    <w:rsid w:val="00961346"/>
    <w:rsid w:val="00965D50"/>
    <w:rsid w:val="00974C21"/>
    <w:rsid w:val="0098771F"/>
    <w:rsid w:val="00991A31"/>
    <w:rsid w:val="0099468F"/>
    <w:rsid w:val="009A17BD"/>
    <w:rsid w:val="009A75EB"/>
    <w:rsid w:val="009C703C"/>
    <w:rsid w:val="009C7D70"/>
    <w:rsid w:val="009D3CAA"/>
    <w:rsid w:val="009F5B65"/>
    <w:rsid w:val="009F77AD"/>
    <w:rsid w:val="00A06225"/>
    <w:rsid w:val="00A14403"/>
    <w:rsid w:val="00A37C8D"/>
    <w:rsid w:val="00A45345"/>
    <w:rsid w:val="00A46CF5"/>
    <w:rsid w:val="00A5273B"/>
    <w:rsid w:val="00A53A9D"/>
    <w:rsid w:val="00A62C1A"/>
    <w:rsid w:val="00A6426D"/>
    <w:rsid w:val="00A70622"/>
    <w:rsid w:val="00A70977"/>
    <w:rsid w:val="00A71D73"/>
    <w:rsid w:val="00A7461C"/>
    <w:rsid w:val="00A8390C"/>
    <w:rsid w:val="00A93009"/>
    <w:rsid w:val="00AA4D1C"/>
    <w:rsid w:val="00AA677D"/>
    <w:rsid w:val="00AA7D38"/>
    <w:rsid w:val="00AB2699"/>
    <w:rsid w:val="00AC5206"/>
    <w:rsid w:val="00AC7C45"/>
    <w:rsid w:val="00AC7D02"/>
    <w:rsid w:val="00AD3069"/>
    <w:rsid w:val="00AD3287"/>
    <w:rsid w:val="00AE11A5"/>
    <w:rsid w:val="00AE5E1F"/>
    <w:rsid w:val="00AF6114"/>
    <w:rsid w:val="00AF68CC"/>
    <w:rsid w:val="00B00115"/>
    <w:rsid w:val="00B01950"/>
    <w:rsid w:val="00B072DB"/>
    <w:rsid w:val="00B205AA"/>
    <w:rsid w:val="00B220A6"/>
    <w:rsid w:val="00B25CA3"/>
    <w:rsid w:val="00B25F75"/>
    <w:rsid w:val="00B32EBC"/>
    <w:rsid w:val="00B33B6D"/>
    <w:rsid w:val="00B36428"/>
    <w:rsid w:val="00B43E90"/>
    <w:rsid w:val="00B5001F"/>
    <w:rsid w:val="00B56118"/>
    <w:rsid w:val="00B70DC7"/>
    <w:rsid w:val="00B92888"/>
    <w:rsid w:val="00B9652B"/>
    <w:rsid w:val="00B97B5A"/>
    <w:rsid w:val="00BA0458"/>
    <w:rsid w:val="00BB69F5"/>
    <w:rsid w:val="00BB7EC3"/>
    <w:rsid w:val="00BC1CB5"/>
    <w:rsid w:val="00BC4B9A"/>
    <w:rsid w:val="00BE1038"/>
    <w:rsid w:val="00BE1146"/>
    <w:rsid w:val="00BF0AC5"/>
    <w:rsid w:val="00BF0BF6"/>
    <w:rsid w:val="00BF46B1"/>
    <w:rsid w:val="00BF4CB6"/>
    <w:rsid w:val="00C05C1D"/>
    <w:rsid w:val="00C12768"/>
    <w:rsid w:val="00C12A80"/>
    <w:rsid w:val="00C13E45"/>
    <w:rsid w:val="00C30BED"/>
    <w:rsid w:val="00C35996"/>
    <w:rsid w:val="00C4068F"/>
    <w:rsid w:val="00C42322"/>
    <w:rsid w:val="00C47EE9"/>
    <w:rsid w:val="00C503FC"/>
    <w:rsid w:val="00C51961"/>
    <w:rsid w:val="00C5342C"/>
    <w:rsid w:val="00C6256A"/>
    <w:rsid w:val="00C63AEC"/>
    <w:rsid w:val="00C740E4"/>
    <w:rsid w:val="00C80D5B"/>
    <w:rsid w:val="00C83A3E"/>
    <w:rsid w:val="00C91449"/>
    <w:rsid w:val="00C92D10"/>
    <w:rsid w:val="00CA5600"/>
    <w:rsid w:val="00CB053F"/>
    <w:rsid w:val="00CB4A74"/>
    <w:rsid w:val="00CC7999"/>
    <w:rsid w:val="00CE030D"/>
    <w:rsid w:val="00CE10C4"/>
    <w:rsid w:val="00CE27B5"/>
    <w:rsid w:val="00CE4E78"/>
    <w:rsid w:val="00D0321E"/>
    <w:rsid w:val="00D05ECE"/>
    <w:rsid w:val="00D06A0C"/>
    <w:rsid w:val="00D1067B"/>
    <w:rsid w:val="00D26CD4"/>
    <w:rsid w:val="00D306D0"/>
    <w:rsid w:val="00D3280C"/>
    <w:rsid w:val="00D3406A"/>
    <w:rsid w:val="00D3502F"/>
    <w:rsid w:val="00D415D0"/>
    <w:rsid w:val="00D4629C"/>
    <w:rsid w:val="00D469B2"/>
    <w:rsid w:val="00D534DB"/>
    <w:rsid w:val="00D607A2"/>
    <w:rsid w:val="00D703FD"/>
    <w:rsid w:val="00D741EB"/>
    <w:rsid w:val="00D74EFD"/>
    <w:rsid w:val="00D75748"/>
    <w:rsid w:val="00D91271"/>
    <w:rsid w:val="00D919F5"/>
    <w:rsid w:val="00D956EE"/>
    <w:rsid w:val="00DA2161"/>
    <w:rsid w:val="00DA4BAC"/>
    <w:rsid w:val="00DB2889"/>
    <w:rsid w:val="00DB66C1"/>
    <w:rsid w:val="00DC3791"/>
    <w:rsid w:val="00DC7027"/>
    <w:rsid w:val="00DD07D5"/>
    <w:rsid w:val="00DD3F9C"/>
    <w:rsid w:val="00DE0461"/>
    <w:rsid w:val="00DE6D27"/>
    <w:rsid w:val="00DF05BB"/>
    <w:rsid w:val="00DF217D"/>
    <w:rsid w:val="00DF26A7"/>
    <w:rsid w:val="00E03D62"/>
    <w:rsid w:val="00E061A0"/>
    <w:rsid w:val="00E1023B"/>
    <w:rsid w:val="00E15D0F"/>
    <w:rsid w:val="00E16910"/>
    <w:rsid w:val="00E2299A"/>
    <w:rsid w:val="00E26F50"/>
    <w:rsid w:val="00E27888"/>
    <w:rsid w:val="00E50884"/>
    <w:rsid w:val="00E52E50"/>
    <w:rsid w:val="00E65E54"/>
    <w:rsid w:val="00E72F65"/>
    <w:rsid w:val="00E747A6"/>
    <w:rsid w:val="00E77399"/>
    <w:rsid w:val="00E80155"/>
    <w:rsid w:val="00E848C0"/>
    <w:rsid w:val="00E872E9"/>
    <w:rsid w:val="00E87370"/>
    <w:rsid w:val="00E91B96"/>
    <w:rsid w:val="00E936CE"/>
    <w:rsid w:val="00E941A1"/>
    <w:rsid w:val="00E95CE3"/>
    <w:rsid w:val="00EA2825"/>
    <w:rsid w:val="00EB4BF7"/>
    <w:rsid w:val="00EB5088"/>
    <w:rsid w:val="00EB684C"/>
    <w:rsid w:val="00EC5667"/>
    <w:rsid w:val="00ED1644"/>
    <w:rsid w:val="00EE00CC"/>
    <w:rsid w:val="00EF26FD"/>
    <w:rsid w:val="00EF5C07"/>
    <w:rsid w:val="00EF6A7B"/>
    <w:rsid w:val="00F050BD"/>
    <w:rsid w:val="00F05657"/>
    <w:rsid w:val="00F1078B"/>
    <w:rsid w:val="00F128E4"/>
    <w:rsid w:val="00F155B3"/>
    <w:rsid w:val="00F1575D"/>
    <w:rsid w:val="00F25578"/>
    <w:rsid w:val="00F258E5"/>
    <w:rsid w:val="00F300BC"/>
    <w:rsid w:val="00F3334E"/>
    <w:rsid w:val="00F35510"/>
    <w:rsid w:val="00F50EC4"/>
    <w:rsid w:val="00F57A6D"/>
    <w:rsid w:val="00F6086C"/>
    <w:rsid w:val="00F638CC"/>
    <w:rsid w:val="00F66AAD"/>
    <w:rsid w:val="00F8247A"/>
    <w:rsid w:val="00F9571D"/>
    <w:rsid w:val="00FA5883"/>
    <w:rsid w:val="00FA6055"/>
    <w:rsid w:val="00FA6936"/>
    <w:rsid w:val="00FA7C0D"/>
    <w:rsid w:val="00FB322F"/>
    <w:rsid w:val="00FB442F"/>
    <w:rsid w:val="00FC09C1"/>
    <w:rsid w:val="00FC1929"/>
    <w:rsid w:val="00FC5B46"/>
    <w:rsid w:val="00FE261A"/>
    <w:rsid w:val="00FF0F81"/>
    <w:rsid w:val="00FF1ED4"/>
    <w:rsid w:val="00FF2A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B2"/>
    <w:rPr>
      <w:sz w:val="24"/>
      <w:szCs w:val="24"/>
    </w:rPr>
  </w:style>
  <w:style w:type="paragraph" w:styleId="Heading1">
    <w:name w:val="heading 1"/>
    <w:basedOn w:val="Normal"/>
    <w:next w:val="Normal"/>
    <w:link w:val="Heading1Char"/>
    <w:uiPriority w:val="99"/>
    <w:qFormat/>
    <w:rsid w:val="005A1DB2"/>
    <w:pPr>
      <w:keepNext/>
      <w:outlineLvl w:val="0"/>
    </w:pPr>
    <w:rPr>
      <w:b/>
    </w:rPr>
  </w:style>
  <w:style w:type="paragraph" w:styleId="Heading2">
    <w:name w:val="heading 2"/>
    <w:basedOn w:val="Normal"/>
    <w:next w:val="Normal"/>
    <w:link w:val="Heading2Char"/>
    <w:uiPriority w:val="99"/>
    <w:qFormat/>
    <w:rsid w:val="005A1DB2"/>
    <w:pPr>
      <w:keepNext/>
      <w:outlineLvl w:val="1"/>
    </w:pPr>
  </w:style>
  <w:style w:type="paragraph" w:styleId="Heading5">
    <w:name w:val="heading 5"/>
    <w:basedOn w:val="Normal"/>
    <w:next w:val="Normal"/>
    <w:link w:val="Heading5Char"/>
    <w:uiPriority w:val="99"/>
    <w:qFormat/>
    <w:rsid w:val="005A1DB2"/>
    <w:pPr>
      <w:spacing w:before="240" w:after="60"/>
      <w:outlineLvl w:val="4"/>
    </w:pPr>
    <w:rPr>
      <w:b/>
      <w:bCs/>
      <w:i/>
      <w:iCs/>
      <w:sz w:val="26"/>
      <w:szCs w:val="26"/>
    </w:rPr>
  </w:style>
  <w:style w:type="paragraph" w:styleId="Heading6">
    <w:name w:val="heading 6"/>
    <w:basedOn w:val="Normal"/>
    <w:next w:val="Normal"/>
    <w:link w:val="Heading6Char"/>
    <w:uiPriority w:val="99"/>
    <w:qFormat/>
    <w:rsid w:val="005A1DB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3F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243F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8243F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243FE"/>
    <w:rPr>
      <w:rFonts w:asciiTheme="minorHAnsi" w:eastAsiaTheme="minorEastAsia" w:hAnsiTheme="minorHAnsi" w:cstheme="minorBidi"/>
      <w:b/>
      <w:bCs/>
    </w:rPr>
  </w:style>
  <w:style w:type="paragraph" w:styleId="Header">
    <w:name w:val="header"/>
    <w:aliases w:val="Page Header,Header title,he=header,cntr/bld"/>
    <w:basedOn w:val="Normal"/>
    <w:link w:val="HeaderChar"/>
    <w:uiPriority w:val="99"/>
    <w:rsid w:val="005A1DB2"/>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locked/>
    <w:rsid w:val="005A3173"/>
    <w:rPr>
      <w:sz w:val="24"/>
      <w:lang w:eastAsia="en-AU"/>
    </w:rPr>
  </w:style>
  <w:style w:type="paragraph" w:styleId="Footer">
    <w:name w:val="footer"/>
    <w:basedOn w:val="Normal"/>
    <w:link w:val="FooterChar"/>
    <w:uiPriority w:val="99"/>
    <w:rsid w:val="005A1DB2"/>
    <w:pPr>
      <w:tabs>
        <w:tab w:val="center" w:pos="4153"/>
        <w:tab w:val="right" w:pos="8306"/>
      </w:tabs>
    </w:pPr>
  </w:style>
  <w:style w:type="character" w:customStyle="1" w:styleId="FooterChar">
    <w:name w:val="Footer Char"/>
    <w:basedOn w:val="DefaultParagraphFont"/>
    <w:link w:val="Footer"/>
    <w:uiPriority w:val="99"/>
    <w:locked/>
    <w:rsid w:val="00B205AA"/>
    <w:rPr>
      <w:rFonts w:cs="Times New Roman"/>
      <w:sz w:val="24"/>
      <w:szCs w:val="24"/>
    </w:rPr>
  </w:style>
  <w:style w:type="character" w:styleId="PageNumber">
    <w:name w:val="page number"/>
    <w:basedOn w:val="DefaultParagraphFont"/>
    <w:uiPriority w:val="99"/>
    <w:rsid w:val="005A1DB2"/>
    <w:rPr>
      <w:rFonts w:cs="Times New Roman"/>
    </w:rPr>
  </w:style>
  <w:style w:type="paragraph" w:styleId="BalloonText">
    <w:name w:val="Balloon Text"/>
    <w:basedOn w:val="Normal"/>
    <w:link w:val="BalloonTextChar"/>
    <w:uiPriority w:val="99"/>
    <w:semiHidden/>
    <w:rsid w:val="005A1DB2"/>
    <w:rPr>
      <w:rFonts w:ascii="Tahoma" w:hAnsi="Tahoma" w:cs="Tahoma"/>
      <w:sz w:val="16"/>
      <w:szCs w:val="16"/>
    </w:rPr>
  </w:style>
  <w:style w:type="character" w:customStyle="1" w:styleId="BalloonTextChar">
    <w:name w:val="Balloon Text Char"/>
    <w:basedOn w:val="DefaultParagraphFont"/>
    <w:link w:val="BalloonText"/>
    <w:uiPriority w:val="99"/>
    <w:semiHidden/>
    <w:rsid w:val="008243FE"/>
    <w:rPr>
      <w:sz w:val="0"/>
      <w:szCs w:val="0"/>
    </w:rPr>
  </w:style>
  <w:style w:type="table" w:styleId="TableGrid">
    <w:name w:val="Table Grid"/>
    <w:basedOn w:val="TableNormal"/>
    <w:uiPriority w:val="99"/>
    <w:rsid w:val="005A1D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5A1DB2"/>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uiPriority w:val="99"/>
    <w:rsid w:val="005A1DB2"/>
    <w:pPr>
      <w:spacing w:after="120"/>
    </w:pPr>
    <w:rPr>
      <w:rFonts w:ascii="Arial" w:hAnsi="Arial"/>
      <w:sz w:val="20"/>
      <w:szCs w:val="20"/>
      <w:lang w:eastAsia="en-US"/>
    </w:rPr>
  </w:style>
  <w:style w:type="paragraph" w:styleId="BodyText2">
    <w:name w:val="Body Text 2"/>
    <w:basedOn w:val="Normal"/>
    <w:link w:val="BodyText2Char"/>
    <w:uiPriority w:val="99"/>
    <w:rsid w:val="005A1DB2"/>
    <w:pPr>
      <w:widowControl w:val="0"/>
      <w:jc w:val="both"/>
    </w:pPr>
    <w:rPr>
      <w:rFonts w:ascii="Arial" w:hAnsi="Arial"/>
      <w:sz w:val="20"/>
      <w:szCs w:val="20"/>
      <w:lang w:eastAsia="en-US"/>
    </w:rPr>
  </w:style>
  <w:style w:type="character" w:customStyle="1" w:styleId="BodyText2Char">
    <w:name w:val="Body Text 2 Char"/>
    <w:basedOn w:val="DefaultParagraphFont"/>
    <w:link w:val="BodyText2"/>
    <w:uiPriority w:val="99"/>
    <w:locked/>
    <w:rsid w:val="005A1DB2"/>
    <w:rPr>
      <w:rFonts w:ascii="Arial" w:hAnsi="Arial"/>
      <w:snapToGrid w:val="0"/>
      <w:lang w:val="en-AU" w:eastAsia="en-US"/>
    </w:rPr>
  </w:style>
  <w:style w:type="paragraph" w:customStyle="1" w:styleId="TableHeading">
    <w:name w:val="TableHeading"/>
    <w:basedOn w:val="Normal"/>
    <w:uiPriority w:val="99"/>
    <w:rsid w:val="005A1DB2"/>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uiPriority w:val="99"/>
    <w:rsid w:val="005A1DB2"/>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uiPriority w:val="99"/>
    <w:rsid w:val="005A1DB2"/>
    <w:pPr>
      <w:spacing w:after="120"/>
    </w:pPr>
    <w:rPr>
      <w:sz w:val="16"/>
      <w:szCs w:val="16"/>
    </w:rPr>
  </w:style>
  <w:style w:type="character" w:customStyle="1" w:styleId="BodyText3Char">
    <w:name w:val="Body Text 3 Char"/>
    <w:basedOn w:val="DefaultParagraphFont"/>
    <w:link w:val="BodyText3"/>
    <w:uiPriority w:val="99"/>
    <w:semiHidden/>
    <w:rsid w:val="008243FE"/>
    <w:rPr>
      <w:sz w:val="16"/>
      <w:szCs w:val="16"/>
    </w:rPr>
  </w:style>
  <w:style w:type="character" w:customStyle="1" w:styleId="SubtitleChar">
    <w:name w:val="Subtitle Char"/>
    <w:link w:val="Subtitle"/>
    <w:uiPriority w:val="99"/>
    <w:semiHidden/>
    <w:locked/>
    <w:rsid w:val="005A1DB2"/>
    <w:rPr>
      <w:lang w:val="en-AU" w:eastAsia="en-US"/>
    </w:rPr>
  </w:style>
  <w:style w:type="paragraph" w:styleId="Subtitle">
    <w:name w:val="Subtitle"/>
    <w:basedOn w:val="Normal"/>
    <w:link w:val="SubtitleChar"/>
    <w:uiPriority w:val="99"/>
    <w:qFormat/>
    <w:rsid w:val="005A1DB2"/>
    <w:pPr>
      <w:jc w:val="both"/>
    </w:pPr>
    <w:rPr>
      <w:sz w:val="20"/>
      <w:szCs w:val="20"/>
      <w:lang w:eastAsia="en-US"/>
    </w:rPr>
  </w:style>
  <w:style w:type="character" w:customStyle="1" w:styleId="SubtitleChar1">
    <w:name w:val="Subtitle Char1"/>
    <w:basedOn w:val="DefaultParagraphFont"/>
    <w:uiPriority w:val="11"/>
    <w:rsid w:val="008243FE"/>
    <w:rPr>
      <w:rFonts w:asciiTheme="majorHAnsi" w:eastAsiaTheme="majorEastAsia" w:hAnsiTheme="majorHAnsi" w:cstheme="majorBidi"/>
      <w:sz w:val="24"/>
      <w:szCs w:val="24"/>
    </w:rPr>
  </w:style>
  <w:style w:type="paragraph" w:customStyle="1" w:styleId="MediumGrid21">
    <w:name w:val="Medium Grid 21"/>
    <w:link w:val="MediumGrid2Char"/>
    <w:uiPriority w:val="99"/>
    <w:rsid w:val="005A3173"/>
    <w:rPr>
      <w:rFonts w:ascii="PMingLiU" w:eastAsia="MS Mincho" w:hAnsi="PMingLiU"/>
      <w:lang w:val="en-US"/>
    </w:rPr>
  </w:style>
  <w:style w:type="character" w:customStyle="1" w:styleId="MediumGrid2Char">
    <w:name w:val="Medium Grid 2 Char"/>
    <w:link w:val="MediumGrid21"/>
    <w:uiPriority w:val="99"/>
    <w:locked/>
    <w:rsid w:val="005A3173"/>
    <w:rPr>
      <w:rFonts w:ascii="PMingLiU" w:eastAsia="MS Mincho" w:hAnsi="PMingLiU"/>
      <w:sz w:val="22"/>
      <w:lang w:val="en-US"/>
    </w:rPr>
  </w:style>
  <w:style w:type="table" w:customStyle="1" w:styleId="IntenseQuote1">
    <w:name w:val="Intense Quote1"/>
    <w:uiPriority w:val="99"/>
    <w:rsid w:val="00A06225"/>
    <w:rPr>
      <w:rFonts w:ascii="Cambria" w:eastAsia="MS Mincho" w:hAnsi="Cambria"/>
      <w:color w:val="365F91"/>
      <w:sz w:val="20"/>
      <w:szCs w:val="20"/>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ListParagraph">
    <w:name w:val="List Paragraph"/>
    <w:basedOn w:val="Normal"/>
    <w:uiPriority w:val="72"/>
    <w:qFormat/>
    <w:rsid w:val="00C35996"/>
    <w:pPr>
      <w:ind w:left="720"/>
      <w:contextualSpacing/>
    </w:pPr>
  </w:style>
  <w:style w:type="character" w:styleId="CommentReference">
    <w:name w:val="annotation reference"/>
    <w:basedOn w:val="DefaultParagraphFont"/>
    <w:uiPriority w:val="99"/>
    <w:rsid w:val="00BB7EC3"/>
    <w:rPr>
      <w:rFonts w:cs="Times New Roman"/>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locked/>
    <w:rsid w:val="00BB7EC3"/>
    <w:rPr>
      <w:rFonts w:cs="Times New Roman"/>
    </w:rPr>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locked/>
    <w:rsid w:val="00BB7EC3"/>
    <w:rPr>
      <w:rFonts w:cs="Times New Roman"/>
      <w:b/>
      <w:bCs/>
    </w:rPr>
  </w:style>
  <w:style w:type="paragraph" w:customStyle="1" w:styleId="COMtbl-HEADLeftAligned">
    <w:name w:val="COMtbl-HEAD Left Aligned"/>
    <w:basedOn w:val="Normal"/>
    <w:uiPriority w:val="99"/>
    <w:rsid w:val="00860569"/>
    <w:pPr>
      <w:widowControl w:val="0"/>
      <w:tabs>
        <w:tab w:val="left" w:pos="720"/>
      </w:tabs>
    </w:pPr>
    <w:rPr>
      <w:rFonts w:ascii="Arial Narrow" w:hAnsi="Arial Narrow" w:cs="Arial"/>
      <w:b/>
      <w:sz w:val="20"/>
      <w:szCs w:val="20"/>
      <w:lang w:eastAsia="en-US"/>
    </w:rPr>
  </w:style>
  <w:style w:type="paragraph" w:customStyle="1" w:styleId="COMtbl-HEADCentred">
    <w:name w:val="COMtbl-HEAD Centred"/>
    <w:basedOn w:val="COMtbl-HEADLeftAligned"/>
    <w:uiPriority w:val="99"/>
    <w:rsid w:val="00860569"/>
    <w:pPr>
      <w:jc w:val="center"/>
    </w:pPr>
  </w:style>
  <w:style w:type="paragraph" w:customStyle="1" w:styleId="COMBody">
    <w:name w:val="COMBody"/>
    <w:basedOn w:val="Normal"/>
    <w:link w:val="COMBodyChar"/>
    <w:uiPriority w:val="99"/>
    <w:rsid w:val="00860569"/>
    <w:pPr>
      <w:widowControl w:val="0"/>
      <w:jc w:val="both"/>
    </w:pPr>
    <w:rPr>
      <w:rFonts w:ascii="Arial" w:hAnsi="Arial" w:cs="Arial"/>
      <w:sz w:val="22"/>
      <w:szCs w:val="20"/>
      <w:lang w:eastAsia="en-US"/>
    </w:rPr>
  </w:style>
  <w:style w:type="character" w:customStyle="1" w:styleId="COMBodyChar">
    <w:name w:val="COMBody Char"/>
    <w:basedOn w:val="DefaultParagraphFont"/>
    <w:link w:val="COMBody"/>
    <w:uiPriority w:val="99"/>
    <w:locked/>
    <w:rsid w:val="00860569"/>
    <w:rPr>
      <w:rFonts w:ascii="Arial" w:hAnsi="Arial" w:cs="Arial"/>
      <w:snapToGrid w:val="0"/>
      <w:sz w:val="22"/>
      <w:lang w:eastAsia="en-US"/>
    </w:rPr>
  </w:style>
  <w:style w:type="paragraph" w:customStyle="1" w:styleId="COMTbl-foot">
    <w:name w:val="COMTbl-foot"/>
    <w:basedOn w:val="Normal"/>
    <w:link w:val="COMTbl-footChar"/>
    <w:uiPriority w:val="99"/>
    <w:rsid w:val="00860569"/>
    <w:pPr>
      <w:widowControl w:val="0"/>
      <w:jc w:val="both"/>
    </w:pPr>
    <w:rPr>
      <w:rFonts w:ascii="Arial Narrow" w:hAnsi="Arial Narrow" w:cs="Arial"/>
      <w:sz w:val="18"/>
      <w:szCs w:val="20"/>
      <w:lang w:eastAsia="en-US"/>
    </w:rPr>
  </w:style>
  <w:style w:type="character" w:customStyle="1" w:styleId="COMTbl-footChar">
    <w:name w:val="COMTbl-foot Char"/>
    <w:basedOn w:val="DefaultParagraphFont"/>
    <w:link w:val="COMTbl-foot"/>
    <w:uiPriority w:val="99"/>
    <w:locked/>
    <w:rsid w:val="00860569"/>
    <w:rPr>
      <w:rFonts w:ascii="Arial Narrow" w:hAnsi="Arial Narrow" w:cs="Arial"/>
      <w:snapToGrid w:val="0"/>
      <w:sz w:val="18"/>
      <w:lang w:eastAsia="en-US"/>
    </w:rPr>
  </w:style>
  <w:style w:type="paragraph" w:customStyle="1" w:styleId="COMtbl-textLeftAligned">
    <w:name w:val="COMtbl-text Left Aligned"/>
    <w:basedOn w:val="COMtbl-HEADLeftAligned"/>
    <w:uiPriority w:val="99"/>
    <w:rsid w:val="00860569"/>
    <w:rPr>
      <w:b w:val="0"/>
    </w:rPr>
  </w:style>
  <w:style w:type="paragraph" w:customStyle="1" w:styleId="COMtbl-textCentred">
    <w:name w:val="COMtbl-text Centred"/>
    <w:basedOn w:val="COMtbl-HEADCentred"/>
    <w:uiPriority w:val="99"/>
    <w:rsid w:val="00860569"/>
    <w:rPr>
      <w:b w:val="0"/>
    </w:rPr>
  </w:style>
  <w:style w:type="paragraph" w:styleId="Revision">
    <w:name w:val="Revision"/>
    <w:hidden/>
    <w:uiPriority w:val="99"/>
    <w:rsid w:val="00E77399"/>
    <w:rPr>
      <w:sz w:val="24"/>
      <w:szCs w:val="24"/>
    </w:rPr>
  </w:style>
  <w:style w:type="character" w:styleId="Hyperlink">
    <w:name w:val="Hyperlink"/>
    <w:basedOn w:val="DefaultParagraphFont"/>
    <w:uiPriority w:val="99"/>
    <w:rsid w:val="005B7A50"/>
    <w:rPr>
      <w:rFonts w:cs="Times New Roman"/>
      <w:color w:val="0000FF"/>
      <w:u w:val="single"/>
    </w:rPr>
  </w:style>
  <w:style w:type="character" w:styleId="FollowedHyperlink">
    <w:name w:val="FollowedHyperlink"/>
    <w:basedOn w:val="DefaultParagraphFont"/>
    <w:uiPriority w:val="99"/>
    <w:semiHidden/>
    <w:unhideWhenUsed/>
    <w:rsid w:val="006A5D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B2"/>
    <w:rPr>
      <w:sz w:val="24"/>
      <w:szCs w:val="24"/>
    </w:rPr>
  </w:style>
  <w:style w:type="paragraph" w:styleId="Heading1">
    <w:name w:val="heading 1"/>
    <w:basedOn w:val="Normal"/>
    <w:next w:val="Normal"/>
    <w:link w:val="Heading1Char"/>
    <w:uiPriority w:val="99"/>
    <w:qFormat/>
    <w:rsid w:val="005A1DB2"/>
    <w:pPr>
      <w:keepNext/>
      <w:outlineLvl w:val="0"/>
    </w:pPr>
    <w:rPr>
      <w:b/>
    </w:rPr>
  </w:style>
  <w:style w:type="paragraph" w:styleId="Heading2">
    <w:name w:val="heading 2"/>
    <w:basedOn w:val="Normal"/>
    <w:next w:val="Normal"/>
    <w:link w:val="Heading2Char"/>
    <w:uiPriority w:val="99"/>
    <w:qFormat/>
    <w:rsid w:val="005A1DB2"/>
    <w:pPr>
      <w:keepNext/>
      <w:outlineLvl w:val="1"/>
    </w:pPr>
  </w:style>
  <w:style w:type="paragraph" w:styleId="Heading5">
    <w:name w:val="heading 5"/>
    <w:basedOn w:val="Normal"/>
    <w:next w:val="Normal"/>
    <w:link w:val="Heading5Char"/>
    <w:uiPriority w:val="99"/>
    <w:qFormat/>
    <w:rsid w:val="005A1DB2"/>
    <w:pPr>
      <w:spacing w:before="240" w:after="60"/>
      <w:outlineLvl w:val="4"/>
    </w:pPr>
    <w:rPr>
      <w:b/>
      <w:bCs/>
      <w:i/>
      <w:iCs/>
      <w:sz w:val="26"/>
      <w:szCs w:val="26"/>
    </w:rPr>
  </w:style>
  <w:style w:type="paragraph" w:styleId="Heading6">
    <w:name w:val="heading 6"/>
    <w:basedOn w:val="Normal"/>
    <w:next w:val="Normal"/>
    <w:link w:val="Heading6Char"/>
    <w:uiPriority w:val="99"/>
    <w:qFormat/>
    <w:rsid w:val="005A1DB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3F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243F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8243F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243FE"/>
    <w:rPr>
      <w:rFonts w:asciiTheme="minorHAnsi" w:eastAsiaTheme="minorEastAsia" w:hAnsiTheme="minorHAnsi" w:cstheme="minorBidi"/>
      <w:b/>
      <w:bCs/>
    </w:rPr>
  </w:style>
  <w:style w:type="paragraph" w:styleId="Header">
    <w:name w:val="header"/>
    <w:aliases w:val="Page Header,Header title,he=header,cntr/bld"/>
    <w:basedOn w:val="Normal"/>
    <w:link w:val="HeaderChar"/>
    <w:uiPriority w:val="99"/>
    <w:rsid w:val="005A1DB2"/>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locked/>
    <w:rsid w:val="005A3173"/>
    <w:rPr>
      <w:sz w:val="24"/>
      <w:lang w:eastAsia="en-AU"/>
    </w:rPr>
  </w:style>
  <w:style w:type="paragraph" w:styleId="Footer">
    <w:name w:val="footer"/>
    <w:basedOn w:val="Normal"/>
    <w:link w:val="FooterChar"/>
    <w:uiPriority w:val="99"/>
    <w:rsid w:val="005A1DB2"/>
    <w:pPr>
      <w:tabs>
        <w:tab w:val="center" w:pos="4153"/>
        <w:tab w:val="right" w:pos="8306"/>
      </w:tabs>
    </w:pPr>
  </w:style>
  <w:style w:type="character" w:customStyle="1" w:styleId="FooterChar">
    <w:name w:val="Footer Char"/>
    <w:basedOn w:val="DefaultParagraphFont"/>
    <w:link w:val="Footer"/>
    <w:uiPriority w:val="99"/>
    <w:locked/>
    <w:rsid w:val="00B205AA"/>
    <w:rPr>
      <w:rFonts w:cs="Times New Roman"/>
      <w:sz w:val="24"/>
      <w:szCs w:val="24"/>
    </w:rPr>
  </w:style>
  <w:style w:type="character" w:styleId="PageNumber">
    <w:name w:val="page number"/>
    <w:basedOn w:val="DefaultParagraphFont"/>
    <w:uiPriority w:val="99"/>
    <w:rsid w:val="005A1DB2"/>
    <w:rPr>
      <w:rFonts w:cs="Times New Roman"/>
    </w:rPr>
  </w:style>
  <w:style w:type="paragraph" w:styleId="BalloonText">
    <w:name w:val="Balloon Text"/>
    <w:basedOn w:val="Normal"/>
    <w:link w:val="BalloonTextChar"/>
    <w:uiPriority w:val="99"/>
    <w:semiHidden/>
    <w:rsid w:val="005A1DB2"/>
    <w:rPr>
      <w:rFonts w:ascii="Tahoma" w:hAnsi="Tahoma" w:cs="Tahoma"/>
      <w:sz w:val="16"/>
      <w:szCs w:val="16"/>
    </w:rPr>
  </w:style>
  <w:style w:type="character" w:customStyle="1" w:styleId="BalloonTextChar">
    <w:name w:val="Balloon Text Char"/>
    <w:basedOn w:val="DefaultParagraphFont"/>
    <w:link w:val="BalloonText"/>
    <w:uiPriority w:val="99"/>
    <w:semiHidden/>
    <w:rsid w:val="008243FE"/>
    <w:rPr>
      <w:sz w:val="0"/>
      <w:szCs w:val="0"/>
    </w:rPr>
  </w:style>
  <w:style w:type="table" w:styleId="TableGrid">
    <w:name w:val="Table Grid"/>
    <w:basedOn w:val="TableNormal"/>
    <w:uiPriority w:val="99"/>
    <w:rsid w:val="005A1D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5A1DB2"/>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uiPriority w:val="99"/>
    <w:rsid w:val="005A1DB2"/>
    <w:pPr>
      <w:spacing w:after="120"/>
    </w:pPr>
    <w:rPr>
      <w:rFonts w:ascii="Arial" w:hAnsi="Arial"/>
      <w:sz w:val="20"/>
      <w:szCs w:val="20"/>
      <w:lang w:eastAsia="en-US"/>
    </w:rPr>
  </w:style>
  <w:style w:type="paragraph" w:styleId="BodyText2">
    <w:name w:val="Body Text 2"/>
    <w:basedOn w:val="Normal"/>
    <w:link w:val="BodyText2Char"/>
    <w:uiPriority w:val="99"/>
    <w:rsid w:val="005A1DB2"/>
    <w:pPr>
      <w:widowControl w:val="0"/>
      <w:jc w:val="both"/>
    </w:pPr>
    <w:rPr>
      <w:rFonts w:ascii="Arial" w:hAnsi="Arial"/>
      <w:sz w:val="20"/>
      <w:szCs w:val="20"/>
      <w:lang w:eastAsia="en-US"/>
    </w:rPr>
  </w:style>
  <w:style w:type="character" w:customStyle="1" w:styleId="BodyText2Char">
    <w:name w:val="Body Text 2 Char"/>
    <w:basedOn w:val="DefaultParagraphFont"/>
    <w:link w:val="BodyText2"/>
    <w:uiPriority w:val="99"/>
    <w:locked/>
    <w:rsid w:val="005A1DB2"/>
    <w:rPr>
      <w:rFonts w:ascii="Arial" w:hAnsi="Arial"/>
      <w:snapToGrid w:val="0"/>
      <w:lang w:val="en-AU" w:eastAsia="en-US"/>
    </w:rPr>
  </w:style>
  <w:style w:type="paragraph" w:customStyle="1" w:styleId="TableHeading">
    <w:name w:val="TableHeading"/>
    <w:basedOn w:val="Normal"/>
    <w:uiPriority w:val="99"/>
    <w:rsid w:val="005A1DB2"/>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uiPriority w:val="99"/>
    <w:rsid w:val="005A1DB2"/>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uiPriority w:val="99"/>
    <w:rsid w:val="005A1DB2"/>
    <w:pPr>
      <w:spacing w:after="120"/>
    </w:pPr>
    <w:rPr>
      <w:sz w:val="16"/>
      <w:szCs w:val="16"/>
    </w:rPr>
  </w:style>
  <w:style w:type="character" w:customStyle="1" w:styleId="BodyText3Char">
    <w:name w:val="Body Text 3 Char"/>
    <w:basedOn w:val="DefaultParagraphFont"/>
    <w:link w:val="BodyText3"/>
    <w:uiPriority w:val="99"/>
    <w:semiHidden/>
    <w:rsid w:val="008243FE"/>
    <w:rPr>
      <w:sz w:val="16"/>
      <w:szCs w:val="16"/>
    </w:rPr>
  </w:style>
  <w:style w:type="character" w:customStyle="1" w:styleId="SubtitleChar">
    <w:name w:val="Subtitle Char"/>
    <w:link w:val="Subtitle"/>
    <w:uiPriority w:val="99"/>
    <w:semiHidden/>
    <w:locked/>
    <w:rsid w:val="005A1DB2"/>
    <w:rPr>
      <w:lang w:val="en-AU" w:eastAsia="en-US"/>
    </w:rPr>
  </w:style>
  <w:style w:type="paragraph" w:styleId="Subtitle">
    <w:name w:val="Subtitle"/>
    <w:basedOn w:val="Normal"/>
    <w:link w:val="SubtitleChar"/>
    <w:uiPriority w:val="99"/>
    <w:qFormat/>
    <w:rsid w:val="005A1DB2"/>
    <w:pPr>
      <w:jc w:val="both"/>
    </w:pPr>
    <w:rPr>
      <w:sz w:val="20"/>
      <w:szCs w:val="20"/>
      <w:lang w:eastAsia="en-US"/>
    </w:rPr>
  </w:style>
  <w:style w:type="character" w:customStyle="1" w:styleId="SubtitleChar1">
    <w:name w:val="Subtitle Char1"/>
    <w:basedOn w:val="DefaultParagraphFont"/>
    <w:uiPriority w:val="11"/>
    <w:rsid w:val="008243FE"/>
    <w:rPr>
      <w:rFonts w:asciiTheme="majorHAnsi" w:eastAsiaTheme="majorEastAsia" w:hAnsiTheme="majorHAnsi" w:cstheme="majorBidi"/>
      <w:sz w:val="24"/>
      <w:szCs w:val="24"/>
    </w:rPr>
  </w:style>
  <w:style w:type="paragraph" w:customStyle="1" w:styleId="MediumGrid21">
    <w:name w:val="Medium Grid 21"/>
    <w:link w:val="MediumGrid2Char"/>
    <w:uiPriority w:val="99"/>
    <w:rsid w:val="005A3173"/>
    <w:rPr>
      <w:rFonts w:ascii="PMingLiU" w:eastAsia="MS Mincho" w:hAnsi="PMingLiU"/>
      <w:lang w:val="en-US"/>
    </w:rPr>
  </w:style>
  <w:style w:type="character" w:customStyle="1" w:styleId="MediumGrid2Char">
    <w:name w:val="Medium Grid 2 Char"/>
    <w:link w:val="MediumGrid21"/>
    <w:uiPriority w:val="99"/>
    <w:locked/>
    <w:rsid w:val="005A3173"/>
    <w:rPr>
      <w:rFonts w:ascii="PMingLiU" w:eastAsia="MS Mincho" w:hAnsi="PMingLiU"/>
      <w:sz w:val="22"/>
      <w:lang w:val="en-US"/>
    </w:rPr>
  </w:style>
  <w:style w:type="table" w:customStyle="1" w:styleId="IntenseQuote1">
    <w:name w:val="Intense Quote1"/>
    <w:uiPriority w:val="99"/>
    <w:rsid w:val="00A06225"/>
    <w:rPr>
      <w:rFonts w:ascii="Cambria" w:eastAsia="MS Mincho" w:hAnsi="Cambria"/>
      <w:color w:val="365F91"/>
      <w:sz w:val="20"/>
      <w:szCs w:val="20"/>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ListParagraph">
    <w:name w:val="List Paragraph"/>
    <w:basedOn w:val="Normal"/>
    <w:uiPriority w:val="72"/>
    <w:qFormat/>
    <w:rsid w:val="00C35996"/>
    <w:pPr>
      <w:ind w:left="720"/>
      <w:contextualSpacing/>
    </w:pPr>
  </w:style>
  <w:style w:type="character" w:styleId="CommentReference">
    <w:name w:val="annotation reference"/>
    <w:basedOn w:val="DefaultParagraphFont"/>
    <w:uiPriority w:val="99"/>
    <w:rsid w:val="00BB7EC3"/>
    <w:rPr>
      <w:rFonts w:cs="Times New Roman"/>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locked/>
    <w:rsid w:val="00BB7EC3"/>
    <w:rPr>
      <w:rFonts w:cs="Times New Roman"/>
    </w:rPr>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locked/>
    <w:rsid w:val="00BB7EC3"/>
    <w:rPr>
      <w:rFonts w:cs="Times New Roman"/>
      <w:b/>
      <w:bCs/>
    </w:rPr>
  </w:style>
  <w:style w:type="paragraph" w:customStyle="1" w:styleId="COMtbl-HEADLeftAligned">
    <w:name w:val="COMtbl-HEAD Left Aligned"/>
    <w:basedOn w:val="Normal"/>
    <w:uiPriority w:val="99"/>
    <w:rsid w:val="00860569"/>
    <w:pPr>
      <w:widowControl w:val="0"/>
      <w:tabs>
        <w:tab w:val="left" w:pos="720"/>
      </w:tabs>
    </w:pPr>
    <w:rPr>
      <w:rFonts w:ascii="Arial Narrow" w:hAnsi="Arial Narrow" w:cs="Arial"/>
      <w:b/>
      <w:sz w:val="20"/>
      <w:szCs w:val="20"/>
      <w:lang w:eastAsia="en-US"/>
    </w:rPr>
  </w:style>
  <w:style w:type="paragraph" w:customStyle="1" w:styleId="COMtbl-HEADCentred">
    <w:name w:val="COMtbl-HEAD Centred"/>
    <w:basedOn w:val="COMtbl-HEADLeftAligned"/>
    <w:uiPriority w:val="99"/>
    <w:rsid w:val="00860569"/>
    <w:pPr>
      <w:jc w:val="center"/>
    </w:pPr>
  </w:style>
  <w:style w:type="paragraph" w:customStyle="1" w:styleId="COMBody">
    <w:name w:val="COMBody"/>
    <w:basedOn w:val="Normal"/>
    <w:link w:val="COMBodyChar"/>
    <w:uiPriority w:val="99"/>
    <w:rsid w:val="00860569"/>
    <w:pPr>
      <w:widowControl w:val="0"/>
      <w:jc w:val="both"/>
    </w:pPr>
    <w:rPr>
      <w:rFonts w:ascii="Arial" w:hAnsi="Arial" w:cs="Arial"/>
      <w:sz w:val="22"/>
      <w:szCs w:val="20"/>
      <w:lang w:eastAsia="en-US"/>
    </w:rPr>
  </w:style>
  <w:style w:type="character" w:customStyle="1" w:styleId="COMBodyChar">
    <w:name w:val="COMBody Char"/>
    <w:basedOn w:val="DefaultParagraphFont"/>
    <w:link w:val="COMBody"/>
    <w:uiPriority w:val="99"/>
    <w:locked/>
    <w:rsid w:val="00860569"/>
    <w:rPr>
      <w:rFonts w:ascii="Arial" w:hAnsi="Arial" w:cs="Arial"/>
      <w:snapToGrid w:val="0"/>
      <w:sz w:val="22"/>
      <w:lang w:eastAsia="en-US"/>
    </w:rPr>
  </w:style>
  <w:style w:type="paragraph" w:customStyle="1" w:styleId="COMTbl-foot">
    <w:name w:val="COMTbl-foot"/>
    <w:basedOn w:val="Normal"/>
    <w:link w:val="COMTbl-footChar"/>
    <w:uiPriority w:val="99"/>
    <w:rsid w:val="00860569"/>
    <w:pPr>
      <w:widowControl w:val="0"/>
      <w:jc w:val="both"/>
    </w:pPr>
    <w:rPr>
      <w:rFonts w:ascii="Arial Narrow" w:hAnsi="Arial Narrow" w:cs="Arial"/>
      <w:sz w:val="18"/>
      <w:szCs w:val="20"/>
      <w:lang w:eastAsia="en-US"/>
    </w:rPr>
  </w:style>
  <w:style w:type="character" w:customStyle="1" w:styleId="COMTbl-footChar">
    <w:name w:val="COMTbl-foot Char"/>
    <w:basedOn w:val="DefaultParagraphFont"/>
    <w:link w:val="COMTbl-foot"/>
    <w:uiPriority w:val="99"/>
    <w:locked/>
    <w:rsid w:val="00860569"/>
    <w:rPr>
      <w:rFonts w:ascii="Arial Narrow" w:hAnsi="Arial Narrow" w:cs="Arial"/>
      <w:snapToGrid w:val="0"/>
      <w:sz w:val="18"/>
      <w:lang w:eastAsia="en-US"/>
    </w:rPr>
  </w:style>
  <w:style w:type="paragraph" w:customStyle="1" w:styleId="COMtbl-textLeftAligned">
    <w:name w:val="COMtbl-text Left Aligned"/>
    <w:basedOn w:val="COMtbl-HEADLeftAligned"/>
    <w:uiPriority w:val="99"/>
    <w:rsid w:val="00860569"/>
    <w:rPr>
      <w:b w:val="0"/>
    </w:rPr>
  </w:style>
  <w:style w:type="paragraph" w:customStyle="1" w:styleId="COMtbl-textCentred">
    <w:name w:val="COMtbl-text Centred"/>
    <w:basedOn w:val="COMtbl-HEADCentred"/>
    <w:uiPriority w:val="99"/>
    <w:rsid w:val="00860569"/>
    <w:rPr>
      <w:b w:val="0"/>
    </w:rPr>
  </w:style>
  <w:style w:type="paragraph" w:styleId="Revision">
    <w:name w:val="Revision"/>
    <w:hidden/>
    <w:uiPriority w:val="99"/>
    <w:rsid w:val="00E77399"/>
    <w:rPr>
      <w:sz w:val="24"/>
      <w:szCs w:val="24"/>
    </w:rPr>
  </w:style>
  <w:style w:type="character" w:styleId="Hyperlink">
    <w:name w:val="Hyperlink"/>
    <w:basedOn w:val="DefaultParagraphFont"/>
    <w:uiPriority w:val="99"/>
    <w:rsid w:val="005B7A50"/>
    <w:rPr>
      <w:rFonts w:cs="Times New Roman"/>
      <w:color w:val="0000FF"/>
      <w:u w:val="single"/>
    </w:rPr>
  </w:style>
  <w:style w:type="character" w:styleId="FollowedHyperlink">
    <w:name w:val="FollowedHyperlink"/>
    <w:basedOn w:val="DefaultParagraphFont"/>
    <w:uiPriority w:val="99"/>
    <w:semiHidden/>
    <w:unhideWhenUsed/>
    <w:rsid w:val="006A5D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30227">
      <w:marLeft w:val="0"/>
      <w:marRight w:val="0"/>
      <w:marTop w:val="0"/>
      <w:marBottom w:val="0"/>
      <w:divBdr>
        <w:top w:val="none" w:sz="0" w:space="0" w:color="auto"/>
        <w:left w:val="none" w:sz="0" w:space="0" w:color="auto"/>
        <w:bottom w:val="none" w:sz="0" w:space="0" w:color="auto"/>
        <w:right w:val="none" w:sz="0" w:space="0" w:color="auto"/>
      </w:divBdr>
    </w:div>
    <w:div w:id="581330233">
      <w:marLeft w:val="0"/>
      <w:marRight w:val="0"/>
      <w:marTop w:val="0"/>
      <w:marBottom w:val="0"/>
      <w:divBdr>
        <w:top w:val="none" w:sz="0" w:space="0" w:color="auto"/>
        <w:left w:val="none" w:sz="0" w:space="0" w:color="auto"/>
        <w:bottom w:val="none" w:sz="0" w:space="0" w:color="auto"/>
        <w:right w:val="none" w:sz="0" w:space="0" w:color="auto"/>
      </w:divBdr>
    </w:div>
    <w:div w:id="581330234">
      <w:marLeft w:val="0"/>
      <w:marRight w:val="0"/>
      <w:marTop w:val="0"/>
      <w:marBottom w:val="0"/>
      <w:divBdr>
        <w:top w:val="none" w:sz="0" w:space="0" w:color="auto"/>
        <w:left w:val="none" w:sz="0" w:space="0" w:color="auto"/>
        <w:bottom w:val="none" w:sz="0" w:space="0" w:color="auto"/>
        <w:right w:val="none" w:sz="0" w:space="0" w:color="auto"/>
      </w:divBdr>
      <w:divsChild>
        <w:div w:id="581330238">
          <w:marLeft w:val="0"/>
          <w:marRight w:val="0"/>
          <w:marTop w:val="0"/>
          <w:marBottom w:val="0"/>
          <w:divBdr>
            <w:top w:val="none" w:sz="0" w:space="0" w:color="auto"/>
            <w:left w:val="none" w:sz="0" w:space="0" w:color="auto"/>
            <w:bottom w:val="none" w:sz="0" w:space="0" w:color="auto"/>
            <w:right w:val="none" w:sz="0" w:space="0" w:color="auto"/>
          </w:divBdr>
        </w:div>
      </w:divsChild>
    </w:div>
    <w:div w:id="581330236">
      <w:marLeft w:val="0"/>
      <w:marRight w:val="0"/>
      <w:marTop w:val="0"/>
      <w:marBottom w:val="0"/>
      <w:divBdr>
        <w:top w:val="none" w:sz="0" w:space="0" w:color="auto"/>
        <w:left w:val="none" w:sz="0" w:space="0" w:color="auto"/>
        <w:bottom w:val="none" w:sz="0" w:space="0" w:color="auto"/>
        <w:right w:val="none" w:sz="0" w:space="0" w:color="auto"/>
      </w:divBdr>
      <w:divsChild>
        <w:div w:id="581330230">
          <w:marLeft w:val="0"/>
          <w:marRight w:val="0"/>
          <w:marTop w:val="0"/>
          <w:marBottom w:val="0"/>
          <w:divBdr>
            <w:top w:val="none" w:sz="0" w:space="0" w:color="auto"/>
            <w:left w:val="none" w:sz="0" w:space="0" w:color="auto"/>
            <w:bottom w:val="none" w:sz="0" w:space="0" w:color="auto"/>
            <w:right w:val="none" w:sz="0" w:space="0" w:color="auto"/>
          </w:divBdr>
          <w:divsChild>
            <w:div w:id="581330229">
              <w:marLeft w:val="0"/>
              <w:marRight w:val="0"/>
              <w:marTop w:val="0"/>
              <w:marBottom w:val="0"/>
              <w:divBdr>
                <w:top w:val="none" w:sz="0" w:space="0" w:color="auto"/>
                <w:left w:val="none" w:sz="0" w:space="0" w:color="auto"/>
                <w:bottom w:val="none" w:sz="0" w:space="0" w:color="auto"/>
                <w:right w:val="none" w:sz="0" w:space="0" w:color="auto"/>
              </w:divBdr>
              <w:divsChild>
                <w:div w:id="581330237">
                  <w:marLeft w:val="0"/>
                  <w:marRight w:val="0"/>
                  <w:marTop w:val="0"/>
                  <w:marBottom w:val="0"/>
                  <w:divBdr>
                    <w:top w:val="none" w:sz="0" w:space="0" w:color="auto"/>
                    <w:left w:val="none" w:sz="0" w:space="0" w:color="auto"/>
                    <w:bottom w:val="none" w:sz="0" w:space="0" w:color="auto"/>
                    <w:right w:val="none" w:sz="0" w:space="0" w:color="auto"/>
                  </w:divBdr>
                  <w:divsChild>
                    <w:div w:id="58133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0239">
      <w:marLeft w:val="0"/>
      <w:marRight w:val="0"/>
      <w:marTop w:val="0"/>
      <w:marBottom w:val="0"/>
      <w:divBdr>
        <w:top w:val="none" w:sz="0" w:space="0" w:color="auto"/>
        <w:left w:val="none" w:sz="0" w:space="0" w:color="auto"/>
        <w:bottom w:val="none" w:sz="0" w:space="0" w:color="auto"/>
        <w:right w:val="none" w:sz="0" w:space="0" w:color="auto"/>
      </w:divBdr>
      <w:divsChild>
        <w:div w:id="581330232">
          <w:marLeft w:val="0"/>
          <w:marRight w:val="0"/>
          <w:marTop w:val="0"/>
          <w:marBottom w:val="0"/>
          <w:divBdr>
            <w:top w:val="none" w:sz="0" w:space="0" w:color="auto"/>
            <w:left w:val="none" w:sz="0" w:space="0" w:color="auto"/>
            <w:bottom w:val="none" w:sz="0" w:space="0" w:color="auto"/>
            <w:right w:val="none" w:sz="0" w:space="0" w:color="auto"/>
          </w:divBdr>
        </w:div>
      </w:divsChild>
    </w:div>
    <w:div w:id="581330240">
      <w:marLeft w:val="0"/>
      <w:marRight w:val="0"/>
      <w:marTop w:val="0"/>
      <w:marBottom w:val="0"/>
      <w:divBdr>
        <w:top w:val="none" w:sz="0" w:space="0" w:color="auto"/>
        <w:left w:val="none" w:sz="0" w:space="0" w:color="auto"/>
        <w:bottom w:val="none" w:sz="0" w:space="0" w:color="auto"/>
        <w:right w:val="none" w:sz="0" w:space="0" w:color="auto"/>
      </w:divBdr>
      <w:divsChild>
        <w:div w:id="581330231">
          <w:marLeft w:val="0"/>
          <w:marRight w:val="0"/>
          <w:marTop w:val="0"/>
          <w:marBottom w:val="0"/>
          <w:divBdr>
            <w:top w:val="none" w:sz="0" w:space="0" w:color="auto"/>
            <w:left w:val="none" w:sz="0" w:space="0" w:color="auto"/>
            <w:bottom w:val="none" w:sz="0" w:space="0" w:color="auto"/>
            <w:right w:val="none" w:sz="0" w:space="0" w:color="auto"/>
          </w:divBdr>
          <w:divsChild>
            <w:div w:id="581330242">
              <w:marLeft w:val="0"/>
              <w:marRight w:val="0"/>
              <w:marTop w:val="0"/>
              <w:marBottom w:val="0"/>
              <w:divBdr>
                <w:top w:val="none" w:sz="0" w:space="0" w:color="auto"/>
                <w:left w:val="none" w:sz="0" w:space="0" w:color="auto"/>
                <w:bottom w:val="none" w:sz="0" w:space="0" w:color="auto"/>
                <w:right w:val="none" w:sz="0" w:space="0" w:color="auto"/>
              </w:divBdr>
              <w:divsChild>
                <w:div w:id="581330243">
                  <w:marLeft w:val="0"/>
                  <w:marRight w:val="0"/>
                  <w:marTop w:val="0"/>
                  <w:marBottom w:val="0"/>
                  <w:divBdr>
                    <w:top w:val="none" w:sz="0" w:space="0" w:color="auto"/>
                    <w:left w:val="none" w:sz="0" w:space="0" w:color="auto"/>
                    <w:bottom w:val="none" w:sz="0" w:space="0" w:color="auto"/>
                    <w:right w:val="none" w:sz="0" w:space="0" w:color="auto"/>
                  </w:divBdr>
                  <w:divsChild>
                    <w:div w:id="5813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0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9E31E-5009-4057-9128-2ACDB994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8100</Words>
  <Characters>51921</Characters>
  <Application>Microsoft Office Word</Application>
  <DocSecurity>0</DocSecurity>
  <Lines>432</Lines>
  <Paragraphs>119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2</cp:revision>
  <cp:lastPrinted>2014-08-01T05:24:00Z</cp:lastPrinted>
  <dcterms:created xsi:type="dcterms:W3CDTF">2014-10-08T23:06:00Z</dcterms:created>
  <dcterms:modified xsi:type="dcterms:W3CDTF">2014-11-04T23:46:00Z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