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CCE" w:rsidRDefault="001A0846" w:rsidP="000F3A66">
      <w:pPr>
        <w:pStyle w:val="Heading1"/>
      </w:pPr>
      <w:r w:rsidRPr="00E35CCE">
        <w:t>6</w:t>
      </w:r>
      <w:r w:rsidR="0004240E" w:rsidRPr="00E35CCE">
        <w:t>.</w:t>
      </w:r>
      <w:r w:rsidRPr="00E35CCE">
        <w:t>1</w:t>
      </w:r>
      <w:r w:rsidR="007C0F57" w:rsidRPr="00E35CCE">
        <w:tab/>
      </w:r>
      <w:r w:rsidRPr="00E35CCE">
        <w:t>ABIRATERONE ACETATE,</w:t>
      </w:r>
    </w:p>
    <w:p w:rsidR="00D3280C" w:rsidRPr="00E35CCE" w:rsidRDefault="001A0846" w:rsidP="000F3A66">
      <w:pPr>
        <w:pStyle w:val="Heading1"/>
      </w:pPr>
      <w:proofErr w:type="gramStart"/>
      <w:r w:rsidRPr="00E35CCE">
        <w:t>tablet</w:t>
      </w:r>
      <w:proofErr w:type="gramEnd"/>
      <w:r w:rsidRPr="00E35CCE">
        <w:t xml:space="preserve">, 250 mg, </w:t>
      </w:r>
      <w:proofErr w:type="spellStart"/>
      <w:r w:rsidRPr="00E35CCE">
        <w:t>Zytiga</w:t>
      </w:r>
      <w:proofErr w:type="spellEnd"/>
      <w:r w:rsidRPr="00E35CCE">
        <w:t>®, Janssen-</w:t>
      </w:r>
      <w:proofErr w:type="spellStart"/>
      <w:r w:rsidRPr="00E35CCE">
        <w:t>Cilag</w:t>
      </w:r>
      <w:proofErr w:type="spellEnd"/>
      <w:r w:rsidRPr="00E35CCE">
        <w:t xml:space="preserve"> Pty Ltd</w:t>
      </w:r>
    </w:p>
    <w:p w:rsidR="008D447E" w:rsidRPr="00E35CCE" w:rsidRDefault="008D447E" w:rsidP="00E35CCE">
      <w:pPr>
        <w:rPr>
          <w:rFonts w:ascii="Arial" w:hAnsi="Arial"/>
          <w:b/>
        </w:rPr>
      </w:pPr>
    </w:p>
    <w:p w:rsidR="00CE10C4" w:rsidRPr="00E35CCE" w:rsidRDefault="00CE10C4" w:rsidP="00E35CCE">
      <w:pPr>
        <w:pStyle w:val="ListParagraph"/>
        <w:numPr>
          <w:ilvl w:val="0"/>
          <w:numId w:val="25"/>
        </w:numPr>
        <w:jc w:val="both"/>
        <w:rPr>
          <w:rFonts w:ascii="Arial" w:hAnsi="Arial"/>
          <w:b/>
          <w:sz w:val="22"/>
          <w:szCs w:val="22"/>
        </w:rPr>
      </w:pPr>
      <w:r w:rsidRPr="00E35CCE">
        <w:rPr>
          <w:rFonts w:ascii="Arial" w:hAnsi="Arial"/>
          <w:b/>
          <w:sz w:val="22"/>
          <w:szCs w:val="22"/>
        </w:rPr>
        <w:t xml:space="preserve">Purpose of </w:t>
      </w:r>
      <w:r w:rsidR="0004240E" w:rsidRPr="00E35CCE">
        <w:rPr>
          <w:rFonts w:ascii="Arial" w:hAnsi="Arial"/>
          <w:b/>
          <w:sz w:val="22"/>
          <w:szCs w:val="22"/>
        </w:rPr>
        <w:t>Application</w:t>
      </w:r>
    </w:p>
    <w:p w:rsidR="006A12A5" w:rsidRPr="00E35CCE" w:rsidRDefault="006A12A5" w:rsidP="00E35CCE">
      <w:pPr>
        <w:jc w:val="both"/>
        <w:rPr>
          <w:rFonts w:ascii="Arial" w:hAnsi="Arial"/>
          <w:sz w:val="22"/>
          <w:szCs w:val="22"/>
        </w:rPr>
      </w:pPr>
    </w:p>
    <w:p w:rsidR="00E16910" w:rsidRPr="00E35CCE" w:rsidRDefault="00E716FC" w:rsidP="00E35CCE">
      <w:pPr>
        <w:pStyle w:val="ListParagraph"/>
        <w:numPr>
          <w:ilvl w:val="1"/>
          <w:numId w:val="25"/>
        </w:numPr>
        <w:jc w:val="both"/>
        <w:rPr>
          <w:rFonts w:ascii="Arial" w:hAnsi="Arial"/>
          <w:sz w:val="22"/>
          <w:szCs w:val="22"/>
        </w:rPr>
      </w:pPr>
      <w:r w:rsidRPr="00E35CCE">
        <w:rPr>
          <w:rFonts w:ascii="Arial" w:hAnsi="Arial"/>
          <w:sz w:val="22"/>
          <w:szCs w:val="22"/>
        </w:rPr>
        <w:t>Authority r</w:t>
      </w:r>
      <w:r w:rsidR="001A0846" w:rsidRPr="00E35CCE">
        <w:rPr>
          <w:rFonts w:ascii="Arial" w:hAnsi="Arial"/>
          <w:sz w:val="22"/>
          <w:szCs w:val="22"/>
        </w:rPr>
        <w:t xml:space="preserve">equired listing for </w:t>
      </w:r>
      <w:proofErr w:type="spellStart"/>
      <w:r w:rsidR="001A0846" w:rsidRPr="00E35CCE">
        <w:rPr>
          <w:rFonts w:ascii="Arial" w:hAnsi="Arial"/>
          <w:sz w:val="22"/>
          <w:szCs w:val="22"/>
        </w:rPr>
        <w:t>abiraterone</w:t>
      </w:r>
      <w:proofErr w:type="spellEnd"/>
      <w:r w:rsidR="001A0846" w:rsidRPr="00E35CCE">
        <w:rPr>
          <w:rFonts w:ascii="Arial" w:hAnsi="Arial"/>
          <w:sz w:val="22"/>
          <w:szCs w:val="22"/>
        </w:rPr>
        <w:t xml:space="preserve"> for treatment of metastatic castrate-resistant prostate cancer (</w:t>
      </w:r>
      <w:proofErr w:type="spellStart"/>
      <w:r w:rsidR="001A0846" w:rsidRPr="00E35CCE">
        <w:rPr>
          <w:rFonts w:ascii="Arial" w:hAnsi="Arial"/>
          <w:sz w:val="22"/>
          <w:szCs w:val="22"/>
        </w:rPr>
        <w:t>mCRPC</w:t>
      </w:r>
      <w:proofErr w:type="spellEnd"/>
      <w:r w:rsidR="001A0846" w:rsidRPr="00E35CCE">
        <w:rPr>
          <w:rFonts w:ascii="Arial" w:hAnsi="Arial"/>
          <w:sz w:val="22"/>
          <w:szCs w:val="22"/>
        </w:rPr>
        <w:t xml:space="preserve">) after treatment failure with androgen deprivation therapy (ADT; </w:t>
      </w:r>
      <w:proofErr w:type="spellStart"/>
      <w:r w:rsidR="001A0846" w:rsidRPr="00E35CCE">
        <w:rPr>
          <w:rFonts w:ascii="Arial" w:hAnsi="Arial"/>
          <w:sz w:val="22"/>
          <w:szCs w:val="22"/>
        </w:rPr>
        <w:t>ie</w:t>
      </w:r>
      <w:proofErr w:type="spellEnd"/>
      <w:r w:rsidR="001A0846" w:rsidRPr="00E35CCE">
        <w:rPr>
          <w:rFonts w:ascii="Arial" w:hAnsi="Arial"/>
          <w:sz w:val="22"/>
          <w:szCs w:val="22"/>
        </w:rPr>
        <w:t xml:space="preserve">, prior to treatment with </w:t>
      </w:r>
      <w:proofErr w:type="spellStart"/>
      <w:r w:rsidR="001A0846" w:rsidRPr="00E35CCE">
        <w:rPr>
          <w:rFonts w:ascii="Arial" w:hAnsi="Arial"/>
          <w:sz w:val="22"/>
          <w:szCs w:val="22"/>
        </w:rPr>
        <w:t>docetaxel</w:t>
      </w:r>
      <w:proofErr w:type="spellEnd"/>
      <w:r w:rsidR="001A0846" w:rsidRPr="00E35CCE">
        <w:rPr>
          <w:rFonts w:ascii="Arial" w:hAnsi="Arial"/>
          <w:sz w:val="22"/>
          <w:szCs w:val="22"/>
        </w:rPr>
        <w:t xml:space="preserve">). </w:t>
      </w:r>
    </w:p>
    <w:p w:rsidR="006A12A5" w:rsidRPr="00E35CCE" w:rsidRDefault="006A12A5" w:rsidP="00E35CCE">
      <w:pPr>
        <w:jc w:val="both"/>
        <w:rPr>
          <w:rFonts w:ascii="Arial" w:hAnsi="Arial"/>
          <w:b/>
          <w:sz w:val="22"/>
          <w:szCs w:val="22"/>
        </w:rPr>
      </w:pPr>
    </w:p>
    <w:p w:rsidR="00614159" w:rsidRPr="00E35CCE" w:rsidRDefault="006A12A5" w:rsidP="00E35CCE">
      <w:pPr>
        <w:pStyle w:val="ListParagraph"/>
        <w:numPr>
          <w:ilvl w:val="0"/>
          <w:numId w:val="25"/>
        </w:numPr>
        <w:jc w:val="both"/>
        <w:rPr>
          <w:rFonts w:ascii="Arial" w:hAnsi="Arial"/>
          <w:b/>
          <w:sz w:val="22"/>
          <w:szCs w:val="22"/>
        </w:rPr>
      </w:pPr>
      <w:r w:rsidRPr="00E35CCE">
        <w:rPr>
          <w:rFonts w:ascii="Arial" w:hAnsi="Arial"/>
          <w:b/>
          <w:sz w:val="22"/>
          <w:szCs w:val="22"/>
        </w:rPr>
        <w:t>Requested listing</w:t>
      </w:r>
    </w:p>
    <w:p w:rsidR="006A12A5" w:rsidRPr="00E35CCE" w:rsidRDefault="006A12A5" w:rsidP="00E35CCE">
      <w:pPr>
        <w:jc w:val="both"/>
        <w:rPr>
          <w:rFonts w:ascii="Arial" w:hAnsi="Arial"/>
          <w:b/>
          <w:sz w:val="22"/>
          <w:szCs w:val="22"/>
        </w:rPr>
      </w:pPr>
    </w:p>
    <w:p w:rsidR="002B1AE6" w:rsidRDefault="00533A65" w:rsidP="00E35CCE">
      <w:pPr>
        <w:pStyle w:val="ListParagraph"/>
        <w:numPr>
          <w:ilvl w:val="1"/>
          <w:numId w:val="25"/>
        </w:numPr>
        <w:jc w:val="both"/>
        <w:rPr>
          <w:rFonts w:ascii="Arial" w:hAnsi="Arial"/>
          <w:sz w:val="22"/>
          <w:szCs w:val="22"/>
        </w:rPr>
      </w:pPr>
      <w:r w:rsidRPr="00E35CCE">
        <w:rPr>
          <w:rFonts w:ascii="Arial" w:hAnsi="Arial"/>
          <w:sz w:val="22"/>
          <w:szCs w:val="22"/>
        </w:rPr>
        <w:t>The following restriction was requested.</w:t>
      </w:r>
      <w:r w:rsidR="007202D3" w:rsidRPr="00E35CCE">
        <w:rPr>
          <w:rFonts w:ascii="Arial" w:hAnsi="Arial"/>
          <w:sz w:val="22"/>
          <w:szCs w:val="22"/>
        </w:rPr>
        <w:t xml:space="preserve"> The strikethroughs are recommended changes from PBAC (notwithstanding the decision to reject the submission).</w:t>
      </w:r>
      <w:r w:rsidRPr="00E35CCE">
        <w:rPr>
          <w:rFonts w:ascii="Arial" w:hAnsi="Arial"/>
          <w:sz w:val="22"/>
          <w:szCs w:val="22"/>
        </w:rPr>
        <w:t xml:space="preserve"> </w:t>
      </w:r>
    </w:p>
    <w:p w:rsidR="0025466A" w:rsidRDefault="0025466A" w:rsidP="0025466A">
      <w:pPr>
        <w:jc w:val="both"/>
        <w:rPr>
          <w:rFonts w:ascii="Arial" w:hAnsi="Arial"/>
          <w:sz w:val="22"/>
          <w:szCs w:val="22"/>
        </w:rPr>
      </w:pPr>
    </w:p>
    <w:tbl>
      <w:tblPr>
        <w:tblW w:w="8345" w:type="dxa"/>
        <w:tblInd w:w="817" w:type="dxa"/>
        <w:tblLayout w:type="fixed"/>
        <w:tblLook w:val="04A0" w:firstRow="1" w:lastRow="0" w:firstColumn="1" w:lastColumn="0" w:noHBand="0" w:noVBand="1"/>
        <w:tblDescription w:val="Requested listing"/>
      </w:tblPr>
      <w:tblGrid>
        <w:gridCol w:w="4086"/>
        <w:gridCol w:w="1022"/>
        <w:gridCol w:w="1021"/>
        <w:gridCol w:w="854"/>
        <w:gridCol w:w="1362"/>
      </w:tblGrid>
      <w:tr w:rsidR="0025466A" w:rsidRPr="00E35CCE" w:rsidTr="0002746C">
        <w:trPr>
          <w:cantSplit/>
          <w:trHeight w:val="556"/>
        </w:trPr>
        <w:tc>
          <w:tcPr>
            <w:tcW w:w="4086" w:type="dxa"/>
            <w:tcBorders>
              <w:top w:val="nil"/>
              <w:left w:val="nil"/>
              <w:bottom w:val="single" w:sz="4" w:space="0" w:color="auto"/>
              <w:right w:val="nil"/>
            </w:tcBorders>
            <w:hideMark/>
          </w:tcPr>
          <w:p w:rsidR="0025466A" w:rsidRPr="00E35CCE" w:rsidRDefault="0025466A" w:rsidP="0025466A">
            <w:pPr>
              <w:keepNext/>
              <w:ind w:left="-108"/>
              <w:rPr>
                <w:rFonts w:ascii="Arial Narrow" w:hAnsi="Arial Narrow"/>
                <w:sz w:val="20"/>
              </w:rPr>
            </w:pPr>
            <w:r w:rsidRPr="00E35CCE">
              <w:rPr>
                <w:rFonts w:ascii="Arial Narrow" w:hAnsi="Arial Narrow"/>
                <w:sz w:val="20"/>
              </w:rPr>
              <w:t>Name, Restriction,</w:t>
            </w:r>
          </w:p>
          <w:p w:rsidR="0025466A" w:rsidRPr="00E35CCE" w:rsidRDefault="0025466A" w:rsidP="0025466A">
            <w:pPr>
              <w:keepNext/>
              <w:ind w:left="-108"/>
              <w:rPr>
                <w:rFonts w:ascii="Arial Narrow" w:hAnsi="Arial Narrow"/>
                <w:sz w:val="20"/>
              </w:rPr>
            </w:pPr>
            <w:r w:rsidRPr="00E35CCE">
              <w:rPr>
                <w:rFonts w:ascii="Arial Narrow" w:hAnsi="Arial Narrow"/>
                <w:sz w:val="20"/>
              </w:rPr>
              <w:t>Manner of administration and form</w:t>
            </w:r>
          </w:p>
        </w:tc>
        <w:tc>
          <w:tcPr>
            <w:tcW w:w="1022" w:type="dxa"/>
            <w:tcBorders>
              <w:top w:val="nil"/>
              <w:left w:val="nil"/>
              <w:bottom w:val="single" w:sz="4" w:space="0" w:color="auto"/>
              <w:right w:val="nil"/>
            </w:tcBorders>
            <w:hideMark/>
          </w:tcPr>
          <w:p w:rsidR="0025466A" w:rsidRPr="00E35CCE" w:rsidRDefault="0025466A" w:rsidP="0025466A">
            <w:pPr>
              <w:keepNext/>
              <w:ind w:left="-108"/>
              <w:rPr>
                <w:rFonts w:ascii="Arial Narrow" w:hAnsi="Arial Narrow"/>
                <w:sz w:val="20"/>
              </w:rPr>
            </w:pPr>
            <w:r w:rsidRPr="00E35CCE">
              <w:rPr>
                <w:rFonts w:ascii="Arial Narrow" w:hAnsi="Arial Narrow"/>
                <w:sz w:val="20"/>
              </w:rPr>
              <w:t>Max.</w:t>
            </w:r>
          </w:p>
          <w:p w:rsidR="0025466A" w:rsidRPr="00E35CCE" w:rsidRDefault="0025466A" w:rsidP="0025466A">
            <w:pPr>
              <w:keepNext/>
              <w:ind w:left="-108"/>
              <w:rPr>
                <w:rFonts w:ascii="Arial Narrow" w:hAnsi="Arial Narrow"/>
                <w:sz w:val="20"/>
              </w:rPr>
            </w:pPr>
            <w:proofErr w:type="spellStart"/>
            <w:r w:rsidRPr="00E35CCE">
              <w:rPr>
                <w:rFonts w:ascii="Arial Narrow" w:hAnsi="Arial Narrow"/>
                <w:sz w:val="20"/>
              </w:rPr>
              <w:t>Qty</w:t>
            </w:r>
            <w:proofErr w:type="spellEnd"/>
          </w:p>
        </w:tc>
        <w:tc>
          <w:tcPr>
            <w:tcW w:w="1021" w:type="dxa"/>
            <w:tcBorders>
              <w:top w:val="nil"/>
              <w:left w:val="nil"/>
              <w:bottom w:val="single" w:sz="4" w:space="0" w:color="auto"/>
              <w:right w:val="nil"/>
            </w:tcBorders>
            <w:hideMark/>
          </w:tcPr>
          <w:p w:rsidR="0025466A" w:rsidRPr="00E35CCE" w:rsidRDefault="0025466A" w:rsidP="0025466A">
            <w:pPr>
              <w:keepNext/>
              <w:ind w:left="-108"/>
              <w:rPr>
                <w:rFonts w:ascii="Arial Narrow" w:hAnsi="Arial Narrow"/>
                <w:sz w:val="20"/>
              </w:rPr>
            </w:pPr>
            <w:r w:rsidRPr="00E35CCE">
              <w:rPr>
                <w:rFonts w:ascii="Arial Narrow" w:hAnsi="Arial Narrow"/>
                <w:sz w:val="20"/>
              </w:rPr>
              <w:t>№.of</w:t>
            </w:r>
          </w:p>
          <w:p w:rsidR="0025466A" w:rsidRPr="00E35CCE" w:rsidRDefault="0025466A" w:rsidP="0025466A">
            <w:pPr>
              <w:keepNext/>
              <w:ind w:left="-108"/>
              <w:rPr>
                <w:rFonts w:ascii="Arial Narrow" w:hAnsi="Arial Narrow"/>
                <w:sz w:val="20"/>
              </w:rPr>
            </w:pPr>
            <w:proofErr w:type="spellStart"/>
            <w:r w:rsidRPr="00E35CCE">
              <w:rPr>
                <w:rFonts w:ascii="Arial Narrow" w:hAnsi="Arial Narrow"/>
                <w:sz w:val="20"/>
              </w:rPr>
              <w:t>Rpts</w:t>
            </w:r>
            <w:proofErr w:type="spellEnd"/>
          </w:p>
        </w:tc>
        <w:tc>
          <w:tcPr>
            <w:tcW w:w="2216" w:type="dxa"/>
            <w:gridSpan w:val="2"/>
            <w:tcBorders>
              <w:top w:val="nil"/>
              <w:left w:val="nil"/>
              <w:bottom w:val="single" w:sz="4" w:space="0" w:color="auto"/>
              <w:right w:val="nil"/>
            </w:tcBorders>
            <w:hideMark/>
          </w:tcPr>
          <w:p w:rsidR="0025466A" w:rsidRPr="00E35CCE" w:rsidRDefault="0025466A" w:rsidP="0025466A">
            <w:pPr>
              <w:keepNext/>
              <w:rPr>
                <w:rFonts w:ascii="Arial Narrow" w:hAnsi="Arial Narrow"/>
                <w:sz w:val="20"/>
                <w:lang w:val="fr-FR"/>
              </w:rPr>
            </w:pPr>
            <w:r w:rsidRPr="00E35CCE">
              <w:rPr>
                <w:rFonts w:ascii="Arial Narrow" w:hAnsi="Arial Narrow"/>
                <w:sz w:val="20"/>
              </w:rPr>
              <w:t>Proprietary Name and Manufacturer</w:t>
            </w:r>
          </w:p>
        </w:tc>
      </w:tr>
      <w:tr w:rsidR="0025466A" w:rsidRPr="00E35CCE" w:rsidTr="0002746C">
        <w:trPr>
          <w:cantSplit/>
          <w:trHeight w:val="681"/>
        </w:trPr>
        <w:tc>
          <w:tcPr>
            <w:tcW w:w="4086" w:type="dxa"/>
            <w:hideMark/>
          </w:tcPr>
          <w:p w:rsidR="0025466A" w:rsidRPr="00E35CCE" w:rsidRDefault="0025466A" w:rsidP="0025466A">
            <w:pPr>
              <w:keepNext/>
              <w:ind w:left="-108"/>
              <w:rPr>
                <w:rFonts w:ascii="Arial Narrow" w:hAnsi="Arial Narrow"/>
                <w:sz w:val="20"/>
              </w:rPr>
            </w:pPr>
            <w:proofErr w:type="spellStart"/>
            <w:r w:rsidRPr="00E35CCE">
              <w:rPr>
                <w:rFonts w:ascii="Arial Narrow" w:hAnsi="Arial Narrow"/>
                <w:smallCaps/>
                <w:sz w:val="20"/>
              </w:rPr>
              <w:t>Abiraterone</w:t>
            </w:r>
            <w:proofErr w:type="spellEnd"/>
          </w:p>
          <w:p w:rsidR="0025466A" w:rsidRPr="00E35CCE" w:rsidRDefault="0025466A" w:rsidP="0025466A">
            <w:pPr>
              <w:keepNext/>
              <w:ind w:left="-108"/>
              <w:rPr>
                <w:rFonts w:ascii="Arial Narrow" w:hAnsi="Arial Narrow"/>
                <w:sz w:val="20"/>
              </w:rPr>
            </w:pPr>
            <w:r w:rsidRPr="00E35CCE">
              <w:rPr>
                <w:rFonts w:ascii="Arial Narrow" w:hAnsi="Arial Narrow"/>
                <w:sz w:val="20"/>
              </w:rPr>
              <w:t>Tablet, 250 mg</w:t>
            </w:r>
          </w:p>
        </w:tc>
        <w:tc>
          <w:tcPr>
            <w:tcW w:w="1022" w:type="dxa"/>
          </w:tcPr>
          <w:p w:rsidR="0025466A" w:rsidRPr="00E35CCE" w:rsidRDefault="0025466A" w:rsidP="0025466A">
            <w:pPr>
              <w:keepNext/>
              <w:ind w:left="-108"/>
              <w:rPr>
                <w:rFonts w:ascii="Arial Narrow" w:hAnsi="Arial Narrow"/>
                <w:sz w:val="20"/>
              </w:rPr>
            </w:pPr>
          </w:p>
          <w:p w:rsidR="0025466A" w:rsidRPr="00E35CCE" w:rsidRDefault="0025466A" w:rsidP="0025466A">
            <w:pPr>
              <w:keepNext/>
              <w:ind w:left="-108"/>
              <w:rPr>
                <w:rFonts w:ascii="Arial Narrow" w:hAnsi="Arial Narrow"/>
                <w:sz w:val="20"/>
              </w:rPr>
            </w:pPr>
            <w:r w:rsidRPr="00E35CCE">
              <w:rPr>
                <w:rFonts w:ascii="Arial Narrow" w:hAnsi="Arial Narrow"/>
                <w:sz w:val="20"/>
              </w:rPr>
              <w:t>1</w:t>
            </w:r>
          </w:p>
        </w:tc>
        <w:tc>
          <w:tcPr>
            <w:tcW w:w="1021" w:type="dxa"/>
          </w:tcPr>
          <w:p w:rsidR="0025466A" w:rsidRPr="00E35CCE" w:rsidRDefault="0025466A" w:rsidP="0025466A">
            <w:pPr>
              <w:keepNext/>
              <w:ind w:left="-108"/>
              <w:rPr>
                <w:rFonts w:ascii="Arial Narrow" w:hAnsi="Arial Narrow"/>
                <w:sz w:val="20"/>
              </w:rPr>
            </w:pPr>
          </w:p>
          <w:p w:rsidR="0025466A" w:rsidRPr="00E35CCE" w:rsidRDefault="0025466A" w:rsidP="0025466A">
            <w:pPr>
              <w:keepNext/>
              <w:ind w:left="-108"/>
              <w:rPr>
                <w:rFonts w:ascii="Arial Narrow" w:hAnsi="Arial Narrow"/>
                <w:sz w:val="20"/>
              </w:rPr>
            </w:pPr>
            <w:r w:rsidRPr="00E35CCE">
              <w:rPr>
                <w:rFonts w:ascii="Arial Narrow" w:hAnsi="Arial Narrow"/>
                <w:sz w:val="20"/>
              </w:rPr>
              <w:t>5</w:t>
            </w:r>
          </w:p>
        </w:tc>
        <w:tc>
          <w:tcPr>
            <w:tcW w:w="854" w:type="dxa"/>
          </w:tcPr>
          <w:p w:rsidR="0025466A" w:rsidRPr="00E35CCE" w:rsidRDefault="0025466A" w:rsidP="0025466A">
            <w:pPr>
              <w:keepNext/>
              <w:rPr>
                <w:rFonts w:ascii="Arial Narrow" w:hAnsi="Arial Narrow"/>
                <w:sz w:val="20"/>
              </w:rPr>
            </w:pPr>
          </w:p>
          <w:p w:rsidR="0025466A" w:rsidRPr="00E35CCE" w:rsidRDefault="0025466A" w:rsidP="0025466A">
            <w:pPr>
              <w:keepNext/>
              <w:rPr>
                <w:rFonts w:ascii="Arial Narrow" w:hAnsi="Arial Narrow"/>
                <w:sz w:val="20"/>
              </w:rPr>
            </w:pPr>
            <w:proofErr w:type="spellStart"/>
            <w:r w:rsidRPr="00E35CCE">
              <w:rPr>
                <w:rFonts w:ascii="Arial Narrow" w:hAnsi="Arial Narrow"/>
                <w:sz w:val="20"/>
              </w:rPr>
              <w:t>Zytiga</w:t>
            </w:r>
            <w:proofErr w:type="spellEnd"/>
          </w:p>
        </w:tc>
        <w:tc>
          <w:tcPr>
            <w:tcW w:w="1362" w:type="dxa"/>
          </w:tcPr>
          <w:p w:rsidR="0025466A" w:rsidRPr="00E35CCE" w:rsidRDefault="0025466A" w:rsidP="0025466A">
            <w:pPr>
              <w:keepNext/>
              <w:rPr>
                <w:rFonts w:ascii="Arial Narrow" w:hAnsi="Arial Narrow"/>
                <w:sz w:val="20"/>
              </w:rPr>
            </w:pPr>
          </w:p>
          <w:p w:rsidR="0025466A" w:rsidRPr="00E35CCE" w:rsidRDefault="0025466A" w:rsidP="0025466A">
            <w:pPr>
              <w:keepNext/>
              <w:rPr>
                <w:rFonts w:ascii="Arial Narrow" w:hAnsi="Arial Narrow"/>
                <w:sz w:val="20"/>
              </w:rPr>
            </w:pPr>
            <w:r w:rsidRPr="00E35CCE">
              <w:rPr>
                <w:rFonts w:ascii="Arial Narrow" w:hAnsi="Arial Narrow"/>
                <w:sz w:val="20"/>
              </w:rPr>
              <w:t>JC</w:t>
            </w:r>
          </w:p>
        </w:tc>
      </w:tr>
    </w:tbl>
    <w:p w:rsidR="00C04466" w:rsidRPr="00E35CCE" w:rsidRDefault="00C04466" w:rsidP="00E35CCE">
      <w:pPr>
        <w:pStyle w:val="ListParagraph"/>
        <w:jc w:val="both"/>
        <w:rPr>
          <w:rFonts w:ascii="Arial" w:hAnsi="Arial"/>
          <w:sz w:val="22"/>
          <w:szCs w:val="22"/>
        </w:rPr>
      </w:pPr>
    </w:p>
    <w:tbl>
      <w:tblPr>
        <w:tblW w:w="8363" w:type="dxa"/>
        <w:tblInd w:w="817" w:type="dxa"/>
        <w:tblLayout w:type="fixed"/>
        <w:tblLook w:val="04A0" w:firstRow="1" w:lastRow="0" w:firstColumn="1" w:lastColumn="0" w:noHBand="0" w:noVBand="1"/>
        <w:tblDescription w:val="Restriction to requested listing"/>
      </w:tblPr>
      <w:tblGrid>
        <w:gridCol w:w="1418"/>
        <w:gridCol w:w="6945"/>
      </w:tblGrid>
      <w:tr w:rsidR="00533A65" w:rsidRPr="00E35CCE" w:rsidTr="00E35CCE">
        <w:trPr>
          <w:cantSplit/>
          <w:trHeight w:val="360"/>
        </w:trPr>
        <w:tc>
          <w:tcPr>
            <w:tcW w:w="1418" w:type="dxa"/>
            <w:tcBorders>
              <w:top w:val="single" w:sz="4" w:space="0" w:color="auto"/>
              <w:left w:val="single" w:sz="4" w:space="0" w:color="auto"/>
              <w:bottom w:val="single" w:sz="4" w:space="0" w:color="auto"/>
              <w:right w:val="single" w:sz="4" w:space="0" w:color="auto"/>
            </w:tcBorders>
            <w:hideMark/>
          </w:tcPr>
          <w:p w:rsidR="00533A65" w:rsidRPr="00E35CCE" w:rsidRDefault="00533A65" w:rsidP="00E35CCE">
            <w:pPr>
              <w:rPr>
                <w:rFonts w:ascii="Arial Narrow" w:hAnsi="Arial Narrow"/>
                <w:b/>
                <w:sz w:val="20"/>
              </w:rPr>
            </w:pPr>
            <w:r w:rsidRPr="00E35CCE">
              <w:rPr>
                <w:rFonts w:ascii="Arial Narrow" w:hAnsi="Arial Narrow"/>
                <w:b/>
                <w:sz w:val="20"/>
              </w:rPr>
              <w:t>Severity:</w:t>
            </w:r>
          </w:p>
        </w:tc>
        <w:tc>
          <w:tcPr>
            <w:tcW w:w="6945" w:type="dxa"/>
            <w:tcBorders>
              <w:top w:val="single" w:sz="4" w:space="0" w:color="auto"/>
              <w:left w:val="single" w:sz="4" w:space="0" w:color="auto"/>
              <w:bottom w:val="single" w:sz="4" w:space="0" w:color="auto"/>
              <w:right w:val="single" w:sz="4" w:space="0" w:color="auto"/>
            </w:tcBorders>
            <w:hideMark/>
          </w:tcPr>
          <w:p w:rsidR="00533A65" w:rsidRPr="00E35CCE" w:rsidRDefault="00533A65" w:rsidP="00E35CCE">
            <w:pPr>
              <w:rPr>
                <w:rFonts w:ascii="Arial Narrow" w:hAnsi="Arial Narrow"/>
                <w:sz w:val="20"/>
              </w:rPr>
            </w:pPr>
            <w:r w:rsidRPr="00E35CCE">
              <w:rPr>
                <w:rFonts w:ascii="Arial Narrow" w:hAnsi="Arial Narrow"/>
                <w:sz w:val="20"/>
              </w:rPr>
              <w:t>Castration resistant metastatic</w:t>
            </w:r>
          </w:p>
        </w:tc>
      </w:tr>
      <w:tr w:rsidR="00533A65" w:rsidRPr="00E35CCE" w:rsidTr="00E35CCE">
        <w:trPr>
          <w:cantSplit/>
          <w:trHeight w:val="360"/>
        </w:trPr>
        <w:tc>
          <w:tcPr>
            <w:tcW w:w="1418" w:type="dxa"/>
            <w:tcBorders>
              <w:top w:val="single" w:sz="4" w:space="0" w:color="auto"/>
              <w:left w:val="single" w:sz="4" w:space="0" w:color="auto"/>
              <w:bottom w:val="single" w:sz="4" w:space="0" w:color="auto"/>
              <w:right w:val="single" w:sz="4" w:space="0" w:color="auto"/>
            </w:tcBorders>
            <w:hideMark/>
          </w:tcPr>
          <w:p w:rsidR="00533A65" w:rsidRPr="00E35CCE" w:rsidRDefault="00533A65" w:rsidP="00E35CCE">
            <w:pPr>
              <w:rPr>
                <w:rFonts w:ascii="Arial Narrow" w:hAnsi="Arial Narrow"/>
                <w:b/>
                <w:sz w:val="20"/>
              </w:rPr>
            </w:pPr>
            <w:r w:rsidRPr="00E35CCE">
              <w:rPr>
                <w:rFonts w:ascii="Arial Narrow" w:hAnsi="Arial Narrow"/>
                <w:b/>
                <w:sz w:val="20"/>
              </w:rPr>
              <w:t>Condition:</w:t>
            </w:r>
          </w:p>
        </w:tc>
        <w:tc>
          <w:tcPr>
            <w:tcW w:w="6945" w:type="dxa"/>
            <w:tcBorders>
              <w:top w:val="single" w:sz="4" w:space="0" w:color="auto"/>
              <w:left w:val="single" w:sz="4" w:space="0" w:color="auto"/>
              <w:bottom w:val="single" w:sz="4" w:space="0" w:color="auto"/>
              <w:right w:val="single" w:sz="4" w:space="0" w:color="auto"/>
            </w:tcBorders>
            <w:hideMark/>
          </w:tcPr>
          <w:p w:rsidR="00533A65" w:rsidRPr="00E35CCE" w:rsidRDefault="00533A65" w:rsidP="00E35CCE">
            <w:pPr>
              <w:rPr>
                <w:rFonts w:ascii="Arial Narrow" w:hAnsi="Arial Narrow"/>
                <w:sz w:val="20"/>
              </w:rPr>
            </w:pPr>
            <w:r w:rsidRPr="00E35CCE">
              <w:rPr>
                <w:rFonts w:ascii="Arial Narrow" w:hAnsi="Arial Narrow"/>
                <w:sz w:val="20"/>
              </w:rPr>
              <w:t>carcinoma of the prostate</w:t>
            </w:r>
          </w:p>
        </w:tc>
      </w:tr>
      <w:tr w:rsidR="00533A65" w:rsidRPr="00E35CCE" w:rsidTr="00E35CCE">
        <w:trPr>
          <w:cantSplit/>
          <w:trHeight w:val="360"/>
        </w:trPr>
        <w:tc>
          <w:tcPr>
            <w:tcW w:w="1418" w:type="dxa"/>
            <w:tcBorders>
              <w:top w:val="single" w:sz="4" w:space="0" w:color="auto"/>
              <w:left w:val="single" w:sz="4" w:space="0" w:color="auto"/>
              <w:bottom w:val="single" w:sz="4" w:space="0" w:color="auto"/>
              <w:right w:val="single" w:sz="4" w:space="0" w:color="auto"/>
            </w:tcBorders>
          </w:tcPr>
          <w:p w:rsidR="00533A65" w:rsidRPr="00E35CCE" w:rsidRDefault="00533A65" w:rsidP="00E35CCE">
            <w:pPr>
              <w:rPr>
                <w:rFonts w:ascii="Arial Narrow" w:hAnsi="Arial Narrow"/>
                <w:b/>
                <w:sz w:val="20"/>
              </w:rPr>
            </w:pPr>
            <w:r w:rsidRPr="00E35CCE">
              <w:rPr>
                <w:rFonts w:ascii="Arial Narrow" w:hAnsi="Arial Narrow"/>
                <w:b/>
                <w:sz w:val="20"/>
              </w:rPr>
              <w:t>Clinical criteria:</w:t>
            </w:r>
          </w:p>
          <w:p w:rsidR="00533A65" w:rsidRPr="00E35CCE" w:rsidRDefault="00533A65" w:rsidP="00E35CCE">
            <w:pPr>
              <w:rPr>
                <w:rFonts w:ascii="Arial Narrow" w:hAnsi="Arial Narrow"/>
                <w:sz w:val="20"/>
              </w:rPr>
            </w:pPr>
          </w:p>
        </w:tc>
        <w:tc>
          <w:tcPr>
            <w:tcW w:w="6945" w:type="dxa"/>
            <w:tcBorders>
              <w:top w:val="single" w:sz="4" w:space="0" w:color="auto"/>
              <w:left w:val="single" w:sz="4" w:space="0" w:color="auto"/>
              <w:bottom w:val="single" w:sz="4" w:space="0" w:color="auto"/>
              <w:right w:val="single" w:sz="4" w:space="0" w:color="auto"/>
            </w:tcBorders>
          </w:tcPr>
          <w:p w:rsidR="00533A65" w:rsidRPr="00E35CCE" w:rsidRDefault="00533A65" w:rsidP="00E35CCE">
            <w:pPr>
              <w:rPr>
                <w:rFonts w:ascii="Arial Narrow" w:hAnsi="Arial Narrow"/>
                <w:sz w:val="20"/>
              </w:rPr>
            </w:pPr>
            <w:r w:rsidRPr="00E35CCE">
              <w:rPr>
                <w:rFonts w:ascii="Arial Narrow" w:hAnsi="Arial Narrow"/>
                <w:sz w:val="20"/>
              </w:rPr>
              <w:t>The treatment must be in combination with prednisone or prednisolone</w:t>
            </w:r>
          </w:p>
          <w:p w:rsidR="00533A65" w:rsidRPr="00E35CCE" w:rsidRDefault="00533A65" w:rsidP="00E35CCE">
            <w:pPr>
              <w:rPr>
                <w:rFonts w:ascii="Arial Narrow" w:hAnsi="Arial Narrow"/>
                <w:sz w:val="20"/>
              </w:rPr>
            </w:pPr>
          </w:p>
          <w:p w:rsidR="00533A65" w:rsidRPr="00E35CCE" w:rsidRDefault="00533A65" w:rsidP="00E35CCE">
            <w:pPr>
              <w:rPr>
                <w:rFonts w:ascii="Arial Narrow" w:hAnsi="Arial Narrow"/>
                <w:sz w:val="20"/>
              </w:rPr>
            </w:pPr>
            <w:r w:rsidRPr="00E35CCE">
              <w:rPr>
                <w:rFonts w:ascii="Arial Narrow" w:hAnsi="Arial Narrow"/>
                <w:sz w:val="20"/>
              </w:rPr>
              <w:t>AND</w:t>
            </w:r>
          </w:p>
          <w:p w:rsidR="00533A65" w:rsidRPr="00E35CCE" w:rsidRDefault="00533A65" w:rsidP="00E35CCE">
            <w:pPr>
              <w:rPr>
                <w:rFonts w:ascii="Arial Narrow" w:hAnsi="Arial Narrow"/>
                <w:sz w:val="20"/>
              </w:rPr>
            </w:pPr>
          </w:p>
          <w:p w:rsidR="00533A65" w:rsidRPr="00E35CCE" w:rsidRDefault="00533A65" w:rsidP="00E35CCE">
            <w:pPr>
              <w:rPr>
                <w:rFonts w:ascii="Arial Narrow" w:hAnsi="Arial Narrow"/>
                <w:sz w:val="20"/>
              </w:rPr>
            </w:pPr>
            <w:r w:rsidRPr="00E35CCE">
              <w:rPr>
                <w:rFonts w:ascii="Arial Narrow" w:hAnsi="Arial Narrow"/>
                <w:sz w:val="20"/>
              </w:rPr>
              <w:t xml:space="preserve">Patient must have progressed following treatment with </w:t>
            </w:r>
            <w:proofErr w:type="spellStart"/>
            <w:r w:rsidRPr="00E35CCE">
              <w:rPr>
                <w:rFonts w:ascii="Arial Narrow" w:hAnsi="Arial Narrow"/>
                <w:strike/>
                <w:sz w:val="20"/>
              </w:rPr>
              <w:t>bicalutamide</w:t>
            </w:r>
            <w:proofErr w:type="spellEnd"/>
            <w:r w:rsidRPr="00E35CCE">
              <w:rPr>
                <w:rFonts w:ascii="Arial Narrow" w:hAnsi="Arial Narrow"/>
                <w:strike/>
                <w:sz w:val="20"/>
              </w:rPr>
              <w:t xml:space="preserve"> or </w:t>
            </w:r>
            <w:proofErr w:type="spellStart"/>
            <w:r w:rsidRPr="00E35CCE">
              <w:rPr>
                <w:rFonts w:ascii="Arial Narrow" w:hAnsi="Arial Narrow"/>
                <w:strike/>
                <w:sz w:val="20"/>
              </w:rPr>
              <w:t>flutamide</w:t>
            </w:r>
            <w:proofErr w:type="spellEnd"/>
            <w:r w:rsidRPr="00E35CCE">
              <w:rPr>
                <w:rFonts w:ascii="Arial Narrow" w:hAnsi="Arial Narrow"/>
                <w:strike/>
                <w:sz w:val="20"/>
              </w:rPr>
              <w:t xml:space="preserve"> or </w:t>
            </w:r>
            <w:proofErr w:type="spellStart"/>
            <w:r w:rsidRPr="00E35CCE">
              <w:rPr>
                <w:rFonts w:ascii="Arial Narrow" w:hAnsi="Arial Narrow"/>
                <w:strike/>
                <w:sz w:val="20"/>
              </w:rPr>
              <w:t>nilutamide</w:t>
            </w:r>
            <w:proofErr w:type="spellEnd"/>
            <w:r w:rsidRPr="00E35CCE">
              <w:rPr>
                <w:rFonts w:ascii="Arial Narrow" w:hAnsi="Arial Narrow"/>
                <w:sz w:val="20"/>
              </w:rPr>
              <w:t xml:space="preserve"> </w:t>
            </w:r>
            <w:r w:rsidRPr="00E35CCE">
              <w:rPr>
                <w:rFonts w:ascii="Arial Narrow" w:hAnsi="Arial Narrow"/>
                <w:i/>
                <w:sz w:val="20"/>
              </w:rPr>
              <w:t>androgen deprivation therapy</w:t>
            </w:r>
            <w:r w:rsidRPr="00E35CCE">
              <w:rPr>
                <w:rFonts w:ascii="Arial Narrow" w:hAnsi="Arial Narrow"/>
                <w:sz w:val="20"/>
              </w:rPr>
              <w:t>;</w:t>
            </w:r>
          </w:p>
          <w:p w:rsidR="00533A65" w:rsidRPr="00E35CCE" w:rsidRDefault="00533A65" w:rsidP="00E35CCE">
            <w:pPr>
              <w:rPr>
                <w:rFonts w:ascii="Arial Narrow" w:hAnsi="Arial Narrow"/>
                <w:sz w:val="20"/>
              </w:rPr>
            </w:pPr>
          </w:p>
          <w:p w:rsidR="00533A65" w:rsidRPr="00E35CCE" w:rsidRDefault="00533A65" w:rsidP="00E35CCE">
            <w:pPr>
              <w:rPr>
                <w:rFonts w:ascii="Arial Narrow" w:hAnsi="Arial Narrow"/>
                <w:strike/>
                <w:sz w:val="20"/>
              </w:rPr>
            </w:pPr>
            <w:r w:rsidRPr="00E35CCE">
              <w:rPr>
                <w:rFonts w:ascii="Arial Narrow" w:hAnsi="Arial Narrow"/>
                <w:strike/>
                <w:sz w:val="20"/>
              </w:rPr>
              <w:t>AND</w:t>
            </w:r>
          </w:p>
          <w:p w:rsidR="00533A65" w:rsidRPr="00E35CCE" w:rsidRDefault="00533A65" w:rsidP="00E35CCE">
            <w:pPr>
              <w:rPr>
                <w:rFonts w:ascii="Arial Narrow" w:hAnsi="Arial Narrow"/>
                <w:strike/>
                <w:sz w:val="20"/>
              </w:rPr>
            </w:pPr>
          </w:p>
          <w:p w:rsidR="00533A65" w:rsidRPr="00E35CCE" w:rsidRDefault="00533A65" w:rsidP="00E35CCE">
            <w:pPr>
              <w:rPr>
                <w:rFonts w:ascii="Arial Narrow" w:hAnsi="Arial Narrow"/>
                <w:strike/>
                <w:sz w:val="20"/>
              </w:rPr>
            </w:pPr>
            <w:r w:rsidRPr="00E35CCE">
              <w:rPr>
                <w:rFonts w:ascii="Arial Narrow" w:hAnsi="Arial Narrow"/>
                <w:strike/>
                <w:sz w:val="20"/>
              </w:rPr>
              <w:t>Patient must be asymptomatic (defined by the absence of cancer-related pain)</w:t>
            </w:r>
          </w:p>
          <w:p w:rsidR="00533A65" w:rsidRPr="00E35CCE" w:rsidRDefault="00533A65" w:rsidP="00E35CCE">
            <w:pPr>
              <w:rPr>
                <w:rFonts w:ascii="Arial Narrow" w:hAnsi="Arial Narrow"/>
                <w:strike/>
                <w:sz w:val="20"/>
              </w:rPr>
            </w:pPr>
          </w:p>
          <w:p w:rsidR="00533A65" w:rsidRPr="00E35CCE" w:rsidRDefault="00533A65" w:rsidP="00E35CCE">
            <w:pPr>
              <w:rPr>
                <w:rFonts w:ascii="Arial Narrow" w:hAnsi="Arial Narrow"/>
                <w:strike/>
                <w:sz w:val="20"/>
              </w:rPr>
            </w:pPr>
            <w:r w:rsidRPr="00E35CCE">
              <w:rPr>
                <w:rFonts w:ascii="Arial Narrow" w:hAnsi="Arial Narrow"/>
                <w:strike/>
                <w:sz w:val="20"/>
              </w:rPr>
              <w:t>AND</w:t>
            </w:r>
          </w:p>
          <w:p w:rsidR="00533A65" w:rsidRPr="00E35CCE" w:rsidRDefault="00533A65" w:rsidP="00E35CCE">
            <w:pPr>
              <w:rPr>
                <w:rFonts w:ascii="Arial Narrow" w:hAnsi="Arial Narrow"/>
                <w:strike/>
                <w:sz w:val="20"/>
              </w:rPr>
            </w:pPr>
          </w:p>
          <w:p w:rsidR="00533A65" w:rsidRPr="00E35CCE" w:rsidRDefault="00533A65" w:rsidP="00E35CCE">
            <w:pPr>
              <w:rPr>
                <w:rFonts w:ascii="Arial Narrow" w:hAnsi="Arial Narrow"/>
                <w:strike/>
                <w:sz w:val="20"/>
              </w:rPr>
            </w:pPr>
            <w:r w:rsidRPr="00E35CCE">
              <w:rPr>
                <w:rFonts w:ascii="Arial Narrow" w:hAnsi="Arial Narrow"/>
                <w:strike/>
                <w:sz w:val="20"/>
              </w:rPr>
              <w:t>Patients must have a PSA of 114ng/mL or less</w:t>
            </w:r>
          </w:p>
          <w:p w:rsidR="00533A65" w:rsidRPr="00E35CCE" w:rsidRDefault="00533A65" w:rsidP="00E35CCE">
            <w:pPr>
              <w:rPr>
                <w:rFonts w:ascii="Arial Narrow" w:hAnsi="Arial Narrow"/>
                <w:sz w:val="20"/>
              </w:rPr>
            </w:pPr>
          </w:p>
          <w:p w:rsidR="00533A65" w:rsidRPr="00E35CCE" w:rsidRDefault="00533A65" w:rsidP="00E35CCE">
            <w:pPr>
              <w:rPr>
                <w:rFonts w:ascii="Arial Narrow" w:hAnsi="Arial Narrow"/>
                <w:sz w:val="20"/>
              </w:rPr>
            </w:pPr>
            <w:r w:rsidRPr="00E35CCE">
              <w:rPr>
                <w:rFonts w:ascii="Arial Narrow" w:hAnsi="Arial Narrow"/>
                <w:sz w:val="20"/>
              </w:rPr>
              <w:t>AND</w:t>
            </w:r>
          </w:p>
          <w:p w:rsidR="00533A65" w:rsidRPr="00E35CCE" w:rsidRDefault="00533A65" w:rsidP="00E35CCE">
            <w:pPr>
              <w:rPr>
                <w:rFonts w:ascii="Arial Narrow" w:hAnsi="Arial Narrow"/>
                <w:sz w:val="20"/>
              </w:rPr>
            </w:pPr>
          </w:p>
          <w:p w:rsidR="00533A65" w:rsidRPr="00E35CCE" w:rsidRDefault="00533A65" w:rsidP="00E35CCE">
            <w:pPr>
              <w:rPr>
                <w:rFonts w:ascii="Arial Narrow" w:hAnsi="Arial Narrow"/>
                <w:sz w:val="20"/>
              </w:rPr>
            </w:pPr>
            <w:r w:rsidRPr="00E35CCE">
              <w:rPr>
                <w:rFonts w:ascii="Arial Narrow" w:hAnsi="Arial Narrow"/>
                <w:sz w:val="20"/>
              </w:rPr>
              <w:t xml:space="preserve">Patient must have a </w:t>
            </w:r>
            <w:r w:rsidRPr="00E35CCE">
              <w:rPr>
                <w:rFonts w:ascii="Arial Narrow" w:hAnsi="Arial Narrow"/>
                <w:strike/>
                <w:sz w:val="20"/>
              </w:rPr>
              <w:t>ECOG</w:t>
            </w:r>
            <w:r w:rsidRPr="00E35CCE">
              <w:rPr>
                <w:rFonts w:ascii="Arial Narrow" w:hAnsi="Arial Narrow"/>
                <w:sz w:val="20"/>
              </w:rPr>
              <w:t xml:space="preserve"> </w:t>
            </w:r>
            <w:r w:rsidRPr="00E35CCE">
              <w:rPr>
                <w:rFonts w:ascii="Arial Narrow" w:hAnsi="Arial Narrow"/>
                <w:i/>
                <w:sz w:val="20"/>
              </w:rPr>
              <w:t>WHO</w:t>
            </w:r>
            <w:r w:rsidRPr="00E35CCE">
              <w:rPr>
                <w:rFonts w:ascii="Arial Narrow" w:hAnsi="Arial Narrow"/>
                <w:sz w:val="20"/>
              </w:rPr>
              <w:t xml:space="preserve"> performance status of 1 or </w:t>
            </w:r>
            <w:r w:rsidR="006602A7" w:rsidRPr="00E35CCE">
              <w:rPr>
                <w:rFonts w:ascii="Arial Narrow" w:hAnsi="Arial Narrow"/>
                <w:sz w:val="20"/>
              </w:rPr>
              <w:t>less</w:t>
            </w:r>
          </w:p>
          <w:p w:rsidR="00533A65" w:rsidRPr="00E35CCE" w:rsidRDefault="00533A65" w:rsidP="00E35CCE">
            <w:pPr>
              <w:rPr>
                <w:rFonts w:ascii="Arial Narrow" w:hAnsi="Arial Narrow"/>
                <w:sz w:val="20"/>
              </w:rPr>
            </w:pPr>
          </w:p>
          <w:p w:rsidR="00533A65" w:rsidRPr="00E35CCE" w:rsidRDefault="00533A65" w:rsidP="00E35CCE">
            <w:pPr>
              <w:rPr>
                <w:rFonts w:ascii="Arial Narrow" w:hAnsi="Arial Narrow"/>
                <w:sz w:val="20"/>
              </w:rPr>
            </w:pPr>
            <w:r w:rsidRPr="00E35CCE">
              <w:rPr>
                <w:rFonts w:ascii="Arial Narrow" w:hAnsi="Arial Narrow"/>
                <w:sz w:val="20"/>
              </w:rPr>
              <w:t>AND</w:t>
            </w:r>
          </w:p>
          <w:p w:rsidR="00533A65" w:rsidRPr="00E35CCE" w:rsidRDefault="00533A65" w:rsidP="00E35CCE">
            <w:pPr>
              <w:rPr>
                <w:rFonts w:ascii="Arial Narrow" w:hAnsi="Arial Narrow"/>
                <w:sz w:val="20"/>
              </w:rPr>
            </w:pPr>
          </w:p>
          <w:p w:rsidR="00533A65" w:rsidRPr="00E35CCE" w:rsidRDefault="00533A65" w:rsidP="00E35CCE">
            <w:pPr>
              <w:rPr>
                <w:rFonts w:ascii="Arial Narrow" w:hAnsi="Arial Narrow"/>
                <w:sz w:val="20"/>
              </w:rPr>
            </w:pPr>
            <w:r w:rsidRPr="00E35CCE">
              <w:rPr>
                <w:rFonts w:ascii="Arial Narrow" w:hAnsi="Arial Narrow"/>
                <w:sz w:val="20"/>
              </w:rPr>
              <w:t>The treatment must not be used in combination with chemotherapy</w:t>
            </w:r>
          </w:p>
          <w:p w:rsidR="00533A65" w:rsidRPr="00E35CCE" w:rsidRDefault="00533A65" w:rsidP="00E35CCE">
            <w:pPr>
              <w:rPr>
                <w:rFonts w:ascii="Arial Narrow" w:hAnsi="Arial Narrow"/>
                <w:sz w:val="20"/>
              </w:rPr>
            </w:pPr>
          </w:p>
          <w:p w:rsidR="00533A65" w:rsidRPr="00E35CCE" w:rsidRDefault="00533A65" w:rsidP="00E35CCE">
            <w:pPr>
              <w:rPr>
                <w:rFonts w:ascii="Arial Narrow" w:hAnsi="Arial Narrow"/>
                <w:sz w:val="20"/>
              </w:rPr>
            </w:pPr>
            <w:r w:rsidRPr="00E35CCE">
              <w:rPr>
                <w:rFonts w:ascii="Arial Narrow" w:hAnsi="Arial Narrow"/>
                <w:sz w:val="20"/>
              </w:rPr>
              <w:t>AND</w:t>
            </w:r>
          </w:p>
          <w:p w:rsidR="00533A65" w:rsidRPr="00E35CCE" w:rsidRDefault="00533A65" w:rsidP="00E35CCE">
            <w:pPr>
              <w:rPr>
                <w:rFonts w:ascii="Arial Narrow" w:hAnsi="Arial Narrow"/>
                <w:sz w:val="20"/>
              </w:rPr>
            </w:pPr>
          </w:p>
          <w:p w:rsidR="00533A65" w:rsidRPr="00E35CCE" w:rsidRDefault="00533A65" w:rsidP="00E35CCE">
            <w:pPr>
              <w:rPr>
                <w:rFonts w:ascii="Arial Narrow" w:hAnsi="Arial Narrow"/>
                <w:i/>
                <w:sz w:val="20"/>
              </w:rPr>
            </w:pPr>
            <w:r w:rsidRPr="00E35CCE">
              <w:rPr>
                <w:rFonts w:ascii="Arial Narrow" w:hAnsi="Arial Narrow"/>
                <w:sz w:val="20"/>
              </w:rPr>
              <w:t xml:space="preserve">Patient must not </w:t>
            </w:r>
            <w:r w:rsidRPr="00E35CCE">
              <w:rPr>
                <w:rFonts w:ascii="Arial Narrow" w:hAnsi="Arial Narrow"/>
                <w:strike/>
                <w:sz w:val="20"/>
              </w:rPr>
              <w:t xml:space="preserve">receive PBS subsidised </w:t>
            </w:r>
            <w:proofErr w:type="spellStart"/>
            <w:r w:rsidRPr="00E35CCE">
              <w:rPr>
                <w:rFonts w:ascii="Arial Narrow" w:hAnsi="Arial Narrow"/>
                <w:strike/>
                <w:sz w:val="20"/>
              </w:rPr>
              <w:t>abiraterone</w:t>
            </w:r>
            <w:proofErr w:type="spellEnd"/>
            <w:r w:rsidRPr="00E35CCE">
              <w:rPr>
                <w:rFonts w:ascii="Arial Narrow" w:hAnsi="Arial Narrow"/>
                <w:strike/>
                <w:sz w:val="20"/>
              </w:rPr>
              <w:t xml:space="preserve"> if progression of disease develops while on </w:t>
            </w:r>
            <w:proofErr w:type="spellStart"/>
            <w:r w:rsidRPr="00E35CCE">
              <w:rPr>
                <w:rFonts w:ascii="Arial Narrow" w:hAnsi="Arial Narrow"/>
                <w:strike/>
                <w:sz w:val="20"/>
              </w:rPr>
              <w:t>abiraterone</w:t>
            </w:r>
            <w:proofErr w:type="spellEnd"/>
            <w:r w:rsidRPr="00E35CCE">
              <w:rPr>
                <w:rFonts w:ascii="Arial Narrow" w:hAnsi="Arial Narrow"/>
                <w:i/>
                <w:sz w:val="20"/>
              </w:rPr>
              <w:t xml:space="preserve">. </w:t>
            </w:r>
            <w:proofErr w:type="gramStart"/>
            <w:r w:rsidRPr="00E35CCE">
              <w:rPr>
                <w:rFonts w:ascii="Arial Narrow" w:hAnsi="Arial Narrow"/>
                <w:i/>
                <w:sz w:val="20"/>
              </w:rPr>
              <w:t>have</w:t>
            </w:r>
            <w:proofErr w:type="gramEnd"/>
            <w:r w:rsidRPr="00E35CCE">
              <w:rPr>
                <w:rFonts w:ascii="Arial Narrow" w:hAnsi="Arial Narrow"/>
                <w:i/>
                <w:sz w:val="20"/>
              </w:rPr>
              <w:t xml:space="preserve"> progressive disease</w:t>
            </w:r>
            <w:r w:rsidR="00793731" w:rsidRPr="00E35CCE">
              <w:rPr>
                <w:rFonts w:ascii="Arial Narrow" w:hAnsi="Arial Narrow"/>
                <w:i/>
                <w:sz w:val="20"/>
              </w:rPr>
              <w:t xml:space="preserve"> whilst taking this drug</w:t>
            </w:r>
            <w:r w:rsidRPr="00E35CCE">
              <w:rPr>
                <w:rFonts w:ascii="Arial Narrow" w:hAnsi="Arial Narrow"/>
                <w:i/>
                <w:sz w:val="20"/>
              </w:rPr>
              <w:t>.</w:t>
            </w:r>
          </w:p>
          <w:p w:rsidR="00533A65" w:rsidRPr="00E35CCE" w:rsidRDefault="00533A65" w:rsidP="00E35CCE">
            <w:pPr>
              <w:rPr>
                <w:rFonts w:ascii="Arial Narrow" w:hAnsi="Arial Narrow"/>
                <w:sz w:val="20"/>
              </w:rPr>
            </w:pPr>
          </w:p>
        </w:tc>
      </w:tr>
      <w:tr w:rsidR="00533A65" w:rsidRPr="00E35CCE" w:rsidTr="00E35CCE">
        <w:trPr>
          <w:cantSplit/>
          <w:trHeight w:val="360"/>
        </w:trPr>
        <w:tc>
          <w:tcPr>
            <w:tcW w:w="1418" w:type="dxa"/>
            <w:tcBorders>
              <w:top w:val="single" w:sz="4" w:space="0" w:color="auto"/>
              <w:left w:val="single" w:sz="4" w:space="0" w:color="auto"/>
              <w:bottom w:val="single" w:sz="4" w:space="0" w:color="auto"/>
              <w:right w:val="single" w:sz="4" w:space="0" w:color="auto"/>
            </w:tcBorders>
          </w:tcPr>
          <w:p w:rsidR="00533A65" w:rsidRPr="00E35CCE" w:rsidRDefault="00533A65" w:rsidP="00E35CCE">
            <w:pPr>
              <w:rPr>
                <w:rFonts w:ascii="Arial Narrow" w:hAnsi="Arial Narrow"/>
                <w:b/>
                <w:sz w:val="20"/>
              </w:rPr>
            </w:pPr>
            <w:r w:rsidRPr="00E35CCE">
              <w:rPr>
                <w:rFonts w:ascii="Arial Narrow" w:hAnsi="Arial Narrow"/>
                <w:b/>
                <w:sz w:val="20"/>
              </w:rPr>
              <w:t>Administrative Advice</w:t>
            </w:r>
          </w:p>
          <w:p w:rsidR="00533A65" w:rsidRPr="00E35CCE" w:rsidRDefault="00533A65" w:rsidP="00E35CCE">
            <w:pPr>
              <w:rPr>
                <w:rFonts w:ascii="Arial Narrow" w:hAnsi="Arial Narrow"/>
                <w:i/>
                <w:sz w:val="20"/>
              </w:rPr>
            </w:pPr>
          </w:p>
        </w:tc>
        <w:tc>
          <w:tcPr>
            <w:tcW w:w="6945" w:type="dxa"/>
            <w:tcBorders>
              <w:top w:val="single" w:sz="4" w:space="0" w:color="auto"/>
              <w:left w:val="single" w:sz="4" w:space="0" w:color="auto"/>
              <w:bottom w:val="single" w:sz="4" w:space="0" w:color="auto"/>
              <w:right w:val="single" w:sz="4" w:space="0" w:color="auto"/>
            </w:tcBorders>
          </w:tcPr>
          <w:p w:rsidR="00533A65" w:rsidRPr="00E35CCE" w:rsidRDefault="00533A65" w:rsidP="00E35CCE">
            <w:pPr>
              <w:rPr>
                <w:rFonts w:ascii="Arial Narrow" w:hAnsi="Arial Narrow"/>
                <w:sz w:val="20"/>
              </w:rPr>
            </w:pPr>
            <w:r w:rsidRPr="00E35CCE">
              <w:rPr>
                <w:rFonts w:ascii="Arial Narrow" w:hAnsi="Arial Narrow"/>
                <w:strike/>
                <w:sz w:val="20"/>
              </w:rPr>
              <w:t xml:space="preserve">Patients who have received PBS subsidised </w:t>
            </w:r>
            <w:proofErr w:type="spellStart"/>
            <w:r w:rsidRPr="00E35CCE">
              <w:rPr>
                <w:rFonts w:ascii="Arial Narrow" w:hAnsi="Arial Narrow"/>
                <w:strike/>
                <w:sz w:val="20"/>
              </w:rPr>
              <w:t>abiraterone</w:t>
            </w:r>
            <w:proofErr w:type="spellEnd"/>
            <w:r w:rsidRPr="00E35CCE">
              <w:rPr>
                <w:rFonts w:ascii="Arial Narrow" w:hAnsi="Arial Narrow"/>
                <w:strike/>
                <w:sz w:val="20"/>
              </w:rPr>
              <w:t xml:space="preserve"> under this restriction are not eligible to receive PBS subsidised </w:t>
            </w:r>
            <w:proofErr w:type="spellStart"/>
            <w:r w:rsidRPr="00E35CCE">
              <w:rPr>
                <w:rFonts w:ascii="Arial Narrow" w:hAnsi="Arial Narrow"/>
                <w:strike/>
                <w:sz w:val="20"/>
              </w:rPr>
              <w:t>abiraterone</w:t>
            </w:r>
            <w:proofErr w:type="spellEnd"/>
            <w:r w:rsidRPr="00E35CCE">
              <w:rPr>
                <w:rFonts w:ascii="Arial Narrow" w:hAnsi="Arial Narrow"/>
                <w:strike/>
                <w:sz w:val="20"/>
              </w:rPr>
              <w:t xml:space="preserve"> following treatment with </w:t>
            </w:r>
            <w:proofErr w:type="spellStart"/>
            <w:r w:rsidRPr="00E35CCE">
              <w:rPr>
                <w:rFonts w:ascii="Arial Narrow" w:hAnsi="Arial Narrow"/>
                <w:strike/>
                <w:sz w:val="20"/>
              </w:rPr>
              <w:t>docetaxel</w:t>
            </w:r>
            <w:proofErr w:type="spellEnd"/>
            <w:r w:rsidRPr="00E35CCE">
              <w:rPr>
                <w:rFonts w:ascii="Arial Narrow" w:hAnsi="Arial Narrow"/>
                <w:sz w:val="20"/>
              </w:rPr>
              <w:t>.</w:t>
            </w:r>
          </w:p>
          <w:p w:rsidR="00533A65" w:rsidRPr="00E35CCE" w:rsidRDefault="00533A65" w:rsidP="00E35CCE">
            <w:pPr>
              <w:rPr>
                <w:rFonts w:ascii="Arial Narrow" w:hAnsi="Arial Narrow"/>
                <w:sz w:val="20"/>
              </w:rPr>
            </w:pPr>
          </w:p>
          <w:p w:rsidR="00533A65" w:rsidRPr="00E35CCE" w:rsidRDefault="00533A65" w:rsidP="00E35CCE">
            <w:pPr>
              <w:rPr>
                <w:rFonts w:ascii="Arial Narrow" w:hAnsi="Arial Narrow"/>
                <w:i/>
                <w:sz w:val="20"/>
              </w:rPr>
            </w:pPr>
            <w:r w:rsidRPr="00E35CCE">
              <w:rPr>
                <w:rFonts w:ascii="Arial Narrow" w:hAnsi="Arial Narrow"/>
                <w:i/>
                <w:sz w:val="20"/>
              </w:rPr>
              <w:t>Special Pricing Arrangements apply.</w:t>
            </w:r>
          </w:p>
        </w:tc>
      </w:tr>
    </w:tbl>
    <w:p w:rsidR="00E16910" w:rsidRPr="00E35CCE" w:rsidRDefault="00E16910" w:rsidP="00E35CCE">
      <w:pPr>
        <w:pStyle w:val="ListParagraph"/>
        <w:jc w:val="both"/>
        <w:rPr>
          <w:rFonts w:ascii="Arial" w:hAnsi="Arial"/>
          <w:sz w:val="22"/>
          <w:szCs w:val="22"/>
        </w:rPr>
      </w:pPr>
    </w:p>
    <w:p w:rsidR="00A2318C" w:rsidRPr="00E35CCE" w:rsidRDefault="00A2318C" w:rsidP="00E35CCE">
      <w:pPr>
        <w:pStyle w:val="ListParagraph"/>
        <w:numPr>
          <w:ilvl w:val="1"/>
          <w:numId w:val="25"/>
        </w:numPr>
        <w:rPr>
          <w:rFonts w:ascii="Arial" w:hAnsi="Arial" w:cs="Arial"/>
          <w:sz w:val="22"/>
        </w:rPr>
      </w:pPr>
      <w:r w:rsidRPr="00E35CCE">
        <w:rPr>
          <w:rFonts w:ascii="Arial" w:hAnsi="Arial" w:cs="Arial"/>
          <w:sz w:val="22"/>
        </w:rPr>
        <w:lastRenderedPageBreak/>
        <w:t xml:space="preserve">The selection of the </w:t>
      </w:r>
      <w:r w:rsidR="002259D3" w:rsidRPr="00E35CCE">
        <w:rPr>
          <w:rFonts w:ascii="Arial" w:hAnsi="Arial" w:cs="Arial"/>
          <w:sz w:val="22"/>
        </w:rPr>
        <w:t>prostate-specific antigen (</w:t>
      </w:r>
      <w:r w:rsidRPr="00E35CCE">
        <w:rPr>
          <w:rFonts w:ascii="Arial" w:hAnsi="Arial" w:cs="Arial"/>
          <w:sz w:val="22"/>
        </w:rPr>
        <w:t>PSA</w:t>
      </w:r>
      <w:r w:rsidR="002259D3" w:rsidRPr="00E35CCE">
        <w:rPr>
          <w:rFonts w:ascii="Arial" w:hAnsi="Arial" w:cs="Arial"/>
          <w:sz w:val="22"/>
        </w:rPr>
        <w:t>)</w:t>
      </w:r>
      <w:r w:rsidRPr="00E35CCE">
        <w:rPr>
          <w:rFonts w:ascii="Arial" w:hAnsi="Arial" w:cs="Arial"/>
          <w:sz w:val="22"/>
        </w:rPr>
        <w:t xml:space="preserve"> threshold of 114ng/mL is based on post hoc sub group analyses (Berthold 2008</w:t>
      </w:r>
      <w:r w:rsidRPr="00E35CCE">
        <w:rPr>
          <w:rStyle w:val="FootnoteReference"/>
          <w:rFonts w:ascii="Arial" w:hAnsi="Arial" w:cs="Arial"/>
          <w:sz w:val="22"/>
        </w:rPr>
        <w:footnoteReference w:id="1"/>
      </w:r>
      <w:r w:rsidRPr="00E35CCE">
        <w:rPr>
          <w:rFonts w:ascii="Arial" w:hAnsi="Arial" w:cs="Arial"/>
          <w:sz w:val="22"/>
        </w:rPr>
        <w:t xml:space="preserve"> ; Armstrong 2007)</w:t>
      </w:r>
      <w:r w:rsidRPr="00E35CCE">
        <w:rPr>
          <w:rStyle w:val="FootnoteReference"/>
          <w:rFonts w:ascii="Arial" w:hAnsi="Arial" w:cs="Arial"/>
          <w:sz w:val="22"/>
        </w:rPr>
        <w:footnoteReference w:id="2"/>
      </w:r>
      <w:r w:rsidRPr="00E35CCE">
        <w:rPr>
          <w:rFonts w:ascii="Arial" w:hAnsi="Arial" w:cs="Arial"/>
          <w:sz w:val="22"/>
        </w:rPr>
        <w:t xml:space="preserve"> based on the median PSA levels of patients enrolled in the TAX327 trial (</w:t>
      </w:r>
      <w:proofErr w:type="spellStart"/>
      <w:r w:rsidRPr="00E35CCE">
        <w:rPr>
          <w:rFonts w:ascii="Arial" w:hAnsi="Arial" w:cs="Arial"/>
          <w:sz w:val="22"/>
        </w:rPr>
        <w:t>Tannock</w:t>
      </w:r>
      <w:proofErr w:type="spellEnd"/>
      <w:r w:rsidRPr="00E35CCE">
        <w:rPr>
          <w:rFonts w:ascii="Arial" w:hAnsi="Arial" w:cs="Arial"/>
          <w:sz w:val="22"/>
        </w:rPr>
        <w:t xml:space="preserve"> 2004)</w:t>
      </w:r>
      <w:r w:rsidRPr="00E35CCE">
        <w:rPr>
          <w:rStyle w:val="FootnoteReference"/>
          <w:rFonts w:ascii="Arial" w:hAnsi="Arial" w:cs="Arial"/>
          <w:sz w:val="22"/>
        </w:rPr>
        <w:footnoteReference w:id="3"/>
      </w:r>
      <w:r w:rsidRPr="00E35CCE">
        <w:rPr>
          <w:rFonts w:ascii="Arial" w:hAnsi="Arial" w:cs="Arial"/>
          <w:sz w:val="22"/>
        </w:rPr>
        <w:t xml:space="preserve">, which compared </w:t>
      </w:r>
      <w:proofErr w:type="spellStart"/>
      <w:r w:rsidRPr="00E35CCE">
        <w:rPr>
          <w:rFonts w:ascii="Arial" w:hAnsi="Arial" w:cs="Arial"/>
          <w:sz w:val="22"/>
        </w:rPr>
        <w:t>docetaxel</w:t>
      </w:r>
      <w:proofErr w:type="spellEnd"/>
      <w:r w:rsidRPr="00E35CCE">
        <w:rPr>
          <w:rFonts w:ascii="Arial" w:hAnsi="Arial" w:cs="Arial"/>
          <w:sz w:val="22"/>
        </w:rPr>
        <w:t xml:space="preserve"> with </w:t>
      </w:r>
      <w:proofErr w:type="spellStart"/>
      <w:r w:rsidRPr="00E35CCE">
        <w:rPr>
          <w:rFonts w:ascii="Arial" w:hAnsi="Arial" w:cs="Arial"/>
          <w:sz w:val="22"/>
        </w:rPr>
        <w:t>mitoxantrone</w:t>
      </w:r>
      <w:proofErr w:type="spellEnd"/>
      <w:r w:rsidRPr="00E35CCE">
        <w:rPr>
          <w:rFonts w:ascii="Arial" w:hAnsi="Arial" w:cs="Arial"/>
          <w:sz w:val="22"/>
        </w:rPr>
        <w:t xml:space="preserve"> in patients with </w:t>
      </w:r>
      <w:proofErr w:type="spellStart"/>
      <w:r w:rsidRPr="00E35CCE">
        <w:rPr>
          <w:rFonts w:ascii="Arial" w:hAnsi="Arial" w:cs="Arial"/>
          <w:sz w:val="22"/>
        </w:rPr>
        <w:t>mCRPC</w:t>
      </w:r>
      <w:proofErr w:type="spellEnd"/>
      <w:r w:rsidRPr="00E35CCE">
        <w:rPr>
          <w:rFonts w:ascii="Arial" w:hAnsi="Arial" w:cs="Arial"/>
          <w:sz w:val="22"/>
        </w:rPr>
        <w:t xml:space="preserve"> and is dependent on the patients enrolled in the trial only. ESC noted that PSA level is age specific and that progression of disease is usually with reference to PSA kinetics (i.e. doubling time). Clinically, PSA &lt;114ng/mL appears to be an arbitrary threshold for a ‘no treatment’ decision.  ESC is aware of support from the Medical Oncology Group of Australia MOGA for the restriction (Pre-Sub-Committee Response (PSCR</w:t>
      </w:r>
      <w:r w:rsidR="0002746C">
        <w:rPr>
          <w:rFonts w:ascii="Arial" w:hAnsi="Arial" w:cs="Arial"/>
          <w:sz w:val="22"/>
        </w:rPr>
        <w:t>)</w:t>
      </w:r>
      <w:r w:rsidRPr="00E35CCE">
        <w:rPr>
          <w:rFonts w:ascii="Arial" w:hAnsi="Arial" w:cs="Arial"/>
          <w:sz w:val="22"/>
        </w:rPr>
        <w:t>).</w:t>
      </w:r>
    </w:p>
    <w:p w:rsidR="00A2318C" w:rsidRPr="00E35CCE" w:rsidRDefault="00A2318C" w:rsidP="00E35CCE">
      <w:pPr>
        <w:pStyle w:val="ListParagraph"/>
        <w:rPr>
          <w:i/>
        </w:rPr>
      </w:pPr>
    </w:p>
    <w:p w:rsidR="00A2318C" w:rsidRPr="00E35CCE" w:rsidRDefault="00A2318C" w:rsidP="00E35CCE">
      <w:pPr>
        <w:pStyle w:val="ListParagraph"/>
        <w:numPr>
          <w:ilvl w:val="1"/>
          <w:numId w:val="25"/>
        </w:numPr>
        <w:jc w:val="both"/>
        <w:rPr>
          <w:rFonts w:ascii="Arial" w:hAnsi="Arial" w:cs="Arial"/>
          <w:sz w:val="20"/>
          <w:szCs w:val="22"/>
        </w:rPr>
      </w:pPr>
      <w:r w:rsidRPr="00E35CCE">
        <w:rPr>
          <w:rFonts w:ascii="Arial" w:hAnsi="Arial" w:cs="Arial"/>
          <w:sz w:val="22"/>
        </w:rPr>
        <w:t>It is also unclear</w:t>
      </w:r>
      <w:r w:rsidR="00D204B7">
        <w:rPr>
          <w:rFonts w:ascii="Arial" w:hAnsi="Arial" w:cs="Arial"/>
          <w:sz w:val="22"/>
        </w:rPr>
        <w:t xml:space="preserve"> to the ESC</w:t>
      </w:r>
      <w:r w:rsidRPr="00E35CCE">
        <w:rPr>
          <w:rFonts w:ascii="Arial" w:hAnsi="Arial" w:cs="Arial"/>
          <w:sz w:val="22"/>
        </w:rPr>
        <w:t xml:space="preserve"> whether patients classified as experiencing mildly symptomatic pain according to the Brief Pain Inventory Questionnaire</w:t>
      </w:r>
      <w:r w:rsidR="003B4FCC" w:rsidRPr="00E35CCE">
        <w:rPr>
          <w:rFonts w:ascii="Arial" w:hAnsi="Arial" w:cs="Arial"/>
          <w:sz w:val="22"/>
        </w:rPr>
        <w:t xml:space="preserve"> (BPI-SF</w:t>
      </w:r>
      <w:r w:rsidR="00064A11" w:rsidRPr="00E35CCE">
        <w:rPr>
          <w:rFonts w:ascii="Arial" w:hAnsi="Arial" w:cs="Arial"/>
          <w:sz w:val="22"/>
        </w:rPr>
        <w:t xml:space="preserve"> Q3</w:t>
      </w:r>
      <w:r w:rsidR="003B4FCC" w:rsidRPr="00E35CCE">
        <w:rPr>
          <w:rFonts w:ascii="Arial" w:hAnsi="Arial" w:cs="Arial"/>
          <w:sz w:val="22"/>
        </w:rPr>
        <w:t>)</w:t>
      </w:r>
      <w:r w:rsidRPr="00E35CCE">
        <w:rPr>
          <w:rFonts w:ascii="Arial" w:hAnsi="Arial" w:cs="Arial"/>
          <w:sz w:val="22"/>
        </w:rPr>
        <w:t xml:space="preserve"> used in Trial 302 and </w:t>
      </w:r>
      <w:r w:rsidR="00E51121" w:rsidRPr="00E35CCE">
        <w:rPr>
          <w:rFonts w:ascii="Arial" w:hAnsi="Arial" w:cs="Arial"/>
          <w:sz w:val="22"/>
        </w:rPr>
        <w:t xml:space="preserve">proposed to be </w:t>
      </w:r>
      <w:r w:rsidRPr="00E35CCE">
        <w:rPr>
          <w:rFonts w:ascii="Arial" w:hAnsi="Arial" w:cs="Arial"/>
          <w:sz w:val="22"/>
        </w:rPr>
        <w:t xml:space="preserve">excluded from the proposed trial PBS population would be </w:t>
      </w:r>
      <w:r w:rsidR="00E51121" w:rsidRPr="00E35CCE">
        <w:rPr>
          <w:rFonts w:ascii="Arial" w:hAnsi="Arial" w:cs="Arial"/>
          <w:sz w:val="22"/>
        </w:rPr>
        <w:t xml:space="preserve">effectively </w:t>
      </w:r>
      <w:r w:rsidRPr="00E35CCE">
        <w:rPr>
          <w:rFonts w:ascii="Arial" w:hAnsi="Arial" w:cs="Arial"/>
          <w:sz w:val="22"/>
        </w:rPr>
        <w:t>excluded by physician-rated definitions of asymptomatic disease.</w:t>
      </w:r>
    </w:p>
    <w:p w:rsidR="00ED4A3C" w:rsidRPr="00E35CCE" w:rsidRDefault="00ED4A3C" w:rsidP="00E35CCE">
      <w:pPr>
        <w:pStyle w:val="ListParagraph"/>
        <w:rPr>
          <w:rFonts w:ascii="Arial" w:hAnsi="Arial" w:cs="Arial"/>
          <w:sz w:val="20"/>
          <w:szCs w:val="22"/>
        </w:rPr>
      </w:pPr>
    </w:p>
    <w:p w:rsidR="00533A65" w:rsidRPr="00E35CCE" w:rsidRDefault="00533A65" w:rsidP="00E35CCE">
      <w:pPr>
        <w:pStyle w:val="ListParagraph"/>
        <w:numPr>
          <w:ilvl w:val="1"/>
          <w:numId w:val="25"/>
        </w:numPr>
        <w:jc w:val="both"/>
        <w:rPr>
          <w:rFonts w:ascii="Arial" w:hAnsi="Arial" w:cs="Arial"/>
          <w:sz w:val="20"/>
          <w:szCs w:val="22"/>
        </w:rPr>
      </w:pPr>
      <w:r w:rsidRPr="00E35CCE">
        <w:rPr>
          <w:rFonts w:ascii="Arial" w:hAnsi="Arial" w:cs="Arial"/>
          <w:sz w:val="22"/>
        </w:rPr>
        <w:t xml:space="preserve">Listing was sought on a cost </w:t>
      </w:r>
      <w:r w:rsidR="00A2318C" w:rsidRPr="00E35CCE">
        <w:rPr>
          <w:rFonts w:ascii="Arial" w:hAnsi="Arial" w:cs="Arial"/>
          <w:sz w:val="22"/>
        </w:rPr>
        <w:t>utility</w:t>
      </w:r>
      <w:r w:rsidRPr="00E35CCE">
        <w:rPr>
          <w:rFonts w:ascii="Arial" w:hAnsi="Arial" w:cs="Arial"/>
          <w:sz w:val="22"/>
        </w:rPr>
        <w:t xml:space="preserve"> basis with </w:t>
      </w:r>
      <w:proofErr w:type="spellStart"/>
      <w:r w:rsidR="00487967" w:rsidRPr="00E35CCE">
        <w:rPr>
          <w:rFonts w:ascii="Arial" w:hAnsi="Arial" w:cs="Arial"/>
          <w:sz w:val="22"/>
        </w:rPr>
        <w:t>abiraterone</w:t>
      </w:r>
      <w:proofErr w:type="spellEnd"/>
      <w:r w:rsidRPr="00E35CCE">
        <w:rPr>
          <w:rFonts w:ascii="Arial" w:hAnsi="Arial" w:cs="Arial"/>
          <w:sz w:val="22"/>
        </w:rPr>
        <w:t xml:space="preserve"> compared to </w:t>
      </w:r>
      <w:r w:rsidR="00487967" w:rsidRPr="00E35CCE">
        <w:rPr>
          <w:rFonts w:ascii="Arial" w:hAnsi="Arial" w:cs="Arial"/>
          <w:sz w:val="22"/>
        </w:rPr>
        <w:t>watchful waiting (</w:t>
      </w:r>
      <w:r w:rsidR="00876F9B" w:rsidRPr="00E35CCE">
        <w:rPr>
          <w:rFonts w:ascii="Arial" w:hAnsi="Arial" w:cs="Arial"/>
          <w:sz w:val="22"/>
        </w:rPr>
        <w:t>placebo</w:t>
      </w:r>
      <w:r w:rsidR="00487967" w:rsidRPr="00E35CCE">
        <w:rPr>
          <w:rFonts w:ascii="Arial" w:hAnsi="Arial" w:cs="Arial"/>
          <w:sz w:val="22"/>
        </w:rPr>
        <w:t>)</w:t>
      </w:r>
      <w:r w:rsidRPr="00E35CCE">
        <w:rPr>
          <w:rFonts w:ascii="Arial" w:hAnsi="Arial" w:cs="Arial"/>
          <w:sz w:val="22"/>
        </w:rPr>
        <w:t>.</w:t>
      </w:r>
    </w:p>
    <w:p w:rsidR="00614159" w:rsidRPr="00E35CCE" w:rsidRDefault="00614159" w:rsidP="00E35CCE">
      <w:pPr>
        <w:jc w:val="both"/>
        <w:rPr>
          <w:rFonts w:ascii="Arial" w:hAnsi="Arial"/>
          <w:b/>
          <w:sz w:val="22"/>
          <w:szCs w:val="22"/>
        </w:rPr>
      </w:pPr>
    </w:p>
    <w:p w:rsidR="00BB7EC3" w:rsidRPr="00E35CCE" w:rsidRDefault="00BB7EC3" w:rsidP="00E35CCE">
      <w:pPr>
        <w:pStyle w:val="ListParagraph"/>
        <w:ind w:left="709"/>
        <w:jc w:val="both"/>
        <w:rPr>
          <w:rFonts w:ascii="Arial" w:hAnsi="Arial"/>
          <w:i/>
          <w:sz w:val="22"/>
          <w:szCs w:val="22"/>
        </w:rPr>
      </w:pPr>
      <w:r w:rsidRPr="00E35CCE">
        <w:rPr>
          <w:rFonts w:ascii="Arial" w:hAnsi="Arial"/>
          <w:i/>
          <w:sz w:val="22"/>
          <w:szCs w:val="22"/>
        </w:rPr>
        <w:t>For more detail on PBAC’s view, see section 7 “PBAC outcome”</w:t>
      </w:r>
    </w:p>
    <w:p w:rsidR="00BB7EC3" w:rsidRPr="00E35CCE" w:rsidRDefault="00BB7EC3" w:rsidP="00E35CCE">
      <w:pPr>
        <w:jc w:val="both"/>
        <w:rPr>
          <w:rFonts w:ascii="Arial" w:hAnsi="Arial"/>
          <w:b/>
          <w:sz w:val="22"/>
          <w:szCs w:val="22"/>
        </w:rPr>
      </w:pPr>
    </w:p>
    <w:p w:rsidR="00CE10C4" w:rsidRPr="00E35CCE" w:rsidRDefault="00CE10C4" w:rsidP="00E35CCE">
      <w:pPr>
        <w:pStyle w:val="ListParagraph"/>
        <w:numPr>
          <w:ilvl w:val="0"/>
          <w:numId w:val="25"/>
        </w:numPr>
        <w:jc w:val="both"/>
        <w:rPr>
          <w:rFonts w:ascii="Arial" w:hAnsi="Arial"/>
          <w:sz w:val="22"/>
          <w:szCs w:val="22"/>
        </w:rPr>
      </w:pPr>
      <w:r w:rsidRPr="00E35CCE">
        <w:rPr>
          <w:rFonts w:ascii="Arial" w:hAnsi="Arial"/>
          <w:b/>
          <w:sz w:val="22"/>
          <w:szCs w:val="22"/>
        </w:rPr>
        <w:t>Background</w:t>
      </w:r>
    </w:p>
    <w:p w:rsidR="006A12A5" w:rsidRPr="00E35CCE" w:rsidRDefault="006A12A5" w:rsidP="00E35CCE">
      <w:pPr>
        <w:jc w:val="both"/>
        <w:rPr>
          <w:rFonts w:ascii="Arial" w:hAnsi="Arial"/>
          <w:sz w:val="22"/>
          <w:szCs w:val="22"/>
        </w:rPr>
      </w:pPr>
    </w:p>
    <w:p w:rsidR="00533A65" w:rsidRPr="00E35CCE" w:rsidRDefault="00936FD8" w:rsidP="00E35CCE">
      <w:pPr>
        <w:pStyle w:val="ListParagraph"/>
        <w:numPr>
          <w:ilvl w:val="1"/>
          <w:numId w:val="25"/>
        </w:numPr>
        <w:jc w:val="both"/>
        <w:rPr>
          <w:rFonts w:ascii="Arial" w:hAnsi="Arial"/>
          <w:sz w:val="22"/>
          <w:szCs w:val="22"/>
        </w:rPr>
      </w:pPr>
      <w:proofErr w:type="spellStart"/>
      <w:r w:rsidRPr="00E35CCE">
        <w:rPr>
          <w:rFonts w:ascii="Arial" w:hAnsi="Arial"/>
          <w:sz w:val="22"/>
          <w:szCs w:val="22"/>
        </w:rPr>
        <w:t>Abiraterone</w:t>
      </w:r>
      <w:proofErr w:type="spellEnd"/>
      <w:r w:rsidRPr="00E35CCE">
        <w:rPr>
          <w:rFonts w:ascii="Arial" w:hAnsi="Arial"/>
          <w:sz w:val="22"/>
          <w:szCs w:val="22"/>
        </w:rPr>
        <w:t xml:space="preserve"> </w:t>
      </w:r>
      <w:r w:rsidR="00533A65" w:rsidRPr="00E35CCE">
        <w:rPr>
          <w:rFonts w:ascii="Arial" w:hAnsi="Arial"/>
          <w:sz w:val="22"/>
          <w:szCs w:val="22"/>
        </w:rPr>
        <w:t xml:space="preserve">was TGA registered on 1 </w:t>
      </w:r>
      <w:r w:rsidR="00876F9B" w:rsidRPr="00E35CCE">
        <w:rPr>
          <w:rFonts w:ascii="Arial" w:hAnsi="Arial"/>
          <w:sz w:val="22"/>
          <w:szCs w:val="22"/>
        </w:rPr>
        <w:t>March 2</w:t>
      </w:r>
      <w:r w:rsidR="00533A65" w:rsidRPr="00E35CCE">
        <w:rPr>
          <w:rFonts w:ascii="Arial" w:hAnsi="Arial"/>
          <w:sz w:val="22"/>
          <w:szCs w:val="22"/>
        </w:rPr>
        <w:t xml:space="preserve">012 and is indicated </w:t>
      </w:r>
      <w:r w:rsidR="00E51121" w:rsidRPr="00E35CCE">
        <w:rPr>
          <w:rFonts w:ascii="Arial" w:hAnsi="Arial"/>
          <w:sz w:val="22"/>
          <w:szCs w:val="22"/>
        </w:rPr>
        <w:t>(</w:t>
      </w:r>
      <w:r w:rsidR="00533A65" w:rsidRPr="00E35CCE">
        <w:rPr>
          <w:rFonts w:ascii="Arial" w:hAnsi="Arial"/>
          <w:sz w:val="22"/>
          <w:szCs w:val="22"/>
        </w:rPr>
        <w:t>with prednisone or prednisolone</w:t>
      </w:r>
      <w:r w:rsidR="00E51121" w:rsidRPr="00E35CCE">
        <w:rPr>
          <w:rFonts w:ascii="Arial" w:hAnsi="Arial"/>
          <w:sz w:val="22"/>
          <w:szCs w:val="22"/>
        </w:rPr>
        <w:t>)</w:t>
      </w:r>
      <w:r w:rsidR="00533A65" w:rsidRPr="00E35CCE">
        <w:rPr>
          <w:rFonts w:ascii="Arial" w:hAnsi="Arial"/>
          <w:sz w:val="22"/>
          <w:szCs w:val="22"/>
        </w:rPr>
        <w:t xml:space="preserve"> for the treatment of patients with metastatic castration resistant prostate cancer </w:t>
      </w:r>
    </w:p>
    <w:p w:rsidR="00533A65" w:rsidRPr="00E35CCE" w:rsidRDefault="00533A65" w:rsidP="00E35CCE">
      <w:pPr>
        <w:pStyle w:val="ListParagraph"/>
        <w:jc w:val="both"/>
        <w:rPr>
          <w:rFonts w:ascii="Arial" w:hAnsi="Arial"/>
          <w:sz w:val="22"/>
          <w:szCs w:val="22"/>
        </w:rPr>
      </w:pPr>
      <w:r w:rsidRPr="00E35CCE">
        <w:rPr>
          <w:rFonts w:ascii="Arial" w:hAnsi="Arial"/>
          <w:sz w:val="22"/>
          <w:szCs w:val="22"/>
        </w:rPr>
        <w:t>(</w:t>
      </w:r>
      <w:proofErr w:type="spellStart"/>
      <w:proofErr w:type="gramStart"/>
      <w:r w:rsidRPr="00E35CCE">
        <w:rPr>
          <w:rFonts w:ascii="Arial" w:hAnsi="Arial"/>
          <w:sz w:val="22"/>
          <w:szCs w:val="22"/>
        </w:rPr>
        <w:t>mCRPC</w:t>
      </w:r>
      <w:proofErr w:type="spellEnd"/>
      <w:proofErr w:type="gramEnd"/>
      <w:r w:rsidRPr="00E35CCE">
        <w:rPr>
          <w:rFonts w:ascii="Arial" w:hAnsi="Arial"/>
          <w:sz w:val="22"/>
          <w:szCs w:val="22"/>
        </w:rPr>
        <w:t>):</w:t>
      </w:r>
    </w:p>
    <w:p w:rsidR="00533A65" w:rsidRPr="00E35CCE" w:rsidRDefault="00533A65" w:rsidP="00E35CCE">
      <w:pPr>
        <w:pStyle w:val="ListParagraph"/>
        <w:numPr>
          <w:ilvl w:val="0"/>
          <w:numId w:val="38"/>
        </w:numPr>
        <w:jc w:val="both"/>
        <w:rPr>
          <w:rFonts w:ascii="Arial" w:hAnsi="Arial"/>
          <w:sz w:val="22"/>
          <w:szCs w:val="22"/>
        </w:rPr>
      </w:pPr>
      <w:r w:rsidRPr="00E35CCE">
        <w:rPr>
          <w:rFonts w:ascii="Arial" w:hAnsi="Arial"/>
          <w:sz w:val="22"/>
          <w:szCs w:val="22"/>
        </w:rPr>
        <w:t>Who are asymptomatic or mildly symptomatic after failure of androgen deprivation therapy (ADT) or</w:t>
      </w:r>
    </w:p>
    <w:p w:rsidR="006B0D94" w:rsidRPr="00E35CCE" w:rsidRDefault="00533A65" w:rsidP="00E35CCE">
      <w:pPr>
        <w:pStyle w:val="ListParagraph"/>
        <w:numPr>
          <w:ilvl w:val="0"/>
          <w:numId w:val="38"/>
        </w:numPr>
        <w:jc w:val="both"/>
        <w:rPr>
          <w:rFonts w:ascii="Arial" w:hAnsi="Arial"/>
          <w:sz w:val="22"/>
          <w:szCs w:val="22"/>
        </w:rPr>
      </w:pPr>
      <w:r w:rsidRPr="00E35CCE">
        <w:rPr>
          <w:rFonts w:ascii="Arial" w:hAnsi="Arial"/>
          <w:sz w:val="22"/>
          <w:szCs w:val="22"/>
        </w:rPr>
        <w:t xml:space="preserve">Who have received prior chemotherapy containing a </w:t>
      </w:r>
      <w:proofErr w:type="spellStart"/>
      <w:r w:rsidRPr="00E35CCE">
        <w:rPr>
          <w:rFonts w:ascii="Arial" w:hAnsi="Arial"/>
          <w:sz w:val="22"/>
          <w:szCs w:val="22"/>
        </w:rPr>
        <w:t>taxanes</w:t>
      </w:r>
      <w:proofErr w:type="spellEnd"/>
      <w:r w:rsidR="002B1AE6" w:rsidRPr="00E35CCE">
        <w:rPr>
          <w:rFonts w:ascii="Arial" w:hAnsi="Arial"/>
          <w:sz w:val="22"/>
          <w:szCs w:val="22"/>
        </w:rPr>
        <w:t xml:space="preserve"> </w:t>
      </w:r>
    </w:p>
    <w:p w:rsidR="00533A65" w:rsidRPr="00E35CCE" w:rsidRDefault="00533A65" w:rsidP="00E35CCE">
      <w:pPr>
        <w:pStyle w:val="ListParagraph"/>
        <w:ind w:left="1800"/>
        <w:jc w:val="both"/>
        <w:rPr>
          <w:rFonts w:ascii="Arial" w:hAnsi="Arial"/>
          <w:sz w:val="22"/>
          <w:szCs w:val="22"/>
        </w:rPr>
      </w:pPr>
    </w:p>
    <w:p w:rsidR="00A961B9" w:rsidRPr="00E35CCE" w:rsidRDefault="00A961B9" w:rsidP="00E35CCE">
      <w:pPr>
        <w:pStyle w:val="ListParagraph"/>
        <w:numPr>
          <w:ilvl w:val="1"/>
          <w:numId w:val="25"/>
        </w:numPr>
        <w:jc w:val="both"/>
        <w:rPr>
          <w:rFonts w:ascii="Arial" w:hAnsi="Arial" w:cs="Arial"/>
          <w:sz w:val="20"/>
          <w:szCs w:val="22"/>
        </w:rPr>
      </w:pPr>
      <w:proofErr w:type="spellStart"/>
      <w:r w:rsidRPr="00E35CCE">
        <w:rPr>
          <w:rFonts w:ascii="Arial" w:hAnsi="Arial" w:cs="Arial"/>
          <w:sz w:val="22"/>
        </w:rPr>
        <w:t>Abiraterone</w:t>
      </w:r>
      <w:proofErr w:type="spellEnd"/>
      <w:r w:rsidRPr="00E35CCE">
        <w:rPr>
          <w:rFonts w:ascii="Arial" w:hAnsi="Arial" w:cs="Arial"/>
          <w:sz w:val="22"/>
        </w:rPr>
        <w:t xml:space="preserve"> has not previously been considered by the PBAC for this indication.  </w:t>
      </w:r>
      <w:proofErr w:type="spellStart"/>
      <w:r w:rsidRPr="00E35CCE">
        <w:rPr>
          <w:rFonts w:ascii="Arial" w:hAnsi="Arial" w:cs="Arial"/>
          <w:sz w:val="22"/>
        </w:rPr>
        <w:t>Abiraterone</w:t>
      </w:r>
      <w:proofErr w:type="spellEnd"/>
      <w:r w:rsidRPr="00E35CCE">
        <w:rPr>
          <w:rFonts w:ascii="Arial" w:hAnsi="Arial" w:cs="Arial"/>
          <w:sz w:val="22"/>
        </w:rPr>
        <w:t xml:space="preserve"> was listed on the PBS, on 1 August 2013, for the treatment of patients with </w:t>
      </w:r>
      <w:proofErr w:type="spellStart"/>
      <w:r w:rsidRPr="00E35CCE">
        <w:rPr>
          <w:rFonts w:ascii="Arial" w:hAnsi="Arial" w:cs="Arial"/>
          <w:sz w:val="22"/>
        </w:rPr>
        <w:t>mCRPC</w:t>
      </w:r>
      <w:proofErr w:type="spellEnd"/>
      <w:r w:rsidRPr="00E35CCE">
        <w:rPr>
          <w:rFonts w:ascii="Arial" w:hAnsi="Arial" w:cs="Arial"/>
          <w:sz w:val="22"/>
        </w:rPr>
        <w:t xml:space="preserve"> whose disease has progressed following treatment with </w:t>
      </w:r>
      <w:proofErr w:type="spellStart"/>
      <w:r w:rsidRPr="00E35CCE">
        <w:rPr>
          <w:rFonts w:ascii="Arial" w:hAnsi="Arial" w:cs="Arial"/>
          <w:sz w:val="22"/>
        </w:rPr>
        <w:t>docetaxel</w:t>
      </w:r>
      <w:proofErr w:type="spellEnd"/>
      <w:r w:rsidRPr="00E35CCE">
        <w:rPr>
          <w:rFonts w:ascii="Arial" w:hAnsi="Arial" w:cs="Arial"/>
          <w:sz w:val="22"/>
        </w:rPr>
        <w:t>.</w:t>
      </w:r>
    </w:p>
    <w:p w:rsidR="00BB7EC3" w:rsidRPr="00E35CCE" w:rsidRDefault="00BB7EC3" w:rsidP="00E35CCE">
      <w:pPr>
        <w:jc w:val="both"/>
        <w:rPr>
          <w:rFonts w:ascii="Arial" w:hAnsi="Arial"/>
          <w:b/>
          <w:sz w:val="22"/>
          <w:szCs w:val="22"/>
        </w:rPr>
      </w:pPr>
    </w:p>
    <w:p w:rsidR="00CE10C4" w:rsidRPr="00E35CCE" w:rsidRDefault="00CE10C4" w:rsidP="00E35CCE">
      <w:pPr>
        <w:pStyle w:val="ListParagraph"/>
        <w:numPr>
          <w:ilvl w:val="0"/>
          <w:numId w:val="25"/>
        </w:numPr>
        <w:jc w:val="both"/>
        <w:rPr>
          <w:rFonts w:ascii="Arial" w:hAnsi="Arial"/>
          <w:b/>
          <w:sz w:val="22"/>
          <w:szCs w:val="22"/>
        </w:rPr>
      </w:pPr>
      <w:r w:rsidRPr="00E35CCE">
        <w:rPr>
          <w:rFonts w:ascii="Arial" w:hAnsi="Arial"/>
          <w:b/>
          <w:sz w:val="22"/>
          <w:szCs w:val="22"/>
        </w:rPr>
        <w:t>Clinical place for the proposed ther</w:t>
      </w:r>
      <w:r w:rsidR="006A12A5" w:rsidRPr="00E35CCE">
        <w:rPr>
          <w:rFonts w:ascii="Arial" w:hAnsi="Arial"/>
          <w:b/>
          <w:sz w:val="22"/>
          <w:szCs w:val="22"/>
        </w:rPr>
        <w:t>apy</w:t>
      </w:r>
    </w:p>
    <w:p w:rsidR="00CE10C4" w:rsidRPr="00E35CCE" w:rsidRDefault="00CE10C4" w:rsidP="00E35CCE">
      <w:pPr>
        <w:jc w:val="both"/>
        <w:rPr>
          <w:rFonts w:ascii="Arial" w:hAnsi="Arial"/>
          <w:sz w:val="22"/>
          <w:szCs w:val="22"/>
        </w:rPr>
      </w:pPr>
    </w:p>
    <w:p w:rsidR="00DB0A21" w:rsidRPr="00E35CCE" w:rsidRDefault="00DB0A21" w:rsidP="00E35CCE">
      <w:pPr>
        <w:pStyle w:val="ListParagraph"/>
        <w:numPr>
          <w:ilvl w:val="1"/>
          <w:numId w:val="25"/>
        </w:numPr>
        <w:jc w:val="both"/>
        <w:rPr>
          <w:rFonts w:ascii="Arial" w:hAnsi="Arial" w:cs="Arial"/>
          <w:sz w:val="20"/>
          <w:szCs w:val="22"/>
        </w:rPr>
      </w:pPr>
      <w:r w:rsidRPr="00E35CCE">
        <w:rPr>
          <w:rFonts w:ascii="Arial" w:hAnsi="Arial" w:cs="Arial"/>
          <w:sz w:val="22"/>
        </w:rPr>
        <w:t xml:space="preserve">Metastatic castration resistant prostate cancer arises when metastatic tumours continue to develop despite androgen deprivation therapy (ADT) that reduces circulating androgens to castration levels. </w:t>
      </w:r>
    </w:p>
    <w:p w:rsidR="00C35996" w:rsidRPr="00E35CCE" w:rsidRDefault="00C35996" w:rsidP="00E35CCE">
      <w:pPr>
        <w:pStyle w:val="ListParagraph"/>
        <w:jc w:val="both"/>
        <w:rPr>
          <w:rFonts w:ascii="Arial" w:hAnsi="Arial"/>
          <w:sz w:val="22"/>
          <w:szCs w:val="22"/>
        </w:rPr>
      </w:pPr>
    </w:p>
    <w:p w:rsidR="006A12A5" w:rsidRPr="00E35CCE" w:rsidRDefault="00A961B9" w:rsidP="00E35CCE">
      <w:pPr>
        <w:pStyle w:val="ListParagraph"/>
        <w:numPr>
          <w:ilvl w:val="1"/>
          <w:numId w:val="25"/>
        </w:numPr>
        <w:jc w:val="both"/>
        <w:rPr>
          <w:rFonts w:ascii="Arial" w:hAnsi="Arial" w:cs="Arial"/>
          <w:sz w:val="20"/>
          <w:szCs w:val="22"/>
        </w:rPr>
      </w:pPr>
      <w:proofErr w:type="spellStart"/>
      <w:r w:rsidRPr="00E35CCE">
        <w:rPr>
          <w:rFonts w:ascii="Arial" w:hAnsi="Arial" w:cs="Arial"/>
          <w:sz w:val="22"/>
        </w:rPr>
        <w:t>Abiraterone</w:t>
      </w:r>
      <w:proofErr w:type="spellEnd"/>
      <w:r w:rsidRPr="00E35CCE">
        <w:rPr>
          <w:rFonts w:ascii="Arial" w:hAnsi="Arial" w:cs="Arial"/>
          <w:sz w:val="22"/>
        </w:rPr>
        <w:t xml:space="preserve"> is proposed for treatment of metastatic castration resistant prostate cancer (</w:t>
      </w:r>
      <w:proofErr w:type="spellStart"/>
      <w:r w:rsidRPr="00E35CCE">
        <w:rPr>
          <w:rFonts w:ascii="Arial" w:hAnsi="Arial" w:cs="Arial"/>
          <w:sz w:val="22"/>
        </w:rPr>
        <w:t>mCRPC</w:t>
      </w:r>
      <w:proofErr w:type="spellEnd"/>
      <w:r w:rsidRPr="00E35CCE">
        <w:rPr>
          <w:rFonts w:ascii="Arial" w:hAnsi="Arial" w:cs="Arial"/>
          <w:sz w:val="22"/>
        </w:rPr>
        <w:t xml:space="preserve">) after failure with secondary-androgen deprivation therapy (ADT) but before </w:t>
      </w:r>
      <w:proofErr w:type="spellStart"/>
      <w:r w:rsidRPr="00E35CCE">
        <w:rPr>
          <w:rFonts w:ascii="Arial" w:hAnsi="Arial" w:cs="Arial"/>
          <w:sz w:val="22"/>
        </w:rPr>
        <w:t>docetaxel</w:t>
      </w:r>
      <w:proofErr w:type="spellEnd"/>
      <w:r w:rsidRPr="00E35CCE">
        <w:rPr>
          <w:rFonts w:ascii="Arial" w:hAnsi="Arial" w:cs="Arial"/>
          <w:sz w:val="22"/>
        </w:rPr>
        <w:t xml:space="preserve"> in patients with ‘asymptomatic’ disease (defined as physician assessed absence of cancer pain, PSA </w:t>
      </w:r>
      <w:r w:rsidRPr="00E35CCE">
        <w:rPr>
          <w:rFonts w:ascii="Arial" w:hAnsi="Arial" w:cs="Arial"/>
          <w:sz w:val="22"/>
          <w:szCs w:val="22"/>
        </w:rPr>
        <w:t>≤114ng/mL, and ECOG ≤1</w:t>
      </w:r>
      <w:r w:rsidRPr="00E35CCE">
        <w:rPr>
          <w:rFonts w:ascii="Arial" w:hAnsi="Arial" w:cs="Arial"/>
          <w:sz w:val="22"/>
        </w:rPr>
        <w:t xml:space="preserve">). </w:t>
      </w:r>
    </w:p>
    <w:p w:rsidR="006A12A5" w:rsidRPr="00E35CCE" w:rsidRDefault="006A12A5" w:rsidP="00E35CCE">
      <w:pPr>
        <w:pStyle w:val="Header"/>
        <w:tabs>
          <w:tab w:val="clear" w:pos="4153"/>
          <w:tab w:val="clear" w:pos="8306"/>
        </w:tabs>
        <w:jc w:val="both"/>
        <w:rPr>
          <w:rFonts w:ascii="Arial" w:hAnsi="Arial"/>
          <w:sz w:val="22"/>
          <w:szCs w:val="22"/>
        </w:rPr>
      </w:pPr>
    </w:p>
    <w:p w:rsidR="00BB7EC3" w:rsidRPr="00E35CCE" w:rsidRDefault="00BB7EC3" w:rsidP="00E35CCE">
      <w:pPr>
        <w:pStyle w:val="ListParagraph"/>
        <w:ind w:left="709"/>
        <w:jc w:val="both"/>
        <w:rPr>
          <w:rFonts w:ascii="Arial" w:hAnsi="Arial"/>
          <w:i/>
          <w:sz w:val="22"/>
          <w:szCs w:val="22"/>
        </w:rPr>
      </w:pPr>
      <w:r w:rsidRPr="00E35CCE">
        <w:rPr>
          <w:rFonts w:ascii="Arial" w:hAnsi="Arial"/>
          <w:i/>
          <w:sz w:val="22"/>
          <w:szCs w:val="22"/>
        </w:rPr>
        <w:t>For more detail on PBAC’s view, see section 7 “PBAC outcome”</w:t>
      </w:r>
    </w:p>
    <w:p w:rsidR="00BB7EC3" w:rsidRPr="00E35CCE" w:rsidRDefault="00BB7EC3" w:rsidP="00E35CCE">
      <w:pPr>
        <w:pStyle w:val="Header"/>
        <w:tabs>
          <w:tab w:val="clear" w:pos="4153"/>
          <w:tab w:val="clear" w:pos="8306"/>
        </w:tabs>
        <w:jc w:val="both"/>
        <w:rPr>
          <w:rFonts w:ascii="Arial" w:hAnsi="Arial"/>
          <w:sz w:val="22"/>
          <w:szCs w:val="22"/>
        </w:rPr>
      </w:pPr>
    </w:p>
    <w:p w:rsidR="005A3173" w:rsidRPr="00E35CCE" w:rsidRDefault="005A3173" w:rsidP="00E35CCE">
      <w:pPr>
        <w:pStyle w:val="Header"/>
        <w:numPr>
          <w:ilvl w:val="0"/>
          <w:numId w:val="25"/>
        </w:numPr>
        <w:tabs>
          <w:tab w:val="clear" w:pos="4153"/>
          <w:tab w:val="clear" w:pos="8306"/>
        </w:tabs>
        <w:jc w:val="both"/>
        <w:rPr>
          <w:rFonts w:ascii="Arial" w:hAnsi="Arial"/>
          <w:b/>
          <w:sz w:val="22"/>
          <w:szCs w:val="22"/>
        </w:rPr>
      </w:pPr>
      <w:r w:rsidRPr="00E35CCE">
        <w:rPr>
          <w:rFonts w:ascii="Arial" w:hAnsi="Arial"/>
          <w:b/>
          <w:sz w:val="22"/>
          <w:szCs w:val="22"/>
        </w:rPr>
        <w:lastRenderedPageBreak/>
        <w:t>Comparator</w:t>
      </w:r>
    </w:p>
    <w:p w:rsidR="005A3173" w:rsidRPr="00E35CCE" w:rsidRDefault="005A3173" w:rsidP="00E35CCE">
      <w:pPr>
        <w:pStyle w:val="Header"/>
        <w:tabs>
          <w:tab w:val="clear" w:pos="4153"/>
          <w:tab w:val="clear" w:pos="8306"/>
        </w:tabs>
        <w:jc w:val="both"/>
        <w:rPr>
          <w:rFonts w:ascii="Arial" w:hAnsi="Arial"/>
          <w:b/>
          <w:sz w:val="22"/>
          <w:szCs w:val="22"/>
        </w:rPr>
      </w:pPr>
    </w:p>
    <w:p w:rsidR="00487967" w:rsidRPr="00E35CCE" w:rsidRDefault="00DB0A21" w:rsidP="00E35CCE">
      <w:pPr>
        <w:pStyle w:val="ListParagraph"/>
        <w:numPr>
          <w:ilvl w:val="1"/>
          <w:numId w:val="25"/>
        </w:numPr>
        <w:jc w:val="both"/>
        <w:rPr>
          <w:rFonts w:ascii="Arial" w:hAnsi="Arial" w:cs="Arial"/>
          <w:sz w:val="22"/>
        </w:rPr>
      </w:pPr>
      <w:r w:rsidRPr="00E35CCE">
        <w:rPr>
          <w:rFonts w:ascii="Arial" w:hAnsi="Arial"/>
          <w:sz w:val="22"/>
          <w:szCs w:val="22"/>
        </w:rPr>
        <w:t>The submission nominated w</w:t>
      </w:r>
      <w:r w:rsidRPr="00E35CCE">
        <w:rPr>
          <w:rFonts w:ascii="Arial" w:hAnsi="Arial" w:cs="Arial"/>
          <w:sz w:val="22"/>
        </w:rPr>
        <w:t xml:space="preserve">atchful waiting (placebo) as the comparator. </w:t>
      </w:r>
      <w:r w:rsidR="00487967" w:rsidRPr="00E35CCE">
        <w:rPr>
          <w:rFonts w:ascii="Arial" w:hAnsi="Arial" w:cs="Arial"/>
          <w:sz w:val="22"/>
        </w:rPr>
        <w:t>This require</w:t>
      </w:r>
      <w:r w:rsidR="002259D3" w:rsidRPr="00E35CCE">
        <w:rPr>
          <w:rFonts w:ascii="Arial" w:hAnsi="Arial" w:cs="Arial"/>
          <w:sz w:val="22"/>
        </w:rPr>
        <w:t>d</w:t>
      </w:r>
      <w:r w:rsidR="00487967" w:rsidRPr="00E35CCE">
        <w:rPr>
          <w:rFonts w:ascii="Arial" w:hAnsi="Arial" w:cs="Arial"/>
          <w:sz w:val="22"/>
        </w:rPr>
        <w:t xml:space="preserve"> consideration as it is unclear </w:t>
      </w:r>
      <w:r w:rsidR="00D204B7">
        <w:rPr>
          <w:rFonts w:ascii="Arial" w:hAnsi="Arial" w:cs="Arial"/>
          <w:sz w:val="22"/>
        </w:rPr>
        <w:t xml:space="preserve">to the ESC </w:t>
      </w:r>
      <w:r w:rsidR="00487967" w:rsidRPr="00E35CCE">
        <w:rPr>
          <w:rFonts w:ascii="Arial" w:hAnsi="Arial" w:cs="Arial"/>
          <w:sz w:val="22"/>
        </w:rPr>
        <w:t>how many patients who are diagnosed with metastatic disease would opt for no treatment, particularly when (</w:t>
      </w:r>
      <w:proofErr w:type="spellStart"/>
      <w:r w:rsidR="00487967" w:rsidRPr="00E35CCE">
        <w:rPr>
          <w:rFonts w:ascii="Arial" w:hAnsi="Arial" w:cs="Arial"/>
          <w:sz w:val="22"/>
        </w:rPr>
        <w:t>i</w:t>
      </w:r>
      <w:proofErr w:type="spellEnd"/>
      <w:r w:rsidR="00487967" w:rsidRPr="00E35CCE">
        <w:rPr>
          <w:rFonts w:ascii="Arial" w:hAnsi="Arial" w:cs="Arial"/>
          <w:sz w:val="22"/>
        </w:rPr>
        <w:t xml:space="preserve">) the use of </w:t>
      </w:r>
      <w:proofErr w:type="spellStart"/>
      <w:r w:rsidR="00487967" w:rsidRPr="00E35CCE">
        <w:rPr>
          <w:rFonts w:ascii="Arial" w:hAnsi="Arial" w:cs="Arial"/>
          <w:sz w:val="22"/>
        </w:rPr>
        <w:t>docetaxel</w:t>
      </w:r>
      <w:proofErr w:type="spellEnd"/>
      <w:r w:rsidR="00487967" w:rsidRPr="00E35CCE">
        <w:rPr>
          <w:rFonts w:ascii="Arial" w:hAnsi="Arial" w:cs="Arial"/>
          <w:sz w:val="22"/>
        </w:rPr>
        <w:t xml:space="preserve"> on the PBS is not precluded for ‘asymptomatic’ patients and (ii) a patient’s fitness for chemotherapy is a consideration (treat patients earlier rather than later).  Therefore, </w:t>
      </w:r>
      <w:r w:rsidR="00D204B7">
        <w:rPr>
          <w:rFonts w:ascii="Arial" w:hAnsi="Arial" w:cs="Arial"/>
          <w:sz w:val="22"/>
        </w:rPr>
        <w:t xml:space="preserve">the Commentary stated that </w:t>
      </w:r>
      <w:proofErr w:type="spellStart"/>
      <w:r w:rsidR="00487967" w:rsidRPr="00E35CCE">
        <w:rPr>
          <w:rFonts w:ascii="Arial" w:hAnsi="Arial" w:cs="Arial"/>
          <w:sz w:val="22"/>
        </w:rPr>
        <w:t>docetaxel</w:t>
      </w:r>
      <w:proofErr w:type="spellEnd"/>
      <w:r w:rsidR="00487967" w:rsidRPr="00E35CCE">
        <w:rPr>
          <w:rFonts w:ascii="Arial" w:hAnsi="Arial" w:cs="Arial"/>
          <w:sz w:val="22"/>
        </w:rPr>
        <w:t xml:space="preserve"> and BSC (in those who are unable to undertake chemotherapy) are likely to be replaced.  A mixed comparator of watchful waiting, </w:t>
      </w:r>
      <w:proofErr w:type="spellStart"/>
      <w:r w:rsidR="00487967" w:rsidRPr="00E35CCE">
        <w:rPr>
          <w:rFonts w:ascii="Arial" w:hAnsi="Arial" w:cs="Arial"/>
          <w:sz w:val="22"/>
        </w:rPr>
        <w:t>docetaxel</w:t>
      </w:r>
      <w:proofErr w:type="spellEnd"/>
      <w:r w:rsidR="00487967" w:rsidRPr="00E35CCE">
        <w:rPr>
          <w:rFonts w:ascii="Arial" w:hAnsi="Arial" w:cs="Arial"/>
          <w:sz w:val="22"/>
        </w:rPr>
        <w:t xml:space="preserve"> and BSC may be the appropriate comparator. T</w:t>
      </w:r>
      <w:r w:rsidR="0002746C">
        <w:rPr>
          <w:rFonts w:ascii="Arial" w:hAnsi="Arial" w:cs="Arial"/>
          <w:sz w:val="22"/>
        </w:rPr>
        <w:t xml:space="preserve">he PSCR </w:t>
      </w:r>
      <w:r w:rsidR="00487967" w:rsidRPr="00E35CCE">
        <w:rPr>
          <w:rFonts w:ascii="Arial" w:hAnsi="Arial" w:cs="Arial"/>
          <w:sz w:val="22"/>
        </w:rPr>
        <w:t xml:space="preserve">asserts that </w:t>
      </w:r>
      <w:proofErr w:type="gramStart"/>
      <w:r w:rsidR="00487967" w:rsidRPr="00E35CCE">
        <w:rPr>
          <w:rFonts w:ascii="Arial" w:hAnsi="Arial" w:cs="Arial"/>
          <w:sz w:val="22"/>
        </w:rPr>
        <w:t>both</w:t>
      </w:r>
      <w:r w:rsidR="002259D3" w:rsidRPr="00E35CCE">
        <w:rPr>
          <w:rFonts w:ascii="Arial" w:hAnsi="Arial" w:cs="Arial"/>
          <w:sz w:val="22"/>
        </w:rPr>
        <w:t xml:space="preserve"> European Society for Medical Oncology (</w:t>
      </w:r>
      <w:r w:rsidR="00487967" w:rsidRPr="00E35CCE">
        <w:rPr>
          <w:rFonts w:ascii="Arial" w:hAnsi="Arial" w:cs="Arial"/>
          <w:sz w:val="22"/>
        </w:rPr>
        <w:t>ESMO</w:t>
      </w:r>
      <w:r w:rsidR="002259D3" w:rsidRPr="00E35CCE">
        <w:rPr>
          <w:rFonts w:ascii="Arial" w:hAnsi="Arial" w:cs="Arial"/>
          <w:sz w:val="22"/>
        </w:rPr>
        <w:t>)</w:t>
      </w:r>
      <w:r w:rsidR="00487967" w:rsidRPr="00E35CCE">
        <w:rPr>
          <w:rFonts w:ascii="Arial" w:hAnsi="Arial" w:cs="Arial"/>
          <w:sz w:val="22"/>
        </w:rPr>
        <w:t xml:space="preserve"> and </w:t>
      </w:r>
      <w:r w:rsidR="002259D3" w:rsidRPr="00E35CCE">
        <w:rPr>
          <w:rFonts w:ascii="Arial" w:hAnsi="Arial" w:cs="Arial"/>
          <w:sz w:val="22"/>
        </w:rPr>
        <w:t>National Comprehensive Cancer Network (</w:t>
      </w:r>
      <w:r w:rsidR="00487967" w:rsidRPr="00E35CCE">
        <w:rPr>
          <w:rFonts w:ascii="Arial" w:hAnsi="Arial" w:cs="Arial"/>
          <w:sz w:val="22"/>
        </w:rPr>
        <w:t>NCCN</w:t>
      </w:r>
      <w:r w:rsidR="002259D3" w:rsidRPr="00E35CCE">
        <w:rPr>
          <w:rFonts w:ascii="Arial" w:hAnsi="Arial" w:cs="Arial"/>
          <w:sz w:val="22"/>
        </w:rPr>
        <w:t>)</w:t>
      </w:r>
      <w:r w:rsidR="00487967" w:rsidRPr="00E35CCE">
        <w:rPr>
          <w:rFonts w:ascii="Arial" w:hAnsi="Arial" w:cs="Arial"/>
          <w:sz w:val="22"/>
        </w:rPr>
        <w:t xml:space="preserve"> guidelines</w:t>
      </w:r>
      <w:proofErr w:type="gramEnd"/>
      <w:r w:rsidR="00487967" w:rsidRPr="00E35CCE">
        <w:rPr>
          <w:rFonts w:ascii="Arial" w:hAnsi="Arial" w:cs="Arial"/>
          <w:sz w:val="22"/>
        </w:rPr>
        <w:t xml:space="preserve"> recommend the use of </w:t>
      </w:r>
      <w:proofErr w:type="spellStart"/>
      <w:r w:rsidR="00487967" w:rsidRPr="00E35CCE">
        <w:rPr>
          <w:rFonts w:ascii="Arial" w:hAnsi="Arial" w:cs="Arial"/>
          <w:sz w:val="22"/>
        </w:rPr>
        <w:t>docetaxel</w:t>
      </w:r>
      <w:proofErr w:type="spellEnd"/>
      <w:r w:rsidR="00487967" w:rsidRPr="00E35CCE">
        <w:rPr>
          <w:rFonts w:ascii="Arial" w:hAnsi="Arial" w:cs="Arial"/>
          <w:sz w:val="22"/>
        </w:rPr>
        <w:t xml:space="preserve"> in patients with symptomatic </w:t>
      </w:r>
      <w:proofErr w:type="spellStart"/>
      <w:r w:rsidR="00487967" w:rsidRPr="00E35CCE">
        <w:rPr>
          <w:rFonts w:ascii="Arial" w:hAnsi="Arial" w:cs="Arial"/>
          <w:sz w:val="22"/>
        </w:rPr>
        <w:t>mCRPC</w:t>
      </w:r>
      <w:proofErr w:type="spellEnd"/>
      <w:r w:rsidR="00487967" w:rsidRPr="00E35CCE">
        <w:rPr>
          <w:rFonts w:ascii="Arial" w:hAnsi="Arial" w:cs="Arial"/>
          <w:sz w:val="22"/>
        </w:rPr>
        <w:t xml:space="preserve">. For the small group of patients with rapidly progressing asymptomatic disease (i.e. with rapidly rising PSA doubling times or with hepatic metastases) the PSCR suggests these patients would not qualify for </w:t>
      </w:r>
      <w:proofErr w:type="spellStart"/>
      <w:r w:rsidR="00487967" w:rsidRPr="00E35CCE">
        <w:rPr>
          <w:rFonts w:ascii="Arial" w:hAnsi="Arial" w:cs="Arial"/>
          <w:sz w:val="22"/>
        </w:rPr>
        <w:t>abiraterone</w:t>
      </w:r>
      <w:proofErr w:type="spellEnd"/>
      <w:r w:rsidR="00487967" w:rsidRPr="00E35CCE">
        <w:rPr>
          <w:rFonts w:ascii="Arial" w:hAnsi="Arial" w:cs="Arial"/>
          <w:sz w:val="22"/>
        </w:rPr>
        <w:t xml:space="preserve"> as their PSA will have increased beyond the PBS eligibility criteria. The ESC noted that with a PBS restriction with five repeats it is feasible that </w:t>
      </w:r>
      <w:proofErr w:type="spellStart"/>
      <w:r w:rsidR="00487967" w:rsidRPr="00E35CCE">
        <w:rPr>
          <w:rFonts w:ascii="Arial" w:hAnsi="Arial" w:cs="Arial"/>
          <w:sz w:val="22"/>
        </w:rPr>
        <w:t>abiraterone</w:t>
      </w:r>
      <w:proofErr w:type="spellEnd"/>
      <w:r w:rsidR="00487967" w:rsidRPr="00E35CCE">
        <w:rPr>
          <w:rFonts w:ascii="Arial" w:hAnsi="Arial" w:cs="Arial"/>
          <w:sz w:val="22"/>
        </w:rPr>
        <w:t xml:space="preserve"> could be used for 6 months in patients with rapid doubling times of PSA (if low to start with) and still fall under the proposed PSA &lt;114ng/</w:t>
      </w:r>
      <w:proofErr w:type="spellStart"/>
      <w:r w:rsidR="00487967" w:rsidRPr="00E35CCE">
        <w:rPr>
          <w:rFonts w:ascii="Arial" w:hAnsi="Arial" w:cs="Arial"/>
          <w:sz w:val="22"/>
        </w:rPr>
        <w:t>mL.</w:t>
      </w:r>
      <w:proofErr w:type="spellEnd"/>
      <w:r w:rsidR="00487967" w:rsidRPr="00E35CCE">
        <w:rPr>
          <w:rFonts w:ascii="Arial" w:hAnsi="Arial" w:cs="Arial"/>
          <w:sz w:val="22"/>
        </w:rPr>
        <w:t xml:space="preserve"> </w:t>
      </w:r>
    </w:p>
    <w:p w:rsidR="00487967" w:rsidRPr="00E35CCE" w:rsidRDefault="00487967" w:rsidP="00E35CCE">
      <w:pPr>
        <w:pStyle w:val="ListParagraph"/>
        <w:jc w:val="both"/>
        <w:rPr>
          <w:rFonts w:ascii="Arial" w:hAnsi="Arial" w:cs="Arial"/>
          <w:sz w:val="22"/>
        </w:rPr>
      </w:pPr>
    </w:p>
    <w:p w:rsidR="00487967" w:rsidRPr="00E35CCE" w:rsidRDefault="000D330E" w:rsidP="00E35CCE">
      <w:pPr>
        <w:pStyle w:val="ListParagraph"/>
        <w:numPr>
          <w:ilvl w:val="1"/>
          <w:numId w:val="25"/>
        </w:numPr>
        <w:jc w:val="both"/>
        <w:rPr>
          <w:rFonts w:ascii="Arial" w:hAnsi="Arial" w:cs="Arial"/>
          <w:sz w:val="22"/>
        </w:rPr>
      </w:pPr>
      <w:r w:rsidRPr="00E35CCE">
        <w:rPr>
          <w:rFonts w:ascii="Arial" w:hAnsi="Arial" w:cs="Arial"/>
          <w:sz w:val="22"/>
        </w:rPr>
        <w:t xml:space="preserve">The ESC noted </w:t>
      </w:r>
      <w:proofErr w:type="spellStart"/>
      <w:r w:rsidRPr="00E35CCE">
        <w:rPr>
          <w:rFonts w:ascii="Arial" w:hAnsi="Arial" w:cs="Arial"/>
          <w:sz w:val="22"/>
        </w:rPr>
        <w:t>docetaxel</w:t>
      </w:r>
      <w:proofErr w:type="spellEnd"/>
      <w:r w:rsidRPr="00E35CCE">
        <w:rPr>
          <w:rFonts w:ascii="Arial" w:hAnsi="Arial" w:cs="Arial"/>
          <w:sz w:val="22"/>
        </w:rPr>
        <w:t xml:space="preserve"> treatment will likely be reserved for those with pain or with rapid progression. The primary concerns with chemotherapy are with the </w:t>
      </w:r>
      <w:proofErr w:type="spellStart"/>
      <w:r w:rsidRPr="00E35CCE">
        <w:rPr>
          <w:rFonts w:ascii="Arial" w:hAnsi="Arial" w:cs="Arial"/>
          <w:sz w:val="22"/>
        </w:rPr>
        <w:t>myelosuppressive</w:t>
      </w:r>
      <w:proofErr w:type="spellEnd"/>
      <w:r w:rsidRPr="00E35CCE">
        <w:rPr>
          <w:rFonts w:ascii="Arial" w:hAnsi="Arial" w:cs="Arial"/>
          <w:sz w:val="22"/>
        </w:rPr>
        <w:t xml:space="preserve"> side effects and comorbidities. </w:t>
      </w:r>
      <w:r w:rsidR="00E51121" w:rsidRPr="00E35CCE">
        <w:rPr>
          <w:rFonts w:ascii="Arial" w:hAnsi="Arial" w:cs="Arial"/>
          <w:sz w:val="22"/>
        </w:rPr>
        <w:t>P</w:t>
      </w:r>
      <w:r w:rsidRPr="00E35CCE">
        <w:rPr>
          <w:rFonts w:ascii="Arial" w:hAnsi="Arial" w:cs="Arial"/>
          <w:sz w:val="22"/>
        </w:rPr>
        <w:t>ain confers poor prognosis and reduced OS, and may compromise further use of chemotherapy.  Survival benefits from chemotherapy were seen in the TAX327 trial (</w:t>
      </w:r>
      <w:proofErr w:type="spellStart"/>
      <w:r w:rsidRPr="00E35CCE">
        <w:rPr>
          <w:rFonts w:ascii="Arial" w:hAnsi="Arial" w:cs="Arial"/>
          <w:sz w:val="22"/>
        </w:rPr>
        <w:t>docetaxel</w:t>
      </w:r>
      <w:proofErr w:type="spellEnd"/>
      <w:r w:rsidRPr="00E35CCE">
        <w:rPr>
          <w:rFonts w:ascii="Arial" w:hAnsi="Arial" w:cs="Arial"/>
          <w:sz w:val="22"/>
        </w:rPr>
        <w:t xml:space="preserve"> vs </w:t>
      </w:r>
      <w:proofErr w:type="spellStart"/>
      <w:r w:rsidRPr="00E35CCE">
        <w:rPr>
          <w:rFonts w:ascii="Arial" w:hAnsi="Arial" w:cs="Arial"/>
          <w:sz w:val="22"/>
        </w:rPr>
        <w:t>mitoxantrone</w:t>
      </w:r>
      <w:proofErr w:type="spellEnd"/>
      <w:r w:rsidRPr="00E35CCE">
        <w:rPr>
          <w:rFonts w:ascii="Arial" w:hAnsi="Arial" w:cs="Arial"/>
          <w:sz w:val="22"/>
        </w:rPr>
        <w:t>) in symptomatic and asymptomatic patients. Collectively this evidence suggests that there is potential for mildly symptomatic</w:t>
      </w:r>
      <w:r w:rsidR="00E51121" w:rsidRPr="00E35CCE">
        <w:rPr>
          <w:rFonts w:ascii="Arial" w:hAnsi="Arial" w:cs="Arial"/>
          <w:sz w:val="22"/>
        </w:rPr>
        <w:t xml:space="preserve"> patients</w:t>
      </w:r>
      <w:r w:rsidRPr="00E35CCE">
        <w:rPr>
          <w:rFonts w:ascii="Arial" w:hAnsi="Arial" w:cs="Arial"/>
          <w:sz w:val="22"/>
        </w:rPr>
        <w:t xml:space="preserve"> or those with rapidly progressing disease to be treated currently with </w:t>
      </w:r>
      <w:proofErr w:type="spellStart"/>
      <w:r w:rsidRPr="00E35CCE">
        <w:rPr>
          <w:rFonts w:ascii="Arial" w:hAnsi="Arial" w:cs="Arial"/>
          <w:sz w:val="22"/>
        </w:rPr>
        <w:t>docetaxel</w:t>
      </w:r>
      <w:proofErr w:type="spellEnd"/>
      <w:r w:rsidR="00E51121" w:rsidRPr="00E35CCE">
        <w:rPr>
          <w:rFonts w:ascii="Arial" w:hAnsi="Arial" w:cs="Arial"/>
          <w:sz w:val="22"/>
        </w:rPr>
        <w:t>.</w:t>
      </w:r>
      <w:r w:rsidRPr="00E35CCE">
        <w:rPr>
          <w:rFonts w:ascii="Arial" w:hAnsi="Arial" w:cs="Arial"/>
          <w:sz w:val="22"/>
        </w:rPr>
        <w:t xml:space="preserve"> </w:t>
      </w:r>
      <w:proofErr w:type="spellStart"/>
      <w:r w:rsidR="00E51121" w:rsidRPr="00E35CCE">
        <w:rPr>
          <w:rFonts w:ascii="Arial" w:hAnsi="Arial" w:cs="Arial"/>
          <w:sz w:val="22"/>
        </w:rPr>
        <w:t>Docetaxel</w:t>
      </w:r>
      <w:proofErr w:type="spellEnd"/>
      <w:r w:rsidRPr="00E35CCE">
        <w:rPr>
          <w:rFonts w:ascii="Arial" w:hAnsi="Arial" w:cs="Arial"/>
          <w:sz w:val="22"/>
        </w:rPr>
        <w:t xml:space="preserve"> may therefore be an appropriate comparator.</w:t>
      </w:r>
    </w:p>
    <w:p w:rsidR="00487967" w:rsidRPr="00E35CCE" w:rsidRDefault="00487967" w:rsidP="00E35CCE">
      <w:pPr>
        <w:pStyle w:val="ListParagraph"/>
        <w:jc w:val="both"/>
        <w:rPr>
          <w:rFonts w:ascii="Arial" w:hAnsi="Arial" w:cs="Arial"/>
          <w:sz w:val="22"/>
        </w:rPr>
      </w:pPr>
    </w:p>
    <w:p w:rsidR="00487967" w:rsidRPr="00E35CCE" w:rsidRDefault="00487967" w:rsidP="00E35CCE">
      <w:pPr>
        <w:pStyle w:val="ListParagraph"/>
        <w:numPr>
          <w:ilvl w:val="1"/>
          <w:numId w:val="25"/>
        </w:numPr>
        <w:jc w:val="both"/>
        <w:rPr>
          <w:rFonts w:ascii="Arial" w:hAnsi="Arial" w:cs="Arial"/>
          <w:sz w:val="22"/>
        </w:rPr>
      </w:pPr>
      <w:r w:rsidRPr="00E35CCE">
        <w:rPr>
          <w:rFonts w:ascii="Arial" w:hAnsi="Arial" w:cs="Arial"/>
          <w:sz w:val="22"/>
        </w:rPr>
        <w:t xml:space="preserve">The ESC considered that if the comparison is only in asymptomatic patients, without rapidly progressing disease, watchful waiting is the appropriate comparator. If it is likely that patients with mildly symptomatic disease or asymptomatic but rapidly progressing disease will be treated, then including </w:t>
      </w:r>
      <w:proofErr w:type="spellStart"/>
      <w:r w:rsidR="00426373" w:rsidRPr="00E35CCE">
        <w:rPr>
          <w:rFonts w:ascii="Arial" w:hAnsi="Arial" w:cs="Arial"/>
          <w:sz w:val="22"/>
        </w:rPr>
        <w:t>docetaxel</w:t>
      </w:r>
      <w:proofErr w:type="spellEnd"/>
      <w:r w:rsidRPr="00E35CCE">
        <w:rPr>
          <w:rFonts w:ascii="Arial" w:hAnsi="Arial" w:cs="Arial"/>
          <w:sz w:val="22"/>
        </w:rPr>
        <w:t xml:space="preserve"> (and best supportive care in those ineligible for chemotherapy) may be appropriate. For the latter, the relative weighting of these treatment options would also need to be considered. No head-to-head trials comparing </w:t>
      </w:r>
      <w:proofErr w:type="spellStart"/>
      <w:r w:rsidRPr="00E35CCE">
        <w:rPr>
          <w:rFonts w:ascii="Arial" w:hAnsi="Arial" w:cs="Arial"/>
          <w:sz w:val="22"/>
        </w:rPr>
        <w:t>abiraterone</w:t>
      </w:r>
      <w:proofErr w:type="spellEnd"/>
      <w:r w:rsidRPr="00E35CCE">
        <w:rPr>
          <w:rFonts w:ascii="Arial" w:hAnsi="Arial" w:cs="Arial"/>
          <w:sz w:val="22"/>
        </w:rPr>
        <w:t xml:space="preserve"> and </w:t>
      </w:r>
      <w:proofErr w:type="spellStart"/>
      <w:r w:rsidRPr="00E35CCE">
        <w:rPr>
          <w:rFonts w:ascii="Arial" w:hAnsi="Arial" w:cs="Arial"/>
          <w:sz w:val="22"/>
        </w:rPr>
        <w:t>docetaxel</w:t>
      </w:r>
      <w:proofErr w:type="spellEnd"/>
      <w:r w:rsidRPr="00E35CCE">
        <w:rPr>
          <w:rFonts w:ascii="Arial" w:hAnsi="Arial" w:cs="Arial"/>
          <w:sz w:val="22"/>
        </w:rPr>
        <w:t xml:space="preserve"> or BSC are available.</w:t>
      </w:r>
    </w:p>
    <w:p w:rsidR="00487967" w:rsidRPr="00E35CCE" w:rsidRDefault="00487967" w:rsidP="00E35CCE">
      <w:pPr>
        <w:pStyle w:val="ListParagraph"/>
        <w:jc w:val="both"/>
        <w:rPr>
          <w:rFonts w:ascii="Arial" w:hAnsi="Arial" w:cs="Arial"/>
          <w:sz w:val="22"/>
        </w:rPr>
      </w:pPr>
    </w:p>
    <w:p w:rsidR="00487967" w:rsidRPr="00E35CCE" w:rsidRDefault="00487967" w:rsidP="00E35CCE">
      <w:pPr>
        <w:pStyle w:val="ListParagraph"/>
        <w:numPr>
          <w:ilvl w:val="1"/>
          <w:numId w:val="25"/>
        </w:numPr>
        <w:jc w:val="both"/>
        <w:rPr>
          <w:rFonts w:ascii="Arial" w:hAnsi="Arial" w:cs="Arial"/>
          <w:sz w:val="22"/>
        </w:rPr>
      </w:pPr>
      <w:r w:rsidRPr="00E35CCE">
        <w:rPr>
          <w:rFonts w:ascii="Arial" w:hAnsi="Arial" w:cs="Arial"/>
          <w:sz w:val="22"/>
        </w:rPr>
        <w:t>The PSCR highlight</w:t>
      </w:r>
      <w:r w:rsidR="00E51121" w:rsidRPr="00E35CCE">
        <w:rPr>
          <w:rFonts w:ascii="Arial" w:hAnsi="Arial" w:cs="Arial"/>
          <w:sz w:val="22"/>
        </w:rPr>
        <w:t>ed</w:t>
      </w:r>
      <w:r w:rsidRPr="00E35CCE">
        <w:rPr>
          <w:rFonts w:ascii="Arial" w:hAnsi="Arial" w:cs="Arial"/>
          <w:sz w:val="22"/>
        </w:rPr>
        <w:t xml:space="preserve"> an analysis of a 10% sample of Medicare scripts, provided with the submission, which indicates that there is currently a substantial period of watchful waiting </w:t>
      </w:r>
      <w:r w:rsidRPr="0025466A">
        <w:rPr>
          <w:rFonts w:ascii="Arial" w:hAnsi="Arial" w:cs="Arial"/>
          <w:sz w:val="22"/>
        </w:rPr>
        <w:t xml:space="preserve">(a median time of </w:t>
      </w:r>
      <w:r w:rsidR="005C0DF8">
        <w:rPr>
          <w:rFonts w:ascii="Arial" w:hAnsi="Arial" w:cs="Arial"/>
          <w:noProof/>
          <w:color w:val="000000"/>
          <w:sz w:val="22"/>
          <w:highlight w:val="black"/>
        </w:rPr>
        <w:t>'''''' '''''''''''''''''''</w:t>
      </w:r>
      <w:r w:rsidRPr="0025466A">
        <w:rPr>
          <w:rFonts w:ascii="Arial" w:hAnsi="Arial" w:cs="Arial"/>
          <w:sz w:val="22"/>
        </w:rPr>
        <w:t xml:space="preserve">) </w:t>
      </w:r>
      <w:r w:rsidR="0002746C" w:rsidRPr="00E35CCE">
        <w:rPr>
          <w:rFonts w:ascii="Arial" w:hAnsi="Arial" w:cs="Arial"/>
          <w:sz w:val="22"/>
        </w:rPr>
        <w:t>between</w:t>
      </w:r>
      <w:r w:rsidRPr="00E35CCE">
        <w:rPr>
          <w:rFonts w:ascii="Arial" w:hAnsi="Arial" w:cs="Arial"/>
          <w:sz w:val="22"/>
        </w:rPr>
        <w:t xml:space="preserve"> ceasing ADT and, if clinically suitable, initiating </w:t>
      </w:r>
      <w:proofErr w:type="spellStart"/>
      <w:r w:rsidRPr="00E35CCE">
        <w:rPr>
          <w:rFonts w:ascii="Arial" w:hAnsi="Arial" w:cs="Arial"/>
          <w:sz w:val="22"/>
        </w:rPr>
        <w:t>docetaxel</w:t>
      </w:r>
      <w:proofErr w:type="spellEnd"/>
      <w:r w:rsidRPr="00E35CCE">
        <w:rPr>
          <w:rFonts w:ascii="Arial" w:hAnsi="Arial" w:cs="Arial"/>
          <w:sz w:val="22"/>
        </w:rPr>
        <w:t>.</w:t>
      </w:r>
    </w:p>
    <w:p w:rsidR="00487967" w:rsidRPr="00E35CCE" w:rsidRDefault="00487967" w:rsidP="00E35CCE">
      <w:pPr>
        <w:pStyle w:val="ListParagraph"/>
        <w:jc w:val="both"/>
        <w:rPr>
          <w:rFonts w:ascii="Arial" w:hAnsi="Arial" w:cs="Arial"/>
          <w:sz w:val="22"/>
        </w:rPr>
      </w:pPr>
    </w:p>
    <w:p w:rsidR="00BB7EC3" w:rsidRPr="00980788" w:rsidRDefault="00ED4A3C" w:rsidP="00E35CCE">
      <w:pPr>
        <w:pStyle w:val="ListParagraph"/>
        <w:numPr>
          <w:ilvl w:val="1"/>
          <w:numId w:val="25"/>
        </w:numPr>
        <w:jc w:val="both"/>
        <w:rPr>
          <w:rFonts w:ascii="Arial" w:hAnsi="Arial"/>
          <w:sz w:val="22"/>
          <w:szCs w:val="22"/>
        </w:rPr>
      </w:pPr>
      <w:r w:rsidRPr="00980788">
        <w:rPr>
          <w:rFonts w:ascii="Arial" w:hAnsi="Arial" w:cs="Arial"/>
          <w:sz w:val="22"/>
        </w:rPr>
        <w:t xml:space="preserve">A letter to the PBAC Secretariat was received </w:t>
      </w:r>
      <w:r w:rsidR="00487967" w:rsidRPr="00980788">
        <w:rPr>
          <w:rFonts w:ascii="Arial" w:hAnsi="Arial" w:cs="Arial"/>
          <w:sz w:val="22"/>
        </w:rPr>
        <w:t xml:space="preserve">from MOGA (7 May 2014) </w:t>
      </w:r>
      <w:r w:rsidRPr="00980788">
        <w:rPr>
          <w:rFonts w:ascii="Arial" w:hAnsi="Arial" w:cs="Arial"/>
          <w:sz w:val="22"/>
        </w:rPr>
        <w:t xml:space="preserve">in response to the Secretariat’s request for MOGA advice regarding the clinical place of </w:t>
      </w:r>
      <w:proofErr w:type="spellStart"/>
      <w:r w:rsidRPr="00980788">
        <w:rPr>
          <w:rFonts w:ascii="Arial" w:hAnsi="Arial" w:cs="Arial"/>
          <w:sz w:val="22"/>
        </w:rPr>
        <w:t>abiraterone</w:t>
      </w:r>
      <w:proofErr w:type="spellEnd"/>
      <w:r w:rsidRPr="00980788">
        <w:rPr>
          <w:rFonts w:ascii="Arial" w:hAnsi="Arial" w:cs="Arial"/>
          <w:sz w:val="22"/>
        </w:rPr>
        <w:t xml:space="preserve"> in patients with metastatic prostate cancer who have progressed following treatment with ADT. The letter </w:t>
      </w:r>
      <w:r w:rsidR="00487967" w:rsidRPr="00980788">
        <w:rPr>
          <w:rFonts w:ascii="Arial" w:hAnsi="Arial" w:cs="Arial"/>
          <w:sz w:val="22"/>
        </w:rPr>
        <w:t xml:space="preserve">stated “[the proposed extension to the PBS listing of </w:t>
      </w:r>
      <w:proofErr w:type="spellStart"/>
      <w:r w:rsidR="00487967" w:rsidRPr="00980788">
        <w:rPr>
          <w:rFonts w:ascii="Arial" w:hAnsi="Arial" w:cs="Arial"/>
          <w:sz w:val="22"/>
        </w:rPr>
        <w:t>abiraterone</w:t>
      </w:r>
      <w:proofErr w:type="spellEnd"/>
      <w:r w:rsidR="00487967" w:rsidRPr="00980788">
        <w:rPr>
          <w:rFonts w:ascii="Arial" w:hAnsi="Arial" w:cs="Arial"/>
          <w:sz w:val="22"/>
        </w:rPr>
        <w:t>] will benefit those men who can never be considered for chemotherapy, and will delay the introduction of chemotherapy, and the associated toxicity, in those eligible for intra</w:t>
      </w:r>
      <w:r w:rsidR="000F3A66">
        <w:rPr>
          <w:rFonts w:ascii="Arial" w:hAnsi="Arial" w:cs="Arial"/>
          <w:sz w:val="22"/>
        </w:rPr>
        <w:t>venous anti-neoplastic agents.”</w:t>
      </w:r>
    </w:p>
    <w:p w:rsidR="00980788" w:rsidRPr="00980788" w:rsidRDefault="00980788" w:rsidP="00980788">
      <w:pPr>
        <w:jc w:val="both"/>
        <w:rPr>
          <w:rFonts w:ascii="Arial" w:hAnsi="Arial"/>
          <w:sz w:val="22"/>
          <w:szCs w:val="22"/>
        </w:rPr>
      </w:pPr>
    </w:p>
    <w:p w:rsidR="00BB7EC3" w:rsidRPr="00E35CCE" w:rsidRDefault="00BB7EC3" w:rsidP="00E35CCE">
      <w:pPr>
        <w:pStyle w:val="ListParagraph"/>
        <w:ind w:left="709"/>
        <w:jc w:val="both"/>
        <w:rPr>
          <w:rFonts w:ascii="Arial" w:hAnsi="Arial"/>
          <w:i/>
          <w:sz w:val="22"/>
          <w:szCs w:val="22"/>
        </w:rPr>
      </w:pPr>
      <w:r w:rsidRPr="00E35CCE">
        <w:rPr>
          <w:rFonts w:ascii="Arial" w:hAnsi="Arial"/>
          <w:i/>
          <w:sz w:val="22"/>
          <w:szCs w:val="22"/>
        </w:rPr>
        <w:t>For more detail on PBAC’s view, see section 7 “PBAC outcome”</w:t>
      </w:r>
    </w:p>
    <w:p w:rsidR="00DF26A7" w:rsidRPr="00E35CCE" w:rsidRDefault="00DF26A7" w:rsidP="00E35CCE">
      <w:pPr>
        <w:jc w:val="both"/>
        <w:rPr>
          <w:rFonts w:ascii="Arial" w:hAnsi="Arial"/>
          <w:sz w:val="22"/>
          <w:szCs w:val="22"/>
        </w:rPr>
      </w:pPr>
    </w:p>
    <w:p w:rsidR="000B558D" w:rsidRPr="00E35CCE" w:rsidRDefault="00E35CCE" w:rsidP="00E35CCE">
      <w:pPr>
        <w:pStyle w:val="Header"/>
        <w:numPr>
          <w:ilvl w:val="0"/>
          <w:numId w:val="25"/>
        </w:numPr>
        <w:tabs>
          <w:tab w:val="clear" w:pos="4153"/>
          <w:tab w:val="clear" w:pos="8306"/>
        </w:tabs>
        <w:jc w:val="both"/>
        <w:rPr>
          <w:rFonts w:ascii="Arial" w:hAnsi="Arial"/>
          <w:b/>
          <w:sz w:val="22"/>
          <w:szCs w:val="22"/>
        </w:rPr>
      </w:pPr>
      <w:r>
        <w:rPr>
          <w:rFonts w:ascii="Arial" w:hAnsi="Arial"/>
          <w:b/>
          <w:sz w:val="22"/>
          <w:szCs w:val="22"/>
        </w:rPr>
        <w:t>C</w:t>
      </w:r>
      <w:r w:rsidR="000B558D" w:rsidRPr="00E35CCE">
        <w:rPr>
          <w:rFonts w:ascii="Arial" w:hAnsi="Arial"/>
          <w:b/>
          <w:sz w:val="22"/>
          <w:szCs w:val="22"/>
        </w:rPr>
        <w:t>onsideration of the evidence</w:t>
      </w:r>
    </w:p>
    <w:p w:rsidR="006A12A5" w:rsidRPr="00E35CCE" w:rsidRDefault="006A12A5" w:rsidP="00E35CCE">
      <w:pPr>
        <w:jc w:val="both"/>
        <w:rPr>
          <w:rFonts w:ascii="Arial" w:hAnsi="Arial"/>
          <w:b/>
          <w:sz w:val="22"/>
          <w:szCs w:val="22"/>
        </w:rPr>
      </w:pPr>
    </w:p>
    <w:p w:rsidR="004A0E34" w:rsidRPr="00E35CCE" w:rsidRDefault="004A0E34" w:rsidP="00E35CCE">
      <w:pPr>
        <w:jc w:val="both"/>
        <w:rPr>
          <w:rFonts w:ascii="Arial" w:hAnsi="Arial"/>
          <w:b/>
          <w:i/>
          <w:noProof/>
          <w:sz w:val="22"/>
          <w:szCs w:val="22"/>
        </w:rPr>
      </w:pPr>
      <w:r w:rsidRPr="00E35CCE">
        <w:rPr>
          <w:rFonts w:ascii="Arial" w:hAnsi="Arial"/>
          <w:b/>
          <w:i/>
          <w:noProof/>
          <w:sz w:val="22"/>
          <w:szCs w:val="22"/>
        </w:rPr>
        <w:t>Sponsor hearing</w:t>
      </w:r>
    </w:p>
    <w:p w:rsidR="004A0E34" w:rsidRPr="00E35CCE" w:rsidRDefault="004A0E34" w:rsidP="00E35CCE">
      <w:pPr>
        <w:pStyle w:val="ListParagraph"/>
        <w:ind w:left="709"/>
        <w:jc w:val="both"/>
        <w:rPr>
          <w:rFonts w:ascii="Arial" w:hAnsi="Arial"/>
          <w:noProof/>
          <w:sz w:val="22"/>
          <w:szCs w:val="22"/>
        </w:rPr>
      </w:pPr>
    </w:p>
    <w:p w:rsidR="004A0E34" w:rsidRPr="00E35CCE" w:rsidRDefault="00E35CCE" w:rsidP="00E35CCE">
      <w:pPr>
        <w:pStyle w:val="ListParagraph"/>
        <w:numPr>
          <w:ilvl w:val="1"/>
          <w:numId w:val="25"/>
        </w:numPr>
        <w:jc w:val="both"/>
        <w:rPr>
          <w:rFonts w:ascii="Arial" w:hAnsi="Arial"/>
          <w:noProof/>
          <w:sz w:val="22"/>
          <w:szCs w:val="22"/>
        </w:rPr>
      </w:pPr>
      <w:r>
        <w:rPr>
          <w:rFonts w:ascii="Arial" w:hAnsi="Arial"/>
          <w:noProof/>
          <w:sz w:val="22"/>
          <w:szCs w:val="22"/>
        </w:rPr>
        <w:t>There was no</w:t>
      </w:r>
      <w:r w:rsidR="004A0E34" w:rsidRPr="00E35CCE">
        <w:rPr>
          <w:rFonts w:ascii="Arial" w:hAnsi="Arial"/>
          <w:noProof/>
          <w:sz w:val="22"/>
          <w:szCs w:val="22"/>
        </w:rPr>
        <w:t xml:space="preserve"> hearing for this item.</w:t>
      </w:r>
    </w:p>
    <w:p w:rsidR="00BB7EC3" w:rsidRPr="00E35CCE" w:rsidRDefault="00BB7EC3" w:rsidP="00E35CCE">
      <w:pPr>
        <w:jc w:val="both"/>
        <w:rPr>
          <w:rFonts w:ascii="Arial" w:hAnsi="Arial"/>
          <w:sz w:val="22"/>
          <w:szCs w:val="22"/>
        </w:rPr>
      </w:pPr>
    </w:p>
    <w:p w:rsidR="00BB7EC3" w:rsidRPr="00E35CCE" w:rsidRDefault="00BB7EC3" w:rsidP="00E35CCE">
      <w:pPr>
        <w:jc w:val="both"/>
        <w:rPr>
          <w:rFonts w:ascii="Arial" w:hAnsi="Arial"/>
          <w:b/>
          <w:i/>
          <w:sz w:val="22"/>
          <w:szCs w:val="22"/>
        </w:rPr>
      </w:pPr>
      <w:r w:rsidRPr="00E35CCE">
        <w:rPr>
          <w:rFonts w:ascii="Arial" w:hAnsi="Arial"/>
          <w:b/>
          <w:i/>
          <w:sz w:val="22"/>
          <w:szCs w:val="22"/>
        </w:rPr>
        <w:t>Consumer comments</w:t>
      </w:r>
    </w:p>
    <w:p w:rsidR="00BB7EC3" w:rsidRPr="00E35CCE" w:rsidRDefault="00BB7EC3" w:rsidP="00E35CCE">
      <w:pPr>
        <w:pStyle w:val="ListParagraph"/>
        <w:ind w:left="709"/>
        <w:jc w:val="both"/>
        <w:rPr>
          <w:rFonts w:ascii="Arial" w:hAnsi="Arial"/>
          <w:sz w:val="22"/>
          <w:szCs w:val="22"/>
        </w:rPr>
      </w:pPr>
    </w:p>
    <w:p w:rsidR="0029792F" w:rsidRPr="00E35CCE" w:rsidRDefault="00BB7EC3" w:rsidP="00E35CCE">
      <w:pPr>
        <w:pStyle w:val="ListParagraph"/>
        <w:numPr>
          <w:ilvl w:val="1"/>
          <w:numId w:val="25"/>
        </w:numPr>
        <w:ind w:left="709" w:hanging="709"/>
        <w:jc w:val="both"/>
        <w:rPr>
          <w:rFonts w:ascii="Arial" w:hAnsi="Arial"/>
          <w:sz w:val="22"/>
          <w:szCs w:val="22"/>
        </w:rPr>
      </w:pPr>
      <w:r w:rsidRPr="00E35CCE">
        <w:rPr>
          <w:rFonts w:ascii="Arial" w:hAnsi="Arial"/>
          <w:sz w:val="22"/>
          <w:szCs w:val="22"/>
        </w:rPr>
        <w:t xml:space="preserve">The PBAC noted and welcomed the input from individuals </w:t>
      </w:r>
      <w:r w:rsidR="00117AE3" w:rsidRPr="00E35CCE">
        <w:rPr>
          <w:rFonts w:ascii="Arial" w:hAnsi="Arial"/>
          <w:sz w:val="22"/>
          <w:szCs w:val="22"/>
        </w:rPr>
        <w:t>(66), health care professionals (2) and organisations (2</w:t>
      </w:r>
      <w:r w:rsidRPr="00E35CCE">
        <w:rPr>
          <w:rFonts w:ascii="Arial" w:hAnsi="Arial"/>
          <w:sz w:val="22"/>
          <w:szCs w:val="22"/>
        </w:rPr>
        <w:t xml:space="preserve">) via the Consumer Comments facility on the PBS website.  The comments described a range of benefits of treatment with </w:t>
      </w:r>
      <w:proofErr w:type="spellStart"/>
      <w:r w:rsidR="00117AE3" w:rsidRPr="00E35CCE">
        <w:rPr>
          <w:rFonts w:ascii="Arial" w:hAnsi="Arial"/>
          <w:sz w:val="22"/>
          <w:szCs w:val="22"/>
        </w:rPr>
        <w:t>abiraterone</w:t>
      </w:r>
      <w:proofErr w:type="spellEnd"/>
      <w:r w:rsidRPr="00E35CCE">
        <w:rPr>
          <w:rFonts w:ascii="Arial" w:hAnsi="Arial"/>
          <w:sz w:val="22"/>
          <w:szCs w:val="22"/>
        </w:rPr>
        <w:t xml:space="preserve"> including the ability to </w:t>
      </w:r>
      <w:r w:rsidR="003C1AA4" w:rsidRPr="00E35CCE">
        <w:rPr>
          <w:rFonts w:ascii="Arial" w:hAnsi="Arial"/>
          <w:sz w:val="22"/>
          <w:szCs w:val="22"/>
        </w:rPr>
        <w:t>improve quality of life</w:t>
      </w:r>
      <w:r w:rsidRPr="00E35CCE">
        <w:rPr>
          <w:rFonts w:ascii="Arial" w:hAnsi="Arial"/>
          <w:sz w:val="22"/>
          <w:szCs w:val="22"/>
        </w:rPr>
        <w:t xml:space="preserve">, </w:t>
      </w:r>
      <w:r w:rsidR="003C1AA4" w:rsidRPr="00E35CCE">
        <w:rPr>
          <w:rFonts w:ascii="Arial" w:hAnsi="Arial"/>
          <w:sz w:val="22"/>
          <w:szCs w:val="22"/>
        </w:rPr>
        <w:t>postpone chemotherapy, and remain active in family life.</w:t>
      </w:r>
    </w:p>
    <w:p w:rsidR="0029792F" w:rsidRPr="00E35CCE" w:rsidRDefault="0029792F" w:rsidP="00E35CCE">
      <w:pPr>
        <w:pStyle w:val="ListParagraph"/>
        <w:ind w:left="709"/>
        <w:jc w:val="both"/>
        <w:rPr>
          <w:rFonts w:ascii="Arial" w:hAnsi="Arial"/>
          <w:sz w:val="22"/>
          <w:szCs w:val="22"/>
        </w:rPr>
      </w:pPr>
    </w:p>
    <w:p w:rsidR="00BB7EC3" w:rsidRPr="00E35CCE" w:rsidRDefault="00BB7EC3" w:rsidP="00E35CCE">
      <w:pPr>
        <w:pStyle w:val="ListParagraph"/>
        <w:numPr>
          <w:ilvl w:val="1"/>
          <w:numId w:val="25"/>
        </w:numPr>
        <w:ind w:left="709" w:hanging="709"/>
        <w:jc w:val="both"/>
        <w:rPr>
          <w:rFonts w:ascii="Arial" w:hAnsi="Arial"/>
          <w:sz w:val="22"/>
          <w:szCs w:val="22"/>
        </w:rPr>
      </w:pPr>
      <w:r w:rsidRPr="00E35CCE">
        <w:rPr>
          <w:rFonts w:ascii="Arial" w:hAnsi="Arial" w:cs="Arial"/>
          <w:sz w:val="22"/>
          <w:szCs w:val="22"/>
        </w:rPr>
        <w:t xml:space="preserve">The PBAC noted the advice received from </w:t>
      </w:r>
      <w:r w:rsidR="0029792F" w:rsidRPr="00E35CCE">
        <w:rPr>
          <w:rFonts w:ascii="Arial" w:hAnsi="Arial" w:cs="Arial"/>
          <w:sz w:val="22"/>
          <w:szCs w:val="22"/>
        </w:rPr>
        <w:t>Medical Oncology Group of Australia (MOGA) clarifying</w:t>
      </w:r>
      <w:r w:rsidRPr="00E35CCE">
        <w:rPr>
          <w:rFonts w:ascii="Arial" w:hAnsi="Arial" w:cs="Arial"/>
          <w:sz w:val="22"/>
          <w:szCs w:val="22"/>
        </w:rPr>
        <w:t xml:space="preserve"> the likely use of </w:t>
      </w:r>
      <w:proofErr w:type="spellStart"/>
      <w:r w:rsidR="00117AE3" w:rsidRPr="00E35CCE">
        <w:rPr>
          <w:rFonts w:ascii="Arial" w:hAnsi="Arial" w:cs="Arial"/>
          <w:sz w:val="22"/>
          <w:szCs w:val="22"/>
        </w:rPr>
        <w:t>abiraterone</w:t>
      </w:r>
      <w:proofErr w:type="spellEnd"/>
      <w:r w:rsidRPr="00E35CCE">
        <w:rPr>
          <w:rFonts w:ascii="Arial" w:hAnsi="Arial" w:cs="Arial"/>
          <w:sz w:val="22"/>
          <w:szCs w:val="22"/>
        </w:rPr>
        <w:t xml:space="preserve"> in clinical practice.  The PBAC specifically noted the advice that </w:t>
      </w:r>
      <w:r w:rsidR="00426373" w:rsidRPr="00E35CCE">
        <w:rPr>
          <w:rFonts w:ascii="Arial" w:hAnsi="Arial" w:cs="Arial"/>
          <w:sz w:val="22"/>
          <w:szCs w:val="22"/>
        </w:rPr>
        <w:t>in patien</w:t>
      </w:r>
      <w:r w:rsidR="00BF34E5" w:rsidRPr="00E35CCE">
        <w:rPr>
          <w:rFonts w:ascii="Arial" w:hAnsi="Arial" w:cs="Arial"/>
          <w:sz w:val="22"/>
          <w:szCs w:val="22"/>
        </w:rPr>
        <w:t xml:space="preserve">ts who are fit for chemotherapy, </w:t>
      </w:r>
      <w:proofErr w:type="spellStart"/>
      <w:r w:rsidR="00117AE3" w:rsidRPr="00E35CCE">
        <w:rPr>
          <w:rFonts w:ascii="Arial" w:hAnsi="Arial" w:cs="Arial"/>
          <w:sz w:val="22"/>
          <w:szCs w:val="22"/>
        </w:rPr>
        <w:t>abiraterone</w:t>
      </w:r>
      <w:proofErr w:type="spellEnd"/>
      <w:r w:rsidRPr="00E35CCE">
        <w:rPr>
          <w:rFonts w:ascii="Arial" w:hAnsi="Arial" w:cs="Arial"/>
          <w:sz w:val="22"/>
          <w:szCs w:val="22"/>
        </w:rPr>
        <w:t xml:space="preserve"> </w:t>
      </w:r>
      <w:r w:rsidR="003028CA" w:rsidRPr="00E35CCE">
        <w:rPr>
          <w:rFonts w:ascii="Arial" w:hAnsi="Arial" w:cs="Arial"/>
          <w:sz w:val="22"/>
          <w:szCs w:val="22"/>
        </w:rPr>
        <w:t xml:space="preserve">will be used to </w:t>
      </w:r>
      <w:r w:rsidR="00F43A25" w:rsidRPr="00E35CCE">
        <w:rPr>
          <w:rFonts w:ascii="Arial" w:hAnsi="Arial" w:cs="Arial"/>
          <w:sz w:val="22"/>
          <w:szCs w:val="22"/>
        </w:rPr>
        <w:t xml:space="preserve">delay </w:t>
      </w:r>
      <w:r w:rsidR="00426373" w:rsidRPr="00E35CCE">
        <w:rPr>
          <w:rFonts w:ascii="Arial" w:hAnsi="Arial" w:cs="Arial"/>
          <w:sz w:val="22"/>
          <w:szCs w:val="22"/>
        </w:rPr>
        <w:t>the use of chemotherapy</w:t>
      </w:r>
      <w:r w:rsidR="003028CA" w:rsidRPr="00E35CCE">
        <w:rPr>
          <w:rFonts w:ascii="Arial" w:hAnsi="Arial" w:cs="Arial"/>
          <w:sz w:val="22"/>
          <w:szCs w:val="22"/>
        </w:rPr>
        <w:t xml:space="preserve">. For patients who </w:t>
      </w:r>
      <w:r w:rsidR="001250E0" w:rsidRPr="00E35CCE">
        <w:rPr>
          <w:rFonts w:ascii="Arial" w:hAnsi="Arial" w:cs="Arial"/>
          <w:sz w:val="22"/>
          <w:szCs w:val="22"/>
        </w:rPr>
        <w:t>are not candidates for chemotherapy</w:t>
      </w:r>
      <w:r w:rsidR="003028CA" w:rsidRPr="00E35CCE">
        <w:rPr>
          <w:rFonts w:ascii="Arial" w:hAnsi="Arial" w:cs="Arial"/>
          <w:sz w:val="22"/>
          <w:szCs w:val="22"/>
        </w:rPr>
        <w:t xml:space="preserve"> (on the basis of </w:t>
      </w:r>
      <w:r w:rsidR="001250E0" w:rsidRPr="00E35CCE">
        <w:rPr>
          <w:rFonts w:ascii="Arial" w:hAnsi="Arial" w:cs="Arial"/>
          <w:sz w:val="22"/>
          <w:szCs w:val="22"/>
        </w:rPr>
        <w:t xml:space="preserve">medical reasons or </w:t>
      </w:r>
      <w:r w:rsidR="003028CA" w:rsidRPr="00E35CCE">
        <w:rPr>
          <w:rFonts w:ascii="Arial" w:hAnsi="Arial" w:cs="Arial"/>
          <w:sz w:val="22"/>
          <w:szCs w:val="22"/>
        </w:rPr>
        <w:t xml:space="preserve">patient preference) </w:t>
      </w:r>
      <w:proofErr w:type="spellStart"/>
      <w:r w:rsidR="003028CA" w:rsidRPr="00E35CCE">
        <w:rPr>
          <w:rFonts w:ascii="Arial" w:hAnsi="Arial" w:cs="Arial"/>
          <w:sz w:val="22"/>
          <w:szCs w:val="22"/>
        </w:rPr>
        <w:t>abiraterone</w:t>
      </w:r>
      <w:proofErr w:type="spellEnd"/>
      <w:r w:rsidR="003028CA" w:rsidRPr="00E35CCE">
        <w:rPr>
          <w:rFonts w:ascii="Arial" w:hAnsi="Arial" w:cs="Arial"/>
          <w:sz w:val="22"/>
          <w:szCs w:val="22"/>
        </w:rPr>
        <w:t xml:space="preserve"> will be used as the mainstay of treatment following failure of ADT. </w:t>
      </w:r>
      <w:r w:rsidRPr="00E35CCE">
        <w:rPr>
          <w:rFonts w:ascii="Arial" w:hAnsi="Arial"/>
          <w:sz w:val="22"/>
          <w:szCs w:val="22"/>
        </w:rPr>
        <w:t xml:space="preserve">The PBAC noted that </w:t>
      </w:r>
      <w:r w:rsidR="00877791" w:rsidRPr="00E35CCE">
        <w:rPr>
          <w:rFonts w:ascii="Arial" w:hAnsi="Arial"/>
          <w:sz w:val="22"/>
          <w:szCs w:val="22"/>
        </w:rPr>
        <w:t>in study COU-AA-302 chemotherapy was used subsequently to study treatment (</w:t>
      </w:r>
      <w:proofErr w:type="spellStart"/>
      <w:r w:rsidR="00877791" w:rsidRPr="00E35CCE">
        <w:rPr>
          <w:rFonts w:ascii="Arial" w:hAnsi="Arial"/>
          <w:sz w:val="22"/>
          <w:szCs w:val="22"/>
        </w:rPr>
        <w:t>abiraterone</w:t>
      </w:r>
      <w:proofErr w:type="spellEnd"/>
      <w:r w:rsidR="00877791" w:rsidRPr="00E35CCE">
        <w:rPr>
          <w:rFonts w:ascii="Arial" w:hAnsi="Arial"/>
          <w:sz w:val="22"/>
          <w:szCs w:val="22"/>
        </w:rPr>
        <w:t xml:space="preserve"> or </w:t>
      </w:r>
      <w:r w:rsidR="0002746C">
        <w:rPr>
          <w:rFonts w:ascii="Arial" w:hAnsi="Arial"/>
          <w:sz w:val="22"/>
          <w:szCs w:val="22"/>
        </w:rPr>
        <w:t>placebo</w:t>
      </w:r>
      <w:r w:rsidR="00877791" w:rsidRPr="00E35CCE">
        <w:rPr>
          <w:rFonts w:ascii="Arial" w:hAnsi="Arial"/>
          <w:sz w:val="22"/>
          <w:szCs w:val="22"/>
        </w:rPr>
        <w:t xml:space="preserve">) in the majority of patients. Thus the evidence provided in the submission </w:t>
      </w:r>
      <w:r w:rsidR="00F43A25" w:rsidRPr="00E35CCE">
        <w:rPr>
          <w:rFonts w:ascii="Arial" w:hAnsi="Arial"/>
          <w:sz w:val="22"/>
          <w:szCs w:val="22"/>
        </w:rPr>
        <w:t>related to the group of patients</w:t>
      </w:r>
      <w:r w:rsidR="00877791" w:rsidRPr="00E35CCE">
        <w:rPr>
          <w:rFonts w:ascii="Arial" w:hAnsi="Arial"/>
          <w:sz w:val="22"/>
          <w:szCs w:val="22"/>
        </w:rPr>
        <w:t xml:space="preserve"> who were suitable for chemotherapy rather than the group of patients </w:t>
      </w:r>
      <w:r w:rsidR="00F43A25" w:rsidRPr="00E35CCE">
        <w:rPr>
          <w:rFonts w:ascii="Arial" w:hAnsi="Arial"/>
          <w:sz w:val="22"/>
          <w:szCs w:val="22"/>
        </w:rPr>
        <w:t>who would never receive</w:t>
      </w:r>
      <w:r w:rsidR="00877791" w:rsidRPr="00E35CCE">
        <w:rPr>
          <w:rFonts w:ascii="Arial" w:hAnsi="Arial"/>
          <w:sz w:val="22"/>
          <w:szCs w:val="22"/>
        </w:rPr>
        <w:t xml:space="preserve"> chemotherapy</w:t>
      </w:r>
      <w:r w:rsidR="00F43A25" w:rsidRPr="00E35CCE">
        <w:rPr>
          <w:rFonts w:ascii="Arial" w:hAnsi="Arial"/>
          <w:sz w:val="22"/>
          <w:szCs w:val="22"/>
        </w:rPr>
        <w:t>.</w:t>
      </w:r>
    </w:p>
    <w:p w:rsidR="002B1AE6" w:rsidRPr="00E35CCE" w:rsidRDefault="002B1AE6" w:rsidP="00E35CCE">
      <w:pPr>
        <w:pStyle w:val="ListParagraph"/>
        <w:ind w:left="709"/>
        <w:jc w:val="both"/>
        <w:rPr>
          <w:rFonts w:ascii="Arial" w:hAnsi="Arial"/>
          <w:sz w:val="22"/>
          <w:szCs w:val="22"/>
        </w:rPr>
      </w:pPr>
    </w:p>
    <w:p w:rsidR="00BB7EC3" w:rsidRPr="00E35CCE" w:rsidRDefault="00BB7EC3" w:rsidP="00E35CCE">
      <w:pPr>
        <w:pStyle w:val="ListParagraph"/>
        <w:ind w:left="709"/>
        <w:jc w:val="both"/>
        <w:rPr>
          <w:rFonts w:ascii="Arial" w:hAnsi="Arial"/>
          <w:i/>
          <w:sz w:val="22"/>
          <w:szCs w:val="22"/>
        </w:rPr>
      </w:pPr>
      <w:r w:rsidRPr="00E35CCE">
        <w:rPr>
          <w:rFonts w:ascii="Arial" w:hAnsi="Arial"/>
          <w:i/>
          <w:sz w:val="22"/>
          <w:szCs w:val="22"/>
        </w:rPr>
        <w:t>For more detail on PBAC’s view, see section 7 “PBAC outcome”</w:t>
      </w:r>
    </w:p>
    <w:p w:rsidR="00BB7EC3" w:rsidRDefault="00BB7EC3" w:rsidP="00E35CCE">
      <w:pPr>
        <w:pStyle w:val="ListParagraph"/>
        <w:ind w:left="709"/>
        <w:jc w:val="both"/>
        <w:rPr>
          <w:rFonts w:ascii="Arial" w:hAnsi="Arial"/>
          <w:sz w:val="22"/>
          <w:szCs w:val="22"/>
        </w:rPr>
      </w:pPr>
    </w:p>
    <w:p w:rsidR="00E35CCE" w:rsidRPr="00E35CCE" w:rsidRDefault="00E35CCE" w:rsidP="00E35CCE">
      <w:pPr>
        <w:pStyle w:val="ListParagraph"/>
        <w:ind w:left="709"/>
        <w:jc w:val="both"/>
        <w:rPr>
          <w:rFonts w:ascii="Arial" w:hAnsi="Arial"/>
          <w:sz w:val="22"/>
          <w:szCs w:val="22"/>
        </w:rPr>
      </w:pPr>
    </w:p>
    <w:p w:rsidR="00B43E90" w:rsidRPr="00E35CCE" w:rsidRDefault="00B43E90" w:rsidP="00E35CCE">
      <w:pPr>
        <w:jc w:val="both"/>
        <w:rPr>
          <w:rFonts w:ascii="Arial" w:hAnsi="Arial"/>
          <w:b/>
          <w:i/>
          <w:sz w:val="22"/>
          <w:szCs w:val="22"/>
        </w:rPr>
      </w:pPr>
      <w:r w:rsidRPr="00E35CCE">
        <w:rPr>
          <w:rFonts w:ascii="Arial" w:hAnsi="Arial"/>
          <w:b/>
          <w:i/>
          <w:sz w:val="22"/>
          <w:szCs w:val="22"/>
        </w:rPr>
        <w:t>Clinical trials</w:t>
      </w:r>
    </w:p>
    <w:p w:rsidR="002B1AE6" w:rsidRPr="00E35CCE" w:rsidRDefault="002B1AE6" w:rsidP="00E35CCE">
      <w:pPr>
        <w:jc w:val="both"/>
        <w:rPr>
          <w:rFonts w:ascii="Arial" w:hAnsi="Arial"/>
          <w:sz w:val="22"/>
          <w:szCs w:val="22"/>
        </w:rPr>
      </w:pPr>
    </w:p>
    <w:p w:rsidR="0026124B" w:rsidRPr="00E35CCE" w:rsidRDefault="0026124B" w:rsidP="00E35CCE">
      <w:pPr>
        <w:pStyle w:val="ListParagraph"/>
        <w:numPr>
          <w:ilvl w:val="1"/>
          <w:numId w:val="25"/>
        </w:numPr>
        <w:ind w:left="709" w:hanging="709"/>
        <w:jc w:val="both"/>
        <w:rPr>
          <w:rFonts w:ascii="Arial" w:hAnsi="Arial" w:cs="Arial"/>
          <w:sz w:val="20"/>
          <w:szCs w:val="22"/>
        </w:rPr>
      </w:pPr>
      <w:r w:rsidRPr="00E35CCE">
        <w:rPr>
          <w:rFonts w:ascii="Arial" w:hAnsi="Arial" w:cs="Arial"/>
          <w:sz w:val="22"/>
        </w:rPr>
        <w:t xml:space="preserve">The submission is based on one head-to-head randomised trial comparing </w:t>
      </w:r>
      <w:proofErr w:type="spellStart"/>
      <w:r w:rsidRPr="00E35CCE">
        <w:rPr>
          <w:rFonts w:ascii="Arial" w:hAnsi="Arial" w:cs="Arial"/>
          <w:sz w:val="22"/>
        </w:rPr>
        <w:t>abiraterone</w:t>
      </w:r>
      <w:proofErr w:type="spellEnd"/>
      <w:r w:rsidRPr="00E35CCE">
        <w:rPr>
          <w:rFonts w:ascii="Arial" w:hAnsi="Arial" w:cs="Arial"/>
          <w:sz w:val="22"/>
        </w:rPr>
        <w:t xml:space="preserve"> + prednisone/prednisolone </w:t>
      </w:r>
      <w:r w:rsidR="000D330E" w:rsidRPr="00E35CCE">
        <w:rPr>
          <w:rFonts w:ascii="Arial" w:hAnsi="Arial" w:cs="Arial"/>
          <w:sz w:val="22"/>
        </w:rPr>
        <w:t>with</w:t>
      </w:r>
      <w:r w:rsidRPr="00E35CCE">
        <w:rPr>
          <w:rFonts w:ascii="Arial" w:hAnsi="Arial" w:cs="Arial"/>
          <w:sz w:val="22"/>
        </w:rPr>
        <w:t xml:space="preserve"> watchful-waiting (placebo) + prednisone/prednisolone: </w:t>
      </w:r>
    </w:p>
    <w:p w:rsidR="0026124B" w:rsidRPr="00E35CCE" w:rsidRDefault="0026124B" w:rsidP="00E35CCE">
      <w:pPr>
        <w:pStyle w:val="ListParagraph"/>
        <w:widowControl w:val="0"/>
        <w:numPr>
          <w:ilvl w:val="0"/>
          <w:numId w:val="40"/>
        </w:numPr>
        <w:jc w:val="both"/>
        <w:rPr>
          <w:rFonts w:ascii="Arial" w:hAnsi="Arial" w:cs="Arial"/>
          <w:sz w:val="22"/>
        </w:rPr>
      </w:pPr>
      <w:r w:rsidRPr="00E35CCE">
        <w:rPr>
          <w:rFonts w:ascii="Arial" w:hAnsi="Arial" w:cs="Arial"/>
          <w:sz w:val="22"/>
        </w:rPr>
        <w:t>Trial COU-AA-302 (</w:t>
      </w:r>
      <w:r w:rsidRPr="00E35CCE">
        <w:rPr>
          <w:rFonts w:ascii="Arial" w:hAnsi="Arial" w:cs="Arial"/>
          <w:i/>
          <w:iCs/>
          <w:sz w:val="22"/>
        </w:rPr>
        <w:t>referred to as “Trial 302” herein)</w:t>
      </w:r>
      <w:r w:rsidRPr="00E35CCE">
        <w:rPr>
          <w:rFonts w:ascii="Arial" w:hAnsi="Arial" w:cs="Arial"/>
          <w:sz w:val="22"/>
        </w:rPr>
        <w:t>.</w:t>
      </w:r>
    </w:p>
    <w:p w:rsidR="0026124B" w:rsidRPr="00E35CCE" w:rsidRDefault="0026124B" w:rsidP="00E35CCE">
      <w:pPr>
        <w:pStyle w:val="ListParagraph"/>
        <w:widowControl w:val="0"/>
        <w:jc w:val="both"/>
      </w:pPr>
    </w:p>
    <w:p w:rsidR="00D15548" w:rsidRPr="00EC4B82" w:rsidRDefault="0026124B" w:rsidP="00D15548">
      <w:pPr>
        <w:pStyle w:val="ListParagraph"/>
        <w:widowControl w:val="0"/>
        <w:numPr>
          <w:ilvl w:val="0"/>
          <w:numId w:val="40"/>
        </w:numPr>
        <w:jc w:val="both"/>
        <w:rPr>
          <w:rFonts w:ascii="Arial" w:hAnsi="Arial" w:cs="Arial"/>
          <w:sz w:val="22"/>
        </w:rPr>
      </w:pPr>
      <w:r w:rsidRPr="00E35CCE">
        <w:rPr>
          <w:rFonts w:ascii="Arial" w:hAnsi="Arial"/>
          <w:sz w:val="22"/>
          <w:szCs w:val="22"/>
        </w:rPr>
        <w:t xml:space="preserve">The details of </w:t>
      </w:r>
      <w:r w:rsidRPr="00E35CCE">
        <w:rPr>
          <w:rFonts w:ascii="Arial" w:hAnsi="Arial" w:cs="Arial"/>
          <w:iCs/>
          <w:sz w:val="22"/>
        </w:rPr>
        <w:t xml:space="preserve">Trial 302 </w:t>
      </w:r>
      <w:r w:rsidRPr="00E35CCE">
        <w:rPr>
          <w:rFonts w:ascii="Arial" w:hAnsi="Arial"/>
          <w:sz w:val="22"/>
          <w:szCs w:val="22"/>
        </w:rPr>
        <w:t>are below</w:t>
      </w:r>
      <w:r w:rsidR="00D15548">
        <w:rPr>
          <w:rFonts w:ascii="Arial" w:hAnsi="Arial"/>
          <w:sz w:val="22"/>
          <w:szCs w:val="22"/>
        </w:rPr>
        <w:t xml:space="preserve"> </w:t>
      </w:r>
      <w:r w:rsidR="00EC4B82" w:rsidRPr="00EC4B82">
        <w:rPr>
          <w:rFonts w:ascii="Arial" w:hAnsi="Arial"/>
          <w:i/>
          <w:sz w:val="22"/>
          <w:szCs w:val="22"/>
        </w:rPr>
        <w:t>(</w:t>
      </w:r>
      <w:r w:rsidR="00EC4B82">
        <w:rPr>
          <w:rFonts w:ascii="Arial" w:hAnsi="Arial"/>
          <w:i/>
          <w:sz w:val="22"/>
          <w:szCs w:val="22"/>
        </w:rPr>
        <w:t>t</w:t>
      </w:r>
      <w:r w:rsidR="00EC4B82" w:rsidRPr="00EC4B82">
        <w:rPr>
          <w:rFonts w:ascii="Arial" w:hAnsi="Arial"/>
          <w:i/>
          <w:sz w:val="22"/>
          <w:szCs w:val="22"/>
        </w:rPr>
        <w:t xml:space="preserve">he </w:t>
      </w:r>
      <w:r w:rsidR="00D15548" w:rsidRPr="00EC4B82">
        <w:rPr>
          <w:rFonts w:ascii="Arial" w:hAnsi="Arial" w:cs="Arial"/>
          <w:i/>
          <w:sz w:val="22"/>
        </w:rPr>
        <w:t xml:space="preserve">third interim analysis was </w:t>
      </w:r>
      <w:r w:rsidR="00E35D0E" w:rsidRPr="00EC4B82">
        <w:rPr>
          <w:rFonts w:ascii="Arial" w:hAnsi="Arial" w:cs="Arial"/>
          <w:i/>
          <w:sz w:val="22"/>
        </w:rPr>
        <w:t>used</w:t>
      </w:r>
      <w:r w:rsidR="00EC4B82" w:rsidRPr="00EC4B82">
        <w:rPr>
          <w:rFonts w:ascii="Arial" w:hAnsi="Arial" w:cs="Arial"/>
          <w:i/>
          <w:sz w:val="22"/>
        </w:rPr>
        <w:t>)</w:t>
      </w:r>
      <w:r w:rsidR="00EC4B82">
        <w:rPr>
          <w:rFonts w:ascii="Arial" w:hAnsi="Arial" w:cs="Arial"/>
          <w:i/>
          <w:sz w:val="22"/>
        </w:rPr>
        <w:t>.</w:t>
      </w:r>
    </w:p>
    <w:p w:rsidR="0026124B" w:rsidRPr="00E35CCE" w:rsidRDefault="0026124B" w:rsidP="00E35CCE">
      <w:pPr>
        <w:pStyle w:val="ListParagraph"/>
        <w:ind w:left="709"/>
        <w:jc w:val="both"/>
        <w:rPr>
          <w:rFonts w:ascii="Arial" w:hAnsi="Arial"/>
          <w:sz w:val="22"/>
          <w:szCs w:val="22"/>
        </w:rPr>
      </w:pPr>
    </w:p>
    <w:p w:rsidR="0026124B" w:rsidRPr="00E35CCE" w:rsidRDefault="0026124B" w:rsidP="00E35CCE">
      <w:pPr>
        <w:ind w:firstLine="709"/>
        <w:rPr>
          <w:rStyle w:val="CommentReference"/>
          <w:rFonts w:ascii="Arial Narrow" w:hAnsi="Arial Narrow"/>
          <w:b/>
          <w:sz w:val="20"/>
        </w:rPr>
      </w:pPr>
      <w:r w:rsidRPr="00E35CCE">
        <w:rPr>
          <w:rStyle w:val="CommentReference"/>
          <w:rFonts w:ascii="Arial Narrow" w:hAnsi="Arial Narrow"/>
          <w:b/>
          <w:sz w:val="20"/>
        </w:rPr>
        <w:t>Trials and associated reports presented in the 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Description w:val="Trials and associated reports presented in the submission"/>
      </w:tblPr>
      <w:tblGrid>
        <w:gridCol w:w="1417"/>
        <w:gridCol w:w="4822"/>
        <w:gridCol w:w="2106"/>
      </w:tblGrid>
      <w:tr w:rsidR="0026124B" w:rsidRPr="00E35CCE" w:rsidTr="00E35CCE">
        <w:tc>
          <w:tcPr>
            <w:tcW w:w="849" w:type="pct"/>
            <w:tcBorders>
              <w:bottom w:val="single" w:sz="4" w:space="0" w:color="auto"/>
            </w:tcBorders>
          </w:tcPr>
          <w:p w:rsidR="0026124B" w:rsidRPr="00E35CCE" w:rsidRDefault="0026124B" w:rsidP="00E35CCE">
            <w:pPr>
              <w:rPr>
                <w:rFonts w:ascii="Arial Narrow" w:hAnsi="Arial Narrow"/>
                <w:b/>
                <w:sz w:val="20"/>
              </w:rPr>
            </w:pPr>
            <w:r w:rsidRPr="00E35CCE">
              <w:rPr>
                <w:rFonts w:ascii="Arial Narrow" w:hAnsi="Arial Narrow"/>
                <w:b/>
                <w:sz w:val="20"/>
              </w:rPr>
              <w:t>Trial ID</w:t>
            </w:r>
          </w:p>
        </w:tc>
        <w:tc>
          <w:tcPr>
            <w:tcW w:w="2889" w:type="pct"/>
            <w:tcBorders>
              <w:bottom w:val="single" w:sz="4" w:space="0" w:color="auto"/>
            </w:tcBorders>
          </w:tcPr>
          <w:p w:rsidR="0026124B" w:rsidRPr="00E35CCE" w:rsidRDefault="0026124B" w:rsidP="00E35CCE">
            <w:pPr>
              <w:jc w:val="center"/>
              <w:rPr>
                <w:rFonts w:ascii="Arial Narrow" w:hAnsi="Arial Narrow"/>
                <w:b/>
                <w:sz w:val="20"/>
              </w:rPr>
            </w:pPr>
            <w:r w:rsidRPr="00E35CCE">
              <w:rPr>
                <w:rFonts w:ascii="Arial Narrow" w:hAnsi="Arial Narrow"/>
                <w:b/>
                <w:sz w:val="20"/>
              </w:rPr>
              <w:t>Protocol title/ Publication title</w:t>
            </w:r>
          </w:p>
        </w:tc>
        <w:tc>
          <w:tcPr>
            <w:tcW w:w="1262" w:type="pct"/>
            <w:tcBorders>
              <w:bottom w:val="single" w:sz="4" w:space="0" w:color="auto"/>
            </w:tcBorders>
          </w:tcPr>
          <w:p w:rsidR="0026124B" w:rsidRPr="00E35CCE" w:rsidRDefault="0026124B" w:rsidP="00E35CCE">
            <w:pPr>
              <w:jc w:val="center"/>
              <w:rPr>
                <w:rFonts w:ascii="Arial Narrow" w:hAnsi="Arial Narrow"/>
                <w:b/>
                <w:sz w:val="20"/>
              </w:rPr>
            </w:pPr>
            <w:r w:rsidRPr="00E35CCE">
              <w:rPr>
                <w:rFonts w:ascii="Arial Narrow" w:hAnsi="Arial Narrow"/>
                <w:b/>
                <w:sz w:val="20"/>
              </w:rPr>
              <w:t>Publication citation</w:t>
            </w:r>
          </w:p>
        </w:tc>
      </w:tr>
      <w:tr w:rsidR="0026124B" w:rsidRPr="00E35CCE" w:rsidTr="00E35CCE">
        <w:tc>
          <w:tcPr>
            <w:tcW w:w="849" w:type="pct"/>
            <w:tcBorders>
              <w:bottom w:val="single" w:sz="4" w:space="0" w:color="auto"/>
              <w:right w:val="nil"/>
            </w:tcBorders>
          </w:tcPr>
          <w:p w:rsidR="0026124B" w:rsidRPr="00E35CCE" w:rsidRDefault="0026124B" w:rsidP="00E35CCE">
            <w:pPr>
              <w:rPr>
                <w:rFonts w:ascii="Arial Narrow" w:hAnsi="Arial Narrow"/>
                <w:b/>
                <w:sz w:val="20"/>
              </w:rPr>
            </w:pPr>
            <w:r w:rsidRPr="00E35CCE">
              <w:rPr>
                <w:rFonts w:ascii="Arial Narrow" w:hAnsi="Arial Narrow"/>
                <w:b/>
                <w:sz w:val="20"/>
              </w:rPr>
              <w:t>Direct randomised trial</w:t>
            </w:r>
          </w:p>
        </w:tc>
        <w:tc>
          <w:tcPr>
            <w:tcW w:w="2889" w:type="pct"/>
            <w:tcBorders>
              <w:left w:val="nil"/>
              <w:bottom w:val="single" w:sz="4" w:space="0" w:color="auto"/>
              <w:right w:val="nil"/>
            </w:tcBorders>
          </w:tcPr>
          <w:p w:rsidR="0026124B" w:rsidRPr="00E35CCE" w:rsidRDefault="0026124B" w:rsidP="00E35CCE">
            <w:pPr>
              <w:jc w:val="center"/>
              <w:rPr>
                <w:rFonts w:ascii="Arial Narrow" w:hAnsi="Arial Narrow"/>
                <w:b/>
                <w:sz w:val="20"/>
              </w:rPr>
            </w:pPr>
          </w:p>
        </w:tc>
        <w:tc>
          <w:tcPr>
            <w:tcW w:w="1262" w:type="pct"/>
            <w:tcBorders>
              <w:left w:val="nil"/>
              <w:bottom w:val="single" w:sz="4" w:space="0" w:color="auto"/>
            </w:tcBorders>
          </w:tcPr>
          <w:p w:rsidR="0026124B" w:rsidRPr="00E35CCE" w:rsidRDefault="0026124B" w:rsidP="00E35CCE">
            <w:pPr>
              <w:jc w:val="center"/>
              <w:rPr>
                <w:rFonts w:ascii="Arial Narrow" w:hAnsi="Arial Narrow"/>
                <w:b/>
                <w:sz w:val="20"/>
              </w:rPr>
            </w:pPr>
          </w:p>
        </w:tc>
      </w:tr>
      <w:tr w:rsidR="0026124B" w:rsidRPr="00E35CCE" w:rsidTr="00E35CCE">
        <w:tc>
          <w:tcPr>
            <w:tcW w:w="849" w:type="pct"/>
            <w:tcBorders>
              <w:right w:val="single" w:sz="4" w:space="0" w:color="auto"/>
            </w:tcBorders>
          </w:tcPr>
          <w:p w:rsidR="0026124B" w:rsidRPr="00E35CCE" w:rsidRDefault="0026124B" w:rsidP="00E35CCE">
            <w:pPr>
              <w:rPr>
                <w:rFonts w:ascii="Arial Narrow" w:hAnsi="Arial Narrow"/>
                <w:sz w:val="20"/>
              </w:rPr>
            </w:pPr>
            <w:r w:rsidRPr="00E35CCE">
              <w:rPr>
                <w:rFonts w:ascii="Arial Narrow" w:hAnsi="Arial Narrow"/>
                <w:sz w:val="20"/>
              </w:rPr>
              <w:t>COU-AAA-302</w:t>
            </w:r>
          </w:p>
          <w:p w:rsidR="0026124B" w:rsidRPr="00E35CCE" w:rsidRDefault="0026124B" w:rsidP="00E35CCE">
            <w:pPr>
              <w:rPr>
                <w:rFonts w:ascii="Arial Narrow" w:hAnsi="Arial Narrow"/>
                <w:b/>
                <w:sz w:val="20"/>
              </w:rPr>
            </w:pPr>
            <w:r w:rsidRPr="00E35CCE">
              <w:rPr>
                <w:rFonts w:ascii="Arial Narrow" w:hAnsi="Arial Narrow"/>
                <w:sz w:val="20"/>
              </w:rPr>
              <w:t>(“</w:t>
            </w:r>
            <w:r w:rsidRPr="00E35CCE">
              <w:rPr>
                <w:rFonts w:ascii="Arial Narrow" w:hAnsi="Arial Narrow"/>
                <w:i/>
                <w:iCs/>
                <w:sz w:val="20"/>
              </w:rPr>
              <w:t>Trial 302”)</w:t>
            </w:r>
          </w:p>
        </w:tc>
        <w:tc>
          <w:tcPr>
            <w:tcW w:w="2889" w:type="pct"/>
            <w:tcBorders>
              <w:left w:val="single" w:sz="4" w:space="0" w:color="auto"/>
              <w:right w:val="single" w:sz="4" w:space="0" w:color="auto"/>
            </w:tcBorders>
          </w:tcPr>
          <w:p w:rsidR="0026124B" w:rsidRPr="00E35CCE" w:rsidRDefault="0026124B" w:rsidP="00E35CCE">
            <w:pPr>
              <w:rPr>
                <w:rFonts w:ascii="Arial Narrow" w:hAnsi="Arial Narrow"/>
                <w:bCs/>
                <w:sz w:val="20"/>
              </w:rPr>
            </w:pPr>
            <w:r w:rsidRPr="00E35CCE">
              <w:rPr>
                <w:rFonts w:ascii="Arial Narrow" w:hAnsi="Arial Narrow"/>
                <w:bCs/>
                <w:sz w:val="20"/>
              </w:rPr>
              <w:t xml:space="preserve">A Phase 3, Randomized, Double-blind, Placebo-Controlled Study of </w:t>
            </w:r>
            <w:proofErr w:type="spellStart"/>
            <w:r w:rsidRPr="00E35CCE">
              <w:rPr>
                <w:rFonts w:ascii="Arial Narrow" w:hAnsi="Arial Narrow"/>
                <w:bCs/>
                <w:sz w:val="20"/>
              </w:rPr>
              <w:t>Abiraterone</w:t>
            </w:r>
            <w:proofErr w:type="spellEnd"/>
            <w:r w:rsidRPr="00E35CCE">
              <w:rPr>
                <w:rFonts w:ascii="Arial Narrow" w:hAnsi="Arial Narrow"/>
                <w:bCs/>
                <w:sz w:val="20"/>
              </w:rPr>
              <w:t xml:space="preserve"> Acetate Plus Prednisolone in Asymptomatic or Mildly Symptomatic Subjects With Metastatic Castration-Resistant Prostate Cancer.</w:t>
            </w:r>
          </w:p>
          <w:p w:rsidR="0026124B" w:rsidRPr="00E35CCE" w:rsidRDefault="0026124B" w:rsidP="00E35CCE">
            <w:pPr>
              <w:rPr>
                <w:rFonts w:ascii="Arial Narrow" w:hAnsi="Arial Narrow"/>
                <w:bCs/>
                <w:sz w:val="20"/>
              </w:rPr>
            </w:pPr>
            <w:r w:rsidRPr="00E35CCE">
              <w:rPr>
                <w:rFonts w:ascii="Arial Narrow" w:hAnsi="Arial Narrow"/>
                <w:bCs/>
                <w:sz w:val="20"/>
              </w:rPr>
              <w:t xml:space="preserve">Ryan et al. </w:t>
            </w:r>
            <w:proofErr w:type="spellStart"/>
            <w:r w:rsidRPr="00E35CCE">
              <w:rPr>
                <w:rFonts w:ascii="Arial Narrow" w:hAnsi="Arial Narrow"/>
                <w:bCs/>
                <w:sz w:val="20"/>
              </w:rPr>
              <w:t>Abiraterone</w:t>
            </w:r>
            <w:proofErr w:type="spellEnd"/>
            <w:r w:rsidRPr="00E35CCE">
              <w:rPr>
                <w:rFonts w:ascii="Arial Narrow" w:hAnsi="Arial Narrow"/>
                <w:bCs/>
                <w:sz w:val="20"/>
              </w:rPr>
              <w:t xml:space="preserve"> in Metastatic Prostate Cancer without Previous Chemotherapy.</w:t>
            </w:r>
          </w:p>
          <w:p w:rsidR="0026124B" w:rsidRPr="00E35CCE" w:rsidRDefault="0026124B" w:rsidP="00E35CCE">
            <w:pPr>
              <w:rPr>
                <w:rFonts w:ascii="Arial Narrow" w:hAnsi="Arial Narrow"/>
                <w:bCs/>
                <w:sz w:val="20"/>
              </w:rPr>
            </w:pPr>
            <w:proofErr w:type="spellStart"/>
            <w:r w:rsidRPr="00E35CCE">
              <w:rPr>
                <w:rFonts w:ascii="Arial Narrow" w:hAnsi="Arial Narrow"/>
                <w:bCs/>
                <w:sz w:val="20"/>
              </w:rPr>
              <w:t>Basch</w:t>
            </w:r>
            <w:proofErr w:type="spellEnd"/>
            <w:r w:rsidRPr="00E35CCE">
              <w:rPr>
                <w:rFonts w:ascii="Arial Narrow" w:hAnsi="Arial Narrow"/>
                <w:bCs/>
                <w:sz w:val="20"/>
              </w:rPr>
              <w:t xml:space="preserve"> et al. </w:t>
            </w:r>
            <w:proofErr w:type="spellStart"/>
            <w:r w:rsidRPr="00E35CCE">
              <w:rPr>
                <w:rFonts w:ascii="Arial Narrow" w:hAnsi="Arial Narrow"/>
                <w:bCs/>
                <w:sz w:val="20"/>
              </w:rPr>
              <w:t>Abiraterone</w:t>
            </w:r>
            <w:proofErr w:type="spellEnd"/>
            <w:r w:rsidRPr="00E35CCE">
              <w:rPr>
                <w:rFonts w:ascii="Arial Narrow" w:hAnsi="Arial Narrow"/>
                <w:bCs/>
                <w:sz w:val="20"/>
              </w:rPr>
              <w:t xml:space="preserve"> acetate plus prednisone versus prednisone alone in chemotherapy-naïve men with metastatic castration-resistant prostate cancer: patient-reported outcome results of a randomised phase 3 trial.</w:t>
            </w:r>
          </w:p>
          <w:p w:rsidR="0026124B" w:rsidRPr="00E35CCE" w:rsidRDefault="0026124B" w:rsidP="00E35CCE">
            <w:pPr>
              <w:rPr>
                <w:rFonts w:ascii="Arial Narrow" w:hAnsi="Arial Narrow"/>
                <w:sz w:val="20"/>
              </w:rPr>
            </w:pPr>
            <w:r w:rsidRPr="00E35CCE">
              <w:rPr>
                <w:rFonts w:ascii="Arial Narrow" w:hAnsi="Arial Narrow"/>
                <w:sz w:val="20"/>
              </w:rPr>
              <w:t xml:space="preserve">Ryan et al. Interim analysis (IA) results of COU-AA-302, a randomized phase III study of </w:t>
            </w:r>
            <w:proofErr w:type="spellStart"/>
            <w:r w:rsidRPr="00E35CCE">
              <w:rPr>
                <w:rFonts w:ascii="Arial Narrow" w:hAnsi="Arial Narrow"/>
                <w:sz w:val="20"/>
              </w:rPr>
              <w:t>abiraterone</w:t>
            </w:r>
            <w:proofErr w:type="spellEnd"/>
            <w:r w:rsidRPr="00E35CCE">
              <w:rPr>
                <w:rFonts w:ascii="Arial Narrow" w:hAnsi="Arial Narrow"/>
                <w:sz w:val="20"/>
              </w:rPr>
              <w:t xml:space="preserve"> acetate (AA) in chemotherapy-naïve patients (</w:t>
            </w:r>
            <w:proofErr w:type="spellStart"/>
            <w:r w:rsidRPr="00E35CCE">
              <w:rPr>
                <w:rFonts w:ascii="Arial Narrow" w:hAnsi="Arial Narrow"/>
                <w:sz w:val="20"/>
              </w:rPr>
              <w:t>pts</w:t>
            </w:r>
            <w:proofErr w:type="spellEnd"/>
            <w:r w:rsidRPr="00E35CCE">
              <w:rPr>
                <w:rFonts w:ascii="Arial Narrow" w:hAnsi="Arial Narrow"/>
                <w:sz w:val="20"/>
              </w:rPr>
              <w:t>) with metastatic castration-resistant prostate cancer (</w:t>
            </w:r>
            <w:proofErr w:type="spellStart"/>
            <w:r w:rsidRPr="00E35CCE">
              <w:rPr>
                <w:rFonts w:ascii="Arial Narrow" w:hAnsi="Arial Narrow"/>
                <w:sz w:val="20"/>
              </w:rPr>
              <w:t>mCRPC</w:t>
            </w:r>
            <w:proofErr w:type="spellEnd"/>
            <w:r w:rsidRPr="00E35CCE">
              <w:rPr>
                <w:rFonts w:ascii="Arial Narrow" w:hAnsi="Arial Narrow"/>
                <w:sz w:val="20"/>
              </w:rPr>
              <w:t>).</w:t>
            </w:r>
          </w:p>
        </w:tc>
        <w:tc>
          <w:tcPr>
            <w:tcW w:w="1262" w:type="pct"/>
            <w:tcBorders>
              <w:left w:val="single" w:sz="4" w:space="0" w:color="auto"/>
            </w:tcBorders>
          </w:tcPr>
          <w:p w:rsidR="0026124B" w:rsidRPr="00E35CCE" w:rsidRDefault="0026124B" w:rsidP="00E35CCE">
            <w:pPr>
              <w:rPr>
                <w:rFonts w:ascii="Arial Narrow" w:hAnsi="Arial Narrow"/>
                <w:bCs/>
                <w:sz w:val="20"/>
              </w:rPr>
            </w:pPr>
            <w:r w:rsidRPr="00E35CCE">
              <w:rPr>
                <w:rFonts w:ascii="Arial Narrow" w:hAnsi="Arial Narrow"/>
                <w:bCs/>
                <w:sz w:val="20"/>
              </w:rPr>
              <w:t>Clinical Trial Report</w:t>
            </w:r>
          </w:p>
          <w:p w:rsidR="0026124B" w:rsidRPr="00E35CCE" w:rsidRDefault="0026124B" w:rsidP="00E35CCE">
            <w:pPr>
              <w:rPr>
                <w:rFonts w:ascii="Arial Narrow" w:hAnsi="Arial Narrow"/>
                <w:bCs/>
                <w:sz w:val="20"/>
              </w:rPr>
            </w:pPr>
          </w:p>
          <w:p w:rsidR="0026124B" w:rsidRPr="00E35CCE" w:rsidRDefault="0026124B" w:rsidP="00E35CCE">
            <w:pPr>
              <w:rPr>
                <w:rFonts w:ascii="Arial Narrow" w:hAnsi="Arial Narrow"/>
                <w:sz w:val="20"/>
              </w:rPr>
            </w:pPr>
          </w:p>
          <w:p w:rsidR="0026124B" w:rsidRPr="00E35CCE" w:rsidRDefault="0026124B" w:rsidP="00E35CCE">
            <w:pPr>
              <w:rPr>
                <w:rFonts w:ascii="Arial Narrow" w:hAnsi="Arial Narrow"/>
                <w:sz w:val="20"/>
              </w:rPr>
            </w:pPr>
          </w:p>
          <w:p w:rsidR="0026124B" w:rsidRPr="00E35CCE" w:rsidRDefault="0026124B" w:rsidP="00E35CCE">
            <w:pPr>
              <w:rPr>
                <w:rFonts w:ascii="Arial Narrow" w:hAnsi="Arial Narrow"/>
                <w:sz w:val="20"/>
              </w:rPr>
            </w:pPr>
            <w:r w:rsidRPr="00E35CCE">
              <w:rPr>
                <w:rFonts w:ascii="Arial Narrow" w:hAnsi="Arial Narrow"/>
                <w:sz w:val="20"/>
              </w:rPr>
              <w:t>The New England journal of Medicine 2013; 368:138-148</w:t>
            </w:r>
          </w:p>
          <w:p w:rsidR="0026124B" w:rsidRPr="00E35CCE" w:rsidRDefault="0026124B" w:rsidP="00E35CCE">
            <w:pPr>
              <w:rPr>
                <w:rFonts w:ascii="Arial Narrow" w:hAnsi="Arial Narrow"/>
                <w:sz w:val="20"/>
              </w:rPr>
            </w:pPr>
            <w:r w:rsidRPr="00E35CCE">
              <w:rPr>
                <w:rFonts w:ascii="Arial Narrow" w:hAnsi="Arial Narrow"/>
                <w:sz w:val="20"/>
              </w:rPr>
              <w:t>The Lancet Oncology 2013; 14(12):1193-1199</w:t>
            </w:r>
          </w:p>
          <w:p w:rsidR="0026124B" w:rsidRPr="00E35CCE" w:rsidRDefault="0026124B" w:rsidP="00E35CCE">
            <w:pPr>
              <w:rPr>
                <w:rFonts w:ascii="Arial Narrow" w:hAnsi="Arial Narrow"/>
                <w:sz w:val="20"/>
              </w:rPr>
            </w:pPr>
          </w:p>
          <w:p w:rsidR="00F61E24" w:rsidRPr="00E35CCE" w:rsidRDefault="00F61E24" w:rsidP="00E35CCE">
            <w:pPr>
              <w:rPr>
                <w:rFonts w:ascii="Arial Narrow" w:hAnsi="Arial Narrow"/>
                <w:sz w:val="20"/>
              </w:rPr>
            </w:pPr>
          </w:p>
          <w:p w:rsidR="0026124B" w:rsidRPr="00E35CCE" w:rsidRDefault="0026124B" w:rsidP="00E35CCE">
            <w:pPr>
              <w:rPr>
                <w:rFonts w:ascii="Arial Narrow" w:hAnsi="Arial Narrow"/>
                <w:sz w:val="20"/>
              </w:rPr>
            </w:pPr>
            <w:r w:rsidRPr="00E35CCE">
              <w:rPr>
                <w:rFonts w:ascii="Arial Narrow" w:hAnsi="Arial Narrow"/>
                <w:sz w:val="20"/>
              </w:rPr>
              <w:t>Journal of Clinical Oncology 2012; 30(</w:t>
            </w:r>
            <w:proofErr w:type="spellStart"/>
            <w:r w:rsidRPr="00E35CCE">
              <w:rPr>
                <w:rFonts w:ascii="Arial Narrow" w:hAnsi="Arial Narrow"/>
                <w:sz w:val="20"/>
              </w:rPr>
              <w:t>Suppl;Abstr</w:t>
            </w:r>
            <w:proofErr w:type="spellEnd"/>
            <w:r w:rsidRPr="00E35CCE">
              <w:rPr>
                <w:rFonts w:ascii="Arial Narrow" w:hAnsi="Arial Narrow"/>
                <w:sz w:val="20"/>
              </w:rPr>
              <w:t xml:space="preserve"> LBA4518)</w:t>
            </w:r>
          </w:p>
        </w:tc>
      </w:tr>
    </w:tbl>
    <w:p w:rsidR="0026124B" w:rsidRPr="005C0DF8" w:rsidRDefault="005C0DF8" w:rsidP="00E35CCE">
      <w:pPr>
        <w:pStyle w:val="TableFooter"/>
        <w:ind w:firstLine="709"/>
        <w:rPr>
          <w:highlight w:val="black"/>
        </w:rPr>
      </w:pPr>
      <w:r>
        <w:rPr>
          <w:noProof/>
          <w:color w:val="000000"/>
          <w:highlight w:val="black"/>
        </w:rPr>
        <w:t>'''''''''''''''''' ''''''''''''' '''''''''' '''''''' ''''' '''''''' '''''''''''''''''''''''''</w:t>
      </w:r>
    </w:p>
    <w:p w:rsidR="00F61E24" w:rsidRPr="00E35CCE" w:rsidRDefault="00F61E24" w:rsidP="00E35CCE">
      <w:pPr>
        <w:pStyle w:val="TableFooter"/>
        <w:ind w:firstLine="709"/>
        <w:rPr>
          <w:b/>
          <w:sz w:val="20"/>
        </w:rPr>
      </w:pPr>
    </w:p>
    <w:p w:rsidR="00F61E24" w:rsidRPr="00E35CCE" w:rsidRDefault="00F61E24" w:rsidP="00E35CCE">
      <w:pPr>
        <w:ind w:firstLine="709"/>
        <w:rPr>
          <w:rStyle w:val="CommentReference"/>
          <w:rFonts w:ascii="Arial Narrow" w:hAnsi="Arial Narrow" w:cs="Arial"/>
          <w:b/>
          <w:sz w:val="20"/>
        </w:rPr>
      </w:pPr>
      <w:r w:rsidRPr="00E35CCE">
        <w:rPr>
          <w:rStyle w:val="CommentReference"/>
          <w:rFonts w:ascii="Arial Narrow" w:hAnsi="Arial Narrow" w:cs="Arial"/>
          <w:b/>
          <w:sz w:val="20"/>
        </w:rPr>
        <w:lastRenderedPageBreak/>
        <w:t>Key features of Trial 302</w:t>
      </w:r>
    </w:p>
    <w:tbl>
      <w:tblPr>
        <w:tblStyle w:val="TableGrid"/>
        <w:tblW w:w="4604" w:type="pct"/>
        <w:tblInd w:w="737" w:type="dxa"/>
        <w:tblCellMar>
          <w:left w:w="28" w:type="dxa"/>
          <w:right w:w="28" w:type="dxa"/>
        </w:tblCellMar>
        <w:tblLook w:val="04A0" w:firstRow="1" w:lastRow="0" w:firstColumn="1" w:lastColumn="0" w:noHBand="0" w:noVBand="1"/>
        <w:tblDescription w:val="Key features of Trial 302"/>
      </w:tblPr>
      <w:tblGrid>
        <w:gridCol w:w="526"/>
        <w:gridCol w:w="820"/>
        <w:gridCol w:w="820"/>
        <w:gridCol w:w="1636"/>
        <w:gridCol w:w="2629"/>
        <w:gridCol w:w="1932"/>
      </w:tblGrid>
      <w:tr w:rsidR="00F61E24" w:rsidRPr="00E35CCE" w:rsidTr="00274A61">
        <w:trPr>
          <w:trHeight w:val="565"/>
          <w:tblHeader/>
        </w:trPr>
        <w:tc>
          <w:tcPr>
            <w:tcW w:w="315" w:type="pct"/>
            <w:vAlign w:val="center"/>
          </w:tcPr>
          <w:p w:rsidR="00F61E24" w:rsidRPr="00E35CCE" w:rsidRDefault="00F61E24" w:rsidP="00E35CCE">
            <w:pPr>
              <w:jc w:val="center"/>
              <w:rPr>
                <w:rStyle w:val="CommentReference"/>
              </w:rPr>
            </w:pPr>
            <w:r w:rsidRPr="00E35CCE">
              <w:rPr>
                <w:rFonts w:ascii="Arial Narrow" w:hAnsi="Arial Narrow"/>
                <w:b/>
                <w:sz w:val="20"/>
                <w:szCs w:val="16"/>
                <w:lang w:val="en-US"/>
              </w:rPr>
              <w:t>N</w:t>
            </w:r>
          </w:p>
        </w:tc>
        <w:tc>
          <w:tcPr>
            <w:tcW w:w="490" w:type="pct"/>
            <w:vAlign w:val="center"/>
          </w:tcPr>
          <w:p w:rsidR="00F61E24" w:rsidRPr="00E35CCE" w:rsidRDefault="00F61E24" w:rsidP="00E35CCE">
            <w:pPr>
              <w:jc w:val="center"/>
              <w:rPr>
                <w:rStyle w:val="CommentReference"/>
              </w:rPr>
            </w:pPr>
            <w:r w:rsidRPr="00E35CCE">
              <w:rPr>
                <w:rFonts w:ascii="Arial Narrow" w:hAnsi="Arial Narrow"/>
                <w:b/>
                <w:sz w:val="20"/>
                <w:szCs w:val="16"/>
                <w:lang w:val="en-US"/>
              </w:rPr>
              <w:t>Design/ duration</w:t>
            </w:r>
          </w:p>
        </w:tc>
        <w:tc>
          <w:tcPr>
            <w:tcW w:w="490" w:type="pct"/>
            <w:vAlign w:val="center"/>
          </w:tcPr>
          <w:p w:rsidR="00F61E24" w:rsidRPr="00E35CCE" w:rsidRDefault="00F61E24" w:rsidP="00E35CCE">
            <w:pPr>
              <w:jc w:val="center"/>
              <w:rPr>
                <w:rStyle w:val="CommentReference"/>
              </w:rPr>
            </w:pPr>
            <w:r w:rsidRPr="00E35CCE">
              <w:rPr>
                <w:rFonts w:ascii="Arial Narrow" w:hAnsi="Arial Narrow"/>
                <w:b/>
                <w:sz w:val="20"/>
                <w:szCs w:val="16"/>
                <w:lang w:val="en-US"/>
              </w:rPr>
              <w:t>Risk of bias</w:t>
            </w:r>
          </w:p>
        </w:tc>
        <w:tc>
          <w:tcPr>
            <w:tcW w:w="978" w:type="pct"/>
            <w:vAlign w:val="center"/>
          </w:tcPr>
          <w:p w:rsidR="00F61E24" w:rsidRPr="00E35CCE" w:rsidRDefault="00F61E24" w:rsidP="00E35CCE">
            <w:pPr>
              <w:jc w:val="center"/>
              <w:rPr>
                <w:rStyle w:val="CommentReference"/>
              </w:rPr>
            </w:pPr>
            <w:r w:rsidRPr="00E35CCE">
              <w:rPr>
                <w:rFonts w:ascii="Arial Narrow" w:hAnsi="Arial Narrow"/>
                <w:b/>
                <w:sz w:val="20"/>
                <w:szCs w:val="16"/>
                <w:lang w:val="en-US"/>
              </w:rPr>
              <w:t>Patient population</w:t>
            </w:r>
          </w:p>
        </w:tc>
        <w:tc>
          <w:tcPr>
            <w:tcW w:w="1572" w:type="pct"/>
            <w:vAlign w:val="center"/>
          </w:tcPr>
          <w:p w:rsidR="00F61E24" w:rsidRPr="00E35CCE" w:rsidRDefault="00F61E24" w:rsidP="00E35CCE">
            <w:pPr>
              <w:jc w:val="center"/>
              <w:rPr>
                <w:rStyle w:val="CommentReference"/>
              </w:rPr>
            </w:pPr>
            <w:r w:rsidRPr="00E35CCE">
              <w:rPr>
                <w:rFonts w:ascii="Arial Narrow" w:hAnsi="Arial Narrow"/>
                <w:b/>
                <w:sz w:val="20"/>
                <w:szCs w:val="16"/>
                <w:lang w:val="en-US"/>
              </w:rPr>
              <w:t>Outcome(s)</w:t>
            </w:r>
          </w:p>
        </w:tc>
        <w:tc>
          <w:tcPr>
            <w:tcW w:w="1156" w:type="pct"/>
            <w:vAlign w:val="center"/>
          </w:tcPr>
          <w:p w:rsidR="00F61E24" w:rsidRPr="00E35CCE" w:rsidRDefault="00F61E24" w:rsidP="00E35CCE">
            <w:pPr>
              <w:jc w:val="center"/>
              <w:rPr>
                <w:rStyle w:val="CommentReference"/>
              </w:rPr>
            </w:pPr>
            <w:r w:rsidRPr="00E35CCE">
              <w:rPr>
                <w:rFonts w:ascii="Arial Narrow" w:hAnsi="Arial Narrow"/>
                <w:b/>
                <w:sz w:val="20"/>
                <w:szCs w:val="16"/>
                <w:lang w:val="en-US"/>
              </w:rPr>
              <w:t>Use in modelled evaluation</w:t>
            </w:r>
          </w:p>
        </w:tc>
      </w:tr>
      <w:tr w:rsidR="00F61E24" w:rsidRPr="00E35CCE" w:rsidTr="00FF202A">
        <w:trPr>
          <w:trHeight w:val="1424"/>
        </w:trPr>
        <w:tc>
          <w:tcPr>
            <w:tcW w:w="315" w:type="pct"/>
            <w:vAlign w:val="center"/>
          </w:tcPr>
          <w:p w:rsidR="00F61E24" w:rsidRPr="00E35CCE" w:rsidRDefault="00F61E24" w:rsidP="00E35CCE">
            <w:pPr>
              <w:jc w:val="center"/>
              <w:rPr>
                <w:rStyle w:val="CommentReference"/>
              </w:rPr>
            </w:pPr>
            <w:r w:rsidRPr="00E35CCE">
              <w:rPr>
                <w:rFonts w:ascii="Arial Narrow" w:hAnsi="Arial Narrow"/>
                <w:sz w:val="20"/>
                <w:szCs w:val="16"/>
                <w:lang w:val="en-US"/>
              </w:rPr>
              <w:t>1088</w:t>
            </w:r>
            <w:r w:rsidRPr="00E35CCE">
              <w:rPr>
                <w:rFonts w:ascii="Arial Narrow" w:hAnsi="Arial Narrow"/>
                <w:sz w:val="20"/>
                <w:szCs w:val="16"/>
                <w:vertAlign w:val="superscript"/>
                <w:lang w:val="en-US"/>
              </w:rPr>
              <w:t>a</w:t>
            </w:r>
          </w:p>
        </w:tc>
        <w:tc>
          <w:tcPr>
            <w:tcW w:w="490" w:type="pct"/>
            <w:vAlign w:val="center"/>
          </w:tcPr>
          <w:p w:rsidR="00F61E24" w:rsidRPr="00E35CCE" w:rsidRDefault="00F61E24" w:rsidP="00E35CCE">
            <w:pPr>
              <w:jc w:val="center"/>
              <w:rPr>
                <w:rFonts w:ascii="Arial Narrow" w:hAnsi="Arial Narrow"/>
                <w:sz w:val="20"/>
                <w:szCs w:val="16"/>
                <w:lang w:val="en-US"/>
              </w:rPr>
            </w:pPr>
            <w:r w:rsidRPr="00E35CCE">
              <w:rPr>
                <w:rFonts w:ascii="Arial Narrow" w:hAnsi="Arial Narrow"/>
                <w:sz w:val="20"/>
                <w:szCs w:val="16"/>
                <w:lang w:val="en-US"/>
              </w:rPr>
              <w:t>R, DB</w:t>
            </w:r>
          </w:p>
          <w:p w:rsidR="00F61E24" w:rsidRPr="00E35CCE" w:rsidRDefault="00F61E24" w:rsidP="00E35CCE">
            <w:pPr>
              <w:jc w:val="center"/>
              <w:rPr>
                <w:rStyle w:val="CommentReference"/>
              </w:rPr>
            </w:pPr>
            <w:r w:rsidRPr="00E35CCE">
              <w:rPr>
                <w:rFonts w:ascii="Arial Narrow" w:hAnsi="Arial Narrow"/>
                <w:sz w:val="20"/>
                <w:szCs w:val="16"/>
                <w:lang w:val="en-US"/>
              </w:rPr>
              <w:t xml:space="preserve">36 </w:t>
            </w:r>
            <w:proofErr w:type="spellStart"/>
            <w:r w:rsidRPr="00E35CCE">
              <w:rPr>
                <w:rFonts w:ascii="Arial Narrow" w:hAnsi="Arial Narrow"/>
                <w:sz w:val="20"/>
                <w:szCs w:val="16"/>
                <w:lang w:val="en-US"/>
              </w:rPr>
              <w:t>mths</w:t>
            </w:r>
            <w:r w:rsidRPr="00E35CCE">
              <w:rPr>
                <w:rFonts w:ascii="Arial Narrow" w:hAnsi="Arial Narrow"/>
                <w:sz w:val="20"/>
                <w:szCs w:val="16"/>
                <w:vertAlign w:val="superscript"/>
                <w:lang w:val="en-US"/>
              </w:rPr>
              <w:t>b</w:t>
            </w:r>
            <w:proofErr w:type="spellEnd"/>
          </w:p>
        </w:tc>
        <w:tc>
          <w:tcPr>
            <w:tcW w:w="490" w:type="pct"/>
            <w:vAlign w:val="center"/>
          </w:tcPr>
          <w:p w:rsidR="00F61E24" w:rsidRPr="00E35CCE" w:rsidRDefault="00F61E24" w:rsidP="00E35CCE">
            <w:pPr>
              <w:jc w:val="center"/>
              <w:rPr>
                <w:rStyle w:val="CommentReference"/>
                <w:b/>
                <w:bCs/>
              </w:rPr>
            </w:pPr>
            <w:proofErr w:type="spellStart"/>
            <w:r w:rsidRPr="00E35CCE">
              <w:rPr>
                <w:rStyle w:val="CommentReference"/>
                <w:bCs/>
              </w:rPr>
              <w:t>Low</w:t>
            </w:r>
            <w:r w:rsidRPr="00E35CCE">
              <w:rPr>
                <w:rStyle w:val="CommentReference"/>
                <w:bCs/>
                <w:vertAlign w:val="superscript"/>
              </w:rPr>
              <w:t>c</w:t>
            </w:r>
            <w:proofErr w:type="spellEnd"/>
          </w:p>
        </w:tc>
        <w:tc>
          <w:tcPr>
            <w:tcW w:w="978" w:type="pct"/>
            <w:vAlign w:val="center"/>
          </w:tcPr>
          <w:p w:rsidR="00F61E24" w:rsidRPr="00E35CCE" w:rsidRDefault="00F61E24" w:rsidP="00E35CCE">
            <w:pPr>
              <w:jc w:val="center"/>
              <w:rPr>
                <w:rStyle w:val="CommentReference"/>
                <w:vertAlign w:val="superscript"/>
              </w:rPr>
            </w:pPr>
            <w:proofErr w:type="spellStart"/>
            <w:r w:rsidRPr="00E35CCE">
              <w:rPr>
                <w:rFonts w:ascii="Arial Narrow" w:hAnsi="Arial Narrow"/>
                <w:sz w:val="20"/>
                <w:szCs w:val="16"/>
                <w:lang w:val="en-US"/>
              </w:rPr>
              <w:t>mCRPC</w:t>
            </w:r>
            <w:proofErr w:type="spellEnd"/>
            <w:r w:rsidRPr="00E35CCE">
              <w:rPr>
                <w:rFonts w:ascii="Arial Narrow" w:hAnsi="Arial Narrow"/>
                <w:sz w:val="20"/>
                <w:szCs w:val="16"/>
                <w:lang w:val="en-US"/>
              </w:rPr>
              <w:t xml:space="preserve">, medical or surgically castration, chemotherapy-naïve, asymptomatic or </w:t>
            </w:r>
            <w:r w:rsidRPr="00E35CCE">
              <w:rPr>
                <w:rFonts w:ascii="Arial Narrow" w:hAnsi="Arial Narrow"/>
                <w:iCs/>
                <w:sz w:val="20"/>
                <w:szCs w:val="16"/>
                <w:lang w:val="en-US"/>
              </w:rPr>
              <w:t xml:space="preserve">mildly </w:t>
            </w:r>
            <w:proofErr w:type="spellStart"/>
            <w:r w:rsidRPr="00E35CCE">
              <w:rPr>
                <w:rFonts w:ascii="Arial Narrow" w:hAnsi="Arial Narrow"/>
                <w:sz w:val="20"/>
                <w:szCs w:val="16"/>
                <w:lang w:val="en-US"/>
              </w:rPr>
              <w:t>symptomatic</w:t>
            </w:r>
            <w:r w:rsidRPr="00E35CCE">
              <w:rPr>
                <w:rFonts w:ascii="Arial Narrow" w:hAnsi="Arial Narrow"/>
                <w:sz w:val="20"/>
                <w:szCs w:val="16"/>
                <w:vertAlign w:val="superscript"/>
                <w:lang w:val="en-US"/>
              </w:rPr>
              <w:t>d</w:t>
            </w:r>
            <w:proofErr w:type="spellEnd"/>
          </w:p>
        </w:tc>
        <w:tc>
          <w:tcPr>
            <w:tcW w:w="1572" w:type="pct"/>
            <w:vAlign w:val="center"/>
          </w:tcPr>
          <w:p w:rsidR="00F61E24" w:rsidRPr="00E35CCE" w:rsidRDefault="00F61E24" w:rsidP="00E35CCE">
            <w:pPr>
              <w:jc w:val="center"/>
              <w:rPr>
                <w:rFonts w:ascii="Arial Narrow" w:hAnsi="Arial Narrow"/>
                <w:sz w:val="20"/>
                <w:szCs w:val="16"/>
                <w:lang w:val="en-US"/>
              </w:rPr>
            </w:pPr>
            <w:r w:rsidRPr="00E35CCE">
              <w:rPr>
                <w:rFonts w:ascii="Arial Narrow" w:hAnsi="Arial Narrow"/>
                <w:sz w:val="20"/>
                <w:szCs w:val="16"/>
                <w:lang w:val="en-US"/>
              </w:rPr>
              <w:t xml:space="preserve">1°: OS, </w:t>
            </w:r>
            <w:proofErr w:type="spellStart"/>
            <w:r w:rsidRPr="00E35CCE">
              <w:rPr>
                <w:rFonts w:ascii="Arial Narrow" w:hAnsi="Arial Narrow"/>
                <w:sz w:val="20"/>
                <w:szCs w:val="16"/>
                <w:lang w:val="en-US"/>
              </w:rPr>
              <w:t>rPFS</w:t>
            </w:r>
            <w:proofErr w:type="spellEnd"/>
          </w:p>
          <w:p w:rsidR="00F61E24" w:rsidRPr="00E35CCE" w:rsidRDefault="00F61E24" w:rsidP="00E35CCE">
            <w:pPr>
              <w:jc w:val="center"/>
              <w:rPr>
                <w:rStyle w:val="CommentReference"/>
              </w:rPr>
            </w:pPr>
            <w:r w:rsidRPr="00E35CCE">
              <w:rPr>
                <w:rFonts w:ascii="Arial Narrow" w:hAnsi="Arial Narrow"/>
                <w:sz w:val="20"/>
                <w:szCs w:val="16"/>
                <w:lang w:val="en-US"/>
              </w:rPr>
              <w:t>2°: time to opioid use, time to chemotherapy, time to first deterioration, time to PSA progression</w:t>
            </w:r>
          </w:p>
        </w:tc>
        <w:tc>
          <w:tcPr>
            <w:tcW w:w="1156" w:type="pct"/>
            <w:vAlign w:val="center"/>
          </w:tcPr>
          <w:p w:rsidR="00F61E24" w:rsidRPr="00E35CCE" w:rsidRDefault="00F61E24" w:rsidP="00E35CCE">
            <w:pPr>
              <w:jc w:val="center"/>
              <w:rPr>
                <w:rStyle w:val="CommentReference"/>
              </w:rPr>
            </w:pPr>
            <w:r w:rsidRPr="00E35CCE">
              <w:rPr>
                <w:rFonts w:ascii="Arial Narrow" w:hAnsi="Arial Narrow"/>
                <w:sz w:val="20"/>
                <w:szCs w:val="16"/>
                <w:lang w:val="en-US"/>
              </w:rPr>
              <w:t>OS + time to study treatment discontinuation are modelled</w:t>
            </w:r>
          </w:p>
        </w:tc>
      </w:tr>
    </w:tbl>
    <w:p w:rsidR="00F61E24" w:rsidRPr="005C0DF8" w:rsidRDefault="00F61E24" w:rsidP="00E35CCE">
      <w:pPr>
        <w:tabs>
          <w:tab w:val="left" w:pos="180"/>
        </w:tabs>
        <w:rPr>
          <w:rFonts w:ascii="Arial Narrow" w:hAnsi="Arial Narrow"/>
          <w:sz w:val="18"/>
          <w:szCs w:val="18"/>
        </w:rPr>
      </w:pPr>
      <w:r w:rsidRPr="00E35CCE">
        <w:rPr>
          <w:rFonts w:ascii="Arial Narrow" w:hAnsi="Arial Narrow"/>
          <w:sz w:val="18"/>
          <w:szCs w:val="18"/>
          <w:vertAlign w:val="superscript"/>
        </w:rPr>
        <w:tab/>
      </w:r>
      <w:r w:rsidRPr="00E35CCE">
        <w:rPr>
          <w:rFonts w:ascii="Arial Narrow" w:hAnsi="Arial Narrow"/>
          <w:sz w:val="18"/>
          <w:szCs w:val="18"/>
          <w:vertAlign w:val="superscript"/>
        </w:rPr>
        <w:tab/>
      </w:r>
      <w:proofErr w:type="gramStart"/>
      <w:r w:rsidRPr="00E35CCE">
        <w:rPr>
          <w:rFonts w:ascii="Arial Narrow" w:hAnsi="Arial Narrow"/>
          <w:sz w:val="18"/>
          <w:szCs w:val="18"/>
          <w:vertAlign w:val="superscript"/>
        </w:rPr>
        <w:t>a</w:t>
      </w:r>
      <w:proofErr w:type="gramEnd"/>
      <w:r w:rsidRPr="00E35CCE">
        <w:rPr>
          <w:rFonts w:ascii="Arial Narrow" w:hAnsi="Arial Narrow"/>
          <w:sz w:val="18"/>
          <w:szCs w:val="18"/>
        </w:rPr>
        <w:t xml:space="preserve"> safety population = 1082; </w:t>
      </w:r>
      <w:r w:rsidRPr="00D15548">
        <w:rPr>
          <w:rFonts w:ascii="Arial Narrow" w:hAnsi="Arial Narrow"/>
          <w:sz w:val="18"/>
          <w:szCs w:val="18"/>
        </w:rPr>
        <w:t xml:space="preserve">PBS-sub-group = </w:t>
      </w:r>
      <w:r w:rsidR="005C0DF8">
        <w:rPr>
          <w:rFonts w:ascii="Arial Narrow" w:hAnsi="Arial Narrow"/>
          <w:noProof/>
          <w:color w:val="000000"/>
          <w:sz w:val="18"/>
          <w:szCs w:val="18"/>
          <w:highlight w:val="black"/>
        </w:rPr>
        <w:t>''''''''</w:t>
      </w:r>
    </w:p>
    <w:p w:rsidR="00F61E24" w:rsidRPr="00E35CCE" w:rsidRDefault="00F61E24" w:rsidP="00E35CCE">
      <w:pPr>
        <w:tabs>
          <w:tab w:val="left" w:pos="180"/>
        </w:tabs>
        <w:ind w:left="720" w:hanging="720"/>
        <w:rPr>
          <w:rFonts w:ascii="Arial Narrow" w:hAnsi="Arial Narrow"/>
          <w:sz w:val="18"/>
          <w:szCs w:val="18"/>
        </w:rPr>
      </w:pPr>
      <w:r w:rsidRPr="00E35CCE">
        <w:rPr>
          <w:rFonts w:ascii="Arial Narrow" w:hAnsi="Arial Narrow"/>
          <w:sz w:val="18"/>
          <w:szCs w:val="18"/>
          <w:vertAlign w:val="superscript"/>
        </w:rPr>
        <w:tab/>
      </w:r>
      <w:r w:rsidRPr="00E35CCE">
        <w:rPr>
          <w:rFonts w:ascii="Arial Narrow" w:hAnsi="Arial Narrow"/>
          <w:sz w:val="18"/>
          <w:szCs w:val="18"/>
          <w:vertAlign w:val="superscript"/>
        </w:rPr>
        <w:tab/>
      </w:r>
      <w:proofErr w:type="gramStart"/>
      <w:r w:rsidRPr="00E35CCE">
        <w:rPr>
          <w:rFonts w:ascii="Arial Narrow" w:hAnsi="Arial Narrow"/>
          <w:sz w:val="18"/>
          <w:szCs w:val="18"/>
          <w:vertAlign w:val="superscript"/>
        </w:rPr>
        <w:t>b</w:t>
      </w:r>
      <w:proofErr w:type="gramEnd"/>
      <w:r w:rsidRPr="00E35CCE">
        <w:rPr>
          <w:rFonts w:ascii="Arial Narrow" w:hAnsi="Arial Narrow"/>
          <w:sz w:val="18"/>
          <w:szCs w:val="18"/>
        </w:rPr>
        <w:t xml:space="preserve"> results in the submission are presented based on the third interim analysis to 36 months; planned final follow-up is to 5 years.</w:t>
      </w:r>
    </w:p>
    <w:p w:rsidR="00F61E24" w:rsidRPr="00E35CCE" w:rsidRDefault="00F61E24" w:rsidP="00E35CCE">
      <w:pPr>
        <w:tabs>
          <w:tab w:val="left" w:pos="180"/>
        </w:tabs>
        <w:ind w:left="720" w:hanging="720"/>
        <w:rPr>
          <w:rFonts w:ascii="Arial Narrow" w:hAnsi="Arial Narrow"/>
          <w:sz w:val="18"/>
          <w:szCs w:val="18"/>
        </w:rPr>
      </w:pPr>
      <w:r w:rsidRPr="00E35CCE">
        <w:rPr>
          <w:rFonts w:ascii="Arial Narrow" w:hAnsi="Arial Narrow"/>
          <w:sz w:val="18"/>
          <w:szCs w:val="18"/>
          <w:vertAlign w:val="superscript"/>
        </w:rPr>
        <w:tab/>
      </w:r>
      <w:r w:rsidRPr="00E35CCE">
        <w:rPr>
          <w:rFonts w:ascii="Arial Narrow" w:hAnsi="Arial Narrow"/>
          <w:sz w:val="18"/>
          <w:szCs w:val="18"/>
          <w:vertAlign w:val="superscript"/>
        </w:rPr>
        <w:tab/>
      </w:r>
      <w:proofErr w:type="gramStart"/>
      <w:r w:rsidRPr="00E35CCE">
        <w:rPr>
          <w:rFonts w:ascii="Arial Narrow" w:hAnsi="Arial Narrow"/>
          <w:sz w:val="18"/>
          <w:szCs w:val="18"/>
          <w:vertAlign w:val="superscript"/>
        </w:rPr>
        <w:t>c</w:t>
      </w:r>
      <w:proofErr w:type="gramEnd"/>
      <w:r w:rsidRPr="00E35CCE">
        <w:rPr>
          <w:rFonts w:ascii="Arial Narrow" w:hAnsi="Arial Narrow"/>
          <w:sz w:val="18"/>
          <w:szCs w:val="18"/>
        </w:rPr>
        <w:t xml:space="preserve"> low risk of bias up to the second interim analysis; treatment was un-blinded after the second interim analysis and cross-ove</w:t>
      </w:r>
      <w:r w:rsidR="00A05B38">
        <w:rPr>
          <w:rFonts w:ascii="Arial Narrow" w:hAnsi="Arial Narrow"/>
          <w:sz w:val="18"/>
          <w:szCs w:val="18"/>
        </w:rPr>
        <w:t>r</w:t>
      </w:r>
      <w:r w:rsidRPr="00E35CCE">
        <w:rPr>
          <w:rFonts w:ascii="Arial Narrow" w:hAnsi="Arial Narrow"/>
          <w:sz w:val="18"/>
          <w:szCs w:val="18"/>
        </w:rPr>
        <w:t xml:space="preserve"> recommended</w:t>
      </w:r>
    </w:p>
    <w:p w:rsidR="00F61E24" w:rsidRPr="00E35CCE" w:rsidRDefault="00F61E24" w:rsidP="00E35CCE">
      <w:pPr>
        <w:tabs>
          <w:tab w:val="left" w:pos="180"/>
        </w:tabs>
        <w:rPr>
          <w:rFonts w:ascii="Arial Narrow" w:hAnsi="Arial Narrow"/>
          <w:sz w:val="18"/>
          <w:szCs w:val="18"/>
        </w:rPr>
      </w:pPr>
      <w:r w:rsidRPr="00E35CCE">
        <w:rPr>
          <w:rFonts w:ascii="Arial Narrow" w:hAnsi="Arial Narrow"/>
          <w:sz w:val="18"/>
          <w:szCs w:val="18"/>
          <w:vertAlign w:val="superscript"/>
        </w:rPr>
        <w:tab/>
      </w:r>
      <w:r w:rsidRPr="00E35CCE">
        <w:rPr>
          <w:rFonts w:ascii="Arial Narrow" w:hAnsi="Arial Narrow"/>
          <w:sz w:val="18"/>
          <w:szCs w:val="18"/>
          <w:vertAlign w:val="superscript"/>
        </w:rPr>
        <w:tab/>
      </w:r>
      <w:proofErr w:type="spellStart"/>
      <w:proofErr w:type="gramStart"/>
      <w:r w:rsidRPr="00E35CCE">
        <w:rPr>
          <w:rFonts w:ascii="Arial Narrow" w:hAnsi="Arial Narrow"/>
          <w:sz w:val="18"/>
          <w:szCs w:val="18"/>
          <w:vertAlign w:val="superscript"/>
        </w:rPr>
        <w:t>d</w:t>
      </w:r>
      <w:r w:rsidRPr="00E35CCE">
        <w:rPr>
          <w:rFonts w:ascii="Arial Narrow" w:hAnsi="Arial Narrow"/>
          <w:sz w:val="18"/>
          <w:szCs w:val="18"/>
        </w:rPr>
        <w:t>mildly</w:t>
      </w:r>
      <w:proofErr w:type="spellEnd"/>
      <w:proofErr w:type="gramEnd"/>
      <w:r w:rsidRPr="00E35CCE">
        <w:rPr>
          <w:rFonts w:ascii="Arial Narrow" w:hAnsi="Arial Narrow"/>
          <w:sz w:val="18"/>
          <w:szCs w:val="18"/>
        </w:rPr>
        <w:t xml:space="preserve"> symptomatic patients are excluded from the ‘PBS population’</w:t>
      </w:r>
    </w:p>
    <w:p w:rsidR="00F61E24" w:rsidRPr="005C0DF8" w:rsidRDefault="00F61E24" w:rsidP="00E35CCE">
      <w:pPr>
        <w:tabs>
          <w:tab w:val="left" w:pos="180"/>
        </w:tabs>
        <w:rPr>
          <w:rFonts w:ascii="Arial Narrow" w:hAnsi="Arial Narrow"/>
          <w:sz w:val="18"/>
          <w:szCs w:val="18"/>
          <w:highlight w:val="black"/>
        </w:rPr>
      </w:pPr>
      <w:r w:rsidRPr="00E35CCE">
        <w:rPr>
          <w:rFonts w:ascii="Arial Narrow" w:hAnsi="Arial Narrow"/>
          <w:sz w:val="18"/>
          <w:szCs w:val="18"/>
        </w:rPr>
        <w:tab/>
      </w:r>
      <w:r w:rsidRPr="00E35CCE">
        <w:rPr>
          <w:rFonts w:ascii="Arial Narrow" w:hAnsi="Arial Narrow"/>
          <w:sz w:val="18"/>
          <w:szCs w:val="18"/>
        </w:rPr>
        <w:tab/>
      </w:r>
      <w:r w:rsidR="005C0DF8">
        <w:rPr>
          <w:rFonts w:ascii="Arial Narrow" w:hAnsi="Arial Narrow"/>
          <w:noProof/>
          <w:color w:val="000000"/>
          <w:sz w:val="18"/>
          <w:szCs w:val="18"/>
          <w:highlight w:val="black"/>
        </w:rPr>
        <w:t>'''''''''''''''''' '''''''''''''' '''''''''' ''''''''' ''''' '''''''' ''''''''''''''''''''''''''</w:t>
      </w:r>
    </w:p>
    <w:p w:rsidR="00F61E24" w:rsidRPr="00E35CCE" w:rsidRDefault="00F61E24" w:rsidP="00E35CCE"/>
    <w:p w:rsidR="00F61E24" w:rsidRPr="00E35CCE" w:rsidRDefault="00F61E24" w:rsidP="00E35CCE">
      <w:pPr>
        <w:pStyle w:val="ListParagraph"/>
        <w:numPr>
          <w:ilvl w:val="1"/>
          <w:numId w:val="25"/>
        </w:numPr>
        <w:jc w:val="both"/>
        <w:rPr>
          <w:rFonts w:ascii="Arial" w:hAnsi="Arial"/>
          <w:sz w:val="22"/>
          <w:szCs w:val="22"/>
        </w:rPr>
      </w:pPr>
      <w:r w:rsidRPr="00E35CCE">
        <w:rPr>
          <w:rFonts w:ascii="Arial" w:hAnsi="Arial" w:cs="Arial"/>
          <w:sz w:val="22"/>
        </w:rPr>
        <w:t xml:space="preserve">The submission nominates a PBS-subgroup (BPI-SF Q3 pain score: 0-1, baseline PSA ≤114ng/mL, ECOG≤1) in Trial 302 </w:t>
      </w:r>
      <w:r w:rsidRPr="00D15548">
        <w:rPr>
          <w:rFonts w:ascii="Arial" w:hAnsi="Arial" w:cs="Arial"/>
          <w:sz w:val="22"/>
        </w:rPr>
        <w:t>(n=</w:t>
      </w:r>
      <w:r w:rsidR="005C0DF8">
        <w:rPr>
          <w:rFonts w:ascii="Arial" w:hAnsi="Arial" w:cs="Arial"/>
          <w:noProof/>
          <w:color w:val="000000"/>
          <w:sz w:val="22"/>
          <w:highlight w:val="black"/>
        </w:rPr>
        <w:t>'''''''''</w:t>
      </w:r>
      <w:r w:rsidRPr="00D15548">
        <w:rPr>
          <w:rFonts w:ascii="Arial" w:hAnsi="Arial" w:cs="Arial"/>
          <w:sz w:val="22"/>
        </w:rPr>
        <w:t>)</w:t>
      </w:r>
      <w:r w:rsidRPr="00E35CCE">
        <w:rPr>
          <w:rFonts w:ascii="Arial" w:hAnsi="Arial" w:cs="Arial"/>
          <w:sz w:val="22"/>
        </w:rPr>
        <w:t xml:space="preserve"> as being representative of the PBS population.</w:t>
      </w:r>
      <w:r w:rsidRPr="00E35CCE">
        <w:rPr>
          <w:rFonts w:ascii="Arial" w:hAnsi="Arial" w:cs="Arial"/>
          <w:color w:val="3366FF"/>
          <w:sz w:val="22"/>
        </w:rPr>
        <w:t xml:space="preserve"> </w:t>
      </w:r>
      <w:r w:rsidRPr="00E35CCE">
        <w:rPr>
          <w:rFonts w:ascii="Arial" w:hAnsi="Arial" w:cs="Arial"/>
          <w:iCs/>
          <w:sz w:val="22"/>
        </w:rPr>
        <w:t>The ITT population of Trial 302 is arguably more representative of the likely PBS population, given:</w:t>
      </w:r>
    </w:p>
    <w:p w:rsidR="00F61E24" w:rsidRPr="00E35CCE" w:rsidRDefault="00F61E24" w:rsidP="00E35CCE">
      <w:pPr>
        <w:pStyle w:val="ListParagraph"/>
        <w:numPr>
          <w:ilvl w:val="0"/>
          <w:numId w:val="40"/>
        </w:numPr>
        <w:rPr>
          <w:rFonts w:ascii="Arial" w:hAnsi="Arial" w:cs="Arial"/>
          <w:iCs/>
          <w:sz w:val="22"/>
        </w:rPr>
      </w:pPr>
      <w:r w:rsidRPr="00E35CCE">
        <w:rPr>
          <w:rFonts w:ascii="Arial" w:hAnsi="Arial" w:cs="Arial"/>
          <w:iCs/>
          <w:sz w:val="22"/>
        </w:rPr>
        <w:t>Clinician assessment/classification of “asymptomatic pain” may encompass patient rated pain scores of 2-3 out of 10 on the BPI-SF</w:t>
      </w:r>
      <w:r w:rsidR="00064A11" w:rsidRPr="00E35CCE">
        <w:rPr>
          <w:rFonts w:ascii="Arial" w:hAnsi="Arial" w:cs="Arial"/>
          <w:iCs/>
          <w:sz w:val="22"/>
        </w:rPr>
        <w:t xml:space="preserve"> Q3</w:t>
      </w:r>
      <w:r w:rsidRPr="00E35CCE">
        <w:rPr>
          <w:rFonts w:ascii="Arial" w:hAnsi="Arial" w:cs="Arial"/>
          <w:iCs/>
          <w:sz w:val="22"/>
        </w:rPr>
        <w:t xml:space="preserve">; </w:t>
      </w:r>
    </w:p>
    <w:p w:rsidR="00F61E24" w:rsidRPr="00E35CCE" w:rsidRDefault="00F61E24" w:rsidP="00E35CCE">
      <w:pPr>
        <w:pStyle w:val="ListParagraph"/>
        <w:numPr>
          <w:ilvl w:val="0"/>
          <w:numId w:val="40"/>
        </w:numPr>
        <w:rPr>
          <w:rFonts w:ascii="Arial" w:hAnsi="Arial" w:cs="Arial"/>
          <w:iCs/>
          <w:sz w:val="22"/>
        </w:rPr>
      </w:pPr>
      <w:r w:rsidRPr="00E35CCE">
        <w:rPr>
          <w:rFonts w:ascii="Arial" w:hAnsi="Arial" w:cs="Arial"/>
          <w:iCs/>
          <w:sz w:val="22"/>
        </w:rPr>
        <w:t xml:space="preserve">Majority </w:t>
      </w:r>
      <w:r w:rsidR="005C0DF8">
        <w:rPr>
          <w:rFonts w:ascii="Arial" w:hAnsi="Arial" w:cs="Arial"/>
          <w:iCs/>
          <w:noProof/>
          <w:color w:val="000000"/>
          <w:sz w:val="22"/>
          <w:highlight w:val="black"/>
        </w:rPr>
        <w:t>'''''''''</w:t>
      </w:r>
      <w:r w:rsidRPr="00D15548">
        <w:rPr>
          <w:rFonts w:ascii="Arial" w:hAnsi="Arial" w:cs="Arial"/>
          <w:iCs/>
          <w:sz w:val="22"/>
        </w:rPr>
        <w:t>%)</w:t>
      </w:r>
      <w:r w:rsidRPr="00E35CCE">
        <w:rPr>
          <w:rFonts w:ascii="Arial" w:hAnsi="Arial" w:cs="Arial"/>
          <w:iCs/>
          <w:sz w:val="22"/>
        </w:rPr>
        <w:t xml:space="preserve"> of patients in Trial 302 </w:t>
      </w:r>
      <w:r w:rsidR="003B4FCC" w:rsidRPr="00E35CCE">
        <w:rPr>
          <w:rFonts w:ascii="Arial" w:hAnsi="Arial" w:cs="Arial"/>
          <w:iCs/>
          <w:sz w:val="22"/>
        </w:rPr>
        <w:t>had a</w:t>
      </w:r>
      <w:r w:rsidRPr="00E35CCE">
        <w:rPr>
          <w:rFonts w:ascii="Arial" w:hAnsi="Arial" w:cs="Arial"/>
          <w:iCs/>
          <w:sz w:val="22"/>
        </w:rPr>
        <w:t xml:space="preserve"> PSA &lt;114ng/mL </w:t>
      </w:r>
      <w:r w:rsidRPr="00D15548">
        <w:rPr>
          <w:rFonts w:ascii="Arial" w:hAnsi="Arial" w:cs="Arial"/>
          <w:iCs/>
          <w:sz w:val="22"/>
        </w:rPr>
        <w:t xml:space="preserve">(median of </w:t>
      </w:r>
      <w:r w:rsidR="005C0DF8">
        <w:rPr>
          <w:rFonts w:ascii="Arial" w:hAnsi="Arial" w:cs="Arial"/>
          <w:iCs/>
          <w:noProof/>
          <w:color w:val="000000"/>
          <w:sz w:val="22"/>
          <w:highlight w:val="black"/>
        </w:rPr>
        <w:t>''''''</w:t>
      </w:r>
      <w:r w:rsidRPr="00D15548">
        <w:rPr>
          <w:rFonts w:ascii="Arial" w:hAnsi="Arial" w:cs="Arial"/>
          <w:iCs/>
          <w:sz w:val="22"/>
        </w:rPr>
        <w:t>ng/mL)</w:t>
      </w:r>
      <w:r w:rsidRPr="00E35CCE">
        <w:rPr>
          <w:rFonts w:ascii="Arial" w:hAnsi="Arial" w:cs="Arial"/>
          <w:iCs/>
          <w:sz w:val="22"/>
        </w:rPr>
        <w:t>; and</w:t>
      </w:r>
    </w:p>
    <w:p w:rsidR="00F61E24" w:rsidRPr="00E35CCE" w:rsidRDefault="00F61E24" w:rsidP="00E35CCE">
      <w:pPr>
        <w:pStyle w:val="ListParagraph"/>
        <w:numPr>
          <w:ilvl w:val="0"/>
          <w:numId w:val="40"/>
        </w:numPr>
        <w:rPr>
          <w:rFonts w:ascii="Arial" w:hAnsi="Arial" w:cs="Arial"/>
          <w:iCs/>
          <w:sz w:val="22"/>
        </w:rPr>
      </w:pPr>
      <w:r w:rsidRPr="00E35CCE">
        <w:rPr>
          <w:rFonts w:ascii="Arial" w:hAnsi="Arial" w:cs="Arial"/>
          <w:iCs/>
          <w:sz w:val="22"/>
        </w:rPr>
        <w:t>All patients enrolled in Trial 302 had an ECOG ≤1.</w:t>
      </w:r>
    </w:p>
    <w:p w:rsidR="00F61E24" w:rsidRPr="00E35CCE" w:rsidRDefault="00F61E24" w:rsidP="00E35CCE">
      <w:pPr>
        <w:pStyle w:val="TableFooter"/>
        <w:ind w:firstLine="709"/>
        <w:rPr>
          <w:b/>
        </w:rPr>
      </w:pPr>
    </w:p>
    <w:p w:rsidR="00BB7EC3" w:rsidRPr="00E35CCE" w:rsidRDefault="00BB7EC3" w:rsidP="00E35CCE">
      <w:pPr>
        <w:pStyle w:val="ListParagraph"/>
        <w:ind w:left="709"/>
        <w:jc w:val="both"/>
        <w:rPr>
          <w:rFonts w:ascii="Arial" w:hAnsi="Arial"/>
          <w:i/>
          <w:sz w:val="22"/>
          <w:szCs w:val="22"/>
        </w:rPr>
      </w:pPr>
      <w:r w:rsidRPr="00E35CCE">
        <w:rPr>
          <w:rFonts w:ascii="Arial" w:hAnsi="Arial"/>
          <w:i/>
          <w:sz w:val="22"/>
          <w:szCs w:val="22"/>
        </w:rPr>
        <w:t>For more detail on PBAC’s view, see section 7 “PBAC outcome”</w:t>
      </w:r>
    </w:p>
    <w:p w:rsidR="00BB7EC3" w:rsidRPr="00E35CCE" w:rsidRDefault="00BB7EC3" w:rsidP="00E35CCE">
      <w:pPr>
        <w:ind w:left="709"/>
        <w:jc w:val="both"/>
        <w:rPr>
          <w:rFonts w:ascii="Arial" w:hAnsi="Arial"/>
          <w:sz w:val="22"/>
          <w:szCs w:val="22"/>
        </w:rPr>
      </w:pPr>
    </w:p>
    <w:p w:rsidR="005A3173" w:rsidRPr="00E35CCE" w:rsidRDefault="005A3173" w:rsidP="00E35CCE">
      <w:pPr>
        <w:jc w:val="both"/>
        <w:rPr>
          <w:rFonts w:ascii="Arial" w:hAnsi="Arial"/>
          <w:b/>
          <w:i/>
          <w:sz w:val="22"/>
          <w:szCs w:val="22"/>
        </w:rPr>
      </w:pPr>
      <w:r w:rsidRPr="00E35CCE">
        <w:rPr>
          <w:rFonts w:ascii="Arial" w:hAnsi="Arial"/>
          <w:b/>
          <w:i/>
          <w:sz w:val="22"/>
          <w:szCs w:val="22"/>
        </w:rPr>
        <w:t>Comparative effectiveness</w:t>
      </w:r>
    </w:p>
    <w:p w:rsidR="005A3173" w:rsidRPr="00E35CCE" w:rsidRDefault="005A3173" w:rsidP="00E35CCE">
      <w:pPr>
        <w:jc w:val="both"/>
        <w:rPr>
          <w:rFonts w:ascii="Arial" w:hAnsi="Arial"/>
          <w:sz w:val="22"/>
          <w:szCs w:val="22"/>
        </w:rPr>
      </w:pPr>
    </w:p>
    <w:p w:rsidR="00F61E24" w:rsidRPr="00D15548" w:rsidRDefault="00F61E24" w:rsidP="00E35CCE">
      <w:pPr>
        <w:ind w:left="720"/>
        <w:rPr>
          <w:rFonts w:ascii="Arial Narrow" w:hAnsi="Arial Narrow"/>
          <w:b/>
          <w:bCs/>
          <w:sz w:val="20"/>
        </w:rPr>
      </w:pPr>
      <w:r w:rsidRPr="00D15548">
        <w:rPr>
          <w:rFonts w:ascii="Arial Narrow" w:hAnsi="Arial Narrow"/>
          <w:b/>
          <w:bCs/>
          <w:sz w:val="20"/>
        </w:rPr>
        <w:t>Overall survival in the ITT, non-PBS and PBS subgroup populations of Trial 302 (third-interim analysis)</w:t>
      </w:r>
    </w:p>
    <w:tbl>
      <w:tblPr>
        <w:tblStyle w:val="TableGrid"/>
        <w:tblW w:w="4604" w:type="pct"/>
        <w:tblInd w:w="737" w:type="dxa"/>
        <w:tblCellMar>
          <w:left w:w="28" w:type="dxa"/>
          <w:right w:w="28" w:type="dxa"/>
        </w:tblCellMar>
        <w:tblLook w:val="04A0" w:firstRow="1" w:lastRow="0" w:firstColumn="1" w:lastColumn="0" w:noHBand="0" w:noVBand="1"/>
        <w:tblDescription w:val="Overall survival in the ITT, non-PBS and PBS subgroup populations of Trial 302 (third-interim analysis)"/>
      </w:tblPr>
      <w:tblGrid>
        <w:gridCol w:w="1332"/>
        <w:gridCol w:w="973"/>
        <w:gridCol w:w="977"/>
        <w:gridCol w:w="1253"/>
        <w:gridCol w:w="1254"/>
        <w:gridCol w:w="1253"/>
        <w:gridCol w:w="1321"/>
      </w:tblGrid>
      <w:tr w:rsidR="00F61E24" w:rsidRPr="008F0598" w:rsidTr="00274A61">
        <w:trPr>
          <w:trHeight w:val="249"/>
          <w:tblHeader/>
        </w:trPr>
        <w:tc>
          <w:tcPr>
            <w:tcW w:w="796" w:type="pct"/>
            <w:vMerge w:val="restart"/>
          </w:tcPr>
          <w:p w:rsidR="00F61E24" w:rsidRPr="005C0DF8" w:rsidRDefault="00F61E24" w:rsidP="00E35CCE">
            <w:pPr>
              <w:rPr>
                <w:rFonts w:ascii="Arial Narrow" w:hAnsi="Arial Narrow"/>
                <w:sz w:val="20"/>
              </w:rPr>
            </w:pPr>
          </w:p>
        </w:tc>
        <w:tc>
          <w:tcPr>
            <w:tcW w:w="1166" w:type="pct"/>
            <w:gridSpan w:val="2"/>
            <w:vMerge w:val="restart"/>
            <w:vAlign w:val="center"/>
          </w:tcPr>
          <w:p w:rsidR="00F61E24" w:rsidRPr="005C0DF8" w:rsidRDefault="00F61E24" w:rsidP="00E35CCE">
            <w:pPr>
              <w:jc w:val="center"/>
              <w:rPr>
                <w:rFonts w:ascii="Arial Narrow" w:hAnsi="Arial Narrow"/>
                <w:b/>
                <w:bCs/>
                <w:sz w:val="20"/>
              </w:rPr>
            </w:pPr>
            <w:r w:rsidRPr="00D15548">
              <w:rPr>
                <w:rFonts w:ascii="Arial Narrow" w:hAnsi="Arial Narrow"/>
                <w:b/>
                <w:bCs/>
                <w:sz w:val="20"/>
              </w:rPr>
              <w:t>ITT population*</w:t>
            </w:r>
          </w:p>
        </w:tc>
        <w:tc>
          <w:tcPr>
            <w:tcW w:w="3038" w:type="pct"/>
            <w:gridSpan w:val="4"/>
            <w:vAlign w:val="center"/>
          </w:tcPr>
          <w:p w:rsidR="00F61E24" w:rsidRPr="005C0DF8" w:rsidRDefault="00F61E24" w:rsidP="00E35CCE">
            <w:pPr>
              <w:jc w:val="center"/>
              <w:rPr>
                <w:rFonts w:ascii="Arial Narrow" w:hAnsi="Arial Narrow"/>
                <w:b/>
                <w:bCs/>
                <w:sz w:val="20"/>
              </w:rPr>
            </w:pPr>
            <w:r w:rsidRPr="00D15548">
              <w:rPr>
                <w:rFonts w:ascii="Arial Narrow" w:hAnsi="Arial Narrow"/>
                <w:b/>
                <w:bCs/>
                <w:iCs/>
                <w:sz w:val="20"/>
              </w:rPr>
              <w:t>Post-hoc</w:t>
            </w:r>
            <w:r w:rsidRPr="00D15548">
              <w:rPr>
                <w:rFonts w:ascii="Arial Narrow" w:hAnsi="Arial Narrow"/>
                <w:b/>
                <w:bCs/>
                <w:sz w:val="20"/>
              </w:rPr>
              <w:t xml:space="preserve"> subgroup analysis</w:t>
            </w:r>
          </w:p>
        </w:tc>
      </w:tr>
      <w:tr w:rsidR="00F61E24" w:rsidRPr="008F0598" w:rsidTr="00274A61">
        <w:trPr>
          <w:trHeight w:val="164"/>
          <w:tblHeader/>
        </w:trPr>
        <w:tc>
          <w:tcPr>
            <w:tcW w:w="796" w:type="pct"/>
            <w:vMerge/>
          </w:tcPr>
          <w:p w:rsidR="00F61E24" w:rsidRPr="005C0DF8" w:rsidRDefault="00F61E24" w:rsidP="00E35CCE">
            <w:pPr>
              <w:rPr>
                <w:rFonts w:ascii="Arial Narrow" w:hAnsi="Arial Narrow"/>
                <w:sz w:val="20"/>
              </w:rPr>
            </w:pPr>
          </w:p>
        </w:tc>
        <w:tc>
          <w:tcPr>
            <w:tcW w:w="1166" w:type="pct"/>
            <w:gridSpan w:val="2"/>
            <w:vMerge/>
            <w:vAlign w:val="center"/>
          </w:tcPr>
          <w:p w:rsidR="00F61E24" w:rsidRPr="005C0DF8" w:rsidRDefault="00F61E24" w:rsidP="00E35CCE">
            <w:pPr>
              <w:jc w:val="center"/>
              <w:rPr>
                <w:rFonts w:ascii="Arial Narrow" w:hAnsi="Arial Narrow"/>
                <w:b/>
                <w:bCs/>
                <w:sz w:val="20"/>
              </w:rPr>
            </w:pPr>
          </w:p>
        </w:tc>
        <w:tc>
          <w:tcPr>
            <w:tcW w:w="1499" w:type="pct"/>
            <w:gridSpan w:val="2"/>
            <w:vAlign w:val="center"/>
          </w:tcPr>
          <w:p w:rsidR="00F61E24" w:rsidRPr="00D15548" w:rsidRDefault="00F61E24" w:rsidP="00E35CCE">
            <w:pPr>
              <w:jc w:val="center"/>
              <w:rPr>
                <w:rFonts w:ascii="Arial Narrow" w:hAnsi="Arial Narrow"/>
                <w:b/>
                <w:bCs/>
                <w:sz w:val="20"/>
              </w:rPr>
            </w:pPr>
            <w:r w:rsidRPr="00D15548">
              <w:rPr>
                <w:rFonts w:ascii="Arial Narrow" w:hAnsi="Arial Narrow"/>
                <w:b/>
                <w:bCs/>
                <w:sz w:val="20"/>
              </w:rPr>
              <w:t>non-PBS subgroup</w:t>
            </w:r>
          </w:p>
          <w:p w:rsidR="00F61E24" w:rsidRPr="00D15548" w:rsidRDefault="00F61E24" w:rsidP="00E35CCE">
            <w:pPr>
              <w:jc w:val="center"/>
              <w:rPr>
                <w:rFonts w:ascii="Arial Narrow" w:hAnsi="Arial Narrow"/>
                <w:b/>
                <w:bCs/>
                <w:sz w:val="20"/>
              </w:rPr>
            </w:pPr>
            <w:r w:rsidRPr="00D15548">
              <w:rPr>
                <w:rFonts w:ascii="Arial Narrow" w:hAnsi="Arial Narrow"/>
                <w:b/>
                <w:bCs/>
                <w:sz w:val="20"/>
              </w:rPr>
              <w:t xml:space="preserve">(PSA≥114ng/mL, </w:t>
            </w:r>
          </w:p>
          <w:p w:rsidR="00F61E24" w:rsidRPr="005C0DF8" w:rsidRDefault="00F61E24" w:rsidP="00E35CCE">
            <w:pPr>
              <w:jc w:val="center"/>
              <w:rPr>
                <w:rFonts w:ascii="Arial Narrow" w:hAnsi="Arial Narrow"/>
                <w:sz w:val="20"/>
                <w:vertAlign w:val="superscript"/>
              </w:rPr>
            </w:pPr>
            <w:r w:rsidRPr="00D15548">
              <w:rPr>
                <w:rFonts w:ascii="Arial Narrow" w:hAnsi="Arial Narrow"/>
                <w:b/>
                <w:bCs/>
                <w:sz w:val="20"/>
              </w:rPr>
              <w:t>BPI-SF Q3 score: 3-4)</w:t>
            </w:r>
          </w:p>
        </w:tc>
        <w:tc>
          <w:tcPr>
            <w:tcW w:w="1539" w:type="pct"/>
            <w:gridSpan w:val="2"/>
            <w:vAlign w:val="center"/>
          </w:tcPr>
          <w:p w:rsidR="00F61E24" w:rsidRPr="00D15548" w:rsidRDefault="00F61E24" w:rsidP="00E35CCE">
            <w:pPr>
              <w:jc w:val="center"/>
              <w:rPr>
                <w:rFonts w:ascii="Arial Narrow" w:hAnsi="Arial Narrow"/>
                <w:b/>
                <w:bCs/>
                <w:sz w:val="20"/>
              </w:rPr>
            </w:pPr>
            <w:r w:rsidRPr="00D15548">
              <w:rPr>
                <w:rFonts w:ascii="Arial Narrow" w:hAnsi="Arial Narrow"/>
                <w:b/>
                <w:bCs/>
                <w:sz w:val="20"/>
              </w:rPr>
              <w:t>PBS subgroup</w:t>
            </w:r>
          </w:p>
          <w:p w:rsidR="00F61E24" w:rsidRPr="00D15548" w:rsidRDefault="00F61E24" w:rsidP="00E35CCE">
            <w:pPr>
              <w:jc w:val="center"/>
              <w:rPr>
                <w:rFonts w:ascii="Arial Narrow" w:hAnsi="Arial Narrow"/>
                <w:b/>
                <w:bCs/>
                <w:sz w:val="20"/>
              </w:rPr>
            </w:pPr>
            <w:r w:rsidRPr="00D15548">
              <w:rPr>
                <w:rFonts w:ascii="Arial Narrow" w:hAnsi="Arial Narrow"/>
                <w:b/>
                <w:bCs/>
                <w:sz w:val="20"/>
              </w:rPr>
              <w:t xml:space="preserve">(PSA&lt;114ng/mL, </w:t>
            </w:r>
          </w:p>
          <w:p w:rsidR="00F61E24" w:rsidRPr="005C0DF8" w:rsidRDefault="00F61E24" w:rsidP="00E35CCE">
            <w:pPr>
              <w:jc w:val="center"/>
              <w:rPr>
                <w:rFonts w:ascii="Arial Narrow" w:hAnsi="Arial Narrow"/>
                <w:b/>
                <w:bCs/>
                <w:sz w:val="20"/>
              </w:rPr>
            </w:pPr>
            <w:r w:rsidRPr="00D15548">
              <w:rPr>
                <w:rFonts w:ascii="Arial Narrow" w:hAnsi="Arial Narrow"/>
                <w:b/>
                <w:bCs/>
                <w:sz w:val="20"/>
              </w:rPr>
              <w:t>BPI-SF Q3 score: 0-1)</w:t>
            </w:r>
          </w:p>
        </w:tc>
      </w:tr>
      <w:tr w:rsidR="00F61E24" w:rsidRPr="008F0598" w:rsidTr="00274A61">
        <w:trPr>
          <w:trHeight w:val="164"/>
          <w:tblHeader/>
        </w:trPr>
        <w:tc>
          <w:tcPr>
            <w:tcW w:w="796" w:type="pct"/>
            <w:vMerge/>
          </w:tcPr>
          <w:p w:rsidR="00F61E24" w:rsidRPr="005C0DF8" w:rsidRDefault="00F61E24" w:rsidP="00E35CCE">
            <w:pPr>
              <w:rPr>
                <w:rFonts w:ascii="Arial Narrow" w:hAnsi="Arial Narrow"/>
                <w:sz w:val="20"/>
              </w:rPr>
            </w:pPr>
          </w:p>
        </w:tc>
        <w:tc>
          <w:tcPr>
            <w:tcW w:w="582" w:type="pct"/>
            <w:vAlign w:val="center"/>
          </w:tcPr>
          <w:p w:rsidR="00F61E24" w:rsidRPr="00D15548" w:rsidRDefault="00F61E24" w:rsidP="00E35CCE">
            <w:pPr>
              <w:jc w:val="center"/>
              <w:rPr>
                <w:rFonts w:ascii="Arial Narrow" w:hAnsi="Arial Narrow"/>
                <w:b/>
                <w:bCs/>
                <w:sz w:val="20"/>
              </w:rPr>
            </w:pPr>
            <w:r w:rsidRPr="00D15548">
              <w:rPr>
                <w:rFonts w:ascii="Arial Narrow" w:hAnsi="Arial Narrow"/>
                <w:b/>
                <w:bCs/>
                <w:sz w:val="20"/>
              </w:rPr>
              <w:t>AB</w:t>
            </w:r>
          </w:p>
          <w:p w:rsidR="00F61E24" w:rsidRPr="005C0DF8" w:rsidRDefault="005C0DF8" w:rsidP="00E35CCE">
            <w:pPr>
              <w:jc w:val="center"/>
              <w:rPr>
                <w:rFonts w:ascii="Arial Narrow" w:hAnsi="Arial Narrow"/>
                <w:b/>
                <w:bCs/>
                <w:sz w:val="20"/>
                <w:highlight w:val="black"/>
              </w:rPr>
            </w:pPr>
            <w:r>
              <w:rPr>
                <w:rFonts w:ascii="Arial Narrow" w:hAnsi="Arial Narrow"/>
                <w:b/>
                <w:bCs/>
                <w:noProof/>
                <w:color w:val="000000"/>
                <w:sz w:val="20"/>
                <w:highlight w:val="black"/>
              </w:rPr>
              <w:t>''''''''''''''</w:t>
            </w:r>
          </w:p>
        </w:tc>
        <w:tc>
          <w:tcPr>
            <w:tcW w:w="584" w:type="pct"/>
            <w:vAlign w:val="center"/>
          </w:tcPr>
          <w:p w:rsidR="00F61E24" w:rsidRPr="00D15548" w:rsidRDefault="00F61E24" w:rsidP="00E35CCE">
            <w:pPr>
              <w:jc w:val="center"/>
              <w:rPr>
                <w:rFonts w:ascii="Arial Narrow" w:hAnsi="Arial Narrow"/>
                <w:b/>
                <w:bCs/>
                <w:sz w:val="20"/>
              </w:rPr>
            </w:pPr>
            <w:r w:rsidRPr="00D15548">
              <w:rPr>
                <w:rFonts w:ascii="Arial Narrow" w:hAnsi="Arial Narrow"/>
                <w:b/>
                <w:bCs/>
                <w:sz w:val="20"/>
              </w:rPr>
              <w:t>PLA</w:t>
            </w:r>
          </w:p>
          <w:p w:rsidR="00F61E24" w:rsidRPr="005C0DF8" w:rsidRDefault="005C0DF8" w:rsidP="00E35CCE">
            <w:pPr>
              <w:jc w:val="center"/>
              <w:rPr>
                <w:rFonts w:ascii="Arial Narrow" w:hAnsi="Arial Narrow"/>
                <w:b/>
                <w:bCs/>
                <w:sz w:val="20"/>
                <w:highlight w:val="black"/>
              </w:rPr>
            </w:pPr>
            <w:r>
              <w:rPr>
                <w:rFonts w:ascii="Arial Narrow" w:hAnsi="Arial Narrow"/>
                <w:b/>
                <w:bCs/>
                <w:noProof/>
                <w:color w:val="000000"/>
                <w:sz w:val="20"/>
                <w:highlight w:val="black"/>
              </w:rPr>
              <w:t>''''''''''''''</w:t>
            </w:r>
          </w:p>
        </w:tc>
        <w:tc>
          <w:tcPr>
            <w:tcW w:w="749" w:type="pct"/>
            <w:vAlign w:val="center"/>
          </w:tcPr>
          <w:p w:rsidR="00F61E24" w:rsidRPr="00D15548" w:rsidRDefault="00F61E24" w:rsidP="00E35CCE">
            <w:pPr>
              <w:jc w:val="center"/>
              <w:rPr>
                <w:rFonts w:ascii="Arial Narrow" w:hAnsi="Arial Narrow"/>
                <w:b/>
                <w:bCs/>
                <w:sz w:val="20"/>
              </w:rPr>
            </w:pPr>
            <w:r w:rsidRPr="00D15548">
              <w:rPr>
                <w:rFonts w:ascii="Arial Narrow" w:hAnsi="Arial Narrow"/>
                <w:b/>
                <w:bCs/>
                <w:sz w:val="20"/>
              </w:rPr>
              <w:t>AB</w:t>
            </w:r>
          </w:p>
          <w:p w:rsidR="00F61E24" w:rsidRPr="005C0DF8" w:rsidRDefault="005C0DF8" w:rsidP="00E35CCE">
            <w:pPr>
              <w:jc w:val="center"/>
              <w:rPr>
                <w:rFonts w:ascii="Arial Narrow" w:hAnsi="Arial Narrow"/>
                <w:b/>
                <w:bCs/>
                <w:sz w:val="20"/>
                <w:highlight w:val="black"/>
              </w:rPr>
            </w:pPr>
            <w:r>
              <w:rPr>
                <w:rFonts w:ascii="Arial Narrow" w:hAnsi="Arial Narrow"/>
                <w:b/>
                <w:bCs/>
                <w:noProof/>
                <w:color w:val="000000"/>
                <w:sz w:val="20"/>
                <w:highlight w:val="black"/>
              </w:rPr>
              <w:t>''''''''''''''''</w:t>
            </w:r>
          </w:p>
        </w:tc>
        <w:tc>
          <w:tcPr>
            <w:tcW w:w="750" w:type="pct"/>
            <w:vAlign w:val="center"/>
          </w:tcPr>
          <w:p w:rsidR="00F61E24" w:rsidRPr="00D15548" w:rsidRDefault="00F61E24" w:rsidP="00E35CCE">
            <w:pPr>
              <w:jc w:val="center"/>
              <w:rPr>
                <w:rFonts w:ascii="Arial Narrow" w:hAnsi="Arial Narrow"/>
                <w:b/>
                <w:bCs/>
                <w:sz w:val="20"/>
              </w:rPr>
            </w:pPr>
            <w:r w:rsidRPr="00D15548">
              <w:rPr>
                <w:rFonts w:ascii="Arial Narrow" w:hAnsi="Arial Narrow"/>
                <w:b/>
                <w:bCs/>
                <w:sz w:val="20"/>
              </w:rPr>
              <w:t>PLA</w:t>
            </w:r>
          </w:p>
          <w:p w:rsidR="00F61E24" w:rsidRPr="005C0DF8" w:rsidRDefault="005C0DF8" w:rsidP="00E35CCE">
            <w:pPr>
              <w:jc w:val="center"/>
              <w:rPr>
                <w:rFonts w:ascii="Arial Narrow" w:hAnsi="Arial Narrow"/>
                <w:b/>
                <w:bCs/>
                <w:sz w:val="20"/>
                <w:highlight w:val="black"/>
              </w:rPr>
            </w:pPr>
            <w:r>
              <w:rPr>
                <w:rFonts w:ascii="Arial Narrow" w:hAnsi="Arial Narrow"/>
                <w:b/>
                <w:bCs/>
                <w:noProof/>
                <w:color w:val="000000"/>
                <w:sz w:val="20"/>
                <w:highlight w:val="black"/>
              </w:rPr>
              <w:t>'''''''''''''''</w:t>
            </w:r>
          </w:p>
        </w:tc>
        <w:tc>
          <w:tcPr>
            <w:tcW w:w="749" w:type="pct"/>
            <w:vAlign w:val="center"/>
          </w:tcPr>
          <w:p w:rsidR="00F61E24" w:rsidRPr="00D15548" w:rsidRDefault="00F61E24" w:rsidP="00E35CCE">
            <w:pPr>
              <w:jc w:val="center"/>
              <w:rPr>
                <w:rFonts w:ascii="Arial Narrow" w:hAnsi="Arial Narrow"/>
                <w:b/>
                <w:bCs/>
                <w:sz w:val="20"/>
              </w:rPr>
            </w:pPr>
            <w:r w:rsidRPr="00D15548">
              <w:rPr>
                <w:rFonts w:ascii="Arial Narrow" w:hAnsi="Arial Narrow"/>
                <w:b/>
                <w:bCs/>
                <w:sz w:val="20"/>
              </w:rPr>
              <w:t>AB</w:t>
            </w:r>
          </w:p>
          <w:p w:rsidR="00F61E24" w:rsidRPr="005C0DF8" w:rsidRDefault="005C0DF8" w:rsidP="00E35CCE">
            <w:pPr>
              <w:jc w:val="center"/>
              <w:rPr>
                <w:rFonts w:ascii="Arial Narrow" w:hAnsi="Arial Narrow"/>
                <w:b/>
                <w:bCs/>
                <w:sz w:val="20"/>
                <w:highlight w:val="black"/>
              </w:rPr>
            </w:pPr>
            <w:r>
              <w:rPr>
                <w:rFonts w:ascii="Arial Narrow" w:hAnsi="Arial Narrow"/>
                <w:b/>
                <w:bCs/>
                <w:noProof/>
                <w:color w:val="000000"/>
                <w:sz w:val="20"/>
                <w:highlight w:val="black"/>
              </w:rPr>
              <w:t>'''''''''''''''</w:t>
            </w:r>
          </w:p>
        </w:tc>
        <w:tc>
          <w:tcPr>
            <w:tcW w:w="790" w:type="pct"/>
            <w:vAlign w:val="center"/>
          </w:tcPr>
          <w:p w:rsidR="00F61E24" w:rsidRPr="005C0DF8" w:rsidRDefault="00F61E24" w:rsidP="00E35CCE">
            <w:pPr>
              <w:jc w:val="center"/>
              <w:rPr>
                <w:rFonts w:ascii="Arial Narrow" w:hAnsi="Arial Narrow"/>
                <w:b/>
                <w:bCs/>
                <w:sz w:val="20"/>
              </w:rPr>
            </w:pPr>
            <w:r w:rsidRPr="00D15548">
              <w:rPr>
                <w:rFonts w:ascii="Arial Narrow" w:hAnsi="Arial Narrow"/>
                <w:b/>
                <w:bCs/>
                <w:sz w:val="20"/>
              </w:rPr>
              <w:t>PLA</w:t>
            </w:r>
          </w:p>
          <w:p w:rsidR="00F61E24" w:rsidRPr="005C0DF8" w:rsidRDefault="005C0DF8" w:rsidP="00E35CCE">
            <w:pPr>
              <w:jc w:val="center"/>
              <w:rPr>
                <w:rFonts w:ascii="Arial Narrow" w:hAnsi="Arial Narrow"/>
                <w:b/>
                <w:bCs/>
                <w:sz w:val="20"/>
                <w:highlight w:val="black"/>
              </w:rPr>
            </w:pPr>
            <w:r>
              <w:rPr>
                <w:rFonts w:ascii="Arial Narrow" w:hAnsi="Arial Narrow"/>
                <w:b/>
                <w:bCs/>
                <w:noProof/>
                <w:color w:val="000000"/>
                <w:sz w:val="20"/>
                <w:highlight w:val="black"/>
              </w:rPr>
              <w:t>'''''''''''''''</w:t>
            </w:r>
          </w:p>
        </w:tc>
      </w:tr>
      <w:tr w:rsidR="00F61E24" w:rsidRPr="008F0598" w:rsidTr="00E35CCE">
        <w:trPr>
          <w:trHeight w:val="249"/>
        </w:trPr>
        <w:tc>
          <w:tcPr>
            <w:tcW w:w="796" w:type="pct"/>
          </w:tcPr>
          <w:p w:rsidR="00F61E24" w:rsidRPr="005C0DF8" w:rsidRDefault="00F61E24" w:rsidP="00E35CCE">
            <w:pPr>
              <w:rPr>
                <w:rFonts w:ascii="Arial Narrow" w:hAnsi="Arial Narrow"/>
                <w:sz w:val="20"/>
              </w:rPr>
            </w:pPr>
            <w:r w:rsidRPr="00D15548">
              <w:rPr>
                <w:rFonts w:ascii="Arial Narrow" w:hAnsi="Arial Narrow"/>
                <w:sz w:val="20"/>
              </w:rPr>
              <w:t>Event</w:t>
            </w:r>
          </w:p>
        </w:tc>
        <w:tc>
          <w:tcPr>
            <w:tcW w:w="582" w:type="pct"/>
            <w:vAlign w:val="center"/>
          </w:tcPr>
          <w:p w:rsidR="00F61E24" w:rsidRPr="005C0DF8" w:rsidRDefault="005C0DF8" w:rsidP="00E35CCE">
            <w:pPr>
              <w:jc w:val="center"/>
              <w:rPr>
                <w:rFonts w:ascii="Arial Narrow" w:hAnsi="Arial Narrow"/>
                <w:sz w:val="20"/>
                <w:highlight w:val="black"/>
              </w:rPr>
            </w:pPr>
            <w:r>
              <w:rPr>
                <w:rFonts w:ascii="Arial Narrow" w:hAnsi="Arial Narrow"/>
                <w:noProof/>
                <w:color w:val="000000"/>
                <w:sz w:val="20"/>
                <w:highlight w:val="black"/>
              </w:rPr>
              <w:t>''''''''' ''''''''''''''''''</w:t>
            </w:r>
          </w:p>
        </w:tc>
        <w:tc>
          <w:tcPr>
            <w:tcW w:w="584" w:type="pct"/>
            <w:vAlign w:val="center"/>
          </w:tcPr>
          <w:p w:rsidR="00F61E24" w:rsidRPr="005C0DF8" w:rsidRDefault="005C0DF8" w:rsidP="00E35CCE">
            <w:pPr>
              <w:jc w:val="center"/>
              <w:rPr>
                <w:rFonts w:ascii="Arial Narrow" w:hAnsi="Arial Narrow"/>
                <w:sz w:val="20"/>
                <w:highlight w:val="black"/>
              </w:rPr>
            </w:pPr>
            <w:r>
              <w:rPr>
                <w:rFonts w:ascii="Arial Narrow" w:hAnsi="Arial Narrow"/>
                <w:noProof/>
                <w:color w:val="000000"/>
                <w:sz w:val="20"/>
                <w:highlight w:val="black"/>
              </w:rPr>
              <w:t>'''''''''' '''''''''''''''''</w:t>
            </w:r>
          </w:p>
        </w:tc>
        <w:tc>
          <w:tcPr>
            <w:tcW w:w="749" w:type="pct"/>
            <w:vAlign w:val="center"/>
          </w:tcPr>
          <w:p w:rsidR="00F61E24" w:rsidRPr="005C0DF8" w:rsidRDefault="005C0DF8" w:rsidP="00E35CCE">
            <w:pPr>
              <w:jc w:val="center"/>
              <w:rPr>
                <w:rFonts w:ascii="Arial Narrow" w:hAnsi="Arial Narrow"/>
                <w:sz w:val="20"/>
                <w:highlight w:val="black"/>
              </w:rPr>
            </w:pPr>
            <w:r>
              <w:rPr>
                <w:rFonts w:ascii="Arial Narrow" w:hAnsi="Arial Narrow"/>
                <w:noProof/>
                <w:color w:val="000000"/>
                <w:sz w:val="20"/>
                <w:highlight w:val="black"/>
              </w:rPr>
              <w:t>'''''''''' ''''''''''''''''''''</w:t>
            </w:r>
          </w:p>
        </w:tc>
        <w:tc>
          <w:tcPr>
            <w:tcW w:w="750" w:type="pct"/>
            <w:vAlign w:val="center"/>
          </w:tcPr>
          <w:p w:rsidR="00F61E24" w:rsidRPr="005C0DF8" w:rsidRDefault="005C0DF8" w:rsidP="00E35CCE">
            <w:pPr>
              <w:jc w:val="center"/>
              <w:rPr>
                <w:rFonts w:ascii="Arial Narrow" w:hAnsi="Arial Narrow"/>
                <w:sz w:val="20"/>
                <w:highlight w:val="black"/>
              </w:rPr>
            </w:pPr>
            <w:r>
              <w:rPr>
                <w:rFonts w:ascii="Arial Narrow" w:hAnsi="Arial Narrow"/>
                <w:noProof/>
                <w:color w:val="000000"/>
                <w:sz w:val="20"/>
                <w:highlight w:val="black"/>
              </w:rPr>
              <w:t>'''''''''' '''''''''''''''''''</w:t>
            </w:r>
          </w:p>
        </w:tc>
        <w:tc>
          <w:tcPr>
            <w:tcW w:w="749" w:type="pct"/>
            <w:vAlign w:val="center"/>
          </w:tcPr>
          <w:p w:rsidR="00F61E24" w:rsidRPr="005C0DF8" w:rsidRDefault="005C0DF8" w:rsidP="00E35CCE">
            <w:pPr>
              <w:jc w:val="center"/>
              <w:rPr>
                <w:rFonts w:ascii="Arial Narrow" w:hAnsi="Arial Narrow"/>
                <w:sz w:val="20"/>
                <w:highlight w:val="black"/>
              </w:rPr>
            </w:pPr>
            <w:r>
              <w:rPr>
                <w:rFonts w:ascii="Arial Narrow" w:hAnsi="Arial Narrow"/>
                <w:noProof/>
                <w:color w:val="000000"/>
                <w:sz w:val="20"/>
                <w:highlight w:val="black"/>
              </w:rPr>
              <w:t>''''' ''''''''''''''''''''</w:t>
            </w:r>
          </w:p>
        </w:tc>
        <w:tc>
          <w:tcPr>
            <w:tcW w:w="790" w:type="pct"/>
            <w:vAlign w:val="center"/>
          </w:tcPr>
          <w:p w:rsidR="00F61E24" w:rsidRPr="005C0DF8" w:rsidRDefault="005C0DF8" w:rsidP="00E35CCE">
            <w:pPr>
              <w:jc w:val="center"/>
              <w:rPr>
                <w:rFonts w:ascii="Arial Narrow" w:hAnsi="Arial Narrow"/>
                <w:sz w:val="20"/>
                <w:highlight w:val="black"/>
              </w:rPr>
            </w:pPr>
            <w:r>
              <w:rPr>
                <w:rFonts w:ascii="Arial Narrow" w:hAnsi="Arial Narrow"/>
                <w:noProof/>
                <w:color w:val="000000"/>
                <w:sz w:val="20"/>
                <w:highlight w:val="black"/>
              </w:rPr>
              <w:t>''''''''' ''''''''''''''''''</w:t>
            </w:r>
          </w:p>
        </w:tc>
      </w:tr>
      <w:tr w:rsidR="00F61E24" w:rsidRPr="008F0598" w:rsidTr="00E35CCE">
        <w:trPr>
          <w:trHeight w:val="267"/>
        </w:trPr>
        <w:tc>
          <w:tcPr>
            <w:tcW w:w="796" w:type="pct"/>
          </w:tcPr>
          <w:p w:rsidR="00F61E24" w:rsidRPr="005C0DF8" w:rsidRDefault="00F61E24" w:rsidP="00E35CCE">
            <w:pPr>
              <w:rPr>
                <w:rFonts w:ascii="Arial Narrow" w:hAnsi="Arial Narrow"/>
                <w:sz w:val="20"/>
              </w:rPr>
            </w:pPr>
            <w:r w:rsidRPr="00D15548">
              <w:rPr>
                <w:rFonts w:ascii="Arial Narrow" w:hAnsi="Arial Narrow"/>
                <w:sz w:val="20"/>
              </w:rPr>
              <w:t>Censored</w:t>
            </w:r>
          </w:p>
        </w:tc>
        <w:tc>
          <w:tcPr>
            <w:tcW w:w="582" w:type="pct"/>
            <w:vAlign w:val="center"/>
          </w:tcPr>
          <w:p w:rsidR="00F61E24" w:rsidRPr="005C0DF8" w:rsidRDefault="005C0DF8" w:rsidP="00E35CCE">
            <w:pPr>
              <w:jc w:val="center"/>
              <w:rPr>
                <w:rFonts w:ascii="Arial Narrow" w:hAnsi="Arial Narrow"/>
                <w:sz w:val="20"/>
                <w:highlight w:val="black"/>
              </w:rPr>
            </w:pPr>
            <w:r>
              <w:rPr>
                <w:rFonts w:ascii="Arial Narrow" w:hAnsi="Arial Narrow"/>
                <w:noProof/>
                <w:color w:val="000000"/>
                <w:sz w:val="20"/>
                <w:highlight w:val="black"/>
              </w:rPr>
              <w:t>''''''''' ''''''''''''''''''</w:t>
            </w:r>
          </w:p>
        </w:tc>
        <w:tc>
          <w:tcPr>
            <w:tcW w:w="584" w:type="pct"/>
            <w:vAlign w:val="center"/>
          </w:tcPr>
          <w:p w:rsidR="00F61E24" w:rsidRPr="005C0DF8" w:rsidRDefault="005C0DF8" w:rsidP="00E35CCE">
            <w:pPr>
              <w:jc w:val="center"/>
              <w:rPr>
                <w:rFonts w:ascii="Arial Narrow" w:hAnsi="Arial Narrow"/>
                <w:sz w:val="20"/>
                <w:highlight w:val="black"/>
              </w:rPr>
            </w:pPr>
            <w:r>
              <w:rPr>
                <w:rFonts w:ascii="Arial Narrow" w:hAnsi="Arial Narrow"/>
                <w:noProof/>
                <w:color w:val="000000"/>
                <w:sz w:val="20"/>
                <w:highlight w:val="black"/>
              </w:rPr>
              <w:t>'''''''''' '''''''''''''''''</w:t>
            </w:r>
          </w:p>
        </w:tc>
        <w:tc>
          <w:tcPr>
            <w:tcW w:w="749" w:type="pct"/>
            <w:vAlign w:val="center"/>
          </w:tcPr>
          <w:p w:rsidR="00F61E24" w:rsidRPr="005C0DF8" w:rsidRDefault="005C0DF8" w:rsidP="00E35CCE">
            <w:pPr>
              <w:jc w:val="center"/>
              <w:rPr>
                <w:rFonts w:ascii="Arial Narrow" w:hAnsi="Arial Narrow"/>
                <w:sz w:val="20"/>
                <w:highlight w:val="black"/>
              </w:rPr>
            </w:pPr>
            <w:r>
              <w:rPr>
                <w:rFonts w:ascii="Arial Narrow" w:hAnsi="Arial Narrow"/>
                <w:noProof/>
                <w:color w:val="000000"/>
                <w:sz w:val="20"/>
                <w:highlight w:val="black"/>
              </w:rPr>
              <w:t>''''''''' ''''''''''''''''''</w:t>
            </w:r>
          </w:p>
        </w:tc>
        <w:tc>
          <w:tcPr>
            <w:tcW w:w="750" w:type="pct"/>
            <w:vAlign w:val="center"/>
          </w:tcPr>
          <w:p w:rsidR="00F61E24" w:rsidRPr="005C0DF8" w:rsidRDefault="005C0DF8" w:rsidP="00E35CCE">
            <w:pPr>
              <w:jc w:val="center"/>
              <w:rPr>
                <w:rFonts w:ascii="Arial Narrow" w:hAnsi="Arial Narrow"/>
                <w:sz w:val="20"/>
                <w:highlight w:val="black"/>
              </w:rPr>
            </w:pPr>
            <w:r>
              <w:rPr>
                <w:rFonts w:ascii="Arial Narrow" w:hAnsi="Arial Narrow"/>
                <w:noProof/>
                <w:color w:val="000000"/>
                <w:sz w:val="20"/>
                <w:highlight w:val="black"/>
              </w:rPr>
              <w:t>'''''''''' '''''''''''''''''''</w:t>
            </w:r>
          </w:p>
        </w:tc>
        <w:tc>
          <w:tcPr>
            <w:tcW w:w="749" w:type="pct"/>
            <w:vAlign w:val="center"/>
          </w:tcPr>
          <w:p w:rsidR="00F61E24" w:rsidRPr="005C0DF8" w:rsidRDefault="005C0DF8" w:rsidP="00E35CCE">
            <w:pPr>
              <w:jc w:val="center"/>
              <w:rPr>
                <w:rFonts w:ascii="Arial Narrow" w:hAnsi="Arial Narrow"/>
                <w:sz w:val="20"/>
                <w:highlight w:val="black"/>
              </w:rPr>
            </w:pPr>
            <w:r>
              <w:rPr>
                <w:rFonts w:ascii="Arial Narrow" w:hAnsi="Arial Narrow"/>
                <w:noProof/>
                <w:color w:val="000000"/>
                <w:sz w:val="20"/>
                <w:highlight w:val="black"/>
              </w:rPr>
              <w:t>''''''''' ''''''''''''''''''''</w:t>
            </w:r>
          </w:p>
        </w:tc>
        <w:tc>
          <w:tcPr>
            <w:tcW w:w="790" w:type="pct"/>
            <w:vAlign w:val="center"/>
          </w:tcPr>
          <w:p w:rsidR="00F61E24" w:rsidRPr="005C0DF8" w:rsidRDefault="005C0DF8" w:rsidP="00E35CCE">
            <w:pPr>
              <w:jc w:val="center"/>
              <w:rPr>
                <w:rFonts w:ascii="Arial Narrow" w:hAnsi="Arial Narrow"/>
                <w:sz w:val="20"/>
                <w:highlight w:val="black"/>
              </w:rPr>
            </w:pPr>
            <w:r>
              <w:rPr>
                <w:rFonts w:ascii="Arial Narrow" w:hAnsi="Arial Narrow"/>
                <w:noProof/>
                <w:color w:val="000000"/>
                <w:sz w:val="20"/>
                <w:highlight w:val="black"/>
              </w:rPr>
              <w:t>''''''''' ''''''''''''''''''</w:t>
            </w:r>
          </w:p>
        </w:tc>
      </w:tr>
      <w:tr w:rsidR="00F61E24" w:rsidRPr="008F0598" w:rsidTr="00E35CCE">
        <w:trPr>
          <w:trHeight w:val="516"/>
        </w:trPr>
        <w:tc>
          <w:tcPr>
            <w:tcW w:w="796" w:type="pct"/>
          </w:tcPr>
          <w:p w:rsidR="00F61E24" w:rsidRPr="005C0DF8" w:rsidRDefault="00F61E24" w:rsidP="00E35CCE">
            <w:pPr>
              <w:rPr>
                <w:rFonts w:ascii="Arial Narrow" w:hAnsi="Arial Narrow"/>
                <w:sz w:val="20"/>
              </w:rPr>
            </w:pPr>
            <w:r w:rsidRPr="00D15548">
              <w:rPr>
                <w:rFonts w:ascii="Arial Narrow" w:hAnsi="Arial Narrow"/>
                <w:sz w:val="20"/>
              </w:rPr>
              <w:t>Median survival (months)</w:t>
            </w:r>
          </w:p>
        </w:tc>
        <w:tc>
          <w:tcPr>
            <w:tcW w:w="582" w:type="pct"/>
            <w:vAlign w:val="center"/>
          </w:tcPr>
          <w:p w:rsidR="00F61E24" w:rsidRPr="005C0DF8" w:rsidRDefault="005C0DF8" w:rsidP="00E35CCE">
            <w:pPr>
              <w:jc w:val="center"/>
              <w:rPr>
                <w:rFonts w:ascii="Arial Narrow" w:hAnsi="Arial Narrow"/>
                <w:sz w:val="20"/>
                <w:highlight w:val="black"/>
              </w:rPr>
            </w:pPr>
            <w:r>
              <w:rPr>
                <w:rFonts w:ascii="Arial Narrow" w:hAnsi="Arial Narrow"/>
                <w:noProof/>
                <w:color w:val="000000"/>
                <w:sz w:val="20"/>
                <w:highlight w:val="black"/>
              </w:rPr>
              <w:t>''''''''''''''</w:t>
            </w:r>
          </w:p>
          <w:p w:rsidR="00F61E24" w:rsidRPr="005C0DF8" w:rsidRDefault="005C0DF8" w:rsidP="00E35CCE">
            <w:pPr>
              <w:jc w:val="center"/>
              <w:rPr>
                <w:rFonts w:ascii="Arial Narrow" w:hAnsi="Arial Narrow"/>
                <w:sz w:val="20"/>
                <w:highlight w:val="black"/>
              </w:rPr>
            </w:pPr>
            <w:r>
              <w:rPr>
                <w:rFonts w:ascii="Arial Narrow" w:hAnsi="Arial Narrow"/>
                <w:noProof/>
                <w:color w:val="000000"/>
                <w:sz w:val="20"/>
                <w:highlight w:val="black"/>
              </w:rPr>
              <w:t>'''''''''''''''''' ''''''''''''''''</w:t>
            </w:r>
          </w:p>
        </w:tc>
        <w:tc>
          <w:tcPr>
            <w:tcW w:w="584" w:type="pct"/>
            <w:vAlign w:val="center"/>
          </w:tcPr>
          <w:p w:rsidR="00F61E24" w:rsidRPr="005C0DF8" w:rsidRDefault="005C0DF8" w:rsidP="00E35CCE">
            <w:pPr>
              <w:jc w:val="center"/>
              <w:rPr>
                <w:rFonts w:ascii="Arial Narrow" w:hAnsi="Arial Narrow"/>
                <w:sz w:val="20"/>
                <w:highlight w:val="black"/>
              </w:rPr>
            </w:pPr>
            <w:r>
              <w:rPr>
                <w:rFonts w:ascii="Arial Narrow" w:hAnsi="Arial Narrow"/>
                <w:noProof/>
                <w:color w:val="000000"/>
                <w:sz w:val="20"/>
                <w:highlight w:val="black"/>
              </w:rPr>
              <w:t>'''''''''''''</w:t>
            </w:r>
          </w:p>
          <w:p w:rsidR="00F61E24" w:rsidRPr="005C0DF8" w:rsidRDefault="005C0DF8" w:rsidP="00E35CCE">
            <w:pPr>
              <w:jc w:val="center"/>
              <w:rPr>
                <w:rFonts w:ascii="Arial Narrow" w:hAnsi="Arial Narrow"/>
                <w:sz w:val="20"/>
                <w:highlight w:val="black"/>
              </w:rPr>
            </w:pPr>
            <w:r>
              <w:rPr>
                <w:rFonts w:ascii="Arial Narrow" w:hAnsi="Arial Narrow"/>
                <w:noProof/>
                <w:color w:val="000000"/>
                <w:sz w:val="20"/>
                <w:highlight w:val="black"/>
              </w:rPr>
              <w:t>'''''''''''''''''' ''''''''''''''''</w:t>
            </w:r>
          </w:p>
        </w:tc>
        <w:tc>
          <w:tcPr>
            <w:tcW w:w="749" w:type="pct"/>
            <w:vAlign w:val="center"/>
          </w:tcPr>
          <w:p w:rsidR="00F61E24" w:rsidRPr="005C0DF8" w:rsidRDefault="005C0DF8" w:rsidP="00E35CCE">
            <w:pPr>
              <w:jc w:val="center"/>
              <w:rPr>
                <w:rFonts w:ascii="Arial Narrow" w:hAnsi="Arial Narrow"/>
                <w:sz w:val="20"/>
                <w:highlight w:val="black"/>
              </w:rPr>
            </w:pPr>
            <w:r>
              <w:rPr>
                <w:rFonts w:ascii="Arial Narrow" w:hAnsi="Arial Narrow"/>
                <w:noProof/>
                <w:color w:val="000000"/>
                <w:sz w:val="20"/>
                <w:highlight w:val="black"/>
              </w:rPr>
              <w:t>''''''''''</w:t>
            </w:r>
          </w:p>
          <w:p w:rsidR="00F61E24" w:rsidRPr="005C0DF8" w:rsidRDefault="005C0DF8" w:rsidP="00E35CCE">
            <w:pPr>
              <w:jc w:val="center"/>
              <w:rPr>
                <w:rFonts w:ascii="Arial Narrow" w:hAnsi="Arial Narrow"/>
                <w:sz w:val="20"/>
                <w:highlight w:val="black"/>
              </w:rPr>
            </w:pPr>
            <w:r>
              <w:rPr>
                <w:rFonts w:ascii="Arial Narrow" w:hAnsi="Arial Narrow"/>
                <w:noProof/>
                <w:color w:val="000000"/>
                <w:sz w:val="20"/>
                <w:highlight w:val="black"/>
              </w:rPr>
              <w:t>''''''''''''''' ''''''''''''''</w:t>
            </w:r>
          </w:p>
        </w:tc>
        <w:tc>
          <w:tcPr>
            <w:tcW w:w="750" w:type="pct"/>
            <w:vAlign w:val="center"/>
          </w:tcPr>
          <w:p w:rsidR="00F61E24" w:rsidRPr="005C0DF8" w:rsidRDefault="005C0DF8" w:rsidP="00E35CCE">
            <w:pPr>
              <w:jc w:val="center"/>
              <w:rPr>
                <w:rFonts w:ascii="Arial Narrow" w:hAnsi="Arial Narrow"/>
                <w:sz w:val="20"/>
                <w:highlight w:val="black"/>
              </w:rPr>
            </w:pPr>
            <w:r>
              <w:rPr>
                <w:rFonts w:ascii="Arial Narrow" w:hAnsi="Arial Narrow"/>
                <w:noProof/>
                <w:color w:val="000000"/>
                <w:sz w:val="20"/>
                <w:highlight w:val="black"/>
              </w:rPr>
              <w:t>''''''''''</w:t>
            </w:r>
          </w:p>
          <w:p w:rsidR="00F61E24" w:rsidRPr="005C0DF8" w:rsidRDefault="005C0DF8" w:rsidP="00E35CCE">
            <w:pPr>
              <w:jc w:val="center"/>
              <w:rPr>
                <w:rFonts w:ascii="Arial Narrow" w:hAnsi="Arial Narrow"/>
                <w:sz w:val="20"/>
                <w:highlight w:val="black"/>
              </w:rPr>
            </w:pPr>
            <w:r>
              <w:rPr>
                <w:rFonts w:ascii="Arial Narrow" w:hAnsi="Arial Narrow"/>
                <w:noProof/>
                <w:color w:val="000000"/>
                <w:sz w:val="20"/>
                <w:highlight w:val="black"/>
              </w:rPr>
              <w:t>'''''''''''''' ''''''''''''</w:t>
            </w:r>
          </w:p>
        </w:tc>
        <w:tc>
          <w:tcPr>
            <w:tcW w:w="749" w:type="pct"/>
            <w:vAlign w:val="center"/>
          </w:tcPr>
          <w:p w:rsidR="00F61E24" w:rsidRPr="005C0DF8" w:rsidRDefault="005C0DF8" w:rsidP="00E35CCE">
            <w:pPr>
              <w:jc w:val="center"/>
              <w:rPr>
                <w:rFonts w:ascii="Arial Narrow" w:hAnsi="Arial Narrow"/>
                <w:sz w:val="20"/>
                <w:highlight w:val="black"/>
              </w:rPr>
            </w:pPr>
            <w:r>
              <w:rPr>
                <w:rFonts w:ascii="Arial Narrow" w:hAnsi="Arial Narrow"/>
                <w:noProof/>
                <w:color w:val="000000"/>
                <w:sz w:val="20"/>
                <w:highlight w:val="black"/>
              </w:rPr>
              <w:t>''''''''''' '''</w:t>
            </w:r>
          </w:p>
          <w:p w:rsidR="00F61E24" w:rsidRPr="005C0DF8" w:rsidRDefault="005C0DF8" w:rsidP="00E35CCE">
            <w:pPr>
              <w:jc w:val="center"/>
              <w:rPr>
                <w:rFonts w:ascii="Arial Narrow" w:hAnsi="Arial Narrow"/>
                <w:sz w:val="20"/>
                <w:highlight w:val="black"/>
              </w:rPr>
            </w:pPr>
            <w:r>
              <w:rPr>
                <w:rFonts w:ascii="Arial Narrow" w:hAnsi="Arial Narrow"/>
                <w:noProof/>
                <w:color w:val="000000"/>
                <w:sz w:val="20"/>
                <w:highlight w:val="black"/>
              </w:rPr>
              <w:t>'''''''''' ''''''''''</w:t>
            </w:r>
          </w:p>
        </w:tc>
        <w:tc>
          <w:tcPr>
            <w:tcW w:w="790" w:type="pct"/>
            <w:vAlign w:val="center"/>
          </w:tcPr>
          <w:p w:rsidR="00F61E24" w:rsidRPr="005C0DF8" w:rsidRDefault="005C0DF8" w:rsidP="00E35CCE">
            <w:pPr>
              <w:jc w:val="center"/>
              <w:rPr>
                <w:rFonts w:ascii="Arial Narrow" w:hAnsi="Arial Narrow"/>
                <w:sz w:val="20"/>
                <w:highlight w:val="black"/>
              </w:rPr>
            </w:pPr>
            <w:r>
              <w:rPr>
                <w:rFonts w:ascii="Arial Narrow" w:hAnsi="Arial Narrow"/>
                <w:noProof/>
                <w:color w:val="000000"/>
                <w:sz w:val="20"/>
                <w:highlight w:val="black"/>
              </w:rPr>
              <w:t>'''''''''</w:t>
            </w:r>
          </w:p>
          <w:p w:rsidR="00F61E24" w:rsidRPr="005C0DF8" w:rsidRDefault="005C0DF8" w:rsidP="00E35CCE">
            <w:pPr>
              <w:jc w:val="center"/>
              <w:rPr>
                <w:rFonts w:ascii="Arial Narrow" w:hAnsi="Arial Narrow"/>
                <w:sz w:val="20"/>
                <w:highlight w:val="black"/>
              </w:rPr>
            </w:pPr>
            <w:r>
              <w:rPr>
                <w:rFonts w:ascii="Arial Narrow" w:hAnsi="Arial Narrow"/>
                <w:noProof/>
                <w:color w:val="000000"/>
                <w:sz w:val="20"/>
                <w:highlight w:val="black"/>
              </w:rPr>
              <w:t>'''''''''''''''' ''''''''</w:t>
            </w:r>
          </w:p>
        </w:tc>
      </w:tr>
      <w:tr w:rsidR="00F61E24" w:rsidRPr="008F0598" w:rsidTr="00E35CCE">
        <w:trPr>
          <w:trHeight w:val="249"/>
        </w:trPr>
        <w:tc>
          <w:tcPr>
            <w:tcW w:w="796" w:type="pct"/>
          </w:tcPr>
          <w:p w:rsidR="00F61E24" w:rsidRPr="005C0DF8" w:rsidRDefault="00F61E24" w:rsidP="00E35CCE">
            <w:pPr>
              <w:rPr>
                <w:rFonts w:ascii="Arial Narrow" w:hAnsi="Arial Narrow"/>
                <w:iCs/>
                <w:sz w:val="20"/>
              </w:rPr>
            </w:pPr>
            <w:r w:rsidRPr="00D15548">
              <w:rPr>
                <w:rFonts w:ascii="Arial Narrow" w:hAnsi="Arial Narrow"/>
                <w:iCs/>
                <w:sz w:val="20"/>
              </w:rPr>
              <w:t>Abs. difference</w:t>
            </w:r>
          </w:p>
        </w:tc>
        <w:tc>
          <w:tcPr>
            <w:tcW w:w="1166" w:type="pct"/>
            <w:gridSpan w:val="2"/>
            <w:vAlign w:val="center"/>
          </w:tcPr>
          <w:p w:rsidR="00F61E24" w:rsidRPr="005C0DF8" w:rsidRDefault="005C0DF8" w:rsidP="00E35CCE">
            <w:pPr>
              <w:jc w:val="center"/>
              <w:rPr>
                <w:rFonts w:ascii="Arial Narrow" w:hAnsi="Arial Narrow"/>
                <w:iCs/>
                <w:sz w:val="20"/>
                <w:highlight w:val="black"/>
              </w:rPr>
            </w:pPr>
            <w:r>
              <w:rPr>
                <w:rFonts w:ascii="Arial Narrow" w:hAnsi="Arial Narrow"/>
                <w:iCs/>
                <w:noProof/>
                <w:color w:val="000000"/>
                <w:sz w:val="20"/>
                <w:highlight w:val="black"/>
              </w:rPr>
              <w:t>'''''''''''</w:t>
            </w:r>
          </w:p>
        </w:tc>
        <w:tc>
          <w:tcPr>
            <w:tcW w:w="1499" w:type="pct"/>
            <w:gridSpan w:val="2"/>
            <w:vAlign w:val="center"/>
          </w:tcPr>
          <w:p w:rsidR="00F61E24" w:rsidRPr="005C0DF8" w:rsidRDefault="005C0DF8" w:rsidP="00E35CCE">
            <w:pPr>
              <w:jc w:val="center"/>
              <w:rPr>
                <w:rFonts w:ascii="Arial Narrow" w:hAnsi="Arial Narrow"/>
                <w:iCs/>
                <w:sz w:val="20"/>
                <w:highlight w:val="black"/>
              </w:rPr>
            </w:pPr>
            <w:r>
              <w:rPr>
                <w:rFonts w:ascii="Arial Narrow" w:hAnsi="Arial Narrow"/>
                <w:iCs/>
                <w:noProof/>
                <w:color w:val="000000"/>
                <w:sz w:val="20"/>
                <w:highlight w:val="black"/>
              </w:rPr>
              <w:t>''''''''</w:t>
            </w:r>
          </w:p>
        </w:tc>
        <w:tc>
          <w:tcPr>
            <w:tcW w:w="1539" w:type="pct"/>
            <w:gridSpan w:val="2"/>
            <w:vAlign w:val="center"/>
          </w:tcPr>
          <w:p w:rsidR="00F61E24" w:rsidRPr="005C0DF8" w:rsidRDefault="005C0DF8" w:rsidP="00E35CCE">
            <w:pPr>
              <w:jc w:val="center"/>
              <w:rPr>
                <w:rFonts w:ascii="Arial Narrow" w:hAnsi="Arial Narrow"/>
                <w:iCs/>
                <w:sz w:val="20"/>
                <w:highlight w:val="black"/>
              </w:rPr>
            </w:pPr>
            <w:r>
              <w:rPr>
                <w:rFonts w:ascii="Arial Narrow" w:hAnsi="Arial Narrow"/>
                <w:iCs/>
                <w:noProof/>
                <w:color w:val="000000"/>
                <w:sz w:val="20"/>
                <w:highlight w:val="black"/>
              </w:rPr>
              <w:t>'''''''</w:t>
            </w:r>
          </w:p>
        </w:tc>
      </w:tr>
      <w:tr w:rsidR="00F61E24" w:rsidRPr="008F0598" w:rsidTr="00E35CCE">
        <w:trPr>
          <w:trHeight w:val="249"/>
        </w:trPr>
        <w:tc>
          <w:tcPr>
            <w:tcW w:w="796" w:type="pct"/>
          </w:tcPr>
          <w:p w:rsidR="00F61E24" w:rsidRPr="005C0DF8" w:rsidRDefault="00F61E24" w:rsidP="00E35CCE">
            <w:pPr>
              <w:rPr>
                <w:rFonts w:ascii="Arial Narrow" w:hAnsi="Arial Narrow"/>
                <w:sz w:val="20"/>
              </w:rPr>
            </w:pPr>
            <w:r w:rsidRPr="00D15548">
              <w:rPr>
                <w:rFonts w:ascii="Arial Narrow" w:hAnsi="Arial Narrow"/>
                <w:sz w:val="20"/>
              </w:rPr>
              <w:t>p-value</w:t>
            </w:r>
          </w:p>
        </w:tc>
        <w:tc>
          <w:tcPr>
            <w:tcW w:w="1166" w:type="pct"/>
            <w:gridSpan w:val="2"/>
            <w:vAlign w:val="center"/>
          </w:tcPr>
          <w:p w:rsidR="00F61E24" w:rsidRPr="005C0DF8" w:rsidRDefault="005C0DF8" w:rsidP="00E35CCE">
            <w:pPr>
              <w:jc w:val="center"/>
              <w:rPr>
                <w:rFonts w:ascii="Arial Narrow" w:hAnsi="Arial Narrow"/>
                <w:sz w:val="20"/>
                <w:highlight w:val="black"/>
              </w:rPr>
            </w:pPr>
            <w:r>
              <w:rPr>
                <w:rFonts w:ascii="Arial Narrow" w:hAnsi="Arial Narrow"/>
                <w:noProof/>
                <w:color w:val="000000"/>
                <w:sz w:val="20"/>
                <w:highlight w:val="black"/>
              </w:rPr>
              <w:t>''''''''''''''''' '''</w:t>
            </w:r>
          </w:p>
        </w:tc>
        <w:tc>
          <w:tcPr>
            <w:tcW w:w="1499" w:type="pct"/>
            <w:gridSpan w:val="2"/>
            <w:vAlign w:val="center"/>
          </w:tcPr>
          <w:p w:rsidR="00F61E24" w:rsidRPr="005C0DF8" w:rsidRDefault="005C0DF8" w:rsidP="00E35CCE">
            <w:pPr>
              <w:jc w:val="center"/>
              <w:rPr>
                <w:rFonts w:ascii="Arial Narrow" w:hAnsi="Arial Narrow"/>
                <w:sz w:val="20"/>
                <w:highlight w:val="black"/>
              </w:rPr>
            </w:pPr>
            <w:r>
              <w:rPr>
                <w:rFonts w:ascii="Arial Narrow" w:hAnsi="Arial Narrow"/>
                <w:noProof/>
                <w:color w:val="000000"/>
                <w:sz w:val="20"/>
                <w:highlight w:val="black"/>
              </w:rPr>
              <w:t>'''''''''''''''</w:t>
            </w:r>
          </w:p>
        </w:tc>
        <w:tc>
          <w:tcPr>
            <w:tcW w:w="1539" w:type="pct"/>
            <w:gridSpan w:val="2"/>
            <w:vAlign w:val="center"/>
          </w:tcPr>
          <w:p w:rsidR="00F61E24" w:rsidRPr="005C0DF8" w:rsidRDefault="005C0DF8" w:rsidP="00E35CCE">
            <w:pPr>
              <w:jc w:val="center"/>
              <w:rPr>
                <w:rFonts w:ascii="Arial Narrow" w:hAnsi="Arial Narrow"/>
                <w:b/>
                <w:bCs/>
                <w:sz w:val="20"/>
                <w:highlight w:val="black"/>
              </w:rPr>
            </w:pPr>
            <w:r>
              <w:rPr>
                <w:rFonts w:ascii="Arial Narrow" w:hAnsi="Arial Narrow"/>
                <w:b/>
                <w:bCs/>
                <w:noProof/>
                <w:color w:val="000000"/>
                <w:sz w:val="20"/>
                <w:highlight w:val="black"/>
              </w:rPr>
              <w:t>''''''''''''</w:t>
            </w:r>
          </w:p>
        </w:tc>
      </w:tr>
      <w:tr w:rsidR="00F61E24" w:rsidRPr="008F0598" w:rsidTr="00E35CCE">
        <w:trPr>
          <w:trHeight w:val="267"/>
        </w:trPr>
        <w:tc>
          <w:tcPr>
            <w:tcW w:w="796" w:type="pct"/>
          </w:tcPr>
          <w:p w:rsidR="00F61E24" w:rsidRPr="005C0DF8" w:rsidRDefault="00F61E24" w:rsidP="00E35CCE">
            <w:pPr>
              <w:rPr>
                <w:rFonts w:ascii="Arial Narrow" w:hAnsi="Arial Narrow"/>
                <w:sz w:val="20"/>
                <w:vertAlign w:val="superscript"/>
              </w:rPr>
            </w:pPr>
            <w:r w:rsidRPr="00D15548">
              <w:rPr>
                <w:rFonts w:ascii="Arial Narrow" w:hAnsi="Arial Narrow"/>
                <w:sz w:val="20"/>
              </w:rPr>
              <w:t xml:space="preserve">HR (95%CI) </w:t>
            </w:r>
            <w:r w:rsidRPr="00D15548">
              <w:rPr>
                <w:rFonts w:ascii="Arial Narrow" w:hAnsi="Arial Narrow"/>
                <w:sz w:val="20"/>
                <w:vertAlign w:val="superscript"/>
              </w:rPr>
              <w:t>b</w:t>
            </w:r>
          </w:p>
        </w:tc>
        <w:tc>
          <w:tcPr>
            <w:tcW w:w="1166" w:type="pct"/>
            <w:gridSpan w:val="2"/>
            <w:vAlign w:val="center"/>
          </w:tcPr>
          <w:p w:rsidR="00F61E24" w:rsidRPr="005C0DF8" w:rsidRDefault="005C0DF8" w:rsidP="00E35CCE">
            <w:pPr>
              <w:jc w:val="center"/>
              <w:rPr>
                <w:rFonts w:ascii="Arial Narrow" w:hAnsi="Arial Narrow"/>
                <w:sz w:val="20"/>
                <w:highlight w:val="black"/>
              </w:rPr>
            </w:pPr>
            <w:r>
              <w:rPr>
                <w:rFonts w:ascii="Arial Narrow" w:hAnsi="Arial Narrow"/>
                <w:noProof/>
                <w:color w:val="000000"/>
                <w:sz w:val="20"/>
                <w:highlight w:val="black"/>
              </w:rPr>
              <w:t>''''''''''''''' '''''''''''''''''' ''''''''''''''</w:t>
            </w:r>
          </w:p>
        </w:tc>
        <w:tc>
          <w:tcPr>
            <w:tcW w:w="1499" w:type="pct"/>
            <w:gridSpan w:val="2"/>
            <w:vAlign w:val="center"/>
          </w:tcPr>
          <w:p w:rsidR="00F61E24" w:rsidRPr="005C0DF8" w:rsidRDefault="005C0DF8" w:rsidP="00E35CCE">
            <w:pPr>
              <w:bidi/>
              <w:jc w:val="center"/>
              <w:rPr>
                <w:rFonts w:ascii="Arial Narrow" w:hAnsi="Arial Narrow"/>
                <w:sz w:val="20"/>
                <w:highlight w:val="black"/>
              </w:rPr>
            </w:pPr>
            <w:r>
              <w:rPr>
                <w:rFonts w:ascii="Arial Narrow" w:hAnsi="Arial Narrow"/>
                <w:noProof/>
                <w:color w:val="000000"/>
                <w:sz w:val="20"/>
                <w:highlight w:val="black"/>
              </w:rPr>
              <w:t>''''''''''''' ''''''''''''''' '''''''''''''''</w:t>
            </w:r>
          </w:p>
        </w:tc>
        <w:tc>
          <w:tcPr>
            <w:tcW w:w="1539" w:type="pct"/>
            <w:gridSpan w:val="2"/>
            <w:vAlign w:val="center"/>
          </w:tcPr>
          <w:p w:rsidR="00F61E24" w:rsidRPr="005C0DF8" w:rsidRDefault="005C0DF8" w:rsidP="00E35CCE">
            <w:pPr>
              <w:jc w:val="center"/>
              <w:rPr>
                <w:rFonts w:ascii="Arial Narrow" w:hAnsi="Arial Narrow"/>
                <w:b/>
                <w:bCs/>
                <w:sz w:val="20"/>
                <w:highlight w:val="black"/>
              </w:rPr>
            </w:pPr>
            <w:r>
              <w:rPr>
                <w:rFonts w:ascii="Arial Narrow" w:hAnsi="Arial Narrow"/>
                <w:b/>
                <w:bCs/>
                <w:noProof/>
                <w:color w:val="000000"/>
                <w:sz w:val="20"/>
                <w:highlight w:val="black"/>
              </w:rPr>
              <w:t>''''''''''' '''''''''''''' ''''''''''''</w:t>
            </w:r>
          </w:p>
        </w:tc>
      </w:tr>
      <w:tr w:rsidR="00F61E24" w:rsidRPr="008F0598" w:rsidTr="00E35CCE">
        <w:trPr>
          <w:trHeight w:val="249"/>
        </w:trPr>
        <w:tc>
          <w:tcPr>
            <w:tcW w:w="1962" w:type="pct"/>
            <w:gridSpan w:val="3"/>
            <w:vAlign w:val="center"/>
          </w:tcPr>
          <w:p w:rsidR="00F61E24" w:rsidRPr="005C0DF8" w:rsidRDefault="00F61E24" w:rsidP="00E35CCE">
            <w:pPr>
              <w:jc w:val="right"/>
              <w:rPr>
                <w:rFonts w:ascii="Arial Narrow" w:hAnsi="Arial Narrow"/>
                <w:b/>
                <w:bCs/>
                <w:sz w:val="20"/>
              </w:rPr>
            </w:pPr>
            <w:r w:rsidRPr="00D15548">
              <w:rPr>
                <w:rFonts w:ascii="Arial Narrow" w:hAnsi="Arial Narrow"/>
                <w:b/>
                <w:bCs/>
                <w:sz w:val="20"/>
              </w:rPr>
              <w:t>Treatment interaction</w:t>
            </w:r>
          </w:p>
        </w:tc>
        <w:tc>
          <w:tcPr>
            <w:tcW w:w="3038" w:type="pct"/>
            <w:gridSpan w:val="4"/>
            <w:vAlign w:val="center"/>
          </w:tcPr>
          <w:p w:rsidR="00F61E24" w:rsidRPr="005C0DF8" w:rsidRDefault="005C0DF8" w:rsidP="00E35CCE">
            <w:pPr>
              <w:jc w:val="center"/>
              <w:rPr>
                <w:rFonts w:ascii="Arial Narrow" w:hAnsi="Arial Narrow"/>
                <w:b/>
                <w:bCs/>
                <w:sz w:val="20"/>
                <w:highlight w:val="black"/>
              </w:rPr>
            </w:pPr>
            <w:r>
              <w:rPr>
                <w:rFonts w:ascii="Arial Narrow" w:hAnsi="Arial Narrow"/>
                <w:b/>
                <w:bCs/>
                <w:noProof/>
                <w:color w:val="000000"/>
                <w:sz w:val="20"/>
                <w:highlight w:val="black"/>
              </w:rPr>
              <w:t>'''''''''''' ''''''''''''' ''''''''''''' '''''''''''''''' '''''''''''''</w:t>
            </w:r>
          </w:p>
        </w:tc>
      </w:tr>
    </w:tbl>
    <w:p w:rsidR="00F61E24" w:rsidRPr="00D15548" w:rsidRDefault="00F61E24" w:rsidP="00E35CCE">
      <w:pPr>
        <w:tabs>
          <w:tab w:val="left" w:pos="0"/>
        </w:tabs>
        <w:ind w:left="720"/>
        <w:rPr>
          <w:rFonts w:ascii="Arial Narrow" w:hAnsi="Arial Narrow"/>
          <w:sz w:val="18"/>
          <w:szCs w:val="18"/>
        </w:rPr>
      </w:pPr>
      <w:r w:rsidRPr="00D15548">
        <w:rPr>
          <w:rFonts w:ascii="Arial Narrow" w:hAnsi="Arial Narrow"/>
          <w:sz w:val="18"/>
          <w:szCs w:val="18"/>
        </w:rPr>
        <w:t xml:space="preserve">Abbreviations: ITT=intention to treat, CI=confidence interval, NE = not estimable, AB = </w:t>
      </w:r>
      <w:proofErr w:type="spellStart"/>
      <w:r w:rsidRPr="00D15548">
        <w:rPr>
          <w:rFonts w:ascii="Arial Narrow" w:hAnsi="Arial Narrow"/>
          <w:sz w:val="18"/>
          <w:szCs w:val="18"/>
        </w:rPr>
        <w:t>abiraterone</w:t>
      </w:r>
      <w:proofErr w:type="spellEnd"/>
      <w:r w:rsidRPr="00D15548">
        <w:rPr>
          <w:rFonts w:ascii="Arial Narrow" w:hAnsi="Arial Narrow"/>
          <w:sz w:val="18"/>
          <w:szCs w:val="18"/>
        </w:rPr>
        <w:t xml:space="preserve"> + prednisone/prednisolone, PLA= placebo + prednisone/prednisolone</w:t>
      </w:r>
    </w:p>
    <w:p w:rsidR="00F61E24" w:rsidRPr="00D15548" w:rsidRDefault="00F61E24" w:rsidP="00E35CCE">
      <w:pPr>
        <w:tabs>
          <w:tab w:val="left" w:pos="0"/>
        </w:tabs>
        <w:rPr>
          <w:rFonts w:ascii="Arial Narrow" w:hAnsi="Arial Narrow"/>
          <w:i/>
          <w:sz w:val="18"/>
          <w:szCs w:val="18"/>
        </w:rPr>
      </w:pPr>
      <w:r w:rsidRPr="00D15548">
        <w:rPr>
          <w:rFonts w:ascii="Arial Narrow" w:hAnsi="Arial Narrow"/>
          <w:sz w:val="18"/>
          <w:szCs w:val="18"/>
        </w:rPr>
        <w:tab/>
        <w:t>*</w:t>
      </w:r>
      <w:r w:rsidRPr="00D15548">
        <w:rPr>
          <w:rFonts w:ascii="Arial Narrow" w:hAnsi="Arial Narrow"/>
          <w:i/>
          <w:sz w:val="18"/>
          <w:szCs w:val="18"/>
        </w:rPr>
        <w:t>this is the third interim analysis</w:t>
      </w:r>
    </w:p>
    <w:p w:rsidR="00F61E24" w:rsidRPr="005C0DF8" w:rsidRDefault="005C0DF8" w:rsidP="00E35CCE">
      <w:pPr>
        <w:tabs>
          <w:tab w:val="left" w:pos="180"/>
          <w:tab w:val="left" w:pos="360"/>
        </w:tabs>
        <w:rPr>
          <w:rFonts w:ascii="Arial Narrow" w:hAnsi="Arial Narrow"/>
          <w:sz w:val="18"/>
          <w:szCs w:val="18"/>
          <w:highlight w:val="black"/>
        </w:rPr>
      </w:pPr>
      <w:r>
        <w:rPr>
          <w:rFonts w:ascii="Arial Narrow" w:hAnsi="Arial Narrow"/>
          <w:noProof/>
          <w:color w:val="000000"/>
          <w:sz w:val="18"/>
          <w:szCs w:val="18"/>
          <w:highlight w:val="black"/>
          <w:vertAlign w:val="superscript"/>
        </w:rPr>
        <w:t xml:space="preserve">''' '''' '''''''''''''' '''' '''''''''''' '''' ''''''''''''''''''''' ''''''''' '''''''''''''''''''' '''''' '''''''''''''' ''''' ''''' ''''''' </w:t>
      </w:r>
    </w:p>
    <w:p w:rsidR="00F61E24" w:rsidRPr="005C0DF8" w:rsidRDefault="005C0DF8" w:rsidP="00E35CCE">
      <w:pPr>
        <w:tabs>
          <w:tab w:val="left" w:pos="180"/>
        </w:tabs>
        <w:rPr>
          <w:rFonts w:ascii="Arial Narrow" w:hAnsi="Arial Narrow"/>
          <w:sz w:val="18"/>
          <w:szCs w:val="18"/>
          <w:highlight w:val="black"/>
        </w:rPr>
      </w:pPr>
      <w:r>
        <w:rPr>
          <w:rFonts w:ascii="Arial Narrow" w:hAnsi="Arial Narrow"/>
          <w:noProof/>
          <w:color w:val="000000"/>
          <w:sz w:val="18"/>
          <w:szCs w:val="18"/>
          <w:highlight w:val="black"/>
          <w:vertAlign w:val="superscript"/>
        </w:rPr>
        <w:t>'''' '''''''''''''''' '''''''''' '''' ''''''''''' ''''''''''''''''''''' '''''''''''''''''''''''''''''' '''''''''''''''''''' '''''''''''''' '''''''''''''''' ''''''''''' ''''''' ''''''''''''''''' '''''''''''''''''''''''''''</w:t>
      </w:r>
    </w:p>
    <w:p w:rsidR="00F61E24" w:rsidRPr="005C0DF8" w:rsidRDefault="005C0DF8" w:rsidP="00E35CCE">
      <w:pPr>
        <w:tabs>
          <w:tab w:val="left" w:pos="180"/>
        </w:tabs>
        <w:ind w:left="720" w:hanging="720"/>
        <w:rPr>
          <w:rFonts w:ascii="Arial Narrow" w:hAnsi="Arial Narrow"/>
          <w:sz w:val="18"/>
          <w:szCs w:val="18"/>
          <w:highlight w:val="black"/>
        </w:rPr>
      </w:pPr>
      <w:r>
        <w:rPr>
          <w:rFonts w:ascii="Arial Narrow" w:hAnsi="Arial Narrow"/>
          <w:noProof/>
          <w:color w:val="000000"/>
          <w:sz w:val="18"/>
          <w:szCs w:val="18"/>
          <w:highlight w:val="black"/>
          <w:vertAlign w:val="superscript"/>
        </w:rPr>
        <w:t xml:space="preserve">'''' '''''''''' '''''''''''''''''''''''''''''' '''''''''''''''''' ''''''''''' '''''' ''''''''''''''''''''''' ''''''''' ''''''''''''''''''' ''' ''''' ''''''' ''''''''''''''''' ''''' '''''''' '''''''''''''''''' '''''''''''''''''' '''''''''''''''''' ''''''''''' '''''''''''' '''' '''''''''''''' '''''''''''''''' ''''''''''''''''' '''''''' ''''''''' '''' ''''''''''''''''''''' '''''''''''''''''''''''''' ''''''''''''''''''''' '''''''''''''''''' ''''''' ''''''' '''''''''''''''''''''' '''' ''''''' '''''''''' ''''''''''''''''''' ''''''''' ''''''' '''''''''''''''' ''''''''''''''''' '''''''' '''''' ''''''''''''''' ''''''''''' ''''''''' ''''''''''''''''''''' ''''''''''''''''' </w:t>
      </w:r>
    </w:p>
    <w:p w:rsidR="00F61E24" w:rsidRPr="005C0DF8" w:rsidRDefault="005C0DF8" w:rsidP="00E35CCE">
      <w:pPr>
        <w:ind w:firstLine="720"/>
        <w:rPr>
          <w:rFonts w:ascii="Arial Narrow" w:hAnsi="Arial Narrow"/>
          <w:sz w:val="18"/>
          <w:szCs w:val="18"/>
          <w:highlight w:val="black"/>
        </w:rPr>
      </w:pPr>
      <w:r>
        <w:rPr>
          <w:rFonts w:ascii="Arial Narrow" w:hAnsi="Arial Narrow"/>
          <w:noProof/>
          <w:color w:val="000000"/>
          <w:sz w:val="18"/>
          <w:szCs w:val="18"/>
          <w:highlight w:val="black"/>
        </w:rPr>
        <w:t>'''''''''''''''''' '''''''''''' '''''''''''''' '''''''''' ''''' ''''''' '''''''''''''''''''''''''</w:t>
      </w:r>
    </w:p>
    <w:p w:rsidR="00F61E24" w:rsidRPr="00E35CCE" w:rsidRDefault="00F61E24" w:rsidP="00E35CCE"/>
    <w:p w:rsidR="00F61E24" w:rsidRPr="00E35CCE" w:rsidRDefault="00F61E24" w:rsidP="00E35CCE">
      <w:pPr>
        <w:pStyle w:val="ListParagraph"/>
        <w:numPr>
          <w:ilvl w:val="1"/>
          <w:numId w:val="25"/>
        </w:numPr>
        <w:rPr>
          <w:rFonts w:ascii="Arial" w:hAnsi="Arial" w:cs="Arial"/>
          <w:iCs/>
          <w:sz w:val="22"/>
        </w:rPr>
      </w:pPr>
      <w:r w:rsidRPr="00E35CCE">
        <w:rPr>
          <w:rFonts w:ascii="Arial" w:hAnsi="Arial" w:cs="Arial"/>
          <w:iCs/>
          <w:sz w:val="22"/>
        </w:rPr>
        <w:t xml:space="preserve">The </w:t>
      </w:r>
      <w:r w:rsidRPr="00E35CCE">
        <w:rPr>
          <w:rFonts w:ascii="Arial" w:hAnsi="Arial" w:cs="Arial"/>
          <w:iCs/>
          <w:sz w:val="22"/>
          <w:u w:val="single"/>
        </w:rPr>
        <w:t>observed</w:t>
      </w:r>
      <w:r w:rsidRPr="00E35CCE">
        <w:rPr>
          <w:rFonts w:ascii="Arial" w:hAnsi="Arial" w:cs="Arial"/>
          <w:iCs/>
          <w:sz w:val="22"/>
        </w:rPr>
        <w:t xml:space="preserve"> increase in median overall survival benefit in the ITT populations:</w:t>
      </w:r>
    </w:p>
    <w:p w:rsidR="00F61E24" w:rsidRPr="00E35CCE" w:rsidRDefault="00F61E24" w:rsidP="00E35CCE">
      <w:pPr>
        <w:pStyle w:val="ListParagraph"/>
        <w:numPr>
          <w:ilvl w:val="0"/>
          <w:numId w:val="42"/>
        </w:numPr>
        <w:ind w:left="1418" w:hanging="425"/>
        <w:rPr>
          <w:rFonts w:ascii="Arial" w:hAnsi="Arial" w:cs="Arial"/>
          <w:iCs/>
          <w:sz w:val="22"/>
        </w:rPr>
      </w:pPr>
      <w:r w:rsidRPr="00E35CCE">
        <w:rPr>
          <w:rFonts w:ascii="Arial" w:hAnsi="Arial" w:cs="Arial"/>
          <w:iCs/>
          <w:sz w:val="22"/>
        </w:rPr>
        <w:t>Trial 302 (pre-</w:t>
      </w:r>
      <w:proofErr w:type="spellStart"/>
      <w:r w:rsidRPr="00E35CCE">
        <w:rPr>
          <w:rFonts w:ascii="Arial" w:hAnsi="Arial" w:cs="Arial"/>
          <w:iCs/>
          <w:sz w:val="22"/>
        </w:rPr>
        <w:t>docetaxel</w:t>
      </w:r>
      <w:proofErr w:type="spellEnd"/>
      <w:r w:rsidRPr="00E35CCE">
        <w:rPr>
          <w:rFonts w:ascii="Arial" w:hAnsi="Arial" w:cs="Arial"/>
          <w:iCs/>
          <w:sz w:val="22"/>
        </w:rPr>
        <w:t xml:space="preserve">; results did not meet the pre-specified statistical significance level based on the O’Brien-Fleming efficacy boundary (nominal </w:t>
      </w:r>
      <w:r w:rsidRPr="00E35CCE">
        <w:rPr>
          <w:rFonts w:ascii="Arial" w:hAnsi="Arial" w:cs="Arial"/>
          <w:iCs/>
          <w:sz w:val="22"/>
        </w:rPr>
        <w:lastRenderedPageBreak/>
        <w:t>significance level of 0.0035</w:t>
      </w:r>
      <w:r w:rsidRPr="004C3619">
        <w:rPr>
          <w:rFonts w:ascii="Arial" w:hAnsi="Arial" w:cs="Arial"/>
          <w:iCs/>
          <w:sz w:val="22"/>
        </w:rPr>
        <w:t>)):</w:t>
      </w:r>
      <w:r w:rsidR="005C0DF8">
        <w:rPr>
          <w:rFonts w:ascii="Arial" w:hAnsi="Arial" w:cs="Arial"/>
          <w:iCs/>
          <w:noProof/>
          <w:color w:val="000000"/>
          <w:sz w:val="22"/>
          <w:highlight w:val="black"/>
        </w:rPr>
        <w:t xml:space="preserve"> '''''''''''' '''''''''''''''''</w:t>
      </w:r>
      <w:r w:rsidRPr="004C3619">
        <w:rPr>
          <w:rFonts w:ascii="Arial" w:hAnsi="Arial" w:cs="Arial"/>
          <w:iCs/>
          <w:sz w:val="22"/>
        </w:rPr>
        <w:t xml:space="preserve"> </w:t>
      </w:r>
      <w:r w:rsidRPr="00D15548">
        <w:rPr>
          <w:rFonts w:ascii="Arial" w:hAnsi="Arial" w:cs="Arial"/>
          <w:iCs/>
          <w:sz w:val="22"/>
        </w:rPr>
        <w:t xml:space="preserve">over </w:t>
      </w:r>
      <w:r w:rsidR="005C0DF8">
        <w:rPr>
          <w:rFonts w:ascii="Arial" w:hAnsi="Arial" w:cs="Arial"/>
          <w:iCs/>
          <w:noProof/>
          <w:color w:val="000000"/>
          <w:sz w:val="22"/>
          <w:highlight w:val="black"/>
        </w:rPr>
        <w:t>'''' ''''''''''''''</w:t>
      </w:r>
      <w:r w:rsidRPr="00D15548">
        <w:rPr>
          <w:rFonts w:ascii="Arial" w:hAnsi="Arial" w:cs="Arial"/>
          <w:iCs/>
          <w:sz w:val="22"/>
        </w:rPr>
        <w:t xml:space="preserve"> </w:t>
      </w:r>
      <w:r w:rsidRPr="004C3619">
        <w:rPr>
          <w:rFonts w:ascii="Arial" w:hAnsi="Arial" w:cs="Arial"/>
          <w:iCs/>
          <w:sz w:val="22"/>
        </w:rPr>
        <w:t xml:space="preserve">follow-up, with a median treatment duration of </w:t>
      </w:r>
      <w:r w:rsidR="005C0DF8">
        <w:rPr>
          <w:rFonts w:ascii="Arial" w:hAnsi="Arial" w:cs="Arial"/>
          <w:iCs/>
          <w:noProof/>
          <w:color w:val="000000"/>
          <w:sz w:val="22"/>
          <w:highlight w:val="black"/>
        </w:rPr>
        <w:t>'''''''''' '''''''''''''''''''</w:t>
      </w:r>
      <w:r w:rsidRPr="00E35CCE">
        <w:rPr>
          <w:rFonts w:ascii="Arial" w:hAnsi="Arial" w:cs="Arial"/>
          <w:iCs/>
          <w:sz w:val="22"/>
        </w:rPr>
        <w:t xml:space="preserve">; versus </w:t>
      </w:r>
    </w:p>
    <w:p w:rsidR="00F61E24" w:rsidRPr="00E35CCE" w:rsidRDefault="00F61E24" w:rsidP="00E35CCE">
      <w:pPr>
        <w:pStyle w:val="ListParagraph"/>
        <w:numPr>
          <w:ilvl w:val="0"/>
          <w:numId w:val="42"/>
        </w:numPr>
        <w:ind w:left="1418" w:hanging="425"/>
        <w:rPr>
          <w:rFonts w:ascii="Arial" w:hAnsi="Arial" w:cs="Arial"/>
          <w:iCs/>
          <w:sz w:val="22"/>
        </w:rPr>
      </w:pPr>
      <w:r w:rsidRPr="00E35CCE">
        <w:rPr>
          <w:rFonts w:ascii="Arial" w:hAnsi="Arial" w:cs="Arial"/>
          <w:iCs/>
          <w:sz w:val="22"/>
        </w:rPr>
        <w:t xml:space="preserve">Trial 301 (post </w:t>
      </w:r>
      <w:proofErr w:type="spellStart"/>
      <w:r w:rsidRPr="00E35CCE">
        <w:rPr>
          <w:rFonts w:ascii="Arial" w:hAnsi="Arial" w:cs="Arial"/>
          <w:iCs/>
          <w:sz w:val="22"/>
        </w:rPr>
        <w:t>docetaxel</w:t>
      </w:r>
      <w:proofErr w:type="spellEnd"/>
      <w:r w:rsidRPr="00E35CCE">
        <w:rPr>
          <w:rFonts w:ascii="Arial" w:hAnsi="Arial" w:cs="Arial"/>
          <w:iCs/>
          <w:sz w:val="22"/>
        </w:rPr>
        <w:t xml:space="preserve">): 3.9 months over 12.8 months follow-up with a mean treatment duration of 8.4 months. </w:t>
      </w:r>
    </w:p>
    <w:p w:rsidR="00DF26A7" w:rsidRPr="00E35CCE" w:rsidRDefault="00DF26A7" w:rsidP="00E35CCE">
      <w:pPr>
        <w:jc w:val="both"/>
        <w:rPr>
          <w:rFonts w:ascii="Arial" w:hAnsi="Arial"/>
          <w:sz w:val="22"/>
          <w:szCs w:val="22"/>
        </w:rPr>
      </w:pPr>
    </w:p>
    <w:p w:rsidR="00BB7EC3" w:rsidRPr="00E35CCE" w:rsidRDefault="00BB7EC3" w:rsidP="00E35CCE">
      <w:pPr>
        <w:pStyle w:val="ListParagraph"/>
        <w:ind w:left="709"/>
        <w:jc w:val="both"/>
        <w:rPr>
          <w:rFonts w:ascii="Arial" w:hAnsi="Arial"/>
          <w:i/>
          <w:sz w:val="22"/>
          <w:szCs w:val="22"/>
        </w:rPr>
      </w:pPr>
      <w:r w:rsidRPr="00E35CCE">
        <w:rPr>
          <w:rFonts w:ascii="Arial" w:hAnsi="Arial"/>
          <w:i/>
          <w:sz w:val="22"/>
          <w:szCs w:val="22"/>
        </w:rPr>
        <w:t>For more detail on PBAC’s view, see section 7 “PBAC outcome”</w:t>
      </w:r>
    </w:p>
    <w:p w:rsidR="00BB7EC3" w:rsidRPr="00E35CCE" w:rsidRDefault="00BB7EC3" w:rsidP="00E35CCE">
      <w:pPr>
        <w:ind w:left="709"/>
        <w:jc w:val="both"/>
        <w:rPr>
          <w:rFonts w:ascii="Arial" w:hAnsi="Arial"/>
          <w:sz w:val="22"/>
          <w:szCs w:val="22"/>
        </w:rPr>
      </w:pPr>
    </w:p>
    <w:p w:rsidR="005A3173" w:rsidRPr="00E35CCE" w:rsidRDefault="005A3173" w:rsidP="00E35CCE">
      <w:pPr>
        <w:jc w:val="both"/>
        <w:rPr>
          <w:rFonts w:ascii="Arial" w:hAnsi="Arial"/>
          <w:b/>
          <w:i/>
          <w:sz w:val="22"/>
          <w:szCs w:val="22"/>
        </w:rPr>
      </w:pPr>
      <w:r w:rsidRPr="00E35CCE">
        <w:rPr>
          <w:rFonts w:ascii="Arial" w:hAnsi="Arial"/>
          <w:b/>
          <w:i/>
          <w:sz w:val="22"/>
          <w:szCs w:val="22"/>
        </w:rPr>
        <w:t>Comparative harms</w:t>
      </w:r>
    </w:p>
    <w:p w:rsidR="005A3173" w:rsidRPr="00E35CCE" w:rsidRDefault="005A3173" w:rsidP="00E35CCE">
      <w:pPr>
        <w:ind w:left="720" w:hanging="720"/>
        <w:jc w:val="both"/>
        <w:rPr>
          <w:rFonts w:ascii="Arial" w:hAnsi="Arial"/>
          <w:sz w:val="22"/>
          <w:szCs w:val="22"/>
        </w:rPr>
      </w:pPr>
    </w:p>
    <w:p w:rsidR="00E35CCE" w:rsidRPr="00E35CCE" w:rsidRDefault="00B14F75" w:rsidP="00E35CCE">
      <w:pPr>
        <w:pStyle w:val="ListParagraph"/>
        <w:numPr>
          <w:ilvl w:val="1"/>
          <w:numId w:val="25"/>
        </w:numPr>
        <w:ind w:left="709" w:hanging="709"/>
        <w:jc w:val="both"/>
        <w:rPr>
          <w:rFonts w:ascii="Arial" w:hAnsi="Arial"/>
          <w:sz w:val="22"/>
          <w:szCs w:val="22"/>
        </w:rPr>
      </w:pPr>
      <w:r w:rsidRPr="00E35CCE">
        <w:rPr>
          <w:rFonts w:ascii="Arial" w:hAnsi="Arial" w:cs="Arial"/>
          <w:sz w:val="22"/>
        </w:rPr>
        <w:t xml:space="preserve">A statistically significantly greater proportion of patients treated with </w:t>
      </w:r>
      <w:proofErr w:type="spellStart"/>
      <w:r w:rsidRPr="00E35CCE">
        <w:rPr>
          <w:rFonts w:ascii="Arial" w:hAnsi="Arial" w:cs="Arial"/>
          <w:sz w:val="22"/>
        </w:rPr>
        <w:t>abiraterone</w:t>
      </w:r>
      <w:proofErr w:type="spellEnd"/>
      <w:r w:rsidRPr="00E35CCE">
        <w:rPr>
          <w:rFonts w:ascii="Arial" w:hAnsi="Arial" w:cs="Arial"/>
          <w:sz w:val="22"/>
        </w:rPr>
        <w:t xml:space="preserve"> experienced treatment emergent adverse events (specifically hypertension</w:t>
      </w:r>
      <w:r w:rsidR="003B4FCC" w:rsidRPr="00E35CCE">
        <w:rPr>
          <w:rFonts w:ascii="Arial" w:hAnsi="Arial" w:cs="Arial"/>
          <w:sz w:val="22"/>
        </w:rPr>
        <w:t xml:space="preserve"> and hepatotoxicity</w:t>
      </w:r>
      <w:r w:rsidRPr="00E35CCE">
        <w:rPr>
          <w:rFonts w:ascii="Arial" w:hAnsi="Arial" w:cs="Arial"/>
          <w:sz w:val="22"/>
        </w:rPr>
        <w:t>) and Grade 3-4 treatment emergent serious adverse events.</w:t>
      </w:r>
    </w:p>
    <w:p w:rsidR="008E5870" w:rsidRPr="00E35CCE" w:rsidRDefault="00E35CCE" w:rsidP="00E35CCE">
      <w:pPr>
        <w:pStyle w:val="ListParagraph"/>
        <w:ind w:left="709"/>
        <w:jc w:val="both"/>
        <w:rPr>
          <w:rFonts w:ascii="Arial" w:hAnsi="Arial"/>
          <w:sz w:val="22"/>
          <w:szCs w:val="22"/>
        </w:rPr>
      </w:pPr>
      <w:r w:rsidRPr="00E35CCE">
        <w:rPr>
          <w:rFonts w:ascii="Arial" w:hAnsi="Arial"/>
          <w:sz w:val="22"/>
          <w:szCs w:val="22"/>
        </w:rPr>
        <w:t xml:space="preserve"> </w:t>
      </w:r>
    </w:p>
    <w:p w:rsidR="008E5870" w:rsidRPr="004C3619" w:rsidRDefault="008E5870" w:rsidP="00E35CCE">
      <w:pPr>
        <w:pStyle w:val="ListParagraph"/>
        <w:numPr>
          <w:ilvl w:val="1"/>
          <w:numId w:val="25"/>
        </w:numPr>
        <w:ind w:left="709" w:hanging="709"/>
        <w:jc w:val="both"/>
        <w:rPr>
          <w:rFonts w:ascii="Arial" w:hAnsi="Arial"/>
          <w:sz w:val="22"/>
          <w:szCs w:val="22"/>
        </w:rPr>
      </w:pPr>
      <w:r w:rsidRPr="004C3619">
        <w:rPr>
          <w:rFonts w:ascii="Arial" w:hAnsi="Arial"/>
          <w:sz w:val="22"/>
          <w:szCs w:val="22"/>
        </w:rPr>
        <w:t xml:space="preserve">A summary of the comparative benefits and harms for </w:t>
      </w:r>
      <w:proofErr w:type="spellStart"/>
      <w:r w:rsidR="00B14F75" w:rsidRPr="004C3619">
        <w:rPr>
          <w:rFonts w:ascii="Arial" w:hAnsi="Arial"/>
          <w:sz w:val="22"/>
          <w:szCs w:val="22"/>
        </w:rPr>
        <w:t>abiraterone</w:t>
      </w:r>
      <w:proofErr w:type="spellEnd"/>
      <w:r w:rsidRPr="004C3619">
        <w:rPr>
          <w:rFonts w:ascii="Arial" w:hAnsi="Arial"/>
          <w:sz w:val="22"/>
          <w:szCs w:val="22"/>
        </w:rPr>
        <w:t xml:space="preserve"> versus </w:t>
      </w:r>
      <w:r w:rsidR="00B14F75" w:rsidRPr="004C3619">
        <w:rPr>
          <w:rFonts w:ascii="Arial" w:hAnsi="Arial"/>
          <w:sz w:val="22"/>
          <w:szCs w:val="22"/>
        </w:rPr>
        <w:t xml:space="preserve">watchful waiting (placebo) </w:t>
      </w:r>
      <w:r w:rsidRPr="004C3619">
        <w:rPr>
          <w:rFonts w:ascii="Arial" w:hAnsi="Arial"/>
          <w:sz w:val="22"/>
          <w:szCs w:val="22"/>
        </w:rPr>
        <w:t>is presented in the table below.</w:t>
      </w:r>
    </w:p>
    <w:p w:rsidR="008E5870" w:rsidRPr="005C0DF8" w:rsidRDefault="008E5870" w:rsidP="00E35CCE">
      <w:pPr>
        <w:pStyle w:val="ListParagraph"/>
        <w:jc w:val="both"/>
        <w:rPr>
          <w:rFonts w:ascii="Arial" w:hAnsi="Arial"/>
          <w:sz w:val="22"/>
          <w:szCs w:val="22"/>
        </w:rPr>
      </w:pPr>
    </w:p>
    <w:p w:rsidR="00B14F75" w:rsidRPr="00D15548" w:rsidRDefault="00B14F75" w:rsidP="00E35CCE">
      <w:pPr>
        <w:ind w:left="709"/>
        <w:rPr>
          <w:rStyle w:val="CommentReference"/>
          <w:rFonts w:ascii="Arial Narrow" w:hAnsi="Arial Narrow"/>
          <w:b/>
          <w:sz w:val="20"/>
        </w:rPr>
      </w:pPr>
      <w:r w:rsidRPr="00D15548">
        <w:rPr>
          <w:rStyle w:val="CommentReference"/>
          <w:rFonts w:ascii="Arial Narrow" w:hAnsi="Arial Narrow"/>
          <w:b/>
          <w:sz w:val="20"/>
        </w:rPr>
        <w:t xml:space="preserve">Summary of comparative benefits and harms for </w:t>
      </w:r>
      <w:proofErr w:type="spellStart"/>
      <w:r w:rsidRPr="00D15548">
        <w:rPr>
          <w:rStyle w:val="CommentReference"/>
          <w:rFonts w:ascii="Arial Narrow" w:hAnsi="Arial Narrow"/>
          <w:b/>
          <w:sz w:val="20"/>
        </w:rPr>
        <w:t>abiraterone+prednisone</w:t>
      </w:r>
      <w:proofErr w:type="spellEnd"/>
      <w:r w:rsidRPr="00D15548">
        <w:rPr>
          <w:rStyle w:val="CommentReference"/>
          <w:rFonts w:ascii="Arial Narrow" w:hAnsi="Arial Narrow"/>
          <w:b/>
          <w:sz w:val="20"/>
        </w:rPr>
        <w:t>/prednisolone and watchful waiting (placebo</w:t>
      </w:r>
      <w:proofErr w:type="gramStart"/>
      <w:r w:rsidRPr="00D15548">
        <w:rPr>
          <w:rStyle w:val="CommentReference"/>
          <w:rFonts w:ascii="Arial Narrow" w:hAnsi="Arial Narrow"/>
          <w:b/>
          <w:sz w:val="20"/>
        </w:rPr>
        <w:t>)+</w:t>
      </w:r>
      <w:proofErr w:type="gramEnd"/>
      <w:r w:rsidRPr="00D15548">
        <w:rPr>
          <w:rStyle w:val="CommentReference"/>
          <w:rFonts w:ascii="Arial Narrow" w:hAnsi="Arial Narrow"/>
          <w:b/>
          <w:sz w:val="20"/>
        </w:rPr>
        <w:t>prednisone/prednisolone</w:t>
      </w:r>
    </w:p>
    <w:tbl>
      <w:tblPr>
        <w:tblStyle w:val="TableGrid"/>
        <w:tblW w:w="4565" w:type="pct"/>
        <w:tblInd w:w="737" w:type="dxa"/>
        <w:tblCellMar>
          <w:left w:w="28" w:type="dxa"/>
          <w:right w:w="28" w:type="dxa"/>
        </w:tblCellMar>
        <w:tblLook w:val="04A0" w:firstRow="1" w:lastRow="0" w:firstColumn="1" w:lastColumn="0" w:noHBand="0" w:noVBand="1"/>
        <w:tblDescription w:val="Summary of comparative benefits and harms for abiraterone+prednisone/prednisolone and watchful waiting (placebo)+prednisone/prednisolone"/>
      </w:tblPr>
      <w:tblGrid>
        <w:gridCol w:w="1275"/>
        <w:gridCol w:w="1229"/>
        <w:gridCol w:w="20"/>
        <w:gridCol w:w="1398"/>
        <w:gridCol w:w="1071"/>
        <w:gridCol w:w="1071"/>
        <w:gridCol w:w="1095"/>
        <w:gridCol w:w="1133"/>
      </w:tblGrid>
      <w:tr w:rsidR="00B14F75" w:rsidRPr="008F0598" w:rsidTr="00274A61">
        <w:trPr>
          <w:tblHeader/>
        </w:trPr>
        <w:tc>
          <w:tcPr>
            <w:tcW w:w="5000" w:type="pct"/>
            <w:gridSpan w:val="8"/>
            <w:shd w:val="clear" w:color="auto" w:fill="auto"/>
            <w:vAlign w:val="center"/>
          </w:tcPr>
          <w:p w:rsidR="00B14F75" w:rsidRPr="005C0DF8" w:rsidRDefault="00B14F75" w:rsidP="00E35CCE">
            <w:pPr>
              <w:rPr>
                <w:rFonts w:ascii="Arial Narrow" w:hAnsi="Arial Narrow"/>
                <w:b/>
                <w:color w:val="000000"/>
                <w:sz w:val="20"/>
                <w:szCs w:val="18"/>
              </w:rPr>
            </w:pPr>
            <w:r w:rsidRPr="00D15548">
              <w:rPr>
                <w:rFonts w:ascii="Arial Narrow" w:hAnsi="Arial Narrow"/>
                <w:b/>
                <w:color w:val="000000"/>
                <w:sz w:val="20"/>
                <w:szCs w:val="18"/>
              </w:rPr>
              <w:t>Benefits</w:t>
            </w:r>
          </w:p>
        </w:tc>
      </w:tr>
      <w:tr w:rsidR="00B14F75" w:rsidRPr="008F0598" w:rsidTr="00E35CCE">
        <w:tc>
          <w:tcPr>
            <w:tcW w:w="5000" w:type="pct"/>
            <w:gridSpan w:val="8"/>
            <w:shd w:val="clear" w:color="auto" w:fill="auto"/>
            <w:vAlign w:val="center"/>
          </w:tcPr>
          <w:p w:rsidR="00B14F75" w:rsidRPr="005C0DF8" w:rsidRDefault="00B14F75" w:rsidP="00E35CCE">
            <w:pPr>
              <w:rPr>
                <w:rFonts w:ascii="Arial Narrow" w:hAnsi="Arial Narrow"/>
                <w:b/>
                <w:color w:val="000000"/>
                <w:sz w:val="20"/>
                <w:szCs w:val="18"/>
              </w:rPr>
            </w:pPr>
            <w:r w:rsidRPr="00D15548">
              <w:rPr>
                <w:rFonts w:ascii="Arial Narrow" w:hAnsi="Arial Narrow"/>
                <w:b/>
                <w:color w:val="000000"/>
                <w:sz w:val="20"/>
                <w:szCs w:val="18"/>
              </w:rPr>
              <w:t>OS: Trial 302 (ITT population)</w:t>
            </w:r>
          </w:p>
        </w:tc>
      </w:tr>
      <w:tr w:rsidR="00B14F75" w:rsidRPr="008F0598" w:rsidTr="00E35CCE">
        <w:tc>
          <w:tcPr>
            <w:tcW w:w="769" w:type="pct"/>
            <w:shd w:val="clear" w:color="auto" w:fill="auto"/>
            <w:vAlign w:val="center"/>
          </w:tcPr>
          <w:p w:rsidR="00B14F75" w:rsidRPr="005C0DF8" w:rsidRDefault="00B14F75" w:rsidP="00E35CCE">
            <w:pPr>
              <w:jc w:val="center"/>
              <w:rPr>
                <w:rFonts w:ascii="Arial Narrow" w:hAnsi="Arial Narrow"/>
                <w:color w:val="000000"/>
                <w:sz w:val="20"/>
                <w:szCs w:val="18"/>
              </w:rPr>
            </w:pPr>
          </w:p>
        </w:tc>
        <w:tc>
          <w:tcPr>
            <w:tcW w:w="741" w:type="pct"/>
            <w:vAlign w:val="center"/>
          </w:tcPr>
          <w:p w:rsidR="00B14F75" w:rsidRPr="005C0DF8" w:rsidRDefault="00B14F75" w:rsidP="00E35CCE">
            <w:pPr>
              <w:jc w:val="center"/>
              <w:rPr>
                <w:rFonts w:ascii="Arial Narrow" w:hAnsi="Arial Narrow"/>
                <w:b/>
                <w:color w:val="000000"/>
                <w:sz w:val="20"/>
                <w:szCs w:val="18"/>
              </w:rPr>
            </w:pPr>
            <w:proofErr w:type="spellStart"/>
            <w:r w:rsidRPr="00D15548">
              <w:rPr>
                <w:rFonts w:ascii="Arial Narrow" w:hAnsi="Arial Narrow"/>
                <w:b/>
                <w:color w:val="000000"/>
                <w:sz w:val="20"/>
                <w:szCs w:val="18"/>
              </w:rPr>
              <w:t>Abiraterone</w:t>
            </w:r>
            <w:proofErr w:type="spellEnd"/>
          </w:p>
        </w:tc>
        <w:tc>
          <w:tcPr>
            <w:tcW w:w="855" w:type="pct"/>
            <w:gridSpan w:val="2"/>
            <w:vAlign w:val="center"/>
          </w:tcPr>
          <w:p w:rsidR="00B14F75" w:rsidRPr="005C0DF8" w:rsidRDefault="00B14F75" w:rsidP="00E35CCE">
            <w:pPr>
              <w:jc w:val="center"/>
              <w:rPr>
                <w:rFonts w:ascii="Arial Narrow" w:hAnsi="Arial Narrow"/>
                <w:b/>
                <w:color w:val="000000"/>
                <w:sz w:val="20"/>
                <w:szCs w:val="18"/>
              </w:rPr>
            </w:pPr>
            <w:r w:rsidRPr="00D15548">
              <w:rPr>
                <w:rFonts w:ascii="Arial Narrow" w:hAnsi="Arial Narrow"/>
                <w:b/>
                <w:color w:val="000000"/>
                <w:sz w:val="20"/>
                <w:szCs w:val="18"/>
              </w:rPr>
              <w:t>Watchful waiting (placebo)</w:t>
            </w:r>
          </w:p>
        </w:tc>
        <w:tc>
          <w:tcPr>
            <w:tcW w:w="1292" w:type="pct"/>
            <w:gridSpan w:val="2"/>
            <w:vAlign w:val="center"/>
          </w:tcPr>
          <w:p w:rsidR="00B14F75" w:rsidRPr="005C0DF8" w:rsidRDefault="00B14F75" w:rsidP="00E35CCE">
            <w:pPr>
              <w:jc w:val="center"/>
              <w:rPr>
                <w:rFonts w:ascii="Arial Narrow" w:hAnsi="Arial Narrow"/>
                <w:b/>
                <w:color w:val="000000"/>
                <w:sz w:val="20"/>
                <w:szCs w:val="18"/>
              </w:rPr>
            </w:pPr>
            <w:r w:rsidRPr="00D15548">
              <w:rPr>
                <w:rFonts w:ascii="Arial Narrow" w:hAnsi="Arial Narrow"/>
                <w:b/>
                <w:color w:val="000000"/>
                <w:sz w:val="20"/>
                <w:szCs w:val="18"/>
              </w:rPr>
              <w:t>Absolute Difference</w:t>
            </w:r>
          </w:p>
        </w:tc>
        <w:tc>
          <w:tcPr>
            <w:tcW w:w="1343" w:type="pct"/>
            <w:gridSpan w:val="2"/>
            <w:vAlign w:val="center"/>
          </w:tcPr>
          <w:p w:rsidR="00B14F75" w:rsidRPr="005C0DF8" w:rsidRDefault="00B14F75" w:rsidP="00E35CCE">
            <w:pPr>
              <w:jc w:val="center"/>
              <w:rPr>
                <w:rFonts w:ascii="Arial Narrow" w:hAnsi="Arial Narrow"/>
                <w:b/>
                <w:color w:val="000000"/>
                <w:sz w:val="20"/>
                <w:szCs w:val="18"/>
              </w:rPr>
            </w:pPr>
            <w:r w:rsidRPr="00D15548">
              <w:rPr>
                <w:rFonts w:ascii="Arial Narrow" w:hAnsi="Arial Narrow"/>
                <w:b/>
                <w:color w:val="000000"/>
                <w:sz w:val="20"/>
                <w:szCs w:val="18"/>
              </w:rPr>
              <w:t>HR (95% CI)</w:t>
            </w:r>
          </w:p>
        </w:tc>
      </w:tr>
      <w:tr w:rsidR="00B14F75" w:rsidRPr="008F0598" w:rsidTr="00E35CCE">
        <w:tc>
          <w:tcPr>
            <w:tcW w:w="769" w:type="pct"/>
            <w:shd w:val="clear" w:color="auto" w:fill="auto"/>
            <w:vAlign w:val="center"/>
          </w:tcPr>
          <w:p w:rsidR="00B14F75" w:rsidRPr="005C0DF8" w:rsidRDefault="00B14F75" w:rsidP="00E35CCE">
            <w:pPr>
              <w:rPr>
                <w:rFonts w:ascii="Arial Narrow" w:hAnsi="Arial Narrow"/>
                <w:color w:val="000000"/>
                <w:sz w:val="20"/>
                <w:szCs w:val="18"/>
              </w:rPr>
            </w:pPr>
            <w:r w:rsidRPr="00D15548">
              <w:rPr>
                <w:rFonts w:ascii="Arial Narrow" w:hAnsi="Arial Narrow"/>
                <w:color w:val="000000"/>
                <w:sz w:val="20"/>
                <w:szCs w:val="18"/>
              </w:rPr>
              <w:t>Survival*</w:t>
            </w:r>
          </w:p>
        </w:tc>
        <w:tc>
          <w:tcPr>
            <w:tcW w:w="741" w:type="pct"/>
            <w:vAlign w:val="center"/>
          </w:tcPr>
          <w:p w:rsidR="00B14F75" w:rsidRPr="005C0DF8" w:rsidRDefault="005C0DF8" w:rsidP="00E35CCE">
            <w:pPr>
              <w:jc w:val="center"/>
              <w:rPr>
                <w:rFonts w:ascii="Arial Narrow" w:hAnsi="Arial Narrow"/>
                <w:sz w:val="20"/>
                <w:highlight w:val="black"/>
              </w:rPr>
            </w:pPr>
            <w:r>
              <w:rPr>
                <w:rFonts w:ascii="Arial Narrow" w:hAnsi="Arial Narrow"/>
                <w:noProof/>
                <w:color w:val="000000"/>
                <w:sz w:val="20"/>
                <w:highlight w:val="black"/>
              </w:rPr>
              <w:t>'''''''''''''''''''</w:t>
            </w:r>
          </w:p>
        </w:tc>
        <w:tc>
          <w:tcPr>
            <w:tcW w:w="855" w:type="pct"/>
            <w:gridSpan w:val="2"/>
            <w:vAlign w:val="center"/>
          </w:tcPr>
          <w:p w:rsidR="00B14F75" w:rsidRPr="005C0DF8" w:rsidRDefault="005C0DF8" w:rsidP="00E35CCE">
            <w:pPr>
              <w:jc w:val="center"/>
              <w:rPr>
                <w:rFonts w:ascii="Arial Narrow" w:hAnsi="Arial Narrow"/>
                <w:sz w:val="20"/>
                <w:highlight w:val="black"/>
              </w:rPr>
            </w:pPr>
            <w:r>
              <w:rPr>
                <w:rFonts w:ascii="Arial Narrow" w:hAnsi="Arial Narrow"/>
                <w:noProof/>
                <w:color w:val="000000"/>
                <w:sz w:val="20"/>
                <w:highlight w:val="black"/>
              </w:rPr>
              <w:t>'''''''''''''''''''''</w:t>
            </w:r>
          </w:p>
        </w:tc>
        <w:tc>
          <w:tcPr>
            <w:tcW w:w="1292" w:type="pct"/>
            <w:gridSpan w:val="2"/>
            <w:vAlign w:val="center"/>
          </w:tcPr>
          <w:p w:rsidR="00B14F75" w:rsidRPr="005C0DF8" w:rsidRDefault="005C0DF8" w:rsidP="00E35CCE">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1343" w:type="pct"/>
            <w:gridSpan w:val="2"/>
            <w:vAlign w:val="center"/>
          </w:tcPr>
          <w:p w:rsidR="00B14F75" w:rsidRPr="005C0DF8" w:rsidRDefault="005C0DF8" w:rsidP="00E35CCE">
            <w:pPr>
              <w:jc w:val="center"/>
              <w:rPr>
                <w:rFonts w:ascii="Arial Narrow" w:hAnsi="Arial Narrow"/>
                <w:color w:val="000000"/>
                <w:sz w:val="20"/>
                <w:szCs w:val="18"/>
                <w:highlight w:val="black"/>
              </w:rPr>
            </w:pPr>
            <w:r>
              <w:rPr>
                <w:rFonts w:ascii="Arial Narrow" w:hAnsi="Arial Narrow"/>
                <w:noProof/>
                <w:color w:val="000000"/>
                <w:sz w:val="20"/>
                <w:highlight w:val="black"/>
              </w:rPr>
              <w:t>''''''''''''''' '''''''''''''''' ''''''''''''''</w:t>
            </w:r>
          </w:p>
        </w:tc>
      </w:tr>
      <w:tr w:rsidR="00B14F75" w:rsidRPr="008F0598" w:rsidTr="00E35CCE">
        <w:tc>
          <w:tcPr>
            <w:tcW w:w="769" w:type="pct"/>
            <w:shd w:val="clear" w:color="auto" w:fill="auto"/>
            <w:vAlign w:val="center"/>
          </w:tcPr>
          <w:p w:rsidR="00B14F75" w:rsidRPr="005C0DF8" w:rsidRDefault="00B14F75" w:rsidP="00E35CCE">
            <w:pPr>
              <w:rPr>
                <w:rFonts w:ascii="Arial Narrow" w:hAnsi="Arial Narrow"/>
                <w:color w:val="000000"/>
                <w:sz w:val="20"/>
                <w:szCs w:val="18"/>
              </w:rPr>
            </w:pPr>
            <w:r w:rsidRPr="00D15548">
              <w:rPr>
                <w:rFonts w:ascii="Arial Narrow" w:hAnsi="Arial Narrow"/>
                <w:color w:val="000000"/>
                <w:sz w:val="20"/>
                <w:szCs w:val="18"/>
              </w:rPr>
              <w:t>Median (</w:t>
            </w:r>
            <w:proofErr w:type="spellStart"/>
            <w:r w:rsidRPr="00D15548">
              <w:rPr>
                <w:rFonts w:ascii="Arial Narrow" w:hAnsi="Arial Narrow"/>
                <w:color w:val="000000"/>
                <w:sz w:val="20"/>
                <w:szCs w:val="18"/>
              </w:rPr>
              <w:t>mths</w:t>
            </w:r>
            <w:proofErr w:type="spellEnd"/>
            <w:r w:rsidRPr="00D15548">
              <w:rPr>
                <w:rFonts w:ascii="Arial Narrow" w:hAnsi="Arial Narrow"/>
                <w:color w:val="000000"/>
                <w:sz w:val="20"/>
                <w:szCs w:val="18"/>
              </w:rPr>
              <w:t>)</w:t>
            </w:r>
          </w:p>
        </w:tc>
        <w:tc>
          <w:tcPr>
            <w:tcW w:w="741" w:type="pct"/>
            <w:vAlign w:val="center"/>
          </w:tcPr>
          <w:p w:rsidR="00B14F75" w:rsidRPr="005C0DF8" w:rsidRDefault="005C0DF8" w:rsidP="00E35CCE">
            <w:pPr>
              <w:jc w:val="center"/>
              <w:rPr>
                <w:rFonts w:ascii="Arial Narrow" w:hAnsi="Arial Narrow"/>
                <w:sz w:val="20"/>
                <w:highlight w:val="black"/>
              </w:rPr>
            </w:pPr>
            <w:r>
              <w:rPr>
                <w:rFonts w:ascii="Arial Narrow" w:hAnsi="Arial Narrow"/>
                <w:noProof/>
                <w:color w:val="000000"/>
                <w:sz w:val="20"/>
                <w:highlight w:val="black"/>
              </w:rPr>
              <w:t>'''''''''''''</w:t>
            </w:r>
          </w:p>
          <w:p w:rsidR="00B14F75" w:rsidRPr="005C0DF8" w:rsidRDefault="005C0DF8" w:rsidP="00E35CCE">
            <w:pPr>
              <w:jc w:val="center"/>
              <w:rPr>
                <w:rFonts w:ascii="Arial Narrow" w:hAnsi="Arial Narrow"/>
                <w:sz w:val="20"/>
                <w:highlight w:val="black"/>
              </w:rPr>
            </w:pPr>
            <w:r>
              <w:rPr>
                <w:rFonts w:ascii="Arial Narrow" w:hAnsi="Arial Narrow"/>
                <w:noProof/>
                <w:color w:val="000000"/>
                <w:sz w:val="20"/>
                <w:highlight w:val="black"/>
              </w:rPr>
              <w:t>'''''''''''''''' ''''''''''''''</w:t>
            </w:r>
          </w:p>
        </w:tc>
        <w:tc>
          <w:tcPr>
            <w:tcW w:w="855" w:type="pct"/>
            <w:gridSpan w:val="2"/>
            <w:vAlign w:val="center"/>
          </w:tcPr>
          <w:p w:rsidR="00B14F75" w:rsidRPr="005C0DF8" w:rsidRDefault="005C0DF8" w:rsidP="00E35CCE">
            <w:pPr>
              <w:jc w:val="center"/>
              <w:rPr>
                <w:rFonts w:ascii="Arial Narrow" w:hAnsi="Arial Narrow"/>
                <w:sz w:val="20"/>
                <w:highlight w:val="black"/>
              </w:rPr>
            </w:pPr>
            <w:r>
              <w:rPr>
                <w:rFonts w:ascii="Arial Narrow" w:hAnsi="Arial Narrow"/>
                <w:noProof/>
                <w:color w:val="000000"/>
                <w:sz w:val="20"/>
                <w:highlight w:val="black"/>
              </w:rPr>
              <w:t>'''''''''''''''</w:t>
            </w:r>
          </w:p>
          <w:p w:rsidR="00B14F75" w:rsidRPr="005C0DF8" w:rsidRDefault="005C0DF8" w:rsidP="00E35CCE">
            <w:pPr>
              <w:jc w:val="center"/>
              <w:rPr>
                <w:rFonts w:ascii="Arial Narrow" w:hAnsi="Arial Narrow"/>
                <w:sz w:val="20"/>
                <w:highlight w:val="black"/>
              </w:rPr>
            </w:pPr>
            <w:r>
              <w:rPr>
                <w:rFonts w:ascii="Arial Narrow" w:hAnsi="Arial Narrow"/>
                <w:noProof/>
                <w:color w:val="000000"/>
                <w:sz w:val="20"/>
                <w:highlight w:val="black"/>
              </w:rPr>
              <w:t>''''''''''''''''' ''''''''''''''</w:t>
            </w:r>
          </w:p>
        </w:tc>
        <w:tc>
          <w:tcPr>
            <w:tcW w:w="1292" w:type="pct"/>
            <w:gridSpan w:val="2"/>
            <w:vAlign w:val="center"/>
          </w:tcPr>
          <w:p w:rsidR="00B14F75" w:rsidRPr="005C0DF8" w:rsidRDefault="005C0DF8" w:rsidP="00E35CCE">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1343" w:type="pct"/>
            <w:gridSpan w:val="2"/>
            <w:vAlign w:val="center"/>
          </w:tcPr>
          <w:p w:rsidR="00B14F75" w:rsidRPr="005C0DF8" w:rsidRDefault="005C0DF8" w:rsidP="00E35CCE">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r>
      <w:tr w:rsidR="00B14F75" w:rsidRPr="008F0598" w:rsidTr="00E35CCE">
        <w:tc>
          <w:tcPr>
            <w:tcW w:w="5000" w:type="pct"/>
            <w:gridSpan w:val="8"/>
            <w:shd w:val="clear" w:color="auto" w:fill="auto"/>
          </w:tcPr>
          <w:p w:rsidR="00B14F75" w:rsidRPr="005C0DF8" w:rsidRDefault="000E5096" w:rsidP="00E35CCE">
            <w:pPr>
              <w:rPr>
                <w:rFonts w:ascii="Arial Narrow" w:hAnsi="Arial Narrow"/>
                <w:b/>
                <w:bCs/>
                <w:color w:val="000000"/>
                <w:sz w:val="20"/>
                <w:szCs w:val="18"/>
              </w:rPr>
            </w:pPr>
            <w:r w:rsidRPr="00D15548">
              <w:rPr>
                <w:rFonts w:ascii="Arial Narrow" w:hAnsi="Arial Narrow"/>
                <w:b/>
                <w:bCs/>
                <w:color w:val="000000"/>
                <w:sz w:val="20"/>
                <w:szCs w:val="18"/>
              </w:rPr>
              <w:t>radiographic progression-free survival (</w:t>
            </w:r>
            <w:proofErr w:type="spellStart"/>
            <w:r w:rsidRPr="00D15548">
              <w:rPr>
                <w:rFonts w:ascii="Arial Narrow" w:hAnsi="Arial Narrow"/>
                <w:b/>
                <w:bCs/>
                <w:color w:val="000000"/>
                <w:sz w:val="20"/>
                <w:szCs w:val="18"/>
              </w:rPr>
              <w:t>rPFS</w:t>
            </w:r>
            <w:proofErr w:type="spellEnd"/>
            <w:r w:rsidRPr="00D15548">
              <w:rPr>
                <w:rFonts w:ascii="Arial Narrow" w:hAnsi="Arial Narrow"/>
                <w:b/>
                <w:bCs/>
                <w:color w:val="000000"/>
                <w:sz w:val="20"/>
                <w:szCs w:val="18"/>
              </w:rPr>
              <w:t>)</w:t>
            </w:r>
            <w:r w:rsidR="00B14F75" w:rsidRPr="00D15548">
              <w:rPr>
                <w:rFonts w:ascii="Arial Narrow" w:hAnsi="Arial Narrow"/>
                <w:b/>
                <w:bCs/>
                <w:color w:val="000000"/>
                <w:sz w:val="20"/>
                <w:szCs w:val="18"/>
              </w:rPr>
              <w:t>: Trial 302 (</w:t>
            </w:r>
            <w:r w:rsidRPr="00D15548">
              <w:rPr>
                <w:rFonts w:ascii="Arial Narrow" w:hAnsi="Arial Narrow"/>
                <w:b/>
                <w:bCs/>
                <w:color w:val="000000"/>
                <w:sz w:val="20"/>
                <w:szCs w:val="18"/>
              </w:rPr>
              <w:t>ITT population</w:t>
            </w:r>
            <w:r w:rsidR="00B14F75" w:rsidRPr="00D15548">
              <w:rPr>
                <w:rFonts w:ascii="Arial Narrow" w:hAnsi="Arial Narrow"/>
                <w:b/>
                <w:bCs/>
                <w:color w:val="000000"/>
                <w:sz w:val="20"/>
                <w:szCs w:val="18"/>
              </w:rPr>
              <w:t>)</w:t>
            </w:r>
          </w:p>
        </w:tc>
      </w:tr>
      <w:tr w:rsidR="00B14F75" w:rsidRPr="008F0598" w:rsidTr="00E35CCE">
        <w:tc>
          <w:tcPr>
            <w:tcW w:w="769" w:type="pct"/>
            <w:shd w:val="clear" w:color="auto" w:fill="auto"/>
            <w:vAlign w:val="center"/>
          </w:tcPr>
          <w:p w:rsidR="00B14F75" w:rsidRPr="005C0DF8" w:rsidRDefault="000E5096" w:rsidP="00E35CCE">
            <w:pPr>
              <w:rPr>
                <w:rFonts w:ascii="Arial Narrow" w:hAnsi="Arial Narrow"/>
                <w:color w:val="000000"/>
                <w:sz w:val="20"/>
                <w:szCs w:val="18"/>
              </w:rPr>
            </w:pPr>
            <w:proofErr w:type="spellStart"/>
            <w:r w:rsidRPr="00D15548">
              <w:rPr>
                <w:rFonts w:ascii="Arial Narrow" w:hAnsi="Arial Narrow"/>
                <w:color w:val="000000"/>
                <w:sz w:val="20"/>
                <w:szCs w:val="18"/>
              </w:rPr>
              <w:t>rPFS</w:t>
            </w:r>
            <w:proofErr w:type="spellEnd"/>
          </w:p>
        </w:tc>
        <w:tc>
          <w:tcPr>
            <w:tcW w:w="741" w:type="pct"/>
            <w:vAlign w:val="center"/>
          </w:tcPr>
          <w:p w:rsidR="00B14F75" w:rsidRPr="005C0DF8" w:rsidRDefault="005C0DF8" w:rsidP="00E35CCE">
            <w:pPr>
              <w:jc w:val="center"/>
              <w:rPr>
                <w:rFonts w:ascii="Arial Narrow" w:hAnsi="Arial Narrow"/>
                <w:sz w:val="20"/>
                <w:highlight w:val="black"/>
              </w:rPr>
            </w:pPr>
            <w:r>
              <w:rPr>
                <w:rFonts w:ascii="Arial Narrow" w:hAnsi="Arial Narrow"/>
                <w:noProof/>
                <w:color w:val="000000"/>
                <w:sz w:val="20"/>
                <w:highlight w:val="black"/>
              </w:rPr>
              <w:t>''''''''''''''''''''</w:t>
            </w:r>
          </w:p>
        </w:tc>
        <w:tc>
          <w:tcPr>
            <w:tcW w:w="855" w:type="pct"/>
            <w:gridSpan w:val="2"/>
            <w:vAlign w:val="center"/>
          </w:tcPr>
          <w:p w:rsidR="00B14F75" w:rsidRPr="005C0DF8" w:rsidRDefault="005C0DF8" w:rsidP="00E35CCE">
            <w:pPr>
              <w:jc w:val="center"/>
              <w:rPr>
                <w:rFonts w:ascii="Arial Narrow" w:hAnsi="Arial Narrow"/>
                <w:sz w:val="20"/>
                <w:highlight w:val="black"/>
              </w:rPr>
            </w:pPr>
            <w:r>
              <w:rPr>
                <w:rFonts w:ascii="Arial Narrow" w:hAnsi="Arial Narrow"/>
                <w:noProof/>
                <w:color w:val="000000"/>
                <w:sz w:val="20"/>
                <w:highlight w:val="black"/>
              </w:rPr>
              <w:t>''''''''''''''''''</w:t>
            </w:r>
          </w:p>
        </w:tc>
        <w:tc>
          <w:tcPr>
            <w:tcW w:w="1292" w:type="pct"/>
            <w:gridSpan w:val="2"/>
            <w:vAlign w:val="center"/>
          </w:tcPr>
          <w:p w:rsidR="00B14F75" w:rsidRPr="005C0DF8" w:rsidRDefault="005C0DF8" w:rsidP="00E35CCE">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1343" w:type="pct"/>
            <w:gridSpan w:val="2"/>
            <w:vAlign w:val="center"/>
          </w:tcPr>
          <w:p w:rsidR="00B14F75" w:rsidRPr="005C0DF8" w:rsidRDefault="005C0DF8" w:rsidP="00E35CCE">
            <w:pPr>
              <w:jc w:val="center"/>
              <w:rPr>
                <w:rFonts w:ascii="Arial Narrow" w:hAnsi="Arial Narrow"/>
                <w:color w:val="000000"/>
                <w:sz w:val="20"/>
                <w:szCs w:val="18"/>
                <w:highlight w:val="black"/>
              </w:rPr>
            </w:pPr>
            <w:r>
              <w:rPr>
                <w:rFonts w:ascii="Arial Narrow" w:hAnsi="Arial Narrow"/>
                <w:noProof/>
                <w:color w:val="000000"/>
                <w:sz w:val="20"/>
                <w:highlight w:val="black"/>
              </w:rPr>
              <w:t>'''''''''''' '''''''''''''''' ''''''''''''''</w:t>
            </w:r>
          </w:p>
        </w:tc>
      </w:tr>
      <w:tr w:rsidR="000E5096" w:rsidRPr="008F0598" w:rsidTr="00E35CCE">
        <w:tc>
          <w:tcPr>
            <w:tcW w:w="769" w:type="pct"/>
            <w:shd w:val="clear" w:color="auto" w:fill="auto"/>
            <w:vAlign w:val="center"/>
          </w:tcPr>
          <w:p w:rsidR="000E5096" w:rsidRPr="005C0DF8" w:rsidRDefault="000E5096" w:rsidP="00E35CCE">
            <w:pPr>
              <w:rPr>
                <w:rFonts w:ascii="Arial Narrow" w:hAnsi="Arial Narrow"/>
                <w:color w:val="000000"/>
                <w:sz w:val="20"/>
                <w:szCs w:val="18"/>
              </w:rPr>
            </w:pPr>
            <w:r w:rsidRPr="00D15548">
              <w:rPr>
                <w:rFonts w:ascii="Arial Narrow" w:hAnsi="Arial Narrow"/>
                <w:sz w:val="20"/>
              </w:rPr>
              <w:t xml:space="preserve">Median </w:t>
            </w:r>
            <w:proofErr w:type="spellStart"/>
            <w:r w:rsidRPr="00D15548">
              <w:rPr>
                <w:rFonts w:ascii="Arial Narrow" w:hAnsi="Arial Narrow"/>
                <w:sz w:val="20"/>
              </w:rPr>
              <w:t>rPFS</w:t>
            </w:r>
            <w:proofErr w:type="spellEnd"/>
            <w:r w:rsidRPr="00D15548">
              <w:rPr>
                <w:rFonts w:ascii="Arial Narrow" w:hAnsi="Arial Narrow"/>
                <w:sz w:val="20"/>
              </w:rPr>
              <w:t xml:space="preserve"> (months)</w:t>
            </w:r>
          </w:p>
        </w:tc>
        <w:tc>
          <w:tcPr>
            <w:tcW w:w="741" w:type="pct"/>
            <w:vAlign w:val="center"/>
          </w:tcPr>
          <w:p w:rsidR="000E5096" w:rsidRPr="005C0DF8" w:rsidRDefault="005C0DF8" w:rsidP="00E35CCE">
            <w:pPr>
              <w:jc w:val="center"/>
              <w:rPr>
                <w:rFonts w:ascii="Arial Narrow" w:hAnsi="Arial Narrow"/>
                <w:sz w:val="20"/>
                <w:highlight w:val="black"/>
              </w:rPr>
            </w:pPr>
            <w:r>
              <w:rPr>
                <w:rFonts w:ascii="Arial Narrow" w:hAnsi="Arial Narrow"/>
                <w:noProof/>
                <w:color w:val="000000"/>
                <w:sz w:val="20"/>
                <w:highlight w:val="black"/>
              </w:rPr>
              <w:t>'''''''''''''</w:t>
            </w:r>
          </w:p>
          <w:p w:rsidR="000E5096" w:rsidRPr="005C0DF8" w:rsidRDefault="005C0DF8" w:rsidP="00E35CCE">
            <w:pPr>
              <w:jc w:val="center"/>
              <w:rPr>
                <w:rFonts w:ascii="Arial Narrow" w:hAnsi="Arial Narrow"/>
                <w:sz w:val="20"/>
                <w:highlight w:val="black"/>
              </w:rPr>
            </w:pPr>
            <w:r>
              <w:rPr>
                <w:rFonts w:ascii="Arial Narrow" w:hAnsi="Arial Narrow"/>
                <w:noProof/>
                <w:color w:val="000000"/>
                <w:sz w:val="20"/>
                <w:highlight w:val="black"/>
              </w:rPr>
              <w:t>''''''''''''''''' '''''''''''''''</w:t>
            </w:r>
          </w:p>
        </w:tc>
        <w:tc>
          <w:tcPr>
            <w:tcW w:w="855" w:type="pct"/>
            <w:gridSpan w:val="2"/>
            <w:vAlign w:val="center"/>
          </w:tcPr>
          <w:p w:rsidR="000E5096" w:rsidRPr="005C0DF8" w:rsidRDefault="005C0DF8" w:rsidP="00E35CCE">
            <w:pPr>
              <w:jc w:val="center"/>
              <w:rPr>
                <w:rFonts w:ascii="Arial Narrow" w:hAnsi="Arial Narrow"/>
                <w:sz w:val="20"/>
                <w:highlight w:val="black"/>
              </w:rPr>
            </w:pPr>
            <w:r>
              <w:rPr>
                <w:rFonts w:ascii="Arial Narrow" w:hAnsi="Arial Narrow"/>
                <w:noProof/>
                <w:color w:val="000000"/>
                <w:sz w:val="20"/>
                <w:highlight w:val="black"/>
              </w:rPr>
              <w:t>'''''''''''</w:t>
            </w:r>
          </w:p>
          <w:p w:rsidR="000E5096" w:rsidRPr="005C0DF8" w:rsidRDefault="005C0DF8" w:rsidP="00E35CCE">
            <w:pPr>
              <w:jc w:val="center"/>
              <w:rPr>
                <w:rFonts w:ascii="Arial Narrow" w:hAnsi="Arial Narrow"/>
                <w:sz w:val="20"/>
                <w:highlight w:val="black"/>
              </w:rPr>
            </w:pPr>
            <w:r>
              <w:rPr>
                <w:rFonts w:ascii="Arial Narrow" w:hAnsi="Arial Narrow"/>
                <w:noProof/>
                <w:color w:val="000000"/>
                <w:sz w:val="20"/>
                <w:highlight w:val="black"/>
              </w:rPr>
              <w:t>''''''''''''' ''''''''''''</w:t>
            </w:r>
          </w:p>
        </w:tc>
        <w:tc>
          <w:tcPr>
            <w:tcW w:w="1292" w:type="pct"/>
            <w:gridSpan w:val="2"/>
            <w:vAlign w:val="center"/>
          </w:tcPr>
          <w:p w:rsidR="000E5096" w:rsidRPr="005C0DF8" w:rsidRDefault="005C0DF8" w:rsidP="00E35CCE">
            <w:pPr>
              <w:jc w:val="center"/>
              <w:rPr>
                <w:rFonts w:ascii="Arial Narrow" w:hAnsi="Arial Narrow"/>
                <w:color w:val="000000"/>
                <w:sz w:val="20"/>
                <w:szCs w:val="18"/>
                <w:highlight w:val="black"/>
              </w:rPr>
            </w:pPr>
            <w:r>
              <w:rPr>
                <w:rFonts w:ascii="Arial Narrow" w:hAnsi="Arial Narrow"/>
                <w:iCs/>
                <w:noProof/>
                <w:color w:val="000000"/>
                <w:sz w:val="20"/>
                <w:highlight w:val="black"/>
              </w:rPr>
              <w:t>'''''''''''</w:t>
            </w:r>
          </w:p>
        </w:tc>
        <w:tc>
          <w:tcPr>
            <w:tcW w:w="1343" w:type="pct"/>
            <w:gridSpan w:val="2"/>
            <w:vAlign w:val="center"/>
          </w:tcPr>
          <w:p w:rsidR="000E5096" w:rsidRPr="005C0DF8" w:rsidRDefault="005C0DF8" w:rsidP="00E35CCE">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r>
      <w:tr w:rsidR="00B14F75" w:rsidRPr="008F0598" w:rsidTr="00E35CCE">
        <w:tc>
          <w:tcPr>
            <w:tcW w:w="5000" w:type="pct"/>
            <w:gridSpan w:val="8"/>
            <w:tcBorders>
              <w:top w:val="double" w:sz="4" w:space="0" w:color="auto"/>
            </w:tcBorders>
            <w:shd w:val="clear" w:color="auto" w:fill="auto"/>
            <w:vAlign w:val="center"/>
          </w:tcPr>
          <w:p w:rsidR="00B14F75" w:rsidRPr="005C0DF8" w:rsidRDefault="00B14F75" w:rsidP="00E35CCE">
            <w:pPr>
              <w:rPr>
                <w:rFonts w:ascii="Arial Narrow" w:hAnsi="Arial Narrow"/>
                <w:b/>
                <w:color w:val="000000"/>
                <w:sz w:val="20"/>
                <w:szCs w:val="18"/>
              </w:rPr>
            </w:pPr>
            <w:r w:rsidRPr="00D15548">
              <w:rPr>
                <w:rFonts w:ascii="Arial Narrow" w:hAnsi="Arial Narrow"/>
                <w:b/>
                <w:color w:val="000000"/>
                <w:sz w:val="20"/>
                <w:szCs w:val="18"/>
              </w:rPr>
              <w:t xml:space="preserve">Harms </w:t>
            </w:r>
          </w:p>
        </w:tc>
      </w:tr>
      <w:tr w:rsidR="00B14F75" w:rsidRPr="008F0598" w:rsidTr="00E35CCE">
        <w:trPr>
          <w:trHeight w:val="70"/>
        </w:trPr>
        <w:tc>
          <w:tcPr>
            <w:tcW w:w="769" w:type="pct"/>
            <w:vMerge w:val="restart"/>
            <w:shd w:val="clear" w:color="auto" w:fill="auto"/>
            <w:vAlign w:val="center"/>
          </w:tcPr>
          <w:p w:rsidR="00B14F75" w:rsidRPr="005C0DF8" w:rsidRDefault="00B14F75" w:rsidP="00E35CCE">
            <w:pPr>
              <w:rPr>
                <w:rFonts w:ascii="Arial Narrow" w:hAnsi="Arial Narrow"/>
                <w:b/>
                <w:color w:val="000000"/>
                <w:sz w:val="20"/>
                <w:szCs w:val="18"/>
              </w:rPr>
            </w:pPr>
          </w:p>
        </w:tc>
        <w:tc>
          <w:tcPr>
            <w:tcW w:w="753" w:type="pct"/>
            <w:gridSpan w:val="2"/>
            <w:vMerge w:val="restart"/>
            <w:vAlign w:val="center"/>
          </w:tcPr>
          <w:p w:rsidR="00B14F75" w:rsidRPr="005C0DF8" w:rsidRDefault="00B14F75" w:rsidP="00E35CCE">
            <w:pPr>
              <w:jc w:val="center"/>
              <w:rPr>
                <w:rFonts w:ascii="Arial Narrow" w:hAnsi="Arial Narrow"/>
                <w:b/>
                <w:color w:val="000000"/>
                <w:sz w:val="20"/>
                <w:szCs w:val="18"/>
              </w:rPr>
            </w:pPr>
            <w:proofErr w:type="spellStart"/>
            <w:r w:rsidRPr="00D15548">
              <w:rPr>
                <w:rFonts w:ascii="Arial Narrow" w:hAnsi="Arial Narrow"/>
                <w:b/>
                <w:color w:val="000000"/>
                <w:sz w:val="20"/>
                <w:szCs w:val="18"/>
              </w:rPr>
              <w:t>Abiraterone</w:t>
            </w:r>
            <w:proofErr w:type="spellEnd"/>
          </w:p>
        </w:tc>
        <w:tc>
          <w:tcPr>
            <w:tcW w:w="843" w:type="pct"/>
            <w:vMerge w:val="restart"/>
            <w:vAlign w:val="center"/>
          </w:tcPr>
          <w:p w:rsidR="00B14F75" w:rsidRPr="005C0DF8" w:rsidRDefault="00B14F75" w:rsidP="00E35CCE">
            <w:pPr>
              <w:jc w:val="center"/>
              <w:rPr>
                <w:rFonts w:ascii="Arial Narrow" w:hAnsi="Arial Narrow"/>
                <w:b/>
                <w:color w:val="000000"/>
                <w:sz w:val="20"/>
                <w:szCs w:val="18"/>
              </w:rPr>
            </w:pPr>
            <w:r w:rsidRPr="00D15548">
              <w:rPr>
                <w:rFonts w:ascii="Arial Narrow" w:hAnsi="Arial Narrow"/>
                <w:b/>
                <w:color w:val="000000"/>
                <w:sz w:val="20"/>
                <w:szCs w:val="18"/>
              </w:rPr>
              <w:t>Watchful waiting (placebo)</w:t>
            </w:r>
          </w:p>
        </w:tc>
        <w:tc>
          <w:tcPr>
            <w:tcW w:w="646" w:type="pct"/>
            <w:vMerge w:val="restart"/>
            <w:vAlign w:val="center"/>
          </w:tcPr>
          <w:p w:rsidR="00B14F75" w:rsidRPr="00D15548" w:rsidRDefault="00B14F75" w:rsidP="00E35CCE">
            <w:pPr>
              <w:jc w:val="center"/>
              <w:rPr>
                <w:rFonts w:ascii="Arial Narrow" w:hAnsi="Arial Narrow"/>
                <w:b/>
                <w:color w:val="000000"/>
                <w:sz w:val="20"/>
                <w:szCs w:val="18"/>
              </w:rPr>
            </w:pPr>
            <w:r w:rsidRPr="00D15548">
              <w:rPr>
                <w:rFonts w:ascii="Arial Narrow" w:hAnsi="Arial Narrow"/>
                <w:b/>
                <w:color w:val="000000"/>
                <w:sz w:val="20"/>
                <w:szCs w:val="18"/>
              </w:rPr>
              <w:t>RR</w:t>
            </w:r>
          </w:p>
          <w:p w:rsidR="00B14F75" w:rsidRPr="005C0DF8" w:rsidRDefault="00B14F75" w:rsidP="00E35CCE">
            <w:pPr>
              <w:jc w:val="center"/>
              <w:rPr>
                <w:rFonts w:ascii="Arial Narrow" w:hAnsi="Arial Narrow"/>
                <w:b/>
                <w:color w:val="000000"/>
                <w:sz w:val="20"/>
                <w:szCs w:val="18"/>
              </w:rPr>
            </w:pPr>
            <w:r w:rsidRPr="00D15548">
              <w:rPr>
                <w:rFonts w:ascii="Arial Narrow" w:hAnsi="Arial Narrow"/>
                <w:b/>
                <w:color w:val="000000"/>
                <w:sz w:val="20"/>
                <w:szCs w:val="18"/>
              </w:rPr>
              <w:t>(95% CI)</w:t>
            </w:r>
          </w:p>
        </w:tc>
        <w:tc>
          <w:tcPr>
            <w:tcW w:w="646" w:type="pct"/>
            <w:vMerge w:val="restart"/>
            <w:vAlign w:val="center"/>
          </w:tcPr>
          <w:p w:rsidR="00B14F75" w:rsidRPr="00D15548" w:rsidRDefault="00B14F75" w:rsidP="00E35CCE">
            <w:pPr>
              <w:jc w:val="center"/>
              <w:rPr>
                <w:rFonts w:ascii="Arial Narrow" w:hAnsi="Arial Narrow"/>
                <w:b/>
                <w:color w:val="000000"/>
                <w:sz w:val="20"/>
                <w:szCs w:val="18"/>
              </w:rPr>
            </w:pPr>
            <w:r w:rsidRPr="00D15548">
              <w:rPr>
                <w:rFonts w:ascii="Arial Narrow" w:hAnsi="Arial Narrow"/>
                <w:b/>
                <w:color w:val="000000"/>
                <w:sz w:val="20"/>
                <w:szCs w:val="18"/>
              </w:rPr>
              <w:t>RD</w:t>
            </w:r>
          </w:p>
          <w:p w:rsidR="00B14F75" w:rsidRPr="005C0DF8" w:rsidRDefault="00B14F75" w:rsidP="00E35CCE">
            <w:pPr>
              <w:jc w:val="center"/>
              <w:rPr>
                <w:rFonts w:ascii="Arial Narrow" w:hAnsi="Arial Narrow"/>
                <w:b/>
                <w:color w:val="000000"/>
                <w:sz w:val="20"/>
                <w:szCs w:val="18"/>
              </w:rPr>
            </w:pPr>
            <w:r w:rsidRPr="00D15548">
              <w:rPr>
                <w:rFonts w:ascii="Arial Narrow" w:hAnsi="Arial Narrow"/>
                <w:b/>
                <w:color w:val="000000"/>
                <w:sz w:val="20"/>
                <w:szCs w:val="18"/>
              </w:rPr>
              <w:t>(95% CI)</w:t>
            </w:r>
          </w:p>
        </w:tc>
        <w:tc>
          <w:tcPr>
            <w:tcW w:w="1343" w:type="pct"/>
            <w:gridSpan w:val="2"/>
            <w:vAlign w:val="center"/>
          </w:tcPr>
          <w:p w:rsidR="00B14F75" w:rsidRPr="005C0DF8" w:rsidRDefault="00B14F75" w:rsidP="00E35CCE">
            <w:pPr>
              <w:jc w:val="center"/>
              <w:rPr>
                <w:rFonts w:ascii="Arial Narrow" w:hAnsi="Arial Narrow"/>
                <w:b/>
                <w:color w:val="000000"/>
                <w:sz w:val="20"/>
                <w:szCs w:val="18"/>
              </w:rPr>
            </w:pPr>
            <w:r w:rsidRPr="00D15548">
              <w:rPr>
                <w:rFonts w:ascii="Arial Narrow" w:hAnsi="Arial Narrow"/>
                <w:b/>
                <w:color w:val="000000"/>
                <w:sz w:val="20"/>
                <w:szCs w:val="18"/>
              </w:rPr>
              <w:t>Event rate/100 patients</w:t>
            </w:r>
          </w:p>
        </w:tc>
      </w:tr>
      <w:tr w:rsidR="00B14F75" w:rsidRPr="008F0598" w:rsidTr="00E35CCE">
        <w:trPr>
          <w:trHeight w:val="390"/>
        </w:trPr>
        <w:tc>
          <w:tcPr>
            <w:tcW w:w="769" w:type="pct"/>
            <w:vMerge/>
            <w:shd w:val="clear" w:color="auto" w:fill="auto"/>
            <w:vAlign w:val="center"/>
          </w:tcPr>
          <w:p w:rsidR="00B14F75" w:rsidRPr="005C0DF8" w:rsidRDefault="00B14F75" w:rsidP="00E35CCE">
            <w:pPr>
              <w:rPr>
                <w:rFonts w:ascii="Arial Narrow" w:hAnsi="Arial Narrow"/>
                <w:b/>
                <w:color w:val="000000"/>
                <w:sz w:val="20"/>
                <w:szCs w:val="18"/>
              </w:rPr>
            </w:pPr>
          </w:p>
        </w:tc>
        <w:tc>
          <w:tcPr>
            <w:tcW w:w="753" w:type="pct"/>
            <w:gridSpan w:val="2"/>
            <w:vMerge/>
            <w:vAlign w:val="center"/>
          </w:tcPr>
          <w:p w:rsidR="00B14F75" w:rsidRPr="005C0DF8" w:rsidRDefault="00B14F75" w:rsidP="00E35CCE">
            <w:pPr>
              <w:jc w:val="center"/>
              <w:rPr>
                <w:rFonts w:ascii="Arial Narrow" w:hAnsi="Arial Narrow"/>
                <w:b/>
                <w:color w:val="000000"/>
                <w:sz w:val="20"/>
                <w:szCs w:val="18"/>
              </w:rPr>
            </w:pPr>
          </w:p>
        </w:tc>
        <w:tc>
          <w:tcPr>
            <w:tcW w:w="843" w:type="pct"/>
            <w:vMerge/>
            <w:vAlign w:val="center"/>
          </w:tcPr>
          <w:p w:rsidR="00B14F75" w:rsidRPr="005C0DF8" w:rsidRDefault="00B14F75" w:rsidP="00E35CCE">
            <w:pPr>
              <w:jc w:val="center"/>
              <w:rPr>
                <w:rFonts w:ascii="Arial Narrow" w:hAnsi="Arial Narrow"/>
                <w:b/>
                <w:color w:val="000000"/>
                <w:sz w:val="20"/>
                <w:szCs w:val="18"/>
              </w:rPr>
            </w:pPr>
          </w:p>
        </w:tc>
        <w:tc>
          <w:tcPr>
            <w:tcW w:w="646" w:type="pct"/>
            <w:vMerge/>
            <w:vAlign w:val="center"/>
          </w:tcPr>
          <w:p w:rsidR="00B14F75" w:rsidRPr="005C0DF8" w:rsidRDefault="00B14F75" w:rsidP="00E35CCE">
            <w:pPr>
              <w:jc w:val="center"/>
              <w:rPr>
                <w:rFonts w:ascii="Arial Narrow" w:hAnsi="Arial Narrow"/>
                <w:b/>
                <w:color w:val="000000"/>
                <w:sz w:val="20"/>
                <w:szCs w:val="18"/>
              </w:rPr>
            </w:pPr>
          </w:p>
        </w:tc>
        <w:tc>
          <w:tcPr>
            <w:tcW w:w="646" w:type="pct"/>
            <w:vMerge/>
            <w:vAlign w:val="center"/>
          </w:tcPr>
          <w:p w:rsidR="00B14F75" w:rsidRPr="005C0DF8" w:rsidRDefault="00B14F75" w:rsidP="00E35CCE">
            <w:pPr>
              <w:jc w:val="center"/>
              <w:rPr>
                <w:rFonts w:ascii="Arial Narrow" w:hAnsi="Arial Narrow"/>
                <w:b/>
                <w:color w:val="000000"/>
                <w:sz w:val="20"/>
                <w:szCs w:val="18"/>
              </w:rPr>
            </w:pPr>
          </w:p>
        </w:tc>
        <w:tc>
          <w:tcPr>
            <w:tcW w:w="660" w:type="pct"/>
            <w:vAlign w:val="center"/>
          </w:tcPr>
          <w:p w:rsidR="00B14F75" w:rsidRPr="005C0DF8" w:rsidRDefault="00B14F75" w:rsidP="00E35CCE">
            <w:pPr>
              <w:jc w:val="center"/>
              <w:rPr>
                <w:rFonts w:ascii="Arial Narrow" w:hAnsi="Arial Narrow"/>
                <w:b/>
                <w:color w:val="000000"/>
                <w:sz w:val="20"/>
                <w:szCs w:val="18"/>
              </w:rPr>
            </w:pPr>
            <w:proofErr w:type="spellStart"/>
            <w:r w:rsidRPr="00D15548">
              <w:rPr>
                <w:rFonts w:ascii="Arial Narrow" w:hAnsi="Arial Narrow"/>
                <w:b/>
                <w:color w:val="000000"/>
                <w:sz w:val="20"/>
                <w:szCs w:val="18"/>
              </w:rPr>
              <w:t>Abiraterone</w:t>
            </w:r>
            <w:proofErr w:type="spellEnd"/>
          </w:p>
        </w:tc>
        <w:tc>
          <w:tcPr>
            <w:tcW w:w="683" w:type="pct"/>
            <w:vAlign w:val="center"/>
          </w:tcPr>
          <w:p w:rsidR="00B14F75" w:rsidRPr="005C0DF8" w:rsidRDefault="00B14F75" w:rsidP="00E35CCE">
            <w:pPr>
              <w:jc w:val="center"/>
              <w:rPr>
                <w:rFonts w:ascii="Arial Narrow" w:hAnsi="Arial Narrow"/>
                <w:b/>
                <w:color w:val="000000"/>
                <w:sz w:val="20"/>
                <w:szCs w:val="18"/>
              </w:rPr>
            </w:pPr>
            <w:r w:rsidRPr="00D15548">
              <w:rPr>
                <w:rFonts w:ascii="Arial Narrow" w:hAnsi="Arial Narrow"/>
                <w:b/>
                <w:color w:val="000000"/>
                <w:sz w:val="20"/>
                <w:szCs w:val="18"/>
              </w:rPr>
              <w:t>Watchful waiting (placebo)</w:t>
            </w:r>
          </w:p>
        </w:tc>
      </w:tr>
      <w:tr w:rsidR="00B14F75" w:rsidRPr="008F0598" w:rsidTr="00E35CCE">
        <w:tc>
          <w:tcPr>
            <w:tcW w:w="5000" w:type="pct"/>
            <w:gridSpan w:val="8"/>
            <w:shd w:val="clear" w:color="auto" w:fill="auto"/>
            <w:vAlign w:val="center"/>
          </w:tcPr>
          <w:p w:rsidR="00B14F75" w:rsidRPr="005C0DF8" w:rsidRDefault="00B14F75" w:rsidP="00E35CCE">
            <w:pPr>
              <w:rPr>
                <w:rFonts w:ascii="Arial Narrow" w:hAnsi="Arial Narrow"/>
                <w:b/>
                <w:color w:val="000000"/>
                <w:sz w:val="20"/>
                <w:szCs w:val="18"/>
              </w:rPr>
            </w:pPr>
            <w:r w:rsidRPr="00D15548">
              <w:rPr>
                <w:rFonts w:ascii="Arial Narrow" w:hAnsi="Arial Narrow"/>
                <w:b/>
                <w:color w:val="000000"/>
                <w:sz w:val="20"/>
                <w:szCs w:val="18"/>
              </w:rPr>
              <w:t>Adverse event (treatment emergent) of special interest in Trial 302 (safety population)</w:t>
            </w:r>
          </w:p>
        </w:tc>
      </w:tr>
      <w:tr w:rsidR="00B14F75" w:rsidRPr="008F0598" w:rsidTr="00E35CCE">
        <w:tc>
          <w:tcPr>
            <w:tcW w:w="769" w:type="pct"/>
            <w:shd w:val="clear" w:color="auto" w:fill="auto"/>
            <w:vAlign w:val="center"/>
          </w:tcPr>
          <w:p w:rsidR="00B14F75" w:rsidRPr="005C0DF8" w:rsidRDefault="00B14F75" w:rsidP="00E35CCE">
            <w:pPr>
              <w:rPr>
                <w:rFonts w:ascii="Arial Narrow" w:hAnsi="Arial Narrow"/>
                <w:color w:val="000000"/>
                <w:sz w:val="20"/>
                <w:szCs w:val="18"/>
              </w:rPr>
            </w:pPr>
            <w:r w:rsidRPr="00D15548">
              <w:rPr>
                <w:rFonts w:ascii="Arial Narrow" w:hAnsi="Arial Narrow"/>
                <w:color w:val="000000"/>
                <w:sz w:val="20"/>
                <w:szCs w:val="18"/>
              </w:rPr>
              <w:t>Fluid retention</w:t>
            </w:r>
          </w:p>
        </w:tc>
        <w:tc>
          <w:tcPr>
            <w:tcW w:w="753" w:type="pct"/>
            <w:gridSpan w:val="2"/>
            <w:vAlign w:val="center"/>
          </w:tcPr>
          <w:p w:rsidR="00B14F75" w:rsidRPr="005C0DF8" w:rsidRDefault="005C0DF8" w:rsidP="00E35CCE">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p w:rsidR="00B14F75" w:rsidRPr="005C0DF8" w:rsidRDefault="005C0DF8" w:rsidP="00E35CCE">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43" w:type="pct"/>
            <w:vAlign w:val="center"/>
          </w:tcPr>
          <w:p w:rsidR="00B14F75" w:rsidRPr="005C0DF8" w:rsidRDefault="005C0DF8" w:rsidP="00E35CCE">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p w:rsidR="00B14F75" w:rsidRPr="005C0DF8" w:rsidRDefault="005C0DF8" w:rsidP="00E35CCE">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646" w:type="pct"/>
            <w:vAlign w:val="center"/>
          </w:tcPr>
          <w:p w:rsidR="00B14F75" w:rsidRPr="005C0DF8" w:rsidRDefault="005C0DF8" w:rsidP="00E35CCE">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p w:rsidR="00B14F75" w:rsidRPr="005C0DF8" w:rsidRDefault="005C0DF8" w:rsidP="00E35CCE">
            <w:pPr>
              <w:jc w:val="center"/>
              <w:rPr>
                <w:rFonts w:ascii="Arial Narrow" w:hAnsi="Arial Narrow"/>
                <w:color w:val="000000"/>
                <w:sz w:val="20"/>
                <w:szCs w:val="18"/>
                <w:highlight w:val="black"/>
              </w:rPr>
            </w:pPr>
            <w:r>
              <w:rPr>
                <w:rFonts w:ascii="Arial Narrow" w:hAnsi="Arial Narrow"/>
                <w:noProof/>
                <w:color w:val="000000"/>
                <w:sz w:val="20"/>
                <w:szCs w:val="18"/>
                <w:highlight w:val="black"/>
              </w:rPr>
              <w:t>'''''''''''''''' ''''''''''''</w:t>
            </w:r>
          </w:p>
        </w:tc>
        <w:tc>
          <w:tcPr>
            <w:tcW w:w="646" w:type="pct"/>
            <w:vAlign w:val="center"/>
          </w:tcPr>
          <w:p w:rsidR="00B14F75" w:rsidRPr="005C0DF8" w:rsidRDefault="005C0DF8" w:rsidP="00E35CCE">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p w:rsidR="00B14F75" w:rsidRPr="005C0DF8" w:rsidRDefault="005C0DF8" w:rsidP="00E35CCE">
            <w:pPr>
              <w:jc w:val="center"/>
              <w:rPr>
                <w:rFonts w:ascii="Arial Narrow" w:hAnsi="Arial Narrow"/>
                <w:color w:val="000000"/>
                <w:sz w:val="20"/>
                <w:szCs w:val="18"/>
                <w:highlight w:val="black"/>
              </w:rPr>
            </w:pPr>
            <w:r>
              <w:rPr>
                <w:rFonts w:ascii="Arial Narrow" w:hAnsi="Arial Narrow"/>
                <w:noProof/>
                <w:color w:val="000000"/>
                <w:sz w:val="20"/>
                <w:szCs w:val="18"/>
                <w:highlight w:val="black"/>
              </w:rPr>
              <w:t>'''''''''''''''' ''''''''''''''</w:t>
            </w:r>
          </w:p>
        </w:tc>
        <w:tc>
          <w:tcPr>
            <w:tcW w:w="660" w:type="pct"/>
            <w:vAlign w:val="center"/>
          </w:tcPr>
          <w:p w:rsidR="00B14F75" w:rsidRPr="005C0DF8" w:rsidRDefault="005C0DF8" w:rsidP="00E35CCE">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683" w:type="pct"/>
            <w:vAlign w:val="center"/>
          </w:tcPr>
          <w:p w:rsidR="00B14F75" w:rsidRPr="005C0DF8" w:rsidRDefault="005C0DF8" w:rsidP="00E35CCE">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r>
      <w:tr w:rsidR="00B14F75" w:rsidRPr="008F0598" w:rsidTr="00E35CCE">
        <w:tc>
          <w:tcPr>
            <w:tcW w:w="769" w:type="pct"/>
            <w:shd w:val="clear" w:color="auto" w:fill="auto"/>
            <w:vAlign w:val="center"/>
          </w:tcPr>
          <w:p w:rsidR="00B14F75" w:rsidRPr="005C0DF8" w:rsidRDefault="00B14F75" w:rsidP="00E35CCE">
            <w:pPr>
              <w:rPr>
                <w:rFonts w:ascii="Arial Narrow" w:hAnsi="Arial Narrow"/>
                <w:color w:val="000000"/>
                <w:sz w:val="20"/>
                <w:szCs w:val="18"/>
              </w:rPr>
            </w:pPr>
            <w:r w:rsidRPr="00D15548">
              <w:rPr>
                <w:rFonts w:ascii="Arial Narrow" w:hAnsi="Arial Narrow"/>
                <w:color w:val="000000"/>
                <w:sz w:val="20"/>
                <w:szCs w:val="18"/>
              </w:rPr>
              <w:t>Hypokalaemia</w:t>
            </w:r>
          </w:p>
        </w:tc>
        <w:tc>
          <w:tcPr>
            <w:tcW w:w="753" w:type="pct"/>
            <w:gridSpan w:val="2"/>
            <w:vAlign w:val="center"/>
          </w:tcPr>
          <w:p w:rsidR="00B14F75" w:rsidRPr="005C0DF8" w:rsidRDefault="005C0DF8" w:rsidP="00E35CCE">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p w:rsidR="00B14F75" w:rsidRPr="005C0DF8" w:rsidRDefault="005C0DF8" w:rsidP="00E35CCE">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43" w:type="pct"/>
            <w:vAlign w:val="center"/>
          </w:tcPr>
          <w:p w:rsidR="00B14F75" w:rsidRPr="005C0DF8" w:rsidRDefault="005C0DF8" w:rsidP="00E35CCE">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p w:rsidR="00B14F75" w:rsidRPr="005C0DF8" w:rsidRDefault="005C0DF8" w:rsidP="00E35CCE">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646" w:type="pct"/>
            <w:vAlign w:val="center"/>
          </w:tcPr>
          <w:p w:rsidR="00B14F75" w:rsidRPr="005C0DF8" w:rsidRDefault="005C0DF8" w:rsidP="00E35CCE">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p w:rsidR="00B14F75" w:rsidRPr="005C0DF8" w:rsidRDefault="005C0DF8" w:rsidP="00E35CCE">
            <w:pPr>
              <w:jc w:val="center"/>
              <w:rPr>
                <w:rFonts w:ascii="Arial Narrow" w:hAnsi="Arial Narrow"/>
                <w:color w:val="000000"/>
                <w:sz w:val="20"/>
                <w:szCs w:val="18"/>
                <w:highlight w:val="black"/>
              </w:rPr>
            </w:pPr>
            <w:r>
              <w:rPr>
                <w:rFonts w:ascii="Arial Narrow" w:hAnsi="Arial Narrow"/>
                <w:noProof/>
                <w:color w:val="000000"/>
                <w:sz w:val="20"/>
                <w:szCs w:val="18"/>
                <w:highlight w:val="black"/>
              </w:rPr>
              <w:t>''''''''''''' '''''''''''</w:t>
            </w:r>
          </w:p>
        </w:tc>
        <w:tc>
          <w:tcPr>
            <w:tcW w:w="646" w:type="pct"/>
            <w:vAlign w:val="center"/>
          </w:tcPr>
          <w:p w:rsidR="00B14F75" w:rsidRPr="005C0DF8" w:rsidRDefault="005C0DF8" w:rsidP="00E35CCE">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p w:rsidR="00B14F75" w:rsidRPr="005C0DF8" w:rsidRDefault="005C0DF8" w:rsidP="00E35CCE">
            <w:pPr>
              <w:jc w:val="center"/>
              <w:rPr>
                <w:rFonts w:ascii="Arial Narrow" w:hAnsi="Arial Narrow"/>
                <w:color w:val="000000"/>
                <w:sz w:val="20"/>
                <w:szCs w:val="18"/>
                <w:highlight w:val="black"/>
              </w:rPr>
            </w:pPr>
            <w:r>
              <w:rPr>
                <w:rFonts w:ascii="Arial Narrow" w:hAnsi="Arial Narrow"/>
                <w:noProof/>
                <w:color w:val="000000"/>
                <w:sz w:val="20"/>
                <w:szCs w:val="18"/>
                <w:highlight w:val="black"/>
              </w:rPr>
              <w:t>''''''''''''''' '''''''''''''</w:t>
            </w:r>
          </w:p>
        </w:tc>
        <w:tc>
          <w:tcPr>
            <w:tcW w:w="660" w:type="pct"/>
            <w:vAlign w:val="center"/>
          </w:tcPr>
          <w:p w:rsidR="00B14F75" w:rsidRPr="005C0DF8" w:rsidRDefault="005C0DF8" w:rsidP="00E35CCE">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683" w:type="pct"/>
            <w:vAlign w:val="center"/>
          </w:tcPr>
          <w:p w:rsidR="00B14F75" w:rsidRPr="005C0DF8" w:rsidRDefault="005C0DF8" w:rsidP="00E35CCE">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r>
      <w:tr w:rsidR="00B14F75" w:rsidRPr="008F0598" w:rsidTr="00E35CCE">
        <w:tc>
          <w:tcPr>
            <w:tcW w:w="769" w:type="pct"/>
            <w:shd w:val="clear" w:color="auto" w:fill="auto"/>
            <w:vAlign w:val="center"/>
          </w:tcPr>
          <w:p w:rsidR="00B14F75" w:rsidRPr="005C0DF8" w:rsidRDefault="00B14F75" w:rsidP="00E35CCE">
            <w:pPr>
              <w:rPr>
                <w:rFonts w:ascii="Arial Narrow" w:hAnsi="Arial Narrow"/>
                <w:color w:val="000000"/>
                <w:sz w:val="20"/>
                <w:szCs w:val="18"/>
              </w:rPr>
            </w:pPr>
            <w:r w:rsidRPr="00D15548">
              <w:rPr>
                <w:rFonts w:ascii="Arial Narrow" w:hAnsi="Arial Narrow"/>
                <w:color w:val="000000"/>
                <w:sz w:val="20"/>
                <w:szCs w:val="18"/>
              </w:rPr>
              <w:t>Hepatotoxicity</w:t>
            </w:r>
          </w:p>
        </w:tc>
        <w:tc>
          <w:tcPr>
            <w:tcW w:w="753" w:type="pct"/>
            <w:gridSpan w:val="2"/>
            <w:vAlign w:val="center"/>
          </w:tcPr>
          <w:p w:rsidR="00B14F75" w:rsidRPr="005C0DF8" w:rsidRDefault="005C0DF8" w:rsidP="00E35CCE">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p w:rsidR="00B14F75" w:rsidRPr="005C0DF8" w:rsidRDefault="005C0DF8" w:rsidP="00E35CCE">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43" w:type="pct"/>
            <w:vAlign w:val="center"/>
          </w:tcPr>
          <w:p w:rsidR="00B14F75" w:rsidRPr="005C0DF8" w:rsidRDefault="005C0DF8" w:rsidP="00E35CCE">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p w:rsidR="00B14F75" w:rsidRPr="005C0DF8" w:rsidRDefault="005C0DF8" w:rsidP="00E35CCE">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646" w:type="pct"/>
            <w:vAlign w:val="center"/>
          </w:tcPr>
          <w:p w:rsidR="00B14F75" w:rsidRPr="005C0DF8" w:rsidRDefault="005C0DF8" w:rsidP="00E35CCE">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p w:rsidR="00B14F75" w:rsidRPr="005C0DF8" w:rsidRDefault="005C0DF8" w:rsidP="00E35CCE">
            <w:pPr>
              <w:jc w:val="center"/>
              <w:rPr>
                <w:rFonts w:ascii="Arial Narrow" w:hAnsi="Arial Narrow"/>
                <w:color w:val="000000"/>
                <w:sz w:val="20"/>
                <w:szCs w:val="18"/>
                <w:highlight w:val="black"/>
              </w:rPr>
            </w:pPr>
            <w:r>
              <w:rPr>
                <w:rFonts w:ascii="Arial Narrow" w:hAnsi="Arial Narrow"/>
                <w:noProof/>
                <w:color w:val="000000"/>
                <w:sz w:val="20"/>
                <w:szCs w:val="18"/>
                <w:highlight w:val="black"/>
              </w:rPr>
              <w:t>''''''''''''''' ''''''''''''</w:t>
            </w:r>
          </w:p>
        </w:tc>
        <w:tc>
          <w:tcPr>
            <w:tcW w:w="646" w:type="pct"/>
            <w:vAlign w:val="center"/>
          </w:tcPr>
          <w:p w:rsidR="00B14F75" w:rsidRPr="005C0DF8" w:rsidRDefault="005C0DF8" w:rsidP="00E35CCE">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p w:rsidR="00B14F75" w:rsidRPr="005C0DF8" w:rsidRDefault="005C0DF8" w:rsidP="00E35CCE">
            <w:pPr>
              <w:jc w:val="center"/>
              <w:rPr>
                <w:rFonts w:ascii="Arial Narrow" w:hAnsi="Arial Narrow"/>
                <w:color w:val="000000"/>
                <w:sz w:val="20"/>
                <w:szCs w:val="18"/>
                <w:highlight w:val="black"/>
              </w:rPr>
            </w:pPr>
            <w:r>
              <w:rPr>
                <w:rFonts w:ascii="Arial Narrow" w:hAnsi="Arial Narrow"/>
                <w:noProof/>
                <w:color w:val="000000"/>
                <w:sz w:val="20"/>
                <w:szCs w:val="18"/>
                <w:highlight w:val="black"/>
              </w:rPr>
              <w:t>''''''''''''' ''''''''''''''</w:t>
            </w:r>
          </w:p>
        </w:tc>
        <w:tc>
          <w:tcPr>
            <w:tcW w:w="660" w:type="pct"/>
            <w:vAlign w:val="center"/>
          </w:tcPr>
          <w:p w:rsidR="00B14F75" w:rsidRPr="005C0DF8" w:rsidRDefault="005C0DF8" w:rsidP="00E35CCE">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683" w:type="pct"/>
            <w:vAlign w:val="center"/>
          </w:tcPr>
          <w:p w:rsidR="00B14F75" w:rsidRPr="005C0DF8" w:rsidRDefault="005C0DF8" w:rsidP="00E35CCE">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r>
      <w:tr w:rsidR="00B14F75" w:rsidRPr="008F0598" w:rsidTr="00E35CCE">
        <w:tc>
          <w:tcPr>
            <w:tcW w:w="769" w:type="pct"/>
            <w:shd w:val="clear" w:color="auto" w:fill="auto"/>
            <w:vAlign w:val="center"/>
          </w:tcPr>
          <w:p w:rsidR="00B14F75" w:rsidRPr="005C0DF8" w:rsidRDefault="00B14F75" w:rsidP="00E35CCE">
            <w:pPr>
              <w:rPr>
                <w:rFonts w:ascii="Arial Narrow" w:hAnsi="Arial Narrow"/>
                <w:color w:val="000000"/>
                <w:sz w:val="20"/>
                <w:szCs w:val="18"/>
              </w:rPr>
            </w:pPr>
            <w:r w:rsidRPr="00D15548">
              <w:rPr>
                <w:rFonts w:ascii="Arial Narrow" w:hAnsi="Arial Narrow"/>
                <w:color w:val="000000"/>
                <w:sz w:val="20"/>
                <w:szCs w:val="18"/>
              </w:rPr>
              <w:t>Hypertension</w:t>
            </w:r>
          </w:p>
        </w:tc>
        <w:tc>
          <w:tcPr>
            <w:tcW w:w="753" w:type="pct"/>
            <w:gridSpan w:val="2"/>
            <w:vAlign w:val="center"/>
          </w:tcPr>
          <w:p w:rsidR="00B14F75" w:rsidRPr="005C0DF8" w:rsidRDefault="005C0DF8" w:rsidP="00E35CCE">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p w:rsidR="00B14F75" w:rsidRPr="005C0DF8" w:rsidRDefault="005C0DF8" w:rsidP="00E35CCE">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43" w:type="pct"/>
            <w:vAlign w:val="center"/>
          </w:tcPr>
          <w:p w:rsidR="00B14F75" w:rsidRPr="005C0DF8" w:rsidRDefault="005C0DF8" w:rsidP="00E35CCE">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p w:rsidR="00B14F75" w:rsidRPr="005C0DF8" w:rsidRDefault="005C0DF8" w:rsidP="00E35CCE">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646" w:type="pct"/>
            <w:vAlign w:val="center"/>
          </w:tcPr>
          <w:p w:rsidR="00B14F75" w:rsidRPr="005C0DF8" w:rsidRDefault="005C0DF8" w:rsidP="00E35CCE">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p w:rsidR="00B14F75" w:rsidRPr="005C0DF8" w:rsidRDefault="005C0DF8" w:rsidP="00E35CCE">
            <w:pPr>
              <w:jc w:val="center"/>
              <w:rPr>
                <w:rFonts w:ascii="Arial Narrow" w:hAnsi="Arial Narrow"/>
                <w:color w:val="000000"/>
                <w:sz w:val="20"/>
                <w:szCs w:val="18"/>
                <w:highlight w:val="black"/>
              </w:rPr>
            </w:pPr>
            <w:r>
              <w:rPr>
                <w:rFonts w:ascii="Arial Narrow" w:hAnsi="Arial Narrow"/>
                <w:noProof/>
                <w:color w:val="000000"/>
                <w:sz w:val="20"/>
                <w:szCs w:val="18"/>
                <w:highlight w:val="black"/>
              </w:rPr>
              <w:t>'''''''''''' ''''''''''''</w:t>
            </w:r>
          </w:p>
        </w:tc>
        <w:tc>
          <w:tcPr>
            <w:tcW w:w="646" w:type="pct"/>
            <w:vAlign w:val="center"/>
          </w:tcPr>
          <w:p w:rsidR="00B14F75" w:rsidRPr="005C0DF8" w:rsidRDefault="005C0DF8" w:rsidP="00E35CCE">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p w:rsidR="00B14F75" w:rsidRPr="005C0DF8" w:rsidRDefault="005C0DF8" w:rsidP="00E35CCE">
            <w:pPr>
              <w:jc w:val="center"/>
              <w:rPr>
                <w:rFonts w:ascii="Arial Narrow" w:hAnsi="Arial Narrow"/>
                <w:color w:val="000000"/>
                <w:sz w:val="20"/>
                <w:szCs w:val="18"/>
                <w:highlight w:val="black"/>
              </w:rPr>
            </w:pPr>
            <w:r>
              <w:rPr>
                <w:rFonts w:ascii="Arial Narrow" w:hAnsi="Arial Narrow"/>
                <w:noProof/>
                <w:color w:val="000000"/>
                <w:sz w:val="20"/>
                <w:szCs w:val="18"/>
                <w:highlight w:val="black"/>
              </w:rPr>
              <w:t>''''''''''''' ''''''''''''</w:t>
            </w:r>
          </w:p>
        </w:tc>
        <w:tc>
          <w:tcPr>
            <w:tcW w:w="660" w:type="pct"/>
            <w:vAlign w:val="center"/>
          </w:tcPr>
          <w:p w:rsidR="00B14F75" w:rsidRPr="005C0DF8" w:rsidRDefault="005C0DF8" w:rsidP="00E35CCE">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683" w:type="pct"/>
            <w:vAlign w:val="center"/>
          </w:tcPr>
          <w:p w:rsidR="00B14F75" w:rsidRPr="005C0DF8" w:rsidRDefault="005C0DF8" w:rsidP="00E35CCE">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r>
    </w:tbl>
    <w:p w:rsidR="00B14F75" w:rsidRPr="00D15548" w:rsidRDefault="00B14F75" w:rsidP="00E35CCE">
      <w:pPr>
        <w:tabs>
          <w:tab w:val="left" w:pos="180"/>
        </w:tabs>
        <w:ind w:left="180" w:hanging="180"/>
        <w:rPr>
          <w:rFonts w:ascii="Arial Narrow" w:hAnsi="Arial Narrow"/>
          <w:sz w:val="18"/>
          <w:szCs w:val="18"/>
        </w:rPr>
      </w:pPr>
      <w:r w:rsidRPr="00D15548">
        <w:rPr>
          <w:rFonts w:ascii="Arial Narrow" w:hAnsi="Arial Narrow"/>
          <w:sz w:val="18"/>
          <w:szCs w:val="18"/>
        </w:rPr>
        <w:tab/>
      </w:r>
      <w:r w:rsidRPr="00D15548">
        <w:rPr>
          <w:rFonts w:ascii="Arial Narrow" w:hAnsi="Arial Narrow"/>
          <w:sz w:val="18"/>
          <w:szCs w:val="18"/>
        </w:rPr>
        <w:tab/>
      </w:r>
      <w:proofErr w:type="spellStart"/>
      <w:r w:rsidRPr="00D15548">
        <w:rPr>
          <w:rFonts w:ascii="Arial Narrow" w:hAnsi="Arial Narrow"/>
          <w:sz w:val="18"/>
          <w:szCs w:val="18"/>
        </w:rPr>
        <w:t>Abiraterone</w:t>
      </w:r>
      <w:proofErr w:type="spellEnd"/>
      <w:r w:rsidRPr="00D15548">
        <w:rPr>
          <w:rFonts w:ascii="Arial Narrow" w:hAnsi="Arial Narrow"/>
          <w:sz w:val="18"/>
          <w:szCs w:val="18"/>
        </w:rPr>
        <w:t xml:space="preserve"> = </w:t>
      </w:r>
      <w:proofErr w:type="spellStart"/>
      <w:r w:rsidRPr="00D15548">
        <w:rPr>
          <w:rFonts w:ascii="Arial Narrow" w:hAnsi="Arial Narrow"/>
          <w:sz w:val="18"/>
          <w:szCs w:val="18"/>
        </w:rPr>
        <w:t>abiraterone</w:t>
      </w:r>
      <w:proofErr w:type="spellEnd"/>
      <w:r w:rsidRPr="00D15548">
        <w:rPr>
          <w:rFonts w:ascii="Arial Narrow" w:hAnsi="Arial Narrow"/>
          <w:sz w:val="18"/>
          <w:szCs w:val="18"/>
        </w:rPr>
        <w:t xml:space="preserve"> + prednisone/prednisolone; Watchful waiting = placebo + prednisone/prednisolone</w:t>
      </w:r>
    </w:p>
    <w:p w:rsidR="00B14F75" w:rsidRPr="005C0DF8" w:rsidRDefault="005C0DF8" w:rsidP="00E35CCE">
      <w:pPr>
        <w:pStyle w:val="TableFooter"/>
        <w:ind w:firstLine="720"/>
        <w:rPr>
          <w:highlight w:val="black"/>
        </w:rPr>
      </w:pPr>
      <w:r>
        <w:rPr>
          <w:noProof/>
          <w:color w:val="000000"/>
          <w:highlight w:val="black"/>
        </w:rPr>
        <w:t>'' ''''''''''''''''''' ''''''''''''''''''' '''' '''''''''''''''''''''' '''''''''''''''''''''''''' '''''''''' ''''''''''''''''''''''' ''''''' '''''''''''''''''''''''''''' '''''''' ''''''''''''''''''''' '''''''''''''''' ''''''''''''''''''''''''''''' '''''''''''''' '''''''''''''''''''''''''''</w:t>
      </w:r>
    </w:p>
    <w:p w:rsidR="00B14F75" w:rsidRPr="00D15548" w:rsidRDefault="00B14F75" w:rsidP="00E35CCE">
      <w:pPr>
        <w:pStyle w:val="TableFooter"/>
        <w:ind w:firstLine="720"/>
      </w:pPr>
      <w:r w:rsidRPr="00D15548">
        <w:t>Abbreviations: NE = not estimable; PBO = placebo; RD = risk difference; RR = risk ratio</w:t>
      </w:r>
    </w:p>
    <w:p w:rsidR="00B14F75" w:rsidRPr="005C0DF8" w:rsidRDefault="005C0DF8" w:rsidP="00E35CCE">
      <w:pPr>
        <w:pStyle w:val="TableFooter"/>
        <w:ind w:firstLine="720"/>
        <w:rPr>
          <w:highlight w:val="black"/>
        </w:rPr>
      </w:pPr>
      <w:r>
        <w:rPr>
          <w:noProof/>
          <w:color w:val="000000"/>
          <w:highlight w:val="black"/>
        </w:rPr>
        <w:t>''''''''''''''''''' ''''''''''''''''''''''''' '''''''''''''''' '''''''' '''''''''''''''''''''''''''</w:t>
      </w:r>
    </w:p>
    <w:p w:rsidR="008E5870" w:rsidRPr="00E35CCE" w:rsidRDefault="008E5870" w:rsidP="00E35CCE">
      <w:pPr>
        <w:jc w:val="both"/>
        <w:rPr>
          <w:rFonts w:ascii="Arial" w:hAnsi="Arial"/>
          <w:sz w:val="22"/>
          <w:szCs w:val="22"/>
        </w:rPr>
      </w:pPr>
    </w:p>
    <w:p w:rsidR="00994422" w:rsidRPr="00E35CCE" w:rsidRDefault="00793731" w:rsidP="00E35CCE">
      <w:pPr>
        <w:pStyle w:val="ListParagraph"/>
        <w:numPr>
          <w:ilvl w:val="1"/>
          <w:numId w:val="25"/>
        </w:numPr>
        <w:jc w:val="both"/>
        <w:rPr>
          <w:rFonts w:ascii="Arial" w:hAnsi="Arial" w:cs="Arial"/>
          <w:sz w:val="22"/>
        </w:rPr>
      </w:pPr>
      <w:r w:rsidRPr="00E35CCE">
        <w:rPr>
          <w:rFonts w:ascii="Arial" w:hAnsi="Arial" w:cs="Arial"/>
          <w:sz w:val="22"/>
        </w:rPr>
        <w:t xml:space="preserve">On the basis of direct evidence presented by the submission, the comparison of </w:t>
      </w:r>
      <w:proofErr w:type="spellStart"/>
      <w:r w:rsidRPr="00E35CCE">
        <w:rPr>
          <w:rFonts w:ascii="Arial" w:hAnsi="Arial" w:cs="Arial"/>
          <w:sz w:val="22"/>
        </w:rPr>
        <w:t>abiraterone</w:t>
      </w:r>
      <w:proofErr w:type="spellEnd"/>
      <w:r w:rsidRPr="00E35CCE">
        <w:rPr>
          <w:rFonts w:ascii="Arial" w:hAnsi="Arial" w:cs="Arial"/>
          <w:sz w:val="22"/>
        </w:rPr>
        <w:t xml:space="preserve"> + prednisolone/prednisone and placebo + prednisolone/prednisone resulted in </w:t>
      </w:r>
      <w:r w:rsidR="000E5096" w:rsidRPr="00E35CCE">
        <w:rPr>
          <w:rFonts w:ascii="Arial" w:hAnsi="Arial" w:cs="Arial"/>
          <w:sz w:val="22"/>
        </w:rPr>
        <w:t xml:space="preserve">an improvement of approximately </w:t>
      </w:r>
      <w:r w:rsidR="000E5096" w:rsidRPr="00BA2C13">
        <w:rPr>
          <w:rFonts w:ascii="Arial" w:hAnsi="Arial" w:cs="Arial"/>
          <w:sz w:val="22"/>
        </w:rPr>
        <w:t>5 months</w:t>
      </w:r>
      <w:r w:rsidRPr="00E35CCE">
        <w:rPr>
          <w:rFonts w:ascii="Arial" w:hAnsi="Arial" w:cs="Arial"/>
          <w:sz w:val="22"/>
        </w:rPr>
        <w:t xml:space="preserve"> overall survival and </w:t>
      </w:r>
      <w:r w:rsidR="000E5096" w:rsidRPr="00BA2C13">
        <w:rPr>
          <w:rFonts w:ascii="Arial" w:hAnsi="Arial" w:cs="Arial"/>
          <w:sz w:val="22"/>
        </w:rPr>
        <w:t>8 months</w:t>
      </w:r>
      <w:r w:rsidR="000E5096" w:rsidRPr="00E35CCE">
        <w:rPr>
          <w:rFonts w:ascii="Arial" w:hAnsi="Arial" w:cs="Arial"/>
          <w:sz w:val="22"/>
        </w:rPr>
        <w:t xml:space="preserve"> </w:t>
      </w:r>
      <w:r w:rsidRPr="00E35CCE">
        <w:rPr>
          <w:rFonts w:ascii="Arial" w:hAnsi="Arial" w:cs="Arial"/>
          <w:sz w:val="22"/>
        </w:rPr>
        <w:t xml:space="preserve">progression free survival for the ITT population. While this did not meet statistical significance based on the strict pre-specified significance criteria, this result may have been affected by the early termination and crossover observed in the trial.  For every 100 patients treated with </w:t>
      </w:r>
      <w:proofErr w:type="spellStart"/>
      <w:r w:rsidRPr="00E35CCE">
        <w:rPr>
          <w:rFonts w:ascii="Arial" w:hAnsi="Arial" w:cs="Arial"/>
          <w:sz w:val="22"/>
        </w:rPr>
        <w:t>abiraterone</w:t>
      </w:r>
      <w:proofErr w:type="spellEnd"/>
      <w:r w:rsidRPr="00E35CCE">
        <w:rPr>
          <w:rFonts w:ascii="Arial" w:hAnsi="Arial" w:cs="Arial"/>
          <w:sz w:val="22"/>
        </w:rPr>
        <w:t xml:space="preserve">, in comparison with placebo, approximately </w:t>
      </w:r>
      <w:r w:rsidRPr="00BA2C13">
        <w:rPr>
          <w:rFonts w:ascii="Arial" w:hAnsi="Arial" w:cs="Arial"/>
          <w:sz w:val="22"/>
        </w:rPr>
        <w:t xml:space="preserve">7 </w:t>
      </w:r>
      <w:r w:rsidRPr="00E35CCE">
        <w:rPr>
          <w:rFonts w:ascii="Arial" w:hAnsi="Arial" w:cs="Arial"/>
          <w:sz w:val="22"/>
        </w:rPr>
        <w:t xml:space="preserve">additional </w:t>
      </w:r>
      <w:proofErr w:type="gramStart"/>
      <w:r w:rsidRPr="00E35CCE">
        <w:rPr>
          <w:rFonts w:ascii="Arial" w:hAnsi="Arial" w:cs="Arial"/>
          <w:sz w:val="22"/>
        </w:rPr>
        <w:t>patients</w:t>
      </w:r>
      <w:proofErr w:type="gramEnd"/>
      <w:r w:rsidRPr="00E35CCE">
        <w:rPr>
          <w:rFonts w:ascii="Arial" w:hAnsi="Arial" w:cs="Arial"/>
          <w:sz w:val="22"/>
        </w:rPr>
        <w:t xml:space="preserve"> experienced hepatotoxicity.</w:t>
      </w:r>
    </w:p>
    <w:p w:rsidR="00CA7C1C" w:rsidRPr="00E35CCE" w:rsidRDefault="00CA7C1C" w:rsidP="00E35CCE">
      <w:pPr>
        <w:pStyle w:val="ListParagraph"/>
        <w:ind w:left="709"/>
        <w:jc w:val="both"/>
        <w:rPr>
          <w:rFonts w:ascii="Arial" w:hAnsi="Arial" w:cs="Arial"/>
          <w:sz w:val="22"/>
        </w:rPr>
      </w:pPr>
    </w:p>
    <w:p w:rsidR="00BB7EC3" w:rsidRPr="00E35CCE" w:rsidRDefault="00BB7EC3" w:rsidP="00E35CCE">
      <w:pPr>
        <w:pStyle w:val="ListParagraph"/>
        <w:ind w:left="709"/>
        <w:jc w:val="both"/>
        <w:rPr>
          <w:rFonts w:ascii="Arial" w:hAnsi="Arial"/>
          <w:i/>
          <w:sz w:val="22"/>
          <w:szCs w:val="22"/>
        </w:rPr>
      </w:pPr>
      <w:r w:rsidRPr="00E35CCE">
        <w:rPr>
          <w:rFonts w:ascii="Arial" w:hAnsi="Arial"/>
          <w:i/>
          <w:sz w:val="22"/>
          <w:szCs w:val="22"/>
        </w:rPr>
        <w:t>For more detail on PBAC’s view, see section 7 “PBAC outcome”</w:t>
      </w:r>
    </w:p>
    <w:p w:rsidR="00882085" w:rsidRPr="00E35CCE" w:rsidRDefault="00882085" w:rsidP="00E35CCE">
      <w:pPr>
        <w:jc w:val="both"/>
        <w:rPr>
          <w:rFonts w:ascii="Arial" w:hAnsi="Arial"/>
          <w:b/>
          <w:i/>
          <w:sz w:val="22"/>
          <w:szCs w:val="22"/>
        </w:rPr>
      </w:pPr>
    </w:p>
    <w:p w:rsidR="005A3173" w:rsidRPr="00E35CCE" w:rsidRDefault="005A3173" w:rsidP="00E35CCE">
      <w:pPr>
        <w:jc w:val="both"/>
        <w:rPr>
          <w:rFonts w:ascii="Arial" w:hAnsi="Arial"/>
          <w:b/>
          <w:i/>
          <w:sz w:val="22"/>
          <w:szCs w:val="22"/>
        </w:rPr>
      </w:pPr>
      <w:r w:rsidRPr="00E35CCE">
        <w:rPr>
          <w:rFonts w:ascii="Arial" w:hAnsi="Arial"/>
          <w:b/>
          <w:i/>
          <w:sz w:val="22"/>
          <w:szCs w:val="22"/>
        </w:rPr>
        <w:t>Clinical claim</w:t>
      </w:r>
    </w:p>
    <w:p w:rsidR="00BB7EC3" w:rsidRPr="00E35CCE" w:rsidRDefault="00BB7EC3" w:rsidP="00E35CCE">
      <w:pPr>
        <w:pStyle w:val="ListParagraph"/>
        <w:ind w:left="709"/>
        <w:jc w:val="both"/>
        <w:rPr>
          <w:rFonts w:ascii="Arial" w:hAnsi="Arial"/>
          <w:sz w:val="22"/>
          <w:szCs w:val="22"/>
        </w:rPr>
      </w:pPr>
    </w:p>
    <w:p w:rsidR="00C84E34" w:rsidRPr="00E35CCE" w:rsidRDefault="00C84E34" w:rsidP="00E35CCE">
      <w:pPr>
        <w:pStyle w:val="ListParagraph"/>
        <w:numPr>
          <w:ilvl w:val="1"/>
          <w:numId w:val="25"/>
        </w:numPr>
        <w:jc w:val="both"/>
        <w:rPr>
          <w:rFonts w:ascii="Arial" w:hAnsi="Arial"/>
          <w:sz w:val="22"/>
          <w:szCs w:val="22"/>
        </w:rPr>
      </w:pPr>
      <w:r w:rsidRPr="00E35CCE">
        <w:rPr>
          <w:rFonts w:ascii="Arial" w:hAnsi="Arial"/>
          <w:sz w:val="22"/>
          <w:szCs w:val="22"/>
        </w:rPr>
        <w:t xml:space="preserve">The submission describes </w:t>
      </w:r>
      <w:proofErr w:type="spellStart"/>
      <w:r w:rsidRPr="00E35CCE">
        <w:rPr>
          <w:rFonts w:ascii="Arial" w:hAnsi="Arial"/>
          <w:sz w:val="22"/>
          <w:szCs w:val="22"/>
        </w:rPr>
        <w:t>abiraterone</w:t>
      </w:r>
      <w:proofErr w:type="spellEnd"/>
      <w:r w:rsidRPr="00E35CCE">
        <w:rPr>
          <w:rFonts w:ascii="Arial" w:hAnsi="Arial"/>
          <w:sz w:val="22"/>
          <w:szCs w:val="22"/>
        </w:rPr>
        <w:t xml:space="preserve"> as superior in terms of comparative effectiveness and non-inferior in terms of comparative safety over “watchful waiting (placebo)”. The claim regarding safety is adequately supported. </w:t>
      </w:r>
      <w:r w:rsidR="00FB4327" w:rsidRPr="00E35CCE">
        <w:rPr>
          <w:rFonts w:ascii="Arial" w:hAnsi="Arial"/>
          <w:sz w:val="22"/>
          <w:szCs w:val="22"/>
        </w:rPr>
        <w:t xml:space="preserve">There were differences in the rates of </w:t>
      </w:r>
      <w:proofErr w:type="spellStart"/>
      <w:r w:rsidR="00FB4327" w:rsidRPr="00E35CCE">
        <w:rPr>
          <w:rFonts w:ascii="Arial" w:hAnsi="Arial"/>
          <w:sz w:val="22"/>
          <w:szCs w:val="22"/>
        </w:rPr>
        <w:t>hypokalemia</w:t>
      </w:r>
      <w:proofErr w:type="spellEnd"/>
      <w:r w:rsidR="00FB4327" w:rsidRPr="00E35CCE">
        <w:rPr>
          <w:rFonts w:ascii="Arial" w:hAnsi="Arial"/>
          <w:sz w:val="22"/>
          <w:szCs w:val="22"/>
        </w:rPr>
        <w:t>, hypertension and hepatotoxicity. However, with the exception of the increase in hepatotoxicity, these did not reach statistical significance after adjusting for treatment exposure.</w:t>
      </w:r>
      <w:r w:rsidRPr="00E35CCE">
        <w:rPr>
          <w:rFonts w:ascii="Arial" w:hAnsi="Arial"/>
          <w:sz w:val="22"/>
          <w:szCs w:val="22"/>
        </w:rPr>
        <w:t xml:space="preserve"> </w:t>
      </w:r>
      <w:r w:rsidR="00013816" w:rsidRPr="00E35CCE">
        <w:rPr>
          <w:rFonts w:ascii="Arial" w:hAnsi="Arial"/>
          <w:sz w:val="22"/>
          <w:szCs w:val="22"/>
        </w:rPr>
        <w:t>T</w:t>
      </w:r>
      <w:r w:rsidRPr="00E35CCE">
        <w:rPr>
          <w:rFonts w:ascii="Arial" w:hAnsi="Arial"/>
          <w:sz w:val="22"/>
          <w:szCs w:val="22"/>
        </w:rPr>
        <w:t xml:space="preserve">he claim with respect to effectiveness </w:t>
      </w:r>
      <w:r w:rsidR="00013816" w:rsidRPr="00E35CCE">
        <w:rPr>
          <w:rFonts w:ascii="Arial" w:hAnsi="Arial"/>
          <w:sz w:val="22"/>
          <w:szCs w:val="22"/>
        </w:rPr>
        <w:t>is</w:t>
      </w:r>
      <w:r w:rsidRPr="00E35CCE">
        <w:rPr>
          <w:rFonts w:ascii="Arial" w:hAnsi="Arial"/>
          <w:sz w:val="22"/>
          <w:szCs w:val="22"/>
        </w:rPr>
        <w:t xml:space="preserve"> adequately supported</w:t>
      </w:r>
      <w:r w:rsidR="00013816" w:rsidRPr="00E35CCE">
        <w:rPr>
          <w:rFonts w:ascii="Arial" w:hAnsi="Arial"/>
          <w:sz w:val="22"/>
          <w:szCs w:val="22"/>
        </w:rPr>
        <w:t xml:space="preserve"> for the ITT population despite the</w:t>
      </w:r>
      <w:r w:rsidRPr="00E35CCE">
        <w:rPr>
          <w:rFonts w:ascii="Arial" w:hAnsi="Arial"/>
          <w:sz w:val="22"/>
          <w:szCs w:val="22"/>
        </w:rPr>
        <w:t xml:space="preserve"> differences </w:t>
      </w:r>
      <w:r w:rsidR="00013816" w:rsidRPr="00E35CCE">
        <w:rPr>
          <w:rFonts w:ascii="Arial" w:hAnsi="Arial"/>
          <w:sz w:val="22"/>
          <w:szCs w:val="22"/>
        </w:rPr>
        <w:t>in</w:t>
      </w:r>
      <w:r w:rsidR="00C04466" w:rsidRPr="00E35CCE">
        <w:rPr>
          <w:rFonts w:ascii="Arial" w:hAnsi="Arial"/>
          <w:sz w:val="22"/>
          <w:szCs w:val="22"/>
        </w:rPr>
        <w:t xml:space="preserve"> </w:t>
      </w:r>
      <w:r w:rsidR="00013816" w:rsidRPr="00E35CCE">
        <w:rPr>
          <w:rFonts w:ascii="Arial" w:hAnsi="Arial"/>
          <w:sz w:val="22"/>
          <w:szCs w:val="22"/>
        </w:rPr>
        <w:t xml:space="preserve">overall survival </w:t>
      </w:r>
      <w:r w:rsidRPr="00E35CCE">
        <w:rPr>
          <w:rFonts w:ascii="Arial" w:hAnsi="Arial"/>
          <w:sz w:val="22"/>
          <w:szCs w:val="22"/>
        </w:rPr>
        <w:t xml:space="preserve">between </w:t>
      </w:r>
      <w:proofErr w:type="spellStart"/>
      <w:r w:rsidRPr="00E35CCE">
        <w:rPr>
          <w:rFonts w:ascii="Arial" w:hAnsi="Arial"/>
          <w:sz w:val="22"/>
          <w:szCs w:val="22"/>
        </w:rPr>
        <w:t>abiraterone</w:t>
      </w:r>
      <w:proofErr w:type="spellEnd"/>
      <w:r w:rsidRPr="00E35CCE">
        <w:rPr>
          <w:rFonts w:ascii="Arial" w:hAnsi="Arial"/>
          <w:sz w:val="22"/>
          <w:szCs w:val="22"/>
        </w:rPr>
        <w:t xml:space="preserve"> and placebo </w:t>
      </w:r>
      <w:r w:rsidR="00013816" w:rsidRPr="00E35CCE">
        <w:rPr>
          <w:rFonts w:ascii="Arial" w:hAnsi="Arial"/>
          <w:sz w:val="22"/>
          <w:szCs w:val="22"/>
        </w:rPr>
        <w:t>not meeting</w:t>
      </w:r>
      <w:r w:rsidRPr="00E35CCE">
        <w:rPr>
          <w:rFonts w:ascii="Arial" w:hAnsi="Arial"/>
          <w:sz w:val="22"/>
          <w:szCs w:val="22"/>
        </w:rPr>
        <w:t xml:space="preserve"> </w:t>
      </w:r>
      <w:r w:rsidR="004B2111" w:rsidRPr="00E35CCE">
        <w:rPr>
          <w:rFonts w:ascii="Arial" w:hAnsi="Arial"/>
          <w:sz w:val="22"/>
          <w:szCs w:val="22"/>
        </w:rPr>
        <w:t xml:space="preserve">statistical significance according to </w:t>
      </w:r>
      <w:r w:rsidRPr="00E35CCE">
        <w:rPr>
          <w:rFonts w:ascii="Arial" w:hAnsi="Arial"/>
          <w:sz w:val="22"/>
          <w:szCs w:val="22"/>
        </w:rPr>
        <w:t xml:space="preserve">the </w:t>
      </w:r>
      <w:r w:rsidR="00064A11" w:rsidRPr="00E35CCE">
        <w:rPr>
          <w:rFonts w:ascii="Arial" w:hAnsi="Arial"/>
          <w:sz w:val="22"/>
          <w:szCs w:val="22"/>
        </w:rPr>
        <w:t xml:space="preserve">strict </w:t>
      </w:r>
      <w:r w:rsidRPr="00E35CCE">
        <w:rPr>
          <w:rFonts w:ascii="Arial" w:hAnsi="Arial"/>
          <w:sz w:val="22"/>
          <w:szCs w:val="22"/>
        </w:rPr>
        <w:t>pre-specified statistical analyses planned for the trial</w:t>
      </w:r>
      <w:r w:rsidR="00C04466" w:rsidRPr="00E35CCE">
        <w:rPr>
          <w:rFonts w:ascii="Arial" w:hAnsi="Arial"/>
          <w:sz w:val="22"/>
          <w:szCs w:val="22"/>
        </w:rPr>
        <w:t>.</w:t>
      </w:r>
      <w:r w:rsidRPr="00E35CCE">
        <w:rPr>
          <w:rFonts w:ascii="Arial" w:hAnsi="Arial"/>
          <w:sz w:val="22"/>
          <w:szCs w:val="22"/>
        </w:rPr>
        <w:t xml:space="preserve"> </w:t>
      </w:r>
      <w:r w:rsidR="00013816" w:rsidRPr="00E35CCE">
        <w:rPr>
          <w:rFonts w:ascii="Arial" w:hAnsi="Arial"/>
          <w:sz w:val="22"/>
          <w:szCs w:val="22"/>
        </w:rPr>
        <w:t>T</w:t>
      </w:r>
      <w:r w:rsidR="00C04466" w:rsidRPr="00E35CCE">
        <w:rPr>
          <w:rFonts w:ascii="Arial" w:hAnsi="Arial"/>
          <w:sz w:val="22"/>
          <w:szCs w:val="22"/>
        </w:rPr>
        <w:t>hese results</w:t>
      </w:r>
      <w:r w:rsidR="00064A11" w:rsidRPr="00E35CCE">
        <w:rPr>
          <w:rFonts w:ascii="Arial" w:hAnsi="Arial"/>
          <w:sz w:val="22"/>
          <w:szCs w:val="22"/>
        </w:rPr>
        <w:t xml:space="preserve"> </w:t>
      </w:r>
      <w:r w:rsidRPr="00E35CCE">
        <w:rPr>
          <w:rFonts w:ascii="Arial" w:hAnsi="Arial"/>
          <w:sz w:val="22"/>
          <w:szCs w:val="22"/>
        </w:rPr>
        <w:t xml:space="preserve">may have been affected by the early termination and crossover. </w:t>
      </w:r>
    </w:p>
    <w:p w:rsidR="00C84E34" w:rsidRPr="00E35CCE" w:rsidRDefault="00C84E34" w:rsidP="00E35CCE">
      <w:pPr>
        <w:pStyle w:val="ListParagraph"/>
        <w:jc w:val="both"/>
        <w:rPr>
          <w:rFonts w:ascii="Arial" w:hAnsi="Arial"/>
          <w:sz w:val="22"/>
          <w:szCs w:val="22"/>
        </w:rPr>
      </w:pPr>
    </w:p>
    <w:p w:rsidR="004454C1" w:rsidRPr="00E35CCE" w:rsidRDefault="00C84E34" w:rsidP="00E35CCE">
      <w:pPr>
        <w:pStyle w:val="ListParagraph"/>
        <w:numPr>
          <w:ilvl w:val="1"/>
          <w:numId w:val="25"/>
        </w:numPr>
        <w:jc w:val="both"/>
        <w:rPr>
          <w:rFonts w:ascii="Arial" w:hAnsi="Arial"/>
          <w:sz w:val="22"/>
          <w:szCs w:val="22"/>
        </w:rPr>
      </w:pPr>
      <w:r w:rsidRPr="00E35CCE">
        <w:rPr>
          <w:rFonts w:ascii="Arial" w:hAnsi="Arial"/>
          <w:sz w:val="22"/>
          <w:szCs w:val="22"/>
        </w:rPr>
        <w:t>Although a statistically significant difference in overall survival was observed in the trial’s ‘PBS subgroup’ (BPI-SF Q3 score of 0-1, baseline PSA &lt;114ng/mL and ECOG ≤1), this result may not apply to the likely PBS population</w:t>
      </w:r>
      <w:r w:rsidR="00776C18" w:rsidRPr="00E35CCE">
        <w:rPr>
          <w:rFonts w:ascii="Arial" w:hAnsi="Arial"/>
          <w:sz w:val="22"/>
          <w:szCs w:val="22"/>
        </w:rPr>
        <w:t>.</w:t>
      </w:r>
      <w:r w:rsidRPr="00E35CCE">
        <w:rPr>
          <w:rFonts w:ascii="Arial" w:hAnsi="Arial"/>
          <w:sz w:val="22"/>
          <w:szCs w:val="22"/>
        </w:rPr>
        <w:t xml:space="preserve"> </w:t>
      </w:r>
      <w:r w:rsidR="004454C1" w:rsidRPr="00E35CCE">
        <w:rPr>
          <w:rFonts w:ascii="Arial" w:hAnsi="Arial"/>
          <w:sz w:val="22"/>
          <w:szCs w:val="22"/>
        </w:rPr>
        <w:t>A comparison versus placebo (watchful waiting) may not be the only relevant comparison.</w:t>
      </w:r>
      <w:r w:rsidR="004454C1" w:rsidRPr="00E35CCE" w:rsidDel="00776C18">
        <w:rPr>
          <w:rFonts w:ascii="Arial" w:hAnsi="Arial"/>
          <w:sz w:val="22"/>
          <w:szCs w:val="22"/>
        </w:rPr>
        <w:t xml:space="preserve"> </w:t>
      </w:r>
      <w:r w:rsidR="004454C1" w:rsidRPr="00E35CCE">
        <w:rPr>
          <w:rFonts w:ascii="Arial" w:hAnsi="Arial"/>
          <w:sz w:val="22"/>
          <w:szCs w:val="22"/>
        </w:rPr>
        <w:t xml:space="preserve"> Also, t</w:t>
      </w:r>
      <w:r w:rsidR="00776C18" w:rsidRPr="00E35CCE">
        <w:rPr>
          <w:rFonts w:ascii="Arial" w:hAnsi="Arial"/>
          <w:sz w:val="22"/>
          <w:szCs w:val="22"/>
        </w:rPr>
        <w:t xml:space="preserve">he </w:t>
      </w:r>
      <w:r w:rsidR="004454C1" w:rsidRPr="00E35CCE">
        <w:rPr>
          <w:rFonts w:ascii="Arial" w:hAnsi="Arial"/>
          <w:sz w:val="22"/>
          <w:szCs w:val="22"/>
        </w:rPr>
        <w:t xml:space="preserve">PBS </w:t>
      </w:r>
      <w:r w:rsidR="00776C18" w:rsidRPr="00E35CCE">
        <w:rPr>
          <w:rFonts w:ascii="Arial" w:hAnsi="Arial"/>
          <w:sz w:val="22"/>
          <w:szCs w:val="22"/>
        </w:rPr>
        <w:t>subgroup analysis was</w:t>
      </w:r>
      <w:r w:rsidRPr="00E35CCE">
        <w:rPr>
          <w:rFonts w:ascii="Arial" w:hAnsi="Arial"/>
          <w:sz w:val="22"/>
          <w:szCs w:val="22"/>
        </w:rPr>
        <w:t xml:space="preserve"> post-hoc and there was no statistically significant difference in the ITT population. The PSCR (p1) states that although this subgroup of was based on a combination of factors that were not pre-specified, subgroup analyses were pre-specified for the individual factors of PSA and pain score at baseline. This suggests that investigators did consider that these variables might be important as either prognostic factors or as modifiers of treatment effect.</w:t>
      </w:r>
    </w:p>
    <w:p w:rsidR="004454C1" w:rsidRPr="00E35CCE" w:rsidRDefault="004454C1" w:rsidP="00E35CCE">
      <w:pPr>
        <w:pStyle w:val="ListParagraph"/>
        <w:rPr>
          <w:rFonts w:ascii="Arial" w:hAnsi="Arial"/>
          <w:sz w:val="22"/>
          <w:szCs w:val="22"/>
        </w:rPr>
      </w:pPr>
    </w:p>
    <w:p w:rsidR="004037D3" w:rsidRPr="005C0DF8" w:rsidRDefault="004037D3" w:rsidP="00E35CCE">
      <w:pPr>
        <w:pStyle w:val="ListParagraph"/>
        <w:numPr>
          <w:ilvl w:val="1"/>
          <w:numId w:val="25"/>
        </w:numPr>
        <w:jc w:val="both"/>
        <w:rPr>
          <w:rFonts w:ascii="Arial" w:hAnsi="Arial"/>
          <w:sz w:val="22"/>
          <w:szCs w:val="22"/>
        </w:rPr>
      </w:pPr>
      <w:r w:rsidRPr="00E35CCE">
        <w:rPr>
          <w:rFonts w:ascii="Arial" w:hAnsi="Arial"/>
          <w:sz w:val="22"/>
          <w:szCs w:val="22"/>
        </w:rPr>
        <w:t>The PSCR responded to the Commentary request (p6.1.COM.7) for the number of patients in Trial 302 who had a baseline PSA &lt;114 ng/</w:t>
      </w:r>
      <w:proofErr w:type="spellStart"/>
      <w:r w:rsidRPr="00E35CCE">
        <w:rPr>
          <w:rFonts w:ascii="Arial" w:hAnsi="Arial"/>
          <w:sz w:val="22"/>
          <w:szCs w:val="22"/>
        </w:rPr>
        <w:t>mL.</w:t>
      </w:r>
      <w:proofErr w:type="spellEnd"/>
      <w:r w:rsidRPr="00E35CCE">
        <w:rPr>
          <w:rFonts w:ascii="Arial" w:hAnsi="Arial"/>
          <w:sz w:val="22"/>
          <w:szCs w:val="22"/>
        </w:rPr>
        <w:t xml:space="preserve"> </w:t>
      </w:r>
      <w:r w:rsidRPr="00E35D0E">
        <w:rPr>
          <w:rFonts w:ascii="Arial" w:hAnsi="Arial"/>
          <w:sz w:val="22"/>
          <w:szCs w:val="22"/>
        </w:rPr>
        <w:t>These data are presented below;</w:t>
      </w:r>
    </w:p>
    <w:p w:rsidR="004037D3" w:rsidRPr="00E35D0E" w:rsidRDefault="004037D3" w:rsidP="00E35CCE">
      <w:pPr>
        <w:pStyle w:val="ListParagraph"/>
        <w:tabs>
          <w:tab w:val="left" w:pos="1134"/>
        </w:tabs>
        <w:ind w:left="709"/>
        <w:jc w:val="both"/>
        <w:rPr>
          <w:rFonts w:ascii="Arial" w:hAnsi="Arial"/>
          <w:sz w:val="22"/>
          <w:szCs w:val="22"/>
          <w:u w:val="single"/>
        </w:rPr>
      </w:pPr>
      <w:r w:rsidRPr="00E35D0E">
        <w:rPr>
          <w:rFonts w:ascii="Arial" w:hAnsi="Arial"/>
          <w:sz w:val="22"/>
          <w:szCs w:val="22"/>
        </w:rPr>
        <w:t>-</w:t>
      </w:r>
      <w:r w:rsidRPr="00E35D0E">
        <w:rPr>
          <w:rFonts w:ascii="Arial" w:hAnsi="Arial"/>
          <w:sz w:val="22"/>
          <w:szCs w:val="22"/>
        </w:rPr>
        <w:tab/>
      </w:r>
      <w:r w:rsidRPr="00E35D0E">
        <w:rPr>
          <w:rFonts w:ascii="Arial" w:hAnsi="Arial"/>
          <w:sz w:val="22"/>
          <w:szCs w:val="22"/>
          <w:u w:val="single"/>
        </w:rPr>
        <w:t>Total trial population (n=</w:t>
      </w:r>
      <w:r w:rsidR="005C0DF8">
        <w:rPr>
          <w:rFonts w:ascii="Arial" w:hAnsi="Arial"/>
          <w:noProof/>
          <w:color w:val="000000"/>
          <w:sz w:val="22"/>
          <w:szCs w:val="22"/>
          <w:highlight w:val="black"/>
          <w:u w:val="single"/>
        </w:rPr>
        <w:t>''''''''''''</w:t>
      </w:r>
      <w:r w:rsidRPr="00E35D0E">
        <w:rPr>
          <w:rFonts w:ascii="Arial" w:hAnsi="Arial"/>
          <w:sz w:val="22"/>
          <w:szCs w:val="22"/>
          <w:u w:val="single"/>
        </w:rPr>
        <w:t>)</w:t>
      </w:r>
    </w:p>
    <w:p w:rsidR="004037D3" w:rsidRPr="00E35D0E" w:rsidRDefault="004037D3" w:rsidP="00E35CCE">
      <w:pPr>
        <w:pStyle w:val="ListParagraph"/>
        <w:tabs>
          <w:tab w:val="left" w:pos="1134"/>
        </w:tabs>
        <w:ind w:left="709"/>
        <w:jc w:val="both"/>
        <w:rPr>
          <w:rFonts w:ascii="Arial" w:hAnsi="Arial"/>
          <w:sz w:val="22"/>
          <w:szCs w:val="22"/>
        </w:rPr>
      </w:pPr>
      <w:r w:rsidRPr="00E35D0E">
        <w:rPr>
          <w:rFonts w:ascii="Arial" w:hAnsi="Arial"/>
          <w:sz w:val="22"/>
          <w:szCs w:val="22"/>
        </w:rPr>
        <w:t>-</w:t>
      </w:r>
      <w:r w:rsidRPr="00E35D0E">
        <w:rPr>
          <w:rFonts w:ascii="Arial" w:hAnsi="Arial"/>
          <w:sz w:val="22"/>
          <w:szCs w:val="22"/>
        </w:rPr>
        <w:tab/>
      </w:r>
      <w:r w:rsidR="005C0DF8">
        <w:rPr>
          <w:rFonts w:ascii="Arial" w:hAnsi="Arial"/>
          <w:noProof/>
          <w:color w:val="000000"/>
          <w:sz w:val="22"/>
          <w:szCs w:val="22"/>
          <w:highlight w:val="black"/>
        </w:rPr>
        <w:t>'''''''''' ''''''''''''''''</w:t>
      </w:r>
      <w:r w:rsidRPr="00E35D0E">
        <w:rPr>
          <w:rFonts w:ascii="Arial" w:hAnsi="Arial"/>
          <w:sz w:val="22"/>
          <w:szCs w:val="22"/>
        </w:rPr>
        <w:t xml:space="preserve"> of the </w:t>
      </w:r>
      <w:r w:rsidR="005C0DF8">
        <w:rPr>
          <w:rFonts w:ascii="Arial" w:hAnsi="Arial"/>
          <w:noProof/>
          <w:color w:val="000000"/>
          <w:sz w:val="22"/>
          <w:szCs w:val="22"/>
          <w:highlight w:val="black"/>
        </w:rPr>
        <w:t>''''''''''''</w:t>
      </w:r>
      <w:r w:rsidRPr="00E35D0E">
        <w:rPr>
          <w:rFonts w:ascii="Arial" w:hAnsi="Arial"/>
          <w:sz w:val="22"/>
          <w:szCs w:val="22"/>
        </w:rPr>
        <w:t xml:space="preserve"> patients recruited to Trial 302 had a baseline PSA concentration of &lt; 114 ng/mL</w:t>
      </w:r>
    </w:p>
    <w:p w:rsidR="004037D3" w:rsidRPr="00E35D0E" w:rsidRDefault="004037D3" w:rsidP="00E35CCE">
      <w:pPr>
        <w:pStyle w:val="ListParagraph"/>
        <w:tabs>
          <w:tab w:val="left" w:pos="1134"/>
        </w:tabs>
        <w:ind w:left="709"/>
        <w:jc w:val="both"/>
        <w:rPr>
          <w:rFonts w:ascii="Arial" w:hAnsi="Arial"/>
          <w:sz w:val="22"/>
          <w:szCs w:val="22"/>
        </w:rPr>
      </w:pPr>
      <w:r w:rsidRPr="00E35D0E">
        <w:rPr>
          <w:rFonts w:ascii="Arial" w:hAnsi="Arial"/>
          <w:sz w:val="22"/>
          <w:szCs w:val="22"/>
        </w:rPr>
        <w:t>-</w:t>
      </w:r>
      <w:r w:rsidRPr="00E35D0E">
        <w:rPr>
          <w:rFonts w:ascii="Arial" w:hAnsi="Arial"/>
          <w:sz w:val="22"/>
          <w:szCs w:val="22"/>
        </w:rPr>
        <w:tab/>
        <w:t xml:space="preserve">PSA&lt;114 and pain &lt;0-1: </w:t>
      </w:r>
      <w:r w:rsidR="005C0DF8">
        <w:rPr>
          <w:rFonts w:ascii="Arial" w:hAnsi="Arial"/>
          <w:noProof/>
          <w:color w:val="000000"/>
          <w:sz w:val="22"/>
          <w:szCs w:val="22"/>
          <w:highlight w:val="black"/>
        </w:rPr>
        <w:t>'''''''''</w:t>
      </w:r>
      <w:r w:rsidRPr="00E35D0E">
        <w:rPr>
          <w:rFonts w:ascii="Arial" w:hAnsi="Arial"/>
          <w:sz w:val="22"/>
          <w:szCs w:val="22"/>
        </w:rPr>
        <w:t xml:space="preserve"> (</w:t>
      </w:r>
      <w:proofErr w:type="gramStart"/>
      <w:r w:rsidR="005C0DF8">
        <w:rPr>
          <w:rFonts w:ascii="Arial" w:hAnsi="Arial"/>
          <w:noProof/>
          <w:color w:val="000000"/>
          <w:sz w:val="22"/>
          <w:szCs w:val="22"/>
          <w:highlight w:val="black"/>
        </w:rPr>
        <w:t>''''''</w:t>
      </w:r>
      <w:r w:rsidRPr="00E35D0E">
        <w:rPr>
          <w:rFonts w:ascii="Arial" w:hAnsi="Arial"/>
          <w:sz w:val="22"/>
          <w:szCs w:val="22"/>
        </w:rPr>
        <w:t>%</w:t>
      </w:r>
      <w:proofErr w:type="gramEnd"/>
      <w:r w:rsidRPr="00E35D0E">
        <w:rPr>
          <w:rFonts w:ascii="Arial" w:hAnsi="Arial"/>
          <w:sz w:val="22"/>
          <w:szCs w:val="22"/>
        </w:rPr>
        <w:t>)</w:t>
      </w:r>
    </w:p>
    <w:p w:rsidR="004037D3" w:rsidRPr="00E35D0E" w:rsidRDefault="004037D3" w:rsidP="00E35CCE">
      <w:pPr>
        <w:pStyle w:val="ListParagraph"/>
        <w:tabs>
          <w:tab w:val="left" w:pos="1134"/>
        </w:tabs>
        <w:ind w:left="709"/>
        <w:jc w:val="both"/>
        <w:rPr>
          <w:rFonts w:ascii="Arial" w:hAnsi="Arial"/>
          <w:sz w:val="22"/>
          <w:szCs w:val="22"/>
        </w:rPr>
      </w:pPr>
      <w:r w:rsidRPr="00E35D0E">
        <w:rPr>
          <w:rFonts w:ascii="Arial" w:hAnsi="Arial"/>
          <w:sz w:val="22"/>
          <w:szCs w:val="22"/>
        </w:rPr>
        <w:t>-</w:t>
      </w:r>
      <w:r w:rsidRPr="00E35D0E">
        <w:rPr>
          <w:rFonts w:ascii="Arial" w:hAnsi="Arial"/>
          <w:sz w:val="22"/>
          <w:szCs w:val="22"/>
        </w:rPr>
        <w:tab/>
        <w:t xml:space="preserve">PSA&lt;114 and pain &gt;0-1: </w:t>
      </w:r>
      <w:r w:rsidR="005C0DF8">
        <w:rPr>
          <w:rFonts w:ascii="Arial" w:hAnsi="Arial"/>
          <w:noProof/>
          <w:color w:val="000000"/>
          <w:sz w:val="22"/>
          <w:szCs w:val="22"/>
          <w:highlight w:val="black"/>
        </w:rPr>
        <w:t>'''''''''</w:t>
      </w:r>
      <w:r w:rsidRPr="00E35D0E">
        <w:rPr>
          <w:rFonts w:ascii="Arial" w:hAnsi="Arial"/>
          <w:sz w:val="22"/>
          <w:szCs w:val="22"/>
        </w:rPr>
        <w:t xml:space="preserve"> (</w:t>
      </w:r>
      <w:proofErr w:type="gramStart"/>
      <w:r w:rsidR="005C0DF8">
        <w:rPr>
          <w:rFonts w:ascii="Arial" w:hAnsi="Arial"/>
          <w:noProof/>
          <w:color w:val="000000"/>
          <w:sz w:val="22"/>
          <w:szCs w:val="22"/>
          <w:highlight w:val="black"/>
        </w:rPr>
        <w:t>''''''</w:t>
      </w:r>
      <w:r w:rsidRPr="00E35D0E">
        <w:rPr>
          <w:rFonts w:ascii="Arial" w:hAnsi="Arial"/>
          <w:sz w:val="22"/>
          <w:szCs w:val="22"/>
        </w:rPr>
        <w:t>%</w:t>
      </w:r>
      <w:proofErr w:type="gramEnd"/>
      <w:r w:rsidRPr="00E35D0E">
        <w:rPr>
          <w:rFonts w:ascii="Arial" w:hAnsi="Arial"/>
          <w:sz w:val="22"/>
          <w:szCs w:val="22"/>
        </w:rPr>
        <w:t>)</w:t>
      </w:r>
    </w:p>
    <w:p w:rsidR="004037D3" w:rsidRPr="00E35D0E" w:rsidRDefault="004037D3" w:rsidP="00E35CCE">
      <w:pPr>
        <w:pStyle w:val="ListParagraph"/>
        <w:tabs>
          <w:tab w:val="left" w:pos="1134"/>
        </w:tabs>
        <w:ind w:left="709"/>
        <w:jc w:val="both"/>
        <w:rPr>
          <w:rFonts w:ascii="Arial" w:hAnsi="Arial"/>
          <w:sz w:val="22"/>
          <w:szCs w:val="22"/>
        </w:rPr>
      </w:pPr>
      <w:r w:rsidRPr="00E35D0E">
        <w:rPr>
          <w:rFonts w:ascii="Arial" w:hAnsi="Arial"/>
          <w:sz w:val="22"/>
          <w:szCs w:val="22"/>
        </w:rPr>
        <w:t>-</w:t>
      </w:r>
      <w:r w:rsidRPr="00E35D0E">
        <w:rPr>
          <w:rFonts w:ascii="Arial" w:hAnsi="Arial"/>
          <w:sz w:val="22"/>
          <w:szCs w:val="22"/>
        </w:rPr>
        <w:tab/>
        <w:t xml:space="preserve">PSA&gt;114 and pain &lt;0-1: </w:t>
      </w:r>
      <w:r w:rsidR="005C0DF8">
        <w:rPr>
          <w:rFonts w:ascii="Arial" w:hAnsi="Arial"/>
          <w:noProof/>
          <w:color w:val="000000"/>
          <w:sz w:val="22"/>
          <w:szCs w:val="22"/>
          <w:highlight w:val="black"/>
        </w:rPr>
        <w:t>''''''''''</w:t>
      </w:r>
      <w:r w:rsidRPr="00E35D0E">
        <w:rPr>
          <w:rFonts w:ascii="Arial" w:hAnsi="Arial"/>
          <w:sz w:val="22"/>
          <w:szCs w:val="22"/>
        </w:rPr>
        <w:t xml:space="preserve"> (</w:t>
      </w:r>
      <w:r w:rsidR="005C0DF8">
        <w:rPr>
          <w:rFonts w:ascii="Arial" w:hAnsi="Arial"/>
          <w:noProof/>
          <w:color w:val="000000"/>
          <w:sz w:val="22"/>
          <w:szCs w:val="22"/>
          <w:highlight w:val="black"/>
        </w:rPr>
        <w:t>'''''''</w:t>
      </w:r>
      <w:r w:rsidRPr="00E35D0E">
        <w:rPr>
          <w:rFonts w:ascii="Arial" w:hAnsi="Arial"/>
          <w:sz w:val="22"/>
          <w:szCs w:val="22"/>
        </w:rPr>
        <w:t>%)</w:t>
      </w:r>
    </w:p>
    <w:p w:rsidR="004037D3" w:rsidRPr="00E35D0E" w:rsidRDefault="004037D3" w:rsidP="00E35CCE">
      <w:pPr>
        <w:pStyle w:val="ListParagraph"/>
        <w:tabs>
          <w:tab w:val="left" w:pos="1134"/>
        </w:tabs>
        <w:ind w:left="709"/>
        <w:jc w:val="both"/>
        <w:rPr>
          <w:rFonts w:ascii="Arial" w:hAnsi="Arial"/>
          <w:sz w:val="22"/>
          <w:szCs w:val="22"/>
        </w:rPr>
      </w:pPr>
      <w:r w:rsidRPr="00E35D0E">
        <w:rPr>
          <w:rFonts w:ascii="Arial" w:hAnsi="Arial"/>
          <w:sz w:val="22"/>
          <w:szCs w:val="22"/>
        </w:rPr>
        <w:t>-</w:t>
      </w:r>
      <w:r w:rsidRPr="00E35D0E">
        <w:rPr>
          <w:rFonts w:ascii="Arial" w:hAnsi="Arial"/>
          <w:sz w:val="22"/>
          <w:szCs w:val="22"/>
        </w:rPr>
        <w:tab/>
        <w:t xml:space="preserve">PSA&gt;114 and pain &gt;0-1: </w:t>
      </w:r>
      <w:r w:rsidR="005C0DF8">
        <w:rPr>
          <w:rFonts w:ascii="Arial" w:hAnsi="Arial"/>
          <w:noProof/>
          <w:color w:val="000000"/>
          <w:sz w:val="22"/>
          <w:szCs w:val="22"/>
          <w:highlight w:val="black"/>
        </w:rPr>
        <w:t>''''''</w:t>
      </w:r>
      <w:r w:rsidRPr="00E35D0E">
        <w:rPr>
          <w:rFonts w:ascii="Arial" w:hAnsi="Arial"/>
          <w:sz w:val="22"/>
          <w:szCs w:val="22"/>
        </w:rPr>
        <w:t xml:space="preserve"> (</w:t>
      </w:r>
      <w:r w:rsidR="005C0DF8">
        <w:rPr>
          <w:rFonts w:ascii="Arial" w:hAnsi="Arial"/>
          <w:noProof/>
          <w:color w:val="000000"/>
          <w:sz w:val="22"/>
          <w:szCs w:val="22"/>
          <w:highlight w:val="black"/>
        </w:rPr>
        <w:t>'''</w:t>
      </w:r>
      <w:r w:rsidRPr="00E35D0E">
        <w:rPr>
          <w:rFonts w:ascii="Arial" w:hAnsi="Arial"/>
          <w:sz w:val="22"/>
          <w:szCs w:val="22"/>
        </w:rPr>
        <w:t>%)</w:t>
      </w:r>
    </w:p>
    <w:p w:rsidR="004037D3" w:rsidRPr="00E35D0E" w:rsidRDefault="004037D3" w:rsidP="00E35CCE">
      <w:pPr>
        <w:pStyle w:val="ListParagraph"/>
        <w:tabs>
          <w:tab w:val="left" w:pos="1134"/>
        </w:tabs>
        <w:ind w:left="709"/>
        <w:jc w:val="both"/>
        <w:rPr>
          <w:rFonts w:ascii="Arial" w:hAnsi="Arial"/>
          <w:sz w:val="22"/>
          <w:szCs w:val="22"/>
        </w:rPr>
      </w:pPr>
      <w:r w:rsidRPr="00E35D0E">
        <w:rPr>
          <w:rFonts w:ascii="Arial" w:hAnsi="Arial"/>
          <w:sz w:val="22"/>
          <w:szCs w:val="22"/>
        </w:rPr>
        <w:t>-</w:t>
      </w:r>
      <w:r w:rsidRPr="00E35D0E">
        <w:rPr>
          <w:rFonts w:ascii="Arial" w:hAnsi="Arial"/>
          <w:sz w:val="22"/>
          <w:szCs w:val="22"/>
        </w:rPr>
        <w:tab/>
      </w:r>
      <w:r w:rsidRPr="00E35D0E">
        <w:rPr>
          <w:rFonts w:ascii="Arial" w:hAnsi="Arial"/>
          <w:sz w:val="22"/>
          <w:szCs w:val="22"/>
          <w:u w:val="single"/>
        </w:rPr>
        <w:t>Australian Specific figures (n=132</w:t>
      </w:r>
      <w:r w:rsidRPr="00E35D0E">
        <w:rPr>
          <w:rFonts w:ascii="Arial" w:hAnsi="Arial"/>
          <w:sz w:val="22"/>
          <w:szCs w:val="22"/>
        </w:rPr>
        <w:t>)</w:t>
      </w:r>
    </w:p>
    <w:p w:rsidR="004037D3" w:rsidRPr="00E35D0E" w:rsidRDefault="004037D3" w:rsidP="00E35CCE">
      <w:pPr>
        <w:pStyle w:val="ListParagraph"/>
        <w:tabs>
          <w:tab w:val="left" w:pos="1134"/>
        </w:tabs>
        <w:ind w:left="709"/>
        <w:jc w:val="both"/>
        <w:rPr>
          <w:rFonts w:ascii="Arial" w:hAnsi="Arial"/>
          <w:sz w:val="22"/>
          <w:szCs w:val="22"/>
        </w:rPr>
      </w:pPr>
      <w:r w:rsidRPr="00E35D0E">
        <w:rPr>
          <w:rFonts w:ascii="Arial" w:hAnsi="Arial"/>
          <w:sz w:val="22"/>
          <w:szCs w:val="22"/>
        </w:rPr>
        <w:t>-</w:t>
      </w:r>
      <w:r w:rsidRPr="00E35D0E">
        <w:rPr>
          <w:rFonts w:ascii="Arial" w:hAnsi="Arial"/>
          <w:sz w:val="22"/>
          <w:szCs w:val="22"/>
        </w:rPr>
        <w:tab/>
        <w:t xml:space="preserve">PSA&lt;114 and pain &lt;0-1: </w:t>
      </w:r>
      <w:r w:rsidR="005C0DF8">
        <w:rPr>
          <w:rFonts w:ascii="Arial" w:hAnsi="Arial"/>
          <w:noProof/>
          <w:color w:val="000000"/>
          <w:sz w:val="22"/>
          <w:szCs w:val="22"/>
          <w:highlight w:val="black"/>
        </w:rPr>
        <w:t>'''''''</w:t>
      </w:r>
      <w:r w:rsidRPr="00E35D0E">
        <w:rPr>
          <w:rFonts w:ascii="Arial" w:hAnsi="Arial"/>
          <w:sz w:val="22"/>
          <w:szCs w:val="22"/>
        </w:rPr>
        <w:t xml:space="preserve"> (</w:t>
      </w:r>
      <w:proofErr w:type="gramStart"/>
      <w:r w:rsidR="005C0DF8">
        <w:rPr>
          <w:rFonts w:ascii="Arial" w:hAnsi="Arial"/>
          <w:noProof/>
          <w:color w:val="000000"/>
          <w:sz w:val="22"/>
          <w:szCs w:val="22"/>
          <w:highlight w:val="black"/>
        </w:rPr>
        <w:t>''''''</w:t>
      </w:r>
      <w:r w:rsidRPr="00E35D0E">
        <w:rPr>
          <w:rFonts w:ascii="Arial" w:hAnsi="Arial"/>
          <w:sz w:val="22"/>
          <w:szCs w:val="22"/>
        </w:rPr>
        <w:t>%</w:t>
      </w:r>
      <w:proofErr w:type="gramEnd"/>
      <w:r w:rsidRPr="00E35D0E">
        <w:rPr>
          <w:rFonts w:ascii="Arial" w:hAnsi="Arial"/>
          <w:sz w:val="22"/>
          <w:szCs w:val="22"/>
        </w:rPr>
        <w:t>)</w:t>
      </w:r>
    </w:p>
    <w:p w:rsidR="004037D3" w:rsidRPr="00E35D0E" w:rsidRDefault="004037D3" w:rsidP="00E35CCE">
      <w:pPr>
        <w:pStyle w:val="ListParagraph"/>
        <w:tabs>
          <w:tab w:val="left" w:pos="1134"/>
        </w:tabs>
        <w:ind w:left="709"/>
        <w:jc w:val="both"/>
        <w:rPr>
          <w:rFonts w:ascii="Arial" w:hAnsi="Arial"/>
          <w:sz w:val="22"/>
          <w:szCs w:val="22"/>
        </w:rPr>
      </w:pPr>
      <w:r w:rsidRPr="00E35D0E">
        <w:rPr>
          <w:rFonts w:ascii="Arial" w:hAnsi="Arial"/>
          <w:sz w:val="22"/>
          <w:szCs w:val="22"/>
        </w:rPr>
        <w:t>-</w:t>
      </w:r>
      <w:r w:rsidRPr="00E35D0E">
        <w:rPr>
          <w:rFonts w:ascii="Arial" w:hAnsi="Arial"/>
          <w:sz w:val="22"/>
          <w:szCs w:val="22"/>
        </w:rPr>
        <w:tab/>
        <w:t xml:space="preserve">PSA&lt;114 and pain &gt;0-1: </w:t>
      </w:r>
      <w:r w:rsidR="005C0DF8">
        <w:rPr>
          <w:rFonts w:ascii="Arial" w:hAnsi="Arial"/>
          <w:noProof/>
          <w:color w:val="000000"/>
          <w:sz w:val="22"/>
          <w:szCs w:val="22"/>
          <w:highlight w:val="black"/>
        </w:rPr>
        <w:t xml:space="preserve">'''''' </w:t>
      </w:r>
      <w:r w:rsidRPr="00E35D0E">
        <w:rPr>
          <w:rFonts w:ascii="Arial" w:hAnsi="Arial"/>
          <w:sz w:val="22"/>
          <w:szCs w:val="22"/>
        </w:rPr>
        <w:t>(</w:t>
      </w:r>
      <w:proofErr w:type="gramStart"/>
      <w:r w:rsidR="005C0DF8">
        <w:rPr>
          <w:rFonts w:ascii="Arial" w:hAnsi="Arial"/>
          <w:noProof/>
          <w:color w:val="000000"/>
          <w:sz w:val="22"/>
          <w:szCs w:val="22"/>
          <w:highlight w:val="black"/>
        </w:rPr>
        <w:t>''''''</w:t>
      </w:r>
      <w:r w:rsidRPr="00E35D0E">
        <w:rPr>
          <w:rFonts w:ascii="Arial" w:hAnsi="Arial"/>
          <w:sz w:val="22"/>
          <w:szCs w:val="22"/>
        </w:rPr>
        <w:t>%</w:t>
      </w:r>
      <w:proofErr w:type="gramEnd"/>
      <w:r w:rsidRPr="00E35D0E">
        <w:rPr>
          <w:rFonts w:ascii="Arial" w:hAnsi="Arial"/>
          <w:sz w:val="22"/>
          <w:szCs w:val="22"/>
        </w:rPr>
        <w:t>)</w:t>
      </w:r>
    </w:p>
    <w:p w:rsidR="004037D3" w:rsidRPr="00E35D0E" w:rsidRDefault="004037D3" w:rsidP="00E35CCE">
      <w:pPr>
        <w:pStyle w:val="ListParagraph"/>
        <w:tabs>
          <w:tab w:val="left" w:pos="1134"/>
        </w:tabs>
        <w:ind w:left="709"/>
        <w:jc w:val="both"/>
        <w:rPr>
          <w:rFonts w:ascii="Arial" w:hAnsi="Arial"/>
          <w:sz w:val="22"/>
          <w:szCs w:val="22"/>
        </w:rPr>
      </w:pPr>
      <w:r w:rsidRPr="00E35D0E">
        <w:rPr>
          <w:rFonts w:ascii="Arial" w:hAnsi="Arial"/>
          <w:sz w:val="22"/>
          <w:szCs w:val="22"/>
        </w:rPr>
        <w:t>-</w:t>
      </w:r>
      <w:r w:rsidRPr="00E35D0E">
        <w:rPr>
          <w:rFonts w:ascii="Arial" w:hAnsi="Arial"/>
          <w:sz w:val="22"/>
          <w:szCs w:val="22"/>
        </w:rPr>
        <w:tab/>
        <w:t xml:space="preserve">PSA&gt;114 and pain &lt;0-1: </w:t>
      </w:r>
      <w:r w:rsidR="005C0DF8">
        <w:rPr>
          <w:rFonts w:ascii="Arial" w:hAnsi="Arial"/>
          <w:noProof/>
          <w:color w:val="000000"/>
          <w:sz w:val="22"/>
          <w:szCs w:val="22"/>
          <w:highlight w:val="black"/>
        </w:rPr>
        <w:t>'''''''</w:t>
      </w:r>
      <w:r w:rsidRPr="00E35D0E">
        <w:rPr>
          <w:rFonts w:ascii="Arial" w:hAnsi="Arial"/>
          <w:sz w:val="22"/>
          <w:szCs w:val="22"/>
        </w:rPr>
        <w:t xml:space="preserve"> (</w:t>
      </w:r>
      <w:r w:rsidR="005C0DF8">
        <w:rPr>
          <w:rFonts w:ascii="Arial" w:hAnsi="Arial"/>
          <w:noProof/>
          <w:color w:val="000000"/>
          <w:sz w:val="22"/>
          <w:szCs w:val="22"/>
          <w:highlight w:val="black"/>
        </w:rPr>
        <w:t>'''''''</w:t>
      </w:r>
      <w:r w:rsidRPr="00E35D0E">
        <w:rPr>
          <w:rFonts w:ascii="Arial" w:hAnsi="Arial"/>
          <w:sz w:val="22"/>
          <w:szCs w:val="22"/>
        </w:rPr>
        <w:t>%)</w:t>
      </w:r>
    </w:p>
    <w:p w:rsidR="004037D3" w:rsidRPr="00E35D0E" w:rsidRDefault="004037D3" w:rsidP="00E35CCE">
      <w:pPr>
        <w:pStyle w:val="ListParagraph"/>
        <w:tabs>
          <w:tab w:val="left" w:pos="1134"/>
        </w:tabs>
        <w:ind w:left="709"/>
        <w:jc w:val="both"/>
        <w:rPr>
          <w:rFonts w:ascii="Arial" w:hAnsi="Arial"/>
          <w:sz w:val="22"/>
          <w:szCs w:val="22"/>
        </w:rPr>
      </w:pPr>
      <w:r w:rsidRPr="00E35D0E">
        <w:rPr>
          <w:rFonts w:ascii="Arial" w:hAnsi="Arial"/>
          <w:sz w:val="22"/>
          <w:szCs w:val="22"/>
        </w:rPr>
        <w:t>-</w:t>
      </w:r>
      <w:r w:rsidRPr="00E35D0E">
        <w:rPr>
          <w:rFonts w:ascii="Arial" w:hAnsi="Arial"/>
          <w:sz w:val="22"/>
          <w:szCs w:val="22"/>
        </w:rPr>
        <w:tab/>
        <w:t xml:space="preserve">PSA&gt;114 and pain &gt;0-1: </w:t>
      </w:r>
      <w:r w:rsidR="005C0DF8">
        <w:rPr>
          <w:rFonts w:ascii="Arial" w:hAnsi="Arial"/>
          <w:noProof/>
          <w:color w:val="000000"/>
          <w:sz w:val="22"/>
          <w:szCs w:val="22"/>
          <w:highlight w:val="black"/>
        </w:rPr>
        <w:t>''''''</w:t>
      </w:r>
      <w:r w:rsidRPr="00E35D0E">
        <w:rPr>
          <w:rFonts w:ascii="Arial" w:hAnsi="Arial"/>
          <w:sz w:val="22"/>
          <w:szCs w:val="22"/>
        </w:rPr>
        <w:t xml:space="preserve"> (</w:t>
      </w:r>
      <w:proofErr w:type="gramStart"/>
      <w:r w:rsidR="005C0DF8">
        <w:rPr>
          <w:rFonts w:ascii="Arial" w:hAnsi="Arial"/>
          <w:noProof/>
          <w:color w:val="000000"/>
          <w:sz w:val="22"/>
          <w:szCs w:val="22"/>
          <w:highlight w:val="black"/>
        </w:rPr>
        <w:t>''''''</w:t>
      </w:r>
      <w:r w:rsidRPr="00E35D0E">
        <w:rPr>
          <w:rFonts w:ascii="Arial" w:hAnsi="Arial"/>
          <w:sz w:val="22"/>
          <w:szCs w:val="22"/>
        </w:rPr>
        <w:t>%</w:t>
      </w:r>
      <w:proofErr w:type="gramEnd"/>
      <w:r w:rsidRPr="00E35D0E">
        <w:rPr>
          <w:rFonts w:ascii="Arial" w:hAnsi="Arial"/>
          <w:sz w:val="22"/>
          <w:szCs w:val="22"/>
        </w:rPr>
        <w:t>)</w:t>
      </w:r>
    </w:p>
    <w:p w:rsidR="004037D3" w:rsidRPr="00E35CCE" w:rsidRDefault="004037D3" w:rsidP="00E35CCE">
      <w:pPr>
        <w:pStyle w:val="ListParagraph"/>
        <w:ind w:left="709"/>
        <w:jc w:val="both"/>
        <w:rPr>
          <w:rFonts w:ascii="Arial" w:hAnsi="Arial"/>
          <w:sz w:val="22"/>
          <w:szCs w:val="22"/>
        </w:rPr>
      </w:pPr>
    </w:p>
    <w:p w:rsidR="004037D3" w:rsidRPr="00E35CCE" w:rsidRDefault="004037D3" w:rsidP="00E35CCE">
      <w:pPr>
        <w:pStyle w:val="ListParagraph"/>
        <w:ind w:left="709"/>
        <w:jc w:val="both"/>
        <w:rPr>
          <w:rFonts w:ascii="Arial" w:hAnsi="Arial"/>
          <w:sz w:val="22"/>
          <w:szCs w:val="22"/>
        </w:rPr>
      </w:pPr>
      <w:r w:rsidRPr="00E35CCE">
        <w:rPr>
          <w:rFonts w:ascii="Arial" w:hAnsi="Arial"/>
          <w:sz w:val="22"/>
          <w:szCs w:val="22"/>
        </w:rPr>
        <w:t>ESC considered it unclear how well the physician assessment of pain, as stated in the requested indication, aligns with the BPI-SF</w:t>
      </w:r>
      <w:r w:rsidR="00064A11" w:rsidRPr="00E35CCE">
        <w:rPr>
          <w:rFonts w:ascii="Arial" w:hAnsi="Arial"/>
          <w:sz w:val="22"/>
          <w:szCs w:val="22"/>
        </w:rPr>
        <w:t xml:space="preserve"> Q</w:t>
      </w:r>
      <w:r w:rsidRPr="00E35CCE">
        <w:rPr>
          <w:rFonts w:ascii="Arial" w:hAnsi="Arial"/>
          <w:sz w:val="22"/>
          <w:szCs w:val="22"/>
        </w:rPr>
        <w:t>3. There is some chance that mildly symptomatic cancer pain could be included. PSA is a more objective measure. Given this uncertainty, if all PSA&lt;114 are considered repres</w:t>
      </w:r>
      <w:r w:rsidR="00E7231E" w:rsidRPr="00E35CCE">
        <w:rPr>
          <w:rFonts w:ascii="Arial" w:hAnsi="Arial"/>
          <w:sz w:val="22"/>
          <w:szCs w:val="22"/>
        </w:rPr>
        <w:t xml:space="preserve">entative of the PBS population </w:t>
      </w:r>
      <w:r w:rsidRPr="00E35CCE">
        <w:rPr>
          <w:rFonts w:ascii="Arial" w:hAnsi="Arial"/>
          <w:sz w:val="22"/>
          <w:szCs w:val="22"/>
        </w:rPr>
        <w:t xml:space="preserve">then this </w:t>
      </w:r>
      <w:r w:rsidR="005C0DF8">
        <w:rPr>
          <w:rFonts w:ascii="Arial" w:hAnsi="Arial"/>
          <w:noProof/>
          <w:color w:val="000000"/>
          <w:sz w:val="22"/>
          <w:szCs w:val="22"/>
          <w:highlight w:val="black"/>
        </w:rPr>
        <w:t>''''''</w:t>
      </w:r>
      <w:r w:rsidRPr="00BA2C13">
        <w:rPr>
          <w:rFonts w:ascii="Arial" w:hAnsi="Arial"/>
          <w:sz w:val="22"/>
          <w:szCs w:val="22"/>
        </w:rPr>
        <w:t>%</w:t>
      </w:r>
      <w:r w:rsidRPr="00E35CCE">
        <w:rPr>
          <w:rFonts w:ascii="Arial" w:hAnsi="Arial"/>
          <w:sz w:val="22"/>
          <w:szCs w:val="22"/>
        </w:rPr>
        <w:t xml:space="preserve"> of the trial population represents the proposed PBS population. The ITT would therefore appear the most appropriate population to consider under the given restriction.</w:t>
      </w:r>
    </w:p>
    <w:p w:rsidR="004037D3" w:rsidRPr="00E35CCE" w:rsidRDefault="004037D3" w:rsidP="00E35CCE">
      <w:pPr>
        <w:pStyle w:val="ListParagraph"/>
        <w:ind w:left="1800"/>
        <w:rPr>
          <w:rFonts w:ascii="Arial" w:hAnsi="Arial"/>
          <w:sz w:val="22"/>
          <w:szCs w:val="22"/>
        </w:rPr>
      </w:pPr>
    </w:p>
    <w:p w:rsidR="007759B9" w:rsidRPr="00E35CCE" w:rsidRDefault="007759B9" w:rsidP="00E35CCE">
      <w:pPr>
        <w:pStyle w:val="ListParagraph"/>
        <w:numPr>
          <w:ilvl w:val="1"/>
          <w:numId w:val="25"/>
        </w:numPr>
        <w:ind w:left="709" w:hanging="709"/>
        <w:jc w:val="both"/>
        <w:rPr>
          <w:rFonts w:ascii="Arial" w:hAnsi="Arial"/>
          <w:sz w:val="22"/>
          <w:szCs w:val="22"/>
        </w:rPr>
      </w:pPr>
      <w:r w:rsidRPr="00E35CCE">
        <w:rPr>
          <w:rFonts w:ascii="Arial" w:hAnsi="Arial"/>
          <w:sz w:val="22"/>
          <w:szCs w:val="22"/>
        </w:rPr>
        <w:t>The PBAC considered the ITT analysis to be the most relevant trial data. The PBAC considered that the claim of superior comparative effectiveness was reasonable.</w:t>
      </w:r>
    </w:p>
    <w:p w:rsidR="007759B9" w:rsidRPr="00E35CCE" w:rsidRDefault="007759B9" w:rsidP="00E35CCE">
      <w:pPr>
        <w:pStyle w:val="ListParagraph"/>
        <w:rPr>
          <w:rFonts w:ascii="Arial" w:hAnsi="Arial"/>
          <w:sz w:val="22"/>
          <w:szCs w:val="22"/>
        </w:rPr>
      </w:pPr>
    </w:p>
    <w:p w:rsidR="007759B9" w:rsidRPr="00E35CCE" w:rsidRDefault="007759B9" w:rsidP="00E35CCE">
      <w:pPr>
        <w:pStyle w:val="ListParagraph"/>
        <w:numPr>
          <w:ilvl w:val="1"/>
          <w:numId w:val="25"/>
        </w:numPr>
        <w:ind w:left="709" w:hanging="709"/>
        <w:jc w:val="both"/>
        <w:rPr>
          <w:rFonts w:ascii="Arial" w:hAnsi="Arial"/>
          <w:sz w:val="22"/>
          <w:szCs w:val="22"/>
        </w:rPr>
      </w:pPr>
      <w:r w:rsidRPr="00E35CCE">
        <w:rPr>
          <w:rFonts w:ascii="Arial" w:hAnsi="Arial"/>
          <w:sz w:val="22"/>
          <w:szCs w:val="22"/>
        </w:rPr>
        <w:t>The PBAC considered that the claim of inferior comparative safety was reasonable.</w:t>
      </w:r>
    </w:p>
    <w:p w:rsidR="007759B9" w:rsidRPr="00E35CCE" w:rsidRDefault="007759B9" w:rsidP="00E35CCE">
      <w:pPr>
        <w:pStyle w:val="ListParagraph"/>
        <w:rPr>
          <w:rFonts w:ascii="Arial" w:hAnsi="Arial"/>
          <w:sz w:val="22"/>
          <w:szCs w:val="22"/>
        </w:rPr>
      </w:pPr>
    </w:p>
    <w:p w:rsidR="007759B9" w:rsidRPr="00E35CCE" w:rsidRDefault="007759B9" w:rsidP="00E35CCE">
      <w:pPr>
        <w:pStyle w:val="ListParagraph"/>
        <w:numPr>
          <w:ilvl w:val="1"/>
          <w:numId w:val="25"/>
        </w:numPr>
        <w:ind w:left="709" w:hanging="709"/>
        <w:jc w:val="both"/>
        <w:rPr>
          <w:rFonts w:ascii="Arial" w:hAnsi="Arial"/>
          <w:sz w:val="22"/>
          <w:szCs w:val="22"/>
        </w:rPr>
      </w:pPr>
      <w:r w:rsidRPr="00E35CCE">
        <w:rPr>
          <w:rFonts w:ascii="Arial" w:hAnsi="Arial"/>
          <w:sz w:val="22"/>
          <w:szCs w:val="22"/>
        </w:rPr>
        <w:t>However, the PBAC did not accept the comparator of “watchful waiting” and therefore these claims are not a sufficient basis for consideration of cost-effectiveness.</w:t>
      </w:r>
      <w:r w:rsidR="00ED4A3C" w:rsidRPr="00E35CCE">
        <w:rPr>
          <w:rFonts w:ascii="Arial" w:hAnsi="Arial"/>
          <w:sz w:val="22"/>
          <w:szCs w:val="22"/>
        </w:rPr>
        <w:t xml:space="preserve"> See paragraph 7.3.</w:t>
      </w:r>
    </w:p>
    <w:p w:rsidR="007759B9" w:rsidRPr="00E35CCE" w:rsidRDefault="007759B9" w:rsidP="00E35CCE">
      <w:pPr>
        <w:jc w:val="both"/>
        <w:rPr>
          <w:rFonts w:ascii="Arial" w:hAnsi="Arial"/>
          <w:sz w:val="22"/>
          <w:szCs w:val="22"/>
        </w:rPr>
      </w:pPr>
    </w:p>
    <w:p w:rsidR="004037D3" w:rsidRPr="00E35CCE" w:rsidRDefault="004037D3" w:rsidP="00E35CCE">
      <w:pPr>
        <w:pStyle w:val="ListParagraph"/>
        <w:ind w:left="709"/>
        <w:jc w:val="both"/>
        <w:rPr>
          <w:rFonts w:ascii="Arial" w:hAnsi="Arial"/>
          <w:i/>
          <w:sz w:val="22"/>
          <w:szCs w:val="22"/>
        </w:rPr>
      </w:pPr>
      <w:r w:rsidRPr="00E35CCE">
        <w:rPr>
          <w:rFonts w:ascii="Arial" w:hAnsi="Arial"/>
          <w:i/>
          <w:sz w:val="22"/>
          <w:szCs w:val="22"/>
        </w:rPr>
        <w:t>For more detail on PBAC’s view, see section 7 “PBAC outcome”</w:t>
      </w:r>
    </w:p>
    <w:p w:rsidR="00F57A6D" w:rsidRPr="00E35CCE" w:rsidRDefault="00F57A6D" w:rsidP="00E35CCE">
      <w:pPr>
        <w:ind w:left="720" w:hanging="720"/>
        <w:jc w:val="both"/>
        <w:rPr>
          <w:rFonts w:ascii="Arial" w:hAnsi="Arial"/>
          <w:sz w:val="22"/>
          <w:szCs w:val="22"/>
        </w:rPr>
      </w:pPr>
    </w:p>
    <w:p w:rsidR="0033614E" w:rsidRPr="00E35CCE" w:rsidRDefault="005A3173" w:rsidP="00E35CCE">
      <w:pPr>
        <w:ind w:left="720" w:hanging="720"/>
        <w:jc w:val="both"/>
        <w:rPr>
          <w:rFonts w:ascii="Arial" w:hAnsi="Arial"/>
          <w:b/>
          <w:i/>
          <w:sz w:val="22"/>
          <w:szCs w:val="22"/>
        </w:rPr>
      </w:pPr>
      <w:r w:rsidRPr="00E35CCE">
        <w:rPr>
          <w:rFonts w:ascii="Arial" w:hAnsi="Arial"/>
          <w:b/>
          <w:i/>
          <w:sz w:val="22"/>
          <w:szCs w:val="22"/>
        </w:rPr>
        <w:t>Economic analysis</w:t>
      </w:r>
    </w:p>
    <w:p w:rsidR="0033614E" w:rsidRPr="00E35CCE" w:rsidRDefault="0033614E" w:rsidP="00E35CCE">
      <w:pPr>
        <w:ind w:left="720" w:hanging="720"/>
        <w:jc w:val="both"/>
        <w:rPr>
          <w:rFonts w:ascii="Arial" w:hAnsi="Arial"/>
          <w:b/>
          <w:i/>
          <w:sz w:val="22"/>
          <w:szCs w:val="22"/>
        </w:rPr>
      </w:pPr>
    </w:p>
    <w:p w:rsidR="0033614E" w:rsidRPr="00E35CCE" w:rsidRDefault="004037D3" w:rsidP="00E35CCE">
      <w:pPr>
        <w:pStyle w:val="ListParagraph"/>
        <w:numPr>
          <w:ilvl w:val="1"/>
          <w:numId w:val="25"/>
        </w:numPr>
        <w:jc w:val="both"/>
      </w:pPr>
      <w:r w:rsidRPr="00E35CCE">
        <w:rPr>
          <w:rFonts w:ascii="Arial" w:hAnsi="Arial" w:cs="Arial"/>
          <w:sz w:val="22"/>
        </w:rPr>
        <w:t>The submission presents a modelled economic analysis.</w:t>
      </w:r>
    </w:p>
    <w:p w:rsidR="00390AB7" w:rsidRPr="00E35CCE" w:rsidRDefault="00390AB7" w:rsidP="00E35CCE">
      <w:pPr>
        <w:pStyle w:val="ListParagraph"/>
        <w:jc w:val="both"/>
      </w:pPr>
    </w:p>
    <w:p w:rsidR="0033614E" w:rsidRPr="00E35CCE" w:rsidRDefault="00A05B38" w:rsidP="00E35CCE">
      <w:pPr>
        <w:tabs>
          <w:tab w:val="left" w:pos="709"/>
        </w:tabs>
        <w:rPr>
          <w:rStyle w:val="CommentReference"/>
          <w:rFonts w:ascii="Arial Narrow" w:hAnsi="Arial Narrow"/>
          <w:b/>
          <w:sz w:val="20"/>
          <w:szCs w:val="20"/>
        </w:rPr>
      </w:pPr>
      <w:r>
        <w:rPr>
          <w:rStyle w:val="CommentReference"/>
          <w:rFonts w:ascii="Arial Narrow" w:hAnsi="Arial Narrow"/>
          <w:b/>
          <w:sz w:val="20"/>
          <w:szCs w:val="20"/>
        </w:rPr>
        <w:tab/>
      </w:r>
      <w:r w:rsidR="0033614E" w:rsidRPr="00E35CCE">
        <w:rPr>
          <w:rStyle w:val="CommentReference"/>
          <w:rFonts w:ascii="Arial Narrow" w:hAnsi="Arial Narrow"/>
          <w:b/>
          <w:sz w:val="20"/>
          <w:szCs w:val="20"/>
        </w:rPr>
        <w:t>Summary of model structure and rationale</w:t>
      </w:r>
      <w:r w:rsidR="00D22827" w:rsidRPr="00E35CCE">
        <w:rPr>
          <w:rStyle w:val="CommentReference"/>
          <w:rFonts w:ascii="Arial Narrow" w:hAnsi="Arial Narrow"/>
          <w:b/>
          <w:sz w:val="20"/>
          <w:szCs w:val="20"/>
        </w:rPr>
        <w:tab/>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Description w:val="Summary of model structure and rationale"/>
      </w:tblPr>
      <w:tblGrid>
        <w:gridCol w:w="3401"/>
        <w:gridCol w:w="4944"/>
      </w:tblGrid>
      <w:tr w:rsidR="0033614E" w:rsidRPr="00E35CCE" w:rsidTr="004037D3">
        <w:trPr>
          <w:tblHeader/>
        </w:trPr>
        <w:tc>
          <w:tcPr>
            <w:tcW w:w="2038" w:type="pct"/>
            <w:shd w:val="clear" w:color="auto" w:fill="auto"/>
            <w:vAlign w:val="center"/>
          </w:tcPr>
          <w:p w:rsidR="0033614E" w:rsidRPr="00E35CCE" w:rsidRDefault="0033614E" w:rsidP="00E35CCE">
            <w:pPr>
              <w:rPr>
                <w:rFonts w:ascii="Arial Narrow" w:hAnsi="Arial Narrow"/>
                <w:b/>
                <w:sz w:val="20"/>
                <w:szCs w:val="20"/>
              </w:rPr>
            </w:pPr>
            <w:r w:rsidRPr="00E35CCE">
              <w:rPr>
                <w:rFonts w:ascii="Arial Narrow" w:hAnsi="Arial Narrow"/>
                <w:b/>
                <w:sz w:val="20"/>
                <w:szCs w:val="20"/>
              </w:rPr>
              <w:t>Component</w:t>
            </w:r>
          </w:p>
        </w:tc>
        <w:tc>
          <w:tcPr>
            <w:tcW w:w="2962" w:type="pct"/>
            <w:shd w:val="clear" w:color="auto" w:fill="auto"/>
            <w:vAlign w:val="center"/>
          </w:tcPr>
          <w:p w:rsidR="0033614E" w:rsidRPr="00E35CCE" w:rsidRDefault="0033614E" w:rsidP="00E35CCE">
            <w:pPr>
              <w:jc w:val="center"/>
              <w:rPr>
                <w:rFonts w:ascii="Arial Narrow" w:hAnsi="Arial Narrow"/>
                <w:b/>
                <w:sz w:val="20"/>
                <w:szCs w:val="20"/>
              </w:rPr>
            </w:pPr>
            <w:r w:rsidRPr="00E35CCE">
              <w:rPr>
                <w:rFonts w:ascii="Arial Narrow" w:hAnsi="Arial Narrow"/>
                <w:b/>
                <w:sz w:val="20"/>
                <w:szCs w:val="20"/>
              </w:rPr>
              <w:t>Summary</w:t>
            </w:r>
          </w:p>
        </w:tc>
      </w:tr>
      <w:tr w:rsidR="0033614E" w:rsidRPr="00E35CCE" w:rsidTr="004037D3">
        <w:tc>
          <w:tcPr>
            <w:tcW w:w="2038" w:type="pct"/>
            <w:shd w:val="clear" w:color="auto" w:fill="auto"/>
            <w:vAlign w:val="center"/>
          </w:tcPr>
          <w:p w:rsidR="0033614E" w:rsidRPr="00E35CCE" w:rsidRDefault="0033614E" w:rsidP="00E35CCE">
            <w:pPr>
              <w:rPr>
                <w:rFonts w:ascii="Arial Narrow" w:hAnsi="Arial Narrow"/>
                <w:sz w:val="20"/>
                <w:szCs w:val="20"/>
              </w:rPr>
            </w:pPr>
            <w:r w:rsidRPr="00E35CCE">
              <w:rPr>
                <w:rFonts w:ascii="Arial Narrow" w:hAnsi="Arial Narrow"/>
                <w:sz w:val="20"/>
                <w:szCs w:val="20"/>
              </w:rPr>
              <w:t>Time horizon</w:t>
            </w:r>
          </w:p>
        </w:tc>
        <w:tc>
          <w:tcPr>
            <w:tcW w:w="2962" w:type="pct"/>
            <w:shd w:val="clear" w:color="auto" w:fill="auto"/>
            <w:vAlign w:val="center"/>
          </w:tcPr>
          <w:p w:rsidR="0033614E" w:rsidRPr="00E35CCE" w:rsidRDefault="0033614E" w:rsidP="00E35CCE">
            <w:pPr>
              <w:rPr>
                <w:rFonts w:ascii="Arial Narrow" w:hAnsi="Arial Narrow"/>
                <w:sz w:val="20"/>
                <w:szCs w:val="20"/>
              </w:rPr>
            </w:pPr>
            <w:r w:rsidRPr="00E35CCE">
              <w:rPr>
                <w:rFonts w:ascii="Arial Narrow" w:hAnsi="Arial Narrow"/>
                <w:sz w:val="20"/>
                <w:szCs w:val="20"/>
              </w:rPr>
              <w:t>10 years in the model base case versus 3 years in trial</w:t>
            </w:r>
          </w:p>
        </w:tc>
      </w:tr>
      <w:tr w:rsidR="0033614E" w:rsidRPr="00E35CCE" w:rsidTr="004037D3">
        <w:tc>
          <w:tcPr>
            <w:tcW w:w="2038" w:type="pct"/>
            <w:shd w:val="clear" w:color="auto" w:fill="auto"/>
            <w:vAlign w:val="center"/>
          </w:tcPr>
          <w:p w:rsidR="0033614E" w:rsidRPr="00E35CCE" w:rsidRDefault="0033614E" w:rsidP="00E35CCE">
            <w:pPr>
              <w:rPr>
                <w:rFonts w:ascii="Arial Narrow" w:hAnsi="Arial Narrow"/>
                <w:sz w:val="20"/>
                <w:szCs w:val="20"/>
              </w:rPr>
            </w:pPr>
            <w:r w:rsidRPr="00E35CCE">
              <w:rPr>
                <w:rFonts w:ascii="Arial Narrow" w:hAnsi="Arial Narrow"/>
                <w:sz w:val="20"/>
                <w:szCs w:val="20"/>
              </w:rPr>
              <w:t>Outcomes</w:t>
            </w:r>
          </w:p>
        </w:tc>
        <w:tc>
          <w:tcPr>
            <w:tcW w:w="2962" w:type="pct"/>
            <w:shd w:val="clear" w:color="auto" w:fill="auto"/>
            <w:vAlign w:val="center"/>
          </w:tcPr>
          <w:p w:rsidR="0033614E" w:rsidRPr="00E35CCE" w:rsidRDefault="0033614E" w:rsidP="00E35CCE">
            <w:pPr>
              <w:rPr>
                <w:rFonts w:ascii="Arial Narrow" w:hAnsi="Arial Narrow"/>
                <w:sz w:val="20"/>
                <w:szCs w:val="20"/>
              </w:rPr>
            </w:pPr>
            <w:r w:rsidRPr="00E35CCE">
              <w:rPr>
                <w:rFonts w:ascii="Arial Narrow" w:hAnsi="Arial Narrow"/>
                <w:sz w:val="20"/>
                <w:szCs w:val="20"/>
              </w:rPr>
              <w:t>LYG and QALYs</w:t>
            </w:r>
          </w:p>
        </w:tc>
      </w:tr>
      <w:tr w:rsidR="0033614E" w:rsidRPr="00E35CCE" w:rsidTr="004037D3">
        <w:tc>
          <w:tcPr>
            <w:tcW w:w="2038" w:type="pct"/>
            <w:shd w:val="clear" w:color="auto" w:fill="auto"/>
            <w:vAlign w:val="center"/>
          </w:tcPr>
          <w:p w:rsidR="0033614E" w:rsidRPr="00E35CCE" w:rsidRDefault="0033614E" w:rsidP="00E35CCE">
            <w:pPr>
              <w:rPr>
                <w:rFonts w:ascii="Arial Narrow" w:hAnsi="Arial Narrow"/>
                <w:sz w:val="20"/>
                <w:szCs w:val="20"/>
              </w:rPr>
            </w:pPr>
            <w:r w:rsidRPr="00E35CCE">
              <w:rPr>
                <w:rFonts w:ascii="Arial Narrow" w:hAnsi="Arial Narrow"/>
                <w:sz w:val="20"/>
                <w:szCs w:val="20"/>
              </w:rPr>
              <w:t>Methods used to generate results</w:t>
            </w:r>
          </w:p>
        </w:tc>
        <w:tc>
          <w:tcPr>
            <w:tcW w:w="2962" w:type="pct"/>
            <w:shd w:val="clear" w:color="auto" w:fill="auto"/>
            <w:vAlign w:val="center"/>
          </w:tcPr>
          <w:p w:rsidR="0033614E" w:rsidRPr="00E35CCE" w:rsidRDefault="0033614E" w:rsidP="00E35CCE">
            <w:pPr>
              <w:rPr>
                <w:rFonts w:ascii="Arial Narrow" w:hAnsi="Arial Narrow"/>
                <w:sz w:val="20"/>
                <w:szCs w:val="20"/>
              </w:rPr>
            </w:pPr>
            <w:r w:rsidRPr="00E35CCE">
              <w:rPr>
                <w:rFonts w:ascii="Arial Narrow" w:hAnsi="Arial Narrow"/>
                <w:sz w:val="20"/>
                <w:szCs w:val="20"/>
              </w:rPr>
              <w:t>Cohort expected value analysis</w:t>
            </w:r>
          </w:p>
        </w:tc>
      </w:tr>
      <w:tr w:rsidR="0033614E" w:rsidRPr="00E35CCE" w:rsidTr="004037D3">
        <w:tc>
          <w:tcPr>
            <w:tcW w:w="2038" w:type="pct"/>
            <w:shd w:val="clear" w:color="auto" w:fill="auto"/>
            <w:vAlign w:val="center"/>
          </w:tcPr>
          <w:p w:rsidR="0033614E" w:rsidRPr="00E35CCE" w:rsidRDefault="0033614E" w:rsidP="00E35CCE">
            <w:pPr>
              <w:rPr>
                <w:rFonts w:ascii="Arial Narrow" w:hAnsi="Arial Narrow"/>
                <w:sz w:val="20"/>
                <w:szCs w:val="20"/>
              </w:rPr>
            </w:pPr>
            <w:r w:rsidRPr="00E35CCE">
              <w:rPr>
                <w:rFonts w:ascii="Arial Narrow" w:hAnsi="Arial Narrow"/>
                <w:sz w:val="20"/>
                <w:szCs w:val="20"/>
              </w:rPr>
              <w:t>Health states</w:t>
            </w:r>
          </w:p>
        </w:tc>
        <w:tc>
          <w:tcPr>
            <w:tcW w:w="2962" w:type="pct"/>
            <w:shd w:val="clear" w:color="auto" w:fill="auto"/>
            <w:vAlign w:val="center"/>
          </w:tcPr>
          <w:p w:rsidR="0033614E" w:rsidRPr="00E35CCE" w:rsidRDefault="0033614E" w:rsidP="00E35CCE">
            <w:pPr>
              <w:rPr>
                <w:rFonts w:ascii="Arial Narrow" w:hAnsi="Arial Narrow"/>
                <w:sz w:val="20"/>
                <w:szCs w:val="20"/>
              </w:rPr>
            </w:pPr>
            <w:r w:rsidRPr="00E35CCE">
              <w:rPr>
                <w:rFonts w:ascii="Arial Narrow" w:hAnsi="Arial Narrow"/>
                <w:sz w:val="20"/>
                <w:szCs w:val="20"/>
              </w:rPr>
              <w:t>1) ”Free of progression”; 2) “Progressing disease”; 3) “Dead”</w:t>
            </w:r>
          </w:p>
        </w:tc>
      </w:tr>
      <w:tr w:rsidR="0033614E" w:rsidRPr="00E35CCE" w:rsidTr="004037D3">
        <w:tc>
          <w:tcPr>
            <w:tcW w:w="2038" w:type="pct"/>
            <w:shd w:val="clear" w:color="auto" w:fill="auto"/>
            <w:vAlign w:val="center"/>
          </w:tcPr>
          <w:p w:rsidR="0033614E" w:rsidRPr="00E35CCE" w:rsidRDefault="0033614E" w:rsidP="00E35CCE">
            <w:pPr>
              <w:rPr>
                <w:rFonts w:ascii="Arial Narrow" w:hAnsi="Arial Narrow"/>
                <w:sz w:val="20"/>
                <w:szCs w:val="20"/>
              </w:rPr>
            </w:pPr>
            <w:r w:rsidRPr="00E35CCE">
              <w:rPr>
                <w:rFonts w:ascii="Arial Narrow" w:hAnsi="Arial Narrow"/>
                <w:sz w:val="20"/>
                <w:szCs w:val="20"/>
              </w:rPr>
              <w:t>Cycle length</w:t>
            </w:r>
          </w:p>
        </w:tc>
        <w:tc>
          <w:tcPr>
            <w:tcW w:w="2962" w:type="pct"/>
            <w:shd w:val="clear" w:color="auto" w:fill="auto"/>
            <w:vAlign w:val="center"/>
          </w:tcPr>
          <w:p w:rsidR="0033614E" w:rsidRPr="00E35CCE" w:rsidRDefault="0033614E" w:rsidP="00E35CCE">
            <w:pPr>
              <w:rPr>
                <w:rFonts w:ascii="Arial Narrow" w:hAnsi="Arial Narrow"/>
                <w:sz w:val="20"/>
                <w:szCs w:val="20"/>
              </w:rPr>
            </w:pPr>
            <w:r w:rsidRPr="00E35CCE">
              <w:rPr>
                <w:rFonts w:ascii="Arial Narrow" w:hAnsi="Arial Narrow"/>
                <w:sz w:val="20"/>
                <w:szCs w:val="20"/>
              </w:rPr>
              <w:t>30 days</w:t>
            </w:r>
          </w:p>
        </w:tc>
      </w:tr>
      <w:tr w:rsidR="0033614E" w:rsidRPr="00E35CCE" w:rsidTr="004037D3">
        <w:tc>
          <w:tcPr>
            <w:tcW w:w="2038" w:type="pct"/>
            <w:shd w:val="clear" w:color="auto" w:fill="auto"/>
            <w:vAlign w:val="center"/>
          </w:tcPr>
          <w:p w:rsidR="0033614E" w:rsidRPr="00E35CCE" w:rsidRDefault="0033614E" w:rsidP="00E35CCE">
            <w:pPr>
              <w:rPr>
                <w:rFonts w:ascii="Arial Narrow" w:hAnsi="Arial Narrow"/>
                <w:sz w:val="20"/>
                <w:szCs w:val="20"/>
              </w:rPr>
            </w:pPr>
            <w:r w:rsidRPr="00E35CCE">
              <w:rPr>
                <w:rFonts w:ascii="Arial Narrow" w:hAnsi="Arial Narrow"/>
                <w:sz w:val="20"/>
                <w:szCs w:val="20"/>
              </w:rPr>
              <w:t>Transition probabilities</w:t>
            </w:r>
          </w:p>
        </w:tc>
        <w:tc>
          <w:tcPr>
            <w:tcW w:w="2962" w:type="pct"/>
            <w:shd w:val="clear" w:color="auto" w:fill="auto"/>
            <w:vAlign w:val="center"/>
          </w:tcPr>
          <w:p w:rsidR="0033614E" w:rsidRPr="00E35CCE" w:rsidRDefault="0033614E" w:rsidP="00E35CCE">
            <w:pPr>
              <w:rPr>
                <w:rFonts w:ascii="Arial Narrow" w:hAnsi="Arial Narrow"/>
                <w:sz w:val="20"/>
                <w:szCs w:val="20"/>
              </w:rPr>
            </w:pPr>
            <w:r w:rsidRPr="00E35CCE">
              <w:rPr>
                <w:rFonts w:ascii="Arial Narrow" w:hAnsi="Arial Narrow"/>
                <w:sz w:val="20"/>
                <w:szCs w:val="20"/>
              </w:rPr>
              <w:t xml:space="preserve">Trial 302 with extrapolation </w:t>
            </w:r>
          </w:p>
        </w:tc>
      </w:tr>
    </w:tbl>
    <w:p w:rsidR="0033614E" w:rsidRPr="00E35CCE" w:rsidRDefault="0033614E" w:rsidP="00E35CCE">
      <w:pPr>
        <w:pStyle w:val="TableFooter"/>
        <w:ind w:firstLine="720"/>
        <w:rPr>
          <w:sz w:val="20"/>
        </w:rPr>
      </w:pPr>
      <w:r w:rsidRPr="00E35CCE">
        <w:rPr>
          <w:sz w:val="20"/>
        </w:rPr>
        <w:t>Source: compiled during the evaluation</w:t>
      </w:r>
    </w:p>
    <w:p w:rsidR="0033614E" w:rsidRPr="00E35CCE" w:rsidRDefault="0033614E" w:rsidP="00E35CCE">
      <w:pPr>
        <w:rPr>
          <w:rFonts w:ascii="Arial Narrow" w:hAnsi="Arial Narrow"/>
          <w:b/>
          <w:sz w:val="20"/>
          <w:szCs w:val="20"/>
        </w:rPr>
      </w:pPr>
    </w:p>
    <w:p w:rsidR="0033614E" w:rsidRPr="00E35CCE" w:rsidRDefault="0033614E" w:rsidP="00E35CCE">
      <w:pPr>
        <w:ind w:firstLine="720"/>
        <w:rPr>
          <w:rStyle w:val="CommentReference"/>
          <w:rFonts w:ascii="Arial Narrow" w:hAnsi="Arial Narrow"/>
          <w:b/>
          <w:sz w:val="20"/>
          <w:szCs w:val="20"/>
        </w:rPr>
      </w:pPr>
      <w:r w:rsidRPr="00E35CCE">
        <w:rPr>
          <w:rStyle w:val="CommentReference"/>
          <w:rFonts w:ascii="Arial Narrow" w:hAnsi="Arial Narrow"/>
          <w:b/>
          <w:sz w:val="20"/>
          <w:szCs w:val="20"/>
        </w:rPr>
        <w:t>Key drivers of the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Description w:val="Key drivers of the model"/>
      </w:tblPr>
      <w:tblGrid>
        <w:gridCol w:w="1701"/>
        <w:gridCol w:w="1702"/>
        <w:gridCol w:w="4942"/>
      </w:tblGrid>
      <w:tr w:rsidR="0033614E" w:rsidRPr="00E35CCE" w:rsidTr="004037D3">
        <w:trPr>
          <w:tblHeader/>
        </w:trPr>
        <w:tc>
          <w:tcPr>
            <w:tcW w:w="1019" w:type="pct"/>
            <w:shd w:val="clear" w:color="auto" w:fill="auto"/>
            <w:vAlign w:val="center"/>
          </w:tcPr>
          <w:p w:rsidR="0033614E" w:rsidRPr="00E35CCE" w:rsidRDefault="0033614E" w:rsidP="00E35CCE">
            <w:pPr>
              <w:rPr>
                <w:rFonts w:ascii="Arial Narrow" w:hAnsi="Arial Narrow"/>
                <w:b/>
                <w:sz w:val="20"/>
                <w:szCs w:val="20"/>
                <w:lang w:val="en-US"/>
              </w:rPr>
            </w:pPr>
            <w:r w:rsidRPr="00E35CCE">
              <w:rPr>
                <w:rFonts w:ascii="Arial Narrow" w:hAnsi="Arial Narrow"/>
                <w:b/>
                <w:sz w:val="20"/>
                <w:szCs w:val="20"/>
                <w:lang w:val="en-US"/>
              </w:rPr>
              <w:t>Description</w:t>
            </w:r>
          </w:p>
        </w:tc>
        <w:tc>
          <w:tcPr>
            <w:tcW w:w="1020" w:type="pct"/>
            <w:shd w:val="clear" w:color="auto" w:fill="auto"/>
            <w:vAlign w:val="center"/>
          </w:tcPr>
          <w:p w:rsidR="0033614E" w:rsidRPr="00E35CCE" w:rsidRDefault="0033614E" w:rsidP="00E35CCE">
            <w:pPr>
              <w:jc w:val="center"/>
              <w:rPr>
                <w:rFonts w:ascii="Arial Narrow" w:hAnsi="Arial Narrow"/>
                <w:b/>
                <w:sz w:val="20"/>
                <w:szCs w:val="20"/>
                <w:lang w:val="en-US"/>
              </w:rPr>
            </w:pPr>
            <w:r w:rsidRPr="00E35CCE">
              <w:rPr>
                <w:rFonts w:ascii="Arial Narrow" w:hAnsi="Arial Narrow"/>
                <w:b/>
                <w:sz w:val="20"/>
                <w:szCs w:val="20"/>
                <w:lang w:val="en-US"/>
              </w:rPr>
              <w:t>Method/Value</w:t>
            </w:r>
          </w:p>
        </w:tc>
        <w:tc>
          <w:tcPr>
            <w:tcW w:w="2961" w:type="pct"/>
            <w:shd w:val="clear" w:color="auto" w:fill="auto"/>
            <w:vAlign w:val="center"/>
          </w:tcPr>
          <w:p w:rsidR="0033614E" w:rsidRPr="00E35CCE" w:rsidRDefault="0033614E" w:rsidP="00E35CCE">
            <w:pPr>
              <w:jc w:val="center"/>
              <w:rPr>
                <w:rFonts w:ascii="Arial Narrow" w:hAnsi="Arial Narrow"/>
                <w:b/>
                <w:sz w:val="20"/>
                <w:szCs w:val="20"/>
                <w:lang w:val="en-US"/>
              </w:rPr>
            </w:pPr>
            <w:r w:rsidRPr="00E35CCE">
              <w:rPr>
                <w:rFonts w:ascii="Arial Narrow" w:hAnsi="Arial Narrow"/>
                <w:b/>
                <w:sz w:val="20"/>
                <w:szCs w:val="20"/>
                <w:lang w:val="en-US"/>
              </w:rPr>
              <w:t>Impact</w:t>
            </w:r>
          </w:p>
        </w:tc>
      </w:tr>
      <w:tr w:rsidR="0033614E" w:rsidRPr="00E35CCE" w:rsidTr="004037D3">
        <w:tc>
          <w:tcPr>
            <w:tcW w:w="1019" w:type="pct"/>
            <w:shd w:val="clear" w:color="auto" w:fill="auto"/>
            <w:vAlign w:val="center"/>
          </w:tcPr>
          <w:p w:rsidR="0033614E" w:rsidRPr="00E35CCE" w:rsidRDefault="0033614E" w:rsidP="00E35CCE">
            <w:pPr>
              <w:rPr>
                <w:rFonts w:ascii="Arial Narrow" w:hAnsi="Arial Narrow"/>
                <w:sz w:val="20"/>
                <w:szCs w:val="20"/>
                <w:lang w:val="en-US"/>
              </w:rPr>
            </w:pPr>
            <w:r w:rsidRPr="00E35CCE">
              <w:rPr>
                <w:rFonts w:ascii="Arial Narrow" w:hAnsi="Arial Narrow"/>
                <w:sz w:val="20"/>
                <w:szCs w:val="20"/>
                <w:lang w:val="en-US"/>
              </w:rPr>
              <w:t>Population modelled</w:t>
            </w:r>
          </w:p>
          <w:p w:rsidR="0033614E" w:rsidRPr="00E35CCE" w:rsidRDefault="0033614E" w:rsidP="00E35CCE">
            <w:pPr>
              <w:rPr>
                <w:rFonts w:ascii="Arial Narrow" w:hAnsi="Arial Narrow"/>
                <w:sz w:val="20"/>
                <w:szCs w:val="20"/>
                <w:lang w:val="en-US"/>
              </w:rPr>
            </w:pPr>
            <w:r w:rsidRPr="00E35CCE">
              <w:rPr>
                <w:rFonts w:ascii="Arial Narrow" w:hAnsi="Arial Narrow"/>
                <w:sz w:val="20"/>
                <w:szCs w:val="20"/>
                <w:lang w:val="en-US"/>
              </w:rPr>
              <w:t>(effect size)</w:t>
            </w:r>
          </w:p>
        </w:tc>
        <w:tc>
          <w:tcPr>
            <w:tcW w:w="1020" w:type="pct"/>
            <w:shd w:val="clear" w:color="auto" w:fill="auto"/>
            <w:vAlign w:val="center"/>
          </w:tcPr>
          <w:p w:rsidR="0033614E" w:rsidRPr="00E35CCE" w:rsidRDefault="0033614E" w:rsidP="00E35CCE">
            <w:pPr>
              <w:jc w:val="center"/>
              <w:rPr>
                <w:rFonts w:ascii="Arial Narrow" w:hAnsi="Arial Narrow"/>
                <w:sz w:val="20"/>
                <w:szCs w:val="20"/>
                <w:lang w:val="en-US"/>
              </w:rPr>
            </w:pPr>
            <w:r w:rsidRPr="00E35CCE">
              <w:rPr>
                <w:rFonts w:ascii="Arial Narrow" w:hAnsi="Arial Narrow"/>
                <w:sz w:val="20"/>
                <w:szCs w:val="20"/>
                <w:lang w:val="en-US"/>
              </w:rPr>
              <w:t xml:space="preserve">Base case ICER based on the results of the PBS subgroup in Trial 302. </w:t>
            </w:r>
          </w:p>
        </w:tc>
        <w:tc>
          <w:tcPr>
            <w:tcW w:w="2961" w:type="pct"/>
            <w:shd w:val="clear" w:color="auto" w:fill="auto"/>
            <w:vAlign w:val="center"/>
          </w:tcPr>
          <w:p w:rsidR="0033614E" w:rsidRPr="00E35CCE" w:rsidRDefault="0033614E" w:rsidP="00E35CCE">
            <w:pPr>
              <w:rPr>
                <w:rFonts w:ascii="Arial Narrow" w:hAnsi="Arial Narrow"/>
                <w:sz w:val="20"/>
                <w:szCs w:val="20"/>
                <w:lang w:val="en-US"/>
              </w:rPr>
            </w:pPr>
            <w:r w:rsidRPr="00E35CCE">
              <w:rPr>
                <w:rFonts w:ascii="Arial Narrow" w:hAnsi="Arial Narrow"/>
                <w:sz w:val="20"/>
                <w:szCs w:val="20"/>
                <w:lang w:val="en-US"/>
              </w:rPr>
              <w:t xml:space="preserve">High, </w:t>
            </w:r>
            <w:proofErr w:type="spellStart"/>
            <w:r w:rsidRPr="00E35CCE">
              <w:rPr>
                <w:rFonts w:ascii="Arial Narrow" w:hAnsi="Arial Narrow"/>
                <w:sz w:val="20"/>
                <w:szCs w:val="20"/>
                <w:lang w:val="en-US"/>
              </w:rPr>
              <w:t>favours</w:t>
            </w:r>
            <w:proofErr w:type="spellEnd"/>
            <w:r w:rsidRPr="00E35CCE">
              <w:rPr>
                <w:rFonts w:ascii="Arial Narrow" w:hAnsi="Arial Narrow"/>
                <w:sz w:val="20"/>
                <w:szCs w:val="20"/>
                <w:lang w:val="en-US"/>
              </w:rPr>
              <w:t xml:space="preserve"> </w:t>
            </w:r>
            <w:proofErr w:type="spellStart"/>
            <w:r w:rsidRPr="00E35CCE">
              <w:rPr>
                <w:rFonts w:ascii="Arial Narrow" w:hAnsi="Arial Narrow"/>
                <w:sz w:val="20"/>
                <w:szCs w:val="20"/>
                <w:lang w:val="en-US"/>
              </w:rPr>
              <w:t>abiraterone</w:t>
            </w:r>
            <w:proofErr w:type="spellEnd"/>
          </w:p>
          <w:p w:rsidR="0033614E" w:rsidRPr="00E35CCE" w:rsidRDefault="0033614E" w:rsidP="00E35CCE">
            <w:pPr>
              <w:rPr>
                <w:rFonts w:ascii="Arial Narrow" w:hAnsi="Arial Narrow"/>
                <w:sz w:val="20"/>
                <w:szCs w:val="20"/>
                <w:lang w:val="en-US"/>
              </w:rPr>
            </w:pPr>
            <w:r w:rsidRPr="00E35CCE">
              <w:rPr>
                <w:rFonts w:ascii="Arial Narrow" w:hAnsi="Arial Narrow"/>
                <w:iCs/>
                <w:sz w:val="20"/>
                <w:szCs w:val="20"/>
                <w:lang w:val="en-US"/>
              </w:rPr>
              <w:t xml:space="preserve">There is uncertainty as to whether the wording of the requested restriction is sufficient to limit use of </w:t>
            </w:r>
            <w:proofErr w:type="spellStart"/>
            <w:r w:rsidRPr="00E35CCE">
              <w:rPr>
                <w:rFonts w:ascii="Arial Narrow" w:hAnsi="Arial Narrow"/>
                <w:iCs/>
                <w:sz w:val="20"/>
                <w:szCs w:val="20"/>
                <w:lang w:val="en-US"/>
              </w:rPr>
              <w:t>abiraterone</w:t>
            </w:r>
            <w:proofErr w:type="spellEnd"/>
            <w:r w:rsidRPr="00E35CCE">
              <w:rPr>
                <w:rFonts w:ascii="Arial Narrow" w:hAnsi="Arial Narrow"/>
                <w:iCs/>
                <w:sz w:val="20"/>
                <w:szCs w:val="20"/>
                <w:lang w:val="en-US"/>
              </w:rPr>
              <w:t xml:space="preserve"> on the PBS to patients with comparable characteristics of those included in this subgroup. ITT population may be more representative. </w:t>
            </w:r>
          </w:p>
        </w:tc>
      </w:tr>
    </w:tbl>
    <w:p w:rsidR="0033614E" w:rsidRPr="00E35CCE" w:rsidRDefault="0033614E" w:rsidP="00E35CCE">
      <w:pPr>
        <w:pStyle w:val="TableFooter"/>
        <w:ind w:firstLine="720"/>
        <w:rPr>
          <w:sz w:val="20"/>
        </w:rPr>
      </w:pPr>
      <w:r w:rsidRPr="00E35CCE">
        <w:rPr>
          <w:sz w:val="20"/>
        </w:rPr>
        <w:t>Source: compiled during the evaluation</w:t>
      </w:r>
    </w:p>
    <w:p w:rsidR="0033614E" w:rsidRPr="00E35CCE" w:rsidRDefault="0033614E" w:rsidP="00E35CCE"/>
    <w:p w:rsidR="0033614E" w:rsidRPr="005C0DF8" w:rsidRDefault="0033614E" w:rsidP="00E35CCE">
      <w:pPr>
        <w:pStyle w:val="ListParagraph"/>
        <w:numPr>
          <w:ilvl w:val="1"/>
          <w:numId w:val="25"/>
        </w:numPr>
        <w:rPr>
          <w:rFonts w:ascii="Arial" w:hAnsi="Arial" w:cs="Arial"/>
          <w:iCs/>
          <w:sz w:val="22"/>
        </w:rPr>
      </w:pPr>
      <w:r w:rsidRPr="00E35CCE">
        <w:rPr>
          <w:rFonts w:ascii="Arial" w:hAnsi="Arial" w:cs="Arial"/>
          <w:iCs/>
          <w:sz w:val="22"/>
        </w:rPr>
        <w:t xml:space="preserve">Some errors were detected in the model.  </w:t>
      </w:r>
      <w:r w:rsidRPr="00525829">
        <w:rPr>
          <w:rFonts w:ascii="Arial" w:hAnsi="Arial" w:cs="Arial"/>
          <w:iCs/>
          <w:sz w:val="22"/>
        </w:rPr>
        <w:t>The results presented below are those with these errors amended.</w:t>
      </w:r>
    </w:p>
    <w:p w:rsidR="0033614E" w:rsidRPr="00E35CCE" w:rsidRDefault="0033614E" w:rsidP="00E35CCE">
      <w:pPr>
        <w:rPr>
          <w:rFonts w:ascii="Arial Narrow" w:hAnsi="Arial Narrow"/>
          <w:sz w:val="28"/>
        </w:rPr>
      </w:pPr>
    </w:p>
    <w:p w:rsidR="0033614E" w:rsidRPr="00BA2C13" w:rsidRDefault="0033614E" w:rsidP="00E35CCE">
      <w:pPr>
        <w:ind w:firstLine="720"/>
        <w:rPr>
          <w:rStyle w:val="CommentReference"/>
          <w:rFonts w:ascii="Arial Narrow" w:hAnsi="Arial Narrow" w:cs="Arial"/>
          <w:b/>
          <w:sz w:val="20"/>
        </w:rPr>
      </w:pPr>
      <w:r w:rsidRPr="00BA2C13">
        <w:rPr>
          <w:rStyle w:val="CommentReference"/>
          <w:rFonts w:ascii="Arial Narrow" w:hAnsi="Arial Narrow" w:cs="Arial"/>
          <w:b/>
          <w:sz w:val="20"/>
        </w:rPr>
        <w:t xml:space="preserve">Results of the stepped economic evaluation </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Description w:val="&#10;Results of the stepped economic evaluation &#10;"/>
      </w:tblPr>
      <w:tblGrid>
        <w:gridCol w:w="1453"/>
        <w:gridCol w:w="152"/>
        <w:gridCol w:w="2347"/>
        <w:gridCol w:w="1863"/>
        <w:gridCol w:w="2530"/>
      </w:tblGrid>
      <w:tr w:rsidR="0033614E" w:rsidRPr="008F0598" w:rsidTr="00E35CCE">
        <w:tc>
          <w:tcPr>
            <w:tcW w:w="871" w:type="pct"/>
            <w:vAlign w:val="center"/>
          </w:tcPr>
          <w:p w:rsidR="0033614E" w:rsidRPr="005C0DF8" w:rsidRDefault="0033614E" w:rsidP="00E35CCE">
            <w:pPr>
              <w:rPr>
                <w:rFonts w:ascii="Arial Narrow" w:hAnsi="Arial Narrow"/>
                <w:b/>
                <w:sz w:val="20"/>
              </w:rPr>
            </w:pPr>
            <w:r w:rsidRPr="00BA2C13">
              <w:rPr>
                <w:rFonts w:ascii="Arial Narrow" w:hAnsi="Arial Narrow"/>
                <w:b/>
                <w:sz w:val="20"/>
              </w:rPr>
              <w:t>Step and component</w:t>
            </w:r>
          </w:p>
        </w:tc>
        <w:tc>
          <w:tcPr>
            <w:tcW w:w="1497" w:type="pct"/>
            <w:gridSpan w:val="2"/>
          </w:tcPr>
          <w:p w:rsidR="0033614E" w:rsidRPr="005C0DF8" w:rsidRDefault="0033614E" w:rsidP="00E35CCE">
            <w:pPr>
              <w:jc w:val="center"/>
              <w:rPr>
                <w:rFonts w:ascii="Arial Narrow" w:hAnsi="Arial Narrow"/>
                <w:b/>
                <w:sz w:val="20"/>
              </w:rPr>
            </w:pPr>
            <w:proofErr w:type="spellStart"/>
            <w:r w:rsidRPr="00BA2C13">
              <w:rPr>
                <w:rFonts w:ascii="Arial Narrow" w:hAnsi="Arial Narrow"/>
                <w:b/>
                <w:sz w:val="20"/>
              </w:rPr>
              <w:t>Abiraterone</w:t>
            </w:r>
            <w:proofErr w:type="spellEnd"/>
            <w:r w:rsidRPr="00BA2C13">
              <w:rPr>
                <w:rFonts w:ascii="Arial Narrow" w:hAnsi="Arial Narrow"/>
                <w:b/>
                <w:sz w:val="20"/>
              </w:rPr>
              <w:t xml:space="preserve"> + prednisolone</w:t>
            </w:r>
          </w:p>
        </w:tc>
        <w:tc>
          <w:tcPr>
            <w:tcW w:w="1116" w:type="pct"/>
            <w:vAlign w:val="center"/>
          </w:tcPr>
          <w:p w:rsidR="0033614E" w:rsidRPr="005C0DF8" w:rsidRDefault="0033614E" w:rsidP="00E35CCE">
            <w:pPr>
              <w:jc w:val="center"/>
              <w:rPr>
                <w:rFonts w:ascii="Arial Narrow" w:hAnsi="Arial Narrow"/>
                <w:b/>
                <w:sz w:val="20"/>
              </w:rPr>
            </w:pPr>
            <w:r w:rsidRPr="00BA2C13">
              <w:rPr>
                <w:rFonts w:ascii="Arial Narrow" w:hAnsi="Arial Narrow"/>
                <w:b/>
                <w:sz w:val="20"/>
              </w:rPr>
              <w:t>Prednisolone</w:t>
            </w:r>
          </w:p>
        </w:tc>
        <w:tc>
          <w:tcPr>
            <w:tcW w:w="1517" w:type="pct"/>
          </w:tcPr>
          <w:p w:rsidR="0033614E" w:rsidRPr="005C0DF8" w:rsidRDefault="0033614E" w:rsidP="00E35CCE">
            <w:pPr>
              <w:jc w:val="center"/>
              <w:rPr>
                <w:rFonts w:ascii="Arial Narrow" w:hAnsi="Arial Narrow"/>
                <w:b/>
                <w:sz w:val="20"/>
              </w:rPr>
            </w:pPr>
            <w:r w:rsidRPr="00BA2C13">
              <w:rPr>
                <w:rFonts w:ascii="Arial Narrow" w:hAnsi="Arial Narrow"/>
                <w:b/>
                <w:sz w:val="20"/>
              </w:rPr>
              <w:t>Increment</w:t>
            </w:r>
          </w:p>
        </w:tc>
      </w:tr>
      <w:tr w:rsidR="0033614E" w:rsidRPr="008F0598" w:rsidTr="00E35CCE">
        <w:tc>
          <w:tcPr>
            <w:tcW w:w="5000" w:type="pct"/>
            <w:gridSpan w:val="5"/>
            <w:vAlign w:val="center"/>
          </w:tcPr>
          <w:p w:rsidR="0033614E" w:rsidRPr="005C0DF8" w:rsidRDefault="0033614E" w:rsidP="00E35CCE">
            <w:pPr>
              <w:keepNext/>
              <w:rPr>
                <w:rFonts w:ascii="Arial Narrow" w:hAnsi="Arial Narrow" w:cs="Arial Narrow"/>
                <w:b/>
                <w:bCs/>
                <w:sz w:val="20"/>
              </w:rPr>
            </w:pPr>
            <w:r w:rsidRPr="00BA2C13">
              <w:rPr>
                <w:rFonts w:ascii="Arial Narrow" w:hAnsi="Arial Narrow" w:cs="Arial Narrow"/>
                <w:b/>
                <w:bCs/>
                <w:sz w:val="20"/>
              </w:rPr>
              <w:t>Step 1: ITT population trial-based costs and outcomes</w:t>
            </w:r>
          </w:p>
        </w:tc>
      </w:tr>
      <w:tr w:rsidR="0033614E" w:rsidRPr="008F0598" w:rsidTr="00E35CCE">
        <w:tc>
          <w:tcPr>
            <w:tcW w:w="871" w:type="pct"/>
            <w:vAlign w:val="center"/>
          </w:tcPr>
          <w:p w:rsidR="0033614E" w:rsidRPr="005C0DF8" w:rsidRDefault="0033614E" w:rsidP="00E35CCE">
            <w:pPr>
              <w:rPr>
                <w:rFonts w:ascii="Arial Narrow" w:hAnsi="Arial Narrow"/>
                <w:sz w:val="20"/>
              </w:rPr>
            </w:pPr>
            <w:r w:rsidRPr="00BA2C13">
              <w:rPr>
                <w:rFonts w:ascii="Arial Narrow" w:hAnsi="Arial Narrow"/>
                <w:sz w:val="20"/>
              </w:rPr>
              <w:t>Costs</w:t>
            </w:r>
          </w:p>
        </w:tc>
        <w:tc>
          <w:tcPr>
            <w:tcW w:w="1497" w:type="pct"/>
            <w:gridSpan w:val="2"/>
          </w:tcPr>
          <w:p w:rsidR="0033614E" w:rsidRPr="005C0DF8" w:rsidRDefault="005C0DF8" w:rsidP="00E35CCE">
            <w:pPr>
              <w:jc w:val="center"/>
              <w:rPr>
                <w:rFonts w:ascii="Arial Narrow" w:hAnsi="Arial Narrow"/>
                <w:sz w:val="20"/>
                <w:highlight w:val="black"/>
              </w:rPr>
            </w:pPr>
            <w:r>
              <w:rPr>
                <w:rFonts w:ascii="Arial Narrow" w:hAnsi="Arial Narrow"/>
                <w:noProof/>
                <w:color w:val="000000"/>
                <w:sz w:val="20"/>
                <w:highlight w:val="black"/>
              </w:rPr>
              <w:t>''''''''''''''''''''''''''''</w:t>
            </w:r>
          </w:p>
        </w:tc>
        <w:tc>
          <w:tcPr>
            <w:tcW w:w="1116" w:type="pct"/>
            <w:vAlign w:val="center"/>
          </w:tcPr>
          <w:p w:rsidR="0033614E" w:rsidRPr="005C0DF8" w:rsidRDefault="005C0DF8" w:rsidP="00E35CCE">
            <w:pPr>
              <w:jc w:val="center"/>
              <w:rPr>
                <w:rFonts w:ascii="Arial Narrow" w:hAnsi="Arial Narrow"/>
                <w:sz w:val="20"/>
                <w:highlight w:val="black"/>
              </w:rPr>
            </w:pPr>
            <w:r>
              <w:rPr>
                <w:rFonts w:ascii="Arial Narrow" w:hAnsi="Arial Narrow"/>
                <w:noProof/>
                <w:color w:val="000000"/>
                <w:sz w:val="20"/>
                <w:highlight w:val="black"/>
              </w:rPr>
              <w:t>''''''''''''''''</w:t>
            </w:r>
          </w:p>
        </w:tc>
        <w:tc>
          <w:tcPr>
            <w:tcW w:w="1517" w:type="pct"/>
          </w:tcPr>
          <w:p w:rsidR="0033614E" w:rsidRPr="005C0DF8" w:rsidRDefault="005C0DF8" w:rsidP="00E35CCE">
            <w:pPr>
              <w:jc w:val="center"/>
              <w:rPr>
                <w:rFonts w:ascii="Arial Narrow" w:hAnsi="Arial Narrow"/>
                <w:sz w:val="20"/>
                <w:highlight w:val="black"/>
              </w:rPr>
            </w:pPr>
            <w:r>
              <w:rPr>
                <w:rFonts w:ascii="Arial Narrow" w:hAnsi="Arial Narrow"/>
                <w:noProof/>
                <w:color w:val="000000"/>
                <w:sz w:val="20"/>
                <w:highlight w:val="black"/>
              </w:rPr>
              <w:t>'''''''''''''''''''''</w:t>
            </w:r>
          </w:p>
        </w:tc>
      </w:tr>
      <w:tr w:rsidR="0033614E" w:rsidRPr="008F0598" w:rsidTr="00E35CCE">
        <w:tc>
          <w:tcPr>
            <w:tcW w:w="871" w:type="pct"/>
            <w:vAlign w:val="center"/>
          </w:tcPr>
          <w:p w:rsidR="0033614E" w:rsidRPr="005C0DF8" w:rsidRDefault="0033614E" w:rsidP="00E35CCE">
            <w:pPr>
              <w:rPr>
                <w:rFonts w:ascii="Arial Narrow" w:hAnsi="Arial Narrow"/>
                <w:sz w:val="20"/>
              </w:rPr>
            </w:pPr>
            <w:r w:rsidRPr="00BA2C13">
              <w:rPr>
                <w:rFonts w:ascii="Arial Narrow" w:hAnsi="Arial Narrow"/>
                <w:sz w:val="20"/>
              </w:rPr>
              <w:t>LYs</w:t>
            </w:r>
          </w:p>
        </w:tc>
        <w:tc>
          <w:tcPr>
            <w:tcW w:w="1497" w:type="pct"/>
            <w:gridSpan w:val="2"/>
          </w:tcPr>
          <w:p w:rsidR="0033614E" w:rsidRPr="005C0DF8" w:rsidRDefault="005C0DF8" w:rsidP="00E35CCE">
            <w:pPr>
              <w:jc w:val="center"/>
              <w:rPr>
                <w:rFonts w:ascii="Arial Narrow" w:hAnsi="Arial Narrow"/>
                <w:sz w:val="20"/>
                <w:highlight w:val="black"/>
              </w:rPr>
            </w:pPr>
            <w:r>
              <w:rPr>
                <w:rFonts w:ascii="Arial Narrow" w:hAnsi="Arial Narrow"/>
                <w:noProof/>
                <w:color w:val="000000"/>
                <w:sz w:val="20"/>
                <w:highlight w:val="black"/>
              </w:rPr>
              <w:t>''''''''''' '''''''''''''''''''' ''''''''''''''''''''</w:t>
            </w:r>
          </w:p>
        </w:tc>
        <w:tc>
          <w:tcPr>
            <w:tcW w:w="1116" w:type="pct"/>
            <w:vAlign w:val="center"/>
          </w:tcPr>
          <w:p w:rsidR="0033614E" w:rsidRPr="005C0DF8" w:rsidRDefault="005C0DF8" w:rsidP="00E35CCE">
            <w:pPr>
              <w:jc w:val="center"/>
              <w:rPr>
                <w:rFonts w:ascii="Arial Narrow" w:hAnsi="Arial Narrow"/>
                <w:sz w:val="20"/>
                <w:highlight w:val="black"/>
              </w:rPr>
            </w:pPr>
            <w:r>
              <w:rPr>
                <w:rFonts w:ascii="Arial Narrow" w:hAnsi="Arial Narrow"/>
                <w:noProof/>
                <w:color w:val="000000"/>
                <w:sz w:val="20"/>
                <w:highlight w:val="black"/>
              </w:rPr>
              <w:t>'''''''''' ''''''''''''''''''''' ''''''''''''''''''''</w:t>
            </w:r>
          </w:p>
        </w:tc>
        <w:tc>
          <w:tcPr>
            <w:tcW w:w="1517" w:type="pct"/>
          </w:tcPr>
          <w:p w:rsidR="0033614E" w:rsidRPr="005C0DF8" w:rsidRDefault="005C0DF8" w:rsidP="00E35CCE">
            <w:pPr>
              <w:jc w:val="center"/>
              <w:rPr>
                <w:rFonts w:ascii="Arial Narrow" w:hAnsi="Arial Narrow"/>
                <w:sz w:val="20"/>
                <w:highlight w:val="black"/>
              </w:rPr>
            </w:pPr>
            <w:r>
              <w:rPr>
                <w:rFonts w:ascii="Arial Narrow" w:hAnsi="Arial Narrow"/>
                <w:noProof/>
                <w:color w:val="000000"/>
                <w:sz w:val="20"/>
                <w:highlight w:val="black"/>
              </w:rPr>
              <w:t>''''''''''</w:t>
            </w:r>
          </w:p>
        </w:tc>
      </w:tr>
      <w:tr w:rsidR="0033614E" w:rsidRPr="008F0598" w:rsidTr="00E35CCE">
        <w:tc>
          <w:tcPr>
            <w:tcW w:w="3483" w:type="pct"/>
            <w:gridSpan w:val="4"/>
            <w:vAlign w:val="center"/>
          </w:tcPr>
          <w:p w:rsidR="0033614E" w:rsidRPr="005C0DF8" w:rsidRDefault="0033614E" w:rsidP="00E35CCE">
            <w:pPr>
              <w:rPr>
                <w:rFonts w:ascii="Arial Narrow" w:hAnsi="Arial Narrow"/>
                <w:sz w:val="20"/>
              </w:rPr>
            </w:pPr>
            <w:r w:rsidRPr="00BA2C13">
              <w:rPr>
                <w:rFonts w:ascii="Arial Narrow" w:hAnsi="Arial Narrow"/>
                <w:b/>
                <w:sz w:val="20"/>
              </w:rPr>
              <w:t>Incremental cost/extra life-years gained over 3 years</w:t>
            </w:r>
          </w:p>
        </w:tc>
        <w:tc>
          <w:tcPr>
            <w:tcW w:w="1517" w:type="pct"/>
          </w:tcPr>
          <w:p w:rsidR="0033614E" w:rsidRPr="005C0DF8" w:rsidRDefault="005C0DF8" w:rsidP="00E35CCE">
            <w:pPr>
              <w:jc w:val="center"/>
              <w:rPr>
                <w:rFonts w:ascii="Arial Narrow" w:hAnsi="Arial Narrow"/>
                <w:sz w:val="20"/>
                <w:highlight w:val="black"/>
              </w:rPr>
            </w:pPr>
            <w:r>
              <w:rPr>
                <w:rFonts w:ascii="Arial Narrow" w:hAnsi="Arial Narrow"/>
                <w:b/>
                <w:noProof/>
                <w:color w:val="000000"/>
                <w:sz w:val="20"/>
                <w:highlight w:val="black"/>
              </w:rPr>
              <w:t>'''''''''''''''''''''''''</w:t>
            </w:r>
          </w:p>
        </w:tc>
      </w:tr>
      <w:tr w:rsidR="0033614E" w:rsidRPr="008F0598" w:rsidTr="00E35CCE">
        <w:tc>
          <w:tcPr>
            <w:tcW w:w="5000" w:type="pct"/>
            <w:gridSpan w:val="5"/>
            <w:vAlign w:val="center"/>
          </w:tcPr>
          <w:p w:rsidR="0033614E" w:rsidRPr="005C0DF8" w:rsidRDefault="0033614E" w:rsidP="00E35CCE">
            <w:pPr>
              <w:keepNext/>
              <w:rPr>
                <w:rFonts w:ascii="Arial Narrow" w:hAnsi="Arial Narrow" w:cs="Arial Narrow"/>
                <w:b/>
                <w:bCs/>
                <w:sz w:val="20"/>
              </w:rPr>
            </w:pPr>
            <w:r w:rsidRPr="00BA2C13">
              <w:rPr>
                <w:rFonts w:ascii="Arial Narrow" w:hAnsi="Arial Narrow" w:cs="Arial Narrow"/>
                <w:b/>
                <w:bCs/>
                <w:sz w:val="20"/>
              </w:rPr>
              <w:t>Step 2: ITT population trial-based costs and pre-modelling (life years converted into quality adjusted life years)</w:t>
            </w:r>
          </w:p>
        </w:tc>
      </w:tr>
      <w:tr w:rsidR="0033614E" w:rsidRPr="008F0598" w:rsidTr="00E35CCE">
        <w:tc>
          <w:tcPr>
            <w:tcW w:w="871" w:type="pct"/>
            <w:vAlign w:val="center"/>
          </w:tcPr>
          <w:p w:rsidR="0033614E" w:rsidRPr="005C0DF8" w:rsidRDefault="0033614E" w:rsidP="00E35CCE">
            <w:pPr>
              <w:rPr>
                <w:rFonts w:ascii="Arial Narrow" w:hAnsi="Arial Narrow"/>
                <w:sz w:val="20"/>
              </w:rPr>
            </w:pPr>
            <w:r w:rsidRPr="00BA2C13">
              <w:rPr>
                <w:rFonts w:ascii="Arial Narrow" w:hAnsi="Arial Narrow"/>
                <w:sz w:val="20"/>
              </w:rPr>
              <w:t>Costs</w:t>
            </w:r>
          </w:p>
        </w:tc>
        <w:tc>
          <w:tcPr>
            <w:tcW w:w="1497" w:type="pct"/>
            <w:gridSpan w:val="2"/>
          </w:tcPr>
          <w:p w:rsidR="0033614E" w:rsidRPr="005C0DF8" w:rsidRDefault="005C0DF8" w:rsidP="00E35CCE">
            <w:pPr>
              <w:jc w:val="center"/>
              <w:rPr>
                <w:rFonts w:ascii="Arial Narrow" w:hAnsi="Arial Narrow"/>
                <w:sz w:val="20"/>
                <w:highlight w:val="black"/>
              </w:rPr>
            </w:pPr>
            <w:r>
              <w:rPr>
                <w:rFonts w:ascii="Arial Narrow" w:hAnsi="Arial Narrow"/>
                <w:noProof/>
                <w:color w:val="000000"/>
                <w:sz w:val="20"/>
                <w:highlight w:val="black"/>
              </w:rPr>
              <w:t>'''''''''''''''''''''''''''</w:t>
            </w:r>
          </w:p>
        </w:tc>
        <w:tc>
          <w:tcPr>
            <w:tcW w:w="1116" w:type="pct"/>
            <w:vAlign w:val="center"/>
          </w:tcPr>
          <w:p w:rsidR="0033614E" w:rsidRPr="005C0DF8" w:rsidRDefault="005C0DF8" w:rsidP="00E35CCE">
            <w:pPr>
              <w:jc w:val="center"/>
              <w:rPr>
                <w:rFonts w:ascii="Arial Narrow" w:hAnsi="Arial Narrow"/>
                <w:sz w:val="20"/>
                <w:highlight w:val="black"/>
              </w:rPr>
            </w:pPr>
            <w:r>
              <w:rPr>
                <w:rFonts w:ascii="Arial Narrow" w:hAnsi="Arial Narrow"/>
                <w:noProof/>
                <w:color w:val="000000"/>
                <w:sz w:val="20"/>
                <w:highlight w:val="black"/>
              </w:rPr>
              <w:t>''''''''''''''''</w:t>
            </w:r>
          </w:p>
        </w:tc>
        <w:tc>
          <w:tcPr>
            <w:tcW w:w="1517" w:type="pct"/>
          </w:tcPr>
          <w:p w:rsidR="0033614E" w:rsidRPr="005C0DF8" w:rsidRDefault="005C0DF8" w:rsidP="00E35CCE">
            <w:pPr>
              <w:jc w:val="center"/>
              <w:rPr>
                <w:rFonts w:ascii="Arial Narrow" w:hAnsi="Arial Narrow"/>
                <w:sz w:val="20"/>
                <w:highlight w:val="black"/>
              </w:rPr>
            </w:pPr>
            <w:r>
              <w:rPr>
                <w:rFonts w:ascii="Arial Narrow" w:hAnsi="Arial Narrow"/>
                <w:noProof/>
                <w:color w:val="000000"/>
                <w:sz w:val="20"/>
                <w:highlight w:val="black"/>
              </w:rPr>
              <w:t>''''''''''''''''''''</w:t>
            </w:r>
          </w:p>
        </w:tc>
      </w:tr>
      <w:tr w:rsidR="0033614E" w:rsidRPr="008F0598" w:rsidTr="00E35CCE">
        <w:tc>
          <w:tcPr>
            <w:tcW w:w="871" w:type="pct"/>
            <w:vAlign w:val="center"/>
          </w:tcPr>
          <w:p w:rsidR="0033614E" w:rsidRPr="005C0DF8" w:rsidRDefault="0033614E" w:rsidP="00E35CCE">
            <w:pPr>
              <w:rPr>
                <w:rFonts w:ascii="Arial Narrow" w:hAnsi="Arial Narrow"/>
                <w:sz w:val="20"/>
              </w:rPr>
            </w:pPr>
            <w:r w:rsidRPr="00BA2C13">
              <w:rPr>
                <w:rFonts w:ascii="Arial Narrow" w:hAnsi="Arial Narrow"/>
                <w:sz w:val="20"/>
              </w:rPr>
              <w:t>QALYs</w:t>
            </w:r>
          </w:p>
        </w:tc>
        <w:tc>
          <w:tcPr>
            <w:tcW w:w="1497" w:type="pct"/>
            <w:gridSpan w:val="2"/>
          </w:tcPr>
          <w:p w:rsidR="0033614E" w:rsidRPr="005C0DF8" w:rsidRDefault="005C0DF8" w:rsidP="00E35CCE">
            <w:pPr>
              <w:jc w:val="center"/>
              <w:rPr>
                <w:rFonts w:ascii="Arial Narrow" w:hAnsi="Arial Narrow"/>
                <w:sz w:val="20"/>
                <w:highlight w:val="black"/>
              </w:rPr>
            </w:pPr>
            <w:r>
              <w:rPr>
                <w:rFonts w:ascii="Arial Narrow" w:hAnsi="Arial Narrow"/>
                <w:noProof/>
                <w:color w:val="000000"/>
                <w:sz w:val="20"/>
                <w:highlight w:val="black"/>
              </w:rPr>
              <w:t>''''''''''</w:t>
            </w:r>
          </w:p>
        </w:tc>
        <w:tc>
          <w:tcPr>
            <w:tcW w:w="1116" w:type="pct"/>
            <w:vAlign w:val="center"/>
          </w:tcPr>
          <w:p w:rsidR="0033614E" w:rsidRPr="005C0DF8" w:rsidRDefault="005C0DF8" w:rsidP="00E35CCE">
            <w:pPr>
              <w:jc w:val="center"/>
              <w:rPr>
                <w:rFonts w:ascii="Arial Narrow" w:hAnsi="Arial Narrow"/>
                <w:sz w:val="20"/>
                <w:highlight w:val="black"/>
              </w:rPr>
            </w:pPr>
            <w:r>
              <w:rPr>
                <w:rFonts w:ascii="Arial Narrow" w:hAnsi="Arial Narrow"/>
                <w:noProof/>
                <w:color w:val="000000"/>
                <w:sz w:val="20"/>
                <w:highlight w:val="black"/>
              </w:rPr>
              <w:t>''''''''''</w:t>
            </w:r>
          </w:p>
        </w:tc>
        <w:tc>
          <w:tcPr>
            <w:tcW w:w="1517" w:type="pct"/>
          </w:tcPr>
          <w:p w:rsidR="0033614E" w:rsidRPr="005C0DF8" w:rsidRDefault="005C0DF8" w:rsidP="00E35CCE">
            <w:pPr>
              <w:jc w:val="center"/>
              <w:rPr>
                <w:rFonts w:ascii="Arial Narrow" w:hAnsi="Arial Narrow"/>
                <w:sz w:val="20"/>
                <w:highlight w:val="black"/>
              </w:rPr>
            </w:pPr>
            <w:r>
              <w:rPr>
                <w:rFonts w:ascii="Arial Narrow" w:hAnsi="Arial Narrow"/>
                <w:noProof/>
                <w:color w:val="000000"/>
                <w:sz w:val="20"/>
                <w:highlight w:val="black"/>
              </w:rPr>
              <w:t>'''''''''''</w:t>
            </w:r>
          </w:p>
        </w:tc>
      </w:tr>
      <w:tr w:rsidR="0033614E" w:rsidRPr="008F0598" w:rsidTr="00E35CCE">
        <w:trPr>
          <w:trHeight w:val="70"/>
        </w:trPr>
        <w:tc>
          <w:tcPr>
            <w:tcW w:w="3483" w:type="pct"/>
            <w:gridSpan w:val="4"/>
            <w:vAlign w:val="center"/>
          </w:tcPr>
          <w:p w:rsidR="0033614E" w:rsidRPr="005C0DF8" w:rsidRDefault="0033614E" w:rsidP="00E35CCE">
            <w:pPr>
              <w:rPr>
                <w:rFonts w:ascii="Arial Narrow" w:hAnsi="Arial Narrow"/>
                <w:sz w:val="20"/>
              </w:rPr>
            </w:pPr>
            <w:r w:rsidRPr="00BA2C13">
              <w:rPr>
                <w:rFonts w:ascii="Arial Narrow" w:hAnsi="Arial Narrow"/>
                <w:b/>
                <w:sz w:val="20"/>
              </w:rPr>
              <w:t>Incremental cost/extra QALY gained over 3 years</w:t>
            </w:r>
          </w:p>
        </w:tc>
        <w:tc>
          <w:tcPr>
            <w:tcW w:w="1517" w:type="pct"/>
          </w:tcPr>
          <w:p w:rsidR="0033614E" w:rsidRPr="005C0DF8" w:rsidRDefault="005C0DF8" w:rsidP="00E35CCE">
            <w:pPr>
              <w:jc w:val="center"/>
              <w:rPr>
                <w:rFonts w:ascii="Arial Narrow" w:hAnsi="Arial Narrow"/>
                <w:sz w:val="20"/>
                <w:highlight w:val="black"/>
              </w:rPr>
            </w:pPr>
            <w:r>
              <w:rPr>
                <w:rFonts w:ascii="Arial Narrow" w:hAnsi="Arial Narrow"/>
                <w:b/>
                <w:noProof/>
                <w:color w:val="000000"/>
                <w:sz w:val="20"/>
                <w:highlight w:val="black"/>
              </w:rPr>
              <w:t>''''''''''''''''''''''''''''''</w:t>
            </w:r>
          </w:p>
        </w:tc>
      </w:tr>
      <w:tr w:rsidR="0033614E" w:rsidRPr="008F0598" w:rsidTr="00E35CCE">
        <w:trPr>
          <w:trHeight w:val="70"/>
        </w:trPr>
        <w:tc>
          <w:tcPr>
            <w:tcW w:w="5000" w:type="pct"/>
            <w:gridSpan w:val="5"/>
            <w:vAlign w:val="center"/>
          </w:tcPr>
          <w:p w:rsidR="0033614E" w:rsidRPr="005C0DF8" w:rsidRDefault="0033614E" w:rsidP="00E35CCE">
            <w:pPr>
              <w:rPr>
                <w:rFonts w:ascii="Arial Narrow" w:hAnsi="Arial Narrow"/>
                <w:b/>
                <w:sz w:val="20"/>
              </w:rPr>
            </w:pPr>
            <w:r w:rsidRPr="00BA2C13">
              <w:rPr>
                <w:rFonts w:ascii="Arial Narrow" w:hAnsi="Arial Narrow" w:cs="Arial Narrow"/>
                <w:b/>
                <w:bCs/>
                <w:iCs/>
                <w:sz w:val="20"/>
              </w:rPr>
              <w:t xml:space="preserve">Step 3a: ITT modelled evaluation (model extrapolated from 3 to 10 years with </w:t>
            </w:r>
            <w:r w:rsidRPr="00BA2C13">
              <w:rPr>
                <w:rFonts w:ascii="Arial Narrow" w:hAnsi="Arial Narrow" w:cs="Arial Narrow"/>
                <w:b/>
                <w:bCs/>
                <w:iCs/>
                <w:sz w:val="20"/>
                <w:u w:val="single"/>
              </w:rPr>
              <w:t>log-logistic</w:t>
            </w:r>
            <w:r w:rsidRPr="00BA2C13">
              <w:rPr>
                <w:rFonts w:ascii="Arial Narrow" w:hAnsi="Arial Narrow" w:cs="Arial Narrow"/>
                <w:b/>
                <w:bCs/>
                <w:iCs/>
                <w:sz w:val="20"/>
              </w:rPr>
              <w:t xml:space="preserve"> and </w:t>
            </w:r>
            <w:r w:rsidRPr="00BA2C13">
              <w:rPr>
                <w:rFonts w:ascii="Arial Narrow" w:hAnsi="Arial Narrow" w:cs="Arial Narrow"/>
                <w:b/>
                <w:bCs/>
                <w:iCs/>
                <w:sz w:val="20"/>
                <w:u w:val="single"/>
              </w:rPr>
              <w:t>gamma</w:t>
            </w:r>
            <w:r w:rsidRPr="00BA2C13">
              <w:rPr>
                <w:rFonts w:ascii="Arial Narrow" w:hAnsi="Arial Narrow" w:cs="Arial Narrow"/>
                <w:b/>
                <w:bCs/>
                <w:iCs/>
                <w:sz w:val="20"/>
              </w:rPr>
              <w:t xml:space="preserve"> functions</w:t>
            </w:r>
            <w:r w:rsidRPr="00BA2C13">
              <w:rPr>
                <w:rFonts w:ascii="Arial Narrow" w:hAnsi="Arial Narrow" w:cs="Arial Narrow"/>
                <w:b/>
                <w:bCs/>
                <w:iCs/>
                <w:sz w:val="20"/>
                <w:vertAlign w:val="superscript"/>
              </w:rPr>
              <w:t>^</w:t>
            </w:r>
            <w:r w:rsidRPr="00BA2C13">
              <w:rPr>
                <w:rFonts w:ascii="Arial Narrow" w:hAnsi="Arial Narrow" w:cs="Arial Narrow"/>
                <w:b/>
                <w:bCs/>
                <w:iCs/>
                <w:sz w:val="20"/>
              </w:rPr>
              <w:t>)</w:t>
            </w:r>
          </w:p>
        </w:tc>
      </w:tr>
      <w:tr w:rsidR="0033614E" w:rsidRPr="008F0598" w:rsidTr="00E35CCE">
        <w:trPr>
          <w:trHeight w:val="70"/>
        </w:trPr>
        <w:tc>
          <w:tcPr>
            <w:tcW w:w="871" w:type="pct"/>
            <w:vAlign w:val="center"/>
          </w:tcPr>
          <w:p w:rsidR="0033614E" w:rsidRPr="005C0DF8" w:rsidRDefault="0033614E" w:rsidP="00E35CCE">
            <w:pPr>
              <w:rPr>
                <w:rFonts w:ascii="Arial Narrow" w:hAnsi="Arial Narrow"/>
                <w:b/>
                <w:sz w:val="20"/>
              </w:rPr>
            </w:pPr>
            <w:r w:rsidRPr="00BA2C13">
              <w:rPr>
                <w:rFonts w:ascii="Arial Narrow" w:hAnsi="Arial Narrow"/>
                <w:sz w:val="20"/>
              </w:rPr>
              <w:t>Costs</w:t>
            </w:r>
          </w:p>
        </w:tc>
        <w:tc>
          <w:tcPr>
            <w:tcW w:w="1497" w:type="pct"/>
            <w:gridSpan w:val="2"/>
            <w:vAlign w:val="center"/>
          </w:tcPr>
          <w:p w:rsidR="0033614E" w:rsidRPr="005C0DF8" w:rsidRDefault="005C0DF8" w:rsidP="00E35CCE">
            <w:pPr>
              <w:jc w:val="center"/>
              <w:rPr>
                <w:rFonts w:ascii="Arial Narrow" w:hAnsi="Arial Narrow"/>
                <w:sz w:val="20"/>
                <w:highlight w:val="black"/>
              </w:rPr>
            </w:pPr>
            <w:r>
              <w:rPr>
                <w:rFonts w:ascii="Arial Narrow" w:hAnsi="Arial Narrow"/>
                <w:noProof/>
                <w:color w:val="000000"/>
                <w:sz w:val="20"/>
                <w:highlight w:val="black"/>
              </w:rPr>
              <w:t>'''''''''''''''''''''''</w:t>
            </w:r>
          </w:p>
        </w:tc>
        <w:tc>
          <w:tcPr>
            <w:tcW w:w="1116" w:type="pct"/>
            <w:vAlign w:val="center"/>
          </w:tcPr>
          <w:p w:rsidR="0033614E" w:rsidRPr="005C0DF8" w:rsidRDefault="005C0DF8" w:rsidP="00E35CCE">
            <w:pPr>
              <w:jc w:val="center"/>
              <w:rPr>
                <w:rFonts w:ascii="Arial Narrow" w:hAnsi="Arial Narrow"/>
                <w:sz w:val="20"/>
                <w:highlight w:val="black"/>
              </w:rPr>
            </w:pPr>
            <w:r>
              <w:rPr>
                <w:rFonts w:ascii="Arial Narrow" w:hAnsi="Arial Narrow"/>
                <w:noProof/>
                <w:color w:val="000000"/>
                <w:sz w:val="20"/>
                <w:highlight w:val="black"/>
              </w:rPr>
              <w:t>''''''''''''''''''''</w:t>
            </w:r>
          </w:p>
        </w:tc>
        <w:tc>
          <w:tcPr>
            <w:tcW w:w="1517" w:type="pct"/>
            <w:vAlign w:val="center"/>
          </w:tcPr>
          <w:p w:rsidR="0033614E" w:rsidRPr="005C0DF8" w:rsidRDefault="005C0DF8" w:rsidP="00E35CCE">
            <w:pPr>
              <w:jc w:val="center"/>
              <w:rPr>
                <w:rFonts w:ascii="Arial Narrow" w:hAnsi="Arial Narrow"/>
                <w:sz w:val="20"/>
                <w:highlight w:val="black"/>
              </w:rPr>
            </w:pPr>
            <w:r>
              <w:rPr>
                <w:rFonts w:ascii="Arial Narrow" w:hAnsi="Arial Narrow"/>
                <w:noProof/>
                <w:color w:val="000000"/>
                <w:sz w:val="20"/>
                <w:highlight w:val="black"/>
              </w:rPr>
              <w:t>''''''''''''''''''''''''''''</w:t>
            </w:r>
          </w:p>
        </w:tc>
      </w:tr>
      <w:tr w:rsidR="0033614E" w:rsidRPr="008F0598" w:rsidTr="00E35CCE">
        <w:trPr>
          <w:trHeight w:val="70"/>
        </w:trPr>
        <w:tc>
          <w:tcPr>
            <w:tcW w:w="871" w:type="pct"/>
            <w:vAlign w:val="center"/>
          </w:tcPr>
          <w:p w:rsidR="0033614E" w:rsidRPr="005C0DF8" w:rsidRDefault="0033614E" w:rsidP="00E35CCE">
            <w:pPr>
              <w:rPr>
                <w:rFonts w:ascii="Arial Narrow" w:hAnsi="Arial Narrow"/>
                <w:b/>
                <w:sz w:val="20"/>
              </w:rPr>
            </w:pPr>
            <w:r w:rsidRPr="00BA2C13">
              <w:rPr>
                <w:rFonts w:ascii="Arial Narrow" w:hAnsi="Arial Narrow"/>
                <w:sz w:val="20"/>
              </w:rPr>
              <w:t>LYs</w:t>
            </w:r>
          </w:p>
        </w:tc>
        <w:tc>
          <w:tcPr>
            <w:tcW w:w="1497" w:type="pct"/>
            <w:gridSpan w:val="2"/>
            <w:vAlign w:val="center"/>
          </w:tcPr>
          <w:p w:rsidR="0033614E" w:rsidRPr="005C0DF8" w:rsidRDefault="005C0DF8" w:rsidP="00E35CCE">
            <w:pPr>
              <w:jc w:val="center"/>
              <w:rPr>
                <w:rFonts w:ascii="Arial Narrow" w:hAnsi="Arial Narrow"/>
                <w:sz w:val="20"/>
                <w:highlight w:val="black"/>
              </w:rPr>
            </w:pPr>
            <w:r>
              <w:rPr>
                <w:rFonts w:ascii="Arial Narrow" w:hAnsi="Arial Narrow"/>
                <w:noProof/>
                <w:color w:val="000000"/>
                <w:sz w:val="20"/>
                <w:highlight w:val="black"/>
              </w:rPr>
              <w:t>''''''''''''</w:t>
            </w:r>
          </w:p>
        </w:tc>
        <w:tc>
          <w:tcPr>
            <w:tcW w:w="1116" w:type="pct"/>
            <w:vAlign w:val="center"/>
          </w:tcPr>
          <w:p w:rsidR="0033614E" w:rsidRPr="005C0DF8" w:rsidRDefault="005C0DF8" w:rsidP="00E35CCE">
            <w:pPr>
              <w:jc w:val="center"/>
              <w:rPr>
                <w:rFonts w:ascii="Arial Narrow" w:hAnsi="Arial Narrow"/>
                <w:sz w:val="20"/>
                <w:highlight w:val="black"/>
              </w:rPr>
            </w:pPr>
            <w:r>
              <w:rPr>
                <w:rFonts w:ascii="Arial Narrow" w:hAnsi="Arial Narrow"/>
                <w:noProof/>
                <w:color w:val="000000"/>
                <w:sz w:val="20"/>
                <w:highlight w:val="black"/>
              </w:rPr>
              <w:t>''''''''''</w:t>
            </w:r>
          </w:p>
        </w:tc>
        <w:tc>
          <w:tcPr>
            <w:tcW w:w="1517" w:type="pct"/>
            <w:vAlign w:val="center"/>
          </w:tcPr>
          <w:p w:rsidR="0033614E" w:rsidRPr="005C0DF8" w:rsidRDefault="005C0DF8" w:rsidP="00E35CCE">
            <w:pPr>
              <w:jc w:val="center"/>
              <w:rPr>
                <w:rFonts w:ascii="Arial Narrow" w:hAnsi="Arial Narrow"/>
                <w:sz w:val="20"/>
                <w:highlight w:val="black"/>
              </w:rPr>
            </w:pPr>
            <w:r>
              <w:rPr>
                <w:rFonts w:ascii="Arial Narrow" w:hAnsi="Arial Narrow"/>
                <w:noProof/>
                <w:color w:val="000000"/>
                <w:sz w:val="20"/>
                <w:highlight w:val="black"/>
              </w:rPr>
              <w:t>''''''''''</w:t>
            </w:r>
          </w:p>
        </w:tc>
      </w:tr>
      <w:tr w:rsidR="0033614E" w:rsidRPr="008F0598" w:rsidTr="00E35CCE">
        <w:trPr>
          <w:trHeight w:val="70"/>
        </w:trPr>
        <w:tc>
          <w:tcPr>
            <w:tcW w:w="871" w:type="pct"/>
            <w:vAlign w:val="center"/>
          </w:tcPr>
          <w:p w:rsidR="0033614E" w:rsidRPr="005C0DF8" w:rsidRDefault="005C0DF8" w:rsidP="00E35CCE">
            <w:pPr>
              <w:rPr>
                <w:rFonts w:ascii="Arial Narrow" w:hAnsi="Arial Narrow"/>
                <w:b/>
                <w:sz w:val="20"/>
                <w:highlight w:val="black"/>
              </w:rPr>
            </w:pPr>
            <w:r>
              <w:rPr>
                <w:rFonts w:ascii="Arial Narrow" w:hAnsi="Arial Narrow"/>
                <w:noProof/>
                <w:color w:val="000000"/>
                <w:sz w:val="20"/>
                <w:highlight w:val="black"/>
              </w:rPr>
              <w:t>''''''''''''''''</w:t>
            </w:r>
          </w:p>
        </w:tc>
        <w:tc>
          <w:tcPr>
            <w:tcW w:w="1497" w:type="pct"/>
            <w:gridSpan w:val="2"/>
            <w:vAlign w:val="center"/>
          </w:tcPr>
          <w:p w:rsidR="0033614E" w:rsidRPr="005C0DF8" w:rsidRDefault="005C0DF8" w:rsidP="00E35CCE">
            <w:pPr>
              <w:jc w:val="center"/>
              <w:rPr>
                <w:rFonts w:ascii="Arial Narrow" w:hAnsi="Arial Narrow"/>
                <w:sz w:val="20"/>
                <w:highlight w:val="black"/>
              </w:rPr>
            </w:pPr>
            <w:r>
              <w:rPr>
                <w:rFonts w:ascii="Arial Narrow" w:hAnsi="Arial Narrow"/>
                <w:noProof/>
                <w:color w:val="000000"/>
                <w:sz w:val="20"/>
                <w:highlight w:val="black"/>
              </w:rPr>
              <w:t>'''''''''''</w:t>
            </w:r>
          </w:p>
        </w:tc>
        <w:tc>
          <w:tcPr>
            <w:tcW w:w="1116" w:type="pct"/>
            <w:vAlign w:val="center"/>
          </w:tcPr>
          <w:p w:rsidR="0033614E" w:rsidRPr="005C0DF8" w:rsidRDefault="005C0DF8" w:rsidP="00E35CCE">
            <w:pPr>
              <w:jc w:val="center"/>
              <w:rPr>
                <w:rFonts w:ascii="Arial Narrow" w:hAnsi="Arial Narrow"/>
                <w:sz w:val="20"/>
                <w:highlight w:val="black"/>
              </w:rPr>
            </w:pPr>
            <w:r>
              <w:rPr>
                <w:rFonts w:ascii="Arial Narrow" w:hAnsi="Arial Narrow"/>
                <w:noProof/>
                <w:color w:val="000000"/>
                <w:sz w:val="20"/>
                <w:highlight w:val="black"/>
              </w:rPr>
              <w:t>'''''''''''</w:t>
            </w:r>
          </w:p>
        </w:tc>
        <w:tc>
          <w:tcPr>
            <w:tcW w:w="1517" w:type="pct"/>
            <w:vAlign w:val="center"/>
          </w:tcPr>
          <w:p w:rsidR="0033614E" w:rsidRPr="005C0DF8" w:rsidRDefault="005C0DF8" w:rsidP="00E35CCE">
            <w:pPr>
              <w:jc w:val="center"/>
              <w:rPr>
                <w:rFonts w:ascii="Arial Narrow" w:hAnsi="Arial Narrow"/>
                <w:sz w:val="20"/>
                <w:highlight w:val="black"/>
              </w:rPr>
            </w:pPr>
            <w:r>
              <w:rPr>
                <w:rFonts w:ascii="Arial Narrow" w:hAnsi="Arial Narrow"/>
                <w:noProof/>
                <w:color w:val="000000"/>
                <w:sz w:val="20"/>
                <w:highlight w:val="black"/>
              </w:rPr>
              <w:t>''''''''''</w:t>
            </w:r>
          </w:p>
        </w:tc>
      </w:tr>
      <w:tr w:rsidR="0033614E" w:rsidRPr="008F0598" w:rsidTr="00E35CCE">
        <w:trPr>
          <w:trHeight w:val="70"/>
        </w:trPr>
        <w:tc>
          <w:tcPr>
            <w:tcW w:w="3483" w:type="pct"/>
            <w:gridSpan w:val="4"/>
            <w:vAlign w:val="center"/>
          </w:tcPr>
          <w:p w:rsidR="0033614E" w:rsidRPr="005C0DF8" w:rsidRDefault="0033614E" w:rsidP="00E35CCE">
            <w:pPr>
              <w:rPr>
                <w:rFonts w:ascii="Arial Narrow" w:hAnsi="Arial Narrow"/>
                <w:b/>
                <w:sz w:val="20"/>
              </w:rPr>
            </w:pPr>
            <w:r w:rsidRPr="00BA2C13">
              <w:rPr>
                <w:rFonts w:ascii="Arial Narrow" w:hAnsi="Arial Narrow"/>
                <w:b/>
                <w:iCs/>
                <w:sz w:val="20"/>
              </w:rPr>
              <w:t>Incremental cost/extra LY gained over 10 years</w:t>
            </w:r>
          </w:p>
        </w:tc>
        <w:tc>
          <w:tcPr>
            <w:tcW w:w="1517" w:type="pct"/>
          </w:tcPr>
          <w:p w:rsidR="0033614E" w:rsidRPr="005C0DF8" w:rsidRDefault="0033614E" w:rsidP="00E35CCE">
            <w:pPr>
              <w:jc w:val="center"/>
              <w:rPr>
                <w:rFonts w:ascii="Arial Narrow" w:hAnsi="Arial Narrow"/>
                <w:b/>
                <w:bCs/>
                <w:sz w:val="20"/>
              </w:rPr>
            </w:pPr>
            <w:r w:rsidRPr="00E35D0E">
              <w:rPr>
                <w:rFonts w:ascii="Arial Narrow" w:hAnsi="Arial Narrow"/>
                <w:b/>
                <w:bCs/>
                <w:sz w:val="20"/>
              </w:rPr>
              <w:t>$</w:t>
            </w:r>
            <w:r w:rsidR="005C0DF8">
              <w:rPr>
                <w:rFonts w:ascii="Arial Narrow" w:hAnsi="Arial Narrow"/>
                <w:b/>
                <w:bCs/>
                <w:noProof/>
                <w:color w:val="000000"/>
                <w:sz w:val="20"/>
                <w:highlight w:val="black"/>
              </w:rPr>
              <w:t>'''''''''''''''''''''''''</w:t>
            </w:r>
          </w:p>
        </w:tc>
      </w:tr>
      <w:tr w:rsidR="0033614E" w:rsidRPr="008F0598" w:rsidTr="00E35CCE">
        <w:trPr>
          <w:trHeight w:val="70"/>
        </w:trPr>
        <w:tc>
          <w:tcPr>
            <w:tcW w:w="3483" w:type="pct"/>
            <w:gridSpan w:val="4"/>
            <w:vAlign w:val="center"/>
          </w:tcPr>
          <w:p w:rsidR="0033614E" w:rsidRPr="005C0DF8" w:rsidRDefault="0033614E" w:rsidP="00E35CCE">
            <w:pPr>
              <w:rPr>
                <w:rFonts w:ascii="Arial Narrow" w:hAnsi="Arial Narrow"/>
                <w:b/>
                <w:sz w:val="20"/>
              </w:rPr>
            </w:pPr>
            <w:r w:rsidRPr="00BA2C13">
              <w:rPr>
                <w:rFonts w:ascii="Arial Narrow" w:hAnsi="Arial Narrow"/>
                <w:b/>
                <w:iCs/>
                <w:sz w:val="20"/>
              </w:rPr>
              <w:t>Incremental cost/extra QALY gained over 10 years</w:t>
            </w:r>
          </w:p>
        </w:tc>
        <w:tc>
          <w:tcPr>
            <w:tcW w:w="1517" w:type="pct"/>
          </w:tcPr>
          <w:p w:rsidR="0033614E" w:rsidRPr="005C0DF8" w:rsidRDefault="0033614E" w:rsidP="00E35CCE">
            <w:pPr>
              <w:jc w:val="center"/>
              <w:rPr>
                <w:rFonts w:ascii="Arial Narrow" w:hAnsi="Arial Narrow"/>
                <w:b/>
                <w:bCs/>
                <w:sz w:val="20"/>
              </w:rPr>
            </w:pPr>
            <w:r w:rsidRPr="00E35D0E">
              <w:rPr>
                <w:rFonts w:ascii="Arial Narrow" w:hAnsi="Arial Narrow"/>
                <w:b/>
                <w:bCs/>
                <w:sz w:val="20"/>
              </w:rPr>
              <w:t>$</w:t>
            </w:r>
            <w:r w:rsidR="005C0DF8">
              <w:rPr>
                <w:rFonts w:ascii="Arial Narrow" w:hAnsi="Arial Narrow"/>
                <w:b/>
                <w:bCs/>
                <w:noProof/>
                <w:color w:val="000000"/>
                <w:sz w:val="20"/>
                <w:highlight w:val="black"/>
              </w:rPr>
              <w:t>'''''''''''''''''''''''''''''''</w:t>
            </w:r>
          </w:p>
        </w:tc>
      </w:tr>
      <w:tr w:rsidR="0033614E" w:rsidRPr="008F0598" w:rsidTr="00E35CCE">
        <w:tc>
          <w:tcPr>
            <w:tcW w:w="5000" w:type="pct"/>
            <w:gridSpan w:val="5"/>
            <w:vAlign w:val="center"/>
          </w:tcPr>
          <w:p w:rsidR="0033614E" w:rsidRPr="005C0DF8" w:rsidRDefault="0033614E" w:rsidP="00E35CCE">
            <w:pPr>
              <w:keepNext/>
              <w:rPr>
                <w:rFonts w:ascii="Arial Narrow" w:hAnsi="Arial Narrow" w:cs="Arial Narrow"/>
                <w:b/>
                <w:bCs/>
                <w:iCs/>
                <w:sz w:val="20"/>
              </w:rPr>
            </w:pPr>
            <w:r w:rsidRPr="00BA2C13">
              <w:rPr>
                <w:rFonts w:ascii="Arial Narrow" w:hAnsi="Arial Narrow" w:cs="Arial Narrow"/>
                <w:b/>
                <w:bCs/>
                <w:iCs/>
                <w:sz w:val="20"/>
              </w:rPr>
              <w:t xml:space="preserve">Step 3b: ITT modelled evaluation (model extrapolated from 3 to 10 years with </w:t>
            </w:r>
            <w:r w:rsidRPr="00BA2C13">
              <w:rPr>
                <w:rFonts w:ascii="Arial Narrow" w:hAnsi="Arial Narrow" w:cs="Arial Narrow"/>
                <w:b/>
                <w:bCs/>
                <w:iCs/>
                <w:sz w:val="20"/>
                <w:u w:val="single"/>
              </w:rPr>
              <w:t>exponential</w:t>
            </w:r>
            <w:r w:rsidRPr="00BA2C13">
              <w:rPr>
                <w:rFonts w:ascii="Arial Narrow" w:hAnsi="Arial Narrow" w:cs="Arial Narrow"/>
                <w:b/>
                <w:bCs/>
                <w:iCs/>
                <w:sz w:val="20"/>
              </w:rPr>
              <w:t xml:space="preserve"> and </w:t>
            </w:r>
            <w:proofErr w:type="spellStart"/>
            <w:r w:rsidRPr="00BA2C13">
              <w:rPr>
                <w:rFonts w:ascii="Arial Narrow" w:hAnsi="Arial Narrow" w:cs="Arial Narrow"/>
                <w:b/>
                <w:bCs/>
                <w:iCs/>
                <w:sz w:val="20"/>
                <w:u w:val="single"/>
              </w:rPr>
              <w:t>weibull</w:t>
            </w:r>
            <w:proofErr w:type="spellEnd"/>
            <w:r w:rsidRPr="00BA2C13">
              <w:rPr>
                <w:rFonts w:ascii="Arial Narrow" w:hAnsi="Arial Narrow" w:cs="Arial Narrow"/>
                <w:b/>
                <w:bCs/>
                <w:iCs/>
                <w:sz w:val="20"/>
              </w:rPr>
              <w:t xml:space="preserve"> functions</w:t>
            </w:r>
            <w:r w:rsidRPr="00BA2C13">
              <w:rPr>
                <w:rFonts w:ascii="Arial Narrow" w:hAnsi="Arial Narrow" w:cs="Arial Narrow"/>
                <w:b/>
                <w:bCs/>
                <w:iCs/>
                <w:sz w:val="20"/>
                <w:vertAlign w:val="superscript"/>
              </w:rPr>
              <w:t>#</w:t>
            </w:r>
            <w:r w:rsidRPr="00BA2C13">
              <w:rPr>
                <w:rFonts w:ascii="Arial Narrow" w:hAnsi="Arial Narrow" w:cs="Arial Narrow"/>
                <w:b/>
                <w:bCs/>
                <w:iCs/>
                <w:sz w:val="20"/>
              </w:rPr>
              <w:t>)</w:t>
            </w:r>
          </w:p>
        </w:tc>
      </w:tr>
      <w:tr w:rsidR="0033614E" w:rsidRPr="008F0598" w:rsidTr="00E35CCE">
        <w:tc>
          <w:tcPr>
            <w:tcW w:w="871" w:type="pct"/>
            <w:vAlign w:val="center"/>
          </w:tcPr>
          <w:p w:rsidR="0033614E" w:rsidRPr="005C0DF8" w:rsidRDefault="0033614E" w:rsidP="00E35CCE">
            <w:pPr>
              <w:rPr>
                <w:rFonts w:ascii="Arial Narrow" w:hAnsi="Arial Narrow"/>
                <w:sz w:val="20"/>
              </w:rPr>
            </w:pPr>
            <w:r w:rsidRPr="00BA2C13">
              <w:rPr>
                <w:rFonts w:ascii="Arial Narrow" w:hAnsi="Arial Narrow"/>
                <w:sz w:val="20"/>
              </w:rPr>
              <w:t>Costs</w:t>
            </w:r>
          </w:p>
        </w:tc>
        <w:tc>
          <w:tcPr>
            <w:tcW w:w="1497" w:type="pct"/>
            <w:gridSpan w:val="2"/>
            <w:vAlign w:val="center"/>
          </w:tcPr>
          <w:p w:rsidR="0033614E" w:rsidRPr="005C0DF8" w:rsidRDefault="005C0DF8" w:rsidP="00E35CCE">
            <w:pPr>
              <w:jc w:val="center"/>
              <w:rPr>
                <w:rFonts w:ascii="Arial Narrow" w:hAnsi="Arial Narrow"/>
                <w:iCs/>
                <w:sz w:val="20"/>
                <w:highlight w:val="black"/>
              </w:rPr>
            </w:pPr>
            <w:r>
              <w:rPr>
                <w:rFonts w:ascii="Arial Narrow" w:hAnsi="Arial Narrow"/>
                <w:iCs/>
                <w:noProof/>
                <w:color w:val="000000"/>
                <w:sz w:val="20"/>
                <w:highlight w:val="black"/>
              </w:rPr>
              <w:t>''''''''''''''''''''''''</w:t>
            </w:r>
          </w:p>
        </w:tc>
        <w:tc>
          <w:tcPr>
            <w:tcW w:w="1116" w:type="pct"/>
            <w:vAlign w:val="center"/>
          </w:tcPr>
          <w:p w:rsidR="0033614E" w:rsidRPr="005C0DF8" w:rsidRDefault="005C0DF8" w:rsidP="00E35CCE">
            <w:pPr>
              <w:jc w:val="center"/>
              <w:rPr>
                <w:rFonts w:ascii="Arial Narrow" w:hAnsi="Arial Narrow"/>
                <w:iCs/>
                <w:sz w:val="20"/>
                <w:highlight w:val="black"/>
              </w:rPr>
            </w:pPr>
            <w:r>
              <w:rPr>
                <w:rFonts w:ascii="Arial Narrow" w:hAnsi="Arial Narrow"/>
                <w:iCs/>
                <w:noProof/>
                <w:color w:val="000000"/>
                <w:sz w:val="20"/>
                <w:highlight w:val="black"/>
              </w:rPr>
              <w:t>'''''''''''''''''''</w:t>
            </w:r>
          </w:p>
        </w:tc>
        <w:tc>
          <w:tcPr>
            <w:tcW w:w="1517" w:type="pct"/>
            <w:vAlign w:val="center"/>
          </w:tcPr>
          <w:p w:rsidR="0033614E" w:rsidRPr="005C0DF8" w:rsidRDefault="005C0DF8" w:rsidP="00E35CCE">
            <w:pPr>
              <w:jc w:val="center"/>
              <w:rPr>
                <w:rFonts w:ascii="Arial Narrow" w:hAnsi="Arial Narrow"/>
                <w:iCs/>
                <w:sz w:val="20"/>
                <w:highlight w:val="black"/>
              </w:rPr>
            </w:pPr>
            <w:r>
              <w:rPr>
                <w:rFonts w:ascii="Arial Narrow" w:hAnsi="Arial Narrow"/>
                <w:iCs/>
                <w:noProof/>
                <w:color w:val="000000"/>
                <w:sz w:val="20"/>
                <w:highlight w:val="black"/>
              </w:rPr>
              <w:t>''''''''''''''''''''''''''</w:t>
            </w:r>
          </w:p>
        </w:tc>
      </w:tr>
      <w:tr w:rsidR="0033614E" w:rsidRPr="008F0598" w:rsidTr="00E35CCE">
        <w:tc>
          <w:tcPr>
            <w:tcW w:w="871" w:type="pct"/>
            <w:vAlign w:val="center"/>
          </w:tcPr>
          <w:p w:rsidR="0033614E" w:rsidRPr="005C0DF8" w:rsidRDefault="0033614E" w:rsidP="00E35CCE">
            <w:pPr>
              <w:rPr>
                <w:rFonts w:ascii="Arial Narrow" w:hAnsi="Arial Narrow"/>
                <w:sz w:val="20"/>
              </w:rPr>
            </w:pPr>
            <w:r w:rsidRPr="00BA2C13">
              <w:rPr>
                <w:rFonts w:ascii="Arial Narrow" w:hAnsi="Arial Narrow"/>
                <w:sz w:val="20"/>
              </w:rPr>
              <w:t>LYs</w:t>
            </w:r>
          </w:p>
        </w:tc>
        <w:tc>
          <w:tcPr>
            <w:tcW w:w="1497" w:type="pct"/>
            <w:gridSpan w:val="2"/>
            <w:vAlign w:val="center"/>
          </w:tcPr>
          <w:p w:rsidR="0033614E" w:rsidRPr="005C0DF8" w:rsidRDefault="005C0DF8" w:rsidP="00E35CCE">
            <w:pPr>
              <w:jc w:val="center"/>
              <w:rPr>
                <w:rFonts w:ascii="Arial Narrow" w:hAnsi="Arial Narrow"/>
                <w:iCs/>
                <w:sz w:val="20"/>
                <w:highlight w:val="black"/>
              </w:rPr>
            </w:pPr>
            <w:r>
              <w:rPr>
                <w:rFonts w:ascii="Arial Narrow" w:hAnsi="Arial Narrow"/>
                <w:iCs/>
                <w:noProof/>
                <w:color w:val="000000"/>
                <w:sz w:val="20"/>
                <w:highlight w:val="black"/>
              </w:rPr>
              <w:t>'''''''''''</w:t>
            </w:r>
          </w:p>
        </w:tc>
        <w:tc>
          <w:tcPr>
            <w:tcW w:w="1116" w:type="pct"/>
            <w:vAlign w:val="center"/>
          </w:tcPr>
          <w:p w:rsidR="0033614E" w:rsidRPr="005C0DF8" w:rsidRDefault="005C0DF8" w:rsidP="00E35CCE">
            <w:pPr>
              <w:jc w:val="center"/>
              <w:rPr>
                <w:rFonts w:ascii="Arial Narrow" w:hAnsi="Arial Narrow"/>
                <w:iCs/>
                <w:sz w:val="20"/>
                <w:highlight w:val="black"/>
              </w:rPr>
            </w:pPr>
            <w:r>
              <w:rPr>
                <w:rFonts w:ascii="Arial Narrow" w:hAnsi="Arial Narrow"/>
                <w:iCs/>
                <w:noProof/>
                <w:color w:val="000000"/>
                <w:sz w:val="20"/>
                <w:highlight w:val="black"/>
              </w:rPr>
              <w:t>'''''''''''</w:t>
            </w:r>
          </w:p>
        </w:tc>
        <w:tc>
          <w:tcPr>
            <w:tcW w:w="1517" w:type="pct"/>
            <w:vAlign w:val="center"/>
          </w:tcPr>
          <w:p w:rsidR="0033614E" w:rsidRPr="005C0DF8" w:rsidRDefault="005C0DF8" w:rsidP="00E35CCE">
            <w:pPr>
              <w:jc w:val="center"/>
              <w:rPr>
                <w:rFonts w:ascii="Arial Narrow" w:hAnsi="Arial Narrow"/>
                <w:iCs/>
                <w:sz w:val="20"/>
                <w:highlight w:val="black"/>
              </w:rPr>
            </w:pPr>
            <w:r>
              <w:rPr>
                <w:rFonts w:ascii="Arial Narrow" w:hAnsi="Arial Narrow"/>
                <w:iCs/>
                <w:noProof/>
                <w:color w:val="000000"/>
                <w:sz w:val="20"/>
                <w:highlight w:val="black"/>
              </w:rPr>
              <w:t>''''''''''</w:t>
            </w:r>
          </w:p>
        </w:tc>
      </w:tr>
      <w:tr w:rsidR="0033614E" w:rsidRPr="008F0598" w:rsidTr="00E35CCE">
        <w:tc>
          <w:tcPr>
            <w:tcW w:w="871" w:type="pct"/>
            <w:vAlign w:val="center"/>
          </w:tcPr>
          <w:p w:rsidR="0033614E" w:rsidRPr="005C0DF8" w:rsidRDefault="0033614E" w:rsidP="00E35CCE">
            <w:pPr>
              <w:rPr>
                <w:rFonts w:ascii="Arial Narrow" w:hAnsi="Arial Narrow"/>
                <w:sz w:val="20"/>
              </w:rPr>
            </w:pPr>
            <w:r w:rsidRPr="00BA2C13">
              <w:rPr>
                <w:rFonts w:ascii="Arial Narrow" w:hAnsi="Arial Narrow"/>
                <w:sz w:val="20"/>
              </w:rPr>
              <w:t>QALYs</w:t>
            </w:r>
          </w:p>
        </w:tc>
        <w:tc>
          <w:tcPr>
            <w:tcW w:w="1497" w:type="pct"/>
            <w:gridSpan w:val="2"/>
            <w:vAlign w:val="center"/>
          </w:tcPr>
          <w:p w:rsidR="0033614E" w:rsidRPr="005C0DF8" w:rsidRDefault="005C0DF8" w:rsidP="00E35CCE">
            <w:pPr>
              <w:jc w:val="center"/>
              <w:rPr>
                <w:rFonts w:ascii="Arial Narrow" w:hAnsi="Arial Narrow"/>
                <w:iCs/>
                <w:sz w:val="20"/>
                <w:highlight w:val="black"/>
              </w:rPr>
            </w:pPr>
            <w:r>
              <w:rPr>
                <w:rFonts w:ascii="Arial Narrow" w:hAnsi="Arial Narrow"/>
                <w:iCs/>
                <w:noProof/>
                <w:color w:val="000000"/>
                <w:sz w:val="20"/>
                <w:highlight w:val="black"/>
              </w:rPr>
              <w:t>''''''''''</w:t>
            </w:r>
          </w:p>
        </w:tc>
        <w:tc>
          <w:tcPr>
            <w:tcW w:w="1116" w:type="pct"/>
            <w:vAlign w:val="center"/>
          </w:tcPr>
          <w:p w:rsidR="0033614E" w:rsidRPr="005C0DF8" w:rsidRDefault="005C0DF8" w:rsidP="00E35CCE">
            <w:pPr>
              <w:jc w:val="center"/>
              <w:rPr>
                <w:rFonts w:ascii="Arial Narrow" w:hAnsi="Arial Narrow"/>
                <w:iCs/>
                <w:sz w:val="20"/>
                <w:highlight w:val="black"/>
              </w:rPr>
            </w:pPr>
            <w:r>
              <w:rPr>
                <w:rFonts w:ascii="Arial Narrow" w:hAnsi="Arial Narrow"/>
                <w:iCs/>
                <w:noProof/>
                <w:color w:val="000000"/>
                <w:sz w:val="20"/>
                <w:highlight w:val="black"/>
              </w:rPr>
              <w:t>''''''''''</w:t>
            </w:r>
          </w:p>
        </w:tc>
        <w:tc>
          <w:tcPr>
            <w:tcW w:w="1517" w:type="pct"/>
            <w:vAlign w:val="center"/>
          </w:tcPr>
          <w:p w:rsidR="0033614E" w:rsidRPr="005C0DF8" w:rsidRDefault="005C0DF8" w:rsidP="00E35CCE">
            <w:pPr>
              <w:jc w:val="center"/>
              <w:rPr>
                <w:rFonts w:ascii="Arial Narrow" w:hAnsi="Arial Narrow"/>
                <w:iCs/>
                <w:sz w:val="20"/>
                <w:highlight w:val="black"/>
              </w:rPr>
            </w:pPr>
            <w:r>
              <w:rPr>
                <w:rFonts w:ascii="Arial Narrow" w:hAnsi="Arial Narrow"/>
                <w:iCs/>
                <w:noProof/>
                <w:color w:val="000000"/>
                <w:sz w:val="20"/>
                <w:highlight w:val="black"/>
              </w:rPr>
              <w:t>''''''''''</w:t>
            </w:r>
          </w:p>
        </w:tc>
      </w:tr>
      <w:tr w:rsidR="0033614E" w:rsidRPr="008F0598" w:rsidTr="00E35CCE">
        <w:tc>
          <w:tcPr>
            <w:tcW w:w="3483" w:type="pct"/>
            <w:gridSpan w:val="4"/>
            <w:vAlign w:val="center"/>
          </w:tcPr>
          <w:p w:rsidR="0033614E" w:rsidRPr="005C0DF8" w:rsidRDefault="0033614E" w:rsidP="00E35CCE">
            <w:pPr>
              <w:rPr>
                <w:rFonts w:ascii="Arial Narrow" w:hAnsi="Arial Narrow"/>
                <w:b/>
                <w:iCs/>
                <w:sz w:val="20"/>
              </w:rPr>
            </w:pPr>
            <w:r w:rsidRPr="00BA2C13">
              <w:rPr>
                <w:rFonts w:ascii="Arial Narrow" w:hAnsi="Arial Narrow"/>
                <w:b/>
                <w:iCs/>
                <w:sz w:val="20"/>
              </w:rPr>
              <w:lastRenderedPageBreak/>
              <w:t>Incremental cost/extra LY gained over 10 years</w:t>
            </w:r>
          </w:p>
        </w:tc>
        <w:tc>
          <w:tcPr>
            <w:tcW w:w="1517" w:type="pct"/>
          </w:tcPr>
          <w:p w:rsidR="0033614E" w:rsidRPr="005C0DF8" w:rsidRDefault="005C0DF8" w:rsidP="00E35CCE">
            <w:pPr>
              <w:jc w:val="center"/>
              <w:rPr>
                <w:rFonts w:ascii="Arial Narrow" w:hAnsi="Arial Narrow"/>
                <w:b/>
                <w:iCs/>
                <w:sz w:val="20"/>
                <w:highlight w:val="black"/>
              </w:rPr>
            </w:pPr>
            <w:r>
              <w:rPr>
                <w:rFonts w:ascii="Arial Narrow" w:hAnsi="Arial Narrow"/>
                <w:b/>
                <w:iCs/>
                <w:noProof/>
                <w:color w:val="000000"/>
                <w:sz w:val="20"/>
                <w:highlight w:val="black"/>
              </w:rPr>
              <w:t>'''''''''''''''''''''''''''''</w:t>
            </w:r>
          </w:p>
        </w:tc>
      </w:tr>
      <w:tr w:rsidR="0033614E" w:rsidRPr="008F0598" w:rsidTr="00E35CCE">
        <w:tc>
          <w:tcPr>
            <w:tcW w:w="3483" w:type="pct"/>
            <w:gridSpan w:val="4"/>
            <w:vAlign w:val="center"/>
          </w:tcPr>
          <w:p w:rsidR="0033614E" w:rsidRPr="005C0DF8" w:rsidRDefault="0033614E" w:rsidP="00E35CCE">
            <w:pPr>
              <w:rPr>
                <w:rFonts w:ascii="Arial Narrow" w:hAnsi="Arial Narrow"/>
                <w:b/>
                <w:iCs/>
                <w:sz w:val="20"/>
              </w:rPr>
            </w:pPr>
            <w:r w:rsidRPr="00BA2C13">
              <w:rPr>
                <w:rFonts w:ascii="Arial Narrow" w:hAnsi="Arial Narrow"/>
                <w:b/>
                <w:iCs/>
                <w:sz w:val="20"/>
              </w:rPr>
              <w:t>Incremental cost/extra QALY gained over 10 years</w:t>
            </w:r>
          </w:p>
        </w:tc>
        <w:tc>
          <w:tcPr>
            <w:tcW w:w="1517" w:type="pct"/>
          </w:tcPr>
          <w:p w:rsidR="0033614E" w:rsidRPr="005C0DF8" w:rsidRDefault="005C0DF8" w:rsidP="00E35CCE">
            <w:pPr>
              <w:jc w:val="center"/>
              <w:rPr>
                <w:rFonts w:ascii="Arial Narrow" w:hAnsi="Arial Narrow"/>
                <w:b/>
                <w:iCs/>
                <w:sz w:val="20"/>
                <w:highlight w:val="black"/>
              </w:rPr>
            </w:pPr>
            <w:r>
              <w:rPr>
                <w:rFonts w:ascii="Arial Narrow" w:hAnsi="Arial Narrow"/>
                <w:b/>
                <w:iCs/>
                <w:noProof/>
                <w:color w:val="000000"/>
                <w:sz w:val="20"/>
                <w:highlight w:val="black"/>
              </w:rPr>
              <w:t>'''''''''''''''''''''''''''''</w:t>
            </w:r>
          </w:p>
        </w:tc>
      </w:tr>
      <w:tr w:rsidR="0033614E" w:rsidRPr="008F0598" w:rsidTr="00E35CCE">
        <w:tc>
          <w:tcPr>
            <w:tcW w:w="5000" w:type="pct"/>
            <w:gridSpan w:val="5"/>
            <w:vAlign w:val="center"/>
          </w:tcPr>
          <w:p w:rsidR="0033614E" w:rsidRPr="005C0DF8" w:rsidRDefault="0033614E" w:rsidP="00E35CCE">
            <w:pPr>
              <w:rPr>
                <w:rFonts w:ascii="Arial Narrow" w:hAnsi="Arial Narrow"/>
                <w:b/>
                <w:sz w:val="20"/>
              </w:rPr>
            </w:pPr>
            <w:r w:rsidRPr="00BA2C13">
              <w:rPr>
                <w:rFonts w:ascii="Arial Narrow" w:hAnsi="Arial Narrow" w:cs="Arial Narrow"/>
                <w:b/>
                <w:bCs/>
                <w:sz w:val="20"/>
              </w:rPr>
              <w:t>Step 4: PBS subgroup modelled evaluation (model population changed from the ITT to PBS population</w:t>
            </w:r>
            <w:r w:rsidR="007E0C4B" w:rsidRPr="00BA2C13">
              <w:rPr>
                <w:rFonts w:ascii="Arial Narrow" w:hAnsi="Arial Narrow" w:cs="Arial Narrow"/>
                <w:b/>
                <w:bCs/>
                <w:sz w:val="20"/>
                <w:vertAlign w:val="superscript"/>
              </w:rPr>
              <w:t>@</w:t>
            </w:r>
            <w:r w:rsidRPr="00BA2C13">
              <w:rPr>
                <w:rFonts w:ascii="Arial Narrow" w:hAnsi="Arial Narrow" w:cs="Arial Narrow"/>
                <w:b/>
                <w:bCs/>
                <w:sz w:val="20"/>
              </w:rPr>
              <w:t>)</w:t>
            </w:r>
          </w:p>
        </w:tc>
      </w:tr>
      <w:tr w:rsidR="0033614E" w:rsidRPr="008F0598" w:rsidTr="00E35CCE">
        <w:tc>
          <w:tcPr>
            <w:tcW w:w="962" w:type="pct"/>
            <w:gridSpan w:val="2"/>
            <w:vAlign w:val="center"/>
          </w:tcPr>
          <w:p w:rsidR="0033614E" w:rsidRPr="005C0DF8" w:rsidRDefault="0033614E" w:rsidP="00E35CCE">
            <w:pPr>
              <w:rPr>
                <w:rFonts w:ascii="Arial Narrow" w:hAnsi="Arial Narrow"/>
                <w:b/>
                <w:sz w:val="20"/>
              </w:rPr>
            </w:pPr>
            <w:r w:rsidRPr="00BA2C13">
              <w:rPr>
                <w:rFonts w:ascii="Arial Narrow" w:hAnsi="Arial Narrow"/>
                <w:sz w:val="20"/>
              </w:rPr>
              <w:t>Costs</w:t>
            </w:r>
          </w:p>
        </w:tc>
        <w:tc>
          <w:tcPr>
            <w:tcW w:w="1405" w:type="pct"/>
            <w:vAlign w:val="center"/>
          </w:tcPr>
          <w:p w:rsidR="0033614E" w:rsidRPr="005C0DF8" w:rsidRDefault="005C0DF8" w:rsidP="00E35CCE">
            <w:pPr>
              <w:jc w:val="center"/>
              <w:rPr>
                <w:rFonts w:ascii="Arial Narrow" w:hAnsi="Arial Narrow"/>
                <w:b/>
                <w:iCs/>
                <w:sz w:val="20"/>
                <w:highlight w:val="black"/>
              </w:rPr>
            </w:pPr>
            <w:r>
              <w:rPr>
                <w:rFonts w:ascii="Arial Narrow" w:hAnsi="Arial Narrow"/>
                <w:iCs/>
                <w:noProof/>
                <w:color w:val="000000"/>
                <w:sz w:val="20"/>
                <w:highlight w:val="black"/>
              </w:rPr>
              <w:t>''''''''''''''''''''''''''</w:t>
            </w:r>
          </w:p>
        </w:tc>
        <w:tc>
          <w:tcPr>
            <w:tcW w:w="1116" w:type="pct"/>
            <w:vAlign w:val="center"/>
          </w:tcPr>
          <w:p w:rsidR="0033614E" w:rsidRPr="005C0DF8" w:rsidRDefault="005C0DF8" w:rsidP="00E35CCE">
            <w:pPr>
              <w:jc w:val="center"/>
              <w:rPr>
                <w:rFonts w:ascii="Arial Narrow" w:hAnsi="Arial Narrow"/>
                <w:b/>
                <w:iCs/>
                <w:sz w:val="20"/>
                <w:highlight w:val="black"/>
              </w:rPr>
            </w:pPr>
            <w:r>
              <w:rPr>
                <w:rFonts w:ascii="Arial Narrow" w:hAnsi="Arial Narrow"/>
                <w:iCs/>
                <w:noProof/>
                <w:color w:val="000000"/>
                <w:sz w:val="20"/>
                <w:highlight w:val="black"/>
              </w:rPr>
              <w:t>''''''''''''''''''''</w:t>
            </w:r>
          </w:p>
        </w:tc>
        <w:tc>
          <w:tcPr>
            <w:tcW w:w="1517" w:type="pct"/>
            <w:vAlign w:val="center"/>
          </w:tcPr>
          <w:p w:rsidR="0033614E" w:rsidRPr="005C0DF8" w:rsidRDefault="005C0DF8" w:rsidP="00E35CCE">
            <w:pPr>
              <w:jc w:val="center"/>
              <w:rPr>
                <w:rFonts w:ascii="Arial Narrow" w:hAnsi="Arial Narrow"/>
                <w:b/>
                <w:iCs/>
                <w:sz w:val="20"/>
                <w:highlight w:val="black"/>
              </w:rPr>
            </w:pPr>
            <w:r>
              <w:rPr>
                <w:rFonts w:ascii="Arial Narrow" w:hAnsi="Arial Narrow"/>
                <w:iCs/>
                <w:noProof/>
                <w:color w:val="000000"/>
                <w:sz w:val="20"/>
                <w:highlight w:val="black"/>
              </w:rPr>
              <w:t>''''''''''''''''''''''''''''</w:t>
            </w:r>
          </w:p>
        </w:tc>
      </w:tr>
      <w:tr w:rsidR="0033614E" w:rsidRPr="008F0598" w:rsidTr="00E35CCE">
        <w:tc>
          <w:tcPr>
            <w:tcW w:w="962" w:type="pct"/>
            <w:gridSpan w:val="2"/>
            <w:vAlign w:val="center"/>
          </w:tcPr>
          <w:p w:rsidR="0033614E" w:rsidRPr="005C0DF8" w:rsidRDefault="0033614E" w:rsidP="00E35CCE">
            <w:pPr>
              <w:rPr>
                <w:rFonts w:ascii="Arial Narrow" w:hAnsi="Arial Narrow"/>
                <w:sz w:val="20"/>
              </w:rPr>
            </w:pPr>
            <w:r w:rsidRPr="00BA2C13">
              <w:rPr>
                <w:rFonts w:ascii="Arial Narrow" w:hAnsi="Arial Narrow"/>
                <w:sz w:val="20"/>
              </w:rPr>
              <w:t>LYs</w:t>
            </w:r>
          </w:p>
        </w:tc>
        <w:tc>
          <w:tcPr>
            <w:tcW w:w="1405" w:type="pct"/>
            <w:vAlign w:val="center"/>
          </w:tcPr>
          <w:p w:rsidR="0033614E" w:rsidRPr="005C0DF8" w:rsidRDefault="005C0DF8" w:rsidP="00E35CCE">
            <w:pPr>
              <w:jc w:val="center"/>
              <w:rPr>
                <w:rFonts w:ascii="Arial Narrow" w:hAnsi="Arial Narrow"/>
                <w:iCs/>
                <w:sz w:val="20"/>
                <w:highlight w:val="black"/>
              </w:rPr>
            </w:pPr>
            <w:r>
              <w:rPr>
                <w:rFonts w:ascii="Arial Narrow" w:hAnsi="Arial Narrow"/>
                <w:iCs/>
                <w:noProof/>
                <w:color w:val="000000"/>
                <w:sz w:val="20"/>
                <w:highlight w:val="black"/>
              </w:rPr>
              <w:t>''''''''''</w:t>
            </w:r>
          </w:p>
        </w:tc>
        <w:tc>
          <w:tcPr>
            <w:tcW w:w="1116" w:type="pct"/>
            <w:vAlign w:val="center"/>
          </w:tcPr>
          <w:p w:rsidR="0033614E" w:rsidRPr="005C0DF8" w:rsidRDefault="005C0DF8" w:rsidP="00E35CCE">
            <w:pPr>
              <w:jc w:val="center"/>
              <w:rPr>
                <w:rFonts w:ascii="Arial Narrow" w:hAnsi="Arial Narrow"/>
                <w:iCs/>
                <w:sz w:val="20"/>
                <w:highlight w:val="black"/>
              </w:rPr>
            </w:pPr>
            <w:r>
              <w:rPr>
                <w:rFonts w:ascii="Arial Narrow" w:hAnsi="Arial Narrow"/>
                <w:iCs/>
                <w:noProof/>
                <w:color w:val="000000"/>
                <w:sz w:val="20"/>
                <w:highlight w:val="black"/>
              </w:rPr>
              <w:t>''''''''''</w:t>
            </w:r>
          </w:p>
        </w:tc>
        <w:tc>
          <w:tcPr>
            <w:tcW w:w="1517" w:type="pct"/>
            <w:vAlign w:val="center"/>
          </w:tcPr>
          <w:p w:rsidR="0033614E" w:rsidRPr="005C0DF8" w:rsidRDefault="005C0DF8" w:rsidP="00E35CCE">
            <w:pPr>
              <w:jc w:val="center"/>
              <w:rPr>
                <w:rFonts w:ascii="Arial Narrow" w:hAnsi="Arial Narrow"/>
                <w:iCs/>
                <w:sz w:val="20"/>
                <w:highlight w:val="black"/>
              </w:rPr>
            </w:pPr>
            <w:r>
              <w:rPr>
                <w:rFonts w:ascii="Arial Narrow" w:hAnsi="Arial Narrow"/>
                <w:iCs/>
                <w:noProof/>
                <w:color w:val="000000"/>
                <w:sz w:val="20"/>
                <w:highlight w:val="black"/>
              </w:rPr>
              <w:t>''''''''''''</w:t>
            </w:r>
          </w:p>
        </w:tc>
      </w:tr>
      <w:tr w:rsidR="0033614E" w:rsidRPr="008F0598" w:rsidTr="00E35CCE">
        <w:tc>
          <w:tcPr>
            <w:tcW w:w="962" w:type="pct"/>
            <w:gridSpan w:val="2"/>
            <w:vAlign w:val="center"/>
          </w:tcPr>
          <w:p w:rsidR="0033614E" w:rsidRPr="005C0DF8" w:rsidRDefault="0033614E" w:rsidP="00E35CCE">
            <w:pPr>
              <w:rPr>
                <w:rFonts w:ascii="Arial Narrow" w:hAnsi="Arial Narrow"/>
                <w:b/>
                <w:sz w:val="20"/>
              </w:rPr>
            </w:pPr>
            <w:r w:rsidRPr="00BA2C13">
              <w:rPr>
                <w:rFonts w:ascii="Arial Narrow" w:hAnsi="Arial Narrow"/>
                <w:sz w:val="20"/>
              </w:rPr>
              <w:t>QALYs</w:t>
            </w:r>
          </w:p>
        </w:tc>
        <w:tc>
          <w:tcPr>
            <w:tcW w:w="1405" w:type="pct"/>
            <w:vAlign w:val="center"/>
          </w:tcPr>
          <w:p w:rsidR="0033614E" w:rsidRPr="005C0DF8" w:rsidRDefault="005C0DF8" w:rsidP="00E35CCE">
            <w:pPr>
              <w:jc w:val="center"/>
              <w:rPr>
                <w:rFonts w:ascii="Arial Narrow" w:hAnsi="Arial Narrow"/>
                <w:b/>
                <w:iCs/>
                <w:sz w:val="20"/>
                <w:highlight w:val="black"/>
              </w:rPr>
            </w:pPr>
            <w:r>
              <w:rPr>
                <w:rFonts w:ascii="Arial Narrow" w:hAnsi="Arial Narrow"/>
                <w:iCs/>
                <w:noProof/>
                <w:color w:val="000000"/>
                <w:sz w:val="20"/>
                <w:highlight w:val="black"/>
              </w:rPr>
              <w:t>'''''''''''</w:t>
            </w:r>
          </w:p>
        </w:tc>
        <w:tc>
          <w:tcPr>
            <w:tcW w:w="1116" w:type="pct"/>
            <w:vAlign w:val="center"/>
          </w:tcPr>
          <w:p w:rsidR="0033614E" w:rsidRPr="005C0DF8" w:rsidRDefault="005C0DF8" w:rsidP="00E35CCE">
            <w:pPr>
              <w:jc w:val="center"/>
              <w:rPr>
                <w:rFonts w:ascii="Arial Narrow" w:hAnsi="Arial Narrow"/>
                <w:b/>
                <w:iCs/>
                <w:sz w:val="20"/>
                <w:highlight w:val="black"/>
              </w:rPr>
            </w:pPr>
            <w:r>
              <w:rPr>
                <w:rFonts w:ascii="Arial Narrow" w:hAnsi="Arial Narrow"/>
                <w:iCs/>
                <w:noProof/>
                <w:color w:val="000000"/>
                <w:sz w:val="20"/>
                <w:highlight w:val="black"/>
              </w:rPr>
              <w:t>''''''''''</w:t>
            </w:r>
          </w:p>
        </w:tc>
        <w:tc>
          <w:tcPr>
            <w:tcW w:w="1517" w:type="pct"/>
            <w:vAlign w:val="center"/>
          </w:tcPr>
          <w:p w:rsidR="0033614E" w:rsidRPr="005C0DF8" w:rsidRDefault="005C0DF8" w:rsidP="00E35CCE">
            <w:pPr>
              <w:jc w:val="center"/>
              <w:rPr>
                <w:rFonts w:ascii="Arial Narrow" w:hAnsi="Arial Narrow"/>
                <w:bCs/>
                <w:iCs/>
                <w:sz w:val="20"/>
                <w:highlight w:val="black"/>
              </w:rPr>
            </w:pPr>
            <w:r>
              <w:rPr>
                <w:rFonts w:ascii="Arial Narrow" w:hAnsi="Arial Narrow"/>
                <w:bCs/>
                <w:iCs/>
                <w:noProof/>
                <w:color w:val="000000"/>
                <w:sz w:val="20"/>
                <w:highlight w:val="black"/>
              </w:rPr>
              <w:t>''''''''''</w:t>
            </w:r>
          </w:p>
        </w:tc>
      </w:tr>
      <w:tr w:rsidR="0033614E" w:rsidRPr="008F0598" w:rsidTr="00E35CCE">
        <w:tc>
          <w:tcPr>
            <w:tcW w:w="3483" w:type="pct"/>
            <w:gridSpan w:val="4"/>
            <w:vAlign w:val="center"/>
          </w:tcPr>
          <w:p w:rsidR="0033614E" w:rsidRPr="005C0DF8" w:rsidRDefault="0033614E" w:rsidP="00E35CCE">
            <w:pPr>
              <w:rPr>
                <w:rFonts w:ascii="Arial Narrow" w:hAnsi="Arial Narrow"/>
                <w:b/>
                <w:sz w:val="20"/>
              </w:rPr>
            </w:pPr>
            <w:r w:rsidRPr="00BA2C13">
              <w:rPr>
                <w:rFonts w:ascii="Arial Narrow" w:hAnsi="Arial Narrow"/>
                <w:b/>
                <w:iCs/>
                <w:sz w:val="20"/>
              </w:rPr>
              <w:t>Incremental cost/extra LY gained over 10 years</w:t>
            </w:r>
          </w:p>
        </w:tc>
        <w:tc>
          <w:tcPr>
            <w:tcW w:w="1517" w:type="pct"/>
          </w:tcPr>
          <w:p w:rsidR="0033614E" w:rsidRPr="005C0DF8" w:rsidRDefault="005C0DF8" w:rsidP="00E35CCE">
            <w:pPr>
              <w:jc w:val="center"/>
              <w:rPr>
                <w:rFonts w:ascii="Arial Narrow" w:hAnsi="Arial Narrow"/>
                <w:b/>
                <w:iCs/>
                <w:sz w:val="20"/>
                <w:highlight w:val="black"/>
              </w:rPr>
            </w:pPr>
            <w:r>
              <w:rPr>
                <w:rFonts w:ascii="Arial Narrow" w:hAnsi="Arial Narrow"/>
                <w:b/>
                <w:iCs/>
                <w:noProof/>
                <w:color w:val="000000"/>
                <w:sz w:val="20"/>
                <w:highlight w:val="black"/>
              </w:rPr>
              <w:t>'''''''''''''''''''''''''</w:t>
            </w:r>
          </w:p>
        </w:tc>
      </w:tr>
      <w:tr w:rsidR="0033614E" w:rsidRPr="008F0598" w:rsidTr="00E35CCE">
        <w:tc>
          <w:tcPr>
            <w:tcW w:w="3483" w:type="pct"/>
            <w:gridSpan w:val="4"/>
            <w:tcBorders>
              <w:bottom w:val="triple" w:sz="4" w:space="0" w:color="auto"/>
            </w:tcBorders>
            <w:vAlign w:val="center"/>
          </w:tcPr>
          <w:p w:rsidR="0033614E" w:rsidRPr="005C0DF8" w:rsidRDefault="0033614E" w:rsidP="00E35CCE">
            <w:pPr>
              <w:rPr>
                <w:rFonts w:ascii="Arial Narrow" w:hAnsi="Arial Narrow"/>
                <w:b/>
                <w:iCs/>
                <w:sz w:val="20"/>
              </w:rPr>
            </w:pPr>
            <w:r w:rsidRPr="00BA2C13">
              <w:rPr>
                <w:rFonts w:ascii="Arial Narrow" w:hAnsi="Arial Narrow"/>
                <w:b/>
                <w:iCs/>
                <w:sz w:val="20"/>
              </w:rPr>
              <w:t>Incremental cost/extra QALY gained over 10 years</w:t>
            </w:r>
          </w:p>
        </w:tc>
        <w:tc>
          <w:tcPr>
            <w:tcW w:w="1517" w:type="pct"/>
            <w:tcBorders>
              <w:bottom w:val="triple" w:sz="4" w:space="0" w:color="auto"/>
            </w:tcBorders>
          </w:tcPr>
          <w:p w:rsidR="0033614E" w:rsidRPr="005C0DF8" w:rsidRDefault="005C0DF8" w:rsidP="00E35CCE">
            <w:pPr>
              <w:jc w:val="center"/>
              <w:rPr>
                <w:rFonts w:ascii="Arial Narrow" w:hAnsi="Arial Narrow"/>
                <w:b/>
                <w:iCs/>
                <w:sz w:val="20"/>
                <w:highlight w:val="black"/>
              </w:rPr>
            </w:pPr>
            <w:r>
              <w:rPr>
                <w:rFonts w:ascii="Arial Narrow" w:hAnsi="Arial Narrow"/>
                <w:b/>
                <w:iCs/>
                <w:noProof/>
                <w:color w:val="000000"/>
                <w:sz w:val="20"/>
                <w:highlight w:val="black"/>
              </w:rPr>
              <w:t>'''''''''''''''''''''''''''</w:t>
            </w:r>
          </w:p>
        </w:tc>
      </w:tr>
      <w:tr w:rsidR="0033614E" w:rsidRPr="008F0598" w:rsidTr="00E35CCE">
        <w:tc>
          <w:tcPr>
            <w:tcW w:w="5000" w:type="pct"/>
            <w:gridSpan w:val="5"/>
            <w:tcBorders>
              <w:top w:val="triple" w:sz="4" w:space="0" w:color="auto"/>
            </w:tcBorders>
          </w:tcPr>
          <w:p w:rsidR="0033614E" w:rsidRPr="005C0DF8" w:rsidRDefault="0033614E" w:rsidP="00E35CCE">
            <w:pPr>
              <w:rPr>
                <w:rFonts w:ascii="Arial Narrow" w:hAnsi="Arial Narrow"/>
                <w:b/>
                <w:sz w:val="20"/>
              </w:rPr>
            </w:pPr>
            <w:r w:rsidRPr="00BA2C13">
              <w:rPr>
                <w:rFonts w:ascii="Arial Narrow" w:hAnsi="Arial Narrow"/>
                <w:b/>
                <w:sz w:val="20"/>
              </w:rPr>
              <w:t>Results for the economic evaluation presented for the post-</w:t>
            </w:r>
            <w:proofErr w:type="spellStart"/>
            <w:r w:rsidRPr="00BA2C13">
              <w:rPr>
                <w:rFonts w:ascii="Arial Narrow" w:hAnsi="Arial Narrow"/>
                <w:b/>
                <w:sz w:val="20"/>
              </w:rPr>
              <w:t>docetaxel</w:t>
            </w:r>
            <w:proofErr w:type="spellEnd"/>
            <w:r w:rsidRPr="00BA2C13">
              <w:rPr>
                <w:rFonts w:ascii="Arial Narrow" w:hAnsi="Arial Narrow"/>
                <w:b/>
                <w:sz w:val="20"/>
              </w:rPr>
              <w:t xml:space="preserve"> population (November 2012)</w:t>
            </w:r>
          </w:p>
        </w:tc>
      </w:tr>
      <w:tr w:rsidR="0033614E" w:rsidRPr="008F0598" w:rsidTr="00E35CCE">
        <w:tc>
          <w:tcPr>
            <w:tcW w:w="962" w:type="pct"/>
            <w:gridSpan w:val="2"/>
            <w:vAlign w:val="center"/>
          </w:tcPr>
          <w:p w:rsidR="0033614E" w:rsidRPr="005C0DF8" w:rsidRDefault="0033614E" w:rsidP="00E35CCE">
            <w:pPr>
              <w:rPr>
                <w:rFonts w:ascii="Arial Narrow" w:hAnsi="Arial Narrow"/>
                <w:b/>
                <w:sz w:val="20"/>
              </w:rPr>
            </w:pPr>
            <w:r w:rsidRPr="00BA2C13">
              <w:rPr>
                <w:rFonts w:ascii="Arial Narrow" w:hAnsi="Arial Narrow"/>
                <w:sz w:val="20"/>
              </w:rPr>
              <w:t>Costs</w:t>
            </w:r>
          </w:p>
        </w:tc>
        <w:tc>
          <w:tcPr>
            <w:tcW w:w="1405" w:type="pct"/>
          </w:tcPr>
          <w:p w:rsidR="0033614E" w:rsidRPr="005C0DF8" w:rsidRDefault="005C0DF8" w:rsidP="00E35CCE">
            <w:pPr>
              <w:jc w:val="center"/>
              <w:rPr>
                <w:rFonts w:ascii="Arial Narrow" w:hAnsi="Arial Narrow"/>
                <w:sz w:val="20"/>
                <w:szCs w:val="16"/>
                <w:highlight w:val="black"/>
              </w:rPr>
            </w:pPr>
            <w:r>
              <w:rPr>
                <w:rFonts w:ascii="Arial Narrow" w:hAnsi="Arial Narrow"/>
                <w:noProof/>
                <w:color w:val="000000"/>
                <w:sz w:val="20"/>
                <w:szCs w:val="16"/>
                <w:highlight w:val="black"/>
              </w:rPr>
              <w:t>'''''''''''''''''''''''''''''</w:t>
            </w:r>
          </w:p>
        </w:tc>
        <w:tc>
          <w:tcPr>
            <w:tcW w:w="1116" w:type="pct"/>
          </w:tcPr>
          <w:p w:rsidR="0033614E" w:rsidRPr="005C0DF8" w:rsidRDefault="005C0DF8" w:rsidP="00E35CCE">
            <w:pPr>
              <w:jc w:val="center"/>
              <w:rPr>
                <w:rFonts w:ascii="Arial Narrow" w:hAnsi="Arial Narrow"/>
                <w:sz w:val="20"/>
                <w:szCs w:val="16"/>
                <w:highlight w:val="black"/>
              </w:rPr>
            </w:pPr>
            <w:r>
              <w:rPr>
                <w:rFonts w:ascii="Arial Narrow" w:hAnsi="Arial Narrow"/>
                <w:noProof/>
                <w:color w:val="000000"/>
                <w:sz w:val="20"/>
                <w:szCs w:val="16"/>
                <w:highlight w:val="black"/>
              </w:rPr>
              <w:t>''''''''''''''''''''''''''</w:t>
            </w:r>
          </w:p>
        </w:tc>
        <w:tc>
          <w:tcPr>
            <w:tcW w:w="1517" w:type="pct"/>
          </w:tcPr>
          <w:p w:rsidR="0033614E" w:rsidRPr="005C0DF8" w:rsidRDefault="005C0DF8" w:rsidP="00E35CCE">
            <w:pPr>
              <w:jc w:val="center"/>
              <w:rPr>
                <w:rFonts w:ascii="Arial Narrow" w:hAnsi="Arial Narrow"/>
                <w:sz w:val="20"/>
                <w:szCs w:val="16"/>
                <w:highlight w:val="black"/>
              </w:rPr>
            </w:pPr>
            <w:r>
              <w:rPr>
                <w:rFonts w:ascii="Arial Narrow" w:hAnsi="Arial Narrow"/>
                <w:noProof/>
                <w:color w:val="000000"/>
                <w:sz w:val="20"/>
                <w:szCs w:val="16"/>
                <w:highlight w:val="black"/>
              </w:rPr>
              <w:t>''''''''''''''''''''''''''</w:t>
            </w:r>
          </w:p>
        </w:tc>
      </w:tr>
      <w:tr w:rsidR="0033614E" w:rsidRPr="008F0598" w:rsidTr="00E35CCE">
        <w:tc>
          <w:tcPr>
            <w:tcW w:w="962" w:type="pct"/>
            <w:gridSpan w:val="2"/>
            <w:vAlign w:val="center"/>
          </w:tcPr>
          <w:p w:rsidR="0033614E" w:rsidRPr="005C0DF8" w:rsidRDefault="0033614E" w:rsidP="00E35CCE">
            <w:pPr>
              <w:rPr>
                <w:rFonts w:ascii="Arial Narrow" w:hAnsi="Arial Narrow"/>
                <w:b/>
                <w:sz w:val="20"/>
              </w:rPr>
            </w:pPr>
            <w:r w:rsidRPr="00BA2C13">
              <w:rPr>
                <w:rFonts w:ascii="Arial Narrow" w:hAnsi="Arial Narrow"/>
                <w:sz w:val="20"/>
              </w:rPr>
              <w:t>LYs</w:t>
            </w:r>
          </w:p>
        </w:tc>
        <w:tc>
          <w:tcPr>
            <w:tcW w:w="1405" w:type="pct"/>
          </w:tcPr>
          <w:p w:rsidR="0033614E" w:rsidRPr="005C0DF8" w:rsidRDefault="005C0DF8" w:rsidP="00E35CCE">
            <w:pPr>
              <w:jc w:val="center"/>
              <w:rPr>
                <w:rFonts w:ascii="Arial Narrow" w:hAnsi="Arial Narrow"/>
                <w:sz w:val="20"/>
                <w:szCs w:val="16"/>
                <w:highlight w:val="black"/>
              </w:rPr>
            </w:pPr>
            <w:r>
              <w:rPr>
                <w:rFonts w:ascii="Arial Narrow" w:hAnsi="Arial Narrow"/>
                <w:noProof/>
                <w:color w:val="000000"/>
                <w:sz w:val="20"/>
                <w:szCs w:val="16"/>
                <w:highlight w:val="black"/>
              </w:rPr>
              <w:t>''''''''''''''</w:t>
            </w:r>
          </w:p>
        </w:tc>
        <w:tc>
          <w:tcPr>
            <w:tcW w:w="1116" w:type="pct"/>
          </w:tcPr>
          <w:p w:rsidR="0033614E" w:rsidRPr="005C0DF8" w:rsidRDefault="005C0DF8" w:rsidP="00E35CCE">
            <w:pPr>
              <w:jc w:val="center"/>
              <w:rPr>
                <w:rFonts w:ascii="Arial Narrow" w:hAnsi="Arial Narrow"/>
                <w:sz w:val="20"/>
                <w:szCs w:val="16"/>
                <w:highlight w:val="black"/>
              </w:rPr>
            </w:pPr>
            <w:r>
              <w:rPr>
                <w:rFonts w:ascii="Arial Narrow" w:hAnsi="Arial Narrow"/>
                <w:noProof/>
                <w:color w:val="000000"/>
                <w:sz w:val="20"/>
                <w:szCs w:val="16"/>
                <w:highlight w:val="black"/>
              </w:rPr>
              <w:t>''''''''''''''</w:t>
            </w:r>
          </w:p>
        </w:tc>
        <w:tc>
          <w:tcPr>
            <w:tcW w:w="1517" w:type="pct"/>
          </w:tcPr>
          <w:p w:rsidR="0033614E" w:rsidRPr="005C0DF8" w:rsidRDefault="005C0DF8" w:rsidP="00E35CCE">
            <w:pPr>
              <w:jc w:val="center"/>
              <w:rPr>
                <w:rFonts w:ascii="Arial Narrow" w:hAnsi="Arial Narrow"/>
                <w:sz w:val="20"/>
                <w:szCs w:val="16"/>
                <w:highlight w:val="black"/>
              </w:rPr>
            </w:pPr>
            <w:r>
              <w:rPr>
                <w:rFonts w:ascii="Arial Narrow" w:hAnsi="Arial Narrow"/>
                <w:noProof/>
                <w:color w:val="000000"/>
                <w:sz w:val="20"/>
                <w:szCs w:val="16"/>
                <w:highlight w:val="black"/>
              </w:rPr>
              <w:t>''''''''''''''</w:t>
            </w:r>
          </w:p>
        </w:tc>
      </w:tr>
      <w:tr w:rsidR="0033614E" w:rsidRPr="008F0598" w:rsidTr="00E35CCE">
        <w:tc>
          <w:tcPr>
            <w:tcW w:w="962" w:type="pct"/>
            <w:gridSpan w:val="2"/>
            <w:vAlign w:val="center"/>
          </w:tcPr>
          <w:p w:rsidR="0033614E" w:rsidRPr="005C0DF8" w:rsidRDefault="0033614E" w:rsidP="00E35CCE">
            <w:pPr>
              <w:rPr>
                <w:rFonts w:ascii="Arial Narrow" w:hAnsi="Arial Narrow"/>
                <w:b/>
                <w:sz w:val="20"/>
              </w:rPr>
            </w:pPr>
            <w:r w:rsidRPr="00BA2C13">
              <w:rPr>
                <w:rFonts w:ascii="Arial Narrow" w:hAnsi="Arial Narrow"/>
                <w:sz w:val="20"/>
              </w:rPr>
              <w:t>QALYs</w:t>
            </w:r>
          </w:p>
        </w:tc>
        <w:tc>
          <w:tcPr>
            <w:tcW w:w="1405" w:type="pct"/>
          </w:tcPr>
          <w:p w:rsidR="0033614E" w:rsidRPr="005C0DF8" w:rsidRDefault="005C0DF8" w:rsidP="00E35CCE">
            <w:pPr>
              <w:jc w:val="center"/>
              <w:rPr>
                <w:rFonts w:ascii="Arial Narrow" w:hAnsi="Arial Narrow"/>
                <w:sz w:val="20"/>
                <w:szCs w:val="16"/>
                <w:highlight w:val="black"/>
              </w:rPr>
            </w:pPr>
            <w:r>
              <w:rPr>
                <w:rFonts w:ascii="Arial Narrow" w:hAnsi="Arial Narrow"/>
                <w:noProof/>
                <w:color w:val="000000"/>
                <w:sz w:val="20"/>
                <w:szCs w:val="16"/>
                <w:highlight w:val="black"/>
              </w:rPr>
              <w:t>''''''''''''</w:t>
            </w:r>
          </w:p>
        </w:tc>
        <w:tc>
          <w:tcPr>
            <w:tcW w:w="1116" w:type="pct"/>
          </w:tcPr>
          <w:p w:rsidR="0033614E" w:rsidRPr="005C0DF8" w:rsidRDefault="005C0DF8" w:rsidP="00E35CCE">
            <w:pPr>
              <w:jc w:val="center"/>
              <w:rPr>
                <w:rFonts w:ascii="Arial Narrow" w:hAnsi="Arial Narrow"/>
                <w:sz w:val="20"/>
                <w:szCs w:val="16"/>
                <w:highlight w:val="black"/>
              </w:rPr>
            </w:pPr>
            <w:r>
              <w:rPr>
                <w:rFonts w:ascii="Arial Narrow" w:hAnsi="Arial Narrow"/>
                <w:noProof/>
                <w:color w:val="000000"/>
                <w:sz w:val="20"/>
                <w:szCs w:val="16"/>
                <w:highlight w:val="black"/>
              </w:rPr>
              <w:t>''''''''''''''</w:t>
            </w:r>
          </w:p>
        </w:tc>
        <w:tc>
          <w:tcPr>
            <w:tcW w:w="1517" w:type="pct"/>
          </w:tcPr>
          <w:p w:rsidR="0033614E" w:rsidRPr="005C0DF8" w:rsidRDefault="005C0DF8" w:rsidP="00E35CCE">
            <w:pPr>
              <w:jc w:val="center"/>
              <w:rPr>
                <w:rFonts w:ascii="Arial Narrow" w:hAnsi="Arial Narrow"/>
                <w:sz w:val="20"/>
                <w:szCs w:val="16"/>
                <w:highlight w:val="black"/>
              </w:rPr>
            </w:pPr>
            <w:r>
              <w:rPr>
                <w:rFonts w:ascii="Arial Narrow" w:hAnsi="Arial Narrow"/>
                <w:noProof/>
                <w:color w:val="000000"/>
                <w:sz w:val="20"/>
                <w:szCs w:val="16"/>
                <w:highlight w:val="black"/>
              </w:rPr>
              <w:t>''''''''''''''</w:t>
            </w:r>
          </w:p>
        </w:tc>
      </w:tr>
      <w:tr w:rsidR="0033614E" w:rsidRPr="008F0598" w:rsidTr="00E35CCE">
        <w:tc>
          <w:tcPr>
            <w:tcW w:w="3483" w:type="pct"/>
            <w:gridSpan w:val="4"/>
            <w:vAlign w:val="center"/>
          </w:tcPr>
          <w:p w:rsidR="0033614E" w:rsidRPr="005C0DF8" w:rsidRDefault="0033614E" w:rsidP="00E35CCE">
            <w:pPr>
              <w:rPr>
                <w:rFonts w:ascii="Arial Narrow" w:hAnsi="Arial Narrow"/>
                <w:b/>
                <w:sz w:val="20"/>
              </w:rPr>
            </w:pPr>
            <w:r w:rsidRPr="00BA2C13">
              <w:rPr>
                <w:rFonts w:ascii="Arial Narrow" w:hAnsi="Arial Narrow"/>
                <w:b/>
                <w:sz w:val="20"/>
              </w:rPr>
              <w:t>Incremental cost/extra LY gained over 7 years</w:t>
            </w:r>
          </w:p>
        </w:tc>
        <w:tc>
          <w:tcPr>
            <w:tcW w:w="1517" w:type="pct"/>
          </w:tcPr>
          <w:p w:rsidR="0033614E" w:rsidRPr="005C0DF8" w:rsidRDefault="005C0DF8" w:rsidP="00E35CCE">
            <w:pPr>
              <w:jc w:val="center"/>
              <w:rPr>
                <w:rFonts w:ascii="Arial Narrow" w:hAnsi="Arial Narrow"/>
                <w:b/>
                <w:sz w:val="20"/>
                <w:highlight w:val="black"/>
              </w:rPr>
            </w:pPr>
            <w:r>
              <w:rPr>
                <w:rFonts w:ascii="Arial Narrow" w:hAnsi="Arial Narrow"/>
                <w:b/>
                <w:noProof/>
                <w:color w:val="000000"/>
                <w:sz w:val="20"/>
                <w:highlight w:val="black"/>
              </w:rPr>
              <w:t>'''''''''''''''</w:t>
            </w:r>
          </w:p>
        </w:tc>
      </w:tr>
      <w:tr w:rsidR="0033614E" w:rsidRPr="008F0598" w:rsidTr="00E35CCE">
        <w:tc>
          <w:tcPr>
            <w:tcW w:w="3483" w:type="pct"/>
            <w:gridSpan w:val="4"/>
            <w:vAlign w:val="center"/>
          </w:tcPr>
          <w:p w:rsidR="0033614E" w:rsidRPr="005C0DF8" w:rsidRDefault="0033614E" w:rsidP="00E35CCE">
            <w:pPr>
              <w:rPr>
                <w:rFonts w:ascii="Arial Narrow" w:hAnsi="Arial Narrow"/>
                <w:b/>
                <w:sz w:val="20"/>
              </w:rPr>
            </w:pPr>
            <w:r w:rsidRPr="00BA2C13">
              <w:rPr>
                <w:rFonts w:ascii="Arial Narrow" w:hAnsi="Arial Narrow"/>
                <w:b/>
                <w:sz w:val="20"/>
              </w:rPr>
              <w:t>Incremental cost/extra QALY gained over 7 years</w:t>
            </w:r>
          </w:p>
        </w:tc>
        <w:tc>
          <w:tcPr>
            <w:tcW w:w="1517" w:type="pct"/>
          </w:tcPr>
          <w:p w:rsidR="0033614E" w:rsidRPr="005C0DF8" w:rsidRDefault="005C0DF8" w:rsidP="00E35CCE">
            <w:pPr>
              <w:jc w:val="center"/>
              <w:rPr>
                <w:rFonts w:ascii="Arial Narrow" w:hAnsi="Arial Narrow"/>
                <w:b/>
                <w:sz w:val="20"/>
                <w:highlight w:val="black"/>
              </w:rPr>
            </w:pPr>
            <w:r>
              <w:rPr>
                <w:rFonts w:ascii="Arial Narrow" w:hAnsi="Arial Narrow"/>
                <w:b/>
                <w:noProof/>
                <w:color w:val="000000"/>
                <w:sz w:val="20"/>
                <w:highlight w:val="black"/>
              </w:rPr>
              <w:t>'''''''''''''''</w:t>
            </w:r>
          </w:p>
        </w:tc>
      </w:tr>
    </w:tbl>
    <w:p w:rsidR="0033614E" w:rsidRPr="005C0DF8" w:rsidRDefault="005C0DF8" w:rsidP="00E35CCE">
      <w:pPr>
        <w:pStyle w:val="TableFooter"/>
        <w:tabs>
          <w:tab w:val="left" w:pos="180"/>
        </w:tabs>
        <w:ind w:left="720" w:hanging="720"/>
        <w:rPr>
          <w:iCs/>
          <w:highlight w:val="black"/>
        </w:rPr>
      </w:pPr>
      <w:r>
        <w:rPr>
          <w:iCs/>
          <w:noProof/>
          <w:color w:val="000000"/>
          <w:highlight w:val="black"/>
          <w:vertAlign w:val="superscript"/>
        </w:rPr>
        <w:t>''' '''''''''''''''''' ''''''''''''''''''''' ''''' ''''''''' '''''''' ''''''''''''''''''''''''' '''''''''''''''''''''''''''''''''' ''''''''''''''''' '''''''''''''''''' ''''''' '''''''''''''''''''''''''''''' '''''''''''''''''''' ''''''''''''''''''''' '''''''''''' '''' ''''''      ''''''''''''''''''''''''' '''''''''''''' ''''''''''' '''''''''''''''' '''''''''''''' ''''' ''''''''' '''''''''''''''''''''''''''''''''''</w:t>
      </w:r>
    </w:p>
    <w:p w:rsidR="0033614E" w:rsidRPr="005C0DF8" w:rsidRDefault="005C0DF8" w:rsidP="00E35CCE">
      <w:pPr>
        <w:pStyle w:val="TableFooter"/>
        <w:tabs>
          <w:tab w:val="left" w:pos="180"/>
        </w:tabs>
        <w:rPr>
          <w:iCs/>
          <w:highlight w:val="black"/>
        </w:rPr>
      </w:pPr>
      <w:r>
        <w:rPr>
          <w:iCs/>
          <w:noProof/>
          <w:color w:val="000000"/>
          <w:highlight w:val="black"/>
          <w:vertAlign w:val="superscript"/>
        </w:rPr>
        <w:t>'''  ''''''''''''''' ''''''''''''''''' '''''''''''''''''''' ''''' ''''''' ''''''''''''''''''''''''''''''''''' '''''''''''''''''''''''''''</w:t>
      </w:r>
    </w:p>
    <w:p w:rsidR="0033614E" w:rsidRPr="005C0DF8" w:rsidRDefault="005C0DF8" w:rsidP="00E35CCE">
      <w:pPr>
        <w:pStyle w:val="TableFooter"/>
        <w:ind w:firstLine="720"/>
        <w:rPr>
          <w:highlight w:val="black"/>
        </w:rPr>
      </w:pPr>
      <w:r>
        <w:rPr>
          <w:noProof/>
          <w:color w:val="000000"/>
          <w:highlight w:val="black"/>
        </w:rPr>
        <w:t>'''''''''''''''''' ''''''''''''''' '''''''''' '''''''''' '''''''' '''''''''' '''''''''' '''''''''''''''''''''''''' ''''' '''''''' '''''''''''''''''''''''''</w:t>
      </w:r>
    </w:p>
    <w:p w:rsidR="007E0C4B" w:rsidRPr="005C0DF8" w:rsidRDefault="005C0DF8" w:rsidP="00E35CCE">
      <w:pPr>
        <w:pStyle w:val="TableFooter"/>
        <w:ind w:firstLine="720"/>
        <w:rPr>
          <w:highlight w:val="black"/>
        </w:rPr>
      </w:pPr>
      <w:r>
        <w:rPr>
          <w:noProof/>
          <w:color w:val="000000"/>
          <w:highlight w:val="black"/>
        </w:rPr>
        <w:t>''''''' '''''''''''''' '''' '''''''' ''''''''''''''''''''''''''''' ''''''''''''''''''''''''</w:t>
      </w:r>
    </w:p>
    <w:p w:rsidR="0033614E" w:rsidRPr="00E35CCE" w:rsidRDefault="0033614E" w:rsidP="00E35CCE">
      <w:pPr>
        <w:rPr>
          <w:iCs/>
        </w:rPr>
      </w:pPr>
    </w:p>
    <w:p w:rsidR="0033614E" w:rsidRPr="00E35CCE" w:rsidRDefault="0033614E" w:rsidP="00E35CCE">
      <w:pPr>
        <w:pStyle w:val="ListParagraph"/>
        <w:numPr>
          <w:ilvl w:val="1"/>
          <w:numId w:val="25"/>
        </w:numPr>
        <w:rPr>
          <w:rFonts w:ascii="Arial" w:hAnsi="Arial" w:cs="Arial"/>
          <w:iCs/>
          <w:sz w:val="22"/>
        </w:rPr>
      </w:pPr>
      <w:r w:rsidRPr="00E35CCE">
        <w:rPr>
          <w:rFonts w:ascii="Arial" w:hAnsi="Arial" w:cs="Arial"/>
          <w:iCs/>
          <w:sz w:val="22"/>
        </w:rPr>
        <w:t xml:space="preserve">The key driver of the differences in the total cost of </w:t>
      </w:r>
      <w:proofErr w:type="spellStart"/>
      <w:r w:rsidRPr="00E35CCE">
        <w:rPr>
          <w:rFonts w:ascii="Arial" w:hAnsi="Arial" w:cs="Arial"/>
          <w:iCs/>
          <w:sz w:val="22"/>
        </w:rPr>
        <w:t>abiraterone</w:t>
      </w:r>
      <w:proofErr w:type="spellEnd"/>
      <w:r w:rsidRPr="00E35CCE">
        <w:rPr>
          <w:rFonts w:ascii="Arial" w:hAnsi="Arial" w:cs="Arial"/>
          <w:iCs/>
          <w:sz w:val="22"/>
        </w:rPr>
        <w:t xml:space="preserve"> in the current and post-</w:t>
      </w:r>
      <w:proofErr w:type="spellStart"/>
      <w:r w:rsidRPr="00E35CCE">
        <w:rPr>
          <w:rFonts w:ascii="Arial" w:hAnsi="Arial" w:cs="Arial"/>
          <w:iCs/>
          <w:sz w:val="22"/>
        </w:rPr>
        <w:t>docetaxel</w:t>
      </w:r>
      <w:proofErr w:type="spellEnd"/>
      <w:r w:rsidRPr="00E35CCE">
        <w:rPr>
          <w:rFonts w:ascii="Arial" w:hAnsi="Arial" w:cs="Arial"/>
          <w:iCs/>
          <w:sz w:val="22"/>
        </w:rPr>
        <w:t xml:space="preserve"> models is the mean duration of treatment - </w:t>
      </w:r>
      <w:r w:rsidR="005C0DF8">
        <w:rPr>
          <w:rFonts w:ascii="Arial" w:hAnsi="Arial" w:cs="Arial"/>
          <w:iCs/>
          <w:noProof/>
          <w:color w:val="000000"/>
          <w:sz w:val="22"/>
          <w:highlight w:val="black"/>
        </w:rPr>
        <w:t>''''''''' ''''''''''''''''''</w:t>
      </w:r>
      <w:r w:rsidRPr="00E35CCE">
        <w:rPr>
          <w:rFonts w:ascii="Arial" w:hAnsi="Arial" w:cs="Arial"/>
          <w:iCs/>
          <w:sz w:val="22"/>
        </w:rPr>
        <w:t xml:space="preserve"> </w:t>
      </w:r>
      <w:r w:rsidRPr="00E35CCE">
        <w:rPr>
          <w:rFonts w:ascii="Arial" w:hAnsi="Arial" w:cs="Arial"/>
          <w:iCs/>
          <w:sz w:val="22"/>
          <w:u w:val="single"/>
        </w:rPr>
        <w:t>estimated</w:t>
      </w:r>
      <w:r w:rsidRPr="00E35CCE">
        <w:rPr>
          <w:rFonts w:ascii="Arial" w:hAnsi="Arial" w:cs="Arial"/>
          <w:iCs/>
          <w:sz w:val="22"/>
        </w:rPr>
        <w:t xml:space="preserve"> in the current model versus </w:t>
      </w:r>
      <w:r w:rsidR="005C0DF8">
        <w:rPr>
          <w:rFonts w:ascii="Arial" w:hAnsi="Arial" w:cs="Arial"/>
          <w:iCs/>
          <w:noProof/>
          <w:color w:val="000000"/>
          <w:sz w:val="22"/>
          <w:highlight w:val="black"/>
        </w:rPr>
        <w:t>'''''''' '''''''''''''''''''</w:t>
      </w:r>
      <w:r w:rsidRPr="00E35CCE">
        <w:rPr>
          <w:rFonts w:ascii="Arial" w:hAnsi="Arial" w:cs="Arial"/>
          <w:iCs/>
          <w:sz w:val="22"/>
        </w:rPr>
        <w:t xml:space="preserve"> </w:t>
      </w:r>
      <w:r w:rsidRPr="00E35CCE">
        <w:rPr>
          <w:rFonts w:ascii="Arial" w:hAnsi="Arial" w:cs="Arial"/>
          <w:iCs/>
          <w:sz w:val="22"/>
          <w:u w:val="single"/>
        </w:rPr>
        <w:t>observed</w:t>
      </w:r>
      <w:r w:rsidRPr="00E35CCE">
        <w:rPr>
          <w:rFonts w:ascii="Arial" w:hAnsi="Arial" w:cs="Arial"/>
          <w:iCs/>
          <w:sz w:val="22"/>
        </w:rPr>
        <w:t xml:space="preserve"> in the post-</w:t>
      </w:r>
      <w:proofErr w:type="spellStart"/>
      <w:r w:rsidRPr="00E35CCE">
        <w:rPr>
          <w:rFonts w:ascii="Arial" w:hAnsi="Arial" w:cs="Arial"/>
          <w:iCs/>
          <w:sz w:val="22"/>
        </w:rPr>
        <w:t>docetaxel</w:t>
      </w:r>
      <w:proofErr w:type="spellEnd"/>
      <w:r w:rsidRPr="00E35CCE">
        <w:rPr>
          <w:rFonts w:ascii="Arial" w:hAnsi="Arial" w:cs="Arial"/>
          <w:iCs/>
          <w:sz w:val="22"/>
        </w:rPr>
        <w:t xml:space="preserve"> setting.  The model estimates an overall survival benefit of </w:t>
      </w:r>
      <w:r w:rsidR="005C0DF8">
        <w:rPr>
          <w:rFonts w:ascii="Arial" w:hAnsi="Arial" w:cs="Arial"/>
          <w:iCs/>
          <w:noProof/>
          <w:color w:val="000000"/>
          <w:sz w:val="22"/>
          <w:highlight w:val="black"/>
        </w:rPr>
        <w:t>'''''' ''''''''''''''''''</w:t>
      </w:r>
      <w:r w:rsidRPr="00E35CCE">
        <w:rPr>
          <w:rFonts w:ascii="Arial" w:hAnsi="Arial" w:cs="Arial"/>
          <w:iCs/>
          <w:sz w:val="22"/>
        </w:rPr>
        <w:t xml:space="preserve"> compared with placebo in the pre-</w:t>
      </w:r>
      <w:proofErr w:type="spellStart"/>
      <w:r w:rsidRPr="00E35CCE">
        <w:rPr>
          <w:rFonts w:ascii="Arial" w:hAnsi="Arial" w:cs="Arial"/>
          <w:iCs/>
          <w:sz w:val="22"/>
        </w:rPr>
        <w:t>docetaxel</w:t>
      </w:r>
      <w:proofErr w:type="spellEnd"/>
      <w:r w:rsidRPr="00E35CCE">
        <w:rPr>
          <w:rFonts w:ascii="Arial" w:hAnsi="Arial" w:cs="Arial"/>
          <w:iCs/>
          <w:sz w:val="22"/>
        </w:rPr>
        <w:t xml:space="preserve"> and</w:t>
      </w:r>
      <w:r w:rsidR="005C0DF8">
        <w:rPr>
          <w:rFonts w:ascii="Arial" w:hAnsi="Arial" w:cs="Arial"/>
          <w:iCs/>
          <w:noProof/>
          <w:color w:val="000000"/>
          <w:sz w:val="22"/>
          <w:highlight w:val="black"/>
        </w:rPr>
        <w:t xml:space="preserve"> '''' ''''''''''''''''''' </w:t>
      </w:r>
      <w:r w:rsidRPr="00E35CCE">
        <w:rPr>
          <w:rFonts w:ascii="Arial" w:hAnsi="Arial" w:cs="Arial"/>
          <w:iCs/>
          <w:sz w:val="22"/>
        </w:rPr>
        <w:t xml:space="preserve">compared with 50:50 </w:t>
      </w:r>
      <w:proofErr w:type="spellStart"/>
      <w:r w:rsidRPr="00E35CCE">
        <w:rPr>
          <w:rFonts w:ascii="Arial" w:hAnsi="Arial" w:cs="Arial"/>
          <w:iCs/>
          <w:sz w:val="22"/>
        </w:rPr>
        <w:t>cabazitaxel</w:t>
      </w:r>
      <w:proofErr w:type="gramStart"/>
      <w:r w:rsidRPr="00E35CCE">
        <w:rPr>
          <w:rFonts w:ascii="Arial" w:hAnsi="Arial" w:cs="Arial"/>
          <w:iCs/>
          <w:sz w:val="22"/>
        </w:rPr>
        <w:t>:BSC</w:t>
      </w:r>
      <w:proofErr w:type="spellEnd"/>
      <w:proofErr w:type="gramEnd"/>
      <w:r w:rsidRPr="00E35CCE">
        <w:rPr>
          <w:rFonts w:ascii="Arial" w:hAnsi="Arial" w:cs="Arial"/>
          <w:iCs/>
          <w:sz w:val="22"/>
        </w:rPr>
        <w:t xml:space="preserve"> in the post-</w:t>
      </w:r>
      <w:proofErr w:type="spellStart"/>
      <w:r w:rsidRPr="00E35CCE">
        <w:rPr>
          <w:rFonts w:ascii="Arial" w:hAnsi="Arial" w:cs="Arial"/>
          <w:iCs/>
          <w:sz w:val="22"/>
        </w:rPr>
        <w:t>docetaxel</w:t>
      </w:r>
      <w:proofErr w:type="spellEnd"/>
      <w:r w:rsidRPr="00E35CCE">
        <w:rPr>
          <w:rFonts w:ascii="Arial" w:hAnsi="Arial" w:cs="Arial"/>
          <w:iCs/>
          <w:sz w:val="22"/>
        </w:rPr>
        <w:t xml:space="preserve"> settings </w:t>
      </w:r>
      <w:r w:rsidR="005C0DF8">
        <w:rPr>
          <w:rFonts w:ascii="Arial" w:hAnsi="Arial" w:cs="Arial"/>
          <w:iCs/>
          <w:noProof/>
          <w:color w:val="000000"/>
          <w:sz w:val="22"/>
          <w:highlight w:val="black"/>
        </w:rPr>
        <w:t>''''' '''''''''''''''' ''''''''''''''''' ''''''''''''</w:t>
      </w:r>
      <w:r w:rsidR="00BA2C13" w:rsidRPr="00BA2C13">
        <w:rPr>
          <w:rStyle w:val="CommentReference"/>
        </w:rPr>
        <w:t xml:space="preserve"> </w:t>
      </w:r>
      <w:r w:rsidRPr="00E35CCE">
        <w:rPr>
          <w:rFonts w:ascii="Arial" w:hAnsi="Arial" w:cs="Arial"/>
          <w:iCs/>
          <w:sz w:val="22"/>
        </w:rPr>
        <w:t>.</w:t>
      </w:r>
    </w:p>
    <w:p w:rsidR="0033614E" w:rsidRPr="00E35CCE" w:rsidRDefault="0033614E" w:rsidP="00E35CCE">
      <w:pPr>
        <w:rPr>
          <w:rFonts w:ascii="Arial" w:hAnsi="Arial" w:cs="Arial"/>
          <w:iCs/>
          <w:sz w:val="22"/>
        </w:rPr>
      </w:pPr>
    </w:p>
    <w:p w:rsidR="00D22827" w:rsidRPr="005C0DF8" w:rsidRDefault="003474E8" w:rsidP="00E35CCE">
      <w:pPr>
        <w:pStyle w:val="ListParagraph"/>
        <w:numPr>
          <w:ilvl w:val="1"/>
          <w:numId w:val="25"/>
        </w:numPr>
        <w:ind w:left="709" w:hanging="709"/>
        <w:jc w:val="both"/>
        <w:rPr>
          <w:rFonts w:ascii="Arial" w:hAnsi="Arial" w:cs="Arial"/>
          <w:sz w:val="22"/>
        </w:rPr>
      </w:pPr>
      <w:r w:rsidRPr="00E35CCE">
        <w:rPr>
          <w:rFonts w:ascii="Arial" w:hAnsi="Arial" w:cs="Arial"/>
          <w:sz w:val="22"/>
        </w:rPr>
        <w:t xml:space="preserve">To </w:t>
      </w:r>
      <w:r w:rsidR="0033614E" w:rsidRPr="00E35CCE">
        <w:rPr>
          <w:rFonts w:ascii="Arial" w:hAnsi="Arial" w:cs="Arial"/>
          <w:sz w:val="22"/>
        </w:rPr>
        <w:t>analys</w:t>
      </w:r>
      <w:r w:rsidRPr="00E35CCE">
        <w:rPr>
          <w:rFonts w:ascii="Arial" w:hAnsi="Arial" w:cs="Arial"/>
          <w:sz w:val="22"/>
        </w:rPr>
        <w:t>e</w:t>
      </w:r>
      <w:r w:rsidR="0033614E" w:rsidRPr="00E35CCE">
        <w:rPr>
          <w:rFonts w:ascii="Arial" w:hAnsi="Arial" w:cs="Arial"/>
          <w:sz w:val="22"/>
        </w:rPr>
        <w:t xml:space="preserve"> the ITT population, the submission utilise</w:t>
      </w:r>
      <w:r w:rsidRPr="00E35CCE">
        <w:rPr>
          <w:rFonts w:ascii="Arial" w:hAnsi="Arial" w:cs="Arial"/>
          <w:sz w:val="22"/>
        </w:rPr>
        <w:t>d</w:t>
      </w:r>
      <w:r w:rsidR="0033614E" w:rsidRPr="00E35CCE">
        <w:rPr>
          <w:rFonts w:ascii="Arial" w:hAnsi="Arial" w:cs="Arial"/>
          <w:sz w:val="22"/>
        </w:rPr>
        <w:t xml:space="preserve"> a log-logistic and gamma function to extrapolate “free of progression” and “overall survival”. As shown in Figure C.2.2.3 (p44) of the Commentary, the application of these functions leads to an anomaly of negative patients in the “Progressing Disease” health-state by Year 4. The evaluation attempted to correct for this using exponential and </w:t>
      </w:r>
      <w:proofErr w:type="spellStart"/>
      <w:r w:rsidR="0033614E" w:rsidRPr="00E35CCE">
        <w:rPr>
          <w:rFonts w:ascii="Arial" w:hAnsi="Arial" w:cs="Arial"/>
          <w:sz w:val="22"/>
        </w:rPr>
        <w:t>Weibull</w:t>
      </w:r>
      <w:proofErr w:type="spellEnd"/>
      <w:r w:rsidR="0033614E" w:rsidRPr="00E35CCE">
        <w:rPr>
          <w:rFonts w:ascii="Arial" w:hAnsi="Arial" w:cs="Arial"/>
          <w:sz w:val="22"/>
        </w:rPr>
        <w:t xml:space="preserve"> functions for “free of progression” and “overall survival”.</w:t>
      </w:r>
      <w:r w:rsidR="005C0DF8">
        <w:rPr>
          <w:rFonts w:ascii="Arial" w:hAnsi="Arial" w:cs="Arial"/>
          <w:noProof/>
          <w:color w:val="000000"/>
          <w:sz w:val="22"/>
          <w:highlight w:val="black"/>
        </w:rPr>
        <w:t xml:space="preserve"> </w:t>
      </w:r>
    </w:p>
    <w:p w:rsidR="00BB7EC3" w:rsidRPr="00E35CCE" w:rsidRDefault="00BB7EC3" w:rsidP="00E35CCE">
      <w:pPr>
        <w:pStyle w:val="ListParagraph"/>
        <w:ind w:left="709"/>
        <w:jc w:val="both"/>
        <w:rPr>
          <w:rFonts w:ascii="Arial" w:hAnsi="Arial"/>
          <w:sz w:val="22"/>
          <w:szCs w:val="22"/>
        </w:rPr>
      </w:pPr>
    </w:p>
    <w:p w:rsidR="0033614E" w:rsidRPr="00E35CCE" w:rsidRDefault="004037D3" w:rsidP="00E35CCE">
      <w:pPr>
        <w:pStyle w:val="ListParagraph"/>
        <w:numPr>
          <w:ilvl w:val="1"/>
          <w:numId w:val="25"/>
        </w:numPr>
        <w:jc w:val="both"/>
        <w:rPr>
          <w:rFonts w:ascii="Arial" w:hAnsi="Arial" w:cs="Arial"/>
          <w:sz w:val="20"/>
          <w:szCs w:val="22"/>
        </w:rPr>
      </w:pPr>
      <w:r w:rsidRPr="00E35CCE">
        <w:rPr>
          <w:rFonts w:ascii="Arial" w:hAnsi="Arial"/>
          <w:sz w:val="22"/>
          <w:szCs w:val="22"/>
        </w:rPr>
        <w:t xml:space="preserve">The ESC also noted that the ICER accepted by PBAC for use of </w:t>
      </w:r>
      <w:proofErr w:type="spellStart"/>
      <w:r w:rsidRPr="00E35CCE">
        <w:rPr>
          <w:rFonts w:ascii="Arial" w:hAnsi="Arial"/>
          <w:sz w:val="22"/>
          <w:szCs w:val="22"/>
        </w:rPr>
        <w:t>abiraterone</w:t>
      </w:r>
      <w:proofErr w:type="spellEnd"/>
      <w:r w:rsidRPr="00E35CCE">
        <w:rPr>
          <w:rFonts w:ascii="Arial" w:hAnsi="Arial"/>
          <w:sz w:val="22"/>
          <w:szCs w:val="22"/>
        </w:rPr>
        <w:t xml:space="preserve"> in the treatment of metastatic prostatic cancer post chemotherapy was approximately $</w:t>
      </w:r>
      <w:r w:rsidR="008F0598">
        <w:rPr>
          <w:rFonts w:ascii="Arial" w:hAnsi="Arial"/>
          <w:sz w:val="22"/>
          <w:szCs w:val="22"/>
        </w:rPr>
        <w:t>45,000 - $75,000</w:t>
      </w:r>
      <w:r w:rsidRPr="00E35CCE">
        <w:rPr>
          <w:rFonts w:ascii="Arial" w:hAnsi="Arial"/>
          <w:sz w:val="22"/>
          <w:szCs w:val="22"/>
        </w:rPr>
        <w:t xml:space="preserve">/QALY.  The ESC therefore questioned why a substantially higher ICER should be accepted in the current submission as being cost-effective. Thus, sensitivity analyses on the ICER for the ITT population </w:t>
      </w:r>
      <w:r w:rsidR="003474E8" w:rsidRPr="00E35CCE">
        <w:rPr>
          <w:rFonts w:ascii="Arial" w:hAnsi="Arial"/>
          <w:sz w:val="22"/>
          <w:szCs w:val="22"/>
        </w:rPr>
        <w:t xml:space="preserve">were </w:t>
      </w:r>
      <w:r w:rsidRPr="00E35CCE">
        <w:rPr>
          <w:rFonts w:ascii="Arial" w:hAnsi="Arial"/>
          <w:sz w:val="22"/>
          <w:szCs w:val="22"/>
        </w:rPr>
        <w:t xml:space="preserve">performed to assess what price for </w:t>
      </w:r>
      <w:proofErr w:type="spellStart"/>
      <w:r w:rsidRPr="00E35CCE">
        <w:rPr>
          <w:rFonts w:ascii="Arial" w:hAnsi="Arial"/>
          <w:sz w:val="22"/>
          <w:szCs w:val="22"/>
        </w:rPr>
        <w:t>abiraterone</w:t>
      </w:r>
      <w:proofErr w:type="spellEnd"/>
      <w:r w:rsidRPr="00E35CCE">
        <w:rPr>
          <w:rFonts w:ascii="Arial" w:hAnsi="Arial"/>
          <w:sz w:val="22"/>
          <w:szCs w:val="22"/>
        </w:rPr>
        <w:t xml:space="preserve"> would be required to achieve an ICER between $45K-$</w:t>
      </w:r>
      <w:r w:rsidR="008F0598">
        <w:rPr>
          <w:rFonts w:ascii="Arial" w:hAnsi="Arial"/>
          <w:sz w:val="22"/>
          <w:szCs w:val="22"/>
        </w:rPr>
        <w:t>75</w:t>
      </w:r>
      <w:r w:rsidRPr="00E35CCE">
        <w:rPr>
          <w:rFonts w:ascii="Arial" w:hAnsi="Arial"/>
          <w:sz w:val="22"/>
          <w:szCs w:val="22"/>
        </w:rPr>
        <w:t xml:space="preserve">K/QALY, </w:t>
      </w:r>
      <w:r w:rsidR="008F0598" w:rsidRPr="00E35CCE">
        <w:rPr>
          <w:rFonts w:ascii="Arial" w:hAnsi="Arial"/>
          <w:sz w:val="22"/>
          <w:szCs w:val="22"/>
        </w:rPr>
        <w:t>assuming that PBAC is prepared to accept the analysis based on a non-statistically significant difference in overall survival for the ITT population in the trial</w:t>
      </w:r>
      <w:r w:rsidR="008F0598" w:rsidRPr="00E35CCE">
        <w:rPr>
          <w:rFonts w:ascii="Arial" w:hAnsi="Arial" w:cs="Arial"/>
          <w:sz w:val="22"/>
        </w:rPr>
        <w:t>.</w:t>
      </w:r>
    </w:p>
    <w:p w:rsidR="0033614E" w:rsidRPr="00E35CCE" w:rsidRDefault="0033614E" w:rsidP="00E35CCE">
      <w:pPr>
        <w:pStyle w:val="ListParagraph"/>
        <w:rPr>
          <w:i/>
        </w:rPr>
      </w:pPr>
    </w:p>
    <w:p w:rsidR="0033614E" w:rsidRPr="006D7E8C" w:rsidRDefault="0033614E" w:rsidP="00E35CCE">
      <w:pPr>
        <w:pStyle w:val="ListParagraph"/>
        <w:rPr>
          <w:rFonts w:ascii="Arial Narrow" w:hAnsi="Arial Narrow"/>
          <w:b/>
          <w:bCs/>
          <w:sz w:val="20"/>
        </w:rPr>
      </w:pPr>
      <w:r w:rsidRPr="006D7E8C">
        <w:rPr>
          <w:rFonts w:ascii="Arial Narrow" w:hAnsi="Arial Narrow"/>
          <w:b/>
          <w:bCs/>
          <w:sz w:val="20"/>
        </w:rPr>
        <w:t>Results of the modelled economic evaluation</w:t>
      </w:r>
    </w:p>
    <w:tbl>
      <w:tblPr>
        <w:tblW w:w="4593" w:type="pct"/>
        <w:tblInd w:w="737" w:type="dxa"/>
        <w:tblCellMar>
          <w:left w:w="0" w:type="dxa"/>
          <w:right w:w="0" w:type="dxa"/>
        </w:tblCellMar>
        <w:tblLook w:val="04A0" w:firstRow="1" w:lastRow="0" w:firstColumn="1" w:lastColumn="0" w:noHBand="0" w:noVBand="1"/>
        <w:tblDescription w:val="Results of the modelled economic evaluation"/>
      </w:tblPr>
      <w:tblGrid>
        <w:gridCol w:w="988"/>
        <w:gridCol w:w="893"/>
        <w:gridCol w:w="104"/>
        <w:gridCol w:w="1258"/>
        <w:gridCol w:w="1260"/>
        <w:gridCol w:w="1260"/>
        <w:gridCol w:w="1260"/>
        <w:gridCol w:w="1303"/>
      </w:tblGrid>
      <w:tr w:rsidR="0033614E" w:rsidRPr="008F0598" w:rsidTr="0082456B">
        <w:tc>
          <w:tcPr>
            <w:tcW w:w="597" w:type="pct"/>
            <w:vMerge w:val="restart"/>
            <w:tcBorders>
              <w:top w:val="single" w:sz="4" w:space="0" w:color="auto"/>
              <w:left w:val="single" w:sz="8" w:space="0" w:color="auto"/>
              <w:right w:val="single" w:sz="4" w:space="0" w:color="auto"/>
            </w:tcBorders>
            <w:tcMar>
              <w:top w:w="0" w:type="dxa"/>
              <w:left w:w="28" w:type="dxa"/>
              <w:bottom w:w="0" w:type="dxa"/>
              <w:right w:w="28" w:type="dxa"/>
            </w:tcMar>
          </w:tcPr>
          <w:p w:rsidR="0033614E" w:rsidRPr="005C0DF8" w:rsidRDefault="005C0DF8" w:rsidP="00E35CCE">
            <w:pPr>
              <w:rPr>
                <w:i/>
                <w:highlight w:val="black"/>
              </w:rPr>
            </w:pPr>
            <w:r>
              <w:rPr>
                <w:rFonts w:ascii="Arial Narrow" w:hAnsi="Arial Narrow"/>
                <w:i/>
                <w:noProof/>
                <w:color w:val="000000"/>
                <w:sz w:val="20"/>
                <w:highlight w:val="black"/>
              </w:rPr>
              <w:t>''</w:t>
            </w:r>
          </w:p>
        </w:tc>
        <w:tc>
          <w:tcPr>
            <w:tcW w:w="2124" w:type="pct"/>
            <w:gridSpan w:val="4"/>
            <w:tcBorders>
              <w:top w:val="single" w:sz="4" w:space="0" w:color="auto"/>
              <w:left w:val="single" w:sz="4" w:space="0" w:color="auto"/>
              <w:bottom w:val="single" w:sz="8" w:space="0" w:color="auto"/>
              <w:right w:val="single" w:sz="4" w:space="0" w:color="auto"/>
            </w:tcBorders>
          </w:tcPr>
          <w:p w:rsidR="0033614E" w:rsidRPr="005C0DF8" w:rsidRDefault="0033614E" w:rsidP="00E35CCE">
            <w:pPr>
              <w:rPr>
                <w:i/>
              </w:rPr>
            </w:pPr>
            <w:r w:rsidRPr="006D7E8C">
              <w:rPr>
                <w:rFonts w:ascii="Arial Narrow" w:hAnsi="Arial Narrow"/>
                <w:b/>
                <w:bCs/>
                <w:i/>
                <w:sz w:val="20"/>
              </w:rPr>
              <w:t xml:space="preserve">Modelled evaluation (Step 3b: ITT population; 10 year extrapolation using exponential and </w:t>
            </w:r>
            <w:proofErr w:type="spellStart"/>
            <w:r w:rsidRPr="006D7E8C">
              <w:rPr>
                <w:rFonts w:ascii="Arial Narrow" w:hAnsi="Arial Narrow"/>
                <w:b/>
                <w:bCs/>
                <w:i/>
                <w:sz w:val="20"/>
              </w:rPr>
              <w:t>weibull</w:t>
            </w:r>
            <w:proofErr w:type="spellEnd"/>
            <w:r w:rsidRPr="006D7E8C">
              <w:rPr>
                <w:rFonts w:ascii="Arial Narrow" w:hAnsi="Arial Narrow"/>
                <w:b/>
                <w:bCs/>
                <w:i/>
                <w:sz w:val="20"/>
              </w:rPr>
              <w:t xml:space="preserve"> functions) – corrected during the evaluation to not get the anomaly of negative patients</w:t>
            </w:r>
          </w:p>
        </w:tc>
        <w:tc>
          <w:tcPr>
            <w:tcW w:w="2279" w:type="pct"/>
            <w:gridSpan w:val="3"/>
            <w:tcBorders>
              <w:top w:val="single" w:sz="4" w:space="0" w:color="auto"/>
              <w:left w:val="single" w:sz="4" w:space="0" w:color="auto"/>
              <w:bottom w:val="single" w:sz="8" w:space="0" w:color="auto"/>
              <w:right w:val="single" w:sz="8" w:space="0" w:color="auto"/>
            </w:tcBorders>
          </w:tcPr>
          <w:p w:rsidR="0033614E" w:rsidRPr="005C0DF8" w:rsidRDefault="0033614E" w:rsidP="00E35CCE">
            <w:pPr>
              <w:rPr>
                <w:i/>
              </w:rPr>
            </w:pPr>
            <w:r w:rsidRPr="006D7E8C">
              <w:rPr>
                <w:rFonts w:ascii="Arial Narrow" w:hAnsi="Arial Narrow"/>
                <w:b/>
                <w:bCs/>
                <w:i/>
                <w:sz w:val="20"/>
              </w:rPr>
              <w:t>Modelled evaluation (Step 3a: ITT population; 10 year extrapolation using log-logistic and gamma functions) – submission’s approach with the anomaly of negative patients</w:t>
            </w:r>
          </w:p>
        </w:tc>
      </w:tr>
      <w:tr w:rsidR="0033614E" w:rsidRPr="008F0598" w:rsidTr="0082456B">
        <w:tc>
          <w:tcPr>
            <w:tcW w:w="597" w:type="pct"/>
            <w:vMerge/>
            <w:tcBorders>
              <w:left w:val="single" w:sz="8" w:space="0" w:color="auto"/>
              <w:bottom w:val="single" w:sz="8" w:space="0" w:color="auto"/>
              <w:right w:val="single" w:sz="4" w:space="0" w:color="auto"/>
            </w:tcBorders>
            <w:tcMar>
              <w:top w:w="0" w:type="dxa"/>
              <w:left w:w="28" w:type="dxa"/>
              <w:bottom w:w="0" w:type="dxa"/>
              <w:right w:w="28" w:type="dxa"/>
            </w:tcMar>
            <w:hideMark/>
          </w:tcPr>
          <w:p w:rsidR="0033614E" w:rsidRPr="005C0DF8" w:rsidRDefault="0033614E" w:rsidP="00E35CCE">
            <w:pPr>
              <w:rPr>
                <w:i/>
              </w:rPr>
            </w:pPr>
          </w:p>
        </w:tc>
        <w:tc>
          <w:tcPr>
            <w:tcW w:w="606" w:type="pct"/>
            <w:gridSpan w:val="2"/>
            <w:tcBorders>
              <w:top w:val="nil"/>
              <w:left w:val="single" w:sz="4" w:space="0" w:color="auto"/>
              <w:bottom w:val="single" w:sz="8" w:space="0" w:color="auto"/>
              <w:right w:val="single" w:sz="8" w:space="0" w:color="auto"/>
            </w:tcBorders>
            <w:tcMar>
              <w:top w:w="0" w:type="dxa"/>
              <w:left w:w="28" w:type="dxa"/>
              <w:bottom w:w="0" w:type="dxa"/>
              <w:right w:w="28" w:type="dxa"/>
            </w:tcMar>
            <w:vAlign w:val="center"/>
            <w:hideMark/>
          </w:tcPr>
          <w:p w:rsidR="0033614E" w:rsidRPr="005C0DF8" w:rsidRDefault="0033614E" w:rsidP="00E35CCE">
            <w:pPr>
              <w:jc w:val="center"/>
              <w:rPr>
                <w:i/>
              </w:rPr>
            </w:pPr>
            <w:r w:rsidRPr="006D7E8C">
              <w:rPr>
                <w:rFonts w:ascii="Arial Narrow" w:hAnsi="Arial Narrow"/>
                <w:b/>
                <w:bCs/>
                <w:i/>
                <w:sz w:val="20"/>
              </w:rPr>
              <w:t>AB</w:t>
            </w:r>
          </w:p>
        </w:tc>
        <w:tc>
          <w:tcPr>
            <w:tcW w:w="759"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33614E" w:rsidRPr="005C0DF8" w:rsidRDefault="0033614E" w:rsidP="00E35CCE">
            <w:pPr>
              <w:jc w:val="center"/>
              <w:rPr>
                <w:i/>
              </w:rPr>
            </w:pPr>
            <w:r w:rsidRPr="006D7E8C">
              <w:rPr>
                <w:rFonts w:ascii="Arial Narrow" w:hAnsi="Arial Narrow"/>
                <w:b/>
                <w:bCs/>
                <w:i/>
                <w:sz w:val="20"/>
              </w:rPr>
              <w:t>PLA</w:t>
            </w:r>
          </w:p>
        </w:tc>
        <w:tc>
          <w:tcPr>
            <w:tcW w:w="760" w:type="pct"/>
            <w:tcBorders>
              <w:top w:val="nil"/>
              <w:left w:val="nil"/>
              <w:bottom w:val="single" w:sz="8" w:space="0" w:color="auto"/>
              <w:right w:val="single" w:sz="8" w:space="0" w:color="auto"/>
            </w:tcBorders>
            <w:tcMar>
              <w:top w:w="0" w:type="dxa"/>
              <w:left w:w="28" w:type="dxa"/>
              <w:bottom w:w="0" w:type="dxa"/>
              <w:right w:w="28" w:type="dxa"/>
            </w:tcMar>
            <w:hideMark/>
          </w:tcPr>
          <w:p w:rsidR="0033614E" w:rsidRPr="005C0DF8" w:rsidRDefault="0033614E" w:rsidP="00E35CCE">
            <w:pPr>
              <w:jc w:val="center"/>
              <w:rPr>
                <w:i/>
              </w:rPr>
            </w:pPr>
            <w:r w:rsidRPr="006D7E8C">
              <w:rPr>
                <w:rFonts w:ascii="Arial Narrow" w:hAnsi="Arial Narrow"/>
                <w:b/>
                <w:bCs/>
                <w:i/>
                <w:sz w:val="20"/>
              </w:rPr>
              <w:t>Increment</w:t>
            </w:r>
          </w:p>
        </w:tc>
        <w:tc>
          <w:tcPr>
            <w:tcW w:w="76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33614E" w:rsidRPr="005C0DF8" w:rsidRDefault="0033614E" w:rsidP="00E35CCE">
            <w:pPr>
              <w:jc w:val="center"/>
              <w:rPr>
                <w:i/>
              </w:rPr>
            </w:pPr>
            <w:r w:rsidRPr="006D7E8C">
              <w:rPr>
                <w:rFonts w:ascii="Arial Narrow" w:hAnsi="Arial Narrow"/>
                <w:b/>
                <w:bCs/>
                <w:i/>
                <w:sz w:val="20"/>
              </w:rPr>
              <w:t>AB</w:t>
            </w:r>
          </w:p>
        </w:tc>
        <w:tc>
          <w:tcPr>
            <w:tcW w:w="76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33614E" w:rsidRPr="005C0DF8" w:rsidRDefault="0033614E" w:rsidP="00E35CCE">
            <w:pPr>
              <w:jc w:val="center"/>
              <w:rPr>
                <w:i/>
              </w:rPr>
            </w:pPr>
            <w:r w:rsidRPr="006D7E8C">
              <w:rPr>
                <w:rFonts w:ascii="Arial Narrow" w:hAnsi="Arial Narrow"/>
                <w:b/>
                <w:bCs/>
                <w:i/>
                <w:sz w:val="20"/>
              </w:rPr>
              <w:t>PLA</w:t>
            </w:r>
          </w:p>
        </w:tc>
        <w:tc>
          <w:tcPr>
            <w:tcW w:w="760" w:type="pct"/>
            <w:tcBorders>
              <w:top w:val="nil"/>
              <w:left w:val="nil"/>
              <w:bottom w:val="single" w:sz="8" w:space="0" w:color="auto"/>
              <w:right w:val="single" w:sz="8" w:space="0" w:color="auto"/>
            </w:tcBorders>
            <w:tcMar>
              <w:top w:w="0" w:type="dxa"/>
              <w:left w:w="28" w:type="dxa"/>
              <w:bottom w:w="0" w:type="dxa"/>
              <w:right w:w="28" w:type="dxa"/>
            </w:tcMar>
            <w:hideMark/>
          </w:tcPr>
          <w:p w:rsidR="0033614E" w:rsidRPr="005C0DF8" w:rsidRDefault="0033614E" w:rsidP="00E35CCE">
            <w:pPr>
              <w:jc w:val="center"/>
              <w:rPr>
                <w:i/>
              </w:rPr>
            </w:pPr>
            <w:r w:rsidRPr="006D7E8C">
              <w:rPr>
                <w:rFonts w:ascii="Arial Narrow" w:hAnsi="Arial Narrow"/>
                <w:b/>
                <w:bCs/>
                <w:i/>
                <w:sz w:val="20"/>
              </w:rPr>
              <w:t>Increment</w:t>
            </w:r>
          </w:p>
        </w:tc>
      </w:tr>
      <w:tr w:rsidR="0033614E" w:rsidRPr="008F0598" w:rsidTr="0082456B">
        <w:tc>
          <w:tcPr>
            <w:tcW w:w="597" w:type="pct"/>
            <w:tcBorders>
              <w:top w:val="nil"/>
              <w:left w:val="single" w:sz="8" w:space="0" w:color="auto"/>
              <w:bottom w:val="single" w:sz="8" w:space="0" w:color="auto"/>
              <w:right w:val="single" w:sz="4" w:space="0" w:color="auto"/>
            </w:tcBorders>
            <w:tcMar>
              <w:top w:w="0" w:type="dxa"/>
              <w:left w:w="28" w:type="dxa"/>
              <w:bottom w:w="0" w:type="dxa"/>
              <w:right w:w="28" w:type="dxa"/>
            </w:tcMar>
            <w:hideMark/>
          </w:tcPr>
          <w:p w:rsidR="0033614E" w:rsidRPr="005C0DF8" w:rsidRDefault="0033614E" w:rsidP="00E35CCE">
            <w:pPr>
              <w:rPr>
                <w:i/>
              </w:rPr>
            </w:pPr>
            <w:r w:rsidRPr="006D7E8C">
              <w:rPr>
                <w:rFonts w:ascii="Arial Narrow" w:hAnsi="Arial Narrow"/>
                <w:i/>
                <w:sz w:val="20"/>
              </w:rPr>
              <w:t>Costs</w:t>
            </w:r>
          </w:p>
        </w:tc>
        <w:tc>
          <w:tcPr>
            <w:tcW w:w="606" w:type="pct"/>
            <w:gridSpan w:val="2"/>
            <w:tcBorders>
              <w:top w:val="nil"/>
              <w:left w:val="single" w:sz="4" w:space="0" w:color="auto"/>
              <w:bottom w:val="single" w:sz="8" w:space="0" w:color="auto"/>
              <w:right w:val="single" w:sz="8" w:space="0" w:color="auto"/>
            </w:tcBorders>
            <w:tcMar>
              <w:top w:w="0" w:type="dxa"/>
              <w:left w:w="28" w:type="dxa"/>
              <w:bottom w:w="0" w:type="dxa"/>
              <w:right w:w="28" w:type="dxa"/>
            </w:tcMar>
            <w:vAlign w:val="center"/>
            <w:hideMark/>
          </w:tcPr>
          <w:p w:rsidR="0033614E" w:rsidRPr="005C0DF8" w:rsidRDefault="005C0DF8" w:rsidP="00E35CCE">
            <w:pPr>
              <w:jc w:val="center"/>
              <w:rPr>
                <w:i/>
                <w:highlight w:val="black"/>
              </w:rPr>
            </w:pPr>
            <w:r>
              <w:rPr>
                <w:rFonts w:ascii="Arial Narrow" w:hAnsi="Arial Narrow"/>
                <w:i/>
                <w:iCs/>
                <w:noProof/>
                <w:color w:val="000000"/>
                <w:sz w:val="20"/>
                <w:highlight w:val="black"/>
              </w:rPr>
              <w:t>''''''''''''''''''''''''''</w:t>
            </w:r>
          </w:p>
        </w:tc>
        <w:tc>
          <w:tcPr>
            <w:tcW w:w="759"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33614E" w:rsidRPr="005C0DF8" w:rsidRDefault="005C0DF8" w:rsidP="00E35CCE">
            <w:pPr>
              <w:jc w:val="center"/>
              <w:rPr>
                <w:i/>
                <w:highlight w:val="black"/>
              </w:rPr>
            </w:pPr>
            <w:r>
              <w:rPr>
                <w:rFonts w:ascii="Arial Narrow" w:hAnsi="Arial Narrow"/>
                <w:i/>
                <w:iCs/>
                <w:noProof/>
                <w:color w:val="000000"/>
                <w:sz w:val="20"/>
                <w:highlight w:val="black"/>
              </w:rPr>
              <w:t>''''''''''''''''''''''</w:t>
            </w:r>
          </w:p>
        </w:tc>
        <w:tc>
          <w:tcPr>
            <w:tcW w:w="76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33614E" w:rsidRPr="005C0DF8" w:rsidRDefault="005C0DF8" w:rsidP="00E35CCE">
            <w:pPr>
              <w:jc w:val="center"/>
              <w:rPr>
                <w:i/>
                <w:highlight w:val="black"/>
              </w:rPr>
            </w:pPr>
            <w:r>
              <w:rPr>
                <w:rFonts w:ascii="Arial Narrow" w:hAnsi="Arial Narrow"/>
                <w:i/>
                <w:iCs/>
                <w:noProof/>
                <w:color w:val="000000"/>
                <w:sz w:val="20"/>
                <w:highlight w:val="black"/>
              </w:rPr>
              <w:t>''''''''''''''''''''''''''</w:t>
            </w:r>
          </w:p>
        </w:tc>
        <w:tc>
          <w:tcPr>
            <w:tcW w:w="760" w:type="pct"/>
            <w:tcBorders>
              <w:top w:val="nil"/>
              <w:left w:val="nil"/>
              <w:bottom w:val="single" w:sz="8" w:space="0" w:color="auto"/>
              <w:right w:val="single" w:sz="8" w:space="0" w:color="auto"/>
            </w:tcBorders>
            <w:tcMar>
              <w:top w:w="0" w:type="dxa"/>
              <w:left w:w="28" w:type="dxa"/>
              <w:bottom w:w="0" w:type="dxa"/>
              <w:right w:w="28" w:type="dxa"/>
            </w:tcMar>
            <w:vAlign w:val="center"/>
          </w:tcPr>
          <w:p w:rsidR="0033614E" w:rsidRPr="005C0DF8" w:rsidRDefault="005C0DF8" w:rsidP="00E35CCE">
            <w:pPr>
              <w:jc w:val="center"/>
              <w:rPr>
                <w:rFonts w:ascii="Arial Narrow" w:hAnsi="Arial Narrow"/>
                <w:i/>
                <w:sz w:val="20"/>
                <w:highlight w:val="black"/>
              </w:rPr>
            </w:pPr>
            <w:r>
              <w:rPr>
                <w:rFonts w:ascii="Arial Narrow" w:hAnsi="Arial Narrow"/>
                <w:i/>
                <w:noProof/>
                <w:color w:val="000000"/>
                <w:sz w:val="20"/>
                <w:highlight w:val="black"/>
              </w:rPr>
              <w:t>'''''''''''''''''''''''''''''</w:t>
            </w:r>
          </w:p>
        </w:tc>
        <w:tc>
          <w:tcPr>
            <w:tcW w:w="760" w:type="pct"/>
            <w:tcBorders>
              <w:top w:val="nil"/>
              <w:left w:val="nil"/>
              <w:bottom w:val="single" w:sz="8" w:space="0" w:color="auto"/>
              <w:right w:val="single" w:sz="8" w:space="0" w:color="auto"/>
            </w:tcBorders>
            <w:tcMar>
              <w:top w:w="0" w:type="dxa"/>
              <w:left w:w="28" w:type="dxa"/>
              <w:bottom w:w="0" w:type="dxa"/>
              <w:right w:w="28" w:type="dxa"/>
            </w:tcMar>
            <w:vAlign w:val="center"/>
          </w:tcPr>
          <w:p w:rsidR="0033614E" w:rsidRPr="005C0DF8" w:rsidRDefault="005C0DF8" w:rsidP="00E35CCE">
            <w:pPr>
              <w:jc w:val="center"/>
              <w:rPr>
                <w:rFonts w:ascii="Arial Narrow" w:hAnsi="Arial Narrow"/>
                <w:i/>
                <w:sz w:val="20"/>
                <w:highlight w:val="black"/>
              </w:rPr>
            </w:pPr>
            <w:r>
              <w:rPr>
                <w:rFonts w:ascii="Arial Narrow" w:hAnsi="Arial Narrow"/>
                <w:i/>
                <w:noProof/>
                <w:color w:val="000000"/>
                <w:sz w:val="20"/>
                <w:highlight w:val="black"/>
              </w:rPr>
              <w:t>'''''''''''''''''''</w:t>
            </w:r>
          </w:p>
        </w:tc>
        <w:tc>
          <w:tcPr>
            <w:tcW w:w="760" w:type="pct"/>
            <w:tcBorders>
              <w:top w:val="nil"/>
              <w:left w:val="nil"/>
              <w:bottom w:val="single" w:sz="8" w:space="0" w:color="auto"/>
              <w:right w:val="single" w:sz="8" w:space="0" w:color="auto"/>
            </w:tcBorders>
            <w:tcMar>
              <w:top w:w="0" w:type="dxa"/>
              <w:left w:w="28" w:type="dxa"/>
              <w:bottom w:w="0" w:type="dxa"/>
              <w:right w:w="28" w:type="dxa"/>
            </w:tcMar>
            <w:vAlign w:val="center"/>
          </w:tcPr>
          <w:p w:rsidR="0033614E" w:rsidRPr="005C0DF8" w:rsidRDefault="005C0DF8" w:rsidP="00E35CCE">
            <w:pPr>
              <w:jc w:val="center"/>
              <w:rPr>
                <w:rFonts w:ascii="Arial Narrow" w:hAnsi="Arial Narrow"/>
                <w:i/>
                <w:sz w:val="20"/>
                <w:highlight w:val="black"/>
              </w:rPr>
            </w:pPr>
            <w:r>
              <w:rPr>
                <w:rFonts w:ascii="Arial Narrow" w:hAnsi="Arial Narrow"/>
                <w:i/>
                <w:noProof/>
                <w:color w:val="000000"/>
                <w:sz w:val="20"/>
                <w:highlight w:val="black"/>
              </w:rPr>
              <w:t>'''''''''''''''''''''''''''''</w:t>
            </w:r>
          </w:p>
        </w:tc>
      </w:tr>
      <w:tr w:rsidR="0033614E" w:rsidRPr="008F0598" w:rsidTr="0082456B">
        <w:tc>
          <w:tcPr>
            <w:tcW w:w="597"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33614E" w:rsidRPr="005C0DF8" w:rsidRDefault="0033614E" w:rsidP="00E35CCE">
            <w:pPr>
              <w:rPr>
                <w:i/>
              </w:rPr>
            </w:pPr>
            <w:r w:rsidRPr="006D7E8C">
              <w:rPr>
                <w:rFonts w:ascii="Arial Narrow" w:hAnsi="Arial Narrow"/>
                <w:i/>
                <w:sz w:val="20"/>
              </w:rPr>
              <w:t>LYs</w:t>
            </w:r>
          </w:p>
        </w:tc>
        <w:tc>
          <w:tcPr>
            <w:tcW w:w="606" w:type="pct"/>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rsidR="0033614E" w:rsidRPr="005C0DF8" w:rsidRDefault="005C0DF8" w:rsidP="00E35CCE">
            <w:pPr>
              <w:jc w:val="center"/>
              <w:rPr>
                <w:i/>
                <w:highlight w:val="black"/>
              </w:rPr>
            </w:pPr>
            <w:r>
              <w:rPr>
                <w:rFonts w:ascii="Arial Narrow" w:hAnsi="Arial Narrow"/>
                <w:i/>
                <w:iCs/>
                <w:noProof/>
                <w:color w:val="000000"/>
                <w:sz w:val="20"/>
                <w:highlight w:val="black"/>
              </w:rPr>
              <w:t>''''''''''</w:t>
            </w:r>
          </w:p>
        </w:tc>
        <w:tc>
          <w:tcPr>
            <w:tcW w:w="759"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33614E" w:rsidRPr="005C0DF8" w:rsidRDefault="005C0DF8" w:rsidP="00E35CCE">
            <w:pPr>
              <w:jc w:val="center"/>
              <w:rPr>
                <w:i/>
                <w:highlight w:val="black"/>
              </w:rPr>
            </w:pPr>
            <w:r>
              <w:rPr>
                <w:rFonts w:ascii="Arial Narrow" w:hAnsi="Arial Narrow"/>
                <w:i/>
                <w:iCs/>
                <w:noProof/>
                <w:color w:val="000000"/>
                <w:sz w:val="20"/>
                <w:highlight w:val="black"/>
              </w:rPr>
              <w:t>'''''''''''</w:t>
            </w:r>
          </w:p>
        </w:tc>
        <w:tc>
          <w:tcPr>
            <w:tcW w:w="76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33614E" w:rsidRPr="005C0DF8" w:rsidRDefault="005C0DF8" w:rsidP="00E35CCE">
            <w:pPr>
              <w:jc w:val="center"/>
              <w:rPr>
                <w:i/>
                <w:highlight w:val="black"/>
              </w:rPr>
            </w:pPr>
            <w:r>
              <w:rPr>
                <w:rFonts w:ascii="Arial Narrow" w:hAnsi="Arial Narrow"/>
                <w:i/>
                <w:iCs/>
                <w:noProof/>
                <w:color w:val="000000"/>
                <w:sz w:val="20"/>
                <w:highlight w:val="black"/>
              </w:rPr>
              <w:t>''''''''''</w:t>
            </w:r>
          </w:p>
        </w:tc>
        <w:tc>
          <w:tcPr>
            <w:tcW w:w="760" w:type="pct"/>
            <w:tcBorders>
              <w:top w:val="nil"/>
              <w:left w:val="nil"/>
              <w:bottom w:val="single" w:sz="8" w:space="0" w:color="auto"/>
              <w:right w:val="single" w:sz="8" w:space="0" w:color="auto"/>
            </w:tcBorders>
            <w:tcMar>
              <w:top w:w="0" w:type="dxa"/>
              <w:left w:w="28" w:type="dxa"/>
              <w:bottom w:w="0" w:type="dxa"/>
              <w:right w:w="28" w:type="dxa"/>
            </w:tcMar>
            <w:vAlign w:val="center"/>
          </w:tcPr>
          <w:p w:rsidR="0033614E" w:rsidRPr="005C0DF8" w:rsidRDefault="005C0DF8" w:rsidP="00E35CCE">
            <w:pPr>
              <w:jc w:val="center"/>
              <w:rPr>
                <w:rFonts w:ascii="Arial Narrow" w:hAnsi="Arial Narrow"/>
                <w:i/>
                <w:sz w:val="20"/>
                <w:highlight w:val="black"/>
              </w:rPr>
            </w:pPr>
            <w:r>
              <w:rPr>
                <w:rFonts w:ascii="Arial Narrow" w:hAnsi="Arial Narrow"/>
                <w:i/>
                <w:noProof/>
                <w:color w:val="000000"/>
                <w:sz w:val="20"/>
                <w:highlight w:val="black"/>
              </w:rPr>
              <w:t>'''''''''''</w:t>
            </w:r>
          </w:p>
        </w:tc>
        <w:tc>
          <w:tcPr>
            <w:tcW w:w="760" w:type="pct"/>
            <w:tcBorders>
              <w:top w:val="nil"/>
              <w:left w:val="nil"/>
              <w:bottom w:val="single" w:sz="8" w:space="0" w:color="auto"/>
              <w:right w:val="single" w:sz="8" w:space="0" w:color="auto"/>
            </w:tcBorders>
            <w:tcMar>
              <w:top w:w="0" w:type="dxa"/>
              <w:left w:w="28" w:type="dxa"/>
              <w:bottom w:w="0" w:type="dxa"/>
              <w:right w:w="28" w:type="dxa"/>
            </w:tcMar>
            <w:vAlign w:val="center"/>
          </w:tcPr>
          <w:p w:rsidR="0033614E" w:rsidRPr="005C0DF8" w:rsidRDefault="005C0DF8" w:rsidP="00E35CCE">
            <w:pPr>
              <w:jc w:val="center"/>
              <w:rPr>
                <w:rFonts w:ascii="Arial Narrow" w:hAnsi="Arial Narrow"/>
                <w:i/>
                <w:sz w:val="20"/>
                <w:highlight w:val="black"/>
              </w:rPr>
            </w:pPr>
            <w:r>
              <w:rPr>
                <w:rFonts w:ascii="Arial Narrow" w:hAnsi="Arial Narrow"/>
                <w:i/>
                <w:noProof/>
                <w:color w:val="000000"/>
                <w:sz w:val="20"/>
                <w:highlight w:val="black"/>
              </w:rPr>
              <w:t>''''''''''</w:t>
            </w:r>
          </w:p>
        </w:tc>
        <w:tc>
          <w:tcPr>
            <w:tcW w:w="760" w:type="pct"/>
            <w:tcBorders>
              <w:top w:val="nil"/>
              <w:left w:val="nil"/>
              <w:bottom w:val="single" w:sz="8" w:space="0" w:color="auto"/>
              <w:right w:val="single" w:sz="8" w:space="0" w:color="auto"/>
            </w:tcBorders>
            <w:tcMar>
              <w:top w:w="0" w:type="dxa"/>
              <w:left w:w="28" w:type="dxa"/>
              <w:bottom w:w="0" w:type="dxa"/>
              <w:right w:w="28" w:type="dxa"/>
            </w:tcMar>
            <w:vAlign w:val="center"/>
          </w:tcPr>
          <w:p w:rsidR="0033614E" w:rsidRPr="005C0DF8" w:rsidRDefault="005C0DF8" w:rsidP="00E35CCE">
            <w:pPr>
              <w:jc w:val="center"/>
              <w:rPr>
                <w:rFonts w:ascii="Arial Narrow" w:hAnsi="Arial Narrow"/>
                <w:i/>
                <w:sz w:val="20"/>
                <w:highlight w:val="black"/>
              </w:rPr>
            </w:pPr>
            <w:r>
              <w:rPr>
                <w:rFonts w:ascii="Arial Narrow" w:hAnsi="Arial Narrow"/>
                <w:i/>
                <w:noProof/>
                <w:color w:val="000000"/>
                <w:sz w:val="20"/>
                <w:highlight w:val="black"/>
              </w:rPr>
              <w:t>'''''''''''</w:t>
            </w:r>
          </w:p>
        </w:tc>
      </w:tr>
      <w:tr w:rsidR="0033614E" w:rsidRPr="008F0598" w:rsidTr="0082456B">
        <w:tc>
          <w:tcPr>
            <w:tcW w:w="597"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33614E" w:rsidRPr="005C0DF8" w:rsidRDefault="0033614E" w:rsidP="00E35CCE">
            <w:pPr>
              <w:rPr>
                <w:i/>
              </w:rPr>
            </w:pPr>
            <w:r w:rsidRPr="006D7E8C">
              <w:rPr>
                <w:rFonts w:ascii="Arial Narrow" w:hAnsi="Arial Narrow"/>
                <w:i/>
                <w:sz w:val="20"/>
              </w:rPr>
              <w:t>QALYs</w:t>
            </w:r>
          </w:p>
        </w:tc>
        <w:tc>
          <w:tcPr>
            <w:tcW w:w="606" w:type="pct"/>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rsidR="0033614E" w:rsidRPr="005C0DF8" w:rsidRDefault="005C0DF8" w:rsidP="00E35CCE">
            <w:pPr>
              <w:jc w:val="center"/>
              <w:rPr>
                <w:i/>
                <w:highlight w:val="black"/>
              </w:rPr>
            </w:pPr>
            <w:r>
              <w:rPr>
                <w:rFonts w:ascii="Arial Narrow" w:hAnsi="Arial Narrow"/>
                <w:i/>
                <w:iCs/>
                <w:noProof/>
                <w:color w:val="000000"/>
                <w:sz w:val="20"/>
                <w:highlight w:val="black"/>
              </w:rPr>
              <w:t>'''''''''''</w:t>
            </w:r>
          </w:p>
        </w:tc>
        <w:tc>
          <w:tcPr>
            <w:tcW w:w="759"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33614E" w:rsidRPr="005C0DF8" w:rsidRDefault="005C0DF8" w:rsidP="00E35CCE">
            <w:pPr>
              <w:jc w:val="center"/>
              <w:rPr>
                <w:i/>
                <w:highlight w:val="black"/>
              </w:rPr>
            </w:pPr>
            <w:r>
              <w:rPr>
                <w:rFonts w:ascii="Arial Narrow" w:hAnsi="Arial Narrow"/>
                <w:i/>
                <w:iCs/>
                <w:noProof/>
                <w:color w:val="000000"/>
                <w:sz w:val="20"/>
                <w:highlight w:val="black"/>
              </w:rPr>
              <w:t>''''''''''</w:t>
            </w:r>
          </w:p>
        </w:tc>
        <w:tc>
          <w:tcPr>
            <w:tcW w:w="76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33614E" w:rsidRPr="005C0DF8" w:rsidRDefault="005C0DF8" w:rsidP="00E35CCE">
            <w:pPr>
              <w:jc w:val="center"/>
              <w:rPr>
                <w:i/>
                <w:highlight w:val="black"/>
              </w:rPr>
            </w:pPr>
            <w:r>
              <w:rPr>
                <w:rFonts w:ascii="Arial Narrow" w:hAnsi="Arial Narrow"/>
                <w:i/>
                <w:iCs/>
                <w:noProof/>
                <w:color w:val="000000"/>
                <w:sz w:val="20"/>
                <w:highlight w:val="black"/>
              </w:rPr>
              <w:t>'''''''''''</w:t>
            </w:r>
          </w:p>
        </w:tc>
        <w:tc>
          <w:tcPr>
            <w:tcW w:w="760" w:type="pct"/>
            <w:tcBorders>
              <w:top w:val="nil"/>
              <w:left w:val="nil"/>
              <w:bottom w:val="single" w:sz="8" w:space="0" w:color="auto"/>
              <w:right w:val="single" w:sz="8" w:space="0" w:color="auto"/>
            </w:tcBorders>
            <w:tcMar>
              <w:top w:w="0" w:type="dxa"/>
              <w:left w:w="28" w:type="dxa"/>
              <w:bottom w:w="0" w:type="dxa"/>
              <w:right w:w="28" w:type="dxa"/>
            </w:tcMar>
            <w:vAlign w:val="center"/>
          </w:tcPr>
          <w:p w:rsidR="0033614E" w:rsidRPr="005C0DF8" w:rsidRDefault="005C0DF8" w:rsidP="00E35CCE">
            <w:pPr>
              <w:jc w:val="center"/>
              <w:rPr>
                <w:rFonts w:ascii="Arial Narrow" w:hAnsi="Arial Narrow"/>
                <w:i/>
                <w:sz w:val="20"/>
                <w:highlight w:val="black"/>
              </w:rPr>
            </w:pPr>
            <w:r>
              <w:rPr>
                <w:rFonts w:ascii="Arial Narrow" w:hAnsi="Arial Narrow"/>
                <w:i/>
                <w:noProof/>
                <w:color w:val="000000"/>
                <w:sz w:val="20"/>
                <w:highlight w:val="black"/>
              </w:rPr>
              <w:t>''''''''''</w:t>
            </w:r>
          </w:p>
        </w:tc>
        <w:tc>
          <w:tcPr>
            <w:tcW w:w="760" w:type="pct"/>
            <w:tcBorders>
              <w:top w:val="nil"/>
              <w:left w:val="nil"/>
              <w:bottom w:val="single" w:sz="8" w:space="0" w:color="auto"/>
              <w:right w:val="single" w:sz="8" w:space="0" w:color="auto"/>
            </w:tcBorders>
            <w:tcMar>
              <w:top w:w="0" w:type="dxa"/>
              <w:left w:w="28" w:type="dxa"/>
              <w:bottom w:w="0" w:type="dxa"/>
              <w:right w:w="28" w:type="dxa"/>
            </w:tcMar>
            <w:vAlign w:val="center"/>
          </w:tcPr>
          <w:p w:rsidR="0033614E" w:rsidRPr="005C0DF8" w:rsidRDefault="005C0DF8" w:rsidP="00E35CCE">
            <w:pPr>
              <w:jc w:val="center"/>
              <w:rPr>
                <w:rFonts w:ascii="Arial Narrow" w:hAnsi="Arial Narrow"/>
                <w:i/>
                <w:sz w:val="20"/>
                <w:highlight w:val="black"/>
              </w:rPr>
            </w:pPr>
            <w:r>
              <w:rPr>
                <w:rFonts w:ascii="Arial Narrow" w:hAnsi="Arial Narrow"/>
                <w:i/>
                <w:noProof/>
                <w:color w:val="000000"/>
                <w:sz w:val="20"/>
                <w:highlight w:val="black"/>
              </w:rPr>
              <w:t>'''''''''''</w:t>
            </w:r>
          </w:p>
        </w:tc>
        <w:tc>
          <w:tcPr>
            <w:tcW w:w="760" w:type="pct"/>
            <w:tcBorders>
              <w:top w:val="nil"/>
              <w:left w:val="nil"/>
              <w:bottom w:val="single" w:sz="8" w:space="0" w:color="auto"/>
              <w:right w:val="single" w:sz="8" w:space="0" w:color="auto"/>
            </w:tcBorders>
            <w:tcMar>
              <w:top w:w="0" w:type="dxa"/>
              <w:left w:w="28" w:type="dxa"/>
              <w:bottom w:w="0" w:type="dxa"/>
              <w:right w:w="28" w:type="dxa"/>
            </w:tcMar>
            <w:vAlign w:val="center"/>
          </w:tcPr>
          <w:p w:rsidR="0033614E" w:rsidRPr="005C0DF8" w:rsidRDefault="005C0DF8" w:rsidP="00E35CCE">
            <w:pPr>
              <w:jc w:val="center"/>
              <w:rPr>
                <w:rFonts w:ascii="Arial Narrow" w:hAnsi="Arial Narrow"/>
                <w:i/>
                <w:sz w:val="20"/>
                <w:highlight w:val="black"/>
              </w:rPr>
            </w:pPr>
            <w:r>
              <w:rPr>
                <w:rFonts w:ascii="Arial Narrow" w:hAnsi="Arial Narrow"/>
                <w:i/>
                <w:noProof/>
                <w:color w:val="000000"/>
                <w:sz w:val="20"/>
                <w:highlight w:val="black"/>
              </w:rPr>
              <w:t>''''''''''</w:t>
            </w:r>
          </w:p>
        </w:tc>
      </w:tr>
      <w:tr w:rsidR="0033614E" w:rsidRPr="008F0598" w:rsidTr="0082456B">
        <w:tc>
          <w:tcPr>
            <w:tcW w:w="597"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33614E" w:rsidRPr="005C0DF8" w:rsidRDefault="0033614E" w:rsidP="00E35CCE">
            <w:pPr>
              <w:rPr>
                <w:i/>
              </w:rPr>
            </w:pPr>
            <w:r w:rsidRPr="006D7E8C">
              <w:rPr>
                <w:rFonts w:ascii="Arial Narrow" w:hAnsi="Arial Narrow"/>
                <w:i/>
                <w:sz w:val="20"/>
              </w:rPr>
              <w:t>Incremental cost/LY</w:t>
            </w:r>
          </w:p>
        </w:tc>
        <w:tc>
          <w:tcPr>
            <w:tcW w:w="606" w:type="pct"/>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rsidR="0033614E" w:rsidRPr="005C0DF8" w:rsidRDefault="005C0DF8" w:rsidP="00E35CCE">
            <w:pPr>
              <w:jc w:val="center"/>
              <w:rPr>
                <w:i/>
                <w:highlight w:val="black"/>
              </w:rPr>
            </w:pPr>
            <w:r>
              <w:rPr>
                <w:rFonts w:ascii="Arial Narrow" w:hAnsi="Arial Narrow"/>
                <w:i/>
                <w:noProof/>
                <w:color w:val="000000"/>
                <w:sz w:val="20"/>
                <w:highlight w:val="black"/>
              </w:rPr>
              <w:t>'''</w:t>
            </w:r>
          </w:p>
        </w:tc>
        <w:tc>
          <w:tcPr>
            <w:tcW w:w="759"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33614E" w:rsidRPr="005C0DF8" w:rsidRDefault="005C0DF8" w:rsidP="00E35CCE">
            <w:pPr>
              <w:jc w:val="center"/>
              <w:rPr>
                <w:i/>
                <w:highlight w:val="black"/>
              </w:rPr>
            </w:pPr>
            <w:r>
              <w:rPr>
                <w:rFonts w:ascii="Arial Narrow" w:hAnsi="Arial Narrow"/>
                <w:i/>
                <w:noProof/>
                <w:color w:val="000000"/>
                <w:sz w:val="20"/>
                <w:highlight w:val="black"/>
              </w:rPr>
              <w:t>'''</w:t>
            </w:r>
          </w:p>
        </w:tc>
        <w:tc>
          <w:tcPr>
            <w:tcW w:w="76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33614E" w:rsidRPr="005C0DF8" w:rsidRDefault="005C0DF8" w:rsidP="00E35CCE">
            <w:pPr>
              <w:jc w:val="center"/>
              <w:rPr>
                <w:i/>
                <w:highlight w:val="black"/>
              </w:rPr>
            </w:pPr>
            <w:r>
              <w:rPr>
                <w:rFonts w:ascii="Arial Narrow" w:hAnsi="Arial Narrow"/>
                <w:b/>
                <w:bCs/>
                <w:i/>
                <w:iCs/>
                <w:noProof/>
                <w:color w:val="000000"/>
                <w:sz w:val="20"/>
                <w:highlight w:val="black"/>
              </w:rPr>
              <w:t>'''''''''''''''''''''''''''</w:t>
            </w:r>
          </w:p>
        </w:tc>
        <w:tc>
          <w:tcPr>
            <w:tcW w:w="760" w:type="pct"/>
            <w:tcBorders>
              <w:top w:val="nil"/>
              <w:left w:val="nil"/>
              <w:bottom w:val="single" w:sz="8" w:space="0" w:color="auto"/>
              <w:right w:val="single" w:sz="8" w:space="0" w:color="auto"/>
            </w:tcBorders>
            <w:tcMar>
              <w:top w:w="0" w:type="dxa"/>
              <w:left w:w="28" w:type="dxa"/>
              <w:bottom w:w="0" w:type="dxa"/>
              <w:right w:w="28" w:type="dxa"/>
            </w:tcMar>
            <w:vAlign w:val="center"/>
          </w:tcPr>
          <w:p w:rsidR="0033614E" w:rsidRPr="005C0DF8" w:rsidRDefault="005C0DF8" w:rsidP="00E35CCE">
            <w:pPr>
              <w:jc w:val="center"/>
              <w:rPr>
                <w:i/>
                <w:highlight w:val="black"/>
              </w:rPr>
            </w:pPr>
            <w:r>
              <w:rPr>
                <w:rFonts w:ascii="Arial Narrow" w:hAnsi="Arial Narrow"/>
                <w:i/>
                <w:noProof/>
                <w:color w:val="000000"/>
                <w:sz w:val="20"/>
                <w:highlight w:val="black"/>
              </w:rPr>
              <w:t>'''</w:t>
            </w:r>
          </w:p>
        </w:tc>
        <w:tc>
          <w:tcPr>
            <w:tcW w:w="760" w:type="pct"/>
            <w:tcBorders>
              <w:top w:val="nil"/>
              <w:left w:val="nil"/>
              <w:bottom w:val="single" w:sz="8" w:space="0" w:color="auto"/>
              <w:right w:val="single" w:sz="8" w:space="0" w:color="auto"/>
            </w:tcBorders>
            <w:tcMar>
              <w:top w:w="0" w:type="dxa"/>
              <w:left w:w="28" w:type="dxa"/>
              <w:bottom w:w="0" w:type="dxa"/>
              <w:right w:w="28" w:type="dxa"/>
            </w:tcMar>
            <w:vAlign w:val="center"/>
          </w:tcPr>
          <w:p w:rsidR="0033614E" w:rsidRPr="005C0DF8" w:rsidRDefault="005C0DF8" w:rsidP="00E35CCE">
            <w:pPr>
              <w:jc w:val="center"/>
              <w:rPr>
                <w:i/>
                <w:highlight w:val="black"/>
              </w:rPr>
            </w:pPr>
            <w:r>
              <w:rPr>
                <w:rFonts w:ascii="Arial Narrow" w:hAnsi="Arial Narrow"/>
                <w:i/>
                <w:noProof/>
                <w:color w:val="000000"/>
                <w:sz w:val="20"/>
                <w:highlight w:val="black"/>
              </w:rPr>
              <w:t>'''</w:t>
            </w:r>
          </w:p>
        </w:tc>
        <w:tc>
          <w:tcPr>
            <w:tcW w:w="760" w:type="pct"/>
            <w:tcBorders>
              <w:top w:val="nil"/>
              <w:left w:val="nil"/>
              <w:bottom w:val="single" w:sz="8" w:space="0" w:color="auto"/>
              <w:right w:val="single" w:sz="8" w:space="0" w:color="auto"/>
            </w:tcBorders>
            <w:tcMar>
              <w:top w:w="0" w:type="dxa"/>
              <w:left w:w="28" w:type="dxa"/>
              <w:bottom w:w="0" w:type="dxa"/>
              <w:right w:w="28" w:type="dxa"/>
            </w:tcMar>
            <w:vAlign w:val="center"/>
          </w:tcPr>
          <w:p w:rsidR="0033614E" w:rsidRPr="005C0DF8" w:rsidRDefault="005C0DF8" w:rsidP="00E35CCE">
            <w:pPr>
              <w:jc w:val="center"/>
              <w:rPr>
                <w:i/>
                <w:highlight w:val="black"/>
              </w:rPr>
            </w:pPr>
            <w:r>
              <w:rPr>
                <w:rFonts w:ascii="Arial Narrow" w:hAnsi="Arial Narrow"/>
                <w:b/>
                <w:bCs/>
                <w:i/>
                <w:noProof/>
                <w:color w:val="000000"/>
                <w:sz w:val="20"/>
                <w:highlight w:val="black"/>
              </w:rPr>
              <w:t>''''''''''''''''''''''''''''''</w:t>
            </w:r>
          </w:p>
        </w:tc>
      </w:tr>
      <w:tr w:rsidR="0033614E" w:rsidRPr="008F0598" w:rsidTr="0082456B">
        <w:tc>
          <w:tcPr>
            <w:tcW w:w="597"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33614E" w:rsidRPr="005C0DF8" w:rsidRDefault="0033614E" w:rsidP="00E35CCE">
            <w:pPr>
              <w:rPr>
                <w:i/>
              </w:rPr>
            </w:pPr>
            <w:r w:rsidRPr="006D7E8C">
              <w:rPr>
                <w:rFonts w:ascii="Arial Narrow" w:hAnsi="Arial Narrow"/>
                <w:i/>
                <w:sz w:val="20"/>
              </w:rPr>
              <w:t>Incremental cost/QALY</w:t>
            </w:r>
          </w:p>
        </w:tc>
        <w:tc>
          <w:tcPr>
            <w:tcW w:w="606" w:type="pct"/>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rsidR="0033614E" w:rsidRPr="005C0DF8" w:rsidRDefault="005C0DF8" w:rsidP="00E35CCE">
            <w:pPr>
              <w:jc w:val="center"/>
              <w:rPr>
                <w:i/>
                <w:highlight w:val="black"/>
              </w:rPr>
            </w:pPr>
            <w:r>
              <w:rPr>
                <w:rFonts w:ascii="Arial Narrow" w:hAnsi="Arial Narrow"/>
                <w:i/>
                <w:noProof/>
                <w:color w:val="000000"/>
                <w:sz w:val="20"/>
                <w:highlight w:val="black"/>
              </w:rPr>
              <w:t>''</w:t>
            </w:r>
          </w:p>
        </w:tc>
        <w:tc>
          <w:tcPr>
            <w:tcW w:w="759"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33614E" w:rsidRPr="005C0DF8" w:rsidRDefault="005C0DF8" w:rsidP="00E35CCE">
            <w:pPr>
              <w:jc w:val="center"/>
              <w:rPr>
                <w:i/>
                <w:highlight w:val="black"/>
              </w:rPr>
            </w:pPr>
            <w:r>
              <w:rPr>
                <w:rFonts w:ascii="Arial Narrow" w:hAnsi="Arial Narrow"/>
                <w:i/>
                <w:noProof/>
                <w:color w:val="000000"/>
                <w:sz w:val="20"/>
                <w:highlight w:val="black"/>
              </w:rPr>
              <w:t>'''</w:t>
            </w:r>
          </w:p>
        </w:tc>
        <w:tc>
          <w:tcPr>
            <w:tcW w:w="76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33614E" w:rsidRPr="005C0DF8" w:rsidRDefault="005C0DF8" w:rsidP="00E35CCE">
            <w:pPr>
              <w:jc w:val="center"/>
              <w:rPr>
                <w:i/>
                <w:highlight w:val="black"/>
              </w:rPr>
            </w:pPr>
            <w:r>
              <w:rPr>
                <w:rFonts w:ascii="Arial Narrow" w:hAnsi="Arial Narrow"/>
                <w:b/>
                <w:bCs/>
                <w:i/>
                <w:iCs/>
                <w:noProof/>
                <w:color w:val="000000"/>
                <w:sz w:val="20"/>
                <w:highlight w:val="black"/>
              </w:rPr>
              <w:t>''''''''''''''''''''''''''''</w:t>
            </w:r>
          </w:p>
        </w:tc>
        <w:tc>
          <w:tcPr>
            <w:tcW w:w="760" w:type="pct"/>
            <w:tcBorders>
              <w:top w:val="nil"/>
              <w:left w:val="nil"/>
              <w:bottom w:val="single" w:sz="8" w:space="0" w:color="auto"/>
              <w:right w:val="single" w:sz="8" w:space="0" w:color="auto"/>
            </w:tcBorders>
            <w:tcMar>
              <w:top w:w="0" w:type="dxa"/>
              <w:left w:w="28" w:type="dxa"/>
              <w:bottom w:w="0" w:type="dxa"/>
              <w:right w:w="28" w:type="dxa"/>
            </w:tcMar>
            <w:vAlign w:val="center"/>
          </w:tcPr>
          <w:p w:rsidR="0033614E" w:rsidRPr="005C0DF8" w:rsidRDefault="005C0DF8" w:rsidP="00E35CCE">
            <w:pPr>
              <w:jc w:val="center"/>
              <w:rPr>
                <w:i/>
                <w:highlight w:val="black"/>
              </w:rPr>
            </w:pPr>
            <w:r>
              <w:rPr>
                <w:rFonts w:ascii="Arial Narrow" w:hAnsi="Arial Narrow"/>
                <w:i/>
                <w:noProof/>
                <w:color w:val="000000"/>
                <w:sz w:val="20"/>
                <w:highlight w:val="black"/>
              </w:rPr>
              <w:t>''</w:t>
            </w:r>
          </w:p>
        </w:tc>
        <w:tc>
          <w:tcPr>
            <w:tcW w:w="760" w:type="pct"/>
            <w:tcBorders>
              <w:top w:val="nil"/>
              <w:left w:val="nil"/>
              <w:bottom w:val="single" w:sz="8" w:space="0" w:color="auto"/>
              <w:right w:val="single" w:sz="8" w:space="0" w:color="auto"/>
            </w:tcBorders>
            <w:tcMar>
              <w:top w:w="0" w:type="dxa"/>
              <w:left w:w="28" w:type="dxa"/>
              <w:bottom w:w="0" w:type="dxa"/>
              <w:right w:w="28" w:type="dxa"/>
            </w:tcMar>
            <w:vAlign w:val="center"/>
          </w:tcPr>
          <w:p w:rsidR="0033614E" w:rsidRPr="005C0DF8" w:rsidRDefault="005C0DF8" w:rsidP="00E35CCE">
            <w:pPr>
              <w:jc w:val="center"/>
              <w:rPr>
                <w:i/>
                <w:highlight w:val="black"/>
              </w:rPr>
            </w:pPr>
            <w:r>
              <w:rPr>
                <w:rFonts w:ascii="Arial Narrow" w:hAnsi="Arial Narrow"/>
                <w:i/>
                <w:noProof/>
                <w:color w:val="000000"/>
                <w:sz w:val="20"/>
                <w:highlight w:val="black"/>
              </w:rPr>
              <w:t>''</w:t>
            </w:r>
          </w:p>
        </w:tc>
        <w:tc>
          <w:tcPr>
            <w:tcW w:w="760" w:type="pct"/>
            <w:tcBorders>
              <w:top w:val="nil"/>
              <w:left w:val="nil"/>
              <w:bottom w:val="single" w:sz="8" w:space="0" w:color="auto"/>
              <w:right w:val="single" w:sz="8" w:space="0" w:color="auto"/>
            </w:tcBorders>
            <w:tcMar>
              <w:top w:w="0" w:type="dxa"/>
              <w:left w:w="28" w:type="dxa"/>
              <w:bottom w:w="0" w:type="dxa"/>
              <w:right w:w="28" w:type="dxa"/>
            </w:tcMar>
            <w:vAlign w:val="center"/>
          </w:tcPr>
          <w:p w:rsidR="0033614E" w:rsidRPr="005C0DF8" w:rsidRDefault="005C0DF8" w:rsidP="00E35CCE">
            <w:pPr>
              <w:jc w:val="center"/>
              <w:rPr>
                <w:i/>
                <w:highlight w:val="black"/>
              </w:rPr>
            </w:pPr>
            <w:r>
              <w:rPr>
                <w:rFonts w:ascii="Arial Narrow" w:hAnsi="Arial Narrow"/>
                <w:b/>
                <w:bCs/>
                <w:i/>
                <w:noProof/>
                <w:color w:val="000000"/>
                <w:sz w:val="20"/>
                <w:highlight w:val="black"/>
              </w:rPr>
              <w:t>''''''''''''''''''''''''''''''''</w:t>
            </w:r>
          </w:p>
        </w:tc>
      </w:tr>
      <w:tr w:rsidR="0033614E" w:rsidRPr="008F0598" w:rsidTr="0082456B">
        <w:tc>
          <w:tcPr>
            <w:tcW w:w="5000" w:type="pct"/>
            <w:gridSpan w:val="8"/>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33614E" w:rsidRPr="005C0DF8" w:rsidRDefault="0033614E" w:rsidP="00E35CCE">
            <w:pPr>
              <w:rPr>
                <w:i/>
              </w:rPr>
            </w:pPr>
            <w:r w:rsidRPr="006D7E8C">
              <w:rPr>
                <w:rFonts w:ascii="Arial Narrow" w:hAnsi="Arial Narrow"/>
                <w:b/>
                <w:bCs/>
                <w:i/>
                <w:sz w:val="20"/>
              </w:rPr>
              <w:lastRenderedPageBreak/>
              <w:t xml:space="preserve">Sensitivity analyses (ex-man price for </w:t>
            </w:r>
            <w:proofErr w:type="spellStart"/>
            <w:r w:rsidRPr="006D7E8C">
              <w:rPr>
                <w:rFonts w:ascii="Arial Narrow" w:hAnsi="Arial Narrow"/>
                <w:b/>
                <w:bCs/>
                <w:i/>
                <w:sz w:val="20"/>
              </w:rPr>
              <w:t>abiraterone</w:t>
            </w:r>
            <w:proofErr w:type="spellEnd"/>
            <w:r w:rsidRPr="006D7E8C">
              <w:rPr>
                <w:rFonts w:ascii="Arial Narrow" w:hAnsi="Arial Narrow"/>
                <w:b/>
                <w:bCs/>
                <w:i/>
                <w:sz w:val="20"/>
              </w:rPr>
              <w:t>)</w:t>
            </w:r>
          </w:p>
        </w:tc>
      </w:tr>
      <w:tr w:rsidR="0033614E" w:rsidRPr="008F0598" w:rsidTr="0082456B">
        <w:tc>
          <w:tcPr>
            <w:tcW w:w="1137" w:type="pct"/>
            <w:gridSpan w:val="2"/>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33614E" w:rsidRPr="005C0DF8" w:rsidRDefault="005C0DF8" w:rsidP="0082456B">
            <w:pPr>
              <w:rPr>
                <w:i/>
                <w:highlight w:val="black"/>
              </w:rPr>
            </w:pPr>
            <w:r>
              <w:rPr>
                <w:rFonts w:ascii="Arial Narrow" w:hAnsi="Arial Narrow"/>
                <w:b/>
                <w:bCs/>
                <w:i/>
                <w:noProof/>
                <w:color w:val="000000"/>
                <w:sz w:val="20"/>
                <w:highlight w:val="black"/>
              </w:rPr>
              <w:t>''''''''''''''''''''''''''''</w:t>
            </w:r>
          </w:p>
        </w:tc>
        <w:tc>
          <w:tcPr>
            <w:tcW w:w="1585" w:type="pct"/>
            <w:gridSpan w:val="3"/>
            <w:tcBorders>
              <w:top w:val="nil"/>
              <w:left w:val="nil"/>
              <w:bottom w:val="single" w:sz="8" w:space="0" w:color="auto"/>
              <w:right w:val="single" w:sz="8" w:space="0" w:color="auto"/>
            </w:tcBorders>
            <w:tcMar>
              <w:top w:w="0" w:type="dxa"/>
              <w:left w:w="28" w:type="dxa"/>
              <w:bottom w:w="0" w:type="dxa"/>
              <w:right w:w="28" w:type="dxa"/>
            </w:tcMar>
            <w:vAlign w:val="center"/>
            <w:hideMark/>
          </w:tcPr>
          <w:p w:rsidR="0033614E" w:rsidRPr="005C0DF8" w:rsidRDefault="005C0DF8" w:rsidP="00E35CCE">
            <w:pPr>
              <w:jc w:val="center"/>
              <w:rPr>
                <w:i/>
                <w:highlight w:val="black"/>
              </w:rPr>
            </w:pPr>
            <w:r>
              <w:rPr>
                <w:rFonts w:ascii="Arial Narrow" w:hAnsi="Arial Narrow"/>
                <w:i/>
                <w:noProof/>
                <w:color w:val="000000"/>
                <w:sz w:val="20"/>
                <w:highlight w:val="black"/>
              </w:rPr>
              <w:t>'''''''''''''''''''</w:t>
            </w:r>
          </w:p>
        </w:tc>
        <w:tc>
          <w:tcPr>
            <w:tcW w:w="2279" w:type="pct"/>
            <w:gridSpan w:val="3"/>
            <w:tcBorders>
              <w:top w:val="nil"/>
              <w:left w:val="nil"/>
              <w:bottom w:val="single" w:sz="8" w:space="0" w:color="auto"/>
              <w:right w:val="single" w:sz="8" w:space="0" w:color="auto"/>
            </w:tcBorders>
            <w:tcMar>
              <w:top w:w="0" w:type="dxa"/>
              <w:left w:w="28" w:type="dxa"/>
              <w:bottom w:w="0" w:type="dxa"/>
              <w:right w:w="28" w:type="dxa"/>
            </w:tcMar>
            <w:vAlign w:val="center"/>
          </w:tcPr>
          <w:p w:rsidR="0033614E" w:rsidRPr="005C0DF8" w:rsidRDefault="005C0DF8" w:rsidP="00E35CCE">
            <w:pPr>
              <w:jc w:val="center"/>
              <w:rPr>
                <w:i/>
                <w:highlight w:val="black"/>
              </w:rPr>
            </w:pPr>
            <w:r>
              <w:rPr>
                <w:rFonts w:ascii="Arial Narrow" w:hAnsi="Arial Narrow"/>
                <w:i/>
                <w:noProof/>
                <w:color w:val="000000"/>
                <w:sz w:val="20"/>
                <w:highlight w:val="black"/>
              </w:rPr>
              <w:t>'''''''''''''''''''''</w:t>
            </w:r>
          </w:p>
        </w:tc>
      </w:tr>
      <w:tr w:rsidR="0033614E" w:rsidRPr="008F0598" w:rsidTr="0082456B">
        <w:tc>
          <w:tcPr>
            <w:tcW w:w="1137" w:type="pct"/>
            <w:gridSpan w:val="2"/>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33614E" w:rsidRPr="005C0DF8" w:rsidRDefault="005C0DF8" w:rsidP="0082456B">
            <w:pPr>
              <w:rPr>
                <w:i/>
                <w:highlight w:val="black"/>
              </w:rPr>
            </w:pPr>
            <w:r>
              <w:rPr>
                <w:rFonts w:ascii="Arial Narrow" w:hAnsi="Arial Narrow"/>
                <w:b/>
                <w:bCs/>
                <w:i/>
                <w:noProof/>
                <w:color w:val="000000"/>
                <w:sz w:val="20"/>
                <w:highlight w:val="black"/>
              </w:rPr>
              <w:t>''''''''''''''''''''''''''''</w:t>
            </w:r>
          </w:p>
        </w:tc>
        <w:tc>
          <w:tcPr>
            <w:tcW w:w="1585" w:type="pct"/>
            <w:gridSpan w:val="3"/>
            <w:tcBorders>
              <w:top w:val="nil"/>
              <w:left w:val="nil"/>
              <w:bottom w:val="single" w:sz="8" w:space="0" w:color="auto"/>
              <w:right w:val="single" w:sz="8" w:space="0" w:color="auto"/>
            </w:tcBorders>
            <w:tcMar>
              <w:top w:w="0" w:type="dxa"/>
              <w:left w:w="28" w:type="dxa"/>
              <w:bottom w:w="0" w:type="dxa"/>
              <w:right w:w="28" w:type="dxa"/>
            </w:tcMar>
            <w:vAlign w:val="center"/>
            <w:hideMark/>
          </w:tcPr>
          <w:p w:rsidR="0033614E" w:rsidRPr="005C0DF8" w:rsidRDefault="005C0DF8" w:rsidP="00E35CCE">
            <w:pPr>
              <w:jc w:val="center"/>
              <w:rPr>
                <w:i/>
                <w:highlight w:val="black"/>
              </w:rPr>
            </w:pPr>
            <w:r>
              <w:rPr>
                <w:rFonts w:ascii="Arial Narrow" w:hAnsi="Arial Narrow"/>
                <w:i/>
                <w:noProof/>
                <w:color w:val="000000"/>
                <w:sz w:val="20"/>
                <w:highlight w:val="black"/>
              </w:rPr>
              <w:t>''''''''''''''''''''''</w:t>
            </w:r>
          </w:p>
        </w:tc>
        <w:tc>
          <w:tcPr>
            <w:tcW w:w="2279" w:type="pct"/>
            <w:gridSpan w:val="3"/>
            <w:tcBorders>
              <w:top w:val="nil"/>
              <w:left w:val="nil"/>
              <w:bottom w:val="single" w:sz="8" w:space="0" w:color="auto"/>
              <w:right w:val="single" w:sz="8" w:space="0" w:color="auto"/>
            </w:tcBorders>
            <w:tcMar>
              <w:top w:w="0" w:type="dxa"/>
              <w:left w:w="28" w:type="dxa"/>
              <w:bottom w:w="0" w:type="dxa"/>
              <w:right w:w="28" w:type="dxa"/>
            </w:tcMar>
            <w:vAlign w:val="center"/>
          </w:tcPr>
          <w:p w:rsidR="0033614E" w:rsidRPr="005C0DF8" w:rsidRDefault="005C0DF8" w:rsidP="00E35CCE">
            <w:pPr>
              <w:jc w:val="center"/>
              <w:rPr>
                <w:i/>
                <w:highlight w:val="black"/>
              </w:rPr>
            </w:pPr>
            <w:r>
              <w:rPr>
                <w:rFonts w:ascii="Arial Narrow" w:hAnsi="Arial Narrow"/>
                <w:i/>
                <w:noProof/>
                <w:color w:val="000000"/>
                <w:sz w:val="20"/>
                <w:highlight w:val="black"/>
              </w:rPr>
              <w:t>'''''''''''''''''''</w:t>
            </w:r>
          </w:p>
        </w:tc>
      </w:tr>
      <w:tr w:rsidR="0033614E" w:rsidRPr="008F0598" w:rsidTr="0082456B">
        <w:tc>
          <w:tcPr>
            <w:tcW w:w="1137" w:type="pct"/>
            <w:gridSpan w:val="2"/>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33614E" w:rsidRPr="005C0DF8" w:rsidRDefault="005C0DF8" w:rsidP="0082456B">
            <w:pPr>
              <w:rPr>
                <w:i/>
                <w:highlight w:val="black"/>
              </w:rPr>
            </w:pPr>
            <w:r>
              <w:rPr>
                <w:rFonts w:ascii="Arial Narrow" w:hAnsi="Arial Narrow"/>
                <w:b/>
                <w:bCs/>
                <w:i/>
                <w:noProof/>
                <w:color w:val="000000"/>
                <w:sz w:val="20"/>
                <w:highlight w:val="black"/>
              </w:rPr>
              <w:t>'''''''''''''''''''''''''''''</w:t>
            </w:r>
          </w:p>
        </w:tc>
        <w:tc>
          <w:tcPr>
            <w:tcW w:w="1585" w:type="pct"/>
            <w:gridSpan w:val="3"/>
            <w:tcBorders>
              <w:top w:val="nil"/>
              <w:left w:val="nil"/>
              <w:bottom w:val="single" w:sz="8" w:space="0" w:color="auto"/>
              <w:right w:val="single" w:sz="8" w:space="0" w:color="auto"/>
            </w:tcBorders>
            <w:tcMar>
              <w:top w:w="0" w:type="dxa"/>
              <w:left w:w="28" w:type="dxa"/>
              <w:bottom w:w="0" w:type="dxa"/>
              <w:right w:w="28" w:type="dxa"/>
            </w:tcMar>
            <w:vAlign w:val="center"/>
          </w:tcPr>
          <w:p w:rsidR="0033614E" w:rsidRPr="005C0DF8" w:rsidRDefault="005C0DF8" w:rsidP="00E35CCE">
            <w:pPr>
              <w:jc w:val="center"/>
              <w:rPr>
                <w:i/>
                <w:highlight w:val="black"/>
              </w:rPr>
            </w:pPr>
            <w:r>
              <w:rPr>
                <w:rFonts w:ascii="Arial Narrow" w:hAnsi="Arial Narrow"/>
                <w:i/>
                <w:noProof/>
                <w:color w:val="000000"/>
                <w:sz w:val="20"/>
                <w:highlight w:val="black"/>
              </w:rPr>
              <w:t>''''''''''''''''''</w:t>
            </w:r>
          </w:p>
        </w:tc>
        <w:tc>
          <w:tcPr>
            <w:tcW w:w="2279" w:type="pct"/>
            <w:gridSpan w:val="3"/>
            <w:tcBorders>
              <w:top w:val="nil"/>
              <w:left w:val="nil"/>
              <w:bottom w:val="single" w:sz="8" w:space="0" w:color="auto"/>
              <w:right w:val="single" w:sz="8" w:space="0" w:color="auto"/>
            </w:tcBorders>
            <w:tcMar>
              <w:top w:w="0" w:type="dxa"/>
              <w:left w:w="28" w:type="dxa"/>
              <w:bottom w:w="0" w:type="dxa"/>
              <w:right w:w="28" w:type="dxa"/>
            </w:tcMar>
            <w:vAlign w:val="center"/>
          </w:tcPr>
          <w:p w:rsidR="0033614E" w:rsidRPr="005C0DF8" w:rsidRDefault="005C0DF8" w:rsidP="00E35CCE">
            <w:pPr>
              <w:jc w:val="center"/>
              <w:rPr>
                <w:i/>
                <w:highlight w:val="black"/>
              </w:rPr>
            </w:pPr>
            <w:r>
              <w:rPr>
                <w:rFonts w:ascii="Arial Narrow" w:hAnsi="Arial Narrow"/>
                <w:i/>
                <w:noProof/>
                <w:color w:val="000000"/>
                <w:sz w:val="20"/>
                <w:highlight w:val="black"/>
              </w:rPr>
              <w:t>''''''''''''''''''''</w:t>
            </w:r>
          </w:p>
        </w:tc>
      </w:tr>
    </w:tbl>
    <w:p w:rsidR="0033614E" w:rsidRPr="006D7E8C" w:rsidRDefault="0033614E" w:rsidP="00E35CCE">
      <w:pPr>
        <w:pStyle w:val="ListParagraph"/>
        <w:rPr>
          <w:i/>
        </w:rPr>
      </w:pPr>
      <w:r w:rsidRPr="006D7E8C">
        <w:rPr>
          <w:rFonts w:ascii="Arial Narrow" w:hAnsi="Arial Narrow"/>
          <w:i/>
          <w:sz w:val="18"/>
          <w:szCs w:val="18"/>
        </w:rPr>
        <w:t xml:space="preserve">Abbreviations: ITT=intention to treat, CI=confidence interval, NE = not estimable, AB = </w:t>
      </w:r>
      <w:proofErr w:type="spellStart"/>
      <w:r w:rsidRPr="006D7E8C">
        <w:rPr>
          <w:rFonts w:ascii="Arial Narrow" w:hAnsi="Arial Narrow"/>
          <w:i/>
          <w:sz w:val="18"/>
          <w:szCs w:val="18"/>
        </w:rPr>
        <w:t>abiraterone</w:t>
      </w:r>
      <w:proofErr w:type="spellEnd"/>
      <w:r w:rsidRPr="006D7E8C">
        <w:rPr>
          <w:rFonts w:ascii="Arial Narrow" w:hAnsi="Arial Narrow"/>
          <w:i/>
          <w:sz w:val="18"/>
          <w:szCs w:val="18"/>
        </w:rPr>
        <w:t xml:space="preserve"> + prednisone/prednisolone, PLA= placebo + prednisone/prednisolone</w:t>
      </w:r>
    </w:p>
    <w:p w:rsidR="0033614E" w:rsidRPr="005C0DF8" w:rsidRDefault="005C0DF8" w:rsidP="00E35CCE">
      <w:pPr>
        <w:pStyle w:val="ListParagraph"/>
        <w:rPr>
          <w:i/>
          <w:highlight w:val="black"/>
        </w:rPr>
      </w:pPr>
      <w:r>
        <w:rPr>
          <w:rFonts w:ascii="Arial Narrow" w:hAnsi="Arial Narrow"/>
          <w:i/>
          <w:noProof/>
          <w:color w:val="000000"/>
          <w:sz w:val="18"/>
          <w:szCs w:val="18"/>
          <w:highlight w:val="black"/>
          <w:vertAlign w:val="superscript"/>
        </w:rPr>
        <w:t>''''''' ''' ''''''''''''' '''' '''''''''' '''' ''''''''''''''''''' '''''''' '''''''''''''''''''''' '''''' '''''''''''''''' ''''' ''''' '''''''</w:t>
      </w:r>
    </w:p>
    <w:p w:rsidR="0033614E" w:rsidRPr="005C0DF8" w:rsidRDefault="005C0DF8" w:rsidP="00E35CCE">
      <w:pPr>
        <w:pStyle w:val="ListParagraph"/>
        <w:rPr>
          <w:i/>
          <w:highlight w:val="black"/>
        </w:rPr>
      </w:pPr>
      <w:r>
        <w:rPr>
          <w:rFonts w:ascii="Arial Narrow" w:hAnsi="Arial Narrow"/>
          <w:i/>
          <w:noProof/>
          <w:color w:val="000000"/>
          <w:sz w:val="18"/>
          <w:szCs w:val="18"/>
          <w:highlight w:val="black"/>
          <w:vertAlign w:val="superscript"/>
        </w:rPr>
        <w:t>'''''' ''''''''''''''''' '''''''''''' '''' ''''''''''' ''''''''''''''''''''' ''''''''''''''''''''''''''' ''''''''''''''''''''' ''''''''''''''' ''''''''''''''''' '''''''''' ''''''' ''''''''''''''''' ''''''''''''''''''''''''''''</w:t>
      </w:r>
    </w:p>
    <w:p w:rsidR="0033614E" w:rsidRPr="005C0DF8" w:rsidRDefault="005C0DF8" w:rsidP="00E35CCE">
      <w:pPr>
        <w:pStyle w:val="ListParagraph"/>
        <w:rPr>
          <w:i/>
          <w:highlight w:val="black"/>
        </w:rPr>
      </w:pPr>
      <w:r>
        <w:rPr>
          <w:rFonts w:ascii="Arial Narrow" w:hAnsi="Arial Narrow"/>
          <w:i/>
          <w:noProof/>
          <w:color w:val="000000"/>
          <w:sz w:val="18"/>
          <w:szCs w:val="18"/>
          <w:highlight w:val="black"/>
        </w:rPr>
        <w:t>'''''''''''''''''' '''''''''''''' ''''''' ''''''''''''''''''''''''''''''''''''''' ''''''''''''''''''' ''''''''' ''''' '''''''' '''''''''''''''''' ''''''''''''' ''''''''''''''' '''''''''''''''''''''''''''''''' ''''' '''''''''''' ''''''''''''''</w:t>
      </w:r>
    </w:p>
    <w:p w:rsidR="0033614E" w:rsidRPr="00E35CCE" w:rsidRDefault="0033614E" w:rsidP="00E35CCE">
      <w:pPr>
        <w:pStyle w:val="ListParagraph"/>
        <w:rPr>
          <w:i/>
          <w:iCs/>
        </w:rPr>
      </w:pPr>
    </w:p>
    <w:p w:rsidR="00BB7EC3" w:rsidRPr="0082456B" w:rsidRDefault="0033614E" w:rsidP="00E35CCE">
      <w:pPr>
        <w:pStyle w:val="ListParagraph"/>
        <w:numPr>
          <w:ilvl w:val="1"/>
          <w:numId w:val="25"/>
        </w:numPr>
        <w:rPr>
          <w:rFonts w:ascii="Arial" w:hAnsi="Arial"/>
          <w:sz w:val="22"/>
          <w:szCs w:val="22"/>
        </w:rPr>
      </w:pPr>
      <w:r w:rsidRPr="0082456B">
        <w:rPr>
          <w:rFonts w:ascii="Arial" w:hAnsi="Arial" w:cs="Arial"/>
          <w:sz w:val="22"/>
        </w:rPr>
        <w:t xml:space="preserve">No medical management or downstream pharmaceutical costs were included in the model. Given the survival advantage of the </w:t>
      </w:r>
      <w:proofErr w:type="spellStart"/>
      <w:r w:rsidRPr="0082456B">
        <w:rPr>
          <w:rFonts w:ascii="Arial" w:hAnsi="Arial" w:cs="Arial"/>
          <w:sz w:val="22"/>
        </w:rPr>
        <w:t>abiraterone</w:t>
      </w:r>
      <w:proofErr w:type="spellEnd"/>
      <w:r w:rsidRPr="0082456B">
        <w:rPr>
          <w:rFonts w:ascii="Arial" w:hAnsi="Arial" w:cs="Arial"/>
          <w:sz w:val="22"/>
        </w:rPr>
        <w:t xml:space="preserve"> arm, the omission of these costs favours </w:t>
      </w:r>
      <w:proofErr w:type="spellStart"/>
      <w:r w:rsidRPr="0082456B">
        <w:rPr>
          <w:rFonts w:ascii="Arial" w:hAnsi="Arial" w:cs="Arial"/>
          <w:sz w:val="22"/>
        </w:rPr>
        <w:t>abiraterone</w:t>
      </w:r>
      <w:proofErr w:type="spellEnd"/>
      <w:r w:rsidRPr="0082456B">
        <w:rPr>
          <w:rFonts w:ascii="Arial" w:hAnsi="Arial" w:cs="Arial"/>
          <w:sz w:val="22"/>
        </w:rPr>
        <w:t xml:space="preserve">. </w:t>
      </w:r>
    </w:p>
    <w:p w:rsidR="0082456B" w:rsidRPr="0082456B" w:rsidRDefault="0082456B" w:rsidP="0082456B">
      <w:pPr>
        <w:pStyle w:val="ListParagraph"/>
        <w:rPr>
          <w:rFonts w:ascii="Arial" w:hAnsi="Arial"/>
          <w:sz w:val="22"/>
          <w:szCs w:val="22"/>
        </w:rPr>
      </w:pPr>
    </w:p>
    <w:p w:rsidR="00BB7EC3" w:rsidRPr="00E35CCE" w:rsidRDefault="00BB7EC3" w:rsidP="00E35CCE">
      <w:pPr>
        <w:pStyle w:val="ListParagraph"/>
        <w:ind w:left="709"/>
        <w:jc w:val="both"/>
        <w:rPr>
          <w:rFonts w:ascii="Arial" w:hAnsi="Arial"/>
          <w:i/>
          <w:sz w:val="22"/>
          <w:szCs w:val="22"/>
        </w:rPr>
      </w:pPr>
      <w:r w:rsidRPr="00E35CCE">
        <w:rPr>
          <w:rFonts w:ascii="Arial" w:hAnsi="Arial"/>
          <w:i/>
          <w:sz w:val="22"/>
          <w:szCs w:val="22"/>
        </w:rPr>
        <w:t>For more detail on PBAC’s view, see section 7 “PBAC outcome”</w:t>
      </w:r>
    </w:p>
    <w:p w:rsidR="00F57A6D" w:rsidRPr="00E35CCE" w:rsidRDefault="00F57A6D" w:rsidP="00E35CCE">
      <w:pPr>
        <w:ind w:left="720" w:hanging="720"/>
        <w:jc w:val="both"/>
        <w:rPr>
          <w:rFonts w:ascii="Arial" w:hAnsi="Arial"/>
          <w:sz w:val="22"/>
          <w:szCs w:val="22"/>
        </w:rPr>
      </w:pPr>
    </w:p>
    <w:p w:rsidR="005A3173" w:rsidRPr="00E35CCE" w:rsidRDefault="005A3173" w:rsidP="00E35CCE">
      <w:pPr>
        <w:ind w:left="720" w:hanging="720"/>
        <w:jc w:val="both"/>
        <w:rPr>
          <w:rFonts w:ascii="Arial" w:hAnsi="Arial"/>
          <w:b/>
          <w:i/>
          <w:sz w:val="22"/>
          <w:szCs w:val="22"/>
        </w:rPr>
      </w:pPr>
      <w:r w:rsidRPr="00E35CCE">
        <w:rPr>
          <w:rFonts w:ascii="Arial" w:hAnsi="Arial"/>
          <w:b/>
          <w:i/>
          <w:sz w:val="22"/>
          <w:szCs w:val="22"/>
        </w:rPr>
        <w:t>Estimated PBS usage &amp; financial implications</w:t>
      </w:r>
    </w:p>
    <w:p w:rsidR="005A3173" w:rsidRPr="00E35CCE" w:rsidRDefault="005A3173" w:rsidP="00E35CCE">
      <w:pPr>
        <w:ind w:left="720" w:hanging="720"/>
        <w:jc w:val="both"/>
        <w:rPr>
          <w:rFonts w:ascii="Arial" w:hAnsi="Arial"/>
          <w:b/>
          <w:i/>
          <w:sz w:val="22"/>
          <w:szCs w:val="22"/>
        </w:rPr>
      </w:pPr>
    </w:p>
    <w:p w:rsidR="00BB7EC3" w:rsidRPr="00E35CCE" w:rsidRDefault="000F07C8" w:rsidP="00E35CCE">
      <w:pPr>
        <w:pStyle w:val="ListParagraph"/>
        <w:numPr>
          <w:ilvl w:val="1"/>
          <w:numId w:val="25"/>
        </w:numPr>
        <w:ind w:left="709" w:hanging="709"/>
        <w:jc w:val="both"/>
        <w:rPr>
          <w:rFonts w:ascii="Arial" w:hAnsi="Arial"/>
          <w:sz w:val="22"/>
          <w:szCs w:val="22"/>
        </w:rPr>
      </w:pPr>
      <w:r w:rsidRPr="00E35CCE">
        <w:rPr>
          <w:rFonts w:ascii="Arial" w:hAnsi="Arial" w:cs="Arial"/>
          <w:color w:val="000000"/>
          <w:sz w:val="22"/>
          <w:szCs w:val="22"/>
        </w:rPr>
        <w:t xml:space="preserve">The submission was considered by the Drug Utilisation Sub-Committee (DUSC). The main issues </w:t>
      </w:r>
      <w:r w:rsidR="003474E8" w:rsidRPr="00E35CCE">
        <w:rPr>
          <w:rFonts w:ascii="Arial" w:hAnsi="Arial" w:cs="Arial"/>
          <w:color w:val="000000"/>
          <w:sz w:val="22"/>
          <w:szCs w:val="22"/>
        </w:rPr>
        <w:t xml:space="preserve">identified </w:t>
      </w:r>
      <w:r w:rsidRPr="00E35CCE">
        <w:rPr>
          <w:rFonts w:ascii="Arial" w:hAnsi="Arial" w:cs="Arial"/>
          <w:color w:val="000000"/>
          <w:sz w:val="22"/>
          <w:szCs w:val="22"/>
        </w:rPr>
        <w:t xml:space="preserve">by </w:t>
      </w:r>
      <w:r w:rsidR="003474E8" w:rsidRPr="00E35CCE">
        <w:rPr>
          <w:rFonts w:ascii="Arial" w:hAnsi="Arial" w:cs="Arial"/>
          <w:color w:val="000000"/>
          <w:sz w:val="22"/>
          <w:szCs w:val="22"/>
        </w:rPr>
        <w:t xml:space="preserve">the </w:t>
      </w:r>
      <w:r w:rsidRPr="00E35CCE">
        <w:rPr>
          <w:rFonts w:ascii="Arial" w:hAnsi="Arial" w:cs="Arial"/>
          <w:color w:val="000000"/>
          <w:sz w:val="22"/>
          <w:szCs w:val="22"/>
        </w:rPr>
        <w:t>DUSC include the following:</w:t>
      </w:r>
    </w:p>
    <w:p w:rsidR="000F07C8" w:rsidRPr="00E35CCE" w:rsidRDefault="000F07C8" w:rsidP="00E35CCE">
      <w:pPr>
        <w:pStyle w:val="ListParagraph"/>
        <w:widowControl w:val="0"/>
        <w:numPr>
          <w:ilvl w:val="0"/>
          <w:numId w:val="47"/>
        </w:numPr>
        <w:spacing w:after="240"/>
        <w:jc w:val="both"/>
        <w:rPr>
          <w:rFonts w:ascii="Arial" w:hAnsi="Arial"/>
          <w:sz w:val="22"/>
          <w:szCs w:val="22"/>
        </w:rPr>
      </w:pPr>
      <w:r w:rsidRPr="00E35CCE">
        <w:rPr>
          <w:rFonts w:ascii="Arial" w:hAnsi="Arial" w:cs="Arial"/>
          <w:sz w:val="22"/>
        </w:rPr>
        <w:t>The number of patients who have failed PBS androgen deprivation therapy (ADT) has been underestimated in the submission.</w:t>
      </w:r>
    </w:p>
    <w:p w:rsidR="000F07C8" w:rsidRPr="00E35CCE" w:rsidRDefault="000F07C8" w:rsidP="00E35CCE">
      <w:pPr>
        <w:pStyle w:val="ListParagraph"/>
        <w:widowControl w:val="0"/>
        <w:numPr>
          <w:ilvl w:val="0"/>
          <w:numId w:val="47"/>
        </w:numPr>
        <w:spacing w:after="240"/>
        <w:jc w:val="both"/>
        <w:rPr>
          <w:rFonts w:ascii="Arial" w:hAnsi="Arial"/>
          <w:sz w:val="22"/>
          <w:szCs w:val="22"/>
        </w:rPr>
      </w:pPr>
      <w:r w:rsidRPr="00E35CCE">
        <w:rPr>
          <w:rFonts w:ascii="Arial" w:hAnsi="Arial" w:cs="Arial"/>
          <w:sz w:val="22"/>
        </w:rPr>
        <w:t xml:space="preserve">The proportion of prevalent patients who have failed ADT and would be eligible for </w:t>
      </w:r>
      <w:proofErr w:type="spellStart"/>
      <w:r w:rsidRPr="00E35CCE">
        <w:rPr>
          <w:rFonts w:ascii="Arial" w:hAnsi="Arial" w:cs="Arial"/>
          <w:sz w:val="22"/>
        </w:rPr>
        <w:t>abiraterone</w:t>
      </w:r>
      <w:proofErr w:type="spellEnd"/>
      <w:r w:rsidRPr="00E35CCE">
        <w:rPr>
          <w:rFonts w:ascii="Arial" w:hAnsi="Arial" w:cs="Arial"/>
          <w:sz w:val="22"/>
        </w:rPr>
        <w:t xml:space="preserve"> according to the proposed criteria is not known. The submission uses the proportion of patients in Trial 302 who would meet the proposed PBS criteria. </w:t>
      </w:r>
      <w:r w:rsidR="00FB1556" w:rsidRPr="00E35CCE">
        <w:rPr>
          <w:rFonts w:ascii="Arial" w:hAnsi="Arial" w:cs="Arial"/>
          <w:sz w:val="22"/>
        </w:rPr>
        <w:t xml:space="preserve">The </w:t>
      </w:r>
      <w:r w:rsidRPr="00E35CCE">
        <w:rPr>
          <w:rFonts w:ascii="Arial" w:hAnsi="Arial" w:cs="Arial"/>
          <w:sz w:val="22"/>
        </w:rPr>
        <w:t xml:space="preserve">DUSC considered that this approach is flawed as the clinical trial participants are a select group that would not characterise the prevalent </w:t>
      </w:r>
      <w:proofErr w:type="spellStart"/>
      <w:r w:rsidRPr="00E35CCE">
        <w:rPr>
          <w:rFonts w:ascii="Arial" w:hAnsi="Arial" w:cs="Arial"/>
          <w:sz w:val="22"/>
        </w:rPr>
        <w:t>mCRPC</w:t>
      </w:r>
      <w:proofErr w:type="spellEnd"/>
      <w:r w:rsidRPr="00E35CCE">
        <w:rPr>
          <w:rFonts w:ascii="Arial" w:hAnsi="Arial" w:cs="Arial"/>
          <w:sz w:val="22"/>
        </w:rPr>
        <w:t xml:space="preserve"> population.  </w:t>
      </w:r>
    </w:p>
    <w:p w:rsidR="000F07C8" w:rsidRPr="00E35CCE" w:rsidRDefault="000F07C8" w:rsidP="00E35CCE">
      <w:pPr>
        <w:pStyle w:val="ListParagraph"/>
        <w:widowControl w:val="0"/>
        <w:numPr>
          <w:ilvl w:val="0"/>
          <w:numId w:val="47"/>
        </w:numPr>
        <w:spacing w:after="240"/>
        <w:jc w:val="both"/>
        <w:rPr>
          <w:rFonts w:ascii="Arial" w:hAnsi="Arial"/>
          <w:sz w:val="22"/>
          <w:szCs w:val="22"/>
        </w:rPr>
      </w:pPr>
      <w:r w:rsidRPr="00E35CCE">
        <w:rPr>
          <w:rFonts w:ascii="Arial" w:hAnsi="Arial"/>
          <w:sz w:val="22"/>
          <w:szCs w:val="22"/>
        </w:rPr>
        <w:t xml:space="preserve">There is very high potential for mildly symptomatic patients to be treated with </w:t>
      </w:r>
      <w:proofErr w:type="spellStart"/>
      <w:r w:rsidRPr="00E35CCE">
        <w:rPr>
          <w:rFonts w:ascii="Arial" w:hAnsi="Arial"/>
          <w:sz w:val="22"/>
          <w:szCs w:val="22"/>
        </w:rPr>
        <w:t>abiraterone</w:t>
      </w:r>
      <w:proofErr w:type="spellEnd"/>
      <w:r w:rsidRPr="00E35CCE">
        <w:rPr>
          <w:rFonts w:ascii="Arial" w:hAnsi="Arial"/>
          <w:sz w:val="22"/>
          <w:szCs w:val="22"/>
        </w:rPr>
        <w:t xml:space="preserve"> outside of the proposed listing.</w:t>
      </w:r>
      <w:r w:rsidRPr="00E35CCE">
        <w:rPr>
          <w:rFonts w:ascii="Arial" w:hAnsi="Arial" w:cs="Arial"/>
          <w:bCs/>
          <w:sz w:val="22"/>
          <w:szCs w:val="22"/>
        </w:rPr>
        <w:t xml:space="preserve"> Patients are likely to try an oral treatment before moving to chemotherapy.</w:t>
      </w:r>
    </w:p>
    <w:p w:rsidR="000F07C8" w:rsidRPr="0082456B" w:rsidRDefault="000F07C8" w:rsidP="00E35CCE">
      <w:pPr>
        <w:pStyle w:val="ListParagraph"/>
        <w:widowControl w:val="0"/>
        <w:numPr>
          <w:ilvl w:val="0"/>
          <w:numId w:val="47"/>
        </w:numPr>
        <w:spacing w:after="240"/>
        <w:jc w:val="both"/>
        <w:rPr>
          <w:rFonts w:ascii="Arial" w:hAnsi="Arial"/>
          <w:sz w:val="22"/>
          <w:szCs w:val="22"/>
        </w:rPr>
      </w:pPr>
      <w:proofErr w:type="spellStart"/>
      <w:r w:rsidRPr="0082456B">
        <w:rPr>
          <w:rFonts w:ascii="Arial" w:hAnsi="Arial" w:cs="Arial"/>
          <w:sz w:val="22"/>
        </w:rPr>
        <w:t>Abiraterone</w:t>
      </w:r>
      <w:proofErr w:type="spellEnd"/>
      <w:r w:rsidRPr="0082456B">
        <w:rPr>
          <w:rFonts w:ascii="Arial" w:hAnsi="Arial" w:cs="Arial"/>
          <w:sz w:val="22"/>
        </w:rPr>
        <w:t xml:space="preserve"> may substitute for ADT resulting in longer durations of </w:t>
      </w:r>
      <w:proofErr w:type="spellStart"/>
      <w:r w:rsidRPr="0082456B">
        <w:rPr>
          <w:rFonts w:ascii="Arial" w:hAnsi="Arial" w:cs="Arial"/>
          <w:sz w:val="22"/>
        </w:rPr>
        <w:t>abiraterone</w:t>
      </w:r>
      <w:proofErr w:type="spellEnd"/>
      <w:r w:rsidRPr="0082456B">
        <w:rPr>
          <w:rFonts w:ascii="Arial" w:hAnsi="Arial" w:cs="Arial"/>
          <w:sz w:val="22"/>
        </w:rPr>
        <w:t xml:space="preserve"> treatment; may be used post progression in patients unsuitable for chemotherapy; or may be used again post-</w:t>
      </w:r>
      <w:proofErr w:type="spellStart"/>
      <w:r w:rsidRPr="0082456B">
        <w:rPr>
          <w:rFonts w:ascii="Arial" w:hAnsi="Arial" w:cs="Arial"/>
          <w:sz w:val="22"/>
        </w:rPr>
        <w:t>docetaxel</w:t>
      </w:r>
      <w:proofErr w:type="spellEnd"/>
      <w:r w:rsidRPr="0082456B">
        <w:rPr>
          <w:rFonts w:ascii="Arial" w:hAnsi="Arial" w:cs="Arial"/>
          <w:sz w:val="22"/>
        </w:rPr>
        <w:t xml:space="preserve">. </w:t>
      </w:r>
    </w:p>
    <w:p w:rsidR="0082456B" w:rsidRPr="0082456B" w:rsidRDefault="0082456B" w:rsidP="0082456B">
      <w:pPr>
        <w:pStyle w:val="ListParagraph"/>
        <w:widowControl w:val="0"/>
        <w:spacing w:after="240"/>
        <w:ind w:left="1429"/>
        <w:jc w:val="both"/>
        <w:rPr>
          <w:rFonts w:ascii="Arial" w:hAnsi="Arial"/>
          <w:sz w:val="22"/>
          <w:szCs w:val="22"/>
        </w:rPr>
      </w:pPr>
    </w:p>
    <w:p w:rsidR="00BB7EC3" w:rsidRPr="006D7E8C" w:rsidRDefault="000F07C8" w:rsidP="00E35CCE">
      <w:pPr>
        <w:pStyle w:val="ListParagraph"/>
        <w:numPr>
          <w:ilvl w:val="1"/>
          <w:numId w:val="25"/>
        </w:numPr>
        <w:jc w:val="both"/>
        <w:rPr>
          <w:rFonts w:ascii="Arial" w:hAnsi="Arial"/>
          <w:sz w:val="22"/>
          <w:szCs w:val="22"/>
        </w:rPr>
      </w:pPr>
      <w:r w:rsidRPr="006D7E8C">
        <w:rPr>
          <w:rFonts w:ascii="Arial" w:hAnsi="Arial" w:cs="Arial"/>
          <w:color w:val="000000"/>
          <w:sz w:val="22"/>
          <w:szCs w:val="22"/>
        </w:rPr>
        <w:t xml:space="preserve">The estimated PBS usage and financial implications are presented </w:t>
      </w:r>
      <w:r w:rsidR="0082456B" w:rsidRPr="006D7E8C">
        <w:rPr>
          <w:rFonts w:ascii="Arial" w:hAnsi="Arial" w:cs="Arial"/>
          <w:color w:val="000000"/>
          <w:sz w:val="22"/>
          <w:szCs w:val="22"/>
        </w:rPr>
        <w:t>below.</w:t>
      </w:r>
    </w:p>
    <w:p w:rsidR="003B532F" w:rsidRPr="00E35CCE" w:rsidRDefault="003B532F" w:rsidP="00E35CCE">
      <w:pPr>
        <w:pStyle w:val="ListParagraph"/>
        <w:jc w:val="both"/>
        <w:rPr>
          <w:rFonts w:ascii="Arial" w:hAnsi="Arial"/>
          <w:sz w:val="22"/>
          <w:szCs w:val="22"/>
        </w:rPr>
      </w:pPr>
    </w:p>
    <w:p w:rsidR="003B532F" w:rsidRPr="006D7E8C" w:rsidRDefault="003B532F" w:rsidP="00E35CCE">
      <w:pPr>
        <w:ind w:firstLine="720"/>
        <w:rPr>
          <w:rFonts w:ascii="Arial Narrow" w:hAnsi="Arial Narrow" w:cs="Arial"/>
          <w:b/>
          <w:bCs/>
          <w:sz w:val="20"/>
        </w:rPr>
      </w:pPr>
      <w:r w:rsidRPr="006D7E8C">
        <w:rPr>
          <w:rFonts w:ascii="Arial Narrow" w:hAnsi="Arial Narrow" w:cs="Arial"/>
          <w:b/>
          <w:bCs/>
          <w:sz w:val="20"/>
        </w:rPr>
        <w:t xml:space="preserve">Estimated use and financial implications of </w:t>
      </w:r>
      <w:proofErr w:type="spellStart"/>
      <w:r w:rsidRPr="006D7E8C">
        <w:rPr>
          <w:rFonts w:ascii="Arial Narrow" w:hAnsi="Arial Narrow" w:cs="Arial"/>
          <w:b/>
          <w:bCs/>
          <w:sz w:val="20"/>
        </w:rPr>
        <w:t>abiraterone</w:t>
      </w:r>
      <w:proofErr w:type="spellEnd"/>
      <w:r w:rsidRPr="006D7E8C">
        <w:rPr>
          <w:rFonts w:ascii="Arial Narrow" w:hAnsi="Arial Narrow" w:cs="Arial"/>
          <w:b/>
          <w:bCs/>
          <w:sz w:val="20"/>
        </w:rPr>
        <w:t xml:space="preserve"> post-ADT</w:t>
      </w:r>
    </w:p>
    <w:tbl>
      <w:tblPr>
        <w:tblStyle w:val="TableGrid"/>
        <w:tblW w:w="4594" w:type="pct"/>
        <w:tblInd w:w="737" w:type="dxa"/>
        <w:tblCellMar>
          <w:left w:w="28" w:type="dxa"/>
          <w:right w:w="28" w:type="dxa"/>
        </w:tblCellMar>
        <w:tblLook w:val="04A0" w:firstRow="1" w:lastRow="0" w:firstColumn="1" w:lastColumn="0" w:noHBand="0" w:noVBand="1"/>
        <w:tblDescription w:val="Estimated use and financial implications of abiraterone post-ADT"/>
      </w:tblPr>
      <w:tblGrid>
        <w:gridCol w:w="2553"/>
        <w:gridCol w:w="1158"/>
        <w:gridCol w:w="1158"/>
        <w:gridCol w:w="1158"/>
        <w:gridCol w:w="1158"/>
        <w:gridCol w:w="1160"/>
      </w:tblGrid>
      <w:tr w:rsidR="003B532F" w:rsidRPr="008F0598" w:rsidTr="00274A61">
        <w:trPr>
          <w:tblHeader/>
        </w:trPr>
        <w:tc>
          <w:tcPr>
            <w:tcW w:w="1529" w:type="pct"/>
          </w:tcPr>
          <w:p w:rsidR="003B532F" w:rsidRPr="005C0DF8" w:rsidRDefault="003B532F" w:rsidP="00E35CCE">
            <w:pPr>
              <w:rPr>
                <w:rFonts w:ascii="Arial Narrow" w:hAnsi="Arial Narrow" w:cs="Arial"/>
                <w:sz w:val="20"/>
              </w:rPr>
            </w:pPr>
            <w:bookmarkStart w:id="0" w:name="_GoBack" w:colFirst="0" w:colLast="6"/>
          </w:p>
        </w:tc>
        <w:tc>
          <w:tcPr>
            <w:tcW w:w="694" w:type="pct"/>
            <w:vAlign w:val="center"/>
          </w:tcPr>
          <w:p w:rsidR="003B532F" w:rsidRPr="005C0DF8" w:rsidRDefault="003B532F" w:rsidP="00E35CCE">
            <w:pPr>
              <w:jc w:val="center"/>
              <w:rPr>
                <w:rFonts w:ascii="Arial Narrow" w:hAnsi="Arial Narrow" w:cs="Arial"/>
                <w:b/>
                <w:bCs/>
                <w:sz w:val="20"/>
              </w:rPr>
            </w:pPr>
            <w:r w:rsidRPr="006D7E8C">
              <w:rPr>
                <w:rFonts w:ascii="Arial Narrow" w:hAnsi="Arial Narrow" w:cs="Arial"/>
                <w:b/>
                <w:bCs/>
                <w:sz w:val="20"/>
              </w:rPr>
              <w:t>2015</w:t>
            </w:r>
          </w:p>
        </w:tc>
        <w:tc>
          <w:tcPr>
            <w:tcW w:w="694" w:type="pct"/>
            <w:vAlign w:val="center"/>
          </w:tcPr>
          <w:p w:rsidR="003B532F" w:rsidRPr="005C0DF8" w:rsidRDefault="003B532F" w:rsidP="00E35CCE">
            <w:pPr>
              <w:jc w:val="center"/>
              <w:rPr>
                <w:rFonts w:ascii="Arial Narrow" w:hAnsi="Arial Narrow" w:cs="Arial"/>
                <w:b/>
                <w:bCs/>
                <w:sz w:val="20"/>
              </w:rPr>
            </w:pPr>
            <w:r w:rsidRPr="006D7E8C">
              <w:rPr>
                <w:rFonts w:ascii="Arial Narrow" w:hAnsi="Arial Narrow" w:cs="Arial"/>
                <w:b/>
                <w:bCs/>
                <w:sz w:val="20"/>
              </w:rPr>
              <w:t>2016</w:t>
            </w:r>
          </w:p>
        </w:tc>
        <w:tc>
          <w:tcPr>
            <w:tcW w:w="694" w:type="pct"/>
            <w:vAlign w:val="center"/>
          </w:tcPr>
          <w:p w:rsidR="003B532F" w:rsidRPr="005C0DF8" w:rsidRDefault="003B532F" w:rsidP="00E35CCE">
            <w:pPr>
              <w:jc w:val="center"/>
              <w:rPr>
                <w:rFonts w:ascii="Arial Narrow" w:hAnsi="Arial Narrow" w:cs="Arial"/>
                <w:b/>
                <w:bCs/>
                <w:sz w:val="20"/>
              </w:rPr>
            </w:pPr>
            <w:r w:rsidRPr="006D7E8C">
              <w:rPr>
                <w:rFonts w:ascii="Arial Narrow" w:hAnsi="Arial Narrow" w:cs="Arial"/>
                <w:b/>
                <w:bCs/>
                <w:sz w:val="20"/>
              </w:rPr>
              <w:t>2017</w:t>
            </w:r>
          </w:p>
        </w:tc>
        <w:tc>
          <w:tcPr>
            <w:tcW w:w="694" w:type="pct"/>
            <w:vAlign w:val="center"/>
          </w:tcPr>
          <w:p w:rsidR="003B532F" w:rsidRPr="005C0DF8" w:rsidRDefault="003B532F" w:rsidP="00E35CCE">
            <w:pPr>
              <w:jc w:val="center"/>
              <w:rPr>
                <w:rFonts w:ascii="Arial Narrow" w:hAnsi="Arial Narrow" w:cs="Arial"/>
                <w:b/>
                <w:bCs/>
                <w:sz w:val="20"/>
              </w:rPr>
            </w:pPr>
            <w:r w:rsidRPr="006D7E8C">
              <w:rPr>
                <w:rFonts w:ascii="Arial Narrow" w:hAnsi="Arial Narrow" w:cs="Arial"/>
                <w:b/>
                <w:bCs/>
                <w:sz w:val="20"/>
              </w:rPr>
              <w:t>2018</w:t>
            </w:r>
          </w:p>
        </w:tc>
        <w:tc>
          <w:tcPr>
            <w:tcW w:w="693" w:type="pct"/>
            <w:vAlign w:val="center"/>
          </w:tcPr>
          <w:p w:rsidR="003B532F" w:rsidRPr="005C0DF8" w:rsidRDefault="003B532F" w:rsidP="00E35CCE">
            <w:pPr>
              <w:jc w:val="center"/>
              <w:rPr>
                <w:rFonts w:ascii="Arial Narrow" w:hAnsi="Arial Narrow" w:cs="Arial"/>
                <w:b/>
                <w:bCs/>
                <w:sz w:val="20"/>
              </w:rPr>
            </w:pPr>
            <w:r w:rsidRPr="006D7E8C">
              <w:rPr>
                <w:rFonts w:ascii="Arial Narrow" w:hAnsi="Arial Narrow" w:cs="Arial"/>
                <w:b/>
                <w:bCs/>
                <w:sz w:val="20"/>
              </w:rPr>
              <w:t>2019</w:t>
            </w:r>
          </w:p>
        </w:tc>
      </w:tr>
      <w:bookmarkEnd w:id="0"/>
      <w:tr w:rsidR="003B532F" w:rsidRPr="008F0598" w:rsidTr="0082456B">
        <w:tc>
          <w:tcPr>
            <w:tcW w:w="5000" w:type="pct"/>
            <w:gridSpan w:val="6"/>
            <w:vAlign w:val="center"/>
          </w:tcPr>
          <w:p w:rsidR="003B532F" w:rsidRPr="005C0DF8" w:rsidRDefault="003B532F" w:rsidP="00E35CCE">
            <w:pPr>
              <w:rPr>
                <w:rFonts w:ascii="Arial Narrow" w:hAnsi="Arial Narrow" w:cs="Arial"/>
                <w:b/>
                <w:bCs/>
                <w:sz w:val="20"/>
              </w:rPr>
            </w:pPr>
            <w:r w:rsidRPr="006D7E8C">
              <w:rPr>
                <w:rFonts w:ascii="Arial Narrow" w:hAnsi="Arial Narrow" w:cs="Arial"/>
                <w:b/>
                <w:bCs/>
                <w:sz w:val="20"/>
              </w:rPr>
              <w:t>Estimation of use and costs of the proposed drug</w:t>
            </w:r>
          </w:p>
        </w:tc>
      </w:tr>
      <w:tr w:rsidR="003B532F" w:rsidRPr="008F0598" w:rsidTr="0082456B">
        <w:tc>
          <w:tcPr>
            <w:tcW w:w="1529" w:type="pct"/>
          </w:tcPr>
          <w:p w:rsidR="003B532F" w:rsidRPr="005C0DF8" w:rsidRDefault="003B532F" w:rsidP="00E35CCE">
            <w:pPr>
              <w:rPr>
                <w:rFonts w:ascii="Arial Narrow" w:hAnsi="Arial Narrow" w:cs="Arial"/>
                <w:sz w:val="20"/>
              </w:rPr>
            </w:pPr>
            <w:r w:rsidRPr="006D7E8C">
              <w:rPr>
                <w:rFonts w:ascii="Arial Narrow" w:hAnsi="Arial Narrow" w:cs="Arial"/>
                <w:sz w:val="20"/>
              </w:rPr>
              <w:t xml:space="preserve">Total patients eligible for </w:t>
            </w:r>
            <w:proofErr w:type="spellStart"/>
            <w:r w:rsidRPr="006D7E8C">
              <w:rPr>
                <w:rFonts w:ascii="Arial Narrow" w:hAnsi="Arial Narrow" w:cs="Arial"/>
                <w:sz w:val="20"/>
              </w:rPr>
              <w:t>abiraterone</w:t>
            </w:r>
            <w:proofErr w:type="spellEnd"/>
            <w:r w:rsidRPr="006D7E8C">
              <w:rPr>
                <w:rFonts w:ascii="Arial Narrow" w:hAnsi="Arial Narrow" w:cs="Arial"/>
                <w:sz w:val="20"/>
              </w:rPr>
              <w:t xml:space="preserve"> post-ADT</w:t>
            </w:r>
          </w:p>
        </w:tc>
        <w:tc>
          <w:tcPr>
            <w:tcW w:w="694" w:type="pct"/>
            <w:vAlign w:val="center"/>
          </w:tcPr>
          <w:p w:rsidR="003B532F" w:rsidRPr="005C0DF8" w:rsidRDefault="005C0DF8" w:rsidP="00E35CCE">
            <w:pPr>
              <w:jc w:val="center"/>
              <w:rPr>
                <w:rFonts w:ascii="Arial Narrow" w:hAnsi="Arial Narrow" w:cs="Arial"/>
                <w:sz w:val="20"/>
                <w:highlight w:val="black"/>
              </w:rPr>
            </w:pPr>
            <w:r>
              <w:rPr>
                <w:rFonts w:ascii="Arial Narrow" w:hAnsi="Arial Narrow" w:cs="Arial"/>
                <w:noProof/>
                <w:color w:val="000000"/>
                <w:sz w:val="20"/>
                <w:highlight w:val="black"/>
              </w:rPr>
              <w:t>''''''''''''</w:t>
            </w:r>
          </w:p>
        </w:tc>
        <w:tc>
          <w:tcPr>
            <w:tcW w:w="694" w:type="pct"/>
            <w:vAlign w:val="center"/>
          </w:tcPr>
          <w:p w:rsidR="003B532F" w:rsidRPr="005C0DF8" w:rsidRDefault="005C0DF8" w:rsidP="00E35CCE">
            <w:pPr>
              <w:jc w:val="center"/>
              <w:rPr>
                <w:rFonts w:ascii="Arial Narrow" w:hAnsi="Arial Narrow" w:cs="Arial"/>
                <w:sz w:val="20"/>
                <w:highlight w:val="black"/>
              </w:rPr>
            </w:pPr>
            <w:r>
              <w:rPr>
                <w:rFonts w:ascii="Arial Narrow" w:hAnsi="Arial Narrow" w:cs="Arial"/>
                <w:noProof/>
                <w:color w:val="000000"/>
                <w:sz w:val="20"/>
                <w:highlight w:val="black"/>
              </w:rPr>
              <w:t>''''''''''''''</w:t>
            </w:r>
          </w:p>
        </w:tc>
        <w:tc>
          <w:tcPr>
            <w:tcW w:w="694" w:type="pct"/>
            <w:vAlign w:val="center"/>
          </w:tcPr>
          <w:p w:rsidR="003B532F" w:rsidRPr="005C0DF8" w:rsidRDefault="005C0DF8" w:rsidP="00E35CCE">
            <w:pPr>
              <w:jc w:val="center"/>
              <w:rPr>
                <w:rFonts w:ascii="Arial Narrow" w:hAnsi="Arial Narrow" w:cs="Arial"/>
                <w:sz w:val="20"/>
                <w:highlight w:val="black"/>
              </w:rPr>
            </w:pPr>
            <w:r>
              <w:rPr>
                <w:rFonts w:ascii="Arial Narrow" w:hAnsi="Arial Narrow" w:cs="Arial"/>
                <w:noProof/>
                <w:color w:val="000000"/>
                <w:sz w:val="20"/>
                <w:highlight w:val="black"/>
              </w:rPr>
              <w:t>''''''''''''</w:t>
            </w:r>
          </w:p>
        </w:tc>
        <w:tc>
          <w:tcPr>
            <w:tcW w:w="694" w:type="pct"/>
            <w:vAlign w:val="center"/>
          </w:tcPr>
          <w:p w:rsidR="003B532F" w:rsidRPr="005C0DF8" w:rsidRDefault="005C0DF8" w:rsidP="00E35CCE">
            <w:pPr>
              <w:jc w:val="center"/>
              <w:rPr>
                <w:rFonts w:ascii="Arial Narrow" w:hAnsi="Arial Narrow" w:cs="Arial"/>
                <w:sz w:val="20"/>
                <w:highlight w:val="black"/>
              </w:rPr>
            </w:pPr>
            <w:r>
              <w:rPr>
                <w:rFonts w:ascii="Arial Narrow" w:hAnsi="Arial Narrow" w:cs="Arial"/>
                <w:noProof/>
                <w:color w:val="000000"/>
                <w:sz w:val="20"/>
                <w:highlight w:val="black"/>
              </w:rPr>
              <w:t>'''''''''''''</w:t>
            </w:r>
          </w:p>
        </w:tc>
        <w:tc>
          <w:tcPr>
            <w:tcW w:w="693" w:type="pct"/>
            <w:vAlign w:val="center"/>
          </w:tcPr>
          <w:p w:rsidR="003B532F" w:rsidRPr="005C0DF8" w:rsidRDefault="005C0DF8" w:rsidP="00E35CCE">
            <w:pPr>
              <w:jc w:val="center"/>
              <w:rPr>
                <w:rFonts w:ascii="Arial Narrow" w:hAnsi="Arial Narrow" w:cs="Arial"/>
                <w:sz w:val="20"/>
                <w:highlight w:val="black"/>
              </w:rPr>
            </w:pPr>
            <w:r>
              <w:rPr>
                <w:rFonts w:ascii="Arial Narrow" w:hAnsi="Arial Narrow" w:cs="Arial"/>
                <w:noProof/>
                <w:color w:val="000000"/>
                <w:sz w:val="20"/>
                <w:highlight w:val="black"/>
              </w:rPr>
              <w:t>'''''''''''''</w:t>
            </w:r>
          </w:p>
        </w:tc>
      </w:tr>
      <w:tr w:rsidR="003B532F" w:rsidRPr="008F0598" w:rsidTr="0082456B">
        <w:tc>
          <w:tcPr>
            <w:tcW w:w="1529" w:type="pct"/>
          </w:tcPr>
          <w:p w:rsidR="003B532F" w:rsidRPr="005C0DF8" w:rsidRDefault="003B532F" w:rsidP="00E35CCE">
            <w:pPr>
              <w:rPr>
                <w:rFonts w:ascii="Arial Narrow" w:hAnsi="Arial Narrow" w:cs="Arial"/>
                <w:sz w:val="20"/>
              </w:rPr>
            </w:pPr>
            <w:r w:rsidRPr="006D7E8C">
              <w:rPr>
                <w:rFonts w:ascii="Arial Narrow" w:hAnsi="Arial Narrow" w:cs="Arial"/>
                <w:sz w:val="20"/>
              </w:rPr>
              <w:t xml:space="preserve">Patients treated with </w:t>
            </w:r>
            <w:proofErr w:type="spellStart"/>
            <w:r w:rsidRPr="006D7E8C">
              <w:rPr>
                <w:rFonts w:ascii="Arial Narrow" w:hAnsi="Arial Narrow" w:cs="Arial"/>
                <w:sz w:val="20"/>
              </w:rPr>
              <w:t>abiraterone</w:t>
            </w:r>
            <w:proofErr w:type="spellEnd"/>
            <w:r w:rsidRPr="006D7E8C">
              <w:rPr>
                <w:rFonts w:ascii="Arial Narrow" w:hAnsi="Arial Narrow" w:cs="Arial"/>
                <w:sz w:val="20"/>
              </w:rPr>
              <w:t xml:space="preserve"> post-ADT</w:t>
            </w:r>
          </w:p>
        </w:tc>
        <w:tc>
          <w:tcPr>
            <w:tcW w:w="694" w:type="pct"/>
            <w:vAlign w:val="center"/>
          </w:tcPr>
          <w:p w:rsidR="003B532F" w:rsidRPr="005C0DF8" w:rsidRDefault="005C0DF8" w:rsidP="00E35CCE">
            <w:pPr>
              <w:jc w:val="center"/>
              <w:rPr>
                <w:rFonts w:ascii="Arial Narrow" w:hAnsi="Arial Narrow" w:cs="Arial"/>
                <w:sz w:val="20"/>
                <w:highlight w:val="black"/>
              </w:rPr>
            </w:pPr>
            <w:r>
              <w:rPr>
                <w:rFonts w:ascii="Arial Narrow" w:hAnsi="Arial Narrow" w:cs="Arial"/>
                <w:noProof/>
                <w:color w:val="000000"/>
                <w:sz w:val="20"/>
                <w:highlight w:val="black"/>
              </w:rPr>
              <w:t>''''''''''''''</w:t>
            </w:r>
          </w:p>
        </w:tc>
        <w:tc>
          <w:tcPr>
            <w:tcW w:w="694" w:type="pct"/>
            <w:vAlign w:val="center"/>
          </w:tcPr>
          <w:p w:rsidR="003B532F" w:rsidRPr="005C0DF8" w:rsidRDefault="005C0DF8" w:rsidP="00E35CCE">
            <w:pPr>
              <w:jc w:val="center"/>
              <w:rPr>
                <w:rFonts w:ascii="Arial Narrow" w:hAnsi="Arial Narrow" w:cs="Arial"/>
                <w:sz w:val="20"/>
                <w:highlight w:val="black"/>
              </w:rPr>
            </w:pPr>
            <w:r>
              <w:rPr>
                <w:rFonts w:ascii="Arial Narrow" w:hAnsi="Arial Narrow" w:cs="Arial"/>
                <w:noProof/>
                <w:color w:val="000000"/>
                <w:sz w:val="20"/>
                <w:highlight w:val="black"/>
              </w:rPr>
              <w:t>'''''''''''''</w:t>
            </w:r>
          </w:p>
        </w:tc>
        <w:tc>
          <w:tcPr>
            <w:tcW w:w="694" w:type="pct"/>
            <w:vAlign w:val="center"/>
          </w:tcPr>
          <w:p w:rsidR="003B532F" w:rsidRPr="005C0DF8" w:rsidRDefault="005C0DF8" w:rsidP="00E35CCE">
            <w:pPr>
              <w:jc w:val="center"/>
              <w:rPr>
                <w:rFonts w:ascii="Arial Narrow" w:hAnsi="Arial Narrow" w:cs="Arial"/>
                <w:sz w:val="20"/>
                <w:highlight w:val="black"/>
              </w:rPr>
            </w:pPr>
            <w:r>
              <w:rPr>
                <w:rFonts w:ascii="Arial Narrow" w:hAnsi="Arial Narrow" w:cs="Arial"/>
                <w:noProof/>
                <w:color w:val="000000"/>
                <w:sz w:val="20"/>
                <w:highlight w:val="black"/>
              </w:rPr>
              <w:t>'''''''''''''</w:t>
            </w:r>
          </w:p>
        </w:tc>
        <w:tc>
          <w:tcPr>
            <w:tcW w:w="694" w:type="pct"/>
            <w:vAlign w:val="center"/>
          </w:tcPr>
          <w:p w:rsidR="003B532F" w:rsidRPr="005C0DF8" w:rsidRDefault="005C0DF8" w:rsidP="00E35CCE">
            <w:pPr>
              <w:jc w:val="center"/>
              <w:rPr>
                <w:rFonts w:ascii="Arial Narrow" w:hAnsi="Arial Narrow" w:cs="Arial"/>
                <w:sz w:val="20"/>
                <w:highlight w:val="black"/>
              </w:rPr>
            </w:pPr>
            <w:r>
              <w:rPr>
                <w:rFonts w:ascii="Arial Narrow" w:hAnsi="Arial Narrow" w:cs="Arial"/>
                <w:noProof/>
                <w:color w:val="000000"/>
                <w:sz w:val="20"/>
                <w:highlight w:val="black"/>
              </w:rPr>
              <w:t>'''''''''''''''</w:t>
            </w:r>
          </w:p>
        </w:tc>
        <w:tc>
          <w:tcPr>
            <w:tcW w:w="693" w:type="pct"/>
            <w:vAlign w:val="center"/>
          </w:tcPr>
          <w:p w:rsidR="003B532F" w:rsidRPr="005C0DF8" w:rsidRDefault="005C0DF8" w:rsidP="00E35CCE">
            <w:pPr>
              <w:jc w:val="center"/>
              <w:rPr>
                <w:rFonts w:ascii="Arial Narrow" w:hAnsi="Arial Narrow" w:cs="Arial"/>
                <w:sz w:val="20"/>
                <w:highlight w:val="black"/>
              </w:rPr>
            </w:pPr>
            <w:r>
              <w:rPr>
                <w:rFonts w:ascii="Arial Narrow" w:hAnsi="Arial Narrow" w:cs="Arial"/>
                <w:noProof/>
                <w:color w:val="000000"/>
                <w:sz w:val="20"/>
                <w:highlight w:val="black"/>
              </w:rPr>
              <w:t>'''''''''''''</w:t>
            </w:r>
          </w:p>
        </w:tc>
      </w:tr>
      <w:tr w:rsidR="003B532F" w:rsidRPr="008F0598" w:rsidTr="0082456B">
        <w:tc>
          <w:tcPr>
            <w:tcW w:w="1529" w:type="pct"/>
          </w:tcPr>
          <w:p w:rsidR="003B532F" w:rsidRPr="005C0DF8" w:rsidRDefault="003B532F" w:rsidP="00E35CCE">
            <w:pPr>
              <w:rPr>
                <w:rFonts w:ascii="Arial Narrow" w:hAnsi="Arial Narrow" w:cs="Arial"/>
                <w:sz w:val="20"/>
              </w:rPr>
            </w:pPr>
            <w:proofErr w:type="spellStart"/>
            <w:r w:rsidRPr="006D7E8C">
              <w:rPr>
                <w:rFonts w:ascii="Arial Narrow" w:hAnsi="Arial Narrow" w:cs="Arial"/>
                <w:sz w:val="20"/>
              </w:rPr>
              <w:t>Abiraterone</w:t>
            </w:r>
            <w:proofErr w:type="spellEnd"/>
            <w:r w:rsidRPr="006D7E8C">
              <w:rPr>
                <w:rFonts w:ascii="Arial Narrow" w:hAnsi="Arial Narrow" w:cs="Arial"/>
                <w:sz w:val="20"/>
              </w:rPr>
              <w:t xml:space="preserve"> scripts</w:t>
            </w:r>
          </w:p>
        </w:tc>
        <w:tc>
          <w:tcPr>
            <w:tcW w:w="694" w:type="pct"/>
            <w:vAlign w:val="center"/>
          </w:tcPr>
          <w:p w:rsidR="003B532F" w:rsidRPr="005C0DF8" w:rsidRDefault="005C0DF8" w:rsidP="00E35CCE">
            <w:pPr>
              <w:jc w:val="center"/>
              <w:rPr>
                <w:rFonts w:ascii="Arial Narrow" w:hAnsi="Arial Narrow" w:cs="Arial"/>
                <w:sz w:val="20"/>
                <w:highlight w:val="black"/>
              </w:rPr>
            </w:pPr>
            <w:r>
              <w:rPr>
                <w:rFonts w:ascii="Arial Narrow" w:hAnsi="Arial Narrow" w:cs="Arial"/>
                <w:noProof/>
                <w:color w:val="000000"/>
                <w:sz w:val="20"/>
                <w:highlight w:val="black"/>
              </w:rPr>
              <w:t>'''''''''''''''''</w:t>
            </w:r>
          </w:p>
        </w:tc>
        <w:tc>
          <w:tcPr>
            <w:tcW w:w="694" w:type="pct"/>
            <w:vAlign w:val="center"/>
          </w:tcPr>
          <w:p w:rsidR="003B532F" w:rsidRPr="005C0DF8" w:rsidRDefault="005C0DF8" w:rsidP="00E35CCE">
            <w:pPr>
              <w:jc w:val="center"/>
              <w:rPr>
                <w:rFonts w:ascii="Arial Narrow" w:hAnsi="Arial Narrow" w:cs="Arial"/>
                <w:sz w:val="20"/>
                <w:highlight w:val="black"/>
              </w:rPr>
            </w:pPr>
            <w:r>
              <w:rPr>
                <w:rFonts w:ascii="Arial Narrow" w:hAnsi="Arial Narrow" w:cs="Arial"/>
                <w:noProof/>
                <w:color w:val="000000"/>
                <w:sz w:val="20"/>
                <w:highlight w:val="black"/>
              </w:rPr>
              <w:t>'''''''''''''''''</w:t>
            </w:r>
          </w:p>
        </w:tc>
        <w:tc>
          <w:tcPr>
            <w:tcW w:w="694" w:type="pct"/>
            <w:vAlign w:val="center"/>
          </w:tcPr>
          <w:p w:rsidR="003B532F" w:rsidRPr="005C0DF8" w:rsidRDefault="005C0DF8" w:rsidP="00E35CCE">
            <w:pPr>
              <w:jc w:val="center"/>
              <w:rPr>
                <w:rFonts w:ascii="Arial Narrow" w:hAnsi="Arial Narrow" w:cs="Arial"/>
                <w:sz w:val="20"/>
                <w:highlight w:val="black"/>
              </w:rPr>
            </w:pPr>
            <w:r>
              <w:rPr>
                <w:rFonts w:ascii="Arial Narrow" w:hAnsi="Arial Narrow" w:cs="Arial"/>
                <w:noProof/>
                <w:color w:val="000000"/>
                <w:sz w:val="20"/>
                <w:highlight w:val="black"/>
              </w:rPr>
              <w:t>''''''''''''''''</w:t>
            </w:r>
          </w:p>
        </w:tc>
        <w:tc>
          <w:tcPr>
            <w:tcW w:w="694" w:type="pct"/>
            <w:vAlign w:val="center"/>
          </w:tcPr>
          <w:p w:rsidR="003B532F" w:rsidRPr="005C0DF8" w:rsidRDefault="005C0DF8" w:rsidP="00E35CCE">
            <w:pPr>
              <w:jc w:val="center"/>
              <w:rPr>
                <w:rFonts w:ascii="Arial Narrow" w:hAnsi="Arial Narrow" w:cs="Arial"/>
                <w:sz w:val="20"/>
                <w:highlight w:val="black"/>
              </w:rPr>
            </w:pPr>
            <w:r>
              <w:rPr>
                <w:rFonts w:ascii="Arial Narrow" w:hAnsi="Arial Narrow" w:cs="Arial"/>
                <w:noProof/>
                <w:color w:val="000000"/>
                <w:sz w:val="20"/>
                <w:highlight w:val="black"/>
              </w:rPr>
              <w:t>''''''''''''''''''</w:t>
            </w:r>
          </w:p>
        </w:tc>
        <w:tc>
          <w:tcPr>
            <w:tcW w:w="693" w:type="pct"/>
            <w:vAlign w:val="center"/>
          </w:tcPr>
          <w:p w:rsidR="003B532F" w:rsidRPr="005C0DF8" w:rsidRDefault="005C0DF8" w:rsidP="00E35CCE">
            <w:pPr>
              <w:jc w:val="center"/>
              <w:rPr>
                <w:rFonts w:ascii="Arial Narrow" w:hAnsi="Arial Narrow" w:cs="Arial"/>
                <w:sz w:val="20"/>
                <w:highlight w:val="black"/>
              </w:rPr>
            </w:pPr>
            <w:r>
              <w:rPr>
                <w:rFonts w:ascii="Arial Narrow" w:hAnsi="Arial Narrow" w:cs="Arial"/>
                <w:noProof/>
                <w:color w:val="000000"/>
                <w:sz w:val="20"/>
                <w:highlight w:val="black"/>
              </w:rPr>
              <w:t>''''''''''''''''</w:t>
            </w:r>
          </w:p>
        </w:tc>
      </w:tr>
      <w:tr w:rsidR="003B532F" w:rsidRPr="008F0598" w:rsidTr="0082456B">
        <w:tc>
          <w:tcPr>
            <w:tcW w:w="1529" w:type="pct"/>
          </w:tcPr>
          <w:p w:rsidR="003B532F" w:rsidRPr="005C0DF8" w:rsidRDefault="003B532F" w:rsidP="00E35CCE">
            <w:pPr>
              <w:rPr>
                <w:rFonts w:ascii="Arial Narrow" w:hAnsi="Arial Narrow" w:cs="Arial"/>
                <w:b/>
                <w:bCs/>
                <w:sz w:val="20"/>
              </w:rPr>
            </w:pPr>
            <w:r w:rsidRPr="006D7E8C">
              <w:rPr>
                <w:rFonts w:ascii="Arial Narrow" w:hAnsi="Arial Narrow" w:cs="Arial"/>
                <w:b/>
                <w:bCs/>
                <w:sz w:val="20"/>
              </w:rPr>
              <w:t xml:space="preserve">Net cost of </w:t>
            </w:r>
            <w:proofErr w:type="spellStart"/>
            <w:r w:rsidRPr="006D7E8C">
              <w:rPr>
                <w:rFonts w:ascii="Arial Narrow" w:hAnsi="Arial Narrow" w:cs="Arial"/>
                <w:b/>
                <w:bCs/>
                <w:sz w:val="20"/>
              </w:rPr>
              <w:t>abiraterone</w:t>
            </w:r>
            <w:proofErr w:type="spellEnd"/>
            <w:r w:rsidRPr="006D7E8C">
              <w:rPr>
                <w:rFonts w:ascii="Arial Narrow" w:hAnsi="Arial Narrow" w:cs="Arial"/>
                <w:b/>
                <w:bCs/>
                <w:sz w:val="20"/>
              </w:rPr>
              <w:t xml:space="preserve"> scripts (post-ADT) to PBS/RPBS</w:t>
            </w:r>
          </w:p>
        </w:tc>
        <w:tc>
          <w:tcPr>
            <w:tcW w:w="694" w:type="pct"/>
            <w:vAlign w:val="center"/>
          </w:tcPr>
          <w:p w:rsidR="003B532F" w:rsidRPr="005C0DF8" w:rsidRDefault="005C0DF8" w:rsidP="00E35CCE">
            <w:pPr>
              <w:jc w:val="center"/>
              <w:rPr>
                <w:rFonts w:ascii="Arial Narrow" w:hAnsi="Arial Narrow" w:cs="Arial"/>
                <w:b/>
                <w:bCs/>
                <w:sz w:val="20"/>
                <w:highlight w:val="black"/>
              </w:rPr>
            </w:pPr>
            <w:r>
              <w:rPr>
                <w:rFonts w:ascii="Arial Narrow" w:hAnsi="Arial Narrow" w:cs="Arial"/>
                <w:b/>
                <w:bCs/>
                <w:noProof/>
                <w:color w:val="000000"/>
                <w:sz w:val="20"/>
                <w:highlight w:val="black"/>
              </w:rPr>
              <w:t>''''''''''''''''''''''''</w:t>
            </w:r>
          </w:p>
        </w:tc>
        <w:tc>
          <w:tcPr>
            <w:tcW w:w="694" w:type="pct"/>
            <w:vAlign w:val="center"/>
          </w:tcPr>
          <w:p w:rsidR="003B532F" w:rsidRPr="005C0DF8" w:rsidRDefault="005C0DF8" w:rsidP="00E35CCE">
            <w:pPr>
              <w:jc w:val="center"/>
              <w:rPr>
                <w:rFonts w:ascii="Arial Narrow" w:hAnsi="Arial Narrow" w:cs="Arial"/>
                <w:b/>
                <w:bCs/>
                <w:sz w:val="20"/>
                <w:highlight w:val="black"/>
              </w:rPr>
            </w:pPr>
            <w:r>
              <w:rPr>
                <w:rFonts w:ascii="Arial Narrow" w:hAnsi="Arial Narrow" w:cs="Arial"/>
                <w:b/>
                <w:bCs/>
                <w:noProof/>
                <w:color w:val="000000"/>
                <w:sz w:val="20"/>
                <w:highlight w:val="black"/>
              </w:rPr>
              <w:t>''''''''''''''''''''''''''</w:t>
            </w:r>
          </w:p>
        </w:tc>
        <w:tc>
          <w:tcPr>
            <w:tcW w:w="694" w:type="pct"/>
            <w:vAlign w:val="center"/>
          </w:tcPr>
          <w:p w:rsidR="003B532F" w:rsidRPr="005C0DF8" w:rsidRDefault="005C0DF8" w:rsidP="00E35CCE">
            <w:pPr>
              <w:jc w:val="center"/>
              <w:rPr>
                <w:rFonts w:ascii="Arial Narrow" w:hAnsi="Arial Narrow" w:cs="Arial"/>
                <w:b/>
                <w:bCs/>
                <w:sz w:val="20"/>
                <w:highlight w:val="black"/>
              </w:rPr>
            </w:pPr>
            <w:r>
              <w:rPr>
                <w:rFonts w:ascii="Arial Narrow" w:hAnsi="Arial Narrow" w:cs="Arial"/>
                <w:b/>
                <w:bCs/>
                <w:noProof/>
                <w:color w:val="000000"/>
                <w:sz w:val="20"/>
                <w:highlight w:val="black"/>
              </w:rPr>
              <w:t>''''''''''''''''''''''''</w:t>
            </w:r>
          </w:p>
        </w:tc>
        <w:tc>
          <w:tcPr>
            <w:tcW w:w="694" w:type="pct"/>
            <w:vAlign w:val="center"/>
          </w:tcPr>
          <w:p w:rsidR="003B532F" w:rsidRPr="005C0DF8" w:rsidRDefault="005C0DF8" w:rsidP="00E35CCE">
            <w:pPr>
              <w:jc w:val="center"/>
              <w:rPr>
                <w:rFonts w:ascii="Arial Narrow" w:hAnsi="Arial Narrow" w:cs="Arial"/>
                <w:b/>
                <w:bCs/>
                <w:sz w:val="20"/>
                <w:highlight w:val="black"/>
              </w:rPr>
            </w:pPr>
            <w:r>
              <w:rPr>
                <w:rFonts w:ascii="Arial Narrow" w:hAnsi="Arial Narrow" w:cs="Arial"/>
                <w:b/>
                <w:bCs/>
                <w:noProof/>
                <w:color w:val="000000"/>
                <w:sz w:val="20"/>
                <w:highlight w:val="black"/>
              </w:rPr>
              <w:t>''''''''''''''''''''''''''</w:t>
            </w:r>
          </w:p>
        </w:tc>
        <w:tc>
          <w:tcPr>
            <w:tcW w:w="693" w:type="pct"/>
            <w:vAlign w:val="center"/>
          </w:tcPr>
          <w:p w:rsidR="003B532F" w:rsidRPr="005C0DF8" w:rsidRDefault="005C0DF8" w:rsidP="00E35CCE">
            <w:pPr>
              <w:jc w:val="center"/>
              <w:rPr>
                <w:rFonts w:ascii="Arial Narrow" w:hAnsi="Arial Narrow" w:cs="Arial"/>
                <w:b/>
                <w:bCs/>
                <w:sz w:val="20"/>
                <w:highlight w:val="black"/>
              </w:rPr>
            </w:pPr>
            <w:r>
              <w:rPr>
                <w:rFonts w:ascii="Arial Narrow" w:hAnsi="Arial Narrow" w:cs="Arial"/>
                <w:b/>
                <w:bCs/>
                <w:noProof/>
                <w:color w:val="000000"/>
                <w:sz w:val="20"/>
                <w:highlight w:val="black"/>
              </w:rPr>
              <w:t>''''''''''''''''''''''''''</w:t>
            </w:r>
          </w:p>
        </w:tc>
      </w:tr>
      <w:tr w:rsidR="003B532F" w:rsidRPr="008F0598" w:rsidTr="0082456B">
        <w:tc>
          <w:tcPr>
            <w:tcW w:w="5000" w:type="pct"/>
            <w:gridSpan w:val="6"/>
          </w:tcPr>
          <w:p w:rsidR="003B532F" w:rsidRPr="005C0DF8" w:rsidRDefault="003B532F" w:rsidP="00E35CCE">
            <w:pPr>
              <w:rPr>
                <w:rFonts w:ascii="Arial Narrow" w:hAnsi="Arial Narrow" w:cs="Arial"/>
                <w:b/>
                <w:bCs/>
                <w:sz w:val="20"/>
              </w:rPr>
            </w:pPr>
            <w:r w:rsidRPr="006D7E8C">
              <w:rPr>
                <w:rFonts w:ascii="Arial Narrow" w:hAnsi="Arial Narrow" w:cs="Arial"/>
                <w:b/>
                <w:bCs/>
                <w:sz w:val="20"/>
              </w:rPr>
              <w:t>Estimation of changes in use and cost of other drugs</w:t>
            </w:r>
          </w:p>
        </w:tc>
      </w:tr>
      <w:tr w:rsidR="003B532F" w:rsidRPr="008F0598" w:rsidTr="0082456B">
        <w:tc>
          <w:tcPr>
            <w:tcW w:w="1529" w:type="pct"/>
          </w:tcPr>
          <w:p w:rsidR="003B532F" w:rsidRPr="005C0DF8" w:rsidRDefault="003B532F" w:rsidP="00E35CCE">
            <w:pPr>
              <w:rPr>
                <w:rFonts w:ascii="Arial Narrow" w:hAnsi="Arial Narrow" w:cs="Arial"/>
                <w:sz w:val="20"/>
              </w:rPr>
            </w:pPr>
            <w:r w:rsidRPr="006D7E8C">
              <w:rPr>
                <w:rFonts w:ascii="Arial Narrow" w:hAnsi="Arial Narrow" w:cs="Arial"/>
                <w:sz w:val="20"/>
              </w:rPr>
              <w:t>Prednisolone scripts</w:t>
            </w:r>
          </w:p>
        </w:tc>
        <w:tc>
          <w:tcPr>
            <w:tcW w:w="694" w:type="pct"/>
            <w:vAlign w:val="center"/>
          </w:tcPr>
          <w:p w:rsidR="003B532F" w:rsidRPr="005C0DF8" w:rsidRDefault="005C0DF8" w:rsidP="00E35CCE">
            <w:pPr>
              <w:jc w:val="center"/>
              <w:rPr>
                <w:rFonts w:ascii="Arial Narrow" w:hAnsi="Arial Narrow" w:cs="Arial"/>
                <w:sz w:val="20"/>
                <w:highlight w:val="black"/>
              </w:rPr>
            </w:pPr>
            <w:r>
              <w:rPr>
                <w:rFonts w:ascii="Arial Narrow" w:hAnsi="Arial Narrow" w:cs="Arial"/>
                <w:noProof/>
                <w:color w:val="000000"/>
                <w:sz w:val="20"/>
                <w:highlight w:val="black"/>
              </w:rPr>
              <w:t>'''''''''''''''</w:t>
            </w:r>
          </w:p>
        </w:tc>
        <w:tc>
          <w:tcPr>
            <w:tcW w:w="694" w:type="pct"/>
            <w:vAlign w:val="center"/>
          </w:tcPr>
          <w:p w:rsidR="003B532F" w:rsidRPr="005C0DF8" w:rsidRDefault="005C0DF8" w:rsidP="00E35CCE">
            <w:pPr>
              <w:jc w:val="center"/>
              <w:rPr>
                <w:rFonts w:ascii="Arial Narrow" w:hAnsi="Arial Narrow" w:cs="Arial"/>
                <w:sz w:val="20"/>
                <w:highlight w:val="black"/>
              </w:rPr>
            </w:pPr>
            <w:r>
              <w:rPr>
                <w:rFonts w:ascii="Arial Narrow" w:hAnsi="Arial Narrow" w:cs="Arial"/>
                <w:noProof/>
                <w:color w:val="000000"/>
                <w:sz w:val="20"/>
                <w:highlight w:val="black"/>
              </w:rPr>
              <w:t>'''''''''''''''</w:t>
            </w:r>
          </w:p>
        </w:tc>
        <w:tc>
          <w:tcPr>
            <w:tcW w:w="694" w:type="pct"/>
            <w:vAlign w:val="center"/>
          </w:tcPr>
          <w:p w:rsidR="003B532F" w:rsidRPr="005C0DF8" w:rsidRDefault="005C0DF8" w:rsidP="00E35CCE">
            <w:pPr>
              <w:jc w:val="center"/>
              <w:rPr>
                <w:rFonts w:ascii="Arial Narrow" w:hAnsi="Arial Narrow" w:cs="Arial"/>
                <w:sz w:val="20"/>
                <w:highlight w:val="black"/>
              </w:rPr>
            </w:pPr>
            <w:r>
              <w:rPr>
                <w:rFonts w:ascii="Arial Narrow" w:hAnsi="Arial Narrow" w:cs="Arial"/>
                <w:noProof/>
                <w:color w:val="000000"/>
                <w:sz w:val="20"/>
                <w:highlight w:val="black"/>
              </w:rPr>
              <w:t>'''''''''''''''''</w:t>
            </w:r>
          </w:p>
        </w:tc>
        <w:tc>
          <w:tcPr>
            <w:tcW w:w="694" w:type="pct"/>
            <w:vAlign w:val="center"/>
          </w:tcPr>
          <w:p w:rsidR="003B532F" w:rsidRPr="005C0DF8" w:rsidRDefault="005C0DF8" w:rsidP="00E35CCE">
            <w:pPr>
              <w:jc w:val="center"/>
              <w:rPr>
                <w:rFonts w:ascii="Arial Narrow" w:hAnsi="Arial Narrow" w:cs="Arial"/>
                <w:sz w:val="20"/>
                <w:highlight w:val="black"/>
              </w:rPr>
            </w:pPr>
            <w:r>
              <w:rPr>
                <w:rFonts w:ascii="Arial Narrow" w:hAnsi="Arial Narrow" w:cs="Arial"/>
                <w:noProof/>
                <w:color w:val="000000"/>
                <w:sz w:val="20"/>
                <w:highlight w:val="black"/>
              </w:rPr>
              <w:t>''''''''''''''''</w:t>
            </w:r>
          </w:p>
        </w:tc>
        <w:tc>
          <w:tcPr>
            <w:tcW w:w="693" w:type="pct"/>
            <w:vAlign w:val="center"/>
          </w:tcPr>
          <w:p w:rsidR="003B532F" w:rsidRPr="005C0DF8" w:rsidRDefault="005C0DF8" w:rsidP="00E35CCE">
            <w:pPr>
              <w:jc w:val="center"/>
              <w:rPr>
                <w:rFonts w:ascii="Arial Narrow" w:hAnsi="Arial Narrow" w:cs="Arial"/>
                <w:sz w:val="20"/>
                <w:highlight w:val="black"/>
              </w:rPr>
            </w:pPr>
            <w:r>
              <w:rPr>
                <w:rFonts w:ascii="Arial Narrow" w:hAnsi="Arial Narrow" w:cs="Arial"/>
                <w:noProof/>
                <w:color w:val="000000"/>
                <w:sz w:val="20"/>
                <w:highlight w:val="black"/>
              </w:rPr>
              <w:t>'''''''''''''''''</w:t>
            </w:r>
          </w:p>
        </w:tc>
      </w:tr>
      <w:tr w:rsidR="003B532F" w:rsidRPr="008F0598" w:rsidTr="0082456B">
        <w:tc>
          <w:tcPr>
            <w:tcW w:w="1529" w:type="pct"/>
          </w:tcPr>
          <w:p w:rsidR="003B532F" w:rsidRPr="005C0DF8" w:rsidRDefault="003B532F" w:rsidP="00E35CCE">
            <w:pPr>
              <w:rPr>
                <w:rFonts w:ascii="Arial Narrow" w:hAnsi="Arial Narrow" w:cs="Arial"/>
                <w:b/>
                <w:bCs/>
                <w:sz w:val="20"/>
              </w:rPr>
            </w:pPr>
            <w:r w:rsidRPr="006D7E8C">
              <w:rPr>
                <w:rFonts w:ascii="Arial Narrow" w:hAnsi="Arial Narrow" w:cs="Arial"/>
                <w:b/>
                <w:bCs/>
                <w:sz w:val="20"/>
              </w:rPr>
              <w:t>Net cost of prednisolone scripts (post-ADT) to PBS/RPBS</w:t>
            </w:r>
          </w:p>
        </w:tc>
        <w:tc>
          <w:tcPr>
            <w:tcW w:w="694" w:type="pct"/>
            <w:vAlign w:val="center"/>
          </w:tcPr>
          <w:p w:rsidR="003B532F" w:rsidRPr="005C0DF8" w:rsidRDefault="005C0DF8" w:rsidP="00E35CCE">
            <w:pPr>
              <w:jc w:val="center"/>
              <w:rPr>
                <w:rFonts w:ascii="Arial Narrow" w:hAnsi="Arial Narrow" w:cs="Arial"/>
                <w:b/>
                <w:bCs/>
                <w:sz w:val="20"/>
                <w:highlight w:val="black"/>
              </w:rPr>
            </w:pPr>
            <w:r>
              <w:rPr>
                <w:rFonts w:ascii="Arial Narrow" w:hAnsi="Arial Narrow" w:cs="Arial"/>
                <w:b/>
                <w:bCs/>
                <w:noProof/>
                <w:color w:val="000000"/>
                <w:sz w:val="20"/>
                <w:highlight w:val="black"/>
              </w:rPr>
              <w:t>'''''''''''''''''</w:t>
            </w:r>
          </w:p>
        </w:tc>
        <w:tc>
          <w:tcPr>
            <w:tcW w:w="694" w:type="pct"/>
            <w:vAlign w:val="center"/>
          </w:tcPr>
          <w:p w:rsidR="003B532F" w:rsidRPr="005C0DF8" w:rsidRDefault="005C0DF8" w:rsidP="00E35CCE">
            <w:pPr>
              <w:jc w:val="center"/>
              <w:rPr>
                <w:rFonts w:ascii="Arial Narrow" w:hAnsi="Arial Narrow" w:cs="Arial"/>
                <w:b/>
                <w:bCs/>
                <w:sz w:val="20"/>
                <w:highlight w:val="black"/>
              </w:rPr>
            </w:pPr>
            <w:r>
              <w:rPr>
                <w:rFonts w:ascii="Arial Narrow" w:hAnsi="Arial Narrow" w:cs="Arial"/>
                <w:b/>
                <w:bCs/>
                <w:noProof/>
                <w:color w:val="000000"/>
                <w:sz w:val="20"/>
                <w:highlight w:val="black"/>
              </w:rPr>
              <w:t>''''''''''''''''''</w:t>
            </w:r>
          </w:p>
        </w:tc>
        <w:tc>
          <w:tcPr>
            <w:tcW w:w="694" w:type="pct"/>
            <w:vAlign w:val="center"/>
          </w:tcPr>
          <w:p w:rsidR="003B532F" w:rsidRPr="005C0DF8" w:rsidRDefault="005C0DF8" w:rsidP="00E35CCE">
            <w:pPr>
              <w:jc w:val="center"/>
              <w:rPr>
                <w:rFonts w:ascii="Arial Narrow" w:hAnsi="Arial Narrow" w:cs="Arial"/>
                <w:b/>
                <w:bCs/>
                <w:sz w:val="20"/>
                <w:highlight w:val="black"/>
              </w:rPr>
            </w:pPr>
            <w:r>
              <w:rPr>
                <w:rFonts w:ascii="Arial Narrow" w:hAnsi="Arial Narrow" w:cs="Arial"/>
                <w:b/>
                <w:bCs/>
                <w:noProof/>
                <w:color w:val="000000"/>
                <w:sz w:val="20"/>
                <w:highlight w:val="black"/>
              </w:rPr>
              <w:t>'''''''''''''''''''</w:t>
            </w:r>
          </w:p>
        </w:tc>
        <w:tc>
          <w:tcPr>
            <w:tcW w:w="694" w:type="pct"/>
            <w:vAlign w:val="center"/>
          </w:tcPr>
          <w:p w:rsidR="003B532F" w:rsidRPr="005C0DF8" w:rsidRDefault="005C0DF8" w:rsidP="00E35CCE">
            <w:pPr>
              <w:jc w:val="center"/>
              <w:rPr>
                <w:rFonts w:ascii="Arial Narrow" w:hAnsi="Arial Narrow" w:cs="Arial"/>
                <w:b/>
                <w:bCs/>
                <w:sz w:val="20"/>
                <w:highlight w:val="black"/>
              </w:rPr>
            </w:pPr>
            <w:r>
              <w:rPr>
                <w:rFonts w:ascii="Arial Narrow" w:hAnsi="Arial Narrow" w:cs="Arial"/>
                <w:b/>
                <w:bCs/>
                <w:noProof/>
                <w:color w:val="000000"/>
                <w:sz w:val="20"/>
                <w:highlight w:val="black"/>
              </w:rPr>
              <w:t>'''''''''''''''''</w:t>
            </w:r>
          </w:p>
        </w:tc>
        <w:tc>
          <w:tcPr>
            <w:tcW w:w="693" w:type="pct"/>
            <w:vAlign w:val="center"/>
          </w:tcPr>
          <w:p w:rsidR="003B532F" w:rsidRPr="005C0DF8" w:rsidRDefault="005C0DF8" w:rsidP="00E35CCE">
            <w:pPr>
              <w:jc w:val="center"/>
              <w:rPr>
                <w:rFonts w:ascii="Arial Narrow" w:hAnsi="Arial Narrow" w:cs="Arial"/>
                <w:b/>
                <w:bCs/>
                <w:sz w:val="20"/>
                <w:highlight w:val="black"/>
              </w:rPr>
            </w:pPr>
            <w:r>
              <w:rPr>
                <w:rFonts w:ascii="Arial Narrow" w:hAnsi="Arial Narrow" w:cs="Arial"/>
                <w:b/>
                <w:bCs/>
                <w:noProof/>
                <w:color w:val="000000"/>
                <w:sz w:val="20"/>
                <w:highlight w:val="black"/>
              </w:rPr>
              <w:t>''''''''''''''''''</w:t>
            </w:r>
          </w:p>
        </w:tc>
      </w:tr>
      <w:tr w:rsidR="003B532F" w:rsidRPr="008F0598" w:rsidTr="0082456B">
        <w:tc>
          <w:tcPr>
            <w:tcW w:w="1529" w:type="pct"/>
          </w:tcPr>
          <w:p w:rsidR="003B532F" w:rsidRPr="005C0DF8" w:rsidRDefault="003B532F" w:rsidP="00E35CCE">
            <w:pPr>
              <w:rPr>
                <w:rFonts w:ascii="Arial Narrow" w:hAnsi="Arial Narrow" w:cs="Arial"/>
                <w:sz w:val="20"/>
              </w:rPr>
            </w:pPr>
            <w:r w:rsidRPr="006D7E8C">
              <w:rPr>
                <w:rFonts w:ascii="Arial Narrow" w:hAnsi="Arial Narrow" w:cs="Arial"/>
                <w:sz w:val="20"/>
              </w:rPr>
              <w:t xml:space="preserve">Estimated patients treated with </w:t>
            </w:r>
            <w:proofErr w:type="spellStart"/>
            <w:r w:rsidRPr="006D7E8C">
              <w:rPr>
                <w:rFonts w:ascii="Arial Narrow" w:hAnsi="Arial Narrow" w:cs="Arial"/>
                <w:sz w:val="20"/>
              </w:rPr>
              <w:t>abiraterone</w:t>
            </w:r>
            <w:proofErr w:type="spellEnd"/>
            <w:r w:rsidRPr="006D7E8C">
              <w:rPr>
                <w:rFonts w:ascii="Arial Narrow" w:hAnsi="Arial Narrow" w:cs="Arial"/>
                <w:sz w:val="20"/>
              </w:rPr>
              <w:t xml:space="preserve"> (post-</w:t>
            </w:r>
            <w:proofErr w:type="spellStart"/>
            <w:r w:rsidRPr="006D7E8C">
              <w:rPr>
                <w:rFonts w:ascii="Arial Narrow" w:hAnsi="Arial Narrow" w:cs="Arial"/>
                <w:sz w:val="20"/>
              </w:rPr>
              <w:t>docetaxel</w:t>
            </w:r>
            <w:proofErr w:type="spellEnd"/>
            <w:r w:rsidRPr="006D7E8C">
              <w:rPr>
                <w:rFonts w:ascii="Arial Narrow" w:hAnsi="Arial Narrow" w:cs="Arial"/>
                <w:sz w:val="20"/>
              </w:rPr>
              <w:t>)</w:t>
            </w:r>
          </w:p>
        </w:tc>
        <w:tc>
          <w:tcPr>
            <w:tcW w:w="694" w:type="pct"/>
            <w:vAlign w:val="center"/>
          </w:tcPr>
          <w:p w:rsidR="003B532F" w:rsidRPr="005C0DF8" w:rsidRDefault="005C0DF8" w:rsidP="00E35CCE">
            <w:pPr>
              <w:jc w:val="center"/>
              <w:rPr>
                <w:rFonts w:ascii="Arial Narrow" w:hAnsi="Arial Narrow" w:cs="Arial"/>
                <w:sz w:val="20"/>
                <w:highlight w:val="black"/>
              </w:rPr>
            </w:pPr>
            <w:r>
              <w:rPr>
                <w:rFonts w:ascii="Arial Narrow" w:hAnsi="Arial Narrow" w:cs="Arial"/>
                <w:noProof/>
                <w:color w:val="000000"/>
                <w:sz w:val="20"/>
                <w:highlight w:val="black"/>
              </w:rPr>
              <w:t>''''''''''</w:t>
            </w:r>
          </w:p>
        </w:tc>
        <w:tc>
          <w:tcPr>
            <w:tcW w:w="694" w:type="pct"/>
            <w:vAlign w:val="center"/>
          </w:tcPr>
          <w:p w:rsidR="003B532F" w:rsidRPr="005C0DF8" w:rsidRDefault="005C0DF8" w:rsidP="00E35CCE">
            <w:pPr>
              <w:jc w:val="center"/>
              <w:rPr>
                <w:rFonts w:ascii="Arial Narrow" w:hAnsi="Arial Narrow" w:cs="Arial"/>
                <w:sz w:val="20"/>
                <w:highlight w:val="black"/>
              </w:rPr>
            </w:pPr>
            <w:r>
              <w:rPr>
                <w:rFonts w:ascii="Arial Narrow" w:hAnsi="Arial Narrow" w:cs="Arial"/>
                <w:noProof/>
                <w:color w:val="000000"/>
                <w:sz w:val="20"/>
                <w:highlight w:val="black"/>
              </w:rPr>
              <w:t>'''''''''</w:t>
            </w:r>
          </w:p>
        </w:tc>
        <w:tc>
          <w:tcPr>
            <w:tcW w:w="694" w:type="pct"/>
            <w:vAlign w:val="center"/>
          </w:tcPr>
          <w:p w:rsidR="003B532F" w:rsidRPr="005C0DF8" w:rsidRDefault="005C0DF8" w:rsidP="00E35CCE">
            <w:pPr>
              <w:jc w:val="center"/>
              <w:rPr>
                <w:rFonts w:ascii="Arial Narrow" w:hAnsi="Arial Narrow" w:cs="Arial"/>
                <w:sz w:val="20"/>
                <w:highlight w:val="black"/>
              </w:rPr>
            </w:pPr>
            <w:r>
              <w:rPr>
                <w:rFonts w:ascii="Arial Narrow" w:hAnsi="Arial Narrow" w:cs="Arial"/>
                <w:noProof/>
                <w:color w:val="000000"/>
                <w:sz w:val="20"/>
                <w:highlight w:val="black"/>
              </w:rPr>
              <w:t>'''''''''</w:t>
            </w:r>
          </w:p>
        </w:tc>
        <w:tc>
          <w:tcPr>
            <w:tcW w:w="694" w:type="pct"/>
            <w:vAlign w:val="center"/>
          </w:tcPr>
          <w:p w:rsidR="003B532F" w:rsidRPr="005C0DF8" w:rsidRDefault="005C0DF8" w:rsidP="00E35CCE">
            <w:pPr>
              <w:jc w:val="center"/>
              <w:rPr>
                <w:rFonts w:ascii="Arial Narrow" w:hAnsi="Arial Narrow" w:cs="Arial"/>
                <w:sz w:val="20"/>
                <w:highlight w:val="black"/>
              </w:rPr>
            </w:pPr>
            <w:r>
              <w:rPr>
                <w:rFonts w:ascii="Arial Narrow" w:hAnsi="Arial Narrow" w:cs="Arial"/>
                <w:noProof/>
                <w:color w:val="000000"/>
                <w:sz w:val="20"/>
                <w:highlight w:val="black"/>
              </w:rPr>
              <w:t>''''''''''</w:t>
            </w:r>
          </w:p>
        </w:tc>
        <w:tc>
          <w:tcPr>
            <w:tcW w:w="693" w:type="pct"/>
            <w:vAlign w:val="center"/>
          </w:tcPr>
          <w:p w:rsidR="003B532F" w:rsidRPr="005C0DF8" w:rsidRDefault="005C0DF8" w:rsidP="00E35CCE">
            <w:pPr>
              <w:jc w:val="center"/>
              <w:rPr>
                <w:rFonts w:ascii="Arial Narrow" w:hAnsi="Arial Narrow" w:cs="Arial"/>
                <w:sz w:val="20"/>
                <w:highlight w:val="black"/>
              </w:rPr>
            </w:pPr>
            <w:r>
              <w:rPr>
                <w:rFonts w:ascii="Arial Narrow" w:hAnsi="Arial Narrow" w:cs="Arial"/>
                <w:noProof/>
                <w:color w:val="000000"/>
                <w:sz w:val="20"/>
                <w:highlight w:val="black"/>
              </w:rPr>
              <w:t>'''''''''</w:t>
            </w:r>
          </w:p>
        </w:tc>
      </w:tr>
      <w:tr w:rsidR="003B532F" w:rsidRPr="008F0598" w:rsidTr="0082456B">
        <w:tc>
          <w:tcPr>
            <w:tcW w:w="1529" w:type="pct"/>
          </w:tcPr>
          <w:p w:rsidR="003B532F" w:rsidRPr="005C0DF8" w:rsidRDefault="003B532F" w:rsidP="00E35CCE">
            <w:pPr>
              <w:rPr>
                <w:rFonts w:ascii="Arial Narrow" w:hAnsi="Arial Narrow" w:cs="Arial"/>
                <w:sz w:val="20"/>
              </w:rPr>
            </w:pPr>
            <w:r w:rsidRPr="006D7E8C">
              <w:rPr>
                <w:rFonts w:ascii="Arial Narrow" w:hAnsi="Arial Narrow" w:cs="Arial"/>
                <w:sz w:val="20"/>
              </w:rPr>
              <w:t xml:space="preserve">Patients in DOA </w:t>
            </w:r>
            <w:proofErr w:type="spellStart"/>
            <w:r w:rsidRPr="006D7E8C">
              <w:rPr>
                <w:rFonts w:ascii="Arial Narrow" w:hAnsi="Arial Narrow" w:cs="Arial"/>
                <w:sz w:val="20"/>
              </w:rPr>
              <w:t>abiraterone</w:t>
            </w:r>
            <w:proofErr w:type="spellEnd"/>
            <w:r w:rsidRPr="006D7E8C">
              <w:rPr>
                <w:rFonts w:ascii="Arial Narrow" w:hAnsi="Arial Narrow" w:cs="Arial"/>
                <w:sz w:val="20"/>
              </w:rPr>
              <w:t xml:space="preserve"> (post-</w:t>
            </w:r>
            <w:proofErr w:type="spellStart"/>
            <w:r w:rsidRPr="006D7E8C">
              <w:rPr>
                <w:rFonts w:ascii="Arial Narrow" w:hAnsi="Arial Narrow" w:cs="Arial"/>
                <w:sz w:val="20"/>
              </w:rPr>
              <w:t>docetaxel</w:t>
            </w:r>
            <w:proofErr w:type="spellEnd"/>
            <w:r w:rsidRPr="006D7E8C">
              <w:rPr>
                <w:rFonts w:ascii="Arial Narrow" w:hAnsi="Arial Narrow" w:cs="Arial"/>
                <w:sz w:val="20"/>
              </w:rPr>
              <w:t xml:space="preserve">) </w:t>
            </w:r>
          </w:p>
        </w:tc>
        <w:tc>
          <w:tcPr>
            <w:tcW w:w="694" w:type="pct"/>
            <w:vAlign w:val="center"/>
          </w:tcPr>
          <w:p w:rsidR="003B532F" w:rsidRPr="005C0DF8" w:rsidRDefault="005C0DF8" w:rsidP="00E35CCE">
            <w:pPr>
              <w:jc w:val="center"/>
              <w:rPr>
                <w:rFonts w:ascii="Arial Narrow" w:hAnsi="Arial Narrow" w:cs="Arial"/>
                <w:sz w:val="20"/>
                <w:highlight w:val="black"/>
              </w:rPr>
            </w:pPr>
            <w:r>
              <w:rPr>
                <w:rFonts w:ascii="Arial Narrow" w:hAnsi="Arial Narrow" w:cs="Arial"/>
                <w:noProof/>
                <w:color w:val="000000"/>
                <w:sz w:val="20"/>
                <w:highlight w:val="black"/>
              </w:rPr>
              <w:t>'''''''''''''</w:t>
            </w:r>
          </w:p>
        </w:tc>
        <w:tc>
          <w:tcPr>
            <w:tcW w:w="694" w:type="pct"/>
            <w:vAlign w:val="center"/>
          </w:tcPr>
          <w:p w:rsidR="003B532F" w:rsidRPr="005C0DF8" w:rsidRDefault="005C0DF8" w:rsidP="00E35CCE">
            <w:pPr>
              <w:jc w:val="center"/>
              <w:rPr>
                <w:rFonts w:ascii="Arial Narrow" w:hAnsi="Arial Narrow" w:cs="Arial"/>
                <w:sz w:val="20"/>
                <w:highlight w:val="black"/>
              </w:rPr>
            </w:pPr>
            <w:r>
              <w:rPr>
                <w:rFonts w:ascii="Arial Narrow" w:hAnsi="Arial Narrow" w:cs="Arial"/>
                <w:noProof/>
                <w:color w:val="000000"/>
                <w:sz w:val="20"/>
                <w:highlight w:val="black"/>
              </w:rPr>
              <w:t>'''''''''''''''</w:t>
            </w:r>
          </w:p>
        </w:tc>
        <w:tc>
          <w:tcPr>
            <w:tcW w:w="694" w:type="pct"/>
            <w:vAlign w:val="center"/>
          </w:tcPr>
          <w:p w:rsidR="003B532F" w:rsidRPr="005C0DF8" w:rsidRDefault="005C0DF8" w:rsidP="00E35CCE">
            <w:pPr>
              <w:jc w:val="center"/>
              <w:rPr>
                <w:rFonts w:ascii="Arial Narrow" w:hAnsi="Arial Narrow" w:cs="Arial"/>
                <w:sz w:val="20"/>
                <w:highlight w:val="black"/>
              </w:rPr>
            </w:pPr>
            <w:r>
              <w:rPr>
                <w:rFonts w:ascii="Arial Narrow" w:hAnsi="Arial Narrow" w:cs="Arial"/>
                <w:noProof/>
                <w:color w:val="000000"/>
                <w:sz w:val="20"/>
                <w:highlight w:val="black"/>
              </w:rPr>
              <w:t>'''''''''''''</w:t>
            </w:r>
          </w:p>
        </w:tc>
        <w:tc>
          <w:tcPr>
            <w:tcW w:w="694" w:type="pct"/>
            <w:vAlign w:val="center"/>
          </w:tcPr>
          <w:p w:rsidR="003B532F" w:rsidRPr="005C0DF8" w:rsidRDefault="005C0DF8" w:rsidP="00E35CCE">
            <w:pPr>
              <w:jc w:val="center"/>
              <w:rPr>
                <w:rFonts w:ascii="Arial Narrow" w:hAnsi="Arial Narrow" w:cs="Arial"/>
                <w:sz w:val="20"/>
                <w:highlight w:val="black"/>
              </w:rPr>
            </w:pPr>
            <w:r>
              <w:rPr>
                <w:rFonts w:ascii="Arial Narrow" w:hAnsi="Arial Narrow" w:cs="Arial"/>
                <w:noProof/>
                <w:color w:val="000000"/>
                <w:sz w:val="20"/>
                <w:highlight w:val="black"/>
              </w:rPr>
              <w:t>'''''''''''''''</w:t>
            </w:r>
          </w:p>
        </w:tc>
        <w:tc>
          <w:tcPr>
            <w:tcW w:w="693" w:type="pct"/>
            <w:vAlign w:val="center"/>
          </w:tcPr>
          <w:p w:rsidR="003B532F" w:rsidRPr="005C0DF8" w:rsidRDefault="005C0DF8" w:rsidP="00E35CCE">
            <w:pPr>
              <w:jc w:val="center"/>
              <w:rPr>
                <w:rFonts w:ascii="Arial Narrow" w:hAnsi="Arial Narrow" w:cs="Arial"/>
                <w:sz w:val="20"/>
                <w:highlight w:val="black"/>
              </w:rPr>
            </w:pPr>
            <w:r>
              <w:rPr>
                <w:rFonts w:ascii="Arial Narrow" w:hAnsi="Arial Narrow" w:cs="Arial"/>
                <w:noProof/>
                <w:color w:val="000000"/>
                <w:sz w:val="20"/>
                <w:highlight w:val="black"/>
              </w:rPr>
              <w:t>''''''''''''''</w:t>
            </w:r>
          </w:p>
        </w:tc>
      </w:tr>
      <w:tr w:rsidR="003B532F" w:rsidRPr="008F0598" w:rsidTr="0082456B">
        <w:tc>
          <w:tcPr>
            <w:tcW w:w="1529" w:type="pct"/>
          </w:tcPr>
          <w:p w:rsidR="003B532F" w:rsidRPr="005C0DF8" w:rsidRDefault="003B532F" w:rsidP="00E35CCE">
            <w:pPr>
              <w:rPr>
                <w:rFonts w:ascii="Arial Narrow" w:hAnsi="Arial Narrow" w:cs="Arial"/>
                <w:sz w:val="20"/>
              </w:rPr>
            </w:pPr>
            <w:r w:rsidRPr="006D7E8C">
              <w:rPr>
                <w:rFonts w:ascii="Arial Narrow" w:hAnsi="Arial Narrow" w:cs="Arial"/>
                <w:sz w:val="20"/>
              </w:rPr>
              <w:t xml:space="preserve">Change in patients treated with </w:t>
            </w:r>
            <w:proofErr w:type="spellStart"/>
            <w:r w:rsidRPr="006D7E8C">
              <w:rPr>
                <w:rFonts w:ascii="Arial Narrow" w:hAnsi="Arial Narrow" w:cs="Arial"/>
                <w:sz w:val="20"/>
              </w:rPr>
              <w:lastRenderedPageBreak/>
              <w:t>abiraterone</w:t>
            </w:r>
            <w:proofErr w:type="spellEnd"/>
            <w:r w:rsidRPr="006D7E8C">
              <w:rPr>
                <w:rFonts w:ascii="Arial Narrow" w:hAnsi="Arial Narrow" w:cs="Arial"/>
                <w:sz w:val="20"/>
              </w:rPr>
              <w:t xml:space="preserve"> (post-</w:t>
            </w:r>
            <w:proofErr w:type="spellStart"/>
            <w:r w:rsidRPr="006D7E8C">
              <w:rPr>
                <w:rFonts w:ascii="Arial Narrow" w:hAnsi="Arial Narrow" w:cs="Arial"/>
                <w:sz w:val="20"/>
              </w:rPr>
              <w:t>docetaxel</w:t>
            </w:r>
            <w:proofErr w:type="spellEnd"/>
            <w:r w:rsidRPr="006D7E8C">
              <w:rPr>
                <w:rFonts w:ascii="Arial Narrow" w:hAnsi="Arial Narrow" w:cs="Arial"/>
                <w:sz w:val="20"/>
              </w:rPr>
              <w:t>)</w:t>
            </w:r>
          </w:p>
        </w:tc>
        <w:tc>
          <w:tcPr>
            <w:tcW w:w="694" w:type="pct"/>
            <w:vAlign w:val="center"/>
          </w:tcPr>
          <w:p w:rsidR="003B532F" w:rsidRPr="005C0DF8" w:rsidRDefault="005C0DF8" w:rsidP="00E35CCE">
            <w:pPr>
              <w:jc w:val="center"/>
              <w:rPr>
                <w:rFonts w:ascii="Arial Narrow" w:hAnsi="Arial Narrow" w:cs="Arial"/>
                <w:sz w:val="20"/>
                <w:highlight w:val="black"/>
              </w:rPr>
            </w:pPr>
            <w:r>
              <w:rPr>
                <w:rFonts w:ascii="Arial Narrow" w:hAnsi="Arial Narrow" w:cs="Arial"/>
                <w:noProof/>
                <w:color w:val="000000"/>
                <w:sz w:val="20"/>
                <w:highlight w:val="black"/>
              </w:rPr>
              <w:lastRenderedPageBreak/>
              <w:t>''''''''''</w:t>
            </w:r>
          </w:p>
        </w:tc>
        <w:tc>
          <w:tcPr>
            <w:tcW w:w="694" w:type="pct"/>
            <w:vAlign w:val="center"/>
          </w:tcPr>
          <w:p w:rsidR="003B532F" w:rsidRPr="005C0DF8" w:rsidRDefault="005C0DF8" w:rsidP="00E35CCE">
            <w:pPr>
              <w:jc w:val="center"/>
              <w:rPr>
                <w:rFonts w:ascii="Arial Narrow" w:hAnsi="Arial Narrow" w:cs="Arial"/>
                <w:sz w:val="20"/>
                <w:highlight w:val="black"/>
              </w:rPr>
            </w:pPr>
            <w:r>
              <w:rPr>
                <w:rFonts w:ascii="Arial Narrow" w:hAnsi="Arial Narrow" w:cs="Arial"/>
                <w:noProof/>
                <w:color w:val="000000"/>
                <w:sz w:val="20"/>
                <w:highlight w:val="black"/>
              </w:rPr>
              <w:t>''''''''''</w:t>
            </w:r>
          </w:p>
        </w:tc>
        <w:tc>
          <w:tcPr>
            <w:tcW w:w="694" w:type="pct"/>
            <w:vAlign w:val="center"/>
          </w:tcPr>
          <w:p w:rsidR="003B532F" w:rsidRPr="005C0DF8" w:rsidRDefault="005C0DF8" w:rsidP="00E35CCE">
            <w:pPr>
              <w:jc w:val="center"/>
              <w:rPr>
                <w:rFonts w:ascii="Arial Narrow" w:hAnsi="Arial Narrow" w:cs="Arial"/>
                <w:sz w:val="20"/>
                <w:highlight w:val="black"/>
              </w:rPr>
            </w:pPr>
            <w:r>
              <w:rPr>
                <w:rFonts w:ascii="Arial Narrow" w:hAnsi="Arial Narrow" w:cs="Arial"/>
                <w:noProof/>
                <w:color w:val="000000"/>
                <w:sz w:val="20"/>
                <w:highlight w:val="black"/>
              </w:rPr>
              <w:t>''''''''''''</w:t>
            </w:r>
          </w:p>
        </w:tc>
        <w:tc>
          <w:tcPr>
            <w:tcW w:w="694" w:type="pct"/>
            <w:vAlign w:val="center"/>
          </w:tcPr>
          <w:p w:rsidR="003B532F" w:rsidRPr="005C0DF8" w:rsidRDefault="005C0DF8" w:rsidP="00E35CCE">
            <w:pPr>
              <w:jc w:val="center"/>
              <w:rPr>
                <w:rFonts w:ascii="Arial Narrow" w:hAnsi="Arial Narrow" w:cs="Arial"/>
                <w:sz w:val="20"/>
                <w:highlight w:val="black"/>
              </w:rPr>
            </w:pPr>
            <w:r>
              <w:rPr>
                <w:rFonts w:ascii="Arial Narrow" w:hAnsi="Arial Narrow" w:cs="Arial"/>
                <w:noProof/>
                <w:color w:val="000000"/>
                <w:sz w:val="20"/>
                <w:highlight w:val="black"/>
              </w:rPr>
              <w:t>'''''''''''</w:t>
            </w:r>
          </w:p>
        </w:tc>
        <w:tc>
          <w:tcPr>
            <w:tcW w:w="693" w:type="pct"/>
            <w:vAlign w:val="center"/>
          </w:tcPr>
          <w:p w:rsidR="003B532F" w:rsidRPr="005C0DF8" w:rsidRDefault="005C0DF8" w:rsidP="00E35CCE">
            <w:pPr>
              <w:jc w:val="center"/>
              <w:rPr>
                <w:rFonts w:ascii="Arial Narrow" w:hAnsi="Arial Narrow" w:cs="Arial"/>
                <w:sz w:val="20"/>
                <w:highlight w:val="black"/>
              </w:rPr>
            </w:pPr>
            <w:r>
              <w:rPr>
                <w:rFonts w:ascii="Arial Narrow" w:hAnsi="Arial Narrow" w:cs="Arial"/>
                <w:noProof/>
                <w:color w:val="000000"/>
                <w:sz w:val="20"/>
                <w:highlight w:val="black"/>
              </w:rPr>
              <w:t>''''''''''</w:t>
            </w:r>
          </w:p>
        </w:tc>
      </w:tr>
      <w:tr w:rsidR="003B532F" w:rsidRPr="008F0598" w:rsidTr="0082456B">
        <w:tc>
          <w:tcPr>
            <w:tcW w:w="1529" w:type="pct"/>
          </w:tcPr>
          <w:p w:rsidR="003B532F" w:rsidRPr="005C0DF8" w:rsidRDefault="003B532F" w:rsidP="00E35CCE">
            <w:pPr>
              <w:rPr>
                <w:rFonts w:ascii="Arial Narrow" w:hAnsi="Arial Narrow" w:cs="Arial"/>
                <w:b/>
                <w:bCs/>
                <w:sz w:val="20"/>
              </w:rPr>
            </w:pPr>
            <w:r w:rsidRPr="006D7E8C">
              <w:rPr>
                <w:rFonts w:ascii="Arial Narrow" w:hAnsi="Arial Narrow" w:cs="Arial"/>
                <w:b/>
                <w:bCs/>
                <w:sz w:val="20"/>
              </w:rPr>
              <w:lastRenderedPageBreak/>
              <w:t xml:space="preserve">Net cost of </w:t>
            </w:r>
            <w:proofErr w:type="spellStart"/>
            <w:r w:rsidRPr="006D7E8C">
              <w:rPr>
                <w:rFonts w:ascii="Arial Narrow" w:hAnsi="Arial Narrow" w:cs="Arial"/>
                <w:b/>
                <w:bCs/>
                <w:sz w:val="20"/>
              </w:rPr>
              <w:t>abiraterone</w:t>
            </w:r>
            <w:proofErr w:type="spellEnd"/>
            <w:r w:rsidRPr="006D7E8C">
              <w:rPr>
                <w:rFonts w:ascii="Arial Narrow" w:hAnsi="Arial Narrow" w:cs="Arial"/>
                <w:b/>
                <w:bCs/>
                <w:sz w:val="20"/>
              </w:rPr>
              <w:t xml:space="preserve"> (post-</w:t>
            </w:r>
            <w:proofErr w:type="spellStart"/>
            <w:r w:rsidRPr="006D7E8C">
              <w:rPr>
                <w:rFonts w:ascii="Arial Narrow" w:hAnsi="Arial Narrow" w:cs="Arial"/>
                <w:b/>
                <w:bCs/>
                <w:sz w:val="20"/>
              </w:rPr>
              <w:t>docetaxel</w:t>
            </w:r>
            <w:proofErr w:type="spellEnd"/>
            <w:r w:rsidRPr="006D7E8C">
              <w:rPr>
                <w:rFonts w:ascii="Arial Narrow" w:hAnsi="Arial Narrow" w:cs="Arial"/>
                <w:b/>
                <w:bCs/>
                <w:sz w:val="20"/>
              </w:rPr>
              <w:t>) to the PBS/RPBS</w:t>
            </w:r>
          </w:p>
        </w:tc>
        <w:tc>
          <w:tcPr>
            <w:tcW w:w="694" w:type="pct"/>
            <w:vAlign w:val="center"/>
          </w:tcPr>
          <w:p w:rsidR="003B532F" w:rsidRPr="005C0DF8" w:rsidRDefault="005C0DF8" w:rsidP="00E35CCE">
            <w:pPr>
              <w:jc w:val="center"/>
              <w:rPr>
                <w:rFonts w:ascii="Arial Narrow" w:hAnsi="Arial Narrow" w:cs="Arial"/>
                <w:b/>
                <w:bCs/>
                <w:sz w:val="20"/>
                <w:highlight w:val="black"/>
              </w:rPr>
            </w:pPr>
            <w:r>
              <w:rPr>
                <w:rFonts w:ascii="Arial Narrow" w:hAnsi="Arial Narrow" w:cs="Arial"/>
                <w:b/>
                <w:bCs/>
                <w:noProof/>
                <w:color w:val="000000"/>
                <w:sz w:val="20"/>
                <w:highlight w:val="black"/>
              </w:rPr>
              <w:t>'''''''''''''''''''''</w:t>
            </w:r>
          </w:p>
        </w:tc>
        <w:tc>
          <w:tcPr>
            <w:tcW w:w="694" w:type="pct"/>
            <w:vAlign w:val="center"/>
          </w:tcPr>
          <w:p w:rsidR="003B532F" w:rsidRPr="005C0DF8" w:rsidRDefault="005C0DF8" w:rsidP="00E35CCE">
            <w:pPr>
              <w:jc w:val="center"/>
              <w:rPr>
                <w:rFonts w:ascii="Arial Narrow" w:hAnsi="Arial Narrow" w:cs="Arial"/>
                <w:b/>
                <w:bCs/>
                <w:sz w:val="20"/>
                <w:highlight w:val="black"/>
              </w:rPr>
            </w:pPr>
            <w:r>
              <w:rPr>
                <w:rFonts w:ascii="Arial Narrow" w:hAnsi="Arial Narrow" w:cs="Arial"/>
                <w:b/>
                <w:bCs/>
                <w:noProof/>
                <w:color w:val="000000"/>
                <w:sz w:val="20"/>
                <w:highlight w:val="black"/>
              </w:rPr>
              <w:t>'''''''''''''''''''''''''''</w:t>
            </w:r>
          </w:p>
        </w:tc>
        <w:tc>
          <w:tcPr>
            <w:tcW w:w="694" w:type="pct"/>
            <w:vAlign w:val="center"/>
          </w:tcPr>
          <w:p w:rsidR="003B532F" w:rsidRPr="005C0DF8" w:rsidRDefault="005C0DF8" w:rsidP="00E35CCE">
            <w:pPr>
              <w:jc w:val="center"/>
              <w:rPr>
                <w:rFonts w:ascii="Arial Narrow" w:hAnsi="Arial Narrow" w:cs="Arial"/>
                <w:b/>
                <w:bCs/>
                <w:sz w:val="20"/>
                <w:highlight w:val="black"/>
              </w:rPr>
            </w:pPr>
            <w:r>
              <w:rPr>
                <w:rFonts w:ascii="Arial Narrow" w:hAnsi="Arial Narrow" w:cs="Arial"/>
                <w:b/>
                <w:bCs/>
                <w:noProof/>
                <w:color w:val="000000"/>
                <w:sz w:val="20"/>
                <w:highlight w:val="black"/>
              </w:rPr>
              <w:t>''''''''''''''''''''''''</w:t>
            </w:r>
          </w:p>
        </w:tc>
        <w:tc>
          <w:tcPr>
            <w:tcW w:w="694" w:type="pct"/>
            <w:vAlign w:val="center"/>
          </w:tcPr>
          <w:p w:rsidR="003B532F" w:rsidRPr="005C0DF8" w:rsidRDefault="005C0DF8" w:rsidP="00E35CCE">
            <w:pPr>
              <w:jc w:val="center"/>
              <w:rPr>
                <w:rFonts w:ascii="Arial Narrow" w:hAnsi="Arial Narrow" w:cs="Arial"/>
                <w:b/>
                <w:bCs/>
                <w:sz w:val="20"/>
                <w:highlight w:val="black"/>
              </w:rPr>
            </w:pPr>
            <w:r>
              <w:rPr>
                <w:rFonts w:ascii="Arial Narrow" w:hAnsi="Arial Narrow" w:cs="Arial"/>
                <w:b/>
                <w:bCs/>
                <w:noProof/>
                <w:color w:val="000000"/>
                <w:sz w:val="20"/>
                <w:highlight w:val="black"/>
              </w:rPr>
              <w:t>''''''''''''''''''''''''</w:t>
            </w:r>
          </w:p>
        </w:tc>
        <w:tc>
          <w:tcPr>
            <w:tcW w:w="693" w:type="pct"/>
            <w:vAlign w:val="center"/>
          </w:tcPr>
          <w:p w:rsidR="003B532F" w:rsidRPr="005C0DF8" w:rsidRDefault="005C0DF8" w:rsidP="00E35CCE">
            <w:pPr>
              <w:jc w:val="center"/>
              <w:rPr>
                <w:rFonts w:ascii="Arial Narrow" w:hAnsi="Arial Narrow" w:cs="Arial"/>
                <w:b/>
                <w:bCs/>
                <w:sz w:val="20"/>
                <w:highlight w:val="black"/>
              </w:rPr>
            </w:pPr>
            <w:r>
              <w:rPr>
                <w:rFonts w:ascii="Arial Narrow" w:hAnsi="Arial Narrow" w:cs="Arial"/>
                <w:b/>
                <w:bCs/>
                <w:noProof/>
                <w:color w:val="000000"/>
                <w:sz w:val="20"/>
                <w:highlight w:val="black"/>
              </w:rPr>
              <w:t>''''''''''''''''''''''''</w:t>
            </w:r>
          </w:p>
        </w:tc>
      </w:tr>
      <w:tr w:rsidR="003B532F" w:rsidRPr="008F0598" w:rsidTr="0082456B">
        <w:tc>
          <w:tcPr>
            <w:tcW w:w="5000" w:type="pct"/>
            <w:gridSpan w:val="6"/>
          </w:tcPr>
          <w:p w:rsidR="003B532F" w:rsidRPr="005C0DF8" w:rsidRDefault="003B532F" w:rsidP="00E35CCE">
            <w:pPr>
              <w:rPr>
                <w:rFonts w:ascii="Arial Narrow" w:hAnsi="Arial Narrow" w:cs="Arial"/>
                <w:sz w:val="20"/>
              </w:rPr>
            </w:pPr>
            <w:r w:rsidRPr="006D7E8C">
              <w:rPr>
                <w:rFonts w:ascii="Arial Narrow" w:hAnsi="Arial Narrow" w:cs="Arial"/>
                <w:b/>
                <w:bCs/>
                <w:sz w:val="20"/>
              </w:rPr>
              <w:t>Estimated financial implications for the PBS/RPBS</w:t>
            </w:r>
          </w:p>
        </w:tc>
      </w:tr>
      <w:tr w:rsidR="003B532F" w:rsidRPr="008F0598" w:rsidTr="0082456B">
        <w:tc>
          <w:tcPr>
            <w:tcW w:w="1529" w:type="pct"/>
          </w:tcPr>
          <w:p w:rsidR="003B532F" w:rsidRPr="005C0DF8" w:rsidRDefault="003B532F" w:rsidP="00E35CCE">
            <w:pPr>
              <w:rPr>
                <w:rFonts w:ascii="Arial Narrow" w:hAnsi="Arial Narrow" w:cs="Arial"/>
                <w:sz w:val="20"/>
              </w:rPr>
            </w:pPr>
            <w:r w:rsidRPr="006D7E8C">
              <w:rPr>
                <w:rFonts w:ascii="Arial Narrow" w:hAnsi="Arial Narrow" w:cs="Arial"/>
                <w:sz w:val="20"/>
              </w:rPr>
              <w:t xml:space="preserve">Net cost of </w:t>
            </w:r>
            <w:proofErr w:type="spellStart"/>
            <w:r w:rsidRPr="006D7E8C">
              <w:rPr>
                <w:rFonts w:ascii="Arial Narrow" w:hAnsi="Arial Narrow" w:cs="Arial"/>
                <w:sz w:val="20"/>
              </w:rPr>
              <w:t>abiraterone</w:t>
            </w:r>
            <w:proofErr w:type="spellEnd"/>
            <w:r w:rsidRPr="006D7E8C">
              <w:rPr>
                <w:rFonts w:ascii="Arial Narrow" w:hAnsi="Arial Narrow" w:cs="Arial"/>
                <w:sz w:val="20"/>
              </w:rPr>
              <w:t xml:space="preserve"> to the PBS/RPBS</w:t>
            </w:r>
          </w:p>
        </w:tc>
        <w:tc>
          <w:tcPr>
            <w:tcW w:w="694" w:type="pct"/>
            <w:vAlign w:val="center"/>
          </w:tcPr>
          <w:p w:rsidR="003B532F" w:rsidRPr="005C0DF8" w:rsidRDefault="005C0DF8" w:rsidP="00E35CCE">
            <w:pPr>
              <w:jc w:val="center"/>
              <w:rPr>
                <w:rFonts w:ascii="Arial Narrow" w:hAnsi="Arial Narrow" w:cs="Arial"/>
                <w:sz w:val="20"/>
                <w:highlight w:val="black"/>
              </w:rPr>
            </w:pPr>
            <w:r>
              <w:rPr>
                <w:rFonts w:ascii="Arial Narrow" w:hAnsi="Arial Narrow" w:cs="Arial"/>
                <w:noProof/>
                <w:color w:val="000000"/>
                <w:sz w:val="20"/>
                <w:highlight w:val="black"/>
              </w:rPr>
              <w:t>''''''''''''''''''''''''''''''''</w:t>
            </w:r>
          </w:p>
        </w:tc>
        <w:tc>
          <w:tcPr>
            <w:tcW w:w="694" w:type="pct"/>
            <w:vAlign w:val="center"/>
          </w:tcPr>
          <w:p w:rsidR="003B532F" w:rsidRPr="005C0DF8" w:rsidRDefault="005C0DF8" w:rsidP="00E35CCE">
            <w:pPr>
              <w:jc w:val="center"/>
              <w:rPr>
                <w:rFonts w:ascii="Arial Narrow" w:hAnsi="Arial Narrow" w:cs="Arial"/>
                <w:sz w:val="20"/>
                <w:highlight w:val="black"/>
              </w:rPr>
            </w:pPr>
            <w:r>
              <w:rPr>
                <w:rFonts w:ascii="Arial Narrow" w:hAnsi="Arial Narrow" w:cs="Arial"/>
                <w:noProof/>
                <w:color w:val="000000"/>
                <w:sz w:val="20"/>
                <w:highlight w:val="black"/>
              </w:rPr>
              <w:t>'''''''''''''''''''''''''''''''</w:t>
            </w:r>
          </w:p>
        </w:tc>
        <w:tc>
          <w:tcPr>
            <w:tcW w:w="694" w:type="pct"/>
            <w:vAlign w:val="center"/>
          </w:tcPr>
          <w:p w:rsidR="003B532F" w:rsidRPr="005C0DF8" w:rsidRDefault="005C0DF8" w:rsidP="00E35CCE">
            <w:pPr>
              <w:jc w:val="center"/>
              <w:rPr>
                <w:rFonts w:ascii="Arial Narrow" w:hAnsi="Arial Narrow" w:cs="Arial"/>
                <w:sz w:val="20"/>
                <w:highlight w:val="black"/>
              </w:rPr>
            </w:pPr>
            <w:r>
              <w:rPr>
                <w:rFonts w:ascii="Arial Narrow" w:hAnsi="Arial Narrow" w:cs="Arial"/>
                <w:noProof/>
                <w:color w:val="000000"/>
                <w:sz w:val="20"/>
                <w:highlight w:val="black"/>
              </w:rPr>
              <w:t>'''''''''''''''''''''''''''''</w:t>
            </w:r>
          </w:p>
        </w:tc>
        <w:tc>
          <w:tcPr>
            <w:tcW w:w="694" w:type="pct"/>
            <w:vAlign w:val="center"/>
          </w:tcPr>
          <w:p w:rsidR="003B532F" w:rsidRPr="005C0DF8" w:rsidRDefault="005C0DF8" w:rsidP="00E35CCE">
            <w:pPr>
              <w:jc w:val="center"/>
              <w:rPr>
                <w:rFonts w:ascii="Arial Narrow" w:hAnsi="Arial Narrow" w:cs="Arial"/>
                <w:sz w:val="20"/>
                <w:highlight w:val="black"/>
              </w:rPr>
            </w:pPr>
            <w:r>
              <w:rPr>
                <w:rFonts w:ascii="Arial Narrow" w:hAnsi="Arial Narrow" w:cs="Arial"/>
                <w:noProof/>
                <w:color w:val="000000"/>
                <w:sz w:val="20"/>
                <w:highlight w:val="black"/>
              </w:rPr>
              <w:t>''''''''''''''''''''''''''''''''</w:t>
            </w:r>
          </w:p>
        </w:tc>
        <w:tc>
          <w:tcPr>
            <w:tcW w:w="693" w:type="pct"/>
            <w:vAlign w:val="center"/>
          </w:tcPr>
          <w:p w:rsidR="003B532F" w:rsidRPr="005C0DF8" w:rsidRDefault="005C0DF8" w:rsidP="00E35CCE">
            <w:pPr>
              <w:jc w:val="center"/>
              <w:rPr>
                <w:rFonts w:ascii="Arial Narrow" w:hAnsi="Arial Narrow" w:cs="Arial"/>
                <w:sz w:val="20"/>
                <w:highlight w:val="black"/>
              </w:rPr>
            </w:pPr>
            <w:r>
              <w:rPr>
                <w:rFonts w:ascii="Arial Narrow" w:hAnsi="Arial Narrow" w:cs="Arial"/>
                <w:noProof/>
                <w:color w:val="000000"/>
                <w:sz w:val="20"/>
                <w:highlight w:val="black"/>
              </w:rPr>
              <w:t>'''''''''''''''''''''''''''''</w:t>
            </w:r>
          </w:p>
        </w:tc>
      </w:tr>
      <w:tr w:rsidR="003B532F" w:rsidRPr="008F0598" w:rsidTr="0082456B">
        <w:tc>
          <w:tcPr>
            <w:tcW w:w="5000" w:type="pct"/>
            <w:gridSpan w:val="6"/>
          </w:tcPr>
          <w:p w:rsidR="003B532F" w:rsidRPr="005C0DF8" w:rsidRDefault="003B532F" w:rsidP="00E35CCE">
            <w:pPr>
              <w:rPr>
                <w:rFonts w:ascii="Arial Narrow" w:hAnsi="Arial Narrow" w:cs="Arial"/>
                <w:b/>
                <w:bCs/>
                <w:sz w:val="20"/>
              </w:rPr>
            </w:pPr>
            <w:r w:rsidRPr="006D7E8C">
              <w:rPr>
                <w:rFonts w:ascii="Arial Narrow" w:hAnsi="Arial Narrow" w:cs="Arial"/>
                <w:b/>
                <w:bCs/>
                <w:sz w:val="20"/>
              </w:rPr>
              <w:t>Estimated financial implications for government health budgets</w:t>
            </w:r>
          </w:p>
        </w:tc>
      </w:tr>
      <w:tr w:rsidR="003B532F" w:rsidRPr="008F0598" w:rsidTr="0082456B">
        <w:tc>
          <w:tcPr>
            <w:tcW w:w="1529" w:type="pct"/>
          </w:tcPr>
          <w:p w:rsidR="003B532F" w:rsidRPr="005C0DF8" w:rsidRDefault="003B532F" w:rsidP="00E35CCE">
            <w:pPr>
              <w:rPr>
                <w:rFonts w:ascii="Arial Narrow" w:hAnsi="Arial Narrow" w:cs="Arial"/>
                <w:sz w:val="20"/>
              </w:rPr>
            </w:pPr>
            <w:r w:rsidRPr="006D7E8C">
              <w:rPr>
                <w:rFonts w:ascii="Arial Narrow" w:hAnsi="Arial Narrow" w:cs="Arial"/>
                <w:sz w:val="20"/>
              </w:rPr>
              <w:t xml:space="preserve">Net cost of </w:t>
            </w:r>
            <w:proofErr w:type="spellStart"/>
            <w:r w:rsidRPr="006D7E8C">
              <w:rPr>
                <w:rFonts w:ascii="Arial Narrow" w:hAnsi="Arial Narrow" w:cs="Arial"/>
                <w:sz w:val="20"/>
              </w:rPr>
              <w:t>abiraterone</w:t>
            </w:r>
            <w:proofErr w:type="spellEnd"/>
            <w:r w:rsidRPr="006D7E8C">
              <w:rPr>
                <w:rFonts w:ascii="Arial Narrow" w:hAnsi="Arial Narrow" w:cs="Arial"/>
                <w:sz w:val="20"/>
              </w:rPr>
              <w:t xml:space="preserve"> to the health budget</w:t>
            </w:r>
          </w:p>
        </w:tc>
        <w:tc>
          <w:tcPr>
            <w:tcW w:w="694" w:type="pct"/>
            <w:vAlign w:val="center"/>
          </w:tcPr>
          <w:p w:rsidR="003B532F" w:rsidRPr="005C0DF8" w:rsidRDefault="005C0DF8" w:rsidP="00E35CCE">
            <w:pPr>
              <w:jc w:val="center"/>
              <w:rPr>
                <w:rFonts w:ascii="Arial Narrow" w:hAnsi="Arial Narrow" w:cs="Arial"/>
                <w:sz w:val="20"/>
                <w:highlight w:val="black"/>
              </w:rPr>
            </w:pPr>
            <w:r>
              <w:rPr>
                <w:rFonts w:ascii="Arial Narrow" w:hAnsi="Arial Narrow" w:cs="Arial"/>
                <w:noProof/>
                <w:color w:val="000000"/>
                <w:sz w:val="20"/>
                <w:highlight w:val="black"/>
              </w:rPr>
              <w:t>'''''''''''''''''''''''''''''''''</w:t>
            </w:r>
          </w:p>
        </w:tc>
        <w:tc>
          <w:tcPr>
            <w:tcW w:w="694" w:type="pct"/>
            <w:vAlign w:val="center"/>
          </w:tcPr>
          <w:p w:rsidR="003B532F" w:rsidRPr="005C0DF8" w:rsidRDefault="005C0DF8" w:rsidP="00E35CCE">
            <w:pPr>
              <w:jc w:val="center"/>
              <w:rPr>
                <w:rFonts w:ascii="Arial Narrow" w:hAnsi="Arial Narrow" w:cs="Arial"/>
                <w:sz w:val="20"/>
                <w:highlight w:val="black"/>
              </w:rPr>
            </w:pPr>
            <w:r>
              <w:rPr>
                <w:rFonts w:ascii="Arial Narrow" w:hAnsi="Arial Narrow" w:cs="Arial"/>
                <w:noProof/>
                <w:color w:val="000000"/>
                <w:sz w:val="20"/>
                <w:highlight w:val="black"/>
              </w:rPr>
              <w:t>'''''''''''''''''''''''''''''</w:t>
            </w:r>
          </w:p>
        </w:tc>
        <w:tc>
          <w:tcPr>
            <w:tcW w:w="694" w:type="pct"/>
            <w:vAlign w:val="center"/>
          </w:tcPr>
          <w:p w:rsidR="003B532F" w:rsidRPr="005C0DF8" w:rsidRDefault="005C0DF8" w:rsidP="00E35CCE">
            <w:pPr>
              <w:jc w:val="center"/>
              <w:rPr>
                <w:rFonts w:ascii="Arial Narrow" w:hAnsi="Arial Narrow" w:cs="Arial"/>
                <w:sz w:val="20"/>
                <w:highlight w:val="black"/>
              </w:rPr>
            </w:pPr>
            <w:r>
              <w:rPr>
                <w:rFonts w:ascii="Arial Narrow" w:hAnsi="Arial Narrow" w:cs="Arial"/>
                <w:noProof/>
                <w:color w:val="000000"/>
                <w:sz w:val="20"/>
                <w:highlight w:val="black"/>
              </w:rPr>
              <w:t>'''''''''''''''''''''''''''</w:t>
            </w:r>
          </w:p>
        </w:tc>
        <w:tc>
          <w:tcPr>
            <w:tcW w:w="694" w:type="pct"/>
            <w:vAlign w:val="center"/>
          </w:tcPr>
          <w:p w:rsidR="003B532F" w:rsidRPr="005C0DF8" w:rsidRDefault="005C0DF8" w:rsidP="00E35CCE">
            <w:pPr>
              <w:jc w:val="center"/>
              <w:rPr>
                <w:rFonts w:ascii="Arial Narrow" w:hAnsi="Arial Narrow" w:cs="Arial"/>
                <w:sz w:val="20"/>
                <w:highlight w:val="black"/>
              </w:rPr>
            </w:pPr>
            <w:r>
              <w:rPr>
                <w:rFonts w:ascii="Arial Narrow" w:hAnsi="Arial Narrow" w:cs="Arial"/>
                <w:noProof/>
                <w:color w:val="000000"/>
                <w:sz w:val="20"/>
                <w:highlight w:val="black"/>
              </w:rPr>
              <w:t>''''''''''''''''''''''''''''''''</w:t>
            </w:r>
          </w:p>
        </w:tc>
        <w:tc>
          <w:tcPr>
            <w:tcW w:w="693" w:type="pct"/>
            <w:vAlign w:val="center"/>
          </w:tcPr>
          <w:p w:rsidR="003B532F" w:rsidRPr="005C0DF8" w:rsidRDefault="005C0DF8" w:rsidP="00E35CCE">
            <w:pPr>
              <w:jc w:val="center"/>
              <w:rPr>
                <w:rFonts w:ascii="Arial Narrow" w:hAnsi="Arial Narrow" w:cs="Arial"/>
                <w:sz w:val="20"/>
                <w:highlight w:val="black"/>
              </w:rPr>
            </w:pPr>
            <w:r>
              <w:rPr>
                <w:rFonts w:ascii="Arial Narrow" w:hAnsi="Arial Narrow" w:cs="Arial"/>
                <w:noProof/>
                <w:color w:val="000000"/>
                <w:sz w:val="20"/>
                <w:highlight w:val="black"/>
              </w:rPr>
              <w:t>''''''''''''''''''''''''''''''</w:t>
            </w:r>
          </w:p>
        </w:tc>
      </w:tr>
    </w:tbl>
    <w:p w:rsidR="003B532F" w:rsidRPr="005C0DF8" w:rsidRDefault="005C0DF8" w:rsidP="0082456B">
      <w:pPr>
        <w:tabs>
          <w:tab w:val="left" w:pos="180"/>
        </w:tabs>
        <w:rPr>
          <w:rFonts w:ascii="Arial Narrow" w:hAnsi="Arial Narrow" w:cs="Arial"/>
          <w:sz w:val="18"/>
          <w:szCs w:val="18"/>
          <w:highlight w:val="black"/>
        </w:rPr>
      </w:pPr>
      <w:r>
        <w:rPr>
          <w:rFonts w:ascii="Arial Narrow" w:hAnsi="Arial Narrow" w:cs="Arial"/>
          <w:noProof/>
          <w:color w:val="000000"/>
          <w:sz w:val="20"/>
          <w:highlight w:val="black"/>
        </w:rPr>
        <w:t>'</w:t>
      </w:r>
      <w:r>
        <w:rPr>
          <w:rFonts w:ascii="Arial Narrow" w:hAnsi="Arial Narrow" w:cs="Arial"/>
          <w:noProof/>
          <w:color w:val="000000"/>
          <w:sz w:val="18"/>
          <w:szCs w:val="18"/>
          <w:highlight w:val="black"/>
        </w:rPr>
        <w:t>'''''''''''''''''' '''''' '''''''''''' ''''''''''''''''''''''''''''''''' ''''' '''''''''''''' ''''''''''''''''' '''''''''''''''''' '''' '''''''''''''''''''''''''''''''''''''''''</w:t>
      </w:r>
    </w:p>
    <w:p w:rsidR="000F07C8" w:rsidRPr="00E35CCE" w:rsidRDefault="000F07C8" w:rsidP="00E35CCE">
      <w:pPr>
        <w:pStyle w:val="ListParagraph"/>
        <w:jc w:val="both"/>
        <w:rPr>
          <w:rFonts w:ascii="Arial" w:hAnsi="Arial"/>
          <w:sz w:val="22"/>
          <w:szCs w:val="22"/>
        </w:rPr>
      </w:pPr>
    </w:p>
    <w:p w:rsidR="00BB7EC3" w:rsidRPr="00E35CCE" w:rsidRDefault="00BB7EC3" w:rsidP="00E35CCE">
      <w:pPr>
        <w:pStyle w:val="ListParagraph"/>
        <w:ind w:left="709"/>
        <w:jc w:val="both"/>
        <w:rPr>
          <w:rFonts w:ascii="Arial" w:hAnsi="Arial"/>
          <w:i/>
          <w:sz w:val="22"/>
          <w:szCs w:val="22"/>
        </w:rPr>
      </w:pPr>
      <w:r w:rsidRPr="00E35CCE">
        <w:rPr>
          <w:rFonts w:ascii="Arial" w:hAnsi="Arial"/>
          <w:i/>
          <w:sz w:val="22"/>
          <w:szCs w:val="22"/>
        </w:rPr>
        <w:t>For more detail on PBAC’s view, see section 7 “PBAC outcome”</w:t>
      </w:r>
    </w:p>
    <w:p w:rsidR="00CE10C4" w:rsidRPr="00E35CCE" w:rsidRDefault="00CE10C4" w:rsidP="00E35CCE">
      <w:pPr>
        <w:jc w:val="both"/>
        <w:rPr>
          <w:rFonts w:ascii="Arial" w:hAnsi="Arial"/>
          <w:b/>
          <w:sz w:val="22"/>
          <w:szCs w:val="22"/>
        </w:rPr>
      </w:pPr>
    </w:p>
    <w:p w:rsidR="00C36661" w:rsidRPr="00E35CCE" w:rsidRDefault="00A62C1A" w:rsidP="00E35CCE">
      <w:pPr>
        <w:pStyle w:val="ListParagraph"/>
        <w:numPr>
          <w:ilvl w:val="0"/>
          <w:numId w:val="25"/>
        </w:numPr>
        <w:jc w:val="both"/>
        <w:rPr>
          <w:rFonts w:ascii="Arial" w:hAnsi="Arial"/>
          <w:b/>
          <w:sz w:val="22"/>
          <w:szCs w:val="22"/>
        </w:rPr>
      </w:pPr>
      <w:r w:rsidRPr="00E35CCE">
        <w:rPr>
          <w:rFonts w:ascii="Arial" w:hAnsi="Arial"/>
          <w:b/>
          <w:sz w:val="22"/>
          <w:szCs w:val="22"/>
        </w:rPr>
        <w:t xml:space="preserve">PBAC </w:t>
      </w:r>
      <w:r w:rsidR="00930937" w:rsidRPr="00E35CCE">
        <w:rPr>
          <w:rFonts w:ascii="Arial" w:hAnsi="Arial"/>
          <w:b/>
          <w:sz w:val="22"/>
          <w:szCs w:val="22"/>
        </w:rPr>
        <w:t>Outcome</w:t>
      </w:r>
    </w:p>
    <w:p w:rsidR="00C36661" w:rsidRPr="00E35CCE" w:rsidRDefault="00C36661" w:rsidP="00E35CCE">
      <w:pPr>
        <w:pStyle w:val="ListParagraph"/>
        <w:jc w:val="both"/>
        <w:rPr>
          <w:rFonts w:ascii="Arial" w:hAnsi="Arial"/>
          <w:b/>
          <w:sz w:val="22"/>
          <w:szCs w:val="22"/>
        </w:rPr>
      </w:pPr>
    </w:p>
    <w:p w:rsidR="004D795F" w:rsidRPr="00E35CCE" w:rsidRDefault="001457B8" w:rsidP="00E35CCE">
      <w:pPr>
        <w:pStyle w:val="ListParagraph"/>
        <w:numPr>
          <w:ilvl w:val="1"/>
          <w:numId w:val="25"/>
        </w:numPr>
        <w:jc w:val="both"/>
        <w:rPr>
          <w:rFonts w:ascii="Arial" w:hAnsi="Arial"/>
          <w:sz w:val="22"/>
          <w:szCs w:val="22"/>
        </w:rPr>
      </w:pPr>
      <w:r w:rsidRPr="00E35CCE">
        <w:rPr>
          <w:rFonts w:ascii="Arial" w:hAnsi="Arial"/>
          <w:sz w:val="22"/>
          <w:szCs w:val="22"/>
        </w:rPr>
        <w:t xml:space="preserve">The PBAC rejected the submission to extend the PBS listing of </w:t>
      </w:r>
      <w:proofErr w:type="spellStart"/>
      <w:r w:rsidRPr="00E35CCE">
        <w:rPr>
          <w:rFonts w:ascii="Arial" w:hAnsi="Arial"/>
          <w:sz w:val="22"/>
          <w:szCs w:val="22"/>
        </w:rPr>
        <w:t>abiraterone</w:t>
      </w:r>
      <w:proofErr w:type="spellEnd"/>
      <w:r w:rsidR="004D795F" w:rsidRPr="00E35CCE">
        <w:rPr>
          <w:rFonts w:ascii="Arial" w:hAnsi="Arial"/>
          <w:sz w:val="22"/>
          <w:szCs w:val="22"/>
        </w:rPr>
        <w:t xml:space="preserve"> because the comparator was inappropriate, the sub-group analysis was not considered the most relevant patient group for PBS eligibility, the ICER was too high and the total PBS cost of treatment with </w:t>
      </w:r>
      <w:proofErr w:type="spellStart"/>
      <w:r w:rsidR="004D795F" w:rsidRPr="00E35CCE">
        <w:rPr>
          <w:rFonts w:ascii="Arial" w:hAnsi="Arial"/>
          <w:sz w:val="22"/>
          <w:szCs w:val="22"/>
        </w:rPr>
        <w:t>abiraterone</w:t>
      </w:r>
      <w:proofErr w:type="spellEnd"/>
      <w:r w:rsidR="004D795F" w:rsidRPr="00E35CCE">
        <w:rPr>
          <w:rFonts w:ascii="Arial" w:hAnsi="Arial"/>
          <w:sz w:val="22"/>
          <w:szCs w:val="22"/>
        </w:rPr>
        <w:t xml:space="preserve"> shifting from post-</w:t>
      </w:r>
      <w:proofErr w:type="spellStart"/>
      <w:r w:rsidR="004D795F" w:rsidRPr="00E35CCE">
        <w:rPr>
          <w:rFonts w:ascii="Arial" w:hAnsi="Arial"/>
          <w:sz w:val="22"/>
          <w:szCs w:val="22"/>
        </w:rPr>
        <w:t>docetaxel</w:t>
      </w:r>
      <w:proofErr w:type="spellEnd"/>
      <w:r w:rsidR="004D795F" w:rsidRPr="00E35CCE">
        <w:rPr>
          <w:rFonts w:ascii="Arial" w:hAnsi="Arial"/>
          <w:sz w:val="22"/>
          <w:szCs w:val="22"/>
        </w:rPr>
        <w:t xml:space="preserve"> to post-ADT was uncertain.</w:t>
      </w:r>
    </w:p>
    <w:p w:rsidR="001457B8" w:rsidRPr="00E35CCE" w:rsidRDefault="004D795F" w:rsidP="00E35CCE">
      <w:pPr>
        <w:pStyle w:val="ListParagraph"/>
        <w:jc w:val="both"/>
        <w:rPr>
          <w:rFonts w:ascii="Arial" w:hAnsi="Arial"/>
          <w:sz w:val="22"/>
          <w:szCs w:val="22"/>
        </w:rPr>
      </w:pPr>
      <w:r w:rsidRPr="00E35CCE">
        <w:rPr>
          <w:rFonts w:ascii="Arial" w:hAnsi="Arial"/>
          <w:sz w:val="22"/>
          <w:szCs w:val="22"/>
        </w:rPr>
        <w:t xml:space="preserve"> </w:t>
      </w:r>
    </w:p>
    <w:p w:rsidR="008F07FF" w:rsidRPr="00E35CCE" w:rsidRDefault="00F504FE" w:rsidP="00E35CCE">
      <w:pPr>
        <w:pStyle w:val="ListParagraph"/>
        <w:numPr>
          <w:ilvl w:val="1"/>
          <w:numId w:val="25"/>
        </w:numPr>
        <w:jc w:val="both"/>
        <w:rPr>
          <w:rFonts w:ascii="Arial" w:hAnsi="Arial"/>
          <w:b/>
          <w:sz w:val="22"/>
          <w:szCs w:val="22"/>
        </w:rPr>
      </w:pPr>
      <w:r w:rsidRPr="00E35CCE">
        <w:rPr>
          <w:rFonts w:ascii="Arial" w:hAnsi="Arial"/>
          <w:sz w:val="22"/>
          <w:szCs w:val="22"/>
        </w:rPr>
        <w:t xml:space="preserve">The PBAC noted </w:t>
      </w:r>
      <w:r w:rsidR="00A926F9" w:rsidRPr="00E35CCE">
        <w:rPr>
          <w:rFonts w:ascii="Arial" w:hAnsi="Arial"/>
          <w:sz w:val="22"/>
          <w:szCs w:val="22"/>
        </w:rPr>
        <w:t xml:space="preserve">the advice received from MOGA and the </w:t>
      </w:r>
      <w:r w:rsidRPr="00E35CCE">
        <w:rPr>
          <w:rFonts w:ascii="Arial" w:hAnsi="Arial"/>
          <w:sz w:val="22"/>
          <w:szCs w:val="22"/>
        </w:rPr>
        <w:t xml:space="preserve">consumer comments </w:t>
      </w:r>
      <w:r w:rsidR="00A926F9" w:rsidRPr="00E35CCE">
        <w:rPr>
          <w:rFonts w:ascii="Arial" w:hAnsi="Arial"/>
          <w:sz w:val="22"/>
          <w:szCs w:val="22"/>
        </w:rPr>
        <w:t>that</w:t>
      </w:r>
      <w:r w:rsidRPr="00E35CCE">
        <w:rPr>
          <w:rFonts w:ascii="Arial" w:hAnsi="Arial"/>
          <w:sz w:val="22"/>
          <w:szCs w:val="22"/>
        </w:rPr>
        <w:t xml:space="preserve"> the </w:t>
      </w:r>
      <w:r w:rsidR="00A926F9" w:rsidRPr="00E35CCE">
        <w:rPr>
          <w:rFonts w:ascii="Arial" w:hAnsi="Arial"/>
          <w:sz w:val="22"/>
          <w:szCs w:val="22"/>
        </w:rPr>
        <w:t xml:space="preserve">proposed </w:t>
      </w:r>
      <w:r w:rsidRPr="00E35CCE">
        <w:rPr>
          <w:rFonts w:ascii="Arial" w:hAnsi="Arial"/>
          <w:sz w:val="22"/>
          <w:szCs w:val="22"/>
        </w:rPr>
        <w:t xml:space="preserve">change to the </w:t>
      </w:r>
      <w:proofErr w:type="spellStart"/>
      <w:r w:rsidRPr="00E35CCE">
        <w:rPr>
          <w:rFonts w:ascii="Arial" w:hAnsi="Arial"/>
          <w:sz w:val="22"/>
          <w:szCs w:val="22"/>
        </w:rPr>
        <w:t>abiraterone</w:t>
      </w:r>
      <w:proofErr w:type="spellEnd"/>
      <w:r w:rsidRPr="00E35CCE">
        <w:rPr>
          <w:rFonts w:ascii="Arial" w:hAnsi="Arial"/>
          <w:sz w:val="22"/>
          <w:szCs w:val="22"/>
        </w:rPr>
        <w:t xml:space="preserve"> PBS restriction </w:t>
      </w:r>
      <w:r w:rsidR="00A926F9" w:rsidRPr="00E35CCE">
        <w:rPr>
          <w:rFonts w:ascii="Arial" w:hAnsi="Arial"/>
          <w:sz w:val="22"/>
          <w:szCs w:val="22"/>
        </w:rPr>
        <w:t xml:space="preserve">would </w:t>
      </w:r>
      <w:r w:rsidRPr="00E35CCE">
        <w:rPr>
          <w:rFonts w:ascii="Arial" w:hAnsi="Arial"/>
          <w:sz w:val="22"/>
          <w:szCs w:val="22"/>
        </w:rPr>
        <w:t>provid</w:t>
      </w:r>
      <w:r w:rsidR="00A926F9" w:rsidRPr="00E35CCE">
        <w:rPr>
          <w:rFonts w:ascii="Arial" w:hAnsi="Arial"/>
          <w:sz w:val="22"/>
          <w:szCs w:val="22"/>
        </w:rPr>
        <w:t xml:space="preserve">e </w:t>
      </w:r>
      <w:r w:rsidRPr="00E35CCE">
        <w:rPr>
          <w:rFonts w:ascii="Arial" w:hAnsi="Arial"/>
          <w:sz w:val="22"/>
          <w:szCs w:val="22"/>
        </w:rPr>
        <w:t xml:space="preserve">a treatment option </w:t>
      </w:r>
      <w:r w:rsidR="00F43A25" w:rsidRPr="00E35CCE">
        <w:rPr>
          <w:rFonts w:ascii="Arial" w:hAnsi="Arial"/>
          <w:sz w:val="22"/>
          <w:szCs w:val="22"/>
        </w:rPr>
        <w:t xml:space="preserve">for patients </w:t>
      </w:r>
      <w:r w:rsidR="001250E0" w:rsidRPr="00E35CCE">
        <w:rPr>
          <w:rFonts w:ascii="Arial" w:hAnsi="Arial"/>
          <w:sz w:val="22"/>
          <w:szCs w:val="22"/>
        </w:rPr>
        <w:t>who have not received chemotherapy.</w:t>
      </w:r>
    </w:p>
    <w:p w:rsidR="00C36661" w:rsidRPr="00E35CCE" w:rsidRDefault="00C36661" w:rsidP="00E35CCE">
      <w:pPr>
        <w:pStyle w:val="ListParagraph"/>
        <w:jc w:val="both"/>
        <w:rPr>
          <w:rFonts w:ascii="Arial" w:hAnsi="Arial"/>
          <w:sz w:val="22"/>
          <w:szCs w:val="22"/>
        </w:rPr>
      </w:pPr>
    </w:p>
    <w:p w:rsidR="00D05684" w:rsidRPr="00E35CCE" w:rsidRDefault="00C36661" w:rsidP="00E35CCE">
      <w:pPr>
        <w:pStyle w:val="ListParagraph"/>
        <w:numPr>
          <w:ilvl w:val="1"/>
          <w:numId w:val="25"/>
        </w:numPr>
        <w:jc w:val="both"/>
        <w:rPr>
          <w:rFonts w:ascii="Arial" w:hAnsi="Arial"/>
          <w:sz w:val="22"/>
          <w:szCs w:val="22"/>
        </w:rPr>
      </w:pPr>
      <w:r w:rsidRPr="00E35CCE">
        <w:rPr>
          <w:rFonts w:ascii="Arial" w:hAnsi="Arial"/>
          <w:sz w:val="22"/>
          <w:szCs w:val="22"/>
        </w:rPr>
        <w:t xml:space="preserve">The </w:t>
      </w:r>
      <w:r w:rsidR="00D05684" w:rsidRPr="00E35CCE">
        <w:rPr>
          <w:rFonts w:ascii="Arial" w:hAnsi="Arial"/>
          <w:sz w:val="22"/>
          <w:szCs w:val="22"/>
        </w:rPr>
        <w:t xml:space="preserve">PBAC also noted comments from clinicians that for a small number of patients the current </w:t>
      </w:r>
      <w:proofErr w:type="spellStart"/>
      <w:r w:rsidR="00D05684" w:rsidRPr="00E35CCE">
        <w:rPr>
          <w:rFonts w:ascii="Arial" w:hAnsi="Arial"/>
          <w:sz w:val="22"/>
          <w:szCs w:val="22"/>
        </w:rPr>
        <w:t>abiraterone</w:t>
      </w:r>
      <w:proofErr w:type="spellEnd"/>
      <w:r w:rsidR="00D05684" w:rsidRPr="00E35CCE">
        <w:rPr>
          <w:rFonts w:ascii="Arial" w:hAnsi="Arial"/>
          <w:sz w:val="22"/>
          <w:szCs w:val="22"/>
        </w:rPr>
        <w:t xml:space="preserve"> restriction, requiring failure of</w:t>
      </w:r>
      <w:r w:rsidR="008F07FF" w:rsidRPr="00E35CCE">
        <w:rPr>
          <w:rFonts w:ascii="Arial" w:hAnsi="Arial"/>
          <w:sz w:val="22"/>
          <w:szCs w:val="22"/>
        </w:rPr>
        <w:t>,</w:t>
      </w:r>
      <w:r w:rsidR="00D05684" w:rsidRPr="00E35CCE">
        <w:rPr>
          <w:rFonts w:ascii="Arial" w:hAnsi="Arial"/>
          <w:sz w:val="22"/>
          <w:szCs w:val="22"/>
        </w:rPr>
        <w:t xml:space="preserve"> or intolerance to</w:t>
      </w:r>
      <w:r w:rsidR="008F07FF" w:rsidRPr="00E35CCE">
        <w:rPr>
          <w:rFonts w:ascii="Arial" w:hAnsi="Arial"/>
          <w:sz w:val="22"/>
          <w:szCs w:val="22"/>
        </w:rPr>
        <w:t>,</w:t>
      </w:r>
      <w:r w:rsidR="00D05684" w:rsidRPr="00E35CCE">
        <w:rPr>
          <w:rFonts w:ascii="Arial" w:hAnsi="Arial"/>
          <w:sz w:val="22"/>
          <w:szCs w:val="22"/>
        </w:rPr>
        <w:t xml:space="preserve"> </w:t>
      </w:r>
      <w:proofErr w:type="spellStart"/>
      <w:r w:rsidR="00D05684" w:rsidRPr="00E35CCE">
        <w:rPr>
          <w:rFonts w:ascii="Arial" w:hAnsi="Arial"/>
          <w:sz w:val="22"/>
          <w:szCs w:val="22"/>
        </w:rPr>
        <w:t>docetaxel</w:t>
      </w:r>
      <w:proofErr w:type="spellEnd"/>
      <w:r w:rsidR="00D05684" w:rsidRPr="00E35CCE">
        <w:rPr>
          <w:rFonts w:ascii="Arial" w:hAnsi="Arial"/>
          <w:sz w:val="22"/>
          <w:szCs w:val="22"/>
        </w:rPr>
        <w:t xml:space="preserve"> is</w:t>
      </w:r>
      <w:r w:rsidR="00595D81" w:rsidRPr="00E35CCE">
        <w:rPr>
          <w:rFonts w:ascii="Arial" w:hAnsi="Arial"/>
          <w:sz w:val="22"/>
          <w:szCs w:val="22"/>
        </w:rPr>
        <w:t xml:space="preserve"> a hurdle in gaining access to treatment where </w:t>
      </w:r>
      <w:r w:rsidR="001250E0" w:rsidRPr="00E35CCE">
        <w:rPr>
          <w:rFonts w:ascii="Arial" w:hAnsi="Arial"/>
          <w:sz w:val="22"/>
          <w:szCs w:val="22"/>
        </w:rPr>
        <w:t xml:space="preserve">a single administration of </w:t>
      </w:r>
      <w:proofErr w:type="spellStart"/>
      <w:r w:rsidR="001250E0" w:rsidRPr="00E35CCE">
        <w:rPr>
          <w:rFonts w:ascii="Arial" w:hAnsi="Arial"/>
          <w:sz w:val="22"/>
          <w:szCs w:val="22"/>
        </w:rPr>
        <w:t>docetaxel</w:t>
      </w:r>
      <w:proofErr w:type="spellEnd"/>
      <w:r w:rsidR="001250E0" w:rsidRPr="00E35CCE">
        <w:rPr>
          <w:rFonts w:ascii="Arial" w:hAnsi="Arial"/>
          <w:sz w:val="22"/>
          <w:szCs w:val="22"/>
        </w:rPr>
        <w:t xml:space="preserve"> would inevitably demonstrate the patient was intolerant</w:t>
      </w:r>
      <w:r w:rsidR="009544FC" w:rsidRPr="00E35CCE">
        <w:rPr>
          <w:rFonts w:ascii="Arial" w:hAnsi="Arial"/>
          <w:sz w:val="22"/>
          <w:szCs w:val="22"/>
        </w:rPr>
        <w:t xml:space="preserve"> to </w:t>
      </w:r>
      <w:proofErr w:type="spellStart"/>
      <w:r w:rsidR="009544FC" w:rsidRPr="00E35CCE">
        <w:rPr>
          <w:rFonts w:ascii="Arial" w:hAnsi="Arial"/>
          <w:sz w:val="22"/>
          <w:szCs w:val="22"/>
        </w:rPr>
        <w:t>docetaxel</w:t>
      </w:r>
      <w:proofErr w:type="spellEnd"/>
      <w:r w:rsidR="001250E0" w:rsidRPr="00E35CCE">
        <w:rPr>
          <w:rFonts w:ascii="Arial" w:hAnsi="Arial"/>
          <w:sz w:val="22"/>
          <w:szCs w:val="22"/>
        </w:rPr>
        <w:t xml:space="preserve">. </w:t>
      </w:r>
      <w:r w:rsidR="00595D81" w:rsidRPr="00E35CCE">
        <w:rPr>
          <w:rFonts w:ascii="Arial" w:hAnsi="Arial"/>
          <w:sz w:val="22"/>
          <w:szCs w:val="22"/>
        </w:rPr>
        <w:t>PBA</w:t>
      </w:r>
      <w:r w:rsidR="008F07FF" w:rsidRPr="00E35CCE">
        <w:rPr>
          <w:rFonts w:ascii="Arial" w:hAnsi="Arial"/>
          <w:sz w:val="22"/>
          <w:szCs w:val="22"/>
        </w:rPr>
        <w:t>C</w:t>
      </w:r>
      <w:r w:rsidR="00595D81" w:rsidRPr="00E35CCE">
        <w:rPr>
          <w:rFonts w:ascii="Arial" w:hAnsi="Arial"/>
          <w:sz w:val="22"/>
          <w:szCs w:val="22"/>
        </w:rPr>
        <w:t xml:space="preserve"> </w:t>
      </w:r>
      <w:r w:rsidR="008F07FF" w:rsidRPr="00E35CCE">
        <w:rPr>
          <w:rFonts w:ascii="Arial" w:hAnsi="Arial"/>
          <w:sz w:val="22"/>
          <w:szCs w:val="22"/>
        </w:rPr>
        <w:t>considered</w:t>
      </w:r>
      <w:r w:rsidR="00595D81" w:rsidRPr="00E35CCE">
        <w:rPr>
          <w:rFonts w:ascii="Arial" w:hAnsi="Arial"/>
          <w:sz w:val="22"/>
          <w:szCs w:val="22"/>
        </w:rPr>
        <w:t xml:space="preserve"> a solution may be to amend the current restriction</w:t>
      </w:r>
      <w:r w:rsidR="008F07FF" w:rsidRPr="00E35CCE">
        <w:rPr>
          <w:rFonts w:ascii="Arial" w:hAnsi="Arial"/>
          <w:sz w:val="22"/>
          <w:szCs w:val="22"/>
        </w:rPr>
        <w:t xml:space="preserve"> to allow PBS subsidised </w:t>
      </w:r>
      <w:proofErr w:type="spellStart"/>
      <w:r w:rsidR="008F07FF" w:rsidRPr="00E35CCE">
        <w:rPr>
          <w:rFonts w:ascii="Arial" w:hAnsi="Arial"/>
          <w:sz w:val="22"/>
          <w:szCs w:val="22"/>
        </w:rPr>
        <w:t>abiraterone</w:t>
      </w:r>
      <w:proofErr w:type="spellEnd"/>
      <w:r w:rsidR="008F07FF" w:rsidRPr="00E35CCE">
        <w:rPr>
          <w:rFonts w:ascii="Arial" w:hAnsi="Arial"/>
          <w:sz w:val="22"/>
          <w:szCs w:val="22"/>
        </w:rPr>
        <w:t xml:space="preserve"> where a patient is considered “unsuitable for</w:t>
      </w:r>
      <w:r w:rsidR="009544FC" w:rsidRPr="00E35CCE">
        <w:rPr>
          <w:rFonts w:ascii="Arial" w:hAnsi="Arial"/>
          <w:sz w:val="22"/>
          <w:szCs w:val="22"/>
        </w:rPr>
        <w:t xml:space="preserve"> </w:t>
      </w:r>
      <w:proofErr w:type="spellStart"/>
      <w:r w:rsidR="009544FC" w:rsidRPr="00E35CCE">
        <w:rPr>
          <w:rFonts w:ascii="Arial" w:hAnsi="Arial"/>
          <w:sz w:val="22"/>
          <w:szCs w:val="22"/>
        </w:rPr>
        <w:t>docetaxel</w:t>
      </w:r>
      <w:proofErr w:type="spellEnd"/>
      <w:r w:rsidR="009544FC" w:rsidRPr="00E35CCE">
        <w:rPr>
          <w:rFonts w:ascii="Arial" w:hAnsi="Arial"/>
          <w:sz w:val="22"/>
          <w:szCs w:val="22"/>
        </w:rPr>
        <w:t xml:space="preserve"> treatment on the basis of </w:t>
      </w:r>
      <w:r w:rsidR="001250E0" w:rsidRPr="00E35CCE">
        <w:rPr>
          <w:rFonts w:ascii="Arial" w:hAnsi="Arial"/>
          <w:sz w:val="22"/>
          <w:szCs w:val="22"/>
        </w:rPr>
        <w:t>demonstrated or predicted</w:t>
      </w:r>
      <w:r w:rsidR="009544FC" w:rsidRPr="00E35CCE">
        <w:rPr>
          <w:rFonts w:ascii="Arial" w:hAnsi="Arial"/>
          <w:sz w:val="22"/>
          <w:szCs w:val="22"/>
        </w:rPr>
        <w:t xml:space="preserve"> </w:t>
      </w:r>
      <w:r w:rsidR="001250E0" w:rsidRPr="00E35CCE">
        <w:rPr>
          <w:rFonts w:ascii="Arial" w:hAnsi="Arial"/>
          <w:sz w:val="22"/>
          <w:szCs w:val="22"/>
        </w:rPr>
        <w:t>intolerance to</w:t>
      </w:r>
      <w:r w:rsidR="00DF2730" w:rsidRPr="00E35CCE">
        <w:rPr>
          <w:rFonts w:ascii="Arial" w:hAnsi="Arial"/>
          <w:sz w:val="22"/>
          <w:szCs w:val="22"/>
        </w:rPr>
        <w:t xml:space="preserve"> </w:t>
      </w:r>
      <w:proofErr w:type="spellStart"/>
      <w:r w:rsidR="00DF2730" w:rsidRPr="00E35CCE">
        <w:rPr>
          <w:rFonts w:ascii="Arial" w:hAnsi="Arial"/>
          <w:sz w:val="22"/>
          <w:szCs w:val="22"/>
        </w:rPr>
        <w:t>docetaxel</w:t>
      </w:r>
      <w:proofErr w:type="spellEnd"/>
      <w:r w:rsidR="008F07FF" w:rsidRPr="00E35CCE">
        <w:rPr>
          <w:rFonts w:ascii="Arial" w:hAnsi="Arial"/>
          <w:sz w:val="22"/>
          <w:szCs w:val="22"/>
        </w:rPr>
        <w:t>”. PBAC considered this to be a minor change that may provide access to a small number of patients</w:t>
      </w:r>
      <w:r w:rsidR="00BA4207" w:rsidRPr="00E35CCE">
        <w:rPr>
          <w:rFonts w:ascii="Arial" w:hAnsi="Arial"/>
          <w:sz w:val="22"/>
          <w:szCs w:val="22"/>
        </w:rPr>
        <w:t xml:space="preserve"> who are currently disadvantaged by the requirement to demonstrate intolerance</w:t>
      </w:r>
      <w:r w:rsidR="008F07FF" w:rsidRPr="00E35CCE">
        <w:rPr>
          <w:rFonts w:ascii="Arial" w:hAnsi="Arial"/>
          <w:sz w:val="22"/>
          <w:szCs w:val="22"/>
        </w:rPr>
        <w:t xml:space="preserve">. </w:t>
      </w:r>
      <w:r w:rsidR="00267CD3" w:rsidRPr="00E35CCE">
        <w:rPr>
          <w:rFonts w:ascii="Arial" w:hAnsi="Arial"/>
          <w:sz w:val="22"/>
          <w:szCs w:val="22"/>
        </w:rPr>
        <w:t xml:space="preserve">The proposed amendment of the restriction </w:t>
      </w:r>
      <w:r w:rsidR="008F07FF" w:rsidRPr="00E35CCE">
        <w:rPr>
          <w:rFonts w:ascii="Arial" w:hAnsi="Arial"/>
          <w:sz w:val="22"/>
          <w:szCs w:val="22"/>
        </w:rPr>
        <w:t>would not expand the market and would be adequately dealt with under existing risk share arrangements.</w:t>
      </w:r>
      <w:r w:rsidR="00267CD3" w:rsidRPr="00E35CCE">
        <w:rPr>
          <w:rFonts w:ascii="Arial" w:hAnsi="Arial"/>
          <w:sz w:val="22"/>
          <w:szCs w:val="22"/>
        </w:rPr>
        <w:t xml:space="preserve"> </w:t>
      </w:r>
    </w:p>
    <w:p w:rsidR="00D05684" w:rsidRPr="00E35CCE" w:rsidRDefault="00D05684" w:rsidP="00E35CCE">
      <w:pPr>
        <w:pStyle w:val="ListParagraph"/>
        <w:jc w:val="both"/>
        <w:rPr>
          <w:rFonts w:ascii="Arial" w:hAnsi="Arial"/>
          <w:sz w:val="22"/>
          <w:szCs w:val="22"/>
        </w:rPr>
      </w:pPr>
    </w:p>
    <w:p w:rsidR="006952D2" w:rsidRPr="00E35CCE" w:rsidRDefault="006952D2" w:rsidP="00E35CCE">
      <w:pPr>
        <w:pStyle w:val="ListParagraph"/>
        <w:numPr>
          <w:ilvl w:val="1"/>
          <w:numId w:val="25"/>
        </w:numPr>
        <w:rPr>
          <w:rFonts w:ascii="Arial" w:hAnsi="Arial"/>
          <w:sz w:val="22"/>
          <w:szCs w:val="22"/>
        </w:rPr>
      </w:pPr>
      <w:r w:rsidRPr="00E35CCE">
        <w:rPr>
          <w:rFonts w:ascii="Arial" w:hAnsi="Arial"/>
          <w:sz w:val="22"/>
          <w:szCs w:val="22"/>
        </w:rPr>
        <w:t xml:space="preserve">The PBAC did not consider “watchful waiting” to be an appropriate comparator for </w:t>
      </w:r>
      <w:proofErr w:type="spellStart"/>
      <w:r w:rsidRPr="00E35CCE">
        <w:rPr>
          <w:rFonts w:ascii="Arial" w:hAnsi="Arial"/>
          <w:sz w:val="22"/>
          <w:szCs w:val="22"/>
        </w:rPr>
        <w:t>abiraterone</w:t>
      </w:r>
      <w:proofErr w:type="spellEnd"/>
      <w:r w:rsidRPr="00E35CCE">
        <w:rPr>
          <w:rFonts w:ascii="Arial" w:hAnsi="Arial"/>
          <w:sz w:val="22"/>
          <w:szCs w:val="22"/>
        </w:rPr>
        <w:t xml:space="preserve"> to establish cost-effectiveness in the new treatment setting, after failure of ADT. Clinicians and patients make a decision on whether to wait and see or whether to treat. Once a decision to treat is made, the choice would be either </w:t>
      </w:r>
      <w:proofErr w:type="spellStart"/>
      <w:r w:rsidRPr="00E35CCE">
        <w:rPr>
          <w:rFonts w:ascii="Arial" w:hAnsi="Arial"/>
          <w:sz w:val="22"/>
          <w:szCs w:val="22"/>
        </w:rPr>
        <w:t>abiraterone</w:t>
      </w:r>
      <w:proofErr w:type="spellEnd"/>
      <w:r w:rsidRPr="00E35CCE">
        <w:rPr>
          <w:rFonts w:ascii="Arial" w:hAnsi="Arial"/>
          <w:sz w:val="22"/>
          <w:szCs w:val="22"/>
        </w:rPr>
        <w:t xml:space="preserve"> or </w:t>
      </w:r>
      <w:proofErr w:type="spellStart"/>
      <w:r w:rsidRPr="00E35CCE">
        <w:rPr>
          <w:rFonts w:ascii="Arial" w:hAnsi="Arial"/>
          <w:sz w:val="22"/>
          <w:szCs w:val="22"/>
        </w:rPr>
        <w:t>docetaxel</w:t>
      </w:r>
      <w:proofErr w:type="spellEnd"/>
      <w:r w:rsidRPr="00E35CCE">
        <w:rPr>
          <w:rFonts w:ascii="Arial" w:hAnsi="Arial"/>
          <w:sz w:val="22"/>
          <w:szCs w:val="22"/>
        </w:rPr>
        <w:t xml:space="preserve">. The PBAC noted that there are now a number of new effective agents for metastatic prostate cancer and therefore the treatment algorithm for this disease will continue to evolve over the short to medium term. </w:t>
      </w:r>
    </w:p>
    <w:p w:rsidR="006952D2" w:rsidRPr="00E35CCE" w:rsidRDefault="006952D2" w:rsidP="00E35CCE">
      <w:pPr>
        <w:pStyle w:val="ListParagraph"/>
        <w:rPr>
          <w:rFonts w:ascii="Arial" w:hAnsi="Arial"/>
          <w:sz w:val="22"/>
          <w:szCs w:val="22"/>
        </w:rPr>
      </w:pPr>
    </w:p>
    <w:p w:rsidR="006952D2" w:rsidRPr="00E35CCE" w:rsidRDefault="006952D2" w:rsidP="00E35CCE">
      <w:pPr>
        <w:pStyle w:val="ListParagraph"/>
        <w:numPr>
          <w:ilvl w:val="1"/>
          <w:numId w:val="25"/>
        </w:numPr>
        <w:rPr>
          <w:rFonts w:ascii="Arial" w:hAnsi="Arial"/>
          <w:sz w:val="22"/>
          <w:szCs w:val="22"/>
        </w:rPr>
      </w:pPr>
      <w:r w:rsidRPr="00E35CCE">
        <w:rPr>
          <w:rFonts w:ascii="Arial" w:hAnsi="Arial"/>
          <w:sz w:val="22"/>
          <w:szCs w:val="22"/>
        </w:rPr>
        <w:t>The PBAC acknowledged that radium-223 injection is currently being assessed by MSAC for the treatment of patients with symptomatic castrate resistant prostate cancer with skeletal metastases. Should radium-223 be MBS listed this therapy would become a relevant comparator.</w:t>
      </w:r>
    </w:p>
    <w:p w:rsidR="006952D2" w:rsidRPr="00E35CCE" w:rsidRDefault="006952D2" w:rsidP="00E35CCE">
      <w:pPr>
        <w:pStyle w:val="ListParagraph"/>
        <w:rPr>
          <w:rFonts w:ascii="Arial" w:hAnsi="Arial"/>
          <w:sz w:val="22"/>
          <w:szCs w:val="22"/>
        </w:rPr>
      </w:pPr>
    </w:p>
    <w:p w:rsidR="006952D2" w:rsidRPr="00E35CCE" w:rsidRDefault="006952D2" w:rsidP="00E35CCE">
      <w:pPr>
        <w:pStyle w:val="ListParagraph"/>
        <w:numPr>
          <w:ilvl w:val="1"/>
          <w:numId w:val="25"/>
        </w:numPr>
        <w:rPr>
          <w:rFonts w:ascii="Arial" w:hAnsi="Arial"/>
          <w:sz w:val="22"/>
          <w:szCs w:val="22"/>
        </w:rPr>
      </w:pPr>
      <w:r w:rsidRPr="00E35CCE">
        <w:rPr>
          <w:rFonts w:ascii="Arial" w:hAnsi="Arial"/>
          <w:sz w:val="22"/>
          <w:szCs w:val="22"/>
        </w:rPr>
        <w:t>For the proposed restriction, PSA is clearly a more objective clinical criterion than pain scale</w:t>
      </w:r>
      <w:r w:rsidR="00FB1556" w:rsidRPr="00E35CCE">
        <w:rPr>
          <w:rFonts w:ascii="Arial" w:hAnsi="Arial"/>
          <w:sz w:val="22"/>
          <w:szCs w:val="22"/>
        </w:rPr>
        <w:t>.</w:t>
      </w:r>
      <w:r w:rsidRPr="00E35CCE">
        <w:rPr>
          <w:rFonts w:ascii="Arial" w:hAnsi="Arial"/>
          <w:sz w:val="22"/>
          <w:szCs w:val="22"/>
        </w:rPr>
        <w:t xml:space="preserve"> </w:t>
      </w:r>
      <w:r w:rsidR="00FB1556" w:rsidRPr="00E35CCE">
        <w:rPr>
          <w:rFonts w:ascii="Arial" w:hAnsi="Arial"/>
          <w:sz w:val="22"/>
          <w:szCs w:val="22"/>
        </w:rPr>
        <w:t>H</w:t>
      </w:r>
      <w:r w:rsidRPr="00E35CCE">
        <w:rPr>
          <w:rFonts w:ascii="Arial" w:hAnsi="Arial"/>
          <w:sz w:val="22"/>
          <w:szCs w:val="22"/>
        </w:rPr>
        <w:t>owever the selection of the PSA threshold of 114ng/mL was based on a post-hoc sub group analysis</w:t>
      </w:r>
      <w:r w:rsidR="00D367B7" w:rsidRPr="00E35CCE">
        <w:rPr>
          <w:rFonts w:ascii="Arial" w:hAnsi="Arial"/>
          <w:sz w:val="22"/>
          <w:szCs w:val="22"/>
        </w:rPr>
        <w:t xml:space="preserve"> of Trial 302</w:t>
      </w:r>
      <w:r w:rsidRPr="00E35CCE">
        <w:rPr>
          <w:rFonts w:ascii="Arial" w:hAnsi="Arial"/>
          <w:sz w:val="22"/>
          <w:szCs w:val="22"/>
        </w:rPr>
        <w:t>. Clinically, PSA &lt;114ng/mL appears to be an arbitrary threshold for a ‘no treatment’ decision</w:t>
      </w:r>
      <w:r w:rsidR="00FB1556" w:rsidRPr="00E35CCE">
        <w:rPr>
          <w:rFonts w:ascii="Arial" w:hAnsi="Arial"/>
          <w:sz w:val="22"/>
          <w:szCs w:val="22"/>
        </w:rPr>
        <w:t xml:space="preserve"> and does not reflect the </w:t>
      </w:r>
      <w:r w:rsidR="00FB1556" w:rsidRPr="00E35CCE">
        <w:rPr>
          <w:rFonts w:ascii="Arial" w:hAnsi="Arial"/>
          <w:sz w:val="22"/>
          <w:szCs w:val="22"/>
        </w:rPr>
        <w:lastRenderedPageBreak/>
        <w:t>importance of the rate of change of PSA as an indication of need for treatment.</w:t>
      </w:r>
      <w:r w:rsidRPr="00E35CCE">
        <w:rPr>
          <w:rFonts w:ascii="Arial" w:hAnsi="Arial"/>
          <w:sz w:val="22"/>
          <w:szCs w:val="22"/>
        </w:rPr>
        <w:t xml:space="preserve"> </w:t>
      </w:r>
      <w:r w:rsidR="00FB1556" w:rsidRPr="00E35CCE">
        <w:rPr>
          <w:rFonts w:ascii="Arial" w:hAnsi="Arial"/>
          <w:sz w:val="22"/>
          <w:szCs w:val="22"/>
        </w:rPr>
        <w:t>In addition, i</w:t>
      </w:r>
      <w:r w:rsidRPr="00E35CCE">
        <w:rPr>
          <w:rFonts w:ascii="Arial" w:hAnsi="Arial"/>
          <w:sz w:val="22"/>
          <w:szCs w:val="22"/>
        </w:rPr>
        <w:t>f all patients with PSA&lt;114ng/mL</w:t>
      </w:r>
      <w:r w:rsidR="00FB1556" w:rsidRPr="00E35CCE">
        <w:rPr>
          <w:rFonts w:ascii="Arial" w:hAnsi="Arial"/>
          <w:sz w:val="22"/>
          <w:szCs w:val="22"/>
        </w:rPr>
        <w:t xml:space="preserve"> in </w:t>
      </w:r>
      <w:r w:rsidR="004D795F" w:rsidRPr="00E35CCE">
        <w:rPr>
          <w:rFonts w:ascii="Arial" w:hAnsi="Arial"/>
          <w:sz w:val="22"/>
          <w:szCs w:val="22"/>
        </w:rPr>
        <w:t>Trial 302</w:t>
      </w:r>
      <w:r w:rsidR="00FB1556" w:rsidRPr="00E35CCE">
        <w:rPr>
          <w:rFonts w:ascii="Arial" w:hAnsi="Arial"/>
          <w:sz w:val="22"/>
          <w:szCs w:val="22"/>
        </w:rPr>
        <w:t xml:space="preserve"> </w:t>
      </w:r>
      <w:r w:rsidRPr="00E35CCE">
        <w:rPr>
          <w:rFonts w:ascii="Arial" w:hAnsi="Arial"/>
          <w:sz w:val="22"/>
          <w:szCs w:val="22"/>
        </w:rPr>
        <w:t>are considered representative of the PBS population</w:t>
      </w:r>
      <w:r w:rsidR="00FB1556" w:rsidRPr="00E35CCE">
        <w:rPr>
          <w:rFonts w:ascii="Arial" w:hAnsi="Arial"/>
          <w:sz w:val="22"/>
          <w:szCs w:val="22"/>
        </w:rPr>
        <w:t>,</w:t>
      </w:r>
      <w:r w:rsidRPr="00E35CCE">
        <w:rPr>
          <w:rFonts w:ascii="Arial" w:hAnsi="Arial"/>
          <w:sz w:val="22"/>
          <w:szCs w:val="22"/>
        </w:rPr>
        <w:t xml:space="preserve"> this </w:t>
      </w:r>
      <w:r w:rsidR="00FB1556" w:rsidRPr="00E35CCE">
        <w:rPr>
          <w:rFonts w:ascii="Arial" w:hAnsi="Arial"/>
          <w:sz w:val="22"/>
          <w:szCs w:val="22"/>
        </w:rPr>
        <w:t xml:space="preserve">equals </w:t>
      </w:r>
      <w:r w:rsidR="005C0DF8">
        <w:rPr>
          <w:rFonts w:ascii="Arial" w:hAnsi="Arial"/>
          <w:noProof/>
          <w:color w:val="000000"/>
          <w:sz w:val="22"/>
          <w:szCs w:val="22"/>
          <w:highlight w:val="black"/>
        </w:rPr>
        <w:t>'''''''</w:t>
      </w:r>
      <w:r w:rsidRPr="006D7E8C">
        <w:rPr>
          <w:rFonts w:ascii="Arial" w:hAnsi="Arial"/>
          <w:sz w:val="22"/>
          <w:szCs w:val="22"/>
        </w:rPr>
        <w:t>%</w:t>
      </w:r>
      <w:r w:rsidRPr="00E35CCE">
        <w:rPr>
          <w:rFonts w:ascii="Arial" w:hAnsi="Arial"/>
          <w:sz w:val="22"/>
          <w:szCs w:val="22"/>
        </w:rPr>
        <w:t xml:space="preserve"> of the trial population. The PBAC </w:t>
      </w:r>
      <w:r w:rsidR="00FB1556" w:rsidRPr="00E35CCE">
        <w:rPr>
          <w:rFonts w:ascii="Arial" w:hAnsi="Arial"/>
          <w:sz w:val="22"/>
          <w:szCs w:val="22"/>
        </w:rPr>
        <w:t xml:space="preserve">therefore </w:t>
      </w:r>
      <w:r w:rsidRPr="00E35CCE">
        <w:rPr>
          <w:rFonts w:ascii="Arial" w:hAnsi="Arial"/>
          <w:sz w:val="22"/>
          <w:szCs w:val="22"/>
        </w:rPr>
        <w:t xml:space="preserve">agreed with the ESC that the ITT population is the most appropriate clinical data to consider. Furthermore, the PBAC considered that including PSA thresholds in the drug restriction would have the potential to impact adversely on clinical decision making. </w:t>
      </w:r>
    </w:p>
    <w:p w:rsidR="006952D2" w:rsidRPr="00E35CCE" w:rsidRDefault="006952D2" w:rsidP="00E35CCE">
      <w:pPr>
        <w:pStyle w:val="ListParagraph"/>
        <w:rPr>
          <w:rFonts w:ascii="Arial" w:hAnsi="Arial"/>
          <w:sz w:val="22"/>
          <w:szCs w:val="22"/>
        </w:rPr>
      </w:pPr>
    </w:p>
    <w:p w:rsidR="00BF03D7" w:rsidRPr="00E35CCE" w:rsidRDefault="004E55BA" w:rsidP="00E35CCE">
      <w:pPr>
        <w:pStyle w:val="ListParagraph"/>
        <w:numPr>
          <w:ilvl w:val="1"/>
          <w:numId w:val="25"/>
        </w:numPr>
        <w:rPr>
          <w:rFonts w:ascii="Arial" w:hAnsi="Arial"/>
          <w:sz w:val="22"/>
          <w:szCs w:val="22"/>
        </w:rPr>
      </w:pPr>
      <w:r w:rsidRPr="00E35CCE">
        <w:rPr>
          <w:rFonts w:ascii="Arial" w:hAnsi="Arial"/>
          <w:sz w:val="22"/>
          <w:szCs w:val="22"/>
        </w:rPr>
        <w:t xml:space="preserve">The hazard ratio for overall survival in the post-hoc sub group for the proposed PBS population was </w:t>
      </w:r>
      <w:r w:rsidR="005C0DF8">
        <w:rPr>
          <w:rFonts w:ascii="Arial" w:hAnsi="Arial"/>
          <w:noProof/>
          <w:color w:val="000000"/>
          <w:sz w:val="22"/>
          <w:szCs w:val="22"/>
          <w:highlight w:val="black"/>
        </w:rPr>
        <w:t>'''''''''''' '''''''''''''''''' '''''''''''''''</w:t>
      </w:r>
      <w:r w:rsidRPr="00E35CCE">
        <w:rPr>
          <w:rFonts w:ascii="Arial" w:hAnsi="Arial"/>
          <w:sz w:val="22"/>
          <w:szCs w:val="22"/>
        </w:rPr>
        <w:t xml:space="preserve">. </w:t>
      </w:r>
      <w:r w:rsidR="00946148" w:rsidRPr="00E35CCE">
        <w:rPr>
          <w:rFonts w:ascii="Arial" w:hAnsi="Arial"/>
          <w:sz w:val="22"/>
          <w:szCs w:val="22"/>
        </w:rPr>
        <w:t>The ITT results for Trial 302 showed a</w:t>
      </w:r>
      <w:r w:rsidR="00BF03D7" w:rsidRPr="00E35CCE">
        <w:rPr>
          <w:rFonts w:ascii="Arial" w:hAnsi="Arial"/>
          <w:sz w:val="22"/>
          <w:szCs w:val="22"/>
        </w:rPr>
        <w:t>n</w:t>
      </w:r>
      <w:r w:rsidR="00946148" w:rsidRPr="00E35CCE">
        <w:rPr>
          <w:rFonts w:ascii="Arial" w:hAnsi="Arial"/>
          <w:sz w:val="22"/>
          <w:szCs w:val="22"/>
        </w:rPr>
        <w:t xml:space="preserve"> improvement in OS</w:t>
      </w:r>
      <w:r w:rsidR="00BF03D7" w:rsidRPr="00E35CCE">
        <w:rPr>
          <w:rFonts w:ascii="Arial" w:hAnsi="Arial"/>
          <w:sz w:val="22"/>
          <w:szCs w:val="22"/>
        </w:rPr>
        <w:t xml:space="preserve"> </w:t>
      </w:r>
      <w:r w:rsidR="00BF03D7" w:rsidRPr="00FC08F0">
        <w:rPr>
          <w:rFonts w:ascii="Arial" w:hAnsi="Arial"/>
          <w:sz w:val="22"/>
          <w:szCs w:val="22"/>
        </w:rPr>
        <w:t xml:space="preserve">of </w:t>
      </w:r>
      <w:r w:rsidR="005C0DF8">
        <w:rPr>
          <w:rFonts w:ascii="Arial" w:hAnsi="Arial"/>
          <w:noProof/>
          <w:color w:val="000000"/>
          <w:sz w:val="22"/>
          <w:szCs w:val="22"/>
          <w:highlight w:val="black"/>
        </w:rPr>
        <w:t>'''''''''''</w:t>
      </w:r>
      <w:r w:rsidR="00BF03D7" w:rsidRPr="00FC08F0">
        <w:rPr>
          <w:rFonts w:ascii="Arial" w:hAnsi="Arial"/>
          <w:sz w:val="22"/>
          <w:szCs w:val="22"/>
        </w:rPr>
        <w:t xml:space="preserve"> months</w:t>
      </w:r>
      <w:r w:rsidR="00BF03D7" w:rsidRPr="00E35CCE">
        <w:rPr>
          <w:rFonts w:ascii="Arial" w:hAnsi="Arial"/>
          <w:sz w:val="22"/>
          <w:szCs w:val="22"/>
        </w:rPr>
        <w:t xml:space="preserve"> over 3 years follow-up, with median treatment duration of </w:t>
      </w:r>
      <w:r w:rsidR="005C0DF8">
        <w:rPr>
          <w:rFonts w:ascii="Arial" w:hAnsi="Arial"/>
          <w:noProof/>
          <w:color w:val="000000"/>
          <w:sz w:val="22"/>
          <w:szCs w:val="22"/>
          <w:highlight w:val="black"/>
        </w:rPr>
        <w:t xml:space="preserve">'''''''''' </w:t>
      </w:r>
      <w:r w:rsidR="00BF03D7" w:rsidRPr="00FC08F0">
        <w:rPr>
          <w:rFonts w:ascii="Arial" w:hAnsi="Arial"/>
          <w:sz w:val="22"/>
          <w:szCs w:val="22"/>
        </w:rPr>
        <w:t>months</w:t>
      </w:r>
      <w:r w:rsidR="00BF03D7" w:rsidRPr="00E35CCE">
        <w:rPr>
          <w:rFonts w:ascii="Arial" w:hAnsi="Arial"/>
          <w:sz w:val="22"/>
          <w:szCs w:val="22"/>
        </w:rPr>
        <w:t>.</w:t>
      </w:r>
      <w:r w:rsidRPr="00E35CCE">
        <w:rPr>
          <w:rFonts w:ascii="Arial" w:hAnsi="Arial"/>
          <w:sz w:val="22"/>
          <w:szCs w:val="22"/>
        </w:rPr>
        <w:t xml:space="preserve"> The hazard ratio for OS in the ITT population was </w:t>
      </w:r>
      <w:r w:rsidR="005C0DF8">
        <w:rPr>
          <w:rFonts w:ascii="Arial" w:hAnsi="Arial"/>
          <w:noProof/>
          <w:color w:val="000000"/>
          <w:sz w:val="22"/>
          <w:szCs w:val="22"/>
          <w:highlight w:val="black"/>
        </w:rPr>
        <w:t>'''''''''''''</w:t>
      </w:r>
      <w:r w:rsidRPr="00E35CCE">
        <w:rPr>
          <w:rFonts w:ascii="Arial" w:hAnsi="Arial"/>
          <w:sz w:val="22"/>
          <w:szCs w:val="22"/>
        </w:rPr>
        <w:t xml:space="preserve"> </w:t>
      </w:r>
      <w:r w:rsidR="005C0DF8">
        <w:rPr>
          <w:rFonts w:ascii="Arial" w:hAnsi="Arial"/>
          <w:noProof/>
          <w:color w:val="000000"/>
          <w:sz w:val="22"/>
          <w:szCs w:val="22"/>
          <w:highlight w:val="black"/>
        </w:rPr>
        <w:t>'''''''''''''''' '''''''''''''''</w:t>
      </w:r>
      <w:r w:rsidRPr="00E35CCE">
        <w:rPr>
          <w:rFonts w:ascii="Arial" w:hAnsi="Arial"/>
          <w:sz w:val="22"/>
          <w:szCs w:val="22"/>
        </w:rPr>
        <w:t>.</w:t>
      </w:r>
      <w:r w:rsidR="00BF03D7" w:rsidRPr="00E35CCE">
        <w:rPr>
          <w:rFonts w:ascii="Arial" w:hAnsi="Arial"/>
          <w:sz w:val="22"/>
          <w:szCs w:val="22"/>
        </w:rPr>
        <w:t xml:space="preserve"> </w:t>
      </w:r>
      <w:r w:rsidR="00946148" w:rsidRPr="00E35CCE">
        <w:rPr>
          <w:rFonts w:ascii="Arial" w:hAnsi="Arial"/>
          <w:sz w:val="22"/>
          <w:szCs w:val="22"/>
        </w:rPr>
        <w:t>The PBAC agreed with the pre-PBAC r</w:t>
      </w:r>
      <w:r w:rsidR="00BF03D7" w:rsidRPr="00E35CCE">
        <w:rPr>
          <w:rFonts w:ascii="Arial" w:hAnsi="Arial"/>
          <w:sz w:val="22"/>
          <w:szCs w:val="22"/>
        </w:rPr>
        <w:t xml:space="preserve">esponse (p2) that despite not meeting the </w:t>
      </w:r>
      <w:r w:rsidR="006E5631" w:rsidRPr="00E35CCE">
        <w:rPr>
          <w:rFonts w:ascii="Arial" w:hAnsi="Arial"/>
          <w:sz w:val="22"/>
          <w:szCs w:val="22"/>
        </w:rPr>
        <w:t xml:space="preserve">strict </w:t>
      </w:r>
      <w:r w:rsidR="00BF03D7" w:rsidRPr="00E35CCE">
        <w:rPr>
          <w:rFonts w:ascii="Arial" w:hAnsi="Arial"/>
          <w:sz w:val="22"/>
          <w:szCs w:val="22"/>
        </w:rPr>
        <w:t xml:space="preserve">pre-specified statistical level (p=0.0035), the conclusion that </w:t>
      </w:r>
      <w:proofErr w:type="spellStart"/>
      <w:r w:rsidR="00BF03D7" w:rsidRPr="00E35CCE">
        <w:rPr>
          <w:rFonts w:ascii="Arial" w:hAnsi="Arial"/>
          <w:sz w:val="22"/>
          <w:szCs w:val="22"/>
        </w:rPr>
        <w:t>abiraterone</w:t>
      </w:r>
      <w:proofErr w:type="spellEnd"/>
      <w:r w:rsidR="00BF03D7" w:rsidRPr="00E35CCE">
        <w:rPr>
          <w:rFonts w:ascii="Arial" w:hAnsi="Arial"/>
          <w:sz w:val="22"/>
          <w:szCs w:val="22"/>
        </w:rPr>
        <w:t xml:space="preserve"> is associated with a gain in overall survival in the ITT population is reasonable.</w:t>
      </w:r>
    </w:p>
    <w:p w:rsidR="00BF03D7" w:rsidRPr="00E35CCE" w:rsidRDefault="00BF03D7" w:rsidP="00E35CCE">
      <w:pPr>
        <w:pStyle w:val="ListParagraph"/>
        <w:rPr>
          <w:rFonts w:ascii="Arial" w:hAnsi="Arial"/>
          <w:sz w:val="22"/>
          <w:szCs w:val="22"/>
        </w:rPr>
      </w:pPr>
    </w:p>
    <w:p w:rsidR="00BF03D7" w:rsidRPr="00E35CCE" w:rsidRDefault="00BF03D7" w:rsidP="00E35CCE">
      <w:pPr>
        <w:pStyle w:val="ListParagraph"/>
        <w:numPr>
          <w:ilvl w:val="1"/>
          <w:numId w:val="25"/>
        </w:numPr>
        <w:rPr>
          <w:rFonts w:ascii="Arial" w:hAnsi="Arial"/>
          <w:sz w:val="22"/>
          <w:szCs w:val="22"/>
        </w:rPr>
      </w:pPr>
      <w:r w:rsidRPr="00E35CCE">
        <w:rPr>
          <w:rFonts w:ascii="Arial" w:hAnsi="Arial"/>
          <w:sz w:val="22"/>
          <w:szCs w:val="22"/>
        </w:rPr>
        <w:t>The ICER presented in the submission, based on the post-hoc sub group analysis was</w:t>
      </w:r>
      <w:r w:rsidR="00000D92">
        <w:rPr>
          <w:rFonts w:ascii="Arial" w:hAnsi="Arial"/>
          <w:sz w:val="22"/>
          <w:szCs w:val="22"/>
        </w:rPr>
        <w:t xml:space="preserve"> within the range of $45,000 - $75,000</w:t>
      </w:r>
      <w:r w:rsidR="00FA67C5" w:rsidRPr="00FC08F0">
        <w:rPr>
          <w:rFonts w:ascii="Arial" w:hAnsi="Arial"/>
          <w:sz w:val="22"/>
          <w:szCs w:val="22"/>
        </w:rPr>
        <w:t>/</w:t>
      </w:r>
      <w:r w:rsidR="00FA67C5" w:rsidRPr="00000D92">
        <w:rPr>
          <w:rFonts w:ascii="Arial" w:hAnsi="Arial"/>
          <w:sz w:val="22"/>
          <w:szCs w:val="22"/>
        </w:rPr>
        <w:t>QALY</w:t>
      </w:r>
      <w:r w:rsidRPr="00E35CCE">
        <w:rPr>
          <w:rFonts w:ascii="Arial" w:hAnsi="Arial"/>
          <w:sz w:val="22"/>
          <w:szCs w:val="22"/>
        </w:rPr>
        <w:t xml:space="preserve">. The </w:t>
      </w:r>
      <w:r w:rsidR="00FA67C5" w:rsidRPr="00E35CCE">
        <w:rPr>
          <w:rFonts w:ascii="Arial" w:hAnsi="Arial"/>
          <w:sz w:val="22"/>
          <w:szCs w:val="22"/>
        </w:rPr>
        <w:t xml:space="preserve">PBAC did not consider this </w:t>
      </w:r>
      <w:r w:rsidRPr="00E35CCE">
        <w:rPr>
          <w:rFonts w:ascii="Arial" w:hAnsi="Arial"/>
          <w:sz w:val="22"/>
          <w:szCs w:val="22"/>
        </w:rPr>
        <w:t>sub group</w:t>
      </w:r>
      <w:r w:rsidR="00FA67C5" w:rsidRPr="00E35CCE">
        <w:rPr>
          <w:rFonts w:ascii="Arial" w:hAnsi="Arial"/>
          <w:sz w:val="22"/>
          <w:szCs w:val="22"/>
        </w:rPr>
        <w:t xml:space="preserve"> was as relevant as the ITT population</w:t>
      </w:r>
      <w:r w:rsidRPr="00E35CCE">
        <w:rPr>
          <w:rFonts w:ascii="Arial" w:hAnsi="Arial"/>
          <w:sz w:val="22"/>
          <w:szCs w:val="22"/>
        </w:rPr>
        <w:t xml:space="preserve"> and therefore this cost-effectiveness </w:t>
      </w:r>
      <w:r w:rsidR="00FA67C5" w:rsidRPr="00E35CCE">
        <w:rPr>
          <w:rFonts w:ascii="Arial" w:hAnsi="Arial"/>
          <w:sz w:val="22"/>
          <w:szCs w:val="22"/>
        </w:rPr>
        <w:t>analysis was not acceptable</w:t>
      </w:r>
      <w:r w:rsidRPr="00E35CCE">
        <w:rPr>
          <w:rFonts w:ascii="Arial" w:hAnsi="Arial"/>
          <w:sz w:val="22"/>
          <w:szCs w:val="22"/>
        </w:rPr>
        <w:t xml:space="preserve">. The ICER based on the ITT population was </w:t>
      </w:r>
      <w:r w:rsidR="008F0598">
        <w:rPr>
          <w:rFonts w:ascii="Arial" w:hAnsi="Arial"/>
          <w:sz w:val="22"/>
          <w:szCs w:val="22"/>
        </w:rPr>
        <w:t>within the range $105,000 - $200,000</w:t>
      </w:r>
      <w:r w:rsidR="00FA67C5" w:rsidRPr="00E35CCE">
        <w:rPr>
          <w:rFonts w:ascii="Arial" w:hAnsi="Arial"/>
          <w:sz w:val="22"/>
          <w:szCs w:val="22"/>
        </w:rPr>
        <w:t>/QALY</w:t>
      </w:r>
      <w:r w:rsidRPr="00E35CCE">
        <w:rPr>
          <w:rFonts w:ascii="Arial" w:hAnsi="Arial"/>
          <w:sz w:val="22"/>
          <w:szCs w:val="22"/>
        </w:rPr>
        <w:t xml:space="preserve">. The PBAC </w:t>
      </w:r>
      <w:r w:rsidR="003052C0" w:rsidRPr="00E35CCE">
        <w:rPr>
          <w:rFonts w:ascii="Arial" w:hAnsi="Arial"/>
          <w:sz w:val="22"/>
          <w:szCs w:val="22"/>
        </w:rPr>
        <w:t>considered this ICER unacceptably high</w:t>
      </w:r>
      <w:r w:rsidR="00933788" w:rsidRPr="00E35CCE">
        <w:rPr>
          <w:rFonts w:ascii="Arial" w:hAnsi="Arial"/>
          <w:sz w:val="22"/>
          <w:szCs w:val="22"/>
        </w:rPr>
        <w:t>.</w:t>
      </w:r>
    </w:p>
    <w:p w:rsidR="00BF03D7" w:rsidRPr="00E35CCE" w:rsidRDefault="00BF03D7" w:rsidP="00E35CCE">
      <w:pPr>
        <w:pStyle w:val="ListParagraph"/>
        <w:rPr>
          <w:rFonts w:ascii="Arial" w:hAnsi="Arial"/>
          <w:sz w:val="22"/>
          <w:szCs w:val="22"/>
        </w:rPr>
      </w:pPr>
    </w:p>
    <w:p w:rsidR="00D12D0F" w:rsidRPr="00E35CCE" w:rsidRDefault="00D12D0F" w:rsidP="00E35CCE">
      <w:pPr>
        <w:pStyle w:val="ListParagraph"/>
        <w:numPr>
          <w:ilvl w:val="1"/>
          <w:numId w:val="25"/>
        </w:numPr>
        <w:rPr>
          <w:rFonts w:ascii="Arial" w:hAnsi="Arial"/>
          <w:sz w:val="22"/>
          <w:szCs w:val="22"/>
        </w:rPr>
      </w:pPr>
      <w:r w:rsidRPr="00E35CCE">
        <w:rPr>
          <w:rFonts w:ascii="Arial" w:hAnsi="Arial"/>
          <w:sz w:val="22"/>
          <w:szCs w:val="22"/>
        </w:rPr>
        <w:t xml:space="preserve">The PBAC agreed with DUSC about the uncertainties in the financial estimates, particularly in relation to identifying patients who fit the post-hoc subgroup and the duration of therapy. Additionally, PBAC considered the use of “watchful waiting” as the comparator contributed to this uncertainty. </w:t>
      </w:r>
    </w:p>
    <w:p w:rsidR="00D12D0F" w:rsidRPr="00E35CCE" w:rsidRDefault="00D12D0F" w:rsidP="00E35CCE">
      <w:pPr>
        <w:pStyle w:val="ListParagraph"/>
        <w:rPr>
          <w:rFonts w:ascii="Arial" w:hAnsi="Arial"/>
          <w:sz w:val="22"/>
          <w:szCs w:val="22"/>
        </w:rPr>
      </w:pPr>
    </w:p>
    <w:p w:rsidR="00D12D0F" w:rsidRPr="00E35CCE" w:rsidRDefault="00BF03D7" w:rsidP="00E35CCE">
      <w:pPr>
        <w:pStyle w:val="ListParagraph"/>
        <w:numPr>
          <w:ilvl w:val="1"/>
          <w:numId w:val="25"/>
        </w:numPr>
        <w:rPr>
          <w:rFonts w:ascii="Arial" w:hAnsi="Arial"/>
          <w:sz w:val="22"/>
          <w:szCs w:val="22"/>
        </w:rPr>
      </w:pPr>
      <w:r w:rsidRPr="00E35CCE">
        <w:rPr>
          <w:rFonts w:ascii="Arial" w:hAnsi="Arial"/>
          <w:sz w:val="22"/>
          <w:szCs w:val="22"/>
        </w:rPr>
        <w:t>The PBAC ther</w:t>
      </w:r>
      <w:r w:rsidR="003052C0" w:rsidRPr="00E35CCE">
        <w:rPr>
          <w:rFonts w:ascii="Arial" w:hAnsi="Arial"/>
          <w:sz w:val="22"/>
          <w:szCs w:val="22"/>
        </w:rPr>
        <w:t>e</w:t>
      </w:r>
      <w:r w:rsidRPr="00E35CCE">
        <w:rPr>
          <w:rFonts w:ascii="Arial" w:hAnsi="Arial"/>
          <w:sz w:val="22"/>
          <w:szCs w:val="22"/>
        </w:rPr>
        <w:t>f</w:t>
      </w:r>
      <w:r w:rsidR="003052C0" w:rsidRPr="00E35CCE">
        <w:rPr>
          <w:rFonts w:ascii="Arial" w:hAnsi="Arial"/>
          <w:sz w:val="22"/>
          <w:szCs w:val="22"/>
        </w:rPr>
        <w:t>o</w:t>
      </w:r>
      <w:r w:rsidRPr="00E35CCE">
        <w:rPr>
          <w:rFonts w:ascii="Arial" w:hAnsi="Arial"/>
          <w:sz w:val="22"/>
          <w:szCs w:val="22"/>
        </w:rPr>
        <w:t>r</w:t>
      </w:r>
      <w:r w:rsidR="003052C0" w:rsidRPr="00E35CCE">
        <w:rPr>
          <w:rFonts w:ascii="Arial" w:hAnsi="Arial"/>
          <w:sz w:val="22"/>
          <w:szCs w:val="22"/>
        </w:rPr>
        <w:t>e</w:t>
      </w:r>
      <w:r w:rsidRPr="00E35CCE">
        <w:rPr>
          <w:rFonts w:ascii="Arial" w:hAnsi="Arial"/>
          <w:sz w:val="22"/>
          <w:szCs w:val="22"/>
        </w:rPr>
        <w:t xml:space="preserve"> rejected the submission </w:t>
      </w:r>
      <w:r w:rsidR="00E772F1" w:rsidRPr="00E35CCE">
        <w:rPr>
          <w:rFonts w:ascii="Arial" w:hAnsi="Arial"/>
          <w:sz w:val="22"/>
          <w:szCs w:val="22"/>
        </w:rPr>
        <w:t>for</w:t>
      </w:r>
      <w:r w:rsidR="00D12D0F" w:rsidRPr="00E35CCE">
        <w:rPr>
          <w:rFonts w:ascii="Arial" w:hAnsi="Arial"/>
          <w:sz w:val="22"/>
          <w:szCs w:val="22"/>
        </w:rPr>
        <w:t xml:space="preserve"> the following </w:t>
      </w:r>
      <w:r w:rsidR="00E772F1" w:rsidRPr="00E35CCE">
        <w:rPr>
          <w:rFonts w:ascii="Arial" w:hAnsi="Arial"/>
          <w:sz w:val="22"/>
          <w:szCs w:val="22"/>
        </w:rPr>
        <w:t>reasons</w:t>
      </w:r>
      <w:r w:rsidR="005D6F57" w:rsidRPr="00E35CCE">
        <w:rPr>
          <w:rFonts w:ascii="Arial" w:hAnsi="Arial"/>
          <w:sz w:val="22"/>
          <w:szCs w:val="22"/>
        </w:rPr>
        <w:t>:</w:t>
      </w:r>
    </w:p>
    <w:p w:rsidR="00D12D0F" w:rsidRPr="00E35CCE" w:rsidRDefault="00D12D0F" w:rsidP="00E35CCE">
      <w:pPr>
        <w:pStyle w:val="ListParagraph"/>
        <w:numPr>
          <w:ilvl w:val="0"/>
          <w:numId w:val="51"/>
        </w:numPr>
        <w:rPr>
          <w:rFonts w:ascii="Arial" w:hAnsi="Arial"/>
          <w:sz w:val="22"/>
          <w:szCs w:val="22"/>
        </w:rPr>
      </w:pPr>
      <w:r w:rsidRPr="00E35CCE">
        <w:rPr>
          <w:rFonts w:ascii="Arial" w:hAnsi="Arial"/>
          <w:sz w:val="22"/>
          <w:szCs w:val="22"/>
        </w:rPr>
        <w:t>“watchful waiting” was not considered an appropriate comparator for establishing cost-effectiveness in this setting</w:t>
      </w:r>
      <w:r w:rsidR="005D6F57" w:rsidRPr="00E35CCE">
        <w:rPr>
          <w:rFonts w:ascii="Arial" w:hAnsi="Arial"/>
          <w:sz w:val="22"/>
          <w:szCs w:val="22"/>
        </w:rPr>
        <w:t>;</w:t>
      </w:r>
    </w:p>
    <w:p w:rsidR="00D12D0F" w:rsidRPr="00E35CCE" w:rsidRDefault="00D12D0F" w:rsidP="00E35CCE">
      <w:pPr>
        <w:pStyle w:val="ListParagraph"/>
        <w:numPr>
          <w:ilvl w:val="0"/>
          <w:numId w:val="51"/>
        </w:numPr>
        <w:rPr>
          <w:rFonts w:ascii="Arial" w:hAnsi="Arial"/>
          <w:sz w:val="22"/>
          <w:szCs w:val="22"/>
        </w:rPr>
      </w:pPr>
      <w:r w:rsidRPr="00E35CCE">
        <w:rPr>
          <w:rFonts w:ascii="Arial" w:hAnsi="Arial"/>
          <w:sz w:val="22"/>
          <w:szCs w:val="22"/>
        </w:rPr>
        <w:t xml:space="preserve">the </w:t>
      </w:r>
      <w:r w:rsidR="00BF03D7" w:rsidRPr="00E35CCE">
        <w:rPr>
          <w:rFonts w:ascii="Arial" w:hAnsi="Arial"/>
          <w:sz w:val="22"/>
          <w:szCs w:val="22"/>
        </w:rPr>
        <w:t>post-hoc subgroup analysis</w:t>
      </w:r>
      <w:r w:rsidR="003052C0" w:rsidRPr="00E35CCE">
        <w:rPr>
          <w:rFonts w:ascii="Arial" w:hAnsi="Arial"/>
          <w:sz w:val="22"/>
          <w:szCs w:val="22"/>
        </w:rPr>
        <w:t xml:space="preserve"> for defining the PBS eligible population</w:t>
      </w:r>
      <w:r w:rsidRPr="00E35CCE">
        <w:rPr>
          <w:rFonts w:ascii="Arial" w:hAnsi="Arial"/>
          <w:sz w:val="22"/>
          <w:szCs w:val="22"/>
        </w:rPr>
        <w:t xml:space="preserve"> was inadequately justified</w:t>
      </w:r>
      <w:r w:rsidR="005D6F57" w:rsidRPr="00E35CCE">
        <w:rPr>
          <w:rFonts w:ascii="Arial" w:hAnsi="Arial"/>
          <w:sz w:val="22"/>
          <w:szCs w:val="22"/>
        </w:rPr>
        <w:t>;</w:t>
      </w:r>
      <w:r w:rsidR="00BF03D7" w:rsidRPr="00E35CCE">
        <w:rPr>
          <w:rFonts w:ascii="Arial" w:hAnsi="Arial"/>
          <w:sz w:val="22"/>
          <w:szCs w:val="22"/>
        </w:rPr>
        <w:t xml:space="preserve"> </w:t>
      </w:r>
    </w:p>
    <w:p w:rsidR="00D12D0F" w:rsidRPr="00E35CCE" w:rsidRDefault="003052C0" w:rsidP="00E35CCE">
      <w:pPr>
        <w:pStyle w:val="ListParagraph"/>
        <w:numPr>
          <w:ilvl w:val="0"/>
          <w:numId w:val="51"/>
        </w:numPr>
        <w:rPr>
          <w:rFonts w:ascii="Arial" w:hAnsi="Arial"/>
          <w:sz w:val="22"/>
          <w:szCs w:val="22"/>
        </w:rPr>
      </w:pPr>
      <w:r w:rsidRPr="00E35CCE">
        <w:rPr>
          <w:rFonts w:ascii="Arial" w:hAnsi="Arial"/>
          <w:sz w:val="22"/>
          <w:szCs w:val="22"/>
        </w:rPr>
        <w:t>the</w:t>
      </w:r>
      <w:r w:rsidR="00BF03D7" w:rsidRPr="00E35CCE">
        <w:rPr>
          <w:rFonts w:ascii="Arial" w:hAnsi="Arial"/>
          <w:sz w:val="22"/>
          <w:szCs w:val="22"/>
        </w:rPr>
        <w:t xml:space="preserve"> ICER</w:t>
      </w:r>
      <w:r w:rsidR="00D12D0F" w:rsidRPr="00E35CCE">
        <w:rPr>
          <w:rFonts w:ascii="Arial" w:hAnsi="Arial"/>
          <w:sz w:val="22"/>
          <w:szCs w:val="22"/>
        </w:rPr>
        <w:t xml:space="preserve"> for both the post-hoc sub group and particularly the more appropriate ITT population were unacceptably high; and</w:t>
      </w:r>
    </w:p>
    <w:p w:rsidR="00946148" w:rsidRPr="00E35CCE" w:rsidRDefault="006D6091" w:rsidP="00E35CCE">
      <w:pPr>
        <w:pStyle w:val="ListParagraph"/>
        <w:numPr>
          <w:ilvl w:val="0"/>
          <w:numId w:val="51"/>
        </w:numPr>
        <w:rPr>
          <w:rFonts w:ascii="Arial" w:hAnsi="Arial"/>
          <w:sz w:val="22"/>
          <w:szCs w:val="22"/>
        </w:rPr>
      </w:pPr>
      <w:proofErr w:type="gramStart"/>
      <w:r w:rsidRPr="00E35CCE">
        <w:rPr>
          <w:rFonts w:ascii="Arial" w:hAnsi="Arial"/>
          <w:sz w:val="22"/>
          <w:szCs w:val="22"/>
        </w:rPr>
        <w:t>the</w:t>
      </w:r>
      <w:proofErr w:type="gramEnd"/>
      <w:r w:rsidRPr="00E35CCE">
        <w:rPr>
          <w:rFonts w:ascii="Arial" w:hAnsi="Arial"/>
          <w:sz w:val="22"/>
          <w:szCs w:val="22"/>
        </w:rPr>
        <w:t xml:space="preserve"> total PBS cost of treatment with </w:t>
      </w:r>
      <w:proofErr w:type="spellStart"/>
      <w:r w:rsidRPr="00E35CCE">
        <w:rPr>
          <w:rFonts w:ascii="Arial" w:hAnsi="Arial"/>
          <w:sz w:val="22"/>
          <w:szCs w:val="22"/>
        </w:rPr>
        <w:t>abiraterone</w:t>
      </w:r>
      <w:proofErr w:type="spellEnd"/>
      <w:r w:rsidRPr="00E35CCE">
        <w:rPr>
          <w:rFonts w:ascii="Arial" w:hAnsi="Arial"/>
          <w:sz w:val="22"/>
          <w:szCs w:val="22"/>
        </w:rPr>
        <w:t xml:space="preserve"> shifting from post-</w:t>
      </w:r>
      <w:proofErr w:type="spellStart"/>
      <w:r w:rsidRPr="00E35CCE">
        <w:rPr>
          <w:rFonts w:ascii="Arial" w:hAnsi="Arial"/>
          <w:sz w:val="22"/>
          <w:szCs w:val="22"/>
        </w:rPr>
        <w:t>docetaxel</w:t>
      </w:r>
      <w:proofErr w:type="spellEnd"/>
      <w:r w:rsidRPr="00E35CCE">
        <w:rPr>
          <w:rFonts w:ascii="Arial" w:hAnsi="Arial"/>
          <w:sz w:val="22"/>
          <w:szCs w:val="22"/>
        </w:rPr>
        <w:t xml:space="preserve"> to post-ADT </w:t>
      </w:r>
      <w:r w:rsidR="004D795F" w:rsidRPr="00E35CCE">
        <w:rPr>
          <w:rFonts w:ascii="Arial" w:hAnsi="Arial"/>
          <w:sz w:val="22"/>
          <w:szCs w:val="22"/>
        </w:rPr>
        <w:t>wa</w:t>
      </w:r>
      <w:r w:rsidRPr="00E35CCE">
        <w:rPr>
          <w:rFonts w:ascii="Arial" w:hAnsi="Arial"/>
          <w:sz w:val="22"/>
          <w:szCs w:val="22"/>
        </w:rPr>
        <w:t>s uncertain.</w:t>
      </w:r>
    </w:p>
    <w:p w:rsidR="00826FE8" w:rsidRPr="00E35CCE" w:rsidRDefault="00826FE8" w:rsidP="00E35CCE">
      <w:pPr>
        <w:jc w:val="both"/>
        <w:rPr>
          <w:rFonts w:ascii="Arial" w:hAnsi="Arial"/>
          <w:sz w:val="22"/>
          <w:szCs w:val="22"/>
        </w:rPr>
      </w:pPr>
    </w:p>
    <w:p w:rsidR="009C703C" w:rsidRPr="00E35CCE" w:rsidRDefault="009C703C" w:rsidP="00E35CCE">
      <w:pPr>
        <w:jc w:val="both"/>
        <w:rPr>
          <w:rFonts w:ascii="Arial" w:hAnsi="Arial"/>
          <w:b/>
          <w:sz w:val="22"/>
          <w:szCs w:val="22"/>
        </w:rPr>
      </w:pPr>
      <w:r w:rsidRPr="00E35CCE">
        <w:rPr>
          <w:rFonts w:ascii="Arial" w:hAnsi="Arial"/>
          <w:b/>
          <w:sz w:val="22"/>
          <w:szCs w:val="22"/>
        </w:rPr>
        <w:t>Outcome:</w:t>
      </w:r>
    </w:p>
    <w:p w:rsidR="009C703C" w:rsidRPr="00E35CCE" w:rsidRDefault="009C703C" w:rsidP="00E35CCE">
      <w:pPr>
        <w:jc w:val="both"/>
        <w:rPr>
          <w:rFonts w:ascii="Arial" w:hAnsi="Arial"/>
          <w:sz w:val="22"/>
          <w:szCs w:val="22"/>
        </w:rPr>
      </w:pPr>
      <w:r w:rsidRPr="00E35CCE">
        <w:rPr>
          <w:rFonts w:ascii="Arial" w:hAnsi="Arial"/>
          <w:sz w:val="22"/>
          <w:szCs w:val="22"/>
        </w:rPr>
        <w:t>Rejected</w:t>
      </w:r>
    </w:p>
    <w:p w:rsidR="004E55BA" w:rsidRDefault="004E55BA" w:rsidP="00E35CCE">
      <w:pPr>
        <w:jc w:val="both"/>
        <w:rPr>
          <w:rFonts w:ascii="Arial" w:hAnsi="Arial"/>
          <w:sz w:val="22"/>
          <w:szCs w:val="22"/>
        </w:rPr>
      </w:pPr>
    </w:p>
    <w:p w:rsidR="00687013" w:rsidRPr="00A875B4" w:rsidRDefault="00687013" w:rsidP="00687013">
      <w:pPr>
        <w:pStyle w:val="ListParagraph"/>
        <w:numPr>
          <w:ilvl w:val="0"/>
          <w:numId w:val="25"/>
        </w:numPr>
        <w:jc w:val="both"/>
        <w:rPr>
          <w:rFonts w:ascii="Arial" w:hAnsi="Arial" w:cs="Arial"/>
          <w:b/>
          <w:sz w:val="22"/>
        </w:rPr>
      </w:pPr>
      <w:r w:rsidRPr="00A875B4">
        <w:rPr>
          <w:rFonts w:ascii="Arial" w:hAnsi="Arial" w:cs="Arial"/>
          <w:b/>
          <w:sz w:val="22"/>
        </w:rPr>
        <w:t>Context for Decision</w:t>
      </w:r>
    </w:p>
    <w:p w:rsidR="00687013" w:rsidRPr="00A875B4" w:rsidRDefault="00687013" w:rsidP="00687013">
      <w:pPr>
        <w:pStyle w:val="ListParagraph"/>
        <w:rPr>
          <w:rFonts w:ascii="Arial" w:hAnsi="Arial" w:cs="Arial"/>
          <w:b/>
          <w:sz w:val="22"/>
        </w:rPr>
      </w:pPr>
    </w:p>
    <w:p w:rsidR="00687013" w:rsidRPr="00A875B4" w:rsidRDefault="00687013" w:rsidP="00687013">
      <w:pPr>
        <w:ind w:left="720"/>
        <w:rPr>
          <w:rFonts w:ascii="Arial" w:hAnsi="Arial" w:cs="Arial"/>
          <w:sz w:val="22"/>
        </w:rPr>
      </w:pPr>
      <w:r w:rsidRPr="00A875B4">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687013" w:rsidRPr="00A875B4" w:rsidRDefault="00687013" w:rsidP="00687013">
      <w:pPr>
        <w:rPr>
          <w:rFonts w:ascii="Arial" w:hAnsi="Arial" w:cs="Arial"/>
          <w:sz w:val="22"/>
        </w:rPr>
      </w:pPr>
    </w:p>
    <w:p w:rsidR="00687013" w:rsidRPr="00A875B4" w:rsidRDefault="00687013" w:rsidP="00687013">
      <w:pPr>
        <w:pStyle w:val="ListParagraph"/>
        <w:numPr>
          <w:ilvl w:val="0"/>
          <w:numId w:val="25"/>
        </w:numPr>
        <w:jc w:val="both"/>
        <w:rPr>
          <w:rFonts w:ascii="Arial" w:hAnsi="Arial" w:cs="Arial"/>
          <w:b/>
          <w:sz w:val="22"/>
        </w:rPr>
      </w:pPr>
      <w:r w:rsidRPr="00A875B4">
        <w:rPr>
          <w:rFonts w:ascii="Arial" w:hAnsi="Arial" w:cs="Arial"/>
          <w:b/>
          <w:sz w:val="22"/>
        </w:rPr>
        <w:t>Sponsor’s Comment</w:t>
      </w:r>
    </w:p>
    <w:p w:rsidR="00687013" w:rsidRDefault="00687013" w:rsidP="00E35CCE">
      <w:pPr>
        <w:jc w:val="both"/>
        <w:rPr>
          <w:rFonts w:ascii="Arial" w:hAnsi="Arial"/>
          <w:sz w:val="22"/>
          <w:szCs w:val="22"/>
        </w:rPr>
      </w:pPr>
    </w:p>
    <w:p w:rsidR="00000D92" w:rsidRPr="00E35CCE" w:rsidRDefault="00000D92" w:rsidP="00000D92">
      <w:pPr>
        <w:ind w:left="720"/>
        <w:jc w:val="both"/>
        <w:rPr>
          <w:rFonts w:ascii="Arial" w:hAnsi="Arial"/>
          <w:sz w:val="22"/>
          <w:szCs w:val="22"/>
        </w:rPr>
      </w:pPr>
      <w:r>
        <w:rPr>
          <w:rFonts w:ascii="Arial" w:hAnsi="Arial"/>
          <w:sz w:val="22"/>
          <w:szCs w:val="22"/>
        </w:rPr>
        <w:t xml:space="preserve">Janssen is disappointed that the PBAC could not recommend </w:t>
      </w:r>
      <w:proofErr w:type="spellStart"/>
      <w:r>
        <w:rPr>
          <w:rFonts w:ascii="Arial" w:hAnsi="Arial"/>
          <w:sz w:val="22"/>
          <w:szCs w:val="22"/>
        </w:rPr>
        <w:t>abiraterone</w:t>
      </w:r>
      <w:proofErr w:type="spellEnd"/>
      <w:r>
        <w:rPr>
          <w:rFonts w:ascii="Arial" w:hAnsi="Arial"/>
          <w:sz w:val="22"/>
          <w:szCs w:val="22"/>
        </w:rPr>
        <w:t xml:space="preserve"> for patients who have metastatic castration resistant prostate cancer which has progressed </w:t>
      </w:r>
      <w:r>
        <w:rPr>
          <w:rFonts w:ascii="Arial" w:hAnsi="Arial"/>
          <w:sz w:val="22"/>
          <w:szCs w:val="22"/>
        </w:rPr>
        <w:lastRenderedPageBreak/>
        <w:t xml:space="preserve">following treatment with androgen deprivation therapy based on the benefit observed in asymptomatic patients without pain who have a low PSA.  Janssen are considering how best to interact with the PBAC in order to achieve a listing for </w:t>
      </w:r>
      <w:proofErr w:type="spellStart"/>
      <w:r>
        <w:rPr>
          <w:rFonts w:ascii="Arial" w:hAnsi="Arial"/>
          <w:sz w:val="22"/>
          <w:szCs w:val="22"/>
        </w:rPr>
        <w:t>abiraterone</w:t>
      </w:r>
      <w:proofErr w:type="spellEnd"/>
      <w:r>
        <w:rPr>
          <w:rFonts w:ascii="Arial" w:hAnsi="Arial"/>
          <w:sz w:val="22"/>
          <w:szCs w:val="22"/>
        </w:rPr>
        <w:t xml:space="preserve"> in this patient population.</w:t>
      </w:r>
    </w:p>
    <w:p w:rsidR="00000D92" w:rsidRPr="00E35CCE" w:rsidRDefault="00000D92" w:rsidP="00E35CCE">
      <w:pPr>
        <w:jc w:val="both"/>
        <w:rPr>
          <w:rFonts w:ascii="Arial" w:hAnsi="Arial"/>
          <w:sz w:val="22"/>
          <w:szCs w:val="22"/>
        </w:rPr>
      </w:pPr>
    </w:p>
    <w:sectPr w:rsidR="00000D92" w:rsidRPr="00E35CCE" w:rsidSect="00653D69">
      <w:headerReference w:type="even" r:id="rId9"/>
      <w:headerReference w:type="default" r:id="rId10"/>
      <w:footerReference w:type="even" r:id="rId11"/>
      <w:footerReference w:type="default" r:id="rId12"/>
      <w:footerReference w:type="first" r:id="rId13"/>
      <w:pgSz w:w="11906" w:h="16838" w:code="9"/>
      <w:pgMar w:top="1440" w:right="1440" w:bottom="1440" w:left="1440" w:header="720" w:footer="72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6F61B5" w15:done="0"/>
  <w15:commentEx w15:paraId="3D041387" w15:done="0"/>
  <w15:commentEx w15:paraId="606DF36A" w15:done="0"/>
  <w15:commentEx w15:paraId="63B2501A" w15:done="0"/>
  <w15:commentEx w15:paraId="4AB7CF82" w15:done="0"/>
  <w15:commentEx w15:paraId="08A094CF" w15:done="0"/>
  <w15:commentEx w15:paraId="13796FDE" w15:done="0"/>
  <w15:commentEx w15:paraId="34C540A3" w15:done="0"/>
  <w15:commentEx w15:paraId="0E4D6E68" w15:done="0"/>
  <w15:commentEx w15:paraId="586848BF" w15:done="0"/>
  <w15:commentEx w15:paraId="22F4968F" w15:done="0"/>
  <w15:commentEx w15:paraId="1C40C0FF" w15:done="0"/>
  <w15:commentEx w15:paraId="7B38B054" w15:done="0"/>
  <w15:commentEx w15:paraId="2860DBA5" w15:done="0"/>
  <w15:commentEx w15:paraId="26D716DE" w15:done="0"/>
  <w15:commentEx w15:paraId="6F074A5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A66" w:rsidRDefault="000F3A66">
      <w:r>
        <w:separator/>
      </w:r>
    </w:p>
  </w:endnote>
  <w:endnote w:type="continuationSeparator" w:id="0">
    <w:p w:rsidR="000F3A66" w:rsidRDefault="000F3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F3A66" w:rsidTr="005A3173">
      <w:trPr>
        <w:trHeight w:val="151"/>
      </w:trPr>
      <w:tc>
        <w:tcPr>
          <w:tcW w:w="2250" w:type="pct"/>
          <w:tcBorders>
            <w:top w:val="nil"/>
            <w:left w:val="nil"/>
            <w:bottom w:val="single" w:sz="4" w:space="0" w:color="4F81BD"/>
            <w:right w:val="nil"/>
          </w:tcBorders>
        </w:tcPr>
        <w:p w:rsidR="000F3A66" w:rsidRPr="005A3173" w:rsidRDefault="000F3A66"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F3A66" w:rsidRPr="005A3173" w:rsidRDefault="000F3A66"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F3A66" w:rsidRPr="005A3173" w:rsidRDefault="000F3A66" w:rsidP="005A3173">
          <w:pPr>
            <w:pStyle w:val="Header"/>
            <w:spacing w:line="276" w:lineRule="auto"/>
            <w:rPr>
              <w:rFonts w:ascii="Calibri" w:eastAsia="MS Gothic" w:hAnsi="Calibri"/>
              <w:b/>
              <w:bCs/>
              <w:color w:val="4F81BD"/>
            </w:rPr>
          </w:pPr>
        </w:p>
      </w:tc>
    </w:tr>
    <w:tr w:rsidR="000F3A66" w:rsidTr="005A3173">
      <w:trPr>
        <w:trHeight w:val="150"/>
      </w:trPr>
      <w:tc>
        <w:tcPr>
          <w:tcW w:w="2250" w:type="pct"/>
          <w:tcBorders>
            <w:top w:val="single" w:sz="4" w:space="0" w:color="4F81BD"/>
            <w:left w:val="nil"/>
            <w:bottom w:val="nil"/>
            <w:right w:val="nil"/>
          </w:tcBorders>
        </w:tcPr>
        <w:p w:rsidR="000F3A66" w:rsidRPr="005A3173" w:rsidRDefault="000F3A66" w:rsidP="005A3173">
          <w:pPr>
            <w:pStyle w:val="Header"/>
            <w:spacing w:line="276" w:lineRule="auto"/>
            <w:rPr>
              <w:rFonts w:ascii="Calibri" w:eastAsia="MS Gothic" w:hAnsi="Calibri"/>
              <w:b/>
              <w:bCs/>
              <w:color w:val="4F81BD"/>
            </w:rPr>
          </w:pPr>
        </w:p>
      </w:tc>
      <w:tc>
        <w:tcPr>
          <w:tcW w:w="0" w:type="auto"/>
          <w:vMerge/>
          <w:vAlign w:val="center"/>
          <w:hideMark/>
        </w:tcPr>
        <w:p w:rsidR="000F3A66" w:rsidRPr="005A3173" w:rsidRDefault="000F3A66" w:rsidP="005A3173">
          <w:pPr>
            <w:rPr>
              <w:rFonts w:ascii="Calibri" w:hAnsi="Calibri"/>
              <w:color w:val="365F91"/>
              <w:sz w:val="22"/>
              <w:szCs w:val="22"/>
            </w:rPr>
          </w:pPr>
        </w:p>
      </w:tc>
      <w:tc>
        <w:tcPr>
          <w:tcW w:w="2250" w:type="pct"/>
          <w:tcBorders>
            <w:top w:val="single" w:sz="4" w:space="0" w:color="4F81BD"/>
            <w:left w:val="nil"/>
            <w:bottom w:val="nil"/>
            <w:right w:val="nil"/>
          </w:tcBorders>
        </w:tcPr>
        <w:p w:rsidR="000F3A66" w:rsidRPr="005A3173" w:rsidRDefault="000F3A66" w:rsidP="005A3173">
          <w:pPr>
            <w:pStyle w:val="Header"/>
            <w:spacing w:line="276" w:lineRule="auto"/>
            <w:rPr>
              <w:rFonts w:ascii="Calibri" w:eastAsia="MS Gothic" w:hAnsi="Calibri"/>
              <w:b/>
              <w:bCs/>
              <w:color w:val="4F81BD"/>
            </w:rPr>
          </w:pPr>
        </w:p>
      </w:tc>
    </w:tr>
  </w:tbl>
  <w:p w:rsidR="000F3A66" w:rsidRDefault="000F3A66"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F3A66" w:rsidRDefault="000F3A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016915"/>
      <w:docPartObj>
        <w:docPartGallery w:val="Page Numbers (Bottom of Page)"/>
        <w:docPartUnique/>
      </w:docPartObj>
    </w:sdtPr>
    <w:sdtEndPr>
      <w:rPr>
        <w:rFonts w:ascii="Arial" w:hAnsi="Arial" w:cs="Arial"/>
        <w:noProof/>
        <w:sz w:val="20"/>
        <w:szCs w:val="20"/>
      </w:rPr>
    </w:sdtEndPr>
    <w:sdtContent>
      <w:p w:rsidR="000F3A66" w:rsidRDefault="000F3A66">
        <w:pPr>
          <w:pStyle w:val="Footer"/>
          <w:jc w:val="center"/>
        </w:pPr>
      </w:p>
      <w:p w:rsidR="000F3A66" w:rsidRPr="00651169" w:rsidRDefault="000F3A66">
        <w:pPr>
          <w:pStyle w:val="Footer"/>
          <w:jc w:val="center"/>
          <w:rPr>
            <w:rFonts w:ascii="Arial" w:hAnsi="Arial" w:cs="Arial"/>
            <w:sz w:val="20"/>
            <w:szCs w:val="20"/>
          </w:rPr>
        </w:pP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274A61">
          <w:rPr>
            <w:rFonts w:ascii="Arial" w:hAnsi="Arial" w:cs="Arial"/>
            <w:noProof/>
            <w:sz w:val="20"/>
            <w:szCs w:val="20"/>
          </w:rPr>
          <w:t>13</w:t>
        </w:r>
        <w:r w:rsidRPr="00651169">
          <w:rPr>
            <w:rFonts w:ascii="Arial" w:hAnsi="Arial" w:cs="Arial"/>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0F3A66" w:rsidTr="005A3173">
      <w:trPr>
        <w:trHeight w:val="151"/>
      </w:trPr>
      <w:tc>
        <w:tcPr>
          <w:tcW w:w="2250" w:type="pct"/>
          <w:tcBorders>
            <w:top w:val="nil"/>
            <w:left w:val="nil"/>
            <w:bottom w:val="single" w:sz="4" w:space="0" w:color="4F81BD"/>
            <w:right w:val="nil"/>
          </w:tcBorders>
        </w:tcPr>
        <w:p w:rsidR="000F3A66" w:rsidRPr="005A3173" w:rsidRDefault="000F3A66"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F3A66" w:rsidRPr="005A3173" w:rsidRDefault="000F3A66"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F3A66" w:rsidRPr="005A3173" w:rsidRDefault="000F3A66" w:rsidP="005A3173">
          <w:pPr>
            <w:pStyle w:val="Header"/>
            <w:spacing w:line="276" w:lineRule="auto"/>
            <w:rPr>
              <w:rFonts w:ascii="Calibri" w:eastAsia="MS Gothic" w:hAnsi="Calibri"/>
              <w:b/>
              <w:bCs/>
              <w:color w:val="4F81BD"/>
            </w:rPr>
          </w:pPr>
        </w:p>
      </w:tc>
    </w:tr>
    <w:tr w:rsidR="000F3A66" w:rsidTr="005A3173">
      <w:trPr>
        <w:trHeight w:val="150"/>
      </w:trPr>
      <w:tc>
        <w:tcPr>
          <w:tcW w:w="2250" w:type="pct"/>
          <w:tcBorders>
            <w:top w:val="single" w:sz="4" w:space="0" w:color="4F81BD"/>
            <w:left w:val="nil"/>
            <w:bottom w:val="nil"/>
            <w:right w:val="nil"/>
          </w:tcBorders>
        </w:tcPr>
        <w:p w:rsidR="000F3A66" w:rsidRPr="005A3173" w:rsidRDefault="000F3A66" w:rsidP="005A3173">
          <w:pPr>
            <w:pStyle w:val="Header"/>
            <w:spacing w:line="276" w:lineRule="auto"/>
            <w:rPr>
              <w:rFonts w:ascii="Calibri" w:eastAsia="MS Gothic" w:hAnsi="Calibri"/>
              <w:b/>
              <w:bCs/>
              <w:color w:val="4F81BD"/>
            </w:rPr>
          </w:pPr>
        </w:p>
      </w:tc>
      <w:tc>
        <w:tcPr>
          <w:tcW w:w="0" w:type="auto"/>
          <w:vMerge/>
          <w:vAlign w:val="center"/>
          <w:hideMark/>
        </w:tcPr>
        <w:p w:rsidR="000F3A66" w:rsidRPr="005A3173" w:rsidRDefault="000F3A66" w:rsidP="005A3173">
          <w:pPr>
            <w:rPr>
              <w:rFonts w:ascii="Calibri" w:hAnsi="Calibri"/>
              <w:color w:val="365F91"/>
              <w:sz w:val="22"/>
              <w:szCs w:val="22"/>
            </w:rPr>
          </w:pPr>
        </w:p>
      </w:tc>
      <w:tc>
        <w:tcPr>
          <w:tcW w:w="2250" w:type="pct"/>
          <w:tcBorders>
            <w:top w:val="single" w:sz="4" w:space="0" w:color="4F81BD"/>
            <w:left w:val="nil"/>
            <w:bottom w:val="nil"/>
            <w:right w:val="nil"/>
          </w:tcBorders>
        </w:tcPr>
        <w:p w:rsidR="000F3A66" w:rsidRPr="005A3173" w:rsidRDefault="000F3A66"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F3A66" w:rsidTr="005A3173">
      <w:trPr>
        <w:trHeight w:val="151"/>
      </w:trPr>
      <w:tc>
        <w:tcPr>
          <w:tcW w:w="2250" w:type="pct"/>
          <w:tcBorders>
            <w:top w:val="nil"/>
            <w:left w:val="nil"/>
            <w:bottom w:val="single" w:sz="4" w:space="0" w:color="4F81BD"/>
            <w:right w:val="nil"/>
          </w:tcBorders>
        </w:tcPr>
        <w:p w:rsidR="000F3A66" w:rsidRPr="005A3173" w:rsidRDefault="000F3A66"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F3A66" w:rsidRPr="005A3173" w:rsidRDefault="000F3A66"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F3A66" w:rsidRPr="005A3173" w:rsidRDefault="000F3A66" w:rsidP="005A3173">
          <w:pPr>
            <w:pStyle w:val="Header"/>
            <w:spacing w:line="276" w:lineRule="auto"/>
            <w:rPr>
              <w:rFonts w:ascii="Calibri" w:eastAsia="MS Gothic" w:hAnsi="Calibri"/>
              <w:b/>
              <w:bCs/>
              <w:color w:val="4F81BD"/>
            </w:rPr>
          </w:pPr>
        </w:p>
      </w:tc>
    </w:tr>
    <w:tr w:rsidR="000F3A66" w:rsidTr="005A3173">
      <w:trPr>
        <w:trHeight w:val="150"/>
      </w:trPr>
      <w:tc>
        <w:tcPr>
          <w:tcW w:w="2250" w:type="pct"/>
          <w:tcBorders>
            <w:top w:val="single" w:sz="4" w:space="0" w:color="4F81BD"/>
            <w:left w:val="nil"/>
            <w:bottom w:val="nil"/>
            <w:right w:val="nil"/>
          </w:tcBorders>
        </w:tcPr>
        <w:p w:rsidR="000F3A66" w:rsidRPr="005A3173" w:rsidRDefault="000F3A66" w:rsidP="005A3173">
          <w:pPr>
            <w:pStyle w:val="Header"/>
            <w:spacing w:line="276" w:lineRule="auto"/>
            <w:rPr>
              <w:rFonts w:ascii="Calibri" w:eastAsia="MS Gothic" w:hAnsi="Calibri"/>
              <w:b/>
              <w:bCs/>
              <w:color w:val="4F81BD"/>
            </w:rPr>
          </w:pPr>
        </w:p>
      </w:tc>
      <w:tc>
        <w:tcPr>
          <w:tcW w:w="0" w:type="auto"/>
          <w:vMerge/>
          <w:vAlign w:val="center"/>
          <w:hideMark/>
        </w:tcPr>
        <w:p w:rsidR="000F3A66" w:rsidRPr="005A3173" w:rsidRDefault="000F3A66" w:rsidP="005A3173">
          <w:pPr>
            <w:rPr>
              <w:rFonts w:ascii="Calibri" w:hAnsi="Calibri"/>
              <w:color w:val="365F91"/>
              <w:sz w:val="22"/>
              <w:szCs w:val="22"/>
            </w:rPr>
          </w:pPr>
        </w:p>
      </w:tc>
      <w:tc>
        <w:tcPr>
          <w:tcW w:w="2250" w:type="pct"/>
          <w:tcBorders>
            <w:top w:val="single" w:sz="4" w:space="0" w:color="4F81BD"/>
            <w:left w:val="nil"/>
            <w:bottom w:val="nil"/>
            <w:right w:val="nil"/>
          </w:tcBorders>
        </w:tcPr>
        <w:p w:rsidR="000F3A66" w:rsidRPr="005A3173" w:rsidRDefault="000F3A66" w:rsidP="005A3173">
          <w:pPr>
            <w:pStyle w:val="Header"/>
            <w:spacing w:line="276" w:lineRule="auto"/>
            <w:rPr>
              <w:rFonts w:ascii="Calibri" w:eastAsia="MS Gothic" w:hAnsi="Calibri"/>
              <w:b/>
              <w:bCs/>
              <w:color w:val="4F81BD"/>
            </w:rPr>
          </w:pPr>
        </w:p>
      </w:tc>
    </w:tr>
  </w:tbl>
  <w:p w:rsidR="000F3A66" w:rsidRPr="007C0F57" w:rsidRDefault="000F3A66"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0F3A66" w:rsidRPr="007C0F57" w:rsidRDefault="000F3A66" w:rsidP="007C0F57">
    <w:pPr>
      <w:pStyle w:val="Footer"/>
      <w:jc w:val="center"/>
      <w:rPr>
        <w:b/>
        <w:i/>
        <w:sz w:val="20"/>
        <w:szCs w:val="20"/>
      </w:rPr>
    </w:pPr>
    <w:r w:rsidRPr="007C0F57">
      <w:rPr>
        <w:b/>
        <w:i/>
        <w:sz w:val="20"/>
        <w:szCs w:val="20"/>
      </w:rPr>
      <w:t>Commercial-in-Confidence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A66" w:rsidRDefault="000F3A66">
      <w:r>
        <w:separator/>
      </w:r>
    </w:p>
  </w:footnote>
  <w:footnote w:type="continuationSeparator" w:id="0">
    <w:p w:rsidR="000F3A66" w:rsidRDefault="000F3A66">
      <w:r>
        <w:continuationSeparator/>
      </w:r>
    </w:p>
  </w:footnote>
  <w:footnote w:id="1">
    <w:p w:rsidR="000F3A66" w:rsidRDefault="000F3A66" w:rsidP="00A2318C">
      <w:pPr>
        <w:pStyle w:val="FootnoteText"/>
      </w:pPr>
      <w:r>
        <w:rPr>
          <w:rStyle w:val="FootnoteReference"/>
        </w:rPr>
        <w:footnoteRef/>
      </w:r>
      <w:r>
        <w:t xml:space="preserve"> </w:t>
      </w:r>
      <w:r w:rsidRPr="00BF6D0F">
        <w:rPr>
          <w:rFonts w:ascii="Arial Narrow" w:hAnsi="Arial Narrow"/>
        </w:rPr>
        <w:t xml:space="preserve">Armstrong </w:t>
      </w:r>
      <w:proofErr w:type="gramStart"/>
      <w:r w:rsidRPr="00BF6D0F">
        <w:rPr>
          <w:rFonts w:ascii="Arial Narrow" w:hAnsi="Arial Narrow"/>
        </w:rPr>
        <w:t>A</w:t>
      </w:r>
      <w:proofErr w:type="gramEnd"/>
      <w:r w:rsidRPr="00BF6D0F">
        <w:rPr>
          <w:rFonts w:ascii="Arial Narrow" w:hAnsi="Arial Narrow"/>
        </w:rPr>
        <w:t xml:space="preserve"> et al (2007), A contemporary prognostic </w:t>
      </w:r>
      <w:proofErr w:type="spellStart"/>
      <w:r w:rsidRPr="00BF6D0F">
        <w:rPr>
          <w:rFonts w:ascii="Arial Narrow" w:hAnsi="Arial Narrow"/>
        </w:rPr>
        <w:t>nomogram</w:t>
      </w:r>
      <w:proofErr w:type="spellEnd"/>
      <w:r w:rsidRPr="00BF6D0F">
        <w:rPr>
          <w:rFonts w:ascii="Arial Narrow" w:hAnsi="Arial Narrow"/>
        </w:rPr>
        <w:t xml:space="preserve"> for men with hormone refractory metastatic prostate cancer: a TAX327 study analysis. </w:t>
      </w:r>
      <w:proofErr w:type="spellStart"/>
      <w:r w:rsidRPr="00BF6D0F">
        <w:rPr>
          <w:rFonts w:ascii="Arial Narrow" w:hAnsi="Arial Narrow"/>
          <w:i/>
          <w:iCs/>
        </w:rPr>
        <w:t>Clin</w:t>
      </w:r>
      <w:proofErr w:type="spellEnd"/>
      <w:r w:rsidRPr="00BF6D0F">
        <w:rPr>
          <w:rFonts w:ascii="Arial Narrow" w:hAnsi="Arial Narrow"/>
          <w:i/>
          <w:iCs/>
        </w:rPr>
        <w:t xml:space="preserve"> Cancer Res</w:t>
      </w:r>
      <w:r w:rsidRPr="00BF6D0F">
        <w:rPr>
          <w:rFonts w:ascii="Arial Narrow" w:hAnsi="Arial Narrow"/>
        </w:rPr>
        <w:t>; 13(21):6396-6403.</w:t>
      </w:r>
    </w:p>
  </w:footnote>
  <w:footnote w:id="2">
    <w:p w:rsidR="000F3A66" w:rsidRDefault="000F3A66" w:rsidP="00A2318C">
      <w:pPr>
        <w:pStyle w:val="FootnoteText"/>
      </w:pPr>
      <w:r>
        <w:rPr>
          <w:rStyle w:val="FootnoteReference"/>
        </w:rPr>
        <w:footnoteRef/>
      </w:r>
      <w:r w:rsidRPr="00925C7B">
        <w:t>.</w:t>
      </w:r>
      <w:r w:rsidRPr="00925C7B">
        <w:rPr>
          <w:rFonts w:ascii="Arial Narrow" w:hAnsi="Arial Narrow"/>
        </w:rPr>
        <w:t xml:space="preserve"> </w:t>
      </w:r>
      <w:r w:rsidRPr="00BF6D0F">
        <w:rPr>
          <w:rFonts w:ascii="Arial Narrow" w:hAnsi="Arial Narrow"/>
        </w:rPr>
        <w:t xml:space="preserve">Berthold D et al (2008), </w:t>
      </w:r>
      <w:proofErr w:type="spellStart"/>
      <w:r w:rsidRPr="00BF6D0F">
        <w:rPr>
          <w:rFonts w:ascii="Arial Narrow" w:hAnsi="Arial Narrow"/>
        </w:rPr>
        <w:t>Docetaxel</w:t>
      </w:r>
      <w:proofErr w:type="spellEnd"/>
      <w:r w:rsidRPr="00BF6D0F">
        <w:rPr>
          <w:rFonts w:ascii="Arial Narrow" w:hAnsi="Arial Narrow"/>
        </w:rPr>
        <w:t xml:space="preserve"> plus prednisolone or </w:t>
      </w:r>
      <w:proofErr w:type="spellStart"/>
      <w:r w:rsidRPr="00BF6D0F">
        <w:rPr>
          <w:rFonts w:ascii="Arial Narrow" w:hAnsi="Arial Narrow"/>
        </w:rPr>
        <w:t>mitoxantrone</w:t>
      </w:r>
      <w:proofErr w:type="spellEnd"/>
      <w:r w:rsidRPr="00BF6D0F">
        <w:rPr>
          <w:rFonts w:ascii="Arial Narrow" w:hAnsi="Arial Narrow"/>
        </w:rPr>
        <w:t xml:space="preserve"> plus prednisolone for advanced prostate cancer: updated survival in the TAX327 study. </w:t>
      </w:r>
      <w:r w:rsidRPr="00BF6D0F">
        <w:rPr>
          <w:rFonts w:ascii="Arial Narrow" w:hAnsi="Arial Narrow"/>
          <w:i/>
          <w:iCs/>
        </w:rPr>
        <w:t>Journal of Clinical Oncology</w:t>
      </w:r>
      <w:r w:rsidRPr="00BF6D0F">
        <w:rPr>
          <w:rFonts w:ascii="Arial Narrow" w:hAnsi="Arial Narrow"/>
        </w:rPr>
        <w:t>; 26(2):242-245.</w:t>
      </w:r>
    </w:p>
  </w:footnote>
  <w:footnote w:id="3">
    <w:p w:rsidR="000F3A66" w:rsidRDefault="000F3A66" w:rsidP="00A2318C">
      <w:pPr>
        <w:pStyle w:val="FootnoteText"/>
      </w:pPr>
      <w:r>
        <w:rPr>
          <w:rStyle w:val="FootnoteReference"/>
        </w:rPr>
        <w:footnoteRef/>
      </w:r>
      <w:r>
        <w:t xml:space="preserve"> </w:t>
      </w:r>
      <w:proofErr w:type="spellStart"/>
      <w:r w:rsidRPr="00BF6D0F">
        <w:rPr>
          <w:rFonts w:ascii="Arial Narrow" w:hAnsi="Arial Narrow"/>
        </w:rPr>
        <w:t>Tannock</w:t>
      </w:r>
      <w:proofErr w:type="spellEnd"/>
      <w:r w:rsidRPr="00BF6D0F">
        <w:rPr>
          <w:rFonts w:ascii="Arial Narrow" w:hAnsi="Arial Narrow"/>
        </w:rPr>
        <w:t xml:space="preserve"> et al (2004). </w:t>
      </w:r>
      <w:proofErr w:type="spellStart"/>
      <w:r w:rsidRPr="00BF6D0F">
        <w:rPr>
          <w:rFonts w:ascii="Arial Narrow" w:hAnsi="Arial Narrow"/>
        </w:rPr>
        <w:t>Docetaxel</w:t>
      </w:r>
      <w:proofErr w:type="spellEnd"/>
      <w:r w:rsidRPr="00BF6D0F">
        <w:rPr>
          <w:rFonts w:ascii="Arial Narrow" w:hAnsi="Arial Narrow"/>
        </w:rPr>
        <w:t xml:space="preserve"> plus prednisolone or </w:t>
      </w:r>
      <w:proofErr w:type="spellStart"/>
      <w:r w:rsidRPr="00BF6D0F">
        <w:rPr>
          <w:rFonts w:ascii="Arial Narrow" w:hAnsi="Arial Narrow"/>
        </w:rPr>
        <w:t>m</w:t>
      </w:r>
      <w:r>
        <w:rPr>
          <w:rFonts w:ascii="Arial Narrow" w:hAnsi="Arial Narrow"/>
        </w:rPr>
        <w:t>itox</w:t>
      </w:r>
      <w:r w:rsidRPr="00BF6D0F">
        <w:rPr>
          <w:rFonts w:ascii="Arial Narrow" w:hAnsi="Arial Narrow"/>
        </w:rPr>
        <w:t>antrone</w:t>
      </w:r>
      <w:proofErr w:type="spellEnd"/>
      <w:r w:rsidRPr="00BF6D0F">
        <w:rPr>
          <w:rFonts w:ascii="Arial Narrow" w:hAnsi="Arial Narrow"/>
        </w:rPr>
        <w:t xml:space="preserve"> plus prednisolone for advanced prostate cancer. </w:t>
      </w:r>
      <w:r w:rsidRPr="00BF6D0F">
        <w:rPr>
          <w:rFonts w:ascii="Arial Narrow" w:hAnsi="Arial Narrow"/>
          <w:i/>
          <w:iCs/>
        </w:rPr>
        <w:t xml:space="preserve">N </w:t>
      </w:r>
      <w:proofErr w:type="spellStart"/>
      <w:r w:rsidRPr="00BF6D0F">
        <w:rPr>
          <w:rFonts w:ascii="Arial Narrow" w:hAnsi="Arial Narrow"/>
          <w:i/>
          <w:iCs/>
        </w:rPr>
        <w:t>Engl</w:t>
      </w:r>
      <w:proofErr w:type="spellEnd"/>
      <w:r w:rsidRPr="00BF6D0F">
        <w:rPr>
          <w:rFonts w:ascii="Arial Narrow" w:hAnsi="Arial Narrow"/>
          <w:i/>
          <w:iCs/>
        </w:rPr>
        <w:t xml:space="preserve"> J Med</w:t>
      </w:r>
      <w:r w:rsidRPr="00BF6D0F">
        <w:rPr>
          <w:rFonts w:ascii="Arial Narrow" w:hAnsi="Arial Narrow"/>
        </w:rPr>
        <w:t>; 351:1502-1512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0F3A66" w:rsidRPr="008E0D90" w:rsidTr="00A06225">
      <w:trPr>
        <w:trHeight w:val="151"/>
      </w:trPr>
      <w:tc>
        <w:tcPr>
          <w:tcW w:w="2389" w:type="pct"/>
          <w:tcBorders>
            <w:top w:val="nil"/>
            <w:left w:val="nil"/>
            <w:bottom w:val="single" w:sz="4" w:space="0" w:color="4F81BD"/>
            <w:right w:val="nil"/>
          </w:tcBorders>
        </w:tcPr>
        <w:p w:rsidR="000F3A66" w:rsidRPr="00A06225" w:rsidRDefault="000F3A66">
          <w:pPr>
            <w:pStyle w:val="Header"/>
            <w:spacing w:line="276" w:lineRule="auto"/>
            <w:rPr>
              <w:rFonts w:ascii="Cambria" w:eastAsia="MS Gothic" w:hAnsi="Cambria"/>
              <w:b/>
              <w:bCs/>
              <w:color w:val="4F81BD"/>
            </w:rPr>
          </w:pPr>
        </w:p>
      </w:tc>
      <w:tc>
        <w:tcPr>
          <w:tcW w:w="333" w:type="pct"/>
          <w:vMerge w:val="restart"/>
          <w:noWrap/>
          <w:vAlign w:val="center"/>
          <w:hideMark/>
        </w:tcPr>
        <w:p w:rsidR="000F3A66" w:rsidRPr="00A06225" w:rsidRDefault="000F3A66"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0F3A66" w:rsidRPr="00A06225" w:rsidRDefault="000F3A66">
          <w:pPr>
            <w:pStyle w:val="Header"/>
            <w:spacing w:line="276" w:lineRule="auto"/>
            <w:rPr>
              <w:rFonts w:ascii="Cambria" w:eastAsia="MS Gothic" w:hAnsi="Cambria"/>
              <w:b/>
              <w:bCs/>
              <w:color w:val="4F81BD"/>
            </w:rPr>
          </w:pPr>
        </w:p>
      </w:tc>
    </w:tr>
    <w:tr w:rsidR="000F3A66" w:rsidRPr="008E0D90" w:rsidTr="00A06225">
      <w:trPr>
        <w:trHeight w:val="150"/>
      </w:trPr>
      <w:tc>
        <w:tcPr>
          <w:tcW w:w="2389" w:type="pct"/>
          <w:tcBorders>
            <w:top w:val="single" w:sz="4" w:space="0" w:color="4F81BD"/>
            <w:left w:val="nil"/>
            <w:bottom w:val="nil"/>
            <w:right w:val="nil"/>
          </w:tcBorders>
        </w:tcPr>
        <w:p w:rsidR="000F3A66" w:rsidRPr="00A06225" w:rsidRDefault="000F3A66">
          <w:pPr>
            <w:pStyle w:val="Header"/>
            <w:spacing w:line="276" w:lineRule="auto"/>
            <w:rPr>
              <w:rFonts w:ascii="Cambria" w:eastAsia="MS Gothic" w:hAnsi="Cambria"/>
              <w:b/>
              <w:bCs/>
              <w:color w:val="4F81BD"/>
            </w:rPr>
          </w:pPr>
        </w:p>
      </w:tc>
      <w:tc>
        <w:tcPr>
          <w:tcW w:w="0" w:type="auto"/>
          <w:vMerge/>
          <w:vAlign w:val="center"/>
          <w:hideMark/>
        </w:tcPr>
        <w:p w:rsidR="000F3A66" w:rsidRPr="00A06225" w:rsidRDefault="000F3A66">
          <w:pPr>
            <w:rPr>
              <w:rFonts w:ascii="Cambria" w:hAnsi="Cambria"/>
              <w:color w:val="4F81BD"/>
              <w:sz w:val="22"/>
              <w:szCs w:val="22"/>
            </w:rPr>
          </w:pPr>
        </w:p>
      </w:tc>
      <w:tc>
        <w:tcPr>
          <w:tcW w:w="2278" w:type="pct"/>
          <w:tcBorders>
            <w:top w:val="single" w:sz="4" w:space="0" w:color="4F81BD"/>
            <w:left w:val="nil"/>
            <w:bottom w:val="nil"/>
            <w:right w:val="nil"/>
          </w:tcBorders>
        </w:tcPr>
        <w:p w:rsidR="000F3A66" w:rsidRPr="00A06225" w:rsidRDefault="000F3A66">
          <w:pPr>
            <w:pStyle w:val="Header"/>
            <w:spacing w:line="276" w:lineRule="auto"/>
            <w:rPr>
              <w:rFonts w:ascii="Cambria" w:eastAsia="MS Gothic" w:hAnsi="Cambria"/>
              <w:b/>
              <w:bCs/>
              <w:color w:val="4F81BD"/>
            </w:rPr>
          </w:pPr>
        </w:p>
      </w:tc>
    </w:tr>
  </w:tbl>
  <w:p w:rsidR="000F3A66" w:rsidRDefault="000F3A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A66" w:rsidRPr="00DF217D" w:rsidRDefault="000F3A66" w:rsidP="00687013">
    <w:pPr>
      <w:pStyle w:val="Header"/>
      <w:jc w:val="center"/>
      <w:rPr>
        <w:i/>
        <w:color w:val="808080"/>
      </w:rPr>
    </w:pPr>
    <w:r>
      <w:rPr>
        <w:i/>
        <w:color w:val="808080"/>
      </w:rPr>
      <w:t>Public Summary Document</w:t>
    </w:r>
    <w:r w:rsidRPr="00DF217D">
      <w:rPr>
        <w:i/>
        <w:color w:val="808080"/>
      </w:rPr>
      <w:t xml:space="preserve">– </w:t>
    </w:r>
    <w:r>
      <w:rPr>
        <w:i/>
        <w:color w:val="808080"/>
      </w:rPr>
      <w:t xml:space="preserve">July 2014 </w:t>
    </w:r>
    <w:r w:rsidRPr="00DF217D">
      <w:rPr>
        <w:i/>
        <w:color w:val="808080"/>
      </w:rPr>
      <w:t>PBAC</w:t>
    </w:r>
    <w:r>
      <w:rPr>
        <w:i/>
        <w:color w:val="808080"/>
      </w:rPr>
      <w:t xml:space="preserve"> </w:t>
    </w:r>
    <w:r w:rsidRPr="00DF217D">
      <w:rPr>
        <w:i/>
        <w:color w:val="808080"/>
      </w:rPr>
      <w:t>Meeting</w:t>
    </w:r>
  </w:p>
  <w:p w:rsidR="000F3A66" w:rsidRPr="00DF217D" w:rsidRDefault="000F3A66" w:rsidP="00A06225">
    <w:pPr>
      <w:pStyle w:val="Header"/>
      <w:rPr>
        <w:rFonts w:ascii="Arial" w:hAnsi="Arial" w:cs="Arial"/>
        <w:i/>
        <w:color w:val="808080"/>
        <w:sz w:val="22"/>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7B72614"/>
    <w:multiLevelType w:val="hybridMultilevel"/>
    <w:tmpl w:val="6ACA5F08"/>
    <w:lvl w:ilvl="0" w:tplc="A434F464">
      <w:start w:val="13"/>
      <w:numFmt w:val="bullet"/>
      <w:lvlText w:val=""/>
      <w:lvlJc w:val="left"/>
      <w:pPr>
        <w:ind w:left="1080" w:hanging="360"/>
      </w:pPr>
      <w:rPr>
        <w:rFonts w:ascii="Symbol" w:eastAsia="Times New Roman" w:hAnsi="Symbo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5">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6">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7">
    <w:nsid w:val="13637D3C"/>
    <w:multiLevelType w:val="hybridMultilevel"/>
    <w:tmpl w:val="5CD0F9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9">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1">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3">
    <w:nsid w:val="270071EC"/>
    <w:multiLevelType w:val="hybridMultilevel"/>
    <w:tmpl w:val="8040789A"/>
    <w:lvl w:ilvl="0" w:tplc="D81C4C6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2C451A1"/>
    <w:multiLevelType w:val="hybridMultilevel"/>
    <w:tmpl w:val="9E4C44C6"/>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5">
    <w:nsid w:val="33D65AFC"/>
    <w:multiLevelType w:val="hybridMultilevel"/>
    <w:tmpl w:val="5FE087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18">
    <w:nsid w:val="3B5D2B8F"/>
    <w:multiLevelType w:val="multilevel"/>
    <w:tmpl w:val="96BC1D1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6556E4"/>
    <w:multiLevelType w:val="hybridMultilevel"/>
    <w:tmpl w:val="58146C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21">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22">
    <w:nsid w:val="3F130564"/>
    <w:multiLevelType w:val="hybridMultilevel"/>
    <w:tmpl w:val="48182BF6"/>
    <w:lvl w:ilvl="0" w:tplc="217ACEE2">
      <w:start w:val="13"/>
      <w:numFmt w:val="bullet"/>
      <w:lvlText w:val=""/>
      <w:lvlJc w:val="left"/>
      <w:pPr>
        <w:ind w:left="1080" w:hanging="360"/>
      </w:pPr>
      <w:rPr>
        <w:rFonts w:ascii="Symbol" w:eastAsia="Times New Roman" w:hAnsi="Symbo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24">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6">
    <w:nsid w:val="4C7F5F0F"/>
    <w:multiLevelType w:val="hybridMultilevel"/>
    <w:tmpl w:val="E772BB1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7">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8">
    <w:nsid w:val="505215F4"/>
    <w:multiLevelType w:val="hybridMultilevel"/>
    <w:tmpl w:val="AF8862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0F641E8"/>
    <w:multiLevelType w:val="hybridMultilevel"/>
    <w:tmpl w:val="A0C41B02"/>
    <w:lvl w:ilvl="0" w:tplc="599AE712">
      <w:numFmt w:val="bullet"/>
      <w:lvlText w:val="-"/>
      <w:lvlJc w:val="left"/>
      <w:pPr>
        <w:ind w:left="1440" w:hanging="360"/>
      </w:pPr>
      <w:rPr>
        <w:rFonts w:ascii="Times New Roman" w:eastAsia="Times New Roman" w:hAnsi="Times New Roman"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31">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2">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nsid w:val="59BC5196"/>
    <w:multiLevelType w:val="multilevel"/>
    <w:tmpl w:val="8C66A856"/>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4E20ECE"/>
    <w:multiLevelType w:val="hybridMultilevel"/>
    <w:tmpl w:val="C1E0393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38">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D1F1132"/>
    <w:multiLevelType w:val="hybridMultilevel"/>
    <w:tmpl w:val="9E3CD34C"/>
    <w:lvl w:ilvl="0" w:tplc="5D4EED54">
      <w:numFmt w:val="bullet"/>
      <w:lvlText w:val="-"/>
      <w:lvlJc w:val="left"/>
      <w:pPr>
        <w:ind w:left="142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0">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41">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42">
    <w:nsid w:val="70B175F8"/>
    <w:multiLevelType w:val="hybridMultilevel"/>
    <w:tmpl w:val="15E0B81A"/>
    <w:lvl w:ilvl="0" w:tplc="5D4EED5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72D47EE0"/>
    <w:multiLevelType w:val="multilevel"/>
    <w:tmpl w:val="96BC1D1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5">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46">
    <w:nsid w:val="784D033C"/>
    <w:multiLevelType w:val="multilevel"/>
    <w:tmpl w:val="072691B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A4867E7"/>
    <w:multiLevelType w:val="hybridMultilevel"/>
    <w:tmpl w:val="4F7A6AC6"/>
    <w:lvl w:ilvl="0" w:tplc="599AE712">
      <w:numFmt w:val="bullet"/>
      <w:lvlText w:val="-"/>
      <w:lvlJc w:val="left"/>
      <w:pPr>
        <w:ind w:left="1800" w:hanging="360"/>
      </w:pPr>
      <w:rPr>
        <w:rFonts w:ascii="Times New Roman" w:eastAsia="Times New Roman" w:hAnsi="Times New Roman" w:cs="Times New Roman"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9">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9"/>
  </w:num>
  <w:num w:numId="2">
    <w:abstractNumId w:val="40"/>
  </w:num>
  <w:num w:numId="3">
    <w:abstractNumId w:val="23"/>
  </w:num>
  <w:num w:numId="4">
    <w:abstractNumId w:val="0"/>
  </w:num>
  <w:num w:numId="5">
    <w:abstractNumId w:val="5"/>
  </w:num>
  <w:num w:numId="6">
    <w:abstractNumId w:val="21"/>
  </w:num>
  <w:num w:numId="7">
    <w:abstractNumId w:val="17"/>
  </w:num>
  <w:num w:numId="8">
    <w:abstractNumId w:val="4"/>
  </w:num>
  <w:num w:numId="9">
    <w:abstractNumId w:val="8"/>
  </w:num>
  <w:num w:numId="10">
    <w:abstractNumId w:val="37"/>
  </w:num>
  <w:num w:numId="11">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41"/>
  </w:num>
  <w:num w:numId="15">
    <w:abstractNumId w:val="33"/>
  </w:num>
  <w:num w:numId="16">
    <w:abstractNumId w:val="27"/>
  </w:num>
  <w:num w:numId="17">
    <w:abstractNumId w:val="45"/>
  </w:num>
  <w:num w:numId="18">
    <w:abstractNumId w:val="12"/>
  </w:num>
  <w:num w:numId="19">
    <w:abstractNumId w:val="20"/>
  </w:num>
  <w:num w:numId="20">
    <w:abstractNumId w:val="3"/>
  </w:num>
  <w:num w:numId="21">
    <w:abstractNumId w:val="35"/>
  </w:num>
  <w:num w:numId="22">
    <w:abstractNumId w:val="38"/>
  </w:num>
  <w:num w:numId="23">
    <w:abstractNumId w:val="47"/>
  </w:num>
  <w:num w:numId="24">
    <w:abstractNumId w:val="16"/>
  </w:num>
  <w:num w:numId="25">
    <w:abstractNumId w:val="46"/>
  </w:num>
  <w:num w:numId="26">
    <w:abstractNumId w:val="34"/>
  </w:num>
  <w:num w:numId="27">
    <w:abstractNumId w:val="11"/>
  </w:num>
  <w:num w:numId="28">
    <w:abstractNumId w:val="6"/>
  </w:num>
  <w:num w:numId="29">
    <w:abstractNumId w:val="31"/>
  </w:num>
  <w:num w:numId="30">
    <w:abstractNumId w:val="2"/>
  </w:num>
  <w:num w:numId="31">
    <w:abstractNumId w:val="32"/>
  </w:num>
  <w:num w:numId="32">
    <w:abstractNumId w:val="44"/>
  </w:num>
  <w:num w:numId="33">
    <w:abstractNumId w:val="30"/>
  </w:num>
  <w:num w:numId="34">
    <w:abstractNumId w:val="49"/>
  </w:num>
  <w:num w:numId="35">
    <w:abstractNumId w:val="10"/>
  </w:num>
  <w:num w:numId="36">
    <w:abstractNumId w:val="25"/>
  </w:num>
  <w:num w:numId="37">
    <w:abstractNumId w:val="7"/>
  </w:num>
  <w:num w:numId="38">
    <w:abstractNumId w:val="48"/>
  </w:num>
  <w:num w:numId="39">
    <w:abstractNumId w:val="14"/>
  </w:num>
  <w:num w:numId="40">
    <w:abstractNumId w:val="29"/>
  </w:num>
  <w:num w:numId="41">
    <w:abstractNumId w:val="15"/>
  </w:num>
  <w:num w:numId="42">
    <w:abstractNumId w:val="26"/>
  </w:num>
  <w:num w:numId="43">
    <w:abstractNumId w:val="43"/>
  </w:num>
  <w:num w:numId="44">
    <w:abstractNumId w:val="18"/>
  </w:num>
  <w:num w:numId="45">
    <w:abstractNumId w:val="36"/>
  </w:num>
  <w:num w:numId="46">
    <w:abstractNumId w:val="42"/>
  </w:num>
  <w:num w:numId="47">
    <w:abstractNumId w:val="39"/>
  </w:num>
  <w:num w:numId="48">
    <w:abstractNumId w:val="1"/>
  </w:num>
  <w:num w:numId="49">
    <w:abstractNumId w:val="22"/>
  </w:num>
  <w:num w:numId="50">
    <w:abstractNumId w:val="28"/>
  </w:num>
  <w:num w:numId="51">
    <w:abstractNumId w:val="19"/>
  </w:num>
  <w:num w:numId="52">
    <w:abstractNumId w:val="13"/>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yn Ward">
    <w15:presenceInfo w15:providerId="Windows Live" w15:userId="2f8c0452c87ad3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0D92"/>
    <w:rsid w:val="000025AD"/>
    <w:rsid w:val="00011E5C"/>
    <w:rsid w:val="00013816"/>
    <w:rsid w:val="0002464A"/>
    <w:rsid w:val="0002746C"/>
    <w:rsid w:val="0003106B"/>
    <w:rsid w:val="000421A1"/>
    <w:rsid w:val="0004240E"/>
    <w:rsid w:val="00045E26"/>
    <w:rsid w:val="000514B5"/>
    <w:rsid w:val="00060E64"/>
    <w:rsid w:val="00064A11"/>
    <w:rsid w:val="000969AD"/>
    <w:rsid w:val="000B558D"/>
    <w:rsid w:val="000C6996"/>
    <w:rsid w:val="000D23BA"/>
    <w:rsid w:val="000D330E"/>
    <w:rsid w:val="000E5096"/>
    <w:rsid w:val="000E681E"/>
    <w:rsid w:val="000F07C8"/>
    <w:rsid w:val="000F3A66"/>
    <w:rsid w:val="000F4E6A"/>
    <w:rsid w:val="001107BF"/>
    <w:rsid w:val="00117AE3"/>
    <w:rsid w:val="0012417C"/>
    <w:rsid w:val="001250E0"/>
    <w:rsid w:val="00142395"/>
    <w:rsid w:val="00142714"/>
    <w:rsid w:val="001452ED"/>
    <w:rsid w:val="001457B8"/>
    <w:rsid w:val="001830CE"/>
    <w:rsid w:val="00196307"/>
    <w:rsid w:val="001A0846"/>
    <w:rsid w:val="001B017F"/>
    <w:rsid w:val="001B5129"/>
    <w:rsid w:val="001C1195"/>
    <w:rsid w:val="001E7007"/>
    <w:rsid w:val="002259D3"/>
    <w:rsid w:val="0025466A"/>
    <w:rsid w:val="0025753B"/>
    <w:rsid w:val="0026124B"/>
    <w:rsid w:val="00267CD3"/>
    <w:rsid w:val="00271BA1"/>
    <w:rsid w:val="00274A61"/>
    <w:rsid w:val="00277505"/>
    <w:rsid w:val="0029458F"/>
    <w:rsid w:val="0029792F"/>
    <w:rsid w:val="002A4960"/>
    <w:rsid w:val="002B1AE6"/>
    <w:rsid w:val="002B30F8"/>
    <w:rsid w:val="002C212F"/>
    <w:rsid w:val="00300C63"/>
    <w:rsid w:val="003028CA"/>
    <w:rsid w:val="003052C0"/>
    <w:rsid w:val="00326E79"/>
    <w:rsid w:val="0033614E"/>
    <w:rsid w:val="003367EF"/>
    <w:rsid w:val="00341AE4"/>
    <w:rsid w:val="003474E8"/>
    <w:rsid w:val="00390AB7"/>
    <w:rsid w:val="003A5B4A"/>
    <w:rsid w:val="003B23C5"/>
    <w:rsid w:val="003B2A75"/>
    <w:rsid w:val="003B4FCC"/>
    <w:rsid w:val="003B532F"/>
    <w:rsid w:val="003C1AA4"/>
    <w:rsid w:val="003D4AC4"/>
    <w:rsid w:val="003D4C7D"/>
    <w:rsid w:val="003D63B7"/>
    <w:rsid w:val="003E468B"/>
    <w:rsid w:val="003F5C8C"/>
    <w:rsid w:val="00402088"/>
    <w:rsid w:val="004037D3"/>
    <w:rsid w:val="00404BE9"/>
    <w:rsid w:val="004145A6"/>
    <w:rsid w:val="00426373"/>
    <w:rsid w:val="00441015"/>
    <w:rsid w:val="004454C1"/>
    <w:rsid w:val="00466ADA"/>
    <w:rsid w:val="0047013D"/>
    <w:rsid w:val="00487967"/>
    <w:rsid w:val="004A0E34"/>
    <w:rsid w:val="004B2111"/>
    <w:rsid w:val="004B5640"/>
    <w:rsid w:val="004C1BD7"/>
    <w:rsid w:val="004C3619"/>
    <w:rsid w:val="004C691D"/>
    <w:rsid w:val="004D795F"/>
    <w:rsid w:val="004E55BA"/>
    <w:rsid w:val="004E692D"/>
    <w:rsid w:val="004F266A"/>
    <w:rsid w:val="005014BF"/>
    <w:rsid w:val="00514CD7"/>
    <w:rsid w:val="00525829"/>
    <w:rsid w:val="00533A65"/>
    <w:rsid w:val="00534E2E"/>
    <w:rsid w:val="00544552"/>
    <w:rsid w:val="00581932"/>
    <w:rsid w:val="00595D81"/>
    <w:rsid w:val="005A3173"/>
    <w:rsid w:val="005A3223"/>
    <w:rsid w:val="005A3DA3"/>
    <w:rsid w:val="005A52C4"/>
    <w:rsid w:val="005C0DF8"/>
    <w:rsid w:val="005D03AB"/>
    <w:rsid w:val="005D0D40"/>
    <w:rsid w:val="005D5017"/>
    <w:rsid w:val="005D6F57"/>
    <w:rsid w:val="005E073C"/>
    <w:rsid w:val="005E2B6A"/>
    <w:rsid w:val="00601A91"/>
    <w:rsid w:val="00602BA3"/>
    <w:rsid w:val="00614159"/>
    <w:rsid w:val="00617C00"/>
    <w:rsid w:val="006263BF"/>
    <w:rsid w:val="00630A2C"/>
    <w:rsid w:val="00645A0A"/>
    <w:rsid w:val="00651169"/>
    <w:rsid w:val="00653D69"/>
    <w:rsid w:val="006602A7"/>
    <w:rsid w:val="00670A76"/>
    <w:rsid w:val="006711AA"/>
    <w:rsid w:val="00675622"/>
    <w:rsid w:val="00680CAE"/>
    <w:rsid w:val="00687013"/>
    <w:rsid w:val="006906DB"/>
    <w:rsid w:val="0069224B"/>
    <w:rsid w:val="0069398B"/>
    <w:rsid w:val="006952D2"/>
    <w:rsid w:val="006A12A5"/>
    <w:rsid w:val="006B0D94"/>
    <w:rsid w:val="006B485D"/>
    <w:rsid w:val="006D1807"/>
    <w:rsid w:val="006D6091"/>
    <w:rsid w:val="006D6EC7"/>
    <w:rsid w:val="006D7E8C"/>
    <w:rsid w:val="006E5631"/>
    <w:rsid w:val="006F5125"/>
    <w:rsid w:val="007174BB"/>
    <w:rsid w:val="007202D3"/>
    <w:rsid w:val="007467E1"/>
    <w:rsid w:val="007753C2"/>
    <w:rsid w:val="007759B9"/>
    <w:rsid w:val="00776C18"/>
    <w:rsid w:val="007838B8"/>
    <w:rsid w:val="00793731"/>
    <w:rsid w:val="007B6934"/>
    <w:rsid w:val="007C0F57"/>
    <w:rsid w:val="007C40B6"/>
    <w:rsid w:val="007C729F"/>
    <w:rsid w:val="007E0C4B"/>
    <w:rsid w:val="007E1D28"/>
    <w:rsid w:val="007F044D"/>
    <w:rsid w:val="007F2641"/>
    <w:rsid w:val="007F578A"/>
    <w:rsid w:val="00806796"/>
    <w:rsid w:val="0082456B"/>
    <w:rsid w:val="00826FE8"/>
    <w:rsid w:val="0083347E"/>
    <w:rsid w:val="00863E68"/>
    <w:rsid w:val="00866836"/>
    <w:rsid w:val="00876F9B"/>
    <w:rsid w:val="00877791"/>
    <w:rsid w:val="00882085"/>
    <w:rsid w:val="00883188"/>
    <w:rsid w:val="00896E60"/>
    <w:rsid w:val="00897D58"/>
    <w:rsid w:val="008A4937"/>
    <w:rsid w:val="008C2EF2"/>
    <w:rsid w:val="008C30FD"/>
    <w:rsid w:val="008D3C82"/>
    <w:rsid w:val="008D447E"/>
    <w:rsid w:val="008E3680"/>
    <w:rsid w:val="008E5870"/>
    <w:rsid w:val="008F0598"/>
    <w:rsid w:val="008F07FF"/>
    <w:rsid w:val="008F1434"/>
    <w:rsid w:val="008F7355"/>
    <w:rsid w:val="00916CBF"/>
    <w:rsid w:val="0092322B"/>
    <w:rsid w:val="00930937"/>
    <w:rsid w:val="00933788"/>
    <w:rsid w:val="00935E5B"/>
    <w:rsid w:val="00936FD8"/>
    <w:rsid w:val="00942160"/>
    <w:rsid w:val="00946148"/>
    <w:rsid w:val="009544FC"/>
    <w:rsid w:val="009602C5"/>
    <w:rsid w:val="00965363"/>
    <w:rsid w:val="00974C21"/>
    <w:rsid w:val="00980788"/>
    <w:rsid w:val="00994422"/>
    <w:rsid w:val="009C703C"/>
    <w:rsid w:val="009D3CAA"/>
    <w:rsid w:val="009F5B65"/>
    <w:rsid w:val="00A05B38"/>
    <w:rsid w:val="00A06225"/>
    <w:rsid w:val="00A2318C"/>
    <w:rsid w:val="00A23C60"/>
    <w:rsid w:val="00A31BAE"/>
    <w:rsid w:val="00A37C8D"/>
    <w:rsid w:val="00A5273B"/>
    <w:rsid w:val="00A53A9D"/>
    <w:rsid w:val="00A62C1A"/>
    <w:rsid w:val="00A6426D"/>
    <w:rsid w:val="00A70622"/>
    <w:rsid w:val="00A70977"/>
    <w:rsid w:val="00A8390C"/>
    <w:rsid w:val="00A926F9"/>
    <w:rsid w:val="00A961B9"/>
    <w:rsid w:val="00AA4D1C"/>
    <w:rsid w:val="00AC5206"/>
    <w:rsid w:val="00AE11A5"/>
    <w:rsid w:val="00AF10DE"/>
    <w:rsid w:val="00AF68CC"/>
    <w:rsid w:val="00B072DB"/>
    <w:rsid w:val="00B14F75"/>
    <w:rsid w:val="00B205AA"/>
    <w:rsid w:val="00B25EBE"/>
    <w:rsid w:val="00B25F75"/>
    <w:rsid w:val="00B43E90"/>
    <w:rsid w:val="00B56118"/>
    <w:rsid w:val="00B83276"/>
    <w:rsid w:val="00B96CBA"/>
    <w:rsid w:val="00BA2C13"/>
    <w:rsid w:val="00BA4207"/>
    <w:rsid w:val="00BB69F5"/>
    <w:rsid w:val="00BB7EC3"/>
    <w:rsid w:val="00BC4B9A"/>
    <w:rsid w:val="00BC4DA6"/>
    <w:rsid w:val="00BF03D7"/>
    <w:rsid w:val="00BF34E5"/>
    <w:rsid w:val="00BF4CB6"/>
    <w:rsid w:val="00C02AF9"/>
    <w:rsid w:val="00C04466"/>
    <w:rsid w:val="00C07B37"/>
    <w:rsid w:val="00C12768"/>
    <w:rsid w:val="00C35996"/>
    <w:rsid w:val="00C36661"/>
    <w:rsid w:val="00C5342C"/>
    <w:rsid w:val="00C6256A"/>
    <w:rsid w:val="00C84E34"/>
    <w:rsid w:val="00C91449"/>
    <w:rsid w:val="00C92D10"/>
    <w:rsid w:val="00C96740"/>
    <w:rsid w:val="00CA7C1C"/>
    <w:rsid w:val="00CB3A22"/>
    <w:rsid w:val="00CD78BD"/>
    <w:rsid w:val="00CE10C4"/>
    <w:rsid w:val="00CE27B5"/>
    <w:rsid w:val="00D0321E"/>
    <w:rsid w:val="00D05684"/>
    <w:rsid w:val="00D12D0F"/>
    <w:rsid w:val="00D15548"/>
    <w:rsid w:val="00D204B7"/>
    <w:rsid w:val="00D22827"/>
    <w:rsid w:val="00D3280C"/>
    <w:rsid w:val="00D3406A"/>
    <w:rsid w:val="00D367B7"/>
    <w:rsid w:val="00D377AA"/>
    <w:rsid w:val="00D469B2"/>
    <w:rsid w:val="00D7248B"/>
    <w:rsid w:val="00D741EB"/>
    <w:rsid w:val="00D91271"/>
    <w:rsid w:val="00DA4BAC"/>
    <w:rsid w:val="00DB0A21"/>
    <w:rsid w:val="00DE6D27"/>
    <w:rsid w:val="00DF217D"/>
    <w:rsid w:val="00DF26A7"/>
    <w:rsid w:val="00DF2730"/>
    <w:rsid w:val="00E02FDC"/>
    <w:rsid w:val="00E16910"/>
    <w:rsid w:val="00E35CCE"/>
    <w:rsid w:val="00E35D0E"/>
    <w:rsid w:val="00E4325E"/>
    <w:rsid w:val="00E51121"/>
    <w:rsid w:val="00E65E54"/>
    <w:rsid w:val="00E716FC"/>
    <w:rsid w:val="00E7231E"/>
    <w:rsid w:val="00E772F1"/>
    <w:rsid w:val="00E80155"/>
    <w:rsid w:val="00E848C0"/>
    <w:rsid w:val="00E91B96"/>
    <w:rsid w:val="00E941A1"/>
    <w:rsid w:val="00E95CE3"/>
    <w:rsid w:val="00EA2825"/>
    <w:rsid w:val="00EB5088"/>
    <w:rsid w:val="00EC4B82"/>
    <w:rsid w:val="00ED1644"/>
    <w:rsid w:val="00ED4A3C"/>
    <w:rsid w:val="00EE7D2B"/>
    <w:rsid w:val="00F050BD"/>
    <w:rsid w:val="00F05657"/>
    <w:rsid w:val="00F234F3"/>
    <w:rsid w:val="00F25578"/>
    <w:rsid w:val="00F258E5"/>
    <w:rsid w:val="00F300BC"/>
    <w:rsid w:val="00F3334E"/>
    <w:rsid w:val="00F43A25"/>
    <w:rsid w:val="00F504FE"/>
    <w:rsid w:val="00F50EC4"/>
    <w:rsid w:val="00F57A6D"/>
    <w:rsid w:val="00F61E24"/>
    <w:rsid w:val="00F638CC"/>
    <w:rsid w:val="00F8247A"/>
    <w:rsid w:val="00FA0A93"/>
    <w:rsid w:val="00FA5883"/>
    <w:rsid w:val="00FA6055"/>
    <w:rsid w:val="00FA67C5"/>
    <w:rsid w:val="00FB1556"/>
    <w:rsid w:val="00FB322F"/>
    <w:rsid w:val="00FB4327"/>
    <w:rsid w:val="00FB442F"/>
    <w:rsid w:val="00FC010C"/>
    <w:rsid w:val="00FC08F0"/>
    <w:rsid w:val="00FC1929"/>
    <w:rsid w:val="00FC5270"/>
    <w:rsid w:val="00FC5B46"/>
    <w:rsid w:val="00FD4AEE"/>
    <w:rsid w:val="00FF1ED4"/>
    <w:rsid w:val="00FF202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rPr>
  </w:style>
  <w:style w:type="paragraph" w:styleId="Heading1">
    <w:name w:val="heading 1"/>
    <w:basedOn w:val="Normal"/>
    <w:next w:val="Normal"/>
    <w:qFormat/>
    <w:rsid w:val="000F3A66"/>
    <w:pPr>
      <w:keepNext/>
      <w:outlineLvl w:val="0"/>
    </w:pPr>
    <w:rPr>
      <w:rFonts w:ascii="Arial" w:hAnsi="Arial"/>
      <w:b/>
      <w:sz w:val="28"/>
    </w:rPr>
  </w:style>
  <w:style w:type="paragraph" w:styleId="Heading2">
    <w:name w:val="heading 2"/>
    <w:basedOn w:val="Normal"/>
    <w:next w:val="Normal"/>
    <w:qFormat/>
    <w:pPr>
      <w:keepNext/>
      <w:outlineLvl w:val="1"/>
    </w:p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paragraph" w:customStyle="1" w:styleId="TableFooter">
    <w:name w:val="Table Footer"/>
    <w:basedOn w:val="Normal"/>
    <w:qFormat/>
    <w:rsid w:val="0026124B"/>
    <w:pPr>
      <w:widowControl w:val="0"/>
      <w:jc w:val="both"/>
    </w:pPr>
    <w:rPr>
      <w:rFonts w:ascii="Arial Narrow" w:hAnsi="Arial Narrow" w:cs="Arial"/>
      <w:snapToGrid w:val="0"/>
      <w:sz w:val="18"/>
      <w:szCs w:val="20"/>
      <w:lang w:eastAsia="en-US"/>
    </w:rPr>
  </w:style>
  <w:style w:type="paragraph" w:styleId="FootnoteText">
    <w:name w:val="footnote text"/>
    <w:basedOn w:val="Normal"/>
    <w:link w:val="FootnoteTextChar"/>
    <w:unhideWhenUsed/>
    <w:rsid w:val="00A2318C"/>
    <w:pPr>
      <w:widowControl w:val="0"/>
      <w:jc w:val="both"/>
    </w:pPr>
    <w:rPr>
      <w:rFonts w:ascii="Arial" w:hAnsi="Arial" w:cs="Arial"/>
      <w:snapToGrid w:val="0"/>
      <w:sz w:val="20"/>
      <w:szCs w:val="20"/>
      <w:lang w:eastAsia="en-US"/>
    </w:rPr>
  </w:style>
  <w:style w:type="character" w:customStyle="1" w:styleId="FootnoteTextChar">
    <w:name w:val="Footnote Text Char"/>
    <w:basedOn w:val="DefaultParagraphFont"/>
    <w:link w:val="FootnoteText"/>
    <w:rsid w:val="00A2318C"/>
    <w:rPr>
      <w:rFonts w:ascii="Arial" w:hAnsi="Arial" w:cs="Arial"/>
      <w:snapToGrid w:val="0"/>
      <w:lang w:eastAsia="en-US"/>
    </w:rPr>
  </w:style>
  <w:style w:type="character" w:styleId="FootnoteReference">
    <w:name w:val="footnote reference"/>
    <w:basedOn w:val="DefaultParagraphFont"/>
    <w:unhideWhenUsed/>
    <w:rsid w:val="00A2318C"/>
    <w:rPr>
      <w:vertAlign w:val="superscript"/>
    </w:rPr>
  </w:style>
  <w:style w:type="character" w:customStyle="1" w:styleId="ListParagraphChar">
    <w:name w:val="List Paragraph Char"/>
    <w:link w:val="ListParagraph"/>
    <w:uiPriority w:val="72"/>
    <w:rsid w:val="004A0E3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rPr>
  </w:style>
  <w:style w:type="paragraph" w:styleId="Heading1">
    <w:name w:val="heading 1"/>
    <w:basedOn w:val="Normal"/>
    <w:next w:val="Normal"/>
    <w:qFormat/>
    <w:rsid w:val="000F3A66"/>
    <w:pPr>
      <w:keepNext/>
      <w:outlineLvl w:val="0"/>
    </w:pPr>
    <w:rPr>
      <w:rFonts w:ascii="Arial" w:hAnsi="Arial"/>
      <w:b/>
      <w:sz w:val="28"/>
    </w:rPr>
  </w:style>
  <w:style w:type="paragraph" w:styleId="Heading2">
    <w:name w:val="heading 2"/>
    <w:basedOn w:val="Normal"/>
    <w:next w:val="Normal"/>
    <w:qFormat/>
    <w:pPr>
      <w:keepNext/>
      <w:outlineLvl w:val="1"/>
    </w:p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paragraph" w:customStyle="1" w:styleId="TableFooter">
    <w:name w:val="Table Footer"/>
    <w:basedOn w:val="Normal"/>
    <w:qFormat/>
    <w:rsid w:val="0026124B"/>
    <w:pPr>
      <w:widowControl w:val="0"/>
      <w:jc w:val="both"/>
    </w:pPr>
    <w:rPr>
      <w:rFonts w:ascii="Arial Narrow" w:hAnsi="Arial Narrow" w:cs="Arial"/>
      <w:snapToGrid w:val="0"/>
      <w:sz w:val="18"/>
      <w:szCs w:val="20"/>
      <w:lang w:eastAsia="en-US"/>
    </w:rPr>
  </w:style>
  <w:style w:type="paragraph" w:styleId="FootnoteText">
    <w:name w:val="footnote text"/>
    <w:basedOn w:val="Normal"/>
    <w:link w:val="FootnoteTextChar"/>
    <w:unhideWhenUsed/>
    <w:rsid w:val="00A2318C"/>
    <w:pPr>
      <w:widowControl w:val="0"/>
      <w:jc w:val="both"/>
    </w:pPr>
    <w:rPr>
      <w:rFonts w:ascii="Arial" w:hAnsi="Arial" w:cs="Arial"/>
      <w:snapToGrid w:val="0"/>
      <w:sz w:val="20"/>
      <w:szCs w:val="20"/>
      <w:lang w:eastAsia="en-US"/>
    </w:rPr>
  </w:style>
  <w:style w:type="character" w:customStyle="1" w:styleId="FootnoteTextChar">
    <w:name w:val="Footnote Text Char"/>
    <w:basedOn w:val="DefaultParagraphFont"/>
    <w:link w:val="FootnoteText"/>
    <w:rsid w:val="00A2318C"/>
    <w:rPr>
      <w:rFonts w:ascii="Arial" w:hAnsi="Arial" w:cs="Arial"/>
      <w:snapToGrid w:val="0"/>
      <w:lang w:eastAsia="en-US"/>
    </w:rPr>
  </w:style>
  <w:style w:type="character" w:styleId="FootnoteReference">
    <w:name w:val="footnote reference"/>
    <w:basedOn w:val="DefaultParagraphFont"/>
    <w:unhideWhenUsed/>
    <w:rsid w:val="00A2318C"/>
    <w:rPr>
      <w:vertAlign w:val="superscript"/>
    </w:rPr>
  </w:style>
  <w:style w:type="character" w:customStyle="1" w:styleId="ListParagraphChar">
    <w:name w:val="List Paragraph Char"/>
    <w:link w:val="ListParagraph"/>
    <w:uiPriority w:val="72"/>
    <w:rsid w:val="004A0E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67177089">
      <w:bodyDiv w:val="1"/>
      <w:marLeft w:val="0"/>
      <w:marRight w:val="0"/>
      <w:marTop w:val="0"/>
      <w:marBottom w:val="0"/>
      <w:divBdr>
        <w:top w:val="none" w:sz="0" w:space="0" w:color="auto"/>
        <w:left w:val="none" w:sz="0" w:space="0" w:color="auto"/>
        <w:bottom w:val="none" w:sz="0" w:space="0" w:color="auto"/>
        <w:right w:val="none" w:sz="0" w:space="0" w:color="auto"/>
      </w:divBdr>
    </w:div>
    <w:div w:id="1566136324">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3DB78-058C-4B25-904B-8DCE967B0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13</Pages>
  <Words>5131</Words>
  <Characters>34607</Characters>
  <Application>Microsoft Office Word</Application>
  <DocSecurity>0</DocSecurity>
  <Lines>288</Lines>
  <Paragraphs>79</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39659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Mareddy Shobha</dc:creator>
  <cp:lastModifiedBy>Thomas Gareth</cp:lastModifiedBy>
  <cp:revision>6</cp:revision>
  <cp:lastPrinted>2013-02-09T16:16:00Z</cp:lastPrinted>
  <dcterms:created xsi:type="dcterms:W3CDTF">2014-11-06T01:59:00Z</dcterms:created>
  <dcterms:modified xsi:type="dcterms:W3CDTF">2014-11-10T04:38:00Z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