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3DE" w:rsidRPr="00446D91" w:rsidRDefault="003D43DE" w:rsidP="0004080D">
      <w:pPr>
        <w:pStyle w:val="Heading2"/>
        <w:rPr>
          <w:rFonts w:ascii="Times New Roman" w:hAnsi="Times New Roman"/>
          <w:i w:val="0"/>
          <w:sz w:val="32"/>
          <w:szCs w:val="32"/>
        </w:rPr>
      </w:pPr>
      <w:r w:rsidRPr="00446D91">
        <w:rPr>
          <w:rFonts w:ascii="Times New Roman" w:hAnsi="Times New Roman"/>
          <w:i w:val="0"/>
          <w:sz w:val="32"/>
          <w:szCs w:val="32"/>
        </w:rPr>
        <w:t>PUBLIC SUMMARY DOCUMENT</w:t>
      </w:r>
    </w:p>
    <w:p w:rsidR="003D43DE" w:rsidRPr="003161B0" w:rsidRDefault="003D43DE">
      <w:pPr>
        <w:rPr>
          <w:bCs/>
        </w:rPr>
      </w:pPr>
      <w:r w:rsidRPr="003161B0">
        <w:rPr>
          <w:b/>
          <w:bCs/>
        </w:rPr>
        <w:t>Product:</w:t>
      </w:r>
      <w:r w:rsidR="008E3661" w:rsidRPr="003161B0">
        <w:rPr>
          <w:b/>
          <w:bCs/>
        </w:rPr>
        <w:t xml:space="preserve">  </w:t>
      </w:r>
      <w:r w:rsidR="00796356" w:rsidRPr="003161B0">
        <w:rPr>
          <w:bCs/>
        </w:rPr>
        <w:t xml:space="preserve"> </w:t>
      </w:r>
      <w:r w:rsidR="00E90CB9" w:rsidRPr="003161B0">
        <w:t>FEBUXOSTAT</w:t>
      </w:r>
      <w:r w:rsidR="00350553" w:rsidRPr="003161B0">
        <w:t>, tablet, 80 mg, and 120 mg, Adenuric</w:t>
      </w:r>
      <w:r w:rsidR="00350553" w:rsidRPr="003161B0">
        <w:rPr>
          <w:vertAlign w:val="superscript"/>
        </w:rPr>
        <w:t>®</w:t>
      </w:r>
      <w:r w:rsidR="00350553" w:rsidRPr="003161B0">
        <w:rPr>
          <w:b/>
        </w:rPr>
        <w:t xml:space="preserve">  </w:t>
      </w:r>
    </w:p>
    <w:p w:rsidR="003D43DE" w:rsidRPr="003161B0" w:rsidRDefault="003D43DE">
      <w:pPr>
        <w:rPr>
          <w:bCs/>
        </w:rPr>
      </w:pPr>
      <w:r w:rsidRPr="003161B0">
        <w:rPr>
          <w:b/>
          <w:bCs/>
        </w:rPr>
        <w:t>Sponsor:</w:t>
      </w:r>
      <w:r w:rsidR="008E3661" w:rsidRPr="003161B0">
        <w:rPr>
          <w:b/>
          <w:bCs/>
        </w:rPr>
        <w:t xml:space="preserve">  </w:t>
      </w:r>
      <w:r w:rsidR="00796356" w:rsidRPr="003161B0">
        <w:rPr>
          <w:bCs/>
        </w:rPr>
        <w:t xml:space="preserve"> </w:t>
      </w:r>
      <w:r w:rsidR="00350553" w:rsidRPr="003161B0">
        <w:t>A. Menarini Australia Pty Ltd</w:t>
      </w:r>
    </w:p>
    <w:p w:rsidR="002A57B9" w:rsidRPr="003161B0" w:rsidRDefault="003D43DE">
      <w:pPr>
        <w:rPr>
          <w:bCs/>
        </w:rPr>
      </w:pPr>
      <w:r w:rsidRPr="003161B0">
        <w:rPr>
          <w:b/>
          <w:bCs/>
        </w:rPr>
        <w:t>Date of PBAC Consideration:</w:t>
      </w:r>
      <w:r w:rsidR="008E3661" w:rsidRPr="003161B0">
        <w:rPr>
          <w:b/>
          <w:bCs/>
        </w:rPr>
        <w:t xml:space="preserve"> </w:t>
      </w:r>
      <w:r w:rsidR="00350553" w:rsidRPr="003161B0">
        <w:rPr>
          <w:bCs/>
        </w:rPr>
        <w:t>March 2014</w:t>
      </w:r>
    </w:p>
    <w:p w:rsidR="003D43DE" w:rsidRPr="003161B0" w:rsidRDefault="003D43DE">
      <w:pPr>
        <w:rPr>
          <w:b/>
          <w:bCs/>
        </w:rPr>
      </w:pPr>
    </w:p>
    <w:p w:rsidR="008E3661" w:rsidRPr="003161B0" w:rsidRDefault="0004080D" w:rsidP="00350553">
      <w:pPr>
        <w:pStyle w:val="Heading3"/>
        <w:rPr>
          <w:rFonts w:ascii="Times New Roman" w:hAnsi="Times New Roman"/>
          <w:sz w:val="24"/>
          <w:szCs w:val="24"/>
        </w:rPr>
      </w:pPr>
      <w:r w:rsidRPr="003161B0">
        <w:rPr>
          <w:rFonts w:ascii="Times New Roman" w:hAnsi="Times New Roman"/>
          <w:sz w:val="24"/>
          <w:szCs w:val="24"/>
        </w:rPr>
        <w:t xml:space="preserve">1. </w:t>
      </w:r>
      <w:r w:rsidR="002A57B9" w:rsidRPr="003161B0">
        <w:rPr>
          <w:rFonts w:ascii="Times New Roman" w:hAnsi="Times New Roman"/>
          <w:sz w:val="24"/>
          <w:szCs w:val="24"/>
        </w:rPr>
        <w:t>Purpose of Application</w:t>
      </w:r>
    </w:p>
    <w:p w:rsidR="00350553" w:rsidRPr="003161B0" w:rsidRDefault="00350553" w:rsidP="00350553">
      <w:pPr>
        <w:pStyle w:val="ListParagraph"/>
        <w:ind w:left="0"/>
        <w:jc w:val="both"/>
      </w:pPr>
      <w:r w:rsidRPr="003161B0">
        <w:rPr>
          <w:iCs/>
        </w:rPr>
        <w:t>The submission requested an Authority Required (</w:t>
      </w:r>
      <w:r w:rsidR="00E90CB9">
        <w:rPr>
          <w:iCs/>
        </w:rPr>
        <w:t>S</w:t>
      </w:r>
      <w:r w:rsidR="00E90CB9" w:rsidRPr="003161B0">
        <w:rPr>
          <w:iCs/>
        </w:rPr>
        <w:t>treamlined</w:t>
      </w:r>
      <w:r w:rsidRPr="003161B0">
        <w:rPr>
          <w:iCs/>
        </w:rPr>
        <w:t>) listing for the treatment of chronic gouty arthritis associated with hyperuricaemia.</w:t>
      </w:r>
    </w:p>
    <w:p w:rsidR="00BB219E" w:rsidRPr="003161B0" w:rsidRDefault="0004080D" w:rsidP="00BB219E">
      <w:pPr>
        <w:pStyle w:val="Heading3"/>
        <w:rPr>
          <w:rFonts w:ascii="Times New Roman" w:hAnsi="Times New Roman"/>
          <w:sz w:val="24"/>
          <w:szCs w:val="24"/>
        </w:rPr>
      </w:pPr>
      <w:r w:rsidRPr="003161B0">
        <w:rPr>
          <w:rFonts w:ascii="Times New Roman" w:hAnsi="Times New Roman"/>
          <w:sz w:val="24"/>
          <w:szCs w:val="24"/>
        </w:rPr>
        <w:t xml:space="preserve">2. </w:t>
      </w:r>
      <w:r w:rsidR="002A57B9" w:rsidRPr="003161B0">
        <w:rPr>
          <w:rFonts w:ascii="Times New Roman" w:hAnsi="Times New Roman"/>
          <w:sz w:val="24"/>
          <w:szCs w:val="24"/>
        </w:rPr>
        <w:t>Background</w:t>
      </w:r>
      <w:r w:rsidR="002C3E5F" w:rsidRPr="003161B0">
        <w:rPr>
          <w:rFonts w:ascii="Times New Roman" w:hAnsi="Times New Roman"/>
          <w:sz w:val="24"/>
          <w:szCs w:val="24"/>
        </w:rPr>
        <w:t xml:space="preserve"> </w:t>
      </w:r>
    </w:p>
    <w:p w:rsidR="00350553" w:rsidRPr="003161B0" w:rsidRDefault="00350553" w:rsidP="00350553">
      <w:pPr>
        <w:pStyle w:val="ListParagraph"/>
        <w:ind w:left="0"/>
        <w:jc w:val="both"/>
      </w:pPr>
      <w:r w:rsidRPr="003161B0">
        <w:t xml:space="preserve">This drug </w:t>
      </w:r>
      <w:proofErr w:type="gramStart"/>
      <w:r w:rsidRPr="003161B0">
        <w:t>had not previously been considered</w:t>
      </w:r>
      <w:proofErr w:type="gramEnd"/>
      <w:r w:rsidRPr="003161B0">
        <w:t xml:space="preserve"> by the PBAC. </w:t>
      </w:r>
    </w:p>
    <w:p w:rsidR="00BB219E" w:rsidRPr="003161B0" w:rsidRDefault="0004080D" w:rsidP="00BB219E">
      <w:pPr>
        <w:pStyle w:val="Heading3"/>
        <w:rPr>
          <w:rFonts w:ascii="Times New Roman" w:hAnsi="Times New Roman"/>
          <w:sz w:val="24"/>
          <w:szCs w:val="24"/>
        </w:rPr>
      </w:pPr>
      <w:r w:rsidRPr="003161B0">
        <w:rPr>
          <w:rFonts w:ascii="Times New Roman" w:hAnsi="Times New Roman"/>
          <w:sz w:val="24"/>
          <w:szCs w:val="24"/>
        </w:rPr>
        <w:t xml:space="preserve">3. </w:t>
      </w:r>
      <w:r w:rsidR="002A57B9" w:rsidRPr="003161B0">
        <w:rPr>
          <w:rFonts w:ascii="Times New Roman" w:hAnsi="Times New Roman"/>
          <w:sz w:val="24"/>
          <w:szCs w:val="24"/>
        </w:rPr>
        <w:t>Registration Status</w:t>
      </w:r>
      <w:r w:rsidR="00A102AD" w:rsidRPr="003161B0">
        <w:rPr>
          <w:rFonts w:ascii="Times New Roman" w:hAnsi="Times New Roman"/>
          <w:sz w:val="24"/>
          <w:szCs w:val="24"/>
        </w:rPr>
        <w:t xml:space="preserve"> </w:t>
      </w:r>
    </w:p>
    <w:p w:rsidR="00FF5B55" w:rsidRPr="003161B0" w:rsidRDefault="00FF5B55" w:rsidP="00FF5B55">
      <w:pPr>
        <w:jc w:val="both"/>
        <w:rPr>
          <w:u w:val="single"/>
        </w:rPr>
      </w:pPr>
      <w:r w:rsidRPr="003161B0">
        <w:t xml:space="preserve">The submission </w:t>
      </w:r>
      <w:proofErr w:type="gramStart"/>
      <w:r w:rsidRPr="003161B0">
        <w:t>was made</w:t>
      </w:r>
      <w:proofErr w:type="gramEnd"/>
      <w:r w:rsidRPr="003161B0">
        <w:t xml:space="preserve"> under the TGA/PBAC Parallel Process.  At the time of PBAC consideration, the Clinical Evaluation Report, TGA Delegate’s Overview, and ACPM outcome were available.</w:t>
      </w:r>
    </w:p>
    <w:p w:rsidR="00FF5B55" w:rsidRPr="003161B0" w:rsidRDefault="00FF5B55" w:rsidP="00FF5B55">
      <w:pPr>
        <w:pStyle w:val="ListParagraph"/>
        <w:jc w:val="both"/>
        <w:rPr>
          <w:u w:val="single"/>
        </w:rPr>
      </w:pPr>
    </w:p>
    <w:p w:rsidR="005C0B92" w:rsidRDefault="00375F2E" w:rsidP="00375F2E">
      <w:pPr>
        <w:pStyle w:val="ListParagraph"/>
        <w:ind w:left="0"/>
        <w:jc w:val="both"/>
      </w:pPr>
      <w:r w:rsidRPr="003161B0">
        <w:t xml:space="preserve">The sponsor informed the PBAC that febuxostat 120 mg </w:t>
      </w:r>
      <w:proofErr w:type="gramStart"/>
      <w:r w:rsidRPr="003161B0">
        <w:t>was not recommended</w:t>
      </w:r>
      <w:proofErr w:type="gramEnd"/>
      <w:r w:rsidRPr="003161B0">
        <w:t xml:space="preserve"> for registration by the TGA and therefore the PBAC no longer considered the listing of this strength.</w:t>
      </w:r>
    </w:p>
    <w:p w:rsidR="005C0B92" w:rsidRDefault="005C0B92" w:rsidP="00375F2E">
      <w:pPr>
        <w:pStyle w:val="ListParagraph"/>
        <w:ind w:left="0"/>
        <w:jc w:val="both"/>
      </w:pPr>
    </w:p>
    <w:p w:rsidR="00E90CB9" w:rsidRDefault="005C0B92" w:rsidP="00375F2E">
      <w:pPr>
        <w:pStyle w:val="ListParagraph"/>
        <w:ind w:left="0"/>
        <w:jc w:val="both"/>
      </w:pPr>
      <w:proofErr w:type="spellStart"/>
      <w:r w:rsidRPr="005C0B92">
        <w:t>Febuxostat</w:t>
      </w:r>
      <w:proofErr w:type="spellEnd"/>
      <w:r w:rsidRPr="005C0B92">
        <w:t xml:space="preserve"> </w:t>
      </w:r>
      <w:r>
        <w:t xml:space="preserve">80 mg tablets </w:t>
      </w:r>
      <w:r w:rsidRPr="005C0B92">
        <w:t xml:space="preserve">commenced registration on the Australian Register of Therapeutic </w:t>
      </w:r>
      <w:r>
        <w:t xml:space="preserve">Goods on 18 December 2014 and </w:t>
      </w:r>
      <w:proofErr w:type="gramStart"/>
      <w:r>
        <w:t>are</w:t>
      </w:r>
      <w:r w:rsidRPr="005C0B92">
        <w:t xml:space="preserve"> indicated</w:t>
      </w:r>
      <w:proofErr w:type="gramEnd"/>
      <w:r w:rsidRPr="005C0B92">
        <w:t xml:space="preserve"> for the treatment of symptomatic </w:t>
      </w:r>
      <w:proofErr w:type="spellStart"/>
      <w:r w:rsidRPr="005C0B92">
        <w:t>hyperuricaemia</w:t>
      </w:r>
      <w:proofErr w:type="spellEnd"/>
      <w:r w:rsidRPr="005C0B92">
        <w:t xml:space="preserve"> in conditions where </w:t>
      </w:r>
      <w:proofErr w:type="spellStart"/>
      <w:r w:rsidRPr="005C0B92">
        <w:t>urate</w:t>
      </w:r>
      <w:proofErr w:type="spellEnd"/>
      <w:r w:rsidRPr="005C0B92">
        <w:t xml:space="preserve"> deposition has already occurred (gouty arthritis and/or tophus formation) in adults with gout.</w:t>
      </w:r>
      <w:r w:rsidR="00375F2E" w:rsidRPr="003161B0">
        <w:t xml:space="preserve"> </w:t>
      </w:r>
    </w:p>
    <w:p w:rsidR="00BB219E" w:rsidRPr="003161B0" w:rsidRDefault="0004080D" w:rsidP="00BB219E">
      <w:pPr>
        <w:pStyle w:val="Heading3"/>
        <w:rPr>
          <w:rFonts w:ascii="Times New Roman" w:hAnsi="Times New Roman"/>
          <w:sz w:val="24"/>
          <w:szCs w:val="24"/>
        </w:rPr>
      </w:pPr>
      <w:r w:rsidRPr="003161B0">
        <w:rPr>
          <w:rFonts w:ascii="Times New Roman" w:hAnsi="Times New Roman"/>
          <w:sz w:val="24"/>
          <w:szCs w:val="24"/>
        </w:rPr>
        <w:t xml:space="preserve">4. </w:t>
      </w:r>
      <w:r w:rsidR="002A57B9" w:rsidRPr="003161B0">
        <w:rPr>
          <w:rFonts w:ascii="Times New Roman" w:hAnsi="Times New Roman"/>
          <w:sz w:val="24"/>
          <w:szCs w:val="24"/>
        </w:rPr>
        <w:t>Listing Requested and PBAC’s View</w:t>
      </w:r>
      <w:r w:rsidR="002C3E5F" w:rsidRPr="003161B0">
        <w:rPr>
          <w:rFonts w:ascii="Times New Roman" w:hAnsi="Times New Roman"/>
          <w:sz w:val="24"/>
          <w:szCs w:val="24"/>
        </w:rPr>
        <w:t xml:space="preserve"> </w:t>
      </w:r>
    </w:p>
    <w:p w:rsidR="00AD43E0" w:rsidRPr="00446D91" w:rsidRDefault="00AD43E0" w:rsidP="00AD43E0">
      <w:pPr>
        <w:jc w:val="both"/>
        <w:rPr>
          <w:u w:val="single"/>
        </w:rPr>
      </w:pPr>
      <w:r w:rsidRPr="00446D91">
        <w:rPr>
          <w:u w:val="single"/>
        </w:rPr>
        <w:t>Authority required (STREAMLINED)</w:t>
      </w:r>
    </w:p>
    <w:p w:rsidR="00AD43E0" w:rsidRDefault="00AD43E0" w:rsidP="000D25E7">
      <w:pPr>
        <w:pStyle w:val="ListParagraph"/>
        <w:ind w:left="0"/>
        <w:jc w:val="both"/>
        <w:rPr>
          <w:u w:val="single"/>
        </w:rPr>
      </w:pPr>
      <w:r w:rsidRPr="003161B0">
        <w:t>Chronic gouty arthritis associated with hyperuricaemia</w:t>
      </w:r>
      <w:r w:rsidR="00E90CB9">
        <w:t>.</w:t>
      </w:r>
    </w:p>
    <w:p w:rsidR="000D25E7" w:rsidRPr="003161B0" w:rsidRDefault="000D25E7" w:rsidP="000D25E7">
      <w:pPr>
        <w:pStyle w:val="Header"/>
        <w:tabs>
          <w:tab w:val="clear" w:pos="4153"/>
          <w:tab w:val="clear" w:pos="8306"/>
        </w:tabs>
        <w:jc w:val="both"/>
      </w:pPr>
    </w:p>
    <w:p w:rsidR="000D25E7" w:rsidRPr="003161B0" w:rsidRDefault="00AD43E0" w:rsidP="006F0DF2">
      <w:pPr>
        <w:pStyle w:val="Header"/>
        <w:tabs>
          <w:tab w:val="clear" w:pos="4153"/>
          <w:tab w:val="clear" w:pos="8306"/>
        </w:tabs>
        <w:jc w:val="both"/>
      </w:pPr>
      <w:r>
        <w:t>Note</w:t>
      </w:r>
      <w:r w:rsidR="000D25E7" w:rsidRPr="003161B0">
        <w:t>: Febuxostat should be initiated at dose of 80mg once daily.  If serum uric acid is &gt;357</w:t>
      </w:r>
      <w:r w:rsidR="000D25E7" w:rsidRPr="003161B0">
        <w:sym w:font="Symbol" w:char="F06D"/>
      </w:r>
      <w:r w:rsidR="000D25E7" w:rsidRPr="003161B0">
        <w:t>mol/L (6mg/</w:t>
      </w:r>
      <w:proofErr w:type="spellStart"/>
      <w:r w:rsidR="000D25E7" w:rsidRPr="003161B0">
        <w:t>dL</w:t>
      </w:r>
      <w:proofErr w:type="spellEnd"/>
      <w:r w:rsidR="000D25E7" w:rsidRPr="003161B0">
        <w:t>) after 2-4 weeks, febuxostat 120mg once daily may be considered.</w:t>
      </w:r>
    </w:p>
    <w:p w:rsidR="00FF5B55" w:rsidRPr="003161B0" w:rsidRDefault="00FF5B55" w:rsidP="00FF5B55">
      <w:pPr>
        <w:pStyle w:val="ListParagraph"/>
        <w:ind w:left="0"/>
        <w:jc w:val="both"/>
      </w:pPr>
    </w:p>
    <w:p w:rsidR="00FF5B55" w:rsidRPr="003161B0" w:rsidRDefault="00FF5B55" w:rsidP="00FF5B55">
      <w:pPr>
        <w:pStyle w:val="ListParagraph"/>
        <w:ind w:left="0"/>
        <w:jc w:val="both"/>
      </w:pPr>
      <w:r w:rsidRPr="003161B0">
        <w:t xml:space="preserve">Listing </w:t>
      </w:r>
      <w:proofErr w:type="gramStart"/>
      <w:r w:rsidRPr="003161B0">
        <w:t>was sought</w:t>
      </w:r>
      <w:proofErr w:type="gramEnd"/>
      <w:r w:rsidRPr="003161B0">
        <w:t xml:space="preserve"> on a cost effectiveness basis with febuxostat compared to allopurinol.</w:t>
      </w:r>
    </w:p>
    <w:p w:rsidR="00BB219E" w:rsidRPr="003161B0" w:rsidRDefault="0004080D" w:rsidP="00BB219E">
      <w:pPr>
        <w:pStyle w:val="Heading3"/>
        <w:rPr>
          <w:rFonts w:ascii="Times New Roman" w:hAnsi="Times New Roman"/>
          <w:sz w:val="24"/>
          <w:szCs w:val="24"/>
        </w:rPr>
      </w:pPr>
      <w:r w:rsidRPr="003161B0">
        <w:rPr>
          <w:rFonts w:ascii="Times New Roman" w:hAnsi="Times New Roman"/>
          <w:sz w:val="24"/>
          <w:szCs w:val="24"/>
        </w:rPr>
        <w:t xml:space="preserve">5. </w:t>
      </w:r>
      <w:r w:rsidR="002A57B9" w:rsidRPr="003161B0">
        <w:rPr>
          <w:rFonts w:ascii="Times New Roman" w:hAnsi="Times New Roman"/>
          <w:sz w:val="24"/>
          <w:szCs w:val="24"/>
        </w:rPr>
        <w:t>Clinical Place for the Proposed Therapy</w:t>
      </w:r>
      <w:r w:rsidR="00B80A12" w:rsidRPr="003161B0">
        <w:rPr>
          <w:rFonts w:ascii="Times New Roman" w:hAnsi="Times New Roman"/>
          <w:sz w:val="24"/>
          <w:szCs w:val="24"/>
        </w:rPr>
        <w:t xml:space="preserve"> </w:t>
      </w:r>
    </w:p>
    <w:p w:rsidR="004C0E3F" w:rsidRPr="003161B0" w:rsidRDefault="004C0E3F" w:rsidP="00884EF8">
      <w:pPr>
        <w:pStyle w:val="ListParagraph"/>
        <w:ind w:left="0"/>
        <w:jc w:val="both"/>
      </w:pPr>
      <w:r w:rsidRPr="003161B0">
        <w:t>Gout is a metabolic disorder where clearance of uric acid is impair</w:t>
      </w:r>
      <w:r w:rsidR="00446D91">
        <w:t xml:space="preserve">ed leading to hyperuricaemia </w:t>
      </w:r>
      <w:r w:rsidRPr="003161B0">
        <w:t>(although not all patients with hyperuricaemia</w:t>
      </w:r>
      <w:r w:rsidR="00FF5B55" w:rsidRPr="003161B0">
        <w:t xml:space="preserve"> will have gout).</w:t>
      </w:r>
      <w:r w:rsidRPr="003161B0">
        <w:t xml:space="preserve"> Small crystals of uric </w:t>
      </w:r>
      <w:proofErr w:type="gramStart"/>
      <w:r w:rsidRPr="003161B0">
        <w:t>acid,</w:t>
      </w:r>
      <w:proofErr w:type="gramEnd"/>
      <w:r w:rsidRPr="003161B0">
        <w:t xml:space="preserve"> form in and around the joints, causing inﬂammation, pain and swelling. </w:t>
      </w:r>
    </w:p>
    <w:p w:rsidR="004C0E3F" w:rsidRPr="003161B0" w:rsidRDefault="004C0E3F" w:rsidP="004C0E3F">
      <w:pPr>
        <w:pStyle w:val="ListParagraph"/>
        <w:jc w:val="both"/>
      </w:pPr>
    </w:p>
    <w:p w:rsidR="00B30FEE" w:rsidRDefault="004C0E3F" w:rsidP="004C0E3F">
      <w:pPr>
        <w:pStyle w:val="ListParagraph"/>
        <w:ind w:left="0"/>
        <w:jc w:val="both"/>
      </w:pPr>
      <w:r w:rsidRPr="003161B0">
        <w:t>The submission proposed that febuxostat would be an alternative to allopurinol as the first line treatment for chronic gout.  Both drugs are inhibitors of xanthine oxidase</w:t>
      </w:r>
      <w:r w:rsidR="00B30FEE">
        <w:t xml:space="preserve">. </w:t>
      </w:r>
    </w:p>
    <w:p w:rsidR="00B30FEE" w:rsidRDefault="00B30FEE" w:rsidP="004C0E3F">
      <w:pPr>
        <w:pStyle w:val="ListParagraph"/>
        <w:ind w:left="0"/>
        <w:jc w:val="both"/>
      </w:pPr>
    </w:p>
    <w:p w:rsidR="004C0E3F" w:rsidRPr="003161B0" w:rsidRDefault="004C0E3F" w:rsidP="004C0E3F">
      <w:pPr>
        <w:pStyle w:val="ListParagraph"/>
        <w:ind w:left="0"/>
        <w:jc w:val="both"/>
        <w:rPr>
          <w:b/>
          <w:color w:val="00B050"/>
        </w:rPr>
      </w:pPr>
      <w:r w:rsidRPr="003161B0">
        <w:t xml:space="preserve">The PBAC noted while allopurinol </w:t>
      </w:r>
      <w:proofErr w:type="gramStart"/>
      <w:r w:rsidRPr="003161B0">
        <w:t>is generally used</w:t>
      </w:r>
      <w:proofErr w:type="gramEnd"/>
      <w:r w:rsidRPr="003161B0">
        <w:t xml:space="preserve"> in first line treatment for chronic gout, the PBAC considered that there was a clinical need for a second line alternate agent to treat </w:t>
      </w:r>
      <w:r w:rsidRPr="003161B0">
        <w:lastRenderedPageBreak/>
        <w:t>chronic gout for patients who cannot continue to use allopurinol due to serious hypersensitivity reactions.</w:t>
      </w:r>
    </w:p>
    <w:p w:rsidR="004C0E3F" w:rsidRPr="003161B0" w:rsidRDefault="004C0E3F" w:rsidP="004C0E3F">
      <w:pPr>
        <w:pStyle w:val="ListParagraph"/>
        <w:jc w:val="both"/>
        <w:rPr>
          <w:b/>
          <w:color w:val="00B050"/>
        </w:rPr>
      </w:pPr>
    </w:p>
    <w:p w:rsidR="004C0E3F" w:rsidRPr="003161B0" w:rsidRDefault="004C0E3F" w:rsidP="004C0E3F">
      <w:pPr>
        <w:pStyle w:val="ListParagraph"/>
        <w:ind w:left="0"/>
        <w:jc w:val="both"/>
        <w:rPr>
          <w:b/>
          <w:i/>
        </w:rPr>
      </w:pPr>
      <w:r w:rsidRPr="003161B0">
        <w:t>The PBAC also noted the December 2008 NICE technology appraisal guidance</w:t>
      </w:r>
      <w:r w:rsidRPr="003161B0">
        <w:rPr>
          <w:rStyle w:val="FootnoteReference"/>
        </w:rPr>
        <w:footnoteReference w:id="1"/>
      </w:r>
      <w:r w:rsidRPr="003161B0">
        <w:t xml:space="preserve"> for </w:t>
      </w:r>
      <w:r w:rsidRPr="003161B0">
        <w:rPr>
          <w:i/>
        </w:rPr>
        <w:t xml:space="preserve">“Febuxostat for the management of hyperuricaemia in people with gout” </w:t>
      </w:r>
      <w:r w:rsidRPr="003161B0">
        <w:t xml:space="preserve">which defined intolerance of allopurinol as adverse effects that are sufficiently severe to warrant discontinuation of allopurinol, or to prevent full dose escalation for optimal effectiveness as appropriate within its marketing authorisation.  The PBAC considered that an allopurinol-intolerant population consistent with the definition used in the NICE guidance </w:t>
      </w:r>
      <w:proofErr w:type="gramStart"/>
      <w:r w:rsidRPr="003161B0">
        <w:t>may</w:t>
      </w:r>
      <w:proofErr w:type="gramEnd"/>
      <w:r w:rsidRPr="003161B0">
        <w:t xml:space="preserve"> be an appropriate basis to define a second-line treatment setting for febuxostat.</w:t>
      </w:r>
    </w:p>
    <w:p w:rsidR="00BB219E" w:rsidRPr="003161B0" w:rsidRDefault="0004080D" w:rsidP="00BB219E">
      <w:pPr>
        <w:pStyle w:val="Heading3"/>
        <w:rPr>
          <w:rFonts w:ascii="Times New Roman" w:hAnsi="Times New Roman"/>
          <w:sz w:val="24"/>
          <w:szCs w:val="24"/>
        </w:rPr>
      </w:pPr>
      <w:r w:rsidRPr="003161B0">
        <w:rPr>
          <w:rFonts w:ascii="Times New Roman" w:hAnsi="Times New Roman"/>
          <w:sz w:val="24"/>
          <w:szCs w:val="24"/>
        </w:rPr>
        <w:t xml:space="preserve">6. </w:t>
      </w:r>
      <w:r w:rsidR="002A57B9" w:rsidRPr="003161B0">
        <w:rPr>
          <w:rFonts w:ascii="Times New Roman" w:hAnsi="Times New Roman"/>
          <w:sz w:val="24"/>
          <w:szCs w:val="24"/>
        </w:rPr>
        <w:t>Comparator</w:t>
      </w:r>
      <w:r w:rsidR="00B80A12" w:rsidRPr="003161B0">
        <w:rPr>
          <w:rFonts w:ascii="Times New Roman" w:hAnsi="Times New Roman"/>
          <w:sz w:val="24"/>
          <w:szCs w:val="24"/>
        </w:rPr>
        <w:t xml:space="preserve"> </w:t>
      </w:r>
    </w:p>
    <w:p w:rsidR="004C0E3F" w:rsidRPr="003161B0" w:rsidRDefault="004C0E3F" w:rsidP="004C0E3F">
      <w:pPr>
        <w:pStyle w:val="ListParagraph"/>
        <w:ind w:left="0"/>
        <w:jc w:val="both"/>
      </w:pPr>
      <w:r w:rsidRPr="003161B0">
        <w:t xml:space="preserve">The nominated comparator was allopurinol. The PBAC considered this </w:t>
      </w:r>
      <w:proofErr w:type="gramStart"/>
      <w:r w:rsidRPr="003161B0">
        <w:t>to be the</w:t>
      </w:r>
      <w:proofErr w:type="gramEnd"/>
      <w:r w:rsidRPr="003161B0">
        <w:t xml:space="preserve"> appropriate comparator for the requested treatment setting.</w:t>
      </w:r>
    </w:p>
    <w:p w:rsidR="00BB219E" w:rsidRPr="003161B0" w:rsidRDefault="0004080D" w:rsidP="00BB219E">
      <w:pPr>
        <w:pStyle w:val="Heading3"/>
        <w:rPr>
          <w:rFonts w:ascii="Times New Roman" w:hAnsi="Times New Roman"/>
          <w:sz w:val="24"/>
          <w:szCs w:val="24"/>
        </w:rPr>
      </w:pPr>
      <w:r w:rsidRPr="003161B0">
        <w:rPr>
          <w:rFonts w:ascii="Times New Roman" w:hAnsi="Times New Roman"/>
          <w:sz w:val="24"/>
          <w:szCs w:val="24"/>
        </w:rPr>
        <w:t xml:space="preserve">7. </w:t>
      </w:r>
      <w:r w:rsidR="002A57B9" w:rsidRPr="003161B0">
        <w:rPr>
          <w:rFonts w:ascii="Times New Roman" w:hAnsi="Times New Roman"/>
          <w:sz w:val="24"/>
          <w:szCs w:val="24"/>
        </w:rPr>
        <w:t>Clinical Trials</w:t>
      </w:r>
      <w:r w:rsidR="009467CC" w:rsidRPr="003161B0">
        <w:rPr>
          <w:rFonts w:ascii="Times New Roman" w:hAnsi="Times New Roman"/>
          <w:sz w:val="24"/>
          <w:szCs w:val="24"/>
        </w:rPr>
        <w:t xml:space="preserve"> </w:t>
      </w:r>
    </w:p>
    <w:p w:rsidR="00A33EF9" w:rsidRPr="00C06F07" w:rsidRDefault="00A33EF9" w:rsidP="00A33EF9">
      <w:pPr>
        <w:pStyle w:val="ListParagraph"/>
        <w:ind w:left="0"/>
        <w:jc w:val="both"/>
      </w:pPr>
      <w:r w:rsidRPr="00C06F07">
        <w:t xml:space="preserve">The PBAC noted that the submission nominated two </w:t>
      </w:r>
      <w:proofErr w:type="gramStart"/>
      <w:r w:rsidRPr="00C06F07">
        <w:t>head to head</w:t>
      </w:r>
      <w:proofErr w:type="gramEnd"/>
      <w:r w:rsidRPr="00C06F07">
        <w:t xml:space="preserve"> randomised control trials (RCTs), APEX and FACT as the primary evidence, where both trials included a fixed dose allopurinol control arm.</w:t>
      </w:r>
    </w:p>
    <w:p w:rsidR="00A33EF9" w:rsidRPr="00C06F07" w:rsidRDefault="00A33EF9" w:rsidP="00866872">
      <w:pPr>
        <w:jc w:val="both"/>
      </w:pPr>
    </w:p>
    <w:p w:rsidR="00A33EF9" w:rsidRPr="00C06F07" w:rsidRDefault="00A33EF9" w:rsidP="00A33EF9">
      <w:pPr>
        <w:pStyle w:val="ListParagraph"/>
        <w:ind w:left="0"/>
        <w:jc w:val="both"/>
      </w:pPr>
      <w:r w:rsidRPr="00C06F07">
        <w:t>The submission nominated EXCEL and CONFIRM</w:t>
      </w:r>
      <w:r w:rsidR="00315A33">
        <w:t>S</w:t>
      </w:r>
      <w:r w:rsidRPr="00C06F07">
        <w:t xml:space="preserve"> as supplementary evidence </w:t>
      </w:r>
      <w:proofErr w:type="gramStart"/>
      <w:r w:rsidRPr="00C06F07">
        <w:t>on the grounds that</w:t>
      </w:r>
      <w:proofErr w:type="gramEnd"/>
      <w:r w:rsidRPr="00C06F07">
        <w:t xml:space="preserve"> these trials were more selective in their recruitment, had a large proportion of subjects recruited from other completed febuxostat trials. The PBAC noted that the subjects in both</w:t>
      </w:r>
      <w:bookmarkStart w:id="0" w:name="_GoBack"/>
      <w:bookmarkEnd w:id="0"/>
      <w:r w:rsidRPr="00C06F07">
        <w:t xml:space="preserve"> these trials were not all </w:t>
      </w:r>
      <w:proofErr w:type="spellStart"/>
      <w:r w:rsidR="00635A0B">
        <w:t>feboxustat</w:t>
      </w:r>
      <w:proofErr w:type="spellEnd"/>
      <w:r w:rsidR="00635A0B">
        <w:t>-</w:t>
      </w:r>
      <w:r w:rsidRPr="00C06F07">
        <w:t>treatment naïve, like in FACT or APEX</w:t>
      </w:r>
      <w:r w:rsidR="00635A0B">
        <w:t>.</w:t>
      </w:r>
      <w:r w:rsidRPr="00C06F07">
        <w:t xml:space="preserve">  EXCEL </w:t>
      </w:r>
      <w:proofErr w:type="gramStart"/>
      <w:r w:rsidRPr="00C06F07">
        <w:t>was</w:t>
      </w:r>
      <w:r w:rsidR="003A26FB">
        <w:t xml:space="preserve"> </w:t>
      </w:r>
      <w:r w:rsidRPr="00C06F07">
        <w:t>nominated</w:t>
      </w:r>
      <w:proofErr w:type="gramEnd"/>
      <w:r w:rsidRPr="00C06F07">
        <w:t xml:space="preserve"> as supplementary evidence on the basis that it lacked internal validity due to its open label design and significant patient attrition.</w:t>
      </w:r>
    </w:p>
    <w:p w:rsidR="00A33EF9" w:rsidRPr="00C06F07" w:rsidRDefault="00A33EF9" w:rsidP="00A33EF9">
      <w:pPr>
        <w:pStyle w:val="ListParagraph"/>
        <w:jc w:val="both"/>
        <w:rPr>
          <w:rStyle w:val="CommentReference"/>
          <w:bCs/>
          <w:sz w:val="24"/>
          <w:szCs w:val="24"/>
        </w:rPr>
      </w:pPr>
    </w:p>
    <w:p w:rsidR="00A33EF9" w:rsidRPr="00C06F07" w:rsidRDefault="00A33EF9" w:rsidP="00A33EF9">
      <w:pPr>
        <w:pStyle w:val="ListParagraph"/>
        <w:ind w:left="0"/>
        <w:jc w:val="both"/>
        <w:rPr>
          <w:rStyle w:val="CommentReference"/>
          <w:sz w:val="24"/>
          <w:szCs w:val="24"/>
        </w:rPr>
      </w:pPr>
      <w:r w:rsidRPr="00C06F07">
        <w:rPr>
          <w:rStyle w:val="CommentReference"/>
          <w:bCs/>
          <w:sz w:val="24"/>
          <w:szCs w:val="24"/>
        </w:rPr>
        <w:t>The PBAC noted with the exception of EXCEL, that all include</w:t>
      </w:r>
      <w:r w:rsidR="003A26FB">
        <w:rPr>
          <w:rStyle w:val="CommentReference"/>
          <w:bCs/>
          <w:sz w:val="24"/>
          <w:szCs w:val="24"/>
        </w:rPr>
        <w:t xml:space="preserve">d trials had a low risk of </w:t>
      </w:r>
      <w:proofErr w:type="gramStart"/>
      <w:r w:rsidR="003A26FB">
        <w:rPr>
          <w:rStyle w:val="CommentReference"/>
          <w:bCs/>
          <w:sz w:val="24"/>
          <w:szCs w:val="24"/>
        </w:rPr>
        <w:t>bias</w:t>
      </w:r>
      <w:proofErr w:type="gramEnd"/>
      <w:r w:rsidR="003A26FB">
        <w:rPr>
          <w:rStyle w:val="CommentReference"/>
          <w:bCs/>
          <w:sz w:val="24"/>
          <w:szCs w:val="24"/>
        </w:rPr>
        <w:t xml:space="preserve"> </w:t>
      </w:r>
      <w:r w:rsidRPr="00C06F07">
        <w:rPr>
          <w:rStyle w:val="CommentReference"/>
          <w:bCs/>
          <w:sz w:val="24"/>
          <w:szCs w:val="24"/>
        </w:rPr>
        <w:t>as they were all double blind, randomised, multi-centre RCTs with adequate follow up and low levels of patient attrition. The PBAC noted that EXCEL was potentially associated with high levels of bias due to (</w:t>
      </w:r>
      <w:proofErr w:type="spellStart"/>
      <w:r w:rsidRPr="00C06F07">
        <w:rPr>
          <w:rStyle w:val="CommentReference"/>
          <w:bCs/>
          <w:sz w:val="24"/>
          <w:szCs w:val="24"/>
        </w:rPr>
        <w:t>i</w:t>
      </w:r>
      <w:proofErr w:type="spellEnd"/>
      <w:r w:rsidRPr="00C06F07">
        <w:rPr>
          <w:rStyle w:val="CommentReference"/>
          <w:bCs/>
          <w:sz w:val="24"/>
          <w:szCs w:val="24"/>
        </w:rPr>
        <w:t>) being open label and (ii) permitting patients to change therapies between month 1 and 6 at the investigator’s discretion.  This resulted in very large and uneven cross over between treatment arms (greater than 30% for the febuxostat groups and approximately 60% for allopurinol). However</w:t>
      </w:r>
      <w:r w:rsidR="00826E03">
        <w:rPr>
          <w:rStyle w:val="CommentReference"/>
          <w:bCs/>
          <w:sz w:val="24"/>
          <w:szCs w:val="24"/>
        </w:rPr>
        <w:t>,</w:t>
      </w:r>
      <w:r w:rsidRPr="00C06F07">
        <w:rPr>
          <w:rStyle w:val="CommentReference"/>
          <w:bCs/>
          <w:sz w:val="24"/>
          <w:szCs w:val="24"/>
        </w:rPr>
        <w:t xml:space="preserve"> it </w:t>
      </w:r>
      <w:proofErr w:type="gramStart"/>
      <w:r w:rsidRPr="00C06F07">
        <w:rPr>
          <w:rStyle w:val="CommentReference"/>
          <w:bCs/>
          <w:sz w:val="24"/>
          <w:szCs w:val="24"/>
        </w:rPr>
        <w:t>was noted</w:t>
      </w:r>
      <w:proofErr w:type="gramEnd"/>
      <w:r w:rsidRPr="00C06F07">
        <w:rPr>
          <w:rStyle w:val="CommentReference"/>
          <w:bCs/>
          <w:sz w:val="24"/>
          <w:szCs w:val="24"/>
        </w:rPr>
        <w:t xml:space="preserve"> that EXCEL was the only trial with more than one year’s follow up.</w:t>
      </w:r>
      <w:r w:rsidRPr="00C06F07">
        <w:rPr>
          <w:b/>
          <w:color w:val="00B050"/>
        </w:rPr>
        <w:t xml:space="preserve"> </w:t>
      </w:r>
    </w:p>
    <w:p w:rsidR="00A33EF9" w:rsidRPr="00C06F07" w:rsidRDefault="00A33EF9" w:rsidP="00BB219E">
      <w:pPr>
        <w:rPr>
          <w:b/>
          <w:color w:val="FF33CC"/>
        </w:rPr>
      </w:pPr>
    </w:p>
    <w:p w:rsidR="00A33EF9" w:rsidRPr="00C06F07" w:rsidRDefault="007A750C" w:rsidP="00A33EF9">
      <w:pPr>
        <w:pStyle w:val="ListParagraph"/>
        <w:ind w:left="0"/>
        <w:jc w:val="both"/>
      </w:pPr>
      <w:r>
        <w:br w:type="page"/>
      </w:r>
      <w:r w:rsidR="00315A33">
        <w:lastRenderedPageBreak/>
        <w:t xml:space="preserve">Details of the trials and associated reports presented in the submission </w:t>
      </w:r>
      <w:proofErr w:type="gramStart"/>
      <w:r w:rsidR="00315A33">
        <w:t>are shown</w:t>
      </w:r>
      <w:proofErr w:type="gramEnd"/>
      <w:r w:rsidR="00315A33">
        <w:t xml:space="preserve"> in the table below.</w:t>
      </w:r>
    </w:p>
    <w:p w:rsidR="00A33EF9" w:rsidRPr="00DC3537" w:rsidRDefault="00A33EF9" w:rsidP="00A33EF9">
      <w:pPr>
        <w:pStyle w:val="ListParagraph"/>
        <w:ind w:left="0"/>
        <w:jc w:val="both"/>
        <w:rPr>
          <w:rFonts w:ascii="Arial" w:hAnsi="Arial" w:cs="Arial"/>
          <w:sz w:val="22"/>
          <w:szCs w:val="22"/>
        </w:rPr>
      </w:pPr>
    </w:p>
    <w:p w:rsidR="00CB7C19" w:rsidRPr="00AB1EA9" w:rsidRDefault="00CB7C19" w:rsidP="00CB7C19">
      <w:pPr>
        <w:rPr>
          <w:rFonts w:ascii="Arial" w:hAnsi="Arial" w:cs="Arial"/>
          <w:b/>
          <w:sz w:val="20"/>
          <w:szCs w:val="20"/>
        </w:rPr>
      </w:pPr>
      <w:r w:rsidRPr="00AB1EA9">
        <w:rPr>
          <w:rFonts w:ascii="Arial" w:hAnsi="Arial" w:cs="Arial"/>
          <w:b/>
          <w:sz w:val="20"/>
          <w:szCs w:val="20"/>
        </w:rPr>
        <w:t>Trials and associated reports presented in the submission</w:t>
      </w:r>
    </w:p>
    <w:tbl>
      <w:tblPr>
        <w:tblW w:w="907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729"/>
        <w:gridCol w:w="4367"/>
        <w:gridCol w:w="2976"/>
      </w:tblGrid>
      <w:tr w:rsidR="00CB7C19" w:rsidRPr="00AB1EA9" w:rsidTr="00446D91">
        <w:tc>
          <w:tcPr>
            <w:tcW w:w="1729" w:type="dxa"/>
          </w:tcPr>
          <w:p w:rsidR="00CB7C19" w:rsidRPr="00AB1EA9" w:rsidRDefault="00CB7C19" w:rsidP="00721B31">
            <w:pPr>
              <w:rPr>
                <w:rFonts w:ascii="Arial" w:hAnsi="Arial" w:cs="Arial"/>
                <w:b/>
                <w:sz w:val="20"/>
                <w:szCs w:val="20"/>
              </w:rPr>
            </w:pPr>
            <w:r w:rsidRPr="00AB1EA9">
              <w:rPr>
                <w:rFonts w:ascii="Arial" w:hAnsi="Arial" w:cs="Arial"/>
                <w:b/>
                <w:sz w:val="20"/>
                <w:szCs w:val="20"/>
              </w:rPr>
              <w:t xml:space="preserve">Trial </w:t>
            </w:r>
          </w:p>
        </w:tc>
        <w:tc>
          <w:tcPr>
            <w:tcW w:w="4367" w:type="dxa"/>
            <w:vAlign w:val="center"/>
          </w:tcPr>
          <w:p w:rsidR="00CB7C19" w:rsidRPr="00AB1EA9" w:rsidRDefault="00CB7C19" w:rsidP="00721B31">
            <w:pPr>
              <w:jc w:val="center"/>
              <w:rPr>
                <w:rFonts w:ascii="Arial" w:hAnsi="Arial" w:cs="Arial"/>
                <w:b/>
                <w:sz w:val="20"/>
                <w:szCs w:val="20"/>
              </w:rPr>
            </w:pPr>
            <w:r w:rsidRPr="00AB1EA9">
              <w:rPr>
                <w:rFonts w:ascii="Arial" w:hAnsi="Arial" w:cs="Arial"/>
                <w:b/>
                <w:sz w:val="20"/>
                <w:szCs w:val="20"/>
              </w:rPr>
              <w:t>Protocol title/ Publication title</w:t>
            </w:r>
          </w:p>
        </w:tc>
        <w:tc>
          <w:tcPr>
            <w:tcW w:w="2976" w:type="dxa"/>
          </w:tcPr>
          <w:p w:rsidR="00CB7C19" w:rsidRPr="00AB1EA9" w:rsidRDefault="00CB7C19" w:rsidP="00721B31">
            <w:pPr>
              <w:rPr>
                <w:rFonts w:ascii="Arial" w:hAnsi="Arial" w:cs="Arial"/>
                <w:b/>
                <w:sz w:val="20"/>
                <w:szCs w:val="20"/>
              </w:rPr>
            </w:pPr>
            <w:r w:rsidRPr="00AB1EA9">
              <w:rPr>
                <w:rFonts w:ascii="Arial" w:hAnsi="Arial" w:cs="Arial"/>
                <w:b/>
                <w:sz w:val="20"/>
                <w:szCs w:val="20"/>
              </w:rPr>
              <w:t>Publication citation</w:t>
            </w:r>
          </w:p>
        </w:tc>
      </w:tr>
      <w:tr w:rsidR="00CB7C19" w:rsidRPr="00AB1EA9" w:rsidTr="00446D91">
        <w:tc>
          <w:tcPr>
            <w:tcW w:w="9072" w:type="dxa"/>
            <w:gridSpan w:val="3"/>
          </w:tcPr>
          <w:p w:rsidR="00CB7C19" w:rsidRPr="00AB1EA9" w:rsidRDefault="00CB7C19" w:rsidP="00721B31">
            <w:pPr>
              <w:rPr>
                <w:rFonts w:ascii="Arial" w:hAnsi="Arial" w:cs="Arial"/>
                <w:b/>
                <w:sz w:val="20"/>
                <w:szCs w:val="20"/>
              </w:rPr>
            </w:pPr>
            <w:r w:rsidRPr="00AB1EA9">
              <w:rPr>
                <w:rFonts w:ascii="Arial" w:hAnsi="Arial" w:cs="Arial"/>
                <w:b/>
                <w:sz w:val="20"/>
                <w:szCs w:val="20"/>
              </w:rPr>
              <w:t>Direct randomised trials</w:t>
            </w:r>
          </w:p>
        </w:tc>
      </w:tr>
      <w:tr w:rsidR="00CB7C19" w:rsidRPr="00AB1EA9" w:rsidTr="00446D91">
        <w:trPr>
          <w:trHeight w:val="537"/>
        </w:trPr>
        <w:tc>
          <w:tcPr>
            <w:tcW w:w="1729" w:type="dxa"/>
            <w:vMerge w:val="restart"/>
          </w:tcPr>
          <w:p w:rsidR="00CB7C19" w:rsidRPr="00AB1EA9" w:rsidRDefault="00CB7C19" w:rsidP="00721B31">
            <w:pPr>
              <w:rPr>
                <w:rFonts w:ascii="Arial" w:hAnsi="Arial" w:cs="Arial"/>
                <w:sz w:val="20"/>
                <w:szCs w:val="20"/>
              </w:rPr>
            </w:pPr>
            <w:r w:rsidRPr="00AB1EA9">
              <w:rPr>
                <w:rFonts w:ascii="Arial" w:hAnsi="Arial" w:cs="Arial"/>
                <w:sz w:val="20"/>
                <w:szCs w:val="20"/>
              </w:rPr>
              <w:t>APEX</w:t>
            </w:r>
          </w:p>
        </w:tc>
        <w:tc>
          <w:tcPr>
            <w:tcW w:w="4367" w:type="dxa"/>
            <w:tcBorders>
              <w:bottom w:val="single" w:sz="4" w:space="0" w:color="auto"/>
            </w:tcBorders>
            <w:vAlign w:val="center"/>
          </w:tcPr>
          <w:p w:rsidR="00CB7C19" w:rsidRPr="00AB1EA9" w:rsidRDefault="00CB7C19" w:rsidP="00721B31">
            <w:pPr>
              <w:rPr>
                <w:rFonts w:ascii="Arial" w:hAnsi="Arial" w:cs="Arial"/>
                <w:b/>
                <w:sz w:val="20"/>
                <w:szCs w:val="20"/>
              </w:rPr>
            </w:pPr>
            <w:r w:rsidRPr="00AB1EA9">
              <w:rPr>
                <w:rFonts w:ascii="Arial" w:hAnsi="Arial" w:cs="Arial"/>
                <w:sz w:val="20"/>
                <w:szCs w:val="20"/>
              </w:rPr>
              <w:t xml:space="preserve">A phase II, randomized, multicentre, allopurinol and placebo-controlled study assessing the safety and efficacy of oral febuxostat in subjects with gout </w:t>
            </w:r>
          </w:p>
        </w:tc>
        <w:tc>
          <w:tcPr>
            <w:tcW w:w="2976" w:type="dxa"/>
            <w:tcBorders>
              <w:bottom w:val="single" w:sz="4" w:space="0" w:color="auto"/>
            </w:tcBorders>
          </w:tcPr>
          <w:p w:rsidR="00CB7C19" w:rsidRPr="00AB1EA9" w:rsidRDefault="00CB7C19" w:rsidP="00721B31">
            <w:pPr>
              <w:rPr>
                <w:rFonts w:ascii="Arial" w:hAnsi="Arial" w:cs="Arial"/>
                <w:i/>
                <w:sz w:val="20"/>
                <w:szCs w:val="20"/>
              </w:rPr>
            </w:pPr>
            <w:r w:rsidRPr="00AB1EA9">
              <w:rPr>
                <w:rFonts w:ascii="Arial" w:hAnsi="Arial" w:cs="Arial"/>
                <w:sz w:val="20"/>
                <w:szCs w:val="20"/>
              </w:rPr>
              <w:t>21 September 2004</w:t>
            </w:r>
          </w:p>
          <w:p w:rsidR="00CB7C19" w:rsidRPr="00AB1EA9" w:rsidRDefault="00CB7C19" w:rsidP="00721B31">
            <w:pPr>
              <w:rPr>
                <w:rFonts w:ascii="Arial" w:hAnsi="Arial" w:cs="Arial"/>
                <w:i/>
                <w:sz w:val="20"/>
                <w:szCs w:val="20"/>
              </w:rPr>
            </w:pPr>
          </w:p>
          <w:p w:rsidR="00CB7C19" w:rsidRPr="00AB1EA9" w:rsidRDefault="00CB7C19" w:rsidP="00721B31">
            <w:pPr>
              <w:rPr>
                <w:rFonts w:ascii="Arial" w:hAnsi="Arial" w:cs="Arial"/>
                <w:b/>
                <w:sz w:val="20"/>
                <w:szCs w:val="20"/>
              </w:rPr>
            </w:pPr>
          </w:p>
        </w:tc>
      </w:tr>
      <w:tr w:rsidR="00CB7C19" w:rsidRPr="00AB1EA9" w:rsidTr="00446D91">
        <w:trPr>
          <w:trHeight w:val="592"/>
        </w:trPr>
        <w:tc>
          <w:tcPr>
            <w:tcW w:w="1729" w:type="dxa"/>
            <w:vMerge/>
          </w:tcPr>
          <w:p w:rsidR="00CB7C19" w:rsidRPr="00AB1EA9" w:rsidRDefault="00CB7C19" w:rsidP="00721B31">
            <w:pPr>
              <w:rPr>
                <w:rFonts w:ascii="Arial" w:hAnsi="Arial" w:cs="Arial"/>
                <w:sz w:val="20"/>
                <w:szCs w:val="20"/>
              </w:rPr>
            </w:pPr>
          </w:p>
        </w:tc>
        <w:tc>
          <w:tcPr>
            <w:tcW w:w="4367" w:type="dxa"/>
            <w:tcBorders>
              <w:top w:val="single" w:sz="4" w:space="0" w:color="auto"/>
            </w:tcBorders>
            <w:vAlign w:val="center"/>
          </w:tcPr>
          <w:p w:rsidR="00CB7C19" w:rsidRPr="00AB1EA9" w:rsidRDefault="00CB7C19" w:rsidP="00721B31">
            <w:pPr>
              <w:rPr>
                <w:rFonts w:ascii="Arial" w:hAnsi="Arial" w:cs="Arial"/>
                <w:sz w:val="20"/>
                <w:szCs w:val="20"/>
              </w:rPr>
            </w:pPr>
            <w:r w:rsidRPr="00AB1EA9">
              <w:rPr>
                <w:rFonts w:ascii="Arial" w:hAnsi="Arial" w:cs="Arial"/>
                <w:sz w:val="20"/>
                <w:szCs w:val="20"/>
              </w:rPr>
              <w:t xml:space="preserve">Schumacher, H, et al. “Effects of febuxostat versus allopurinol and placebo in reducing serum </w:t>
            </w:r>
            <w:proofErr w:type="spellStart"/>
            <w:r w:rsidRPr="00AB1EA9">
              <w:rPr>
                <w:rFonts w:ascii="Arial" w:hAnsi="Arial" w:cs="Arial"/>
                <w:sz w:val="20"/>
                <w:szCs w:val="20"/>
              </w:rPr>
              <w:t>urate</w:t>
            </w:r>
            <w:proofErr w:type="spellEnd"/>
            <w:r w:rsidRPr="00AB1EA9">
              <w:rPr>
                <w:rFonts w:ascii="Arial" w:hAnsi="Arial" w:cs="Arial"/>
                <w:sz w:val="20"/>
                <w:szCs w:val="20"/>
              </w:rPr>
              <w:t xml:space="preserve"> in subjects with </w:t>
            </w:r>
            <w:proofErr w:type="spellStart"/>
            <w:r w:rsidRPr="00AB1EA9">
              <w:rPr>
                <w:rFonts w:ascii="Arial" w:hAnsi="Arial" w:cs="Arial"/>
                <w:sz w:val="20"/>
                <w:szCs w:val="20"/>
              </w:rPr>
              <w:t>hyperuricemia</w:t>
            </w:r>
            <w:proofErr w:type="spellEnd"/>
            <w:r w:rsidRPr="00AB1EA9">
              <w:rPr>
                <w:rFonts w:ascii="Arial" w:hAnsi="Arial" w:cs="Arial"/>
                <w:sz w:val="20"/>
                <w:szCs w:val="20"/>
              </w:rPr>
              <w:t xml:space="preserve"> and gout: a 28-week, phase III, randomized, double-blind, </w:t>
            </w:r>
            <w:proofErr w:type="gramStart"/>
            <w:r w:rsidRPr="00AB1EA9">
              <w:rPr>
                <w:rFonts w:ascii="Arial" w:hAnsi="Arial" w:cs="Arial"/>
                <w:sz w:val="20"/>
                <w:szCs w:val="20"/>
              </w:rPr>
              <w:t>parallel</w:t>
            </w:r>
            <w:proofErr w:type="gramEnd"/>
            <w:r w:rsidRPr="00AB1EA9">
              <w:rPr>
                <w:rFonts w:ascii="Arial" w:hAnsi="Arial" w:cs="Arial"/>
                <w:sz w:val="20"/>
                <w:szCs w:val="20"/>
              </w:rPr>
              <w:t xml:space="preserve">-group trial.” </w:t>
            </w:r>
          </w:p>
        </w:tc>
        <w:tc>
          <w:tcPr>
            <w:tcW w:w="2976" w:type="dxa"/>
            <w:tcBorders>
              <w:top w:val="single" w:sz="4" w:space="0" w:color="auto"/>
            </w:tcBorders>
          </w:tcPr>
          <w:p w:rsidR="00CB7C19" w:rsidRPr="00AB1EA9" w:rsidRDefault="00CB7C19" w:rsidP="00721B31">
            <w:pPr>
              <w:rPr>
                <w:rFonts w:ascii="Arial" w:hAnsi="Arial" w:cs="Arial"/>
                <w:sz w:val="20"/>
                <w:szCs w:val="20"/>
              </w:rPr>
            </w:pPr>
            <w:r w:rsidRPr="00AB1EA9">
              <w:rPr>
                <w:rFonts w:ascii="Arial" w:hAnsi="Arial" w:cs="Arial"/>
                <w:sz w:val="20"/>
                <w:szCs w:val="20"/>
              </w:rPr>
              <w:t>Arthritis and rheumatism, 2008: Nov 15</w:t>
            </w:r>
            <w:proofErr w:type="gramStart"/>
            <w:r w:rsidRPr="00AB1EA9">
              <w:rPr>
                <w:rFonts w:ascii="Arial" w:hAnsi="Arial" w:cs="Arial"/>
                <w:sz w:val="20"/>
                <w:szCs w:val="20"/>
              </w:rPr>
              <w:t>;59</w:t>
            </w:r>
            <w:proofErr w:type="gramEnd"/>
            <w:r w:rsidR="003515D7" w:rsidRPr="00AB1EA9">
              <w:rPr>
                <w:rFonts w:ascii="Arial" w:hAnsi="Arial" w:cs="Arial"/>
                <w:sz w:val="20"/>
                <w:szCs w:val="20"/>
              </w:rPr>
              <w:t xml:space="preserve"> </w:t>
            </w:r>
            <w:r w:rsidRPr="00AB1EA9">
              <w:rPr>
                <w:rFonts w:ascii="Arial" w:hAnsi="Arial" w:cs="Arial"/>
                <w:sz w:val="20"/>
                <w:szCs w:val="20"/>
              </w:rPr>
              <w:t>(11):1540-8.</w:t>
            </w:r>
          </w:p>
          <w:p w:rsidR="00CB7C19" w:rsidRPr="00AB1EA9" w:rsidRDefault="00CB7C19" w:rsidP="00721B31">
            <w:pPr>
              <w:rPr>
                <w:rFonts w:ascii="Arial" w:hAnsi="Arial" w:cs="Arial"/>
                <w:sz w:val="20"/>
                <w:szCs w:val="20"/>
              </w:rPr>
            </w:pPr>
          </w:p>
          <w:p w:rsidR="00CB7C19" w:rsidRPr="00AB1EA9" w:rsidRDefault="00CB7C19" w:rsidP="00721B31">
            <w:pPr>
              <w:rPr>
                <w:rFonts w:ascii="Arial" w:hAnsi="Arial" w:cs="Arial"/>
                <w:sz w:val="20"/>
                <w:szCs w:val="20"/>
              </w:rPr>
            </w:pPr>
          </w:p>
        </w:tc>
      </w:tr>
      <w:tr w:rsidR="00CB7C19" w:rsidRPr="00AB1EA9" w:rsidTr="00446D91">
        <w:trPr>
          <w:trHeight w:val="257"/>
        </w:trPr>
        <w:tc>
          <w:tcPr>
            <w:tcW w:w="1729" w:type="dxa"/>
            <w:vMerge/>
          </w:tcPr>
          <w:p w:rsidR="00CB7C19" w:rsidRPr="00AB1EA9" w:rsidRDefault="00CB7C19" w:rsidP="00721B31">
            <w:pPr>
              <w:rPr>
                <w:rFonts w:ascii="Arial" w:hAnsi="Arial" w:cs="Arial"/>
                <w:sz w:val="20"/>
                <w:szCs w:val="20"/>
              </w:rPr>
            </w:pPr>
          </w:p>
        </w:tc>
        <w:tc>
          <w:tcPr>
            <w:tcW w:w="4367" w:type="dxa"/>
            <w:tcBorders>
              <w:top w:val="nil"/>
            </w:tcBorders>
            <w:vAlign w:val="center"/>
          </w:tcPr>
          <w:p w:rsidR="00CB7C19" w:rsidRPr="00AB1EA9" w:rsidRDefault="00CB7C19" w:rsidP="00721B31">
            <w:pPr>
              <w:rPr>
                <w:rFonts w:ascii="Arial" w:hAnsi="Arial" w:cs="Arial"/>
                <w:sz w:val="20"/>
                <w:szCs w:val="20"/>
              </w:rPr>
            </w:pPr>
            <w:proofErr w:type="spellStart"/>
            <w:r w:rsidRPr="00AB1EA9">
              <w:rPr>
                <w:rFonts w:ascii="Arial" w:hAnsi="Arial" w:cs="Arial"/>
                <w:sz w:val="20"/>
                <w:szCs w:val="20"/>
              </w:rPr>
              <w:t>Wortmann</w:t>
            </w:r>
            <w:proofErr w:type="spellEnd"/>
            <w:r w:rsidRPr="00AB1EA9">
              <w:rPr>
                <w:rFonts w:ascii="Arial" w:hAnsi="Arial" w:cs="Arial"/>
                <w:sz w:val="20"/>
                <w:szCs w:val="20"/>
              </w:rPr>
              <w:t xml:space="preserve">, R, P Macdonald, B Hunt, and R Jackson. “Effect of prophylaxis on gout flares after the initiation of </w:t>
            </w:r>
            <w:proofErr w:type="spellStart"/>
            <w:r w:rsidRPr="00AB1EA9">
              <w:rPr>
                <w:rFonts w:ascii="Arial" w:hAnsi="Arial" w:cs="Arial"/>
                <w:sz w:val="20"/>
                <w:szCs w:val="20"/>
              </w:rPr>
              <w:t>urate</w:t>
            </w:r>
            <w:proofErr w:type="spellEnd"/>
            <w:r w:rsidRPr="00AB1EA9">
              <w:rPr>
                <w:rFonts w:ascii="Arial" w:hAnsi="Arial" w:cs="Arial"/>
                <w:sz w:val="20"/>
                <w:szCs w:val="20"/>
              </w:rPr>
              <w:t xml:space="preserve">-lowering therapy: analysis of data from three phase III trials.” </w:t>
            </w:r>
          </w:p>
        </w:tc>
        <w:tc>
          <w:tcPr>
            <w:tcW w:w="2976" w:type="dxa"/>
            <w:tcBorders>
              <w:top w:val="nil"/>
            </w:tcBorders>
          </w:tcPr>
          <w:p w:rsidR="00CB7C19" w:rsidRPr="00AB1EA9" w:rsidRDefault="00CB7C19" w:rsidP="00721B31">
            <w:pPr>
              <w:rPr>
                <w:rFonts w:ascii="Arial" w:hAnsi="Arial" w:cs="Arial"/>
                <w:sz w:val="20"/>
                <w:szCs w:val="20"/>
              </w:rPr>
            </w:pPr>
            <w:proofErr w:type="spellStart"/>
            <w:r w:rsidRPr="00AB1EA9">
              <w:rPr>
                <w:rFonts w:ascii="Arial" w:hAnsi="Arial" w:cs="Arial"/>
                <w:sz w:val="20"/>
                <w:szCs w:val="20"/>
              </w:rPr>
              <w:t>Clin</w:t>
            </w:r>
            <w:proofErr w:type="spellEnd"/>
            <w:r w:rsidRPr="00AB1EA9">
              <w:rPr>
                <w:rFonts w:ascii="Arial" w:hAnsi="Arial" w:cs="Arial"/>
                <w:sz w:val="20"/>
                <w:szCs w:val="20"/>
              </w:rPr>
              <w:t xml:space="preserve"> </w:t>
            </w:r>
            <w:proofErr w:type="spellStart"/>
            <w:r w:rsidRPr="00AB1EA9">
              <w:rPr>
                <w:rFonts w:ascii="Arial" w:hAnsi="Arial" w:cs="Arial"/>
                <w:sz w:val="20"/>
                <w:szCs w:val="20"/>
              </w:rPr>
              <w:t>Ther</w:t>
            </w:r>
            <w:proofErr w:type="spellEnd"/>
            <w:r w:rsidRPr="00AB1EA9">
              <w:rPr>
                <w:rFonts w:ascii="Arial" w:hAnsi="Arial" w:cs="Arial"/>
                <w:sz w:val="20"/>
                <w:szCs w:val="20"/>
              </w:rPr>
              <w:t>, 2010: Dec</w:t>
            </w:r>
            <w:proofErr w:type="gramStart"/>
            <w:r w:rsidRPr="00AB1EA9">
              <w:rPr>
                <w:rFonts w:ascii="Arial" w:hAnsi="Arial" w:cs="Arial"/>
                <w:sz w:val="20"/>
                <w:szCs w:val="20"/>
              </w:rPr>
              <w:t>;</w:t>
            </w:r>
            <w:proofErr w:type="gramEnd"/>
            <w:r w:rsidRPr="00AB1EA9">
              <w:rPr>
                <w:rFonts w:ascii="Arial" w:hAnsi="Arial" w:cs="Arial"/>
                <w:sz w:val="20"/>
                <w:szCs w:val="20"/>
              </w:rPr>
              <w:t xml:space="preserve"> 32(14):2386-97.</w:t>
            </w:r>
          </w:p>
        </w:tc>
      </w:tr>
      <w:tr w:rsidR="00CB7C19" w:rsidRPr="00AB1EA9" w:rsidTr="00446D91">
        <w:trPr>
          <w:trHeight w:val="257"/>
        </w:trPr>
        <w:tc>
          <w:tcPr>
            <w:tcW w:w="1729" w:type="dxa"/>
            <w:vMerge/>
          </w:tcPr>
          <w:p w:rsidR="00CB7C19" w:rsidRPr="00AB1EA9" w:rsidRDefault="00CB7C19" w:rsidP="00721B31">
            <w:pPr>
              <w:rPr>
                <w:rFonts w:ascii="Arial" w:hAnsi="Arial" w:cs="Arial"/>
                <w:sz w:val="20"/>
                <w:szCs w:val="20"/>
              </w:rPr>
            </w:pPr>
          </w:p>
        </w:tc>
        <w:tc>
          <w:tcPr>
            <w:tcW w:w="4367" w:type="dxa"/>
            <w:tcBorders>
              <w:top w:val="nil"/>
            </w:tcBorders>
            <w:vAlign w:val="center"/>
          </w:tcPr>
          <w:p w:rsidR="00CB7C19" w:rsidRPr="00AB1EA9" w:rsidRDefault="00CB7C19" w:rsidP="00721B31">
            <w:pPr>
              <w:rPr>
                <w:rFonts w:ascii="Arial" w:hAnsi="Arial" w:cs="Arial"/>
                <w:sz w:val="20"/>
                <w:szCs w:val="20"/>
              </w:rPr>
            </w:pPr>
            <w:proofErr w:type="spellStart"/>
            <w:proofErr w:type="gramStart"/>
            <w:r w:rsidRPr="00AB1EA9">
              <w:rPr>
                <w:rFonts w:ascii="Arial" w:hAnsi="Arial" w:cs="Arial"/>
                <w:sz w:val="20"/>
                <w:szCs w:val="20"/>
              </w:rPr>
              <w:t>Chohan</w:t>
            </w:r>
            <w:proofErr w:type="spellEnd"/>
            <w:r w:rsidRPr="00AB1EA9">
              <w:rPr>
                <w:rFonts w:ascii="Arial" w:hAnsi="Arial" w:cs="Arial"/>
                <w:sz w:val="20"/>
                <w:szCs w:val="20"/>
              </w:rPr>
              <w:t xml:space="preserve">, S, M Becker, P Macdonald, S </w:t>
            </w:r>
            <w:proofErr w:type="spellStart"/>
            <w:r w:rsidRPr="00AB1EA9">
              <w:rPr>
                <w:rFonts w:ascii="Arial" w:hAnsi="Arial" w:cs="Arial"/>
                <w:sz w:val="20"/>
                <w:szCs w:val="20"/>
              </w:rPr>
              <w:t>Chefo</w:t>
            </w:r>
            <w:proofErr w:type="spellEnd"/>
            <w:r w:rsidRPr="00AB1EA9">
              <w:rPr>
                <w:rFonts w:ascii="Arial" w:hAnsi="Arial" w:cs="Arial"/>
                <w:sz w:val="20"/>
                <w:szCs w:val="20"/>
              </w:rPr>
              <w:t>, and R Jackson.</w:t>
            </w:r>
            <w:proofErr w:type="gramEnd"/>
            <w:r w:rsidRPr="00AB1EA9">
              <w:rPr>
                <w:rFonts w:ascii="Arial" w:hAnsi="Arial" w:cs="Arial"/>
                <w:sz w:val="20"/>
                <w:szCs w:val="20"/>
              </w:rPr>
              <w:t xml:space="preserve"> “Women with gout: Efficacy and safety of </w:t>
            </w:r>
            <w:proofErr w:type="spellStart"/>
            <w:r w:rsidRPr="00AB1EA9">
              <w:rPr>
                <w:rFonts w:ascii="Arial" w:hAnsi="Arial" w:cs="Arial"/>
                <w:sz w:val="20"/>
                <w:szCs w:val="20"/>
              </w:rPr>
              <w:t>urate</w:t>
            </w:r>
            <w:proofErr w:type="spellEnd"/>
            <w:r w:rsidRPr="00AB1EA9">
              <w:rPr>
                <w:rFonts w:ascii="Arial" w:hAnsi="Arial" w:cs="Arial"/>
                <w:sz w:val="20"/>
                <w:szCs w:val="20"/>
              </w:rPr>
              <w:t xml:space="preserve">-lowering with febuxostat and allopurinol.” </w:t>
            </w:r>
          </w:p>
        </w:tc>
        <w:tc>
          <w:tcPr>
            <w:tcW w:w="2976" w:type="dxa"/>
            <w:tcBorders>
              <w:top w:val="nil"/>
            </w:tcBorders>
          </w:tcPr>
          <w:p w:rsidR="00CB7C19" w:rsidRPr="00AB1EA9" w:rsidRDefault="00CB7C19" w:rsidP="00721B31">
            <w:pPr>
              <w:rPr>
                <w:rFonts w:ascii="Arial" w:hAnsi="Arial" w:cs="Arial"/>
                <w:sz w:val="20"/>
                <w:szCs w:val="20"/>
              </w:rPr>
            </w:pPr>
            <w:r w:rsidRPr="00AB1EA9">
              <w:rPr>
                <w:rFonts w:ascii="Arial" w:hAnsi="Arial" w:cs="Arial"/>
                <w:sz w:val="20"/>
                <w:szCs w:val="20"/>
              </w:rPr>
              <w:t>Arthritis Care Res (Hoboken), 2012: Feb</w:t>
            </w:r>
            <w:proofErr w:type="gramStart"/>
            <w:r w:rsidRPr="00AB1EA9">
              <w:rPr>
                <w:rFonts w:ascii="Arial" w:hAnsi="Arial" w:cs="Arial"/>
                <w:sz w:val="20"/>
                <w:szCs w:val="20"/>
              </w:rPr>
              <w:t>;64</w:t>
            </w:r>
            <w:proofErr w:type="gramEnd"/>
            <w:r w:rsidRPr="00AB1EA9">
              <w:rPr>
                <w:rFonts w:ascii="Arial" w:hAnsi="Arial" w:cs="Arial"/>
                <w:sz w:val="20"/>
                <w:szCs w:val="20"/>
              </w:rPr>
              <w:t>(2):256-61.</w:t>
            </w:r>
          </w:p>
        </w:tc>
      </w:tr>
      <w:tr w:rsidR="00CB7C19" w:rsidRPr="00AB1EA9" w:rsidTr="00446D91">
        <w:tc>
          <w:tcPr>
            <w:tcW w:w="1729" w:type="dxa"/>
            <w:vMerge w:val="restart"/>
          </w:tcPr>
          <w:p w:rsidR="00CB7C19" w:rsidRPr="00AB1EA9" w:rsidRDefault="00CB7C19" w:rsidP="00721B31">
            <w:pPr>
              <w:rPr>
                <w:rFonts w:ascii="Arial" w:hAnsi="Arial" w:cs="Arial"/>
                <w:sz w:val="20"/>
                <w:szCs w:val="20"/>
              </w:rPr>
            </w:pPr>
            <w:r w:rsidRPr="00AB1EA9">
              <w:rPr>
                <w:rFonts w:ascii="Arial" w:hAnsi="Arial" w:cs="Arial"/>
                <w:sz w:val="20"/>
                <w:szCs w:val="20"/>
              </w:rPr>
              <w:t>FACT</w:t>
            </w:r>
          </w:p>
        </w:tc>
        <w:tc>
          <w:tcPr>
            <w:tcW w:w="4367" w:type="dxa"/>
            <w:vAlign w:val="center"/>
          </w:tcPr>
          <w:p w:rsidR="00CB7C19" w:rsidRPr="00AB1EA9" w:rsidRDefault="00CB7C19" w:rsidP="00721B31">
            <w:pPr>
              <w:rPr>
                <w:rFonts w:ascii="Arial" w:hAnsi="Arial" w:cs="Arial"/>
                <w:sz w:val="20"/>
                <w:szCs w:val="20"/>
              </w:rPr>
            </w:pPr>
            <w:r w:rsidRPr="00AB1EA9">
              <w:rPr>
                <w:rFonts w:ascii="Arial" w:hAnsi="Arial" w:cs="Arial"/>
                <w:sz w:val="20"/>
                <w:szCs w:val="20"/>
              </w:rPr>
              <w:t>A Phase 3, Randomized, Multicenter Study Comparing the Safety and Efficacy of Oral Febuxostat versus Allopurinol in Patients with Gout</w:t>
            </w:r>
          </w:p>
        </w:tc>
        <w:tc>
          <w:tcPr>
            <w:tcW w:w="2976" w:type="dxa"/>
          </w:tcPr>
          <w:p w:rsidR="00CB7C19" w:rsidRPr="00AB1EA9" w:rsidRDefault="00CB7C19" w:rsidP="00721B31">
            <w:pPr>
              <w:rPr>
                <w:rFonts w:ascii="Arial" w:hAnsi="Arial" w:cs="Arial"/>
                <w:sz w:val="20"/>
                <w:szCs w:val="20"/>
              </w:rPr>
            </w:pPr>
            <w:r w:rsidRPr="00AB1EA9">
              <w:rPr>
                <w:rFonts w:ascii="Arial" w:hAnsi="Arial" w:cs="Arial"/>
                <w:sz w:val="20"/>
                <w:szCs w:val="20"/>
              </w:rPr>
              <w:t>8 Sep 2005</w:t>
            </w:r>
          </w:p>
        </w:tc>
      </w:tr>
      <w:tr w:rsidR="00CB7C19" w:rsidRPr="00AB1EA9" w:rsidTr="00446D91">
        <w:tc>
          <w:tcPr>
            <w:tcW w:w="1729" w:type="dxa"/>
            <w:vMerge/>
          </w:tcPr>
          <w:p w:rsidR="00CB7C19" w:rsidRPr="00AB1EA9" w:rsidRDefault="00CB7C19" w:rsidP="00721B31">
            <w:pPr>
              <w:rPr>
                <w:rFonts w:ascii="Arial" w:hAnsi="Arial" w:cs="Arial"/>
                <w:sz w:val="20"/>
                <w:szCs w:val="20"/>
              </w:rPr>
            </w:pPr>
          </w:p>
        </w:tc>
        <w:tc>
          <w:tcPr>
            <w:tcW w:w="4367" w:type="dxa"/>
            <w:vAlign w:val="center"/>
          </w:tcPr>
          <w:p w:rsidR="00CB7C19" w:rsidRPr="00AB1EA9" w:rsidRDefault="00CB7C19" w:rsidP="00721B31">
            <w:pPr>
              <w:rPr>
                <w:rFonts w:ascii="Arial" w:hAnsi="Arial" w:cs="Arial"/>
                <w:sz w:val="20"/>
                <w:szCs w:val="20"/>
              </w:rPr>
            </w:pPr>
            <w:r w:rsidRPr="00AB1EA9">
              <w:rPr>
                <w:rFonts w:ascii="Arial" w:hAnsi="Arial" w:cs="Arial"/>
                <w:sz w:val="20"/>
                <w:szCs w:val="20"/>
              </w:rPr>
              <w:t xml:space="preserve">Becker MA, Schumacher HR Jr, </w:t>
            </w:r>
            <w:proofErr w:type="spellStart"/>
            <w:r w:rsidRPr="00AB1EA9">
              <w:rPr>
                <w:rFonts w:ascii="Arial" w:hAnsi="Arial" w:cs="Arial"/>
                <w:sz w:val="20"/>
                <w:szCs w:val="20"/>
              </w:rPr>
              <w:t>Wortmann</w:t>
            </w:r>
            <w:proofErr w:type="spellEnd"/>
            <w:r w:rsidRPr="00AB1EA9">
              <w:rPr>
                <w:rFonts w:ascii="Arial" w:hAnsi="Arial" w:cs="Arial"/>
                <w:sz w:val="20"/>
                <w:szCs w:val="20"/>
              </w:rPr>
              <w:t xml:space="preserve"> RL, MacDonald PA, Eustace D, Palo WA, </w:t>
            </w:r>
            <w:proofErr w:type="spellStart"/>
            <w:r w:rsidRPr="00AB1EA9">
              <w:rPr>
                <w:rFonts w:ascii="Arial" w:hAnsi="Arial" w:cs="Arial"/>
                <w:sz w:val="20"/>
                <w:szCs w:val="20"/>
              </w:rPr>
              <w:t>Streit</w:t>
            </w:r>
            <w:proofErr w:type="spellEnd"/>
            <w:r w:rsidRPr="00AB1EA9">
              <w:rPr>
                <w:rFonts w:ascii="Arial" w:hAnsi="Arial" w:cs="Arial"/>
                <w:sz w:val="20"/>
                <w:szCs w:val="20"/>
              </w:rPr>
              <w:t xml:space="preserve"> J, Joseph-Ridge N. Febuxostat compared with allopurinol in patients with </w:t>
            </w:r>
            <w:proofErr w:type="spellStart"/>
            <w:r w:rsidRPr="00AB1EA9">
              <w:rPr>
                <w:rFonts w:ascii="Arial" w:hAnsi="Arial" w:cs="Arial"/>
                <w:sz w:val="20"/>
                <w:szCs w:val="20"/>
              </w:rPr>
              <w:t>hyperuricemia</w:t>
            </w:r>
            <w:proofErr w:type="spellEnd"/>
            <w:r w:rsidRPr="00AB1EA9">
              <w:rPr>
                <w:rFonts w:ascii="Arial" w:hAnsi="Arial" w:cs="Arial"/>
                <w:sz w:val="20"/>
                <w:szCs w:val="20"/>
              </w:rPr>
              <w:t xml:space="preserve"> and gout.</w:t>
            </w:r>
          </w:p>
        </w:tc>
        <w:tc>
          <w:tcPr>
            <w:tcW w:w="2976" w:type="dxa"/>
          </w:tcPr>
          <w:p w:rsidR="00CB7C19" w:rsidRPr="00AB1EA9" w:rsidRDefault="00CB7C19" w:rsidP="00721B31">
            <w:pPr>
              <w:rPr>
                <w:rFonts w:ascii="Arial" w:hAnsi="Arial" w:cs="Arial"/>
                <w:sz w:val="20"/>
                <w:szCs w:val="20"/>
              </w:rPr>
            </w:pPr>
            <w:r w:rsidRPr="00AB1EA9">
              <w:rPr>
                <w:rFonts w:ascii="Arial" w:hAnsi="Arial" w:cs="Arial"/>
                <w:sz w:val="20"/>
                <w:szCs w:val="20"/>
              </w:rPr>
              <w:t>N Engl J Med. 2005 Dec 8</w:t>
            </w:r>
            <w:proofErr w:type="gramStart"/>
            <w:r w:rsidRPr="00AB1EA9">
              <w:rPr>
                <w:rFonts w:ascii="Arial" w:hAnsi="Arial" w:cs="Arial"/>
                <w:sz w:val="20"/>
                <w:szCs w:val="20"/>
              </w:rPr>
              <w:t>;353</w:t>
            </w:r>
            <w:proofErr w:type="gramEnd"/>
            <w:r w:rsidRPr="00AB1EA9">
              <w:rPr>
                <w:rFonts w:ascii="Arial" w:hAnsi="Arial" w:cs="Arial"/>
                <w:sz w:val="20"/>
                <w:szCs w:val="20"/>
              </w:rPr>
              <w:t>(23):2450-61.</w:t>
            </w:r>
          </w:p>
        </w:tc>
      </w:tr>
      <w:tr w:rsidR="00CB7C19" w:rsidRPr="00AB1EA9" w:rsidTr="00446D91">
        <w:tc>
          <w:tcPr>
            <w:tcW w:w="1729" w:type="dxa"/>
            <w:vMerge/>
          </w:tcPr>
          <w:p w:rsidR="00CB7C19" w:rsidRPr="00AB1EA9" w:rsidRDefault="00CB7C19" w:rsidP="00721B31">
            <w:pPr>
              <w:rPr>
                <w:rFonts w:ascii="Arial" w:hAnsi="Arial" w:cs="Arial"/>
                <w:sz w:val="20"/>
                <w:szCs w:val="20"/>
              </w:rPr>
            </w:pPr>
          </w:p>
        </w:tc>
        <w:tc>
          <w:tcPr>
            <w:tcW w:w="4367" w:type="dxa"/>
            <w:vAlign w:val="center"/>
          </w:tcPr>
          <w:p w:rsidR="00CB7C19" w:rsidRPr="00AB1EA9" w:rsidRDefault="00CB7C19" w:rsidP="00721B31">
            <w:pPr>
              <w:rPr>
                <w:rFonts w:ascii="Arial" w:hAnsi="Arial" w:cs="Arial"/>
                <w:sz w:val="20"/>
                <w:szCs w:val="20"/>
              </w:rPr>
            </w:pPr>
            <w:proofErr w:type="spellStart"/>
            <w:r w:rsidRPr="00AB1EA9">
              <w:rPr>
                <w:rFonts w:ascii="Arial" w:hAnsi="Arial" w:cs="Arial"/>
                <w:sz w:val="20"/>
                <w:szCs w:val="20"/>
              </w:rPr>
              <w:t>Wortmann</w:t>
            </w:r>
            <w:proofErr w:type="spellEnd"/>
            <w:r w:rsidRPr="00AB1EA9">
              <w:rPr>
                <w:rFonts w:ascii="Arial" w:hAnsi="Arial" w:cs="Arial"/>
                <w:sz w:val="20"/>
                <w:szCs w:val="20"/>
              </w:rPr>
              <w:t xml:space="preserve">, R, P Macdonald, B Hunt, and R Jackson. “Effect of prophylaxis on gout flares after the initiation of </w:t>
            </w:r>
            <w:proofErr w:type="spellStart"/>
            <w:r w:rsidRPr="00AB1EA9">
              <w:rPr>
                <w:rFonts w:ascii="Arial" w:hAnsi="Arial" w:cs="Arial"/>
                <w:sz w:val="20"/>
                <w:szCs w:val="20"/>
              </w:rPr>
              <w:t>urate</w:t>
            </w:r>
            <w:proofErr w:type="spellEnd"/>
            <w:r w:rsidRPr="00AB1EA9">
              <w:rPr>
                <w:rFonts w:ascii="Arial" w:hAnsi="Arial" w:cs="Arial"/>
                <w:sz w:val="20"/>
                <w:szCs w:val="20"/>
              </w:rPr>
              <w:t xml:space="preserve">-lowering therapy: analysis of data from three phase III trials.” </w:t>
            </w:r>
          </w:p>
        </w:tc>
        <w:tc>
          <w:tcPr>
            <w:tcW w:w="2976" w:type="dxa"/>
          </w:tcPr>
          <w:p w:rsidR="00CB7C19" w:rsidRPr="00AB1EA9" w:rsidRDefault="00CB7C19" w:rsidP="00721B31">
            <w:pPr>
              <w:rPr>
                <w:rFonts w:ascii="Arial" w:hAnsi="Arial" w:cs="Arial"/>
                <w:sz w:val="20"/>
                <w:szCs w:val="20"/>
              </w:rPr>
            </w:pPr>
            <w:proofErr w:type="spellStart"/>
            <w:r w:rsidRPr="00AB1EA9">
              <w:rPr>
                <w:rFonts w:ascii="Arial" w:hAnsi="Arial" w:cs="Arial"/>
                <w:sz w:val="20"/>
                <w:szCs w:val="20"/>
              </w:rPr>
              <w:t>Clin</w:t>
            </w:r>
            <w:proofErr w:type="spellEnd"/>
            <w:r w:rsidRPr="00AB1EA9">
              <w:rPr>
                <w:rFonts w:ascii="Arial" w:hAnsi="Arial" w:cs="Arial"/>
                <w:sz w:val="20"/>
                <w:szCs w:val="20"/>
              </w:rPr>
              <w:t xml:space="preserve"> </w:t>
            </w:r>
            <w:proofErr w:type="spellStart"/>
            <w:r w:rsidRPr="00AB1EA9">
              <w:rPr>
                <w:rFonts w:ascii="Arial" w:hAnsi="Arial" w:cs="Arial"/>
                <w:sz w:val="20"/>
                <w:szCs w:val="20"/>
              </w:rPr>
              <w:t>Ther</w:t>
            </w:r>
            <w:proofErr w:type="spellEnd"/>
            <w:r w:rsidRPr="00AB1EA9">
              <w:rPr>
                <w:rFonts w:ascii="Arial" w:hAnsi="Arial" w:cs="Arial"/>
                <w:sz w:val="20"/>
                <w:szCs w:val="20"/>
              </w:rPr>
              <w:t>, 2010: Dec</w:t>
            </w:r>
            <w:proofErr w:type="gramStart"/>
            <w:r w:rsidRPr="00AB1EA9">
              <w:rPr>
                <w:rFonts w:ascii="Arial" w:hAnsi="Arial" w:cs="Arial"/>
                <w:sz w:val="20"/>
                <w:szCs w:val="20"/>
              </w:rPr>
              <w:t>;</w:t>
            </w:r>
            <w:proofErr w:type="gramEnd"/>
            <w:r w:rsidRPr="00AB1EA9">
              <w:rPr>
                <w:rFonts w:ascii="Arial" w:hAnsi="Arial" w:cs="Arial"/>
                <w:sz w:val="20"/>
                <w:szCs w:val="20"/>
              </w:rPr>
              <w:t xml:space="preserve"> 32(14):2386-97.</w:t>
            </w:r>
          </w:p>
        </w:tc>
      </w:tr>
      <w:tr w:rsidR="00CB7C19" w:rsidRPr="00AB1EA9" w:rsidTr="00446D91">
        <w:tc>
          <w:tcPr>
            <w:tcW w:w="1729" w:type="dxa"/>
            <w:vMerge/>
          </w:tcPr>
          <w:p w:rsidR="00CB7C19" w:rsidRPr="00AB1EA9" w:rsidRDefault="00CB7C19" w:rsidP="00721B31">
            <w:pPr>
              <w:rPr>
                <w:rFonts w:ascii="Arial" w:hAnsi="Arial" w:cs="Arial"/>
                <w:sz w:val="20"/>
                <w:szCs w:val="20"/>
              </w:rPr>
            </w:pPr>
          </w:p>
        </w:tc>
        <w:tc>
          <w:tcPr>
            <w:tcW w:w="4367" w:type="dxa"/>
            <w:vAlign w:val="center"/>
          </w:tcPr>
          <w:p w:rsidR="00CB7C19" w:rsidRPr="00AB1EA9" w:rsidRDefault="00CB7C19" w:rsidP="00721B31">
            <w:pPr>
              <w:rPr>
                <w:rFonts w:ascii="Arial" w:hAnsi="Arial" w:cs="Arial"/>
                <w:sz w:val="20"/>
                <w:szCs w:val="20"/>
              </w:rPr>
            </w:pPr>
            <w:proofErr w:type="spellStart"/>
            <w:proofErr w:type="gramStart"/>
            <w:r w:rsidRPr="00AB1EA9">
              <w:rPr>
                <w:rFonts w:ascii="Arial" w:hAnsi="Arial" w:cs="Arial"/>
                <w:sz w:val="20"/>
                <w:szCs w:val="20"/>
              </w:rPr>
              <w:t>Chohan</w:t>
            </w:r>
            <w:proofErr w:type="spellEnd"/>
            <w:r w:rsidRPr="00AB1EA9">
              <w:rPr>
                <w:rFonts w:ascii="Arial" w:hAnsi="Arial" w:cs="Arial"/>
                <w:sz w:val="20"/>
                <w:szCs w:val="20"/>
              </w:rPr>
              <w:t xml:space="preserve">, S, M Becker, P Macdonald, S </w:t>
            </w:r>
            <w:proofErr w:type="spellStart"/>
            <w:r w:rsidRPr="00AB1EA9">
              <w:rPr>
                <w:rFonts w:ascii="Arial" w:hAnsi="Arial" w:cs="Arial"/>
                <w:sz w:val="20"/>
                <w:szCs w:val="20"/>
              </w:rPr>
              <w:t>Chefo</w:t>
            </w:r>
            <w:proofErr w:type="spellEnd"/>
            <w:r w:rsidRPr="00AB1EA9">
              <w:rPr>
                <w:rFonts w:ascii="Arial" w:hAnsi="Arial" w:cs="Arial"/>
                <w:sz w:val="20"/>
                <w:szCs w:val="20"/>
              </w:rPr>
              <w:t>, and R Jackson.</w:t>
            </w:r>
            <w:proofErr w:type="gramEnd"/>
            <w:r w:rsidRPr="00AB1EA9">
              <w:rPr>
                <w:rFonts w:ascii="Arial" w:hAnsi="Arial" w:cs="Arial"/>
                <w:sz w:val="20"/>
                <w:szCs w:val="20"/>
              </w:rPr>
              <w:t xml:space="preserve"> “Women with gout: Efficacy and safety of </w:t>
            </w:r>
            <w:proofErr w:type="spellStart"/>
            <w:r w:rsidRPr="00AB1EA9">
              <w:rPr>
                <w:rFonts w:ascii="Arial" w:hAnsi="Arial" w:cs="Arial"/>
                <w:sz w:val="20"/>
                <w:szCs w:val="20"/>
              </w:rPr>
              <w:t>urate</w:t>
            </w:r>
            <w:proofErr w:type="spellEnd"/>
            <w:r w:rsidRPr="00AB1EA9">
              <w:rPr>
                <w:rFonts w:ascii="Arial" w:hAnsi="Arial" w:cs="Arial"/>
                <w:sz w:val="20"/>
                <w:szCs w:val="20"/>
              </w:rPr>
              <w:t xml:space="preserve">-lowering with febuxostat and allopurinol.” </w:t>
            </w:r>
          </w:p>
        </w:tc>
        <w:tc>
          <w:tcPr>
            <w:tcW w:w="2976" w:type="dxa"/>
          </w:tcPr>
          <w:p w:rsidR="00CB7C19" w:rsidRPr="00AB1EA9" w:rsidRDefault="00CB7C19" w:rsidP="00721B31">
            <w:pPr>
              <w:rPr>
                <w:rFonts w:ascii="Arial" w:hAnsi="Arial" w:cs="Arial"/>
                <w:sz w:val="20"/>
                <w:szCs w:val="20"/>
              </w:rPr>
            </w:pPr>
            <w:r w:rsidRPr="00AB1EA9">
              <w:rPr>
                <w:rFonts w:ascii="Arial" w:hAnsi="Arial" w:cs="Arial"/>
                <w:sz w:val="20"/>
                <w:szCs w:val="20"/>
              </w:rPr>
              <w:t>Arthritis Care Res (Hoboken), 2012: Feb</w:t>
            </w:r>
            <w:proofErr w:type="gramStart"/>
            <w:r w:rsidRPr="00AB1EA9">
              <w:rPr>
                <w:rFonts w:ascii="Arial" w:hAnsi="Arial" w:cs="Arial"/>
                <w:sz w:val="20"/>
                <w:szCs w:val="20"/>
              </w:rPr>
              <w:t>;64</w:t>
            </w:r>
            <w:proofErr w:type="gramEnd"/>
            <w:r w:rsidRPr="00AB1EA9">
              <w:rPr>
                <w:rFonts w:ascii="Arial" w:hAnsi="Arial" w:cs="Arial"/>
                <w:sz w:val="20"/>
                <w:szCs w:val="20"/>
              </w:rPr>
              <w:t>(2):256-61.</w:t>
            </w:r>
          </w:p>
        </w:tc>
      </w:tr>
      <w:tr w:rsidR="00CB7C19" w:rsidRPr="00AB1EA9" w:rsidTr="00446D91">
        <w:tc>
          <w:tcPr>
            <w:tcW w:w="9072" w:type="dxa"/>
            <w:gridSpan w:val="3"/>
          </w:tcPr>
          <w:p w:rsidR="00CB7C19" w:rsidRPr="00AB1EA9" w:rsidRDefault="00CB7C19" w:rsidP="00721B31">
            <w:pPr>
              <w:rPr>
                <w:rFonts w:ascii="Arial" w:hAnsi="Arial" w:cs="Arial"/>
                <w:b/>
                <w:sz w:val="20"/>
                <w:szCs w:val="20"/>
              </w:rPr>
            </w:pPr>
            <w:r w:rsidRPr="00AB1EA9">
              <w:rPr>
                <w:rFonts w:ascii="Arial" w:hAnsi="Arial" w:cs="Arial"/>
                <w:b/>
                <w:sz w:val="20"/>
                <w:szCs w:val="20"/>
              </w:rPr>
              <w:t>Supplementary studies</w:t>
            </w:r>
          </w:p>
        </w:tc>
      </w:tr>
      <w:tr w:rsidR="00CB7C19" w:rsidRPr="00AB1EA9" w:rsidTr="00446D91">
        <w:tc>
          <w:tcPr>
            <w:tcW w:w="1729" w:type="dxa"/>
            <w:vMerge w:val="restart"/>
          </w:tcPr>
          <w:p w:rsidR="00CB7C19" w:rsidRPr="00AB1EA9" w:rsidRDefault="00CB7C19" w:rsidP="00721B31">
            <w:pPr>
              <w:rPr>
                <w:rFonts w:ascii="Arial" w:hAnsi="Arial" w:cs="Arial"/>
                <w:sz w:val="20"/>
                <w:szCs w:val="20"/>
              </w:rPr>
            </w:pPr>
            <w:r w:rsidRPr="00AB1EA9">
              <w:rPr>
                <w:rFonts w:ascii="Arial" w:hAnsi="Arial" w:cs="Arial"/>
                <w:sz w:val="20"/>
                <w:szCs w:val="20"/>
              </w:rPr>
              <w:t>EXCEL</w:t>
            </w:r>
          </w:p>
          <w:p w:rsidR="00CB7C19" w:rsidRPr="00AB1EA9" w:rsidRDefault="00CB7C19" w:rsidP="00721B31">
            <w:pPr>
              <w:rPr>
                <w:rFonts w:ascii="Arial" w:hAnsi="Arial" w:cs="Arial"/>
                <w:sz w:val="20"/>
                <w:szCs w:val="20"/>
              </w:rPr>
            </w:pPr>
            <w:r w:rsidRPr="00AB1EA9">
              <w:rPr>
                <w:rFonts w:ascii="Arial" w:hAnsi="Arial" w:cs="Arial"/>
                <w:sz w:val="20"/>
                <w:szCs w:val="20"/>
              </w:rPr>
              <w:t>(Extension trial of APEX and FACT)</w:t>
            </w:r>
          </w:p>
        </w:tc>
        <w:tc>
          <w:tcPr>
            <w:tcW w:w="4367" w:type="dxa"/>
            <w:vAlign w:val="center"/>
          </w:tcPr>
          <w:p w:rsidR="00CB7C19" w:rsidRPr="00AB1EA9" w:rsidRDefault="00CB7C19" w:rsidP="00721B31">
            <w:pPr>
              <w:rPr>
                <w:rFonts w:ascii="Arial" w:hAnsi="Arial" w:cs="Arial"/>
                <w:b/>
                <w:sz w:val="20"/>
                <w:szCs w:val="20"/>
              </w:rPr>
            </w:pPr>
            <w:proofErr w:type="gramStart"/>
            <w:r w:rsidRPr="00AB1EA9">
              <w:rPr>
                <w:rFonts w:ascii="Arial" w:hAnsi="Arial" w:cs="Arial"/>
                <w:sz w:val="20"/>
                <w:szCs w:val="20"/>
              </w:rPr>
              <w:t>Allopurinol Versus Febuxostat in Patients Completing the Phase 3 Trials C02-009 and C02-010 (EXCEL).</w:t>
            </w:r>
            <w:proofErr w:type="gramEnd"/>
          </w:p>
        </w:tc>
        <w:tc>
          <w:tcPr>
            <w:tcW w:w="2976" w:type="dxa"/>
          </w:tcPr>
          <w:p w:rsidR="00CB7C19" w:rsidRPr="00AB1EA9" w:rsidRDefault="00CB7C19" w:rsidP="00721B31">
            <w:pPr>
              <w:rPr>
                <w:rFonts w:ascii="Arial" w:hAnsi="Arial" w:cs="Arial"/>
                <w:sz w:val="20"/>
                <w:szCs w:val="20"/>
              </w:rPr>
            </w:pPr>
            <w:r w:rsidRPr="00AB1EA9">
              <w:rPr>
                <w:rFonts w:ascii="Arial" w:hAnsi="Arial" w:cs="Arial"/>
                <w:sz w:val="20"/>
                <w:szCs w:val="20"/>
              </w:rPr>
              <w:t>6 March 2008</w:t>
            </w:r>
          </w:p>
        </w:tc>
      </w:tr>
      <w:tr w:rsidR="00CB7C19" w:rsidRPr="00AB1EA9" w:rsidTr="00446D91">
        <w:tc>
          <w:tcPr>
            <w:tcW w:w="1729" w:type="dxa"/>
            <w:vMerge/>
          </w:tcPr>
          <w:p w:rsidR="00CB7C19" w:rsidRPr="00AB1EA9" w:rsidRDefault="00CB7C19" w:rsidP="00721B31">
            <w:pPr>
              <w:rPr>
                <w:rFonts w:ascii="Arial" w:hAnsi="Arial" w:cs="Arial"/>
                <w:sz w:val="20"/>
                <w:szCs w:val="20"/>
              </w:rPr>
            </w:pPr>
          </w:p>
        </w:tc>
        <w:tc>
          <w:tcPr>
            <w:tcW w:w="4367" w:type="dxa"/>
            <w:vAlign w:val="center"/>
          </w:tcPr>
          <w:p w:rsidR="00CB7C19" w:rsidRPr="00AB1EA9" w:rsidRDefault="00CB7C19" w:rsidP="00721B31">
            <w:pPr>
              <w:rPr>
                <w:rFonts w:ascii="Arial" w:hAnsi="Arial" w:cs="Arial"/>
                <w:sz w:val="20"/>
                <w:szCs w:val="20"/>
              </w:rPr>
            </w:pPr>
            <w:proofErr w:type="gramStart"/>
            <w:r w:rsidRPr="00AB1EA9">
              <w:rPr>
                <w:rFonts w:ascii="Arial" w:hAnsi="Arial" w:cs="Arial"/>
                <w:sz w:val="20"/>
                <w:szCs w:val="20"/>
              </w:rPr>
              <w:t xml:space="preserve">Becker, M, H Schumacher, P MacDonald, E Lloyd, and C </w:t>
            </w:r>
            <w:proofErr w:type="spellStart"/>
            <w:r w:rsidRPr="00AB1EA9">
              <w:rPr>
                <w:rFonts w:ascii="Arial" w:hAnsi="Arial" w:cs="Arial"/>
                <w:sz w:val="20"/>
                <w:szCs w:val="20"/>
              </w:rPr>
              <w:t>Lademacher</w:t>
            </w:r>
            <w:proofErr w:type="spellEnd"/>
            <w:r w:rsidRPr="00AB1EA9">
              <w:rPr>
                <w:rFonts w:ascii="Arial" w:hAnsi="Arial" w:cs="Arial"/>
                <w:sz w:val="20"/>
                <w:szCs w:val="20"/>
              </w:rPr>
              <w:t>.</w:t>
            </w:r>
            <w:proofErr w:type="gramEnd"/>
            <w:r w:rsidRPr="00AB1EA9">
              <w:rPr>
                <w:rFonts w:ascii="Arial" w:hAnsi="Arial" w:cs="Arial"/>
                <w:sz w:val="20"/>
                <w:szCs w:val="20"/>
              </w:rPr>
              <w:t xml:space="preserve"> “Clinical efficacy and safety of successful </w:t>
            </w:r>
            <w:proofErr w:type="spellStart"/>
            <w:r w:rsidRPr="00AB1EA9">
              <w:rPr>
                <w:rFonts w:ascii="Arial" w:hAnsi="Arial" w:cs="Arial"/>
                <w:sz w:val="20"/>
                <w:szCs w:val="20"/>
              </w:rPr>
              <w:t>longterm</w:t>
            </w:r>
            <w:proofErr w:type="spellEnd"/>
            <w:r w:rsidRPr="00AB1EA9">
              <w:rPr>
                <w:rFonts w:ascii="Arial" w:hAnsi="Arial" w:cs="Arial"/>
                <w:sz w:val="20"/>
                <w:szCs w:val="20"/>
              </w:rPr>
              <w:t xml:space="preserve"> </w:t>
            </w:r>
            <w:proofErr w:type="spellStart"/>
            <w:r w:rsidRPr="00AB1EA9">
              <w:rPr>
                <w:rFonts w:ascii="Arial" w:hAnsi="Arial" w:cs="Arial"/>
                <w:sz w:val="20"/>
                <w:szCs w:val="20"/>
              </w:rPr>
              <w:t>urate</w:t>
            </w:r>
            <w:proofErr w:type="spellEnd"/>
            <w:r w:rsidRPr="00AB1EA9">
              <w:rPr>
                <w:rFonts w:ascii="Arial" w:hAnsi="Arial" w:cs="Arial"/>
                <w:sz w:val="20"/>
                <w:szCs w:val="20"/>
              </w:rPr>
              <w:t xml:space="preserve"> lowering with febuxostat or allopurinol in subjects with gout.” </w:t>
            </w:r>
          </w:p>
        </w:tc>
        <w:tc>
          <w:tcPr>
            <w:tcW w:w="2976" w:type="dxa"/>
          </w:tcPr>
          <w:p w:rsidR="00CB7C19" w:rsidRPr="00AB1EA9" w:rsidRDefault="00CB7C19" w:rsidP="00721B31">
            <w:pPr>
              <w:rPr>
                <w:rFonts w:ascii="Arial" w:hAnsi="Arial" w:cs="Arial"/>
                <w:sz w:val="20"/>
                <w:szCs w:val="20"/>
              </w:rPr>
            </w:pPr>
            <w:r w:rsidRPr="00AB1EA9">
              <w:rPr>
                <w:rFonts w:ascii="Arial" w:hAnsi="Arial" w:cs="Arial"/>
                <w:sz w:val="20"/>
                <w:szCs w:val="20"/>
              </w:rPr>
              <w:t xml:space="preserve">J </w:t>
            </w:r>
            <w:proofErr w:type="spellStart"/>
            <w:r w:rsidRPr="00AB1EA9">
              <w:rPr>
                <w:rFonts w:ascii="Arial" w:hAnsi="Arial" w:cs="Arial"/>
                <w:sz w:val="20"/>
                <w:szCs w:val="20"/>
              </w:rPr>
              <w:t>Rheumatol</w:t>
            </w:r>
            <w:proofErr w:type="spellEnd"/>
            <w:r w:rsidRPr="00AB1EA9">
              <w:rPr>
                <w:rFonts w:ascii="Arial" w:hAnsi="Arial" w:cs="Arial"/>
                <w:sz w:val="20"/>
                <w:szCs w:val="20"/>
              </w:rPr>
              <w:t>, 2009: Jun</w:t>
            </w:r>
            <w:proofErr w:type="gramStart"/>
            <w:r w:rsidRPr="00AB1EA9">
              <w:rPr>
                <w:rFonts w:ascii="Arial" w:hAnsi="Arial" w:cs="Arial"/>
                <w:sz w:val="20"/>
                <w:szCs w:val="20"/>
              </w:rPr>
              <w:t>;36</w:t>
            </w:r>
            <w:proofErr w:type="gramEnd"/>
            <w:r w:rsidRPr="00AB1EA9">
              <w:rPr>
                <w:rFonts w:ascii="Arial" w:hAnsi="Arial" w:cs="Arial"/>
                <w:sz w:val="20"/>
                <w:szCs w:val="20"/>
              </w:rPr>
              <w:t xml:space="preserve">(6):1273-82. </w:t>
            </w:r>
            <w:proofErr w:type="spellStart"/>
            <w:r w:rsidRPr="00AB1EA9">
              <w:rPr>
                <w:rFonts w:ascii="Arial" w:hAnsi="Arial" w:cs="Arial"/>
                <w:sz w:val="20"/>
                <w:szCs w:val="20"/>
              </w:rPr>
              <w:t>Epub</w:t>
            </w:r>
            <w:proofErr w:type="spellEnd"/>
            <w:r w:rsidRPr="00AB1EA9">
              <w:rPr>
                <w:rFonts w:ascii="Arial" w:hAnsi="Arial" w:cs="Arial"/>
                <w:sz w:val="20"/>
                <w:szCs w:val="20"/>
              </w:rPr>
              <w:t xml:space="preserve"> 2009 Mar 13.</w:t>
            </w:r>
          </w:p>
        </w:tc>
      </w:tr>
      <w:tr w:rsidR="00CB7C19" w:rsidRPr="00AB1EA9" w:rsidTr="00446D91">
        <w:tc>
          <w:tcPr>
            <w:tcW w:w="1729" w:type="dxa"/>
            <w:vMerge/>
          </w:tcPr>
          <w:p w:rsidR="00CB7C19" w:rsidRPr="00AB1EA9" w:rsidRDefault="00CB7C19" w:rsidP="00721B31">
            <w:pPr>
              <w:rPr>
                <w:rFonts w:ascii="Arial" w:hAnsi="Arial" w:cs="Arial"/>
                <w:sz w:val="20"/>
                <w:szCs w:val="20"/>
              </w:rPr>
            </w:pPr>
          </w:p>
        </w:tc>
        <w:tc>
          <w:tcPr>
            <w:tcW w:w="4367" w:type="dxa"/>
            <w:vAlign w:val="center"/>
          </w:tcPr>
          <w:p w:rsidR="00CB7C19" w:rsidRPr="00AB1EA9" w:rsidRDefault="00CB7C19" w:rsidP="00721B31">
            <w:pPr>
              <w:rPr>
                <w:rFonts w:ascii="Arial" w:hAnsi="Arial" w:cs="Arial"/>
                <w:sz w:val="20"/>
                <w:szCs w:val="20"/>
              </w:rPr>
            </w:pPr>
            <w:proofErr w:type="spellStart"/>
            <w:proofErr w:type="gramStart"/>
            <w:r w:rsidRPr="00AB1EA9">
              <w:rPr>
                <w:rFonts w:ascii="Arial" w:hAnsi="Arial" w:cs="Arial"/>
                <w:sz w:val="20"/>
                <w:szCs w:val="20"/>
              </w:rPr>
              <w:t>Whelton</w:t>
            </w:r>
            <w:proofErr w:type="spellEnd"/>
            <w:r w:rsidRPr="00AB1EA9">
              <w:rPr>
                <w:rFonts w:ascii="Arial" w:hAnsi="Arial" w:cs="Arial"/>
                <w:sz w:val="20"/>
                <w:szCs w:val="20"/>
              </w:rPr>
              <w:t xml:space="preserve">, A, P MacDonald, S </w:t>
            </w:r>
            <w:proofErr w:type="spellStart"/>
            <w:r w:rsidRPr="00AB1EA9">
              <w:rPr>
                <w:rFonts w:ascii="Arial" w:hAnsi="Arial" w:cs="Arial"/>
                <w:sz w:val="20"/>
                <w:szCs w:val="20"/>
              </w:rPr>
              <w:t>Chefo</w:t>
            </w:r>
            <w:proofErr w:type="spellEnd"/>
            <w:r w:rsidRPr="00AB1EA9">
              <w:rPr>
                <w:rFonts w:ascii="Arial" w:hAnsi="Arial" w:cs="Arial"/>
                <w:sz w:val="20"/>
                <w:szCs w:val="20"/>
              </w:rPr>
              <w:t xml:space="preserve">, and L </w:t>
            </w:r>
            <w:proofErr w:type="spellStart"/>
            <w:r w:rsidRPr="00AB1EA9">
              <w:rPr>
                <w:rFonts w:ascii="Arial" w:hAnsi="Arial" w:cs="Arial"/>
                <w:sz w:val="20"/>
                <w:szCs w:val="20"/>
              </w:rPr>
              <w:t>Gunawardhana</w:t>
            </w:r>
            <w:proofErr w:type="spellEnd"/>
            <w:r w:rsidRPr="00AB1EA9">
              <w:rPr>
                <w:rFonts w:ascii="Arial" w:hAnsi="Arial" w:cs="Arial"/>
                <w:sz w:val="20"/>
                <w:szCs w:val="20"/>
              </w:rPr>
              <w:t>.</w:t>
            </w:r>
            <w:proofErr w:type="gramEnd"/>
            <w:r w:rsidRPr="00AB1EA9">
              <w:rPr>
                <w:rFonts w:ascii="Arial" w:hAnsi="Arial" w:cs="Arial"/>
                <w:sz w:val="20"/>
                <w:szCs w:val="20"/>
              </w:rPr>
              <w:t xml:space="preserve"> “Preservation of renal function during gout treatment with febuxostat: a quantitative study.” </w:t>
            </w:r>
          </w:p>
        </w:tc>
        <w:tc>
          <w:tcPr>
            <w:tcW w:w="2976" w:type="dxa"/>
          </w:tcPr>
          <w:p w:rsidR="00CB7C19" w:rsidRPr="00AB1EA9" w:rsidRDefault="00CB7C19" w:rsidP="00721B31">
            <w:pPr>
              <w:rPr>
                <w:rFonts w:ascii="Arial" w:hAnsi="Arial" w:cs="Arial"/>
                <w:sz w:val="20"/>
                <w:szCs w:val="20"/>
              </w:rPr>
            </w:pPr>
            <w:r w:rsidRPr="00AB1EA9">
              <w:rPr>
                <w:rFonts w:ascii="Arial" w:hAnsi="Arial" w:cs="Arial"/>
                <w:sz w:val="20"/>
                <w:szCs w:val="20"/>
              </w:rPr>
              <w:t>Postgraduate Medicine, 2013: 125(1):106-14.</w:t>
            </w:r>
          </w:p>
        </w:tc>
      </w:tr>
      <w:tr w:rsidR="00CB7C19" w:rsidRPr="00AB1EA9" w:rsidTr="00446D91">
        <w:tc>
          <w:tcPr>
            <w:tcW w:w="1729" w:type="dxa"/>
            <w:vMerge w:val="restart"/>
          </w:tcPr>
          <w:p w:rsidR="00CB7C19" w:rsidRPr="00AB1EA9" w:rsidRDefault="00CB7C19" w:rsidP="00721B31">
            <w:pPr>
              <w:rPr>
                <w:rFonts w:ascii="Arial" w:hAnsi="Arial" w:cs="Arial"/>
                <w:sz w:val="20"/>
                <w:szCs w:val="20"/>
              </w:rPr>
            </w:pPr>
            <w:r w:rsidRPr="00AB1EA9">
              <w:rPr>
                <w:rFonts w:ascii="Arial" w:hAnsi="Arial" w:cs="Arial"/>
                <w:sz w:val="20"/>
                <w:szCs w:val="20"/>
              </w:rPr>
              <w:t>CONFIRMS</w:t>
            </w:r>
          </w:p>
          <w:p w:rsidR="00CB7C19" w:rsidRPr="00AB1EA9" w:rsidRDefault="00CB7C19" w:rsidP="00721B31">
            <w:pPr>
              <w:rPr>
                <w:rFonts w:ascii="Arial" w:hAnsi="Arial" w:cs="Arial"/>
                <w:sz w:val="20"/>
                <w:szCs w:val="20"/>
              </w:rPr>
            </w:pPr>
            <w:r w:rsidRPr="00AB1EA9">
              <w:rPr>
                <w:rFonts w:ascii="Arial" w:hAnsi="Arial" w:cs="Arial"/>
                <w:sz w:val="20"/>
                <w:szCs w:val="20"/>
              </w:rPr>
              <w:t>(Extension study of EXCEL and FOCUS)</w:t>
            </w:r>
          </w:p>
        </w:tc>
        <w:tc>
          <w:tcPr>
            <w:tcW w:w="4367" w:type="dxa"/>
            <w:vAlign w:val="center"/>
          </w:tcPr>
          <w:p w:rsidR="00CB7C19" w:rsidRPr="00AB1EA9" w:rsidRDefault="00CB7C19" w:rsidP="00721B31">
            <w:pPr>
              <w:rPr>
                <w:rFonts w:ascii="Arial" w:hAnsi="Arial" w:cs="Arial"/>
                <w:sz w:val="20"/>
                <w:szCs w:val="20"/>
              </w:rPr>
            </w:pPr>
            <w:r w:rsidRPr="00AB1EA9">
              <w:rPr>
                <w:rFonts w:ascii="Arial" w:hAnsi="Arial" w:cs="Arial"/>
                <w:sz w:val="20"/>
                <w:szCs w:val="20"/>
              </w:rPr>
              <w:t>A Phase 3, Randomized, Multicenter, Double-Blind, Allopurinol-Controlled Study Assessing the Safety and Efficacy of Oral Febuxostat in Patients with Gout</w:t>
            </w:r>
          </w:p>
        </w:tc>
        <w:tc>
          <w:tcPr>
            <w:tcW w:w="2976" w:type="dxa"/>
          </w:tcPr>
          <w:p w:rsidR="00CB7C19" w:rsidRPr="00AB1EA9" w:rsidRDefault="00CB7C19" w:rsidP="00721B31">
            <w:pPr>
              <w:rPr>
                <w:rFonts w:ascii="Arial" w:hAnsi="Arial" w:cs="Arial"/>
                <w:sz w:val="20"/>
                <w:szCs w:val="20"/>
              </w:rPr>
            </w:pPr>
            <w:r w:rsidRPr="00AB1EA9">
              <w:rPr>
                <w:rFonts w:ascii="Arial" w:hAnsi="Arial" w:cs="Arial"/>
                <w:sz w:val="20"/>
                <w:szCs w:val="20"/>
              </w:rPr>
              <w:t>27 June 2008</w:t>
            </w:r>
          </w:p>
        </w:tc>
      </w:tr>
      <w:tr w:rsidR="00CB7C19" w:rsidRPr="00AB1EA9" w:rsidTr="00F047AD">
        <w:trPr>
          <w:cantSplit/>
        </w:trPr>
        <w:tc>
          <w:tcPr>
            <w:tcW w:w="1729" w:type="dxa"/>
            <w:vMerge/>
          </w:tcPr>
          <w:p w:rsidR="00CB7C19" w:rsidRPr="00AB1EA9" w:rsidRDefault="00CB7C19" w:rsidP="00721B31">
            <w:pPr>
              <w:rPr>
                <w:rFonts w:ascii="Arial" w:hAnsi="Arial" w:cs="Arial"/>
                <w:sz w:val="20"/>
                <w:szCs w:val="20"/>
              </w:rPr>
            </w:pPr>
          </w:p>
        </w:tc>
        <w:tc>
          <w:tcPr>
            <w:tcW w:w="4367" w:type="dxa"/>
            <w:vAlign w:val="center"/>
          </w:tcPr>
          <w:p w:rsidR="00CB7C19" w:rsidRPr="00AB1EA9" w:rsidRDefault="00CB7C19" w:rsidP="00721B31">
            <w:pPr>
              <w:rPr>
                <w:rFonts w:ascii="Arial" w:hAnsi="Arial" w:cs="Arial"/>
                <w:sz w:val="20"/>
                <w:szCs w:val="20"/>
              </w:rPr>
            </w:pPr>
            <w:r w:rsidRPr="00AB1EA9">
              <w:rPr>
                <w:rFonts w:ascii="Arial" w:hAnsi="Arial" w:cs="Arial"/>
                <w:sz w:val="20"/>
                <w:szCs w:val="20"/>
              </w:rPr>
              <w:t xml:space="preserve">Becker, M, et al. “The </w:t>
            </w:r>
            <w:proofErr w:type="spellStart"/>
            <w:r w:rsidRPr="00AB1EA9">
              <w:rPr>
                <w:rFonts w:ascii="Arial" w:hAnsi="Arial" w:cs="Arial"/>
                <w:sz w:val="20"/>
                <w:szCs w:val="20"/>
              </w:rPr>
              <w:t>urate</w:t>
            </w:r>
            <w:proofErr w:type="spellEnd"/>
            <w:r w:rsidRPr="00AB1EA9">
              <w:rPr>
                <w:rFonts w:ascii="Arial" w:hAnsi="Arial" w:cs="Arial"/>
                <w:sz w:val="20"/>
                <w:szCs w:val="20"/>
              </w:rPr>
              <w:t xml:space="preserve">-lowering efficacy and safety of febuxostat in the treatment of the </w:t>
            </w:r>
            <w:proofErr w:type="spellStart"/>
            <w:r w:rsidRPr="00AB1EA9">
              <w:rPr>
                <w:rFonts w:ascii="Arial" w:hAnsi="Arial" w:cs="Arial"/>
                <w:sz w:val="20"/>
                <w:szCs w:val="20"/>
              </w:rPr>
              <w:t>hyperuricemia</w:t>
            </w:r>
            <w:proofErr w:type="spellEnd"/>
            <w:r w:rsidRPr="00AB1EA9">
              <w:rPr>
                <w:rFonts w:ascii="Arial" w:hAnsi="Arial" w:cs="Arial"/>
                <w:sz w:val="20"/>
                <w:szCs w:val="20"/>
              </w:rPr>
              <w:t xml:space="preserve"> of gout: the CONFIRMS trial.” </w:t>
            </w:r>
          </w:p>
        </w:tc>
        <w:tc>
          <w:tcPr>
            <w:tcW w:w="2976" w:type="dxa"/>
          </w:tcPr>
          <w:p w:rsidR="00CB7C19" w:rsidRPr="00AB1EA9" w:rsidRDefault="00CB7C19" w:rsidP="00721B31">
            <w:pPr>
              <w:rPr>
                <w:rFonts w:ascii="Arial" w:hAnsi="Arial" w:cs="Arial"/>
                <w:sz w:val="20"/>
                <w:szCs w:val="20"/>
              </w:rPr>
            </w:pPr>
            <w:r w:rsidRPr="00AB1EA9">
              <w:rPr>
                <w:rFonts w:ascii="Arial" w:hAnsi="Arial" w:cs="Arial"/>
                <w:sz w:val="20"/>
                <w:szCs w:val="20"/>
              </w:rPr>
              <w:t xml:space="preserve">Arthritis Res </w:t>
            </w:r>
            <w:proofErr w:type="spellStart"/>
            <w:r w:rsidRPr="00AB1EA9">
              <w:rPr>
                <w:rFonts w:ascii="Arial" w:hAnsi="Arial" w:cs="Arial"/>
                <w:sz w:val="20"/>
                <w:szCs w:val="20"/>
              </w:rPr>
              <w:t>Ther</w:t>
            </w:r>
            <w:proofErr w:type="spellEnd"/>
            <w:r w:rsidRPr="00AB1EA9">
              <w:rPr>
                <w:rFonts w:ascii="Arial" w:hAnsi="Arial" w:cs="Arial"/>
                <w:sz w:val="20"/>
                <w:szCs w:val="20"/>
              </w:rPr>
              <w:t>, 2010: Apr 6</w:t>
            </w:r>
            <w:proofErr w:type="gramStart"/>
            <w:r w:rsidRPr="00AB1EA9">
              <w:rPr>
                <w:rFonts w:ascii="Arial" w:hAnsi="Arial" w:cs="Arial"/>
                <w:sz w:val="20"/>
                <w:szCs w:val="20"/>
              </w:rPr>
              <w:t>;12</w:t>
            </w:r>
            <w:proofErr w:type="gramEnd"/>
            <w:r w:rsidRPr="00AB1EA9">
              <w:rPr>
                <w:rFonts w:ascii="Arial" w:hAnsi="Arial" w:cs="Arial"/>
                <w:sz w:val="20"/>
                <w:szCs w:val="20"/>
              </w:rPr>
              <w:t>(2):R63.</w:t>
            </w:r>
          </w:p>
        </w:tc>
      </w:tr>
      <w:tr w:rsidR="00CB7C19" w:rsidRPr="00AB1EA9" w:rsidTr="00446D91">
        <w:tc>
          <w:tcPr>
            <w:tcW w:w="1729" w:type="dxa"/>
            <w:vMerge/>
          </w:tcPr>
          <w:p w:rsidR="00CB7C19" w:rsidRPr="00AB1EA9" w:rsidRDefault="00CB7C19" w:rsidP="00721B31">
            <w:pPr>
              <w:rPr>
                <w:rFonts w:ascii="Arial" w:hAnsi="Arial" w:cs="Arial"/>
                <w:sz w:val="20"/>
                <w:szCs w:val="20"/>
              </w:rPr>
            </w:pPr>
          </w:p>
        </w:tc>
        <w:tc>
          <w:tcPr>
            <w:tcW w:w="4367" w:type="dxa"/>
            <w:vAlign w:val="center"/>
          </w:tcPr>
          <w:p w:rsidR="00CB7C19" w:rsidRPr="00AB1EA9" w:rsidRDefault="00CB7C19" w:rsidP="00721B31">
            <w:pPr>
              <w:rPr>
                <w:rFonts w:ascii="Arial" w:hAnsi="Arial" w:cs="Arial"/>
                <w:sz w:val="20"/>
                <w:szCs w:val="20"/>
              </w:rPr>
            </w:pPr>
            <w:r w:rsidRPr="00AB1EA9">
              <w:rPr>
                <w:rFonts w:ascii="Arial" w:hAnsi="Arial" w:cs="Arial"/>
                <w:sz w:val="20"/>
                <w:szCs w:val="20"/>
              </w:rPr>
              <w:t xml:space="preserve">Becker, M, P MacDonald, B Hunt, and L </w:t>
            </w:r>
            <w:proofErr w:type="spellStart"/>
            <w:r w:rsidRPr="00AB1EA9">
              <w:rPr>
                <w:rFonts w:ascii="Arial" w:hAnsi="Arial" w:cs="Arial"/>
                <w:sz w:val="20"/>
                <w:szCs w:val="20"/>
              </w:rPr>
              <w:t>Gunawardhana</w:t>
            </w:r>
            <w:proofErr w:type="spellEnd"/>
            <w:r w:rsidRPr="00AB1EA9">
              <w:rPr>
                <w:rFonts w:ascii="Arial" w:hAnsi="Arial" w:cs="Arial"/>
                <w:sz w:val="20"/>
                <w:szCs w:val="20"/>
              </w:rPr>
              <w:t xml:space="preserve">. “Treating </w:t>
            </w:r>
            <w:proofErr w:type="spellStart"/>
            <w:r w:rsidRPr="00AB1EA9">
              <w:rPr>
                <w:rFonts w:ascii="Arial" w:hAnsi="Arial" w:cs="Arial"/>
                <w:sz w:val="20"/>
                <w:szCs w:val="20"/>
              </w:rPr>
              <w:t>hyperuricemia</w:t>
            </w:r>
            <w:proofErr w:type="spellEnd"/>
            <w:r w:rsidRPr="00AB1EA9">
              <w:rPr>
                <w:rFonts w:ascii="Arial" w:hAnsi="Arial" w:cs="Arial"/>
                <w:sz w:val="20"/>
                <w:szCs w:val="20"/>
              </w:rPr>
              <w:t xml:space="preserve"> of gout: safety and efficacy of febuxostat and allopurinol in older versus younger subjects.” </w:t>
            </w:r>
          </w:p>
        </w:tc>
        <w:tc>
          <w:tcPr>
            <w:tcW w:w="2976" w:type="dxa"/>
          </w:tcPr>
          <w:p w:rsidR="00CB7C19" w:rsidRPr="00AB1EA9" w:rsidRDefault="00CB7C19" w:rsidP="00721B31">
            <w:pPr>
              <w:rPr>
                <w:rFonts w:ascii="Arial" w:hAnsi="Arial" w:cs="Arial"/>
                <w:sz w:val="20"/>
                <w:szCs w:val="20"/>
              </w:rPr>
            </w:pPr>
            <w:r w:rsidRPr="00AB1EA9">
              <w:rPr>
                <w:rFonts w:ascii="Arial" w:hAnsi="Arial" w:cs="Arial"/>
                <w:sz w:val="20"/>
                <w:szCs w:val="20"/>
              </w:rPr>
              <w:t>Nucleosides Nucleotides Nucleic Acids, 2011: Dec</w:t>
            </w:r>
            <w:proofErr w:type="gramStart"/>
            <w:r w:rsidRPr="00AB1EA9">
              <w:rPr>
                <w:rFonts w:ascii="Arial" w:hAnsi="Arial" w:cs="Arial"/>
                <w:sz w:val="20"/>
                <w:szCs w:val="20"/>
              </w:rPr>
              <w:t>;30</w:t>
            </w:r>
            <w:proofErr w:type="gramEnd"/>
            <w:r w:rsidRPr="00AB1EA9">
              <w:rPr>
                <w:rFonts w:ascii="Arial" w:hAnsi="Arial" w:cs="Arial"/>
                <w:sz w:val="20"/>
                <w:szCs w:val="20"/>
              </w:rPr>
              <w:t>(12):1011-7.</w:t>
            </w:r>
          </w:p>
        </w:tc>
      </w:tr>
      <w:tr w:rsidR="00CB7C19" w:rsidRPr="00AB1EA9" w:rsidTr="00446D91">
        <w:tc>
          <w:tcPr>
            <w:tcW w:w="1729" w:type="dxa"/>
            <w:vMerge/>
          </w:tcPr>
          <w:p w:rsidR="00CB7C19" w:rsidRPr="00AB1EA9" w:rsidRDefault="00CB7C19" w:rsidP="00721B31">
            <w:pPr>
              <w:rPr>
                <w:rFonts w:ascii="Arial" w:hAnsi="Arial" w:cs="Arial"/>
                <w:sz w:val="20"/>
                <w:szCs w:val="20"/>
              </w:rPr>
            </w:pPr>
          </w:p>
        </w:tc>
        <w:tc>
          <w:tcPr>
            <w:tcW w:w="4367" w:type="dxa"/>
            <w:vAlign w:val="center"/>
          </w:tcPr>
          <w:p w:rsidR="00CB7C19" w:rsidRPr="00AB1EA9" w:rsidRDefault="00CB7C19" w:rsidP="00721B31">
            <w:pPr>
              <w:rPr>
                <w:rFonts w:ascii="Arial" w:hAnsi="Arial" w:cs="Arial"/>
                <w:sz w:val="20"/>
                <w:szCs w:val="20"/>
              </w:rPr>
            </w:pPr>
            <w:r w:rsidRPr="00AB1EA9">
              <w:rPr>
                <w:rFonts w:ascii="Arial" w:hAnsi="Arial" w:cs="Arial"/>
                <w:sz w:val="20"/>
                <w:szCs w:val="20"/>
              </w:rPr>
              <w:t xml:space="preserve">Jackson, R, B Hunt, and P MacDonald. “The efficacy and safety of febuxostat for </w:t>
            </w:r>
            <w:proofErr w:type="spellStart"/>
            <w:r w:rsidRPr="00AB1EA9">
              <w:rPr>
                <w:rFonts w:ascii="Arial" w:hAnsi="Arial" w:cs="Arial"/>
                <w:sz w:val="20"/>
                <w:szCs w:val="20"/>
              </w:rPr>
              <w:t>urate</w:t>
            </w:r>
            <w:proofErr w:type="spellEnd"/>
            <w:r w:rsidRPr="00AB1EA9">
              <w:rPr>
                <w:rFonts w:ascii="Arial" w:hAnsi="Arial" w:cs="Arial"/>
                <w:sz w:val="20"/>
                <w:szCs w:val="20"/>
              </w:rPr>
              <w:t xml:space="preserve"> lowering in gout </w:t>
            </w:r>
            <w:proofErr w:type="gramStart"/>
            <w:r w:rsidRPr="00AB1EA9">
              <w:rPr>
                <w:rFonts w:ascii="Arial" w:hAnsi="Arial" w:cs="Arial"/>
                <w:sz w:val="20"/>
                <w:szCs w:val="20"/>
              </w:rPr>
              <w:t>patients</w:t>
            </w:r>
            <w:proofErr w:type="gramEnd"/>
            <w:r w:rsidRPr="00AB1EA9">
              <w:rPr>
                <w:rFonts w:ascii="Arial" w:hAnsi="Arial" w:cs="Arial"/>
                <w:sz w:val="20"/>
                <w:szCs w:val="20"/>
              </w:rPr>
              <w:t xml:space="preserve"> ≥65 years of age.” </w:t>
            </w:r>
          </w:p>
        </w:tc>
        <w:tc>
          <w:tcPr>
            <w:tcW w:w="2976" w:type="dxa"/>
          </w:tcPr>
          <w:p w:rsidR="00CB7C19" w:rsidRPr="00AB1EA9" w:rsidRDefault="00CB7C19" w:rsidP="00721B31">
            <w:pPr>
              <w:rPr>
                <w:rFonts w:ascii="Arial" w:hAnsi="Arial" w:cs="Arial"/>
                <w:sz w:val="20"/>
                <w:szCs w:val="20"/>
              </w:rPr>
            </w:pPr>
            <w:r w:rsidRPr="00AB1EA9">
              <w:rPr>
                <w:rFonts w:ascii="Arial" w:hAnsi="Arial" w:cs="Arial"/>
                <w:sz w:val="20"/>
                <w:szCs w:val="20"/>
              </w:rPr>
              <w:t xml:space="preserve">BMC </w:t>
            </w:r>
            <w:proofErr w:type="spellStart"/>
            <w:r w:rsidRPr="00AB1EA9">
              <w:rPr>
                <w:rFonts w:ascii="Arial" w:hAnsi="Arial" w:cs="Arial"/>
                <w:sz w:val="20"/>
                <w:szCs w:val="20"/>
              </w:rPr>
              <w:t>Geriatr</w:t>
            </w:r>
            <w:proofErr w:type="spellEnd"/>
            <w:r w:rsidRPr="00AB1EA9">
              <w:rPr>
                <w:rFonts w:ascii="Arial" w:hAnsi="Arial" w:cs="Arial"/>
                <w:sz w:val="20"/>
                <w:szCs w:val="20"/>
              </w:rPr>
              <w:t>, 2012: Mar 21</w:t>
            </w:r>
            <w:proofErr w:type="gramStart"/>
            <w:r w:rsidRPr="00AB1EA9">
              <w:rPr>
                <w:rFonts w:ascii="Arial" w:hAnsi="Arial" w:cs="Arial"/>
                <w:sz w:val="20"/>
                <w:szCs w:val="20"/>
              </w:rPr>
              <w:t>;12:11</w:t>
            </w:r>
            <w:proofErr w:type="gramEnd"/>
            <w:r w:rsidRPr="00AB1EA9">
              <w:rPr>
                <w:rFonts w:ascii="Arial" w:hAnsi="Arial" w:cs="Arial"/>
                <w:sz w:val="20"/>
                <w:szCs w:val="20"/>
              </w:rPr>
              <w:t>.</w:t>
            </w:r>
          </w:p>
        </w:tc>
      </w:tr>
      <w:tr w:rsidR="00CB7C19" w:rsidRPr="00AB1EA9" w:rsidTr="00446D91">
        <w:tc>
          <w:tcPr>
            <w:tcW w:w="1729" w:type="dxa"/>
            <w:vMerge/>
          </w:tcPr>
          <w:p w:rsidR="00CB7C19" w:rsidRPr="00AB1EA9" w:rsidRDefault="00CB7C19" w:rsidP="00721B31">
            <w:pPr>
              <w:rPr>
                <w:rFonts w:ascii="Arial" w:hAnsi="Arial" w:cs="Arial"/>
                <w:sz w:val="20"/>
                <w:szCs w:val="20"/>
              </w:rPr>
            </w:pPr>
          </w:p>
        </w:tc>
        <w:tc>
          <w:tcPr>
            <w:tcW w:w="4367" w:type="dxa"/>
            <w:vAlign w:val="center"/>
          </w:tcPr>
          <w:p w:rsidR="00CB7C19" w:rsidRPr="00AB1EA9" w:rsidRDefault="00CB7C19" w:rsidP="00721B31">
            <w:pPr>
              <w:rPr>
                <w:rFonts w:ascii="Arial" w:hAnsi="Arial" w:cs="Arial"/>
                <w:sz w:val="20"/>
                <w:szCs w:val="20"/>
              </w:rPr>
            </w:pPr>
            <w:proofErr w:type="gramStart"/>
            <w:r w:rsidRPr="00AB1EA9">
              <w:rPr>
                <w:rFonts w:ascii="Arial" w:hAnsi="Arial" w:cs="Arial"/>
                <w:sz w:val="20"/>
                <w:szCs w:val="20"/>
              </w:rPr>
              <w:t xml:space="preserve">Wells, A, P MacDonald, S </w:t>
            </w:r>
            <w:proofErr w:type="spellStart"/>
            <w:r w:rsidRPr="00AB1EA9">
              <w:rPr>
                <w:rFonts w:ascii="Arial" w:hAnsi="Arial" w:cs="Arial"/>
                <w:sz w:val="20"/>
                <w:szCs w:val="20"/>
              </w:rPr>
              <w:t>Chefo</w:t>
            </w:r>
            <w:proofErr w:type="spellEnd"/>
            <w:r w:rsidRPr="00AB1EA9">
              <w:rPr>
                <w:rFonts w:ascii="Arial" w:hAnsi="Arial" w:cs="Arial"/>
                <w:sz w:val="20"/>
                <w:szCs w:val="20"/>
              </w:rPr>
              <w:t>, and R Jackson.</w:t>
            </w:r>
            <w:proofErr w:type="gramEnd"/>
            <w:r w:rsidRPr="00AB1EA9">
              <w:rPr>
                <w:rFonts w:ascii="Arial" w:hAnsi="Arial" w:cs="Arial"/>
                <w:sz w:val="20"/>
                <w:szCs w:val="20"/>
              </w:rPr>
              <w:t xml:space="preserve"> “African American patients with gout: efficacy and safety of febuxostat vs allopurinol.” </w:t>
            </w:r>
          </w:p>
        </w:tc>
        <w:tc>
          <w:tcPr>
            <w:tcW w:w="2976" w:type="dxa"/>
          </w:tcPr>
          <w:p w:rsidR="00CB7C19" w:rsidRPr="00AB1EA9" w:rsidRDefault="00CB7C19" w:rsidP="00721B31">
            <w:pPr>
              <w:rPr>
                <w:rFonts w:ascii="Arial" w:hAnsi="Arial" w:cs="Arial"/>
                <w:sz w:val="20"/>
                <w:szCs w:val="20"/>
              </w:rPr>
            </w:pPr>
            <w:r w:rsidRPr="00AB1EA9">
              <w:rPr>
                <w:rFonts w:ascii="Arial" w:hAnsi="Arial" w:cs="Arial"/>
                <w:sz w:val="20"/>
                <w:szCs w:val="20"/>
              </w:rPr>
              <w:t xml:space="preserve">BMC </w:t>
            </w:r>
            <w:proofErr w:type="spellStart"/>
            <w:r w:rsidRPr="00AB1EA9">
              <w:rPr>
                <w:rFonts w:ascii="Arial" w:hAnsi="Arial" w:cs="Arial"/>
                <w:sz w:val="20"/>
                <w:szCs w:val="20"/>
              </w:rPr>
              <w:t>Musculoskelet</w:t>
            </w:r>
            <w:proofErr w:type="spellEnd"/>
            <w:r w:rsidRPr="00AB1EA9">
              <w:rPr>
                <w:rFonts w:ascii="Arial" w:hAnsi="Arial" w:cs="Arial"/>
                <w:sz w:val="20"/>
                <w:szCs w:val="20"/>
              </w:rPr>
              <w:t xml:space="preserve"> </w:t>
            </w:r>
            <w:proofErr w:type="spellStart"/>
            <w:r w:rsidRPr="00AB1EA9">
              <w:rPr>
                <w:rFonts w:ascii="Arial" w:hAnsi="Arial" w:cs="Arial"/>
                <w:sz w:val="20"/>
                <w:szCs w:val="20"/>
              </w:rPr>
              <w:t>Disord</w:t>
            </w:r>
            <w:proofErr w:type="spellEnd"/>
            <w:r w:rsidRPr="00AB1EA9">
              <w:rPr>
                <w:rFonts w:ascii="Arial" w:hAnsi="Arial" w:cs="Arial"/>
                <w:sz w:val="20"/>
                <w:szCs w:val="20"/>
              </w:rPr>
              <w:t>., 2012: Feb 9</w:t>
            </w:r>
            <w:proofErr w:type="gramStart"/>
            <w:r w:rsidRPr="00AB1EA9">
              <w:rPr>
                <w:rFonts w:ascii="Arial" w:hAnsi="Arial" w:cs="Arial"/>
                <w:sz w:val="20"/>
                <w:szCs w:val="20"/>
              </w:rPr>
              <w:t>;13:15</w:t>
            </w:r>
            <w:proofErr w:type="gramEnd"/>
            <w:r w:rsidRPr="00AB1EA9">
              <w:rPr>
                <w:rFonts w:ascii="Arial" w:hAnsi="Arial" w:cs="Arial"/>
                <w:sz w:val="20"/>
                <w:szCs w:val="20"/>
              </w:rPr>
              <w:t>.</w:t>
            </w:r>
          </w:p>
        </w:tc>
      </w:tr>
      <w:tr w:rsidR="00CB7C19" w:rsidRPr="00AB1EA9" w:rsidTr="00446D91">
        <w:tc>
          <w:tcPr>
            <w:tcW w:w="1729" w:type="dxa"/>
            <w:vMerge/>
          </w:tcPr>
          <w:p w:rsidR="00CB7C19" w:rsidRPr="00AB1EA9" w:rsidRDefault="00CB7C19" w:rsidP="00721B31">
            <w:pPr>
              <w:rPr>
                <w:rFonts w:ascii="Arial" w:hAnsi="Arial" w:cs="Arial"/>
                <w:sz w:val="20"/>
                <w:szCs w:val="20"/>
              </w:rPr>
            </w:pPr>
          </w:p>
        </w:tc>
        <w:tc>
          <w:tcPr>
            <w:tcW w:w="4367" w:type="dxa"/>
            <w:vAlign w:val="center"/>
          </w:tcPr>
          <w:p w:rsidR="00CB7C19" w:rsidRPr="00AB1EA9" w:rsidRDefault="00CB7C19" w:rsidP="00721B31">
            <w:pPr>
              <w:rPr>
                <w:rFonts w:ascii="Arial" w:hAnsi="Arial" w:cs="Arial"/>
                <w:sz w:val="20"/>
                <w:szCs w:val="20"/>
              </w:rPr>
            </w:pPr>
            <w:proofErr w:type="spellStart"/>
            <w:r w:rsidRPr="00AB1EA9">
              <w:rPr>
                <w:rFonts w:ascii="Arial" w:hAnsi="Arial" w:cs="Arial"/>
                <w:sz w:val="20"/>
                <w:szCs w:val="20"/>
              </w:rPr>
              <w:t>Wortmann</w:t>
            </w:r>
            <w:proofErr w:type="spellEnd"/>
            <w:r w:rsidRPr="00AB1EA9">
              <w:rPr>
                <w:rFonts w:ascii="Arial" w:hAnsi="Arial" w:cs="Arial"/>
                <w:sz w:val="20"/>
                <w:szCs w:val="20"/>
              </w:rPr>
              <w:t xml:space="preserve">, R, P Macdonald, B Hunt, and R Jackson. “Effect of prophylaxis on gout flares after the initiation of </w:t>
            </w:r>
            <w:proofErr w:type="spellStart"/>
            <w:r w:rsidRPr="00AB1EA9">
              <w:rPr>
                <w:rFonts w:ascii="Arial" w:hAnsi="Arial" w:cs="Arial"/>
                <w:sz w:val="20"/>
                <w:szCs w:val="20"/>
              </w:rPr>
              <w:t>urate</w:t>
            </w:r>
            <w:proofErr w:type="spellEnd"/>
            <w:r w:rsidRPr="00AB1EA9">
              <w:rPr>
                <w:rFonts w:ascii="Arial" w:hAnsi="Arial" w:cs="Arial"/>
                <w:sz w:val="20"/>
                <w:szCs w:val="20"/>
              </w:rPr>
              <w:t xml:space="preserve">-lowering therapy: analysis of data from three phase III trials.” </w:t>
            </w:r>
          </w:p>
        </w:tc>
        <w:tc>
          <w:tcPr>
            <w:tcW w:w="2976" w:type="dxa"/>
          </w:tcPr>
          <w:p w:rsidR="00CB7C19" w:rsidRPr="00AB1EA9" w:rsidRDefault="00CB7C19" w:rsidP="00721B31">
            <w:pPr>
              <w:rPr>
                <w:rFonts w:ascii="Arial" w:hAnsi="Arial" w:cs="Arial"/>
                <w:sz w:val="20"/>
                <w:szCs w:val="20"/>
              </w:rPr>
            </w:pPr>
            <w:proofErr w:type="spellStart"/>
            <w:r w:rsidRPr="00AB1EA9">
              <w:rPr>
                <w:rFonts w:ascii="Arial" w:hAnsi="Arial" w:cs="Arial"/>
                <w:sz w:val="20"/>
                <w:szCs w:val="20"/>
              </w:rPr>
              <w:t>Clin</w:t>
            </w:r>
            <w:proofErr w:type="spellEnd"/>
            <w:r w:rsidRPr="00AB1EA9">
              <w:rPr>
                <w:rFonts w:ascii="Arial" w:hAnsi="Arial" w:cs="Arial"/>
                <w:sz w:val="20"/>
                <w:szCs w:val="20"/>
              </w:rPr>
              <w:t xml:space="preserve"> </w:t>
            </w:r>
            <w:proofErr w:type="spellStart"/>
            <w:r w:rsidRPr="00AB1EA9">
              <w:rPr>
                <w:rFonts w:ascii="Arial" w:hAnsi="Arial" w:cs="Arial"/>
                <w:sz w:val="20"/>
                <w:szCs w:val="20"/>
              </w:rPr>
              <w:t>Ther</w:t>
            </w:r>
            <w:proofErr w:type="spellEnd"/>
            <w:r w:rsidRPr="00AB1EA9">
              <w:rPr>
                <w:rFonts w:ascii="Arial" w:hAnsi="Arial" w:cs="Arial"/>
                <w:sz w:val="20"/>
                <w:szCs w:val="20"/>
              </w:rPr>
              <w:t>, 2010: Dec</w:t>
            </w:r>
            <w:proofErr w:type="gramStart"/>
            <w:r w:rsidRPr="00AB1EA9">
              <w:rPr>
                <w:rFonts w:ascii="Arial" w:hAnsi="Arial" w:cs="Arial"/>
                <w:sz w:val="20"/>
                <w:szCs w:val="20"/>
              </w:rPr>
              <w:t>;</w:t>
            </w:r>
            <w:proofErr w:type="gramEnd"/>
            <w:r w:rsidRPr="00AB1EA9">
              <w:rPr>
                <w:rFonts w:ascii="Arial" w:hAnsi="Arial" w:cs="Arial"/>
                <w:sz w:val="20"/>
                <w:szCs w:val="20"/>
              </w:rPr>
              <w:t xml:space="preserve"> 32(14):2386-97.</w:t>
            </w:r>
          </w:p>
        </w:tc>
      </w:tr>
      <w:tr w:rsidR="00CB7C19" w:rsidRPr="00AB1EA9" w:rsidTr="00446D91">
        <w:tc>
          <w:tcPr>
            <w:tcW w:w="1729" w:type="dxa"/>
            <w:vMerge/>
          </w:tcPr>
          <w:p w:rsidR="00CB7C19" w:rsidRPr="00AB1EA9" w:rsidRDefault="00CB7C19" w:rsidP="00721B31">
            <w:pPr>
              <w:rPr>
                <w:rFonts w:ascii="Arial" w:hAnsi="Arial" w:cs="Arial"/>
                <w:sz w:val="20"/>
                <w:szCs w:val="20"/>
              </w:rPr>
            </w:pPr>
          </w:p>
        </w:tc>
        <w:tc>
          <w:tcPr>
            <w:tcW w:w="4367" w:type="dxa"/>
            <w:vAlign w:val="center"/>
          </w:tcPr>
          <w:p w:rsidR="00CB7C19" w:rsidRPr="00AB1EA9" w:rsidRDefault="00CB7C19" w:rsidP="00721B31">
            <w:pPr>
              <w:rPr>
                <w:rFonts w:ascii="Arial" w:hAnsi="Arial" w:cs="Arial"/>
                <w:sz w:val="20"/>
                <w:szCs w:val="20"/>
              </w:rPr>
            </w:pPr>
            <w:proofErr w:type="spellStart"/>
            <w:proofErr w:type="gramStart"/>
            <w:r w:rsidRPr="00AB1EA9">
              <w:rPr>
                <w:rFonts w:ascii="Arial" w:hAnsi="Arial" w:cs="Arial"/>
                <w:sz w:val="20"/>
                <w:szCs w:val="20"/>
              </w:rPr>
              <w:t>Chohan</w:t>
            </w:r>
            <w:proofErr w:type="spellEnd"/>
            <w:r w:rsidRPr="00AB1EA9">
              <w:rPr>
                <w:rFonts w:ascii="Arial" w:hAnsi="Arial" w:cs="Arial"/>
                <w:sz w:val="20"/>
                <w:szCs w:val="20"/>
              </w:rPr>
              <w:t xml:space="preserve">, S, M Becker, P Macdonald, S </w:t>
            </w:r>
            <w:proofErr w:type="spellStart"/>
            <w:r w:rsidRPr="00AB1EA9">
              <w:rPr>
                <w:rFonts w:ascii="Arial" w:hAnsi="Arial" w:cs="Arial"/>
                <w:sz w:val="20"/>
                <w:szCs w:val="20"/>
              </w:rPr>
              <w:t>Chefo</w:t>
            </w:r>
            <w:proofErr w:type="spellEnd"/>
            <w:r w:rsidRPr="00AB1EA9">
              <w:rPr>
                <w:rFonts w:ascii="Arial" w:hAnsi="Arial" w:cs="Arial"/>
                <w:sz w:val="20"/>
                <w:szCs w:val="20"/>
              </w:rPr>
              <w:t>, and R Jackson.</w:t>
            </w:r>
            <w:proofErr w:type="gramEnd"/>
            <w:r w:rsidRPr="00AB1EA9">
              <w:rPr>
                <w:rFonts w:ascii="Arial" w:hAnsi="Arial" w:cs="Arial"/>
                <w:sz w:val="20"/>
                <w:szCs w:val="20"/>
              </w:rPr>
              <w:t xml:space="preserve"> “Women with gout: Efficacy and safety of </w:t>
            </w:r>
            <w:proofErr w:type="spellStart"/>
            <w:r w:rsidRPr="00AB1EA9">
              <w:rPr>
                <w:rFonts w:ascii="Arial" w:hAnsi="Arial" w:cs="Arial"/>
                <w:sz w:val="20"/>
                <w:szCs w:val="20"/>
              </w:rPr>
              <w:t>urate</w:t>
            </w:r>
            <w:proofErr w:type="spellEnd"/>
            <w:r w:rsidRPr="00AB1EA9">
              <w:rPr>
                <w:rFonts w:ascii="Arial" w:hAnsi="Arial" w:cs="Arial"/>
                <w:sz w:val="20"/>
                <w:szCs w:val="20"/>
              </w:rPr>
              <w:t xml:space="preserve">-lowering with febuxostat and allopurinol.” </w:t>
            </w:r>
          </w:p>
        </w:tc>
        <w:tc>
          <w:tcPr>
            <w:tcW w:w="2976" w:type="dxa"/>
          </w:tcPr>
          <w:p w:rsidR="00CB7C19" w:rsidRPr="00AB1EA9" w:rsidRDefault="00CB7C19" w:rsidP="00721B31">
            <w:pPr>
              <w:rPr>
                <w:rFonts w:ascii="Arial" w:hAnsi="Arial" w:cs="Arial"/>
                <w:sz w:val="20"/>
                <w:szCs w:val="20"/>
              </w:rPr>
            </w:pPr>
            <w:r w:rsidRPr="00AB1EA9">
              <w:rPr>
                <w:rFonts w:ascii="Arial" w:hAnsi="Arial" w:cs="Arial"/>
                <w:sz w:val="20"/>
                <w:szCs w:val="20"/>
              </w:rPr>
              <w:t>Arthritis Care Res (Hoboken), 2012: Feb</w:t>
            </w:r>
            <w:proofErr w:type="gramStart"/>
            <w:r w:rsidRPr="00AB1EA9">
              <w:rPr>
                <w:rFonts w:ascii="Arial" w:hAnsi="Arial" w:cs="Arial"/>
                <w:sz w:val="20"/>
                <w:szCs w:val="20"/>
              </w:rPr>
              <w:t>;64</w:t>
            </w:r>
            <w:proofErr w:type="gramEnd"/>
            <w:r w:rsidRPr="00AB1EA9">
              <w:rPr>
                <w:rFonts w:ascii="Arial" w:hAnsi="Arial" w:cs="Arial"/>
                <w:sz w:val="20"/>
                <w:szCs w:val="20"/>
              </w:rPr>
              <w:t>(2):256-61.</w:t>
            </w:r>
          </w:p>
        </w:tc>
      </w:tr>
      <w:tr w:rsidR="00CB7C19" w:rsidRPr="00AB1EA9" w:rsidTr="00446D91">
        <w:tc>
          <w:tcPr>
            <w:tcW w:w="1729" w:type="dxa"/>
          </w:tcPr>
          <w:p w:rsidR="00CB7C19" w:rsidRPr="00AB1EA9" w:rsidRDefault="00CB7C19" w:rsidP="00721B31">
            <w:pPr>
              <w:rPr>
                <w:rFonts w:ascii="Arial" w:hAnsi="Arial" w:cs="Arial"/>
                <w:sz w:val="20"/>
                <w:szCs w:val="20"/>
              </w:rPr>
            </w:pPr>
            <w:proofErr w:type="spellStart"/>
            <w:r w:rsidRPr="00AB1EA9">
              <w:rPr>
                <w:rFonts w:ascii="Arial" w:hAnsi="Arial" w:cs="Arial"/>
                <w:sz w:val="20"/>
                <w:szCs w:val="20"/>
              </w:rPr>
              <w:t>Kamtani</w:t>
            </w:r>
            <w:proofErr w:type="spellEnd"/>
            <w:r w:rsidRPr="00AB1EA9">
              <w:rPr>
                <w:rFonts w:ascii="Arial" w:hAnsi="Arial" w:cs="Arial"/>
                <w:sz w:val="20"/>
                <w:szCs w:val="20"/>
              </w:rPr>
              <w:t xml:space="preserve"> 2011</w:t>
            </w:r>
          </w:p>
        </w:tc>
        <w:tc>
          <w:tcPr>
            <w:tcW w:w="4367" w:type="dxa"/>
            <w:vAlign w:val="center"/>
          </w:tcPr>
          <w:p w:rsidR="00CB7C19" w:rsidRPr="00AB1EA9" w:rsidRDefault="00CB7C19" w:rsidP="00721B31">
            <w:pPr>
              <w:rPr>
                <w:rFonts w:ascii="Arial" w:hAnsi="Arial" w:cs="Arial"/>
                <w:sz w:val="20"/>
                <w:szCs w:val="20"/>
              </w:rPr>
            </w:pPr>
            <w:proofErr w:type="spellStart"/>
            <w:proofErr w:type="gramStart"/>
            <w:r w:rsidRPr="00AB1EA9">
              <w:rPr>
                <w:rFonts w:ascii="Arial" w:hAnsi="Arial" w:cs="Arial"/>
                <w:sz w:val="20"/>
                <w:szCs w:val="20"/>
              </w:rPr>
              <w:t>Kamatani</w:t>
            </w:r>
            <w:proofErr w:type="spellEnd"/>
            <w:r w:rsidRPr="00AB1EA9">
              <w:rPr>
                <w:rFonts w:ascii="Arial" w:hAnsi="Arial" w:cs="Arial"/>
                <w:sz w:val="20"/>
                <w:szCs w:val="20"/>
              </w:rPr>
              <w:t xml:space="preserve">, N, et al. “An allopurinol-controlled, randomized, double-dummy, double-blind, parallel between-group, comparative study of febuxostat (TMX-67), a non-purine-selective inhibitor of xanthine oxidase, in patients with </w:t>
            </w:r>
            <w:proofErr w:type="spellStart"/>
            <w:r w:rsidRPr="00AB1EA9">
              <w:rPr>
                <w:rFonts w:ascii="Arial" w:hAnsi="Arial" w:cs="Arial"/>
                <w:sz w:val="20"/>
                <w:szCs w:val="20"/>
              </w:rPr>
              <w:t>hyperuricemia</w:t>
            </w:r>
            <w:proofErr w:type="spellEnd"/>
            <w:r w:rsidRPr="00AB1EA9">
              <w:rPr>
                <w:rFonts w:ascii="Arial" w:hAnsi="Arial" w:cs="Arial"/>
                <w:sz w:val="20"/>
                <w:szCs w:val="20"/>
              </w:rPr>
              <w:t xml:space="preserve"> including those with gout in Japan.”</w:t>
            </w:r>
            <w:proofErr w:type="gramEnd"/>
          </w:p>
        </w:tc>
        <w:tc>
          <w:tcPr>
            <w:tcW w:w="2976" w:type="dxa"/>
          </w:tcPr>
          <w:p w:rsidR="00CB7C19" w:rsidRPr="00AB1EA9" w:rsidRDefault="00CB7C19" w:rsidP="00721B31">
            <w:pPr>
              <w:rPr>
                <w:rFonts w:ascii="Arial" w:hAnsi="Arial" w:cs="Arial"/>
                <w:sz w:val="20"/>
                <w:szCs w:val="20"/>
              </w:rPr>
            </w:pPr>
            <w:r w:rsidRPr="00AB1EA9">
              <w:rPr>
                <w:rFonts w:ascii="Arial" w:hAnsi="Arial" w:cs="Arial"/>
                <w:sz w:val="20"/>
                <w:szCs w:val="20"/>
              </w:rPr>
              <w:t xml:space="preserve">Journal of Clinical Rheumatology, 2011: 17(4 </w:t>
            </w:r>
            <w:proofErr w:type="spellStart"/>
            <w:r w:rsidRPr="00AB1EA9">
              <w:rPr>
                <w:rFonts w:ascii="Arial" w:hAnsi="Arial" w:cs="Arial"/>
                <w:sz w:val="20"/>
                <w:szCs w:val="20"/>
              </w:rPr>
              <w:t>Suppl</w:t>
            </w:r>
            <w:proofErr w:type="spellEnd"/>
            <w:r w:rsidRPr="00AB1EA9">
              <w:rPr>
                <w:rFonts w:ascii="Arial" w:hAnsi="Arial" w:cs="Arial"/>
                <w:sz w:val="20"/>
                <w:szCs w:val="20"/>
              </w:rPr>
              <w:t xml:space="preserve"> 2):S13-8.</w:t>
            </w:r>
          </w:p>
        </w:tc>
      </w:tr>
      <w:tr w:rsidR="00CB7C19" w:rsidRPr="00AB1EA9" w:rsidTr="00446D91">
        <w:tc>
          <w:tcPr>
            <w:tcW w:w="1729" w:type="dxa"/>
          </w:tcPr>
          <w:p w:rsidR="00CB7C19" w:rsidRPr="00AB1EA9" w:rsidRDefault="00CB7C19" w:rsidP="00721B31">
            <w:pPr>
              <w:rPr>
                <w:rFonts w:ascii="Arial" w:hAnsi="Arial" w:cs="Arial"/>
                <w:sz w:val="20"/>
                <w:szCs w:val="20"/>
              </w:rPr>
            </w:pPr>
            <w:proofErr w:type="spellStart"/>
            <w:r w:rsidRPr="00AB1EA9">
              <w:rPr>
                <w:rFonts w:ascii="Arial" w:hAnsi="Arial" w:cs="Arial"/>
                <w:sz w:val="20"/>
                <w:szCs w:val="20"/>
              </w:rPr>
              <w:t>Naoyuki</w:t>
            </w:r>
            <w:proofErr w:type="spellEnd"/>
            <w:r w:rsidRPr="00AB1EA9">
              <w:rPr>
                <w:rFonts w:ascii="Arial" w:hAnsi="Arial" w:cs="Arial"/>
                <w:sz w:val="20"/>
                <w:szCs w:val="20"/>
              </w:rPr>
              <w:t xml:space="preserve"> 2011</w:t>
            </w:r>
          </w:p>
        </w:tc>
        <w:tc>
          <w:tcPr>
            <w:tcW w:w="4367" w:type="dxa"/>
            <w:vAlign w:val="center"/>
          </w:tcPr>
          <w:p w:rsidR="00CB7C19" w:rsidRPr="00AB1EA9" w:rsidRDefault="00CB7C19" w:rsidP="00721B31">
            <w:pPr>
              <w:rPr>
                <w:rFonts w:ascii="Arial" w:hAnsi="Arial" w:cs="Arial"/>
                <w:sz w:val="20"/>
                <w:szCs w:val="20"/>
              </w:rPr>
            </w:pPr>
            <w:proofErr w:type="spellStart"/>
            <w:proofErr w:type="gramStart"/>
            <w:r w:rsidRPr="00AB1EA9">
              <w:rPr>
                <w:rFonts w:ascii="Arial" w:hAnsi="Arial" w:cs="Arial"/>
                <w:sz w:val="20"/>
                <w:szCs w:val="20"/>
              </w:rPr>
              <w:t>Naoyuki</w:t>
            </w:r>
            <w:proofErr w:type="spellEnd"/>
            <w:r w:rsidRPr="00AB1EA9">
              <w:rPr>
                <w:rFonts w:ascii="Arial" w:hAnsi="Arial" w:cs="Arial"/>
                <w:sz w:val="20"/>
                <w:szCs w:val="20"/>
              </w:rPr>
              <w:t xml:space="preserve">, K, et al. “An allopurinol-controlled, multicenter, randomized, open-label, parallel between-group, comparative study of febuxostat (TMX-67), a non-purine-selective inhibitor of xanthine oxidase, in patients with </w:t>
            </w:r>
            <w:proofErr w:type="spellStart"/>
            <w:r w:rsidRPr="00AB1EA9">
              <w:rPr>
                <w:rFonts w:ascii="Arial" w:hAnsi="Arial" w:cs="Arial"/>
                <w:sz w:val="20"/>
                <w:szCs w:val="20"/>
              </w:rPr>
              <w:t>hyperuricemia</w:t>
            </w:r>
            <w:proofErr w:type="spellEnd"/>
            <w:r w:rsidRPr="00AB1EA9">
              <w:rPr>
                <w:rFonts w:ascii="Arial" w:hAnsi="Arial" w:cs="Arial"/>
                <w:sz w:val="20"/>
                <w:szCs w:val="20"/>
              </w:rPr>
              <w:t xml:space="preserve"> including those with gout in Japan.”</w:t>
            </w:r>
            <w:proofErr w:type="gramEnd"/>
            <w:r w:rsidRPr="00AB1EA9">
              <w:rPr>
                <w:rFonts w:ascii="Arial" w:hAnsi="Arial" w:cs="Arial"/>
                <w:sz w:val="20"/>
                <w:szCs w:val="20"/>
              </w:rPr>
              <w:t xml:space="preserve"> </w:t>
            </w:r>
          </w:p>
        </w:tc>
        <w:tc>
          <w:tcPr>
            <w:tcW w:w="2976" w:type="dxa"/>
          </w:tcPr>
          <w:p w:rsidR="00CB7C19" w:rsidRPr="00AB1EA9" w:rsidRDefault="00CB7C19" w:rsidP="00721B31">
            <w:pPr>
              <w:rPr>
                <w:rFonts w:ascii="Arial" w:hAnsi="Arial" w:cs="Arial"/>
                <w:sz w:val="20"/>
                <w:szCs w:val="20"/>
              </w:rPr>
            </w:pPr>
            <w:r w:rsidRPr="00AB1EA9">
              <w:rPr>
                <w:rFonts w:ascii="Arial" w:hAnsi="Arial" w:cs="Arial"/>
                <w:sz w:val="20"/>
                <w:szCs w:val="20"/>
              </w:rPr>
              <w:t xml:space="preserve">J </w:t>
            </w:r>
            <w:proofErr w:type="spellStart"/>
            <w:r w:rsidRPr="00AB1EA9">
              <w:rPr>
                <w:rFonts w:ascii="Arial" w:hAnsi="Arial" w:cs="Arial"/>
                <w:sz w:val="20"/>
                <w:szCs w:val="20"/>
              </w:rPr>
              <w:t>Clin</w:t>
            </w:r>
            <w:proofErr w:type="spellEnd"/>
            <w:r w:rsidRPr="00AB1EA9">
              <w:rPr>
                <w:rFonts w:ascii="Arial" w:hAnsi="Arial" w:cs="Arial"/>
                <w:sz w:val="20"/>
                <w:szCs w:val="20"/>
              </w:rPr>
              <w:t xml:space="preserve"> </w:t>
            </w:r>
            <w:proofErr w:type="spellStart"/>
            <w:r w:rsidRPr="00AB1EA9">
              <w:rPr>
                <w:rFonts w:ascii="Arial" w:hAnsi="Arial" w:cs="Arial"/>
                <w:sz w:val="20"/>
                <w:szCs w:val="20"/>
              </w:rPr>
              <w:t>Rheumatol</w:t>
            </w:r>
            <w:proofErr w:type="spellEnd"/>
            <w:r w:rsidRPr="00AB1EA9">
              <w:rPr>
                <w:rFonts w:ascii="Arial" w:hAnsi="Arial" w:cs="Arial"/>
                <w:sz w:val="20"/>
                <w:szCs w:val="20"/>
              </w:rPr>
              <w:t xml:space="preserve">., 2011: 17(4 </w:t>
            </w:r>
            <w:proofErr w:type="spellStart"/>
            <w:r w:rsidRPr="00AB1EA9">
              <w:rPr>
                <w:rFonts w:ascii="Arial" w:hAnsi="Arial" w:cs="Arial"/>
                <w:sz w:val="20"/>
                <w:szCs w:val="20"/>
              </w:rPr>
              <w:t>Suppl</w:t>
            </w:r>
            <w:proofErr w:type="spellEnd"/>
            <w:r w:rsidRPr="00AB1EA9">
              <w:rPr>
                <w:rFonts w:ascii="Arial" w:hAnsi="Arial" w:cs="Arial"/>
                <w:sz w:val="20"/>
                <w:szCs w:val="20"/>
              </w:rPr>
              <w:t xml:space="preserve"> 2):S44-9.</w:t>
            </w:r>
          </w:p>
        </w:tc>
      </w:tr>
    </w:tbl>
    <w:p w:rsidR="00CB7C19" w:rsidRPr="00AB1EA9" w:rsidRDefault="00CB7C19" w:rsidP="00CB7C19">
      <w:pPr>
        <w:rPr>
          <w:rFonts w:ascii="Arial" w:hAnsi="Arial" w:cs="Arial"/>
          <w:sz w:val="20"/>
          <w:szCs w:val="20"/>
        </w:rPr>
      </w:pPr>
    </w:p>
    <w:tbl>
      <w:tblPr>
        <w:tblW w:w="907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729"/>
        <w:gridCol w:w="4367"/>
        <w:gridCol w:w="2976"/>
      </w:tblGrid>
      <w:tr w:rsidR="00CB7C19" w:rsidRPr="00AB1EA9" w:rsidTr="00446D91">
        <w:tc>
          <w:tcPr>
            <w:tcW w:w="9072" w:type="dxa"/>
            <w:gridSpan w:val="3"/>
          </w:tcPr>
          <w:p w:rsidR="00CB7C19" w:rsidRPr="00AB1EA9" w:rsidRDefault="00CB7C19" w:rsidP="00721B31">
            <w:pPr>
              <w:rPr>
                <w:rFonts w:ascii="Arial" w:hAnsi="Arial" w:cs="Arial"/>
                <w:b/>
                <w:sz w:val="20"/>
                <w:szCs w:val="20"/>
              </w:rPr>
            </w:pPr>
            <w:r w:rsidRPr="00AB1EA9">
              <w:rPr>
                <w:rFonts w:ascii="Arial" w:hAnsi="Arial" w:cs="Arial"/>
                <w:b/>
                <w:sz w:val="20"/>
                <w:szCs w:val="20"/>
              </w:rPr>
              <w:t>Meta-analyses of direct randomised trials</w:t>
            </w:r>
          </w:p>
        </w:tc>
      </w:tr>
      <w:tr w:rsidR="00CB7C19" w:rsidRPr="00AB1EA9" w:rsidTr="00AB1EA9">
        <w:tc>
          <w:tcPr>
            <w:tcW w:w="1729" w:type="dxa"/>
          </w:tcPr>
          <w:p w:rsidR="00CB7C19" w:rsidRPr="00AB1EA9" w:rsidRDefault="00CB7C19" w:rsidP="00721B31">
            <w:pPr>
              <w:rPr>
                <w:rFonts w:ascii="Arial" w:hAnsi="Arial" w:cs="Arial"/>
                <w:sz w:val="20"/>
                <w:szCs w:val="20"/>
              </w:rPr>
            </w:pPr>
            <w:r w:rsidRPr="00AB1EA9">
              <w:rPr>
                <w:rFonts w:ascii="Arial" w:hAnsi="Arial" w:cs="Arial"/>
                <w:sz w:val="20"/>
                <w:szCs w:val="20"/>
              </w:rPr>
              <w:t>Ye et al (2013)</w:t>
            </w:r>
          </w:p>
        </w:tc>
        <w:tc>
          <w:tcPr>
            <w:tcW w:w="4367" w:type="dxa"/>
            <w:vAlign w:val="center"/>
          </w:tcPr>
          <w:p w:rsidR="00CB7C19" w:rsidRPr="00AB1EA9" w:rsidRDefault="00CB7C19" w:rsidP="00446D91">
            <w:pPr>
              <w:rPr>
                <w:rFonts w:ascii="Arial" w:hAnsi="Arial" w:cs="Arial"/>
                <w:sz w:val="20"/>
                <w:szCs w:val="20"/>
              </w:rPr>
            </w:pPr>
            <w:r w:rsidRPr="00AB1EA9">
              <w:rPr>
                <w:rFonts w:ascii="Arial" w:hAnsi="Arial" w:cs="Arial"/>
                <w:sz w:val="20"/>
                <w:szCs w:val="20"/>
              </w:rPr>
              <w:t xml:space="preserve">Peng Ye,  </w:t>
            </w:r>
            <w:proofErr w:type="spellStart"/>
            <w:r w:rsidRPr="00AB1EA9">
              <w:rPr>
                <w:rFonts w:ascii="Arial" w:hAnsi="Arial" w:cs="Arial"/>
                <w:sz w:val="20"/>
                <w:szCs w:val="20"/>
              </w:rPr>
              <w:t>Shumin</w:t>
            </w:r>
            <w:proofErr w:type="spellEnd"/>
            <w:r w:rsidRPr="00AB1EA9">
              <w:rPr>
                <w:rFonts w:ascii="Arial" w:hAnsi="Arial" w:cs="Arial"/>
                <w:sz w:val="20"/>
                <w:szCs w:val="20"/>
              </w:rPr>
              <w:t xml:space="preserve"> Yang, </w:t>
            </w:r>
            <w:proofErr w:type="spellStart"/>
            <w:r w:rsidRPr="00AB1EA9">
              <w:rPr>
                <w:rFonts w:ascii="Arial" w:hAnsi="Arial" w:cs="Arial"/>
                <w:sz w:val="20"/>
                <w:szCs w:val="20"/>
              </w:rPr>
              <w:t>Wenlong</w:t>
            </w:r>
            <w:proofErr w:type="spellEnd"/>
            <w:r w:rsidRPr="00AB1EA9">
              <w:rPr>
                <w:rFonts w:ascii="Arial" w:hAnsi="Arial" w:cs="Arial"/>
                <w:sz w:val="20"/>
                <w:szCs w:val="20"/>
              </w:rPr>
              <w:t xml:space="preserve"> Zhang, </w:t>
            </w:r>
            <w:proofErr w:type="spellStart"/>
            <w:r w:rsidRPr="00AB1EA9">
              <w:rPr>
                <w:rFonts w:ascii="Arial" w:hAnsi="Arial" w:cs="Arial"/>
                <w:sz w:val="20"/>
                <w:szCs w:val="20"/>
              </w:rPr>
              <w:t>Qiong</w:t>
            </w:r>
            <w:proofErr w:type="spellEnd"/>
            <w:r w:rsidRPr="00AB1EA9">
              <w:rPr>
                <w:rFonts w:ascii="Arial" w:hAnsi="Arial" w:cs="Arial"/>
                <w:sz w:val="20"/>
                <w:szCs w:val="20"/>
              </w:rPr>
              <w:t xml:space="preserve"> </w:t>
            </w:r>
            <w:proofErr w:type="spellStart"/>
            <w:r w:rsidRPr="00AB1EA9">
              <w:rPr>
                <w:rFonts w:ascii="Arial" w:hAnsi="Arial" w:cs="Arial"/>
                <w:sz w:val="20"/>
                <w:szCs w:val="20"/>
              </w:rPr>
              <w:t>Lv</w:t>
            </w:r>
            <w:proofErr w:type="spellEnd"/>
            <w:r w:rsidRPr="00AB1EA9">
              <w:rPr>
                <w:rFonts w:ascii="Arial" w:hAnsi="Arial" w:cs="Arial"/>
                <w:sz w:val="20"/>
                <w:szCs w:val="20"/>
              </w:rPr>
              <w:t xml:space="preserve">; </w:t>
            </w:r>
            <w:proofErr w:type="spellStart"/>
            <w:r w:rsidRPr="00AB1EA9">
              <w:rPr>
                <w:rFonts w:ascii="Arial" w:hAnsi="Arial" w:cs="Arial"/>
                <w:sz w:val="20"/>
                <w:szCs w:val="20"/>
              </w:rPr>
              <w:t>Qingfeng</w:t>
            </w:r>
            <w:proofErr w:type="spellEnd"/>
            <w:r w:rsidRPr="00AB1EA9">
              <w:rPr>
                <w:rFonts w:ascii="Arial" w:hAnsi="Arial" w:cs="Arial"/>
                <w:sz w:val="20"/>
                <w:szCs w:val="20"/>
              </w:rPr>
              <w:t xml:space="preserve"> Cheng, Mei </w:t>
            </w:r>
            <w:proofErr w:type="spellStart"/>
            <w:r w:rsidRPr="00AB1EA9">
              <w:rPr>
                <w:rFonts w:ascii="Arial" w:hAnsi="Arial" w:cs="Arial"/>
                <w:sz w:val="20"/>
                <w:szCs w:val="20"/>
              </w:rPr>
              <w:t>Mei</w:t>
            </w:r>
            <w:proofErr w:type="spellEnd"/>
            <w:r w:rsidRPr="00AB1EA9">
              <w:rPr>
                <w:rFonts w:ascii="Arial" w:hAnsi="Arial" w:cs="Arial"/>
                <w:sz w:val="20"/>
                <w:szCs w:val="20"/>
              </w:rPr>
              <w:t xml:space="preserve">, Ting Luo, Lulu Liu, </w:t>
            </w:r>
            <w:proofErr w:type="spellStart"/>
            <w:r w:rsidRPr="00AB1EA9">
              <w:rPr>
                <w:rFonts w:ascii="Arial" w:hAnsi="Arial" w:cs="Arial"/>
                <w:sz w:val="20"/>
                <w:szCs w:val="20"/>
              </w:rPr>
              <w:t>Shumei</w:t>
            </w:r>
            <w:proofErr w:type="spellEnd"/>
            <w:r w:rsidRPr="00AB1EA9">
              <w:rPr>
                <w:rFonts w:ascii="Arial" w:hAnsi="Arial" w:cs="Arial"/>
                <w:sz w:val="20"/>
                <w:szCs w:val="20"/>
              </w:rPr>
              <w:t xml:space="preserve"> Chen, and </w:t>
            </w:r>
            <w:proofErr w:type="spellStart"/>
            <w:r w:rsidRPr="00AB1EA9">
              <w:rPr>
                <w:rFonts w:ascii="Arial" w:hAnsi="Arial" w:cs="Arial"/>
                <w:sz w:val="20"/>
                <w:szCs w:val="20"/>
              </w:rPr>
              <w:t>Qifu</w:t>
            </w:r>
            <w:proofErr w:type="spellEnd"/>
            <w:r w:rsidRPr="00AB1EA9">
              <w:rPr>
                <w:rFonts w:ascii="Arial" w:hAnsi="Arial" w:cs="Arial"/>
                <w:sz w:val="20"/>
                <w:szCs w:val="20"/>
              </w:rPr>
              <w:t xml:space="preserve"> Li.  “Efficacy and Tolerability of Febuxostat in </w:t>
            </w:r>
            <w:proofErr w:type="spellStart"/>
            <w:r w:rsidRPr="00AB1EA9">
              <w:rPr>
                <w:rFonts w:ascii="Arial" w:hAnsi="Arial" w:cs="Arial"/>
                <w:sz w:val="20"/>
                <w:szCs w:val="20"/>
              </w:rPr>
              <w:t>Hyperuricemic</w:t>
            </w:r>
            <w:proofErr w:type="spellEnd"/>
            <w:r w:rsidRPr="00AB1EA9">
              <w:rPr>
                <w:rFonts w:ascii="Arial" w:hAnsi="Arial" w:cs="Arial"/>
                <w:sz w:val="20"/>
                <w:szCs w:val="20"/>
              </w:rPr>
              <w:t xml:space="preserve"> Patients With or Without Gout: A Systematic Review and Meta-Analysis.” </w:t>
            </w:r>
          </w:p>
        </w:tc>
        <w:tc>
          <w:tcPr>
            <w:tcW w:w="2976" w:type="dxa"/>
          </w:tcPr>
          <w:p w:rsidR="00CB7C19" w:rsidRPr="00AB1EA9" w:rsidRDefault="00CB7C19" w:rsidP="00721B31">
            <w:pPr>
              <w:rPr>
                <w:rFonts w:ascii="Arial" w:hAnsi="Arial" w:cs="Arial"/>
                <w:i/>
                <w:sz w:val="20"/>
                <w:szCs w:val="20"/>
              </w:rPr>
            </w:pPr>
            <w:r w:rsidRPr="00AB1EA9">
              <w:rPr>
                <w:rFonts w:ascii="Arial" w:hAnsi="Arial" w:cs="Arial"/>
                <w:sz w:val="20"/>
                <w:szCs w:val="20"/>
              </w:rPr>
              <w:t>Clinical Therapeutics, 2013: 35:2 (180-189).</w:t>
            </w:r>
          </w:p>
        </w:tc>
      </w:tr>
      <w:tr w:rsidR="00CB7C19" w:rsidRPr="00AB1EA9" w:rsidTr="00AB1EA9">
        <w:tc>
          <w:tcPr>
            <w:tcW w:w="1729" w:type="dxa"/>
          </w:tcPr>
          <w:p w:rsidR="00CB7C19" w:rsidRPr="00AB1EA9" w:rsidRDefault="00CB7C19" w:rsidP="00446D91">
            <w:pPr>
              <w:rPr>
                <w:rFonts w:ascii="Arial" w:hAnsi="Arial" w:cs="Arial"/>
                <w:sz w:val="20"/>
                <w:szCs w:val="20"/>
              </w:rPr>
            </w:pPr>
            <w:proofErr w:type="spellStart"/>
            <w:r w:rsidRPr="00AB1EA9">
              <w:rPr>
                <w:rFonts w:ascii="Arial" w:hAnsi="Arial" w:cs="Arial"/>
                <w:sz w:val="20"/>
                <w:szCs w:val="20"/>
              </w:rPr>
              <w:t>Tayar</w:t>
            </w:r>
            <w:proofErr w:type="spellEnd"/>
            <w:r w:rsidRPr="00AB1EA9">
              <w:rPr>
                <w:rFonts w:ascii="Arial" w:hAnsi="Arial" w:cs="Arial"/>
                <w:sz w:val="20"/>
                <w:szCs w:val="20"/>
              </w:rPr>
              <w:t xml:space="preserve"> et al (2012)</w:t>
            </w:r>
          </w:p>
        </w:tc>
        <w:tc>
          <w:tcPr>
            <w:tcW w:w="4367" w:type="dxa"/>
            <w:vAlign w:val="center"/>
          </w:tcPr>
          <w:p w:rsidR="00CB7C19" w:rsidRPr="00AB1EA9" w:rsidRDefault="00CB7C19" w:rsidP="00446D91">
            <w:pPr>
              <w:rPr>
                <w:rFonts w:ascii="Arial" w:hAnsi="Arial" w:cs="Arial"/>
                <w:sz w:val="20"/>
                <w:szCs w:val="20"/>
              </w:rPr>
            </w:pPr>
            <w:r w:rsidRPr="00AB1EA9">
              <w:rPr>
                <w:rFonts w:ascii="Arial" w:hAnsi="Arial" w:cs="Arial"/>
                <w:sz w:val="20"/>
                <w:szCs w:val="20"/>
                <w:lang w:val="pt-PT"/>
              </w:rPr>
              <w:t xml:space="preserve">Tayar, J, M Lopez-Olivo, and M Suarez-Almazor. </w:t>
            </w:r>
            <w:r w:rsidRPr="00AB1EA9">
              <w:rPr>
                <w:rFonts w:ascii="Arial" w:hAnsi="Arial" w:cs="Arial"/>
                <w:sz w:val="20"/>
                <w:szCs w:val="20"/>
              </w:rPr>
              <w:t xml:space="preserve">“Febuxostat for treating chronic gout.” </w:t>
            </w:r>
          </w:p>
        </w:tc>
        <w:tc>
          <w:tcPr>
            <w:tcW w:w="2976" w:type="dxa"/>
          </w:tcPr>
          <w:p w:rsidR="00CB7C19" w:rsidRPr="00AB1EA9" w:rsidRDefault="00CB7C19" w:rsidP="00446D91">
            <w:pPr>
              <w:rPr>
                <w:rFonts w:ascii="Arial" w:hAnsi="Arial" w:cs="Arial"/>
                <w:sz w:val="20"/>
                <w:szCs w:val="20"/>
              </w:rPr>
            </w:pPr>
            <w:proofErr w:type="gramStart"/>
            <w:r w:rsidRPr="00AB1EA9">
              <w:rPr>
                <w:rFonts w:ascii="Arial" w:hAnsi="Arial" w:cs="Arial"/>
                <w:sz w:val="20"/>
                <w:szCs w:val="20"/>
              </w:rPr>
              <w:t>Cochrane Database of Systematic Reviews 2012, 2012: Issue 11.</w:t>
            </w:r>
            <w:proofErr w:type="gramEnd"/>
            <w:r w:rsidRPr="00AB1EA9">
              <w:rPr>
                <w:rFonts w:ascii="Arial" w:hAnsi="Arial" w:cs="Arial"/>
                <w:sz w:val="20"/>
                <w:szCs w:val="20"/>
              </w:rPr>
              <w:t xml:space="preserve"> Art. </w:t>
            </w:r>
            <w:proofErr w:type="gramStart"/>
            <w:r w:rsidRPr="00AB1EA9">
              <w:rPr>
                <w:rFonts w:ascii="Arial" w:hAnsi="Arial" w:cs="Arial"/>
                <w:sz w:val="20"/>
                <w:szCs w:val="20"/>
              </w:rPr>
              <w:t>No.: CD008653.</w:t>
            </w:r>
            <w:proofErr w:type="gramEnd"/>
            <w:r w:rsidRPr="00AB1EA9">
              <w:rPr>
                <w:rFonts w:ascii="Arial" w:hAnsi="Arial" w:cs="Arial"/>
                <w:sz w:val="20"/>
                <w:szCs w:val="20"/>
              </w:rPr>
              <w:t xml:space="preserve"> </w:t>
            </w:r>
            <w:proofErr w:type="gramStart"/>
            <w:r w:rsidRPr="00AB1EA9">
              <w:rPr>
                <w:rFonts w:ascii="Arial" w:hAnsi="Arial" w:cs="Arial"/>
                <w:sz w:val="20"/>
                <w:szCs w:val="20"/>
              </w:rPr>
              <w:t>DOI: 10.1002/14651858.CD008653.pub2.</w:t>
            </w:r>
            <w:proofErr w:type="gramEnd"/>
          </w:p>
        </w:tc>
      </w:tr>
    </w:tbl>
    <w:p w:rsidR="00446D91" w:rsidRDefault="00446D91" w:rsidP="00446D91">
      <w:pPr>
        <w:rPr>
          <w:b/>
        </w:rPr>
      </w:pPr>
    </w:p>
    <w:p w:rsidR="00BB219E" w:rsidRPr="00446D91" w:rsidRDefault="007A750C" w:rsidP="00446D91">
      <w:pPr>
        <w:rPr>
          <w:b/>
        </w:rPr>
      </w:pPr>
      <w:r>
        <w:rPr>
          <w:b/>
        </w:rPr>
        <w:br w:type="page"/>
      </w:r>
      <w:r w:rsidR="00CB7C19" w:rsidRPr="00446D91">
        <w:rPr>
          <w:b/>
        </w:rPr>
        <w:lastRenderedPageBreak/>
        <w:t xml:space="preserve"> </w:t>
      </w:r>
      <w:r w:rsidR="0004080D" w:rsidRPr="00446D91">
        <w:rPr>
          <w:b/>
        </w:rPr>
        <w:t xml:space="preserve">8. </w:t>
      </w:r>
      <w:r w:rsidR="002A57B9" w:rsidRPr="00446D91">
        <w:rPr>
          <w:b/>
        </w:rPr>
        <w:t>Results of Trials</w:t>
      </w:r>
      <w:r w:rsidR="009102D9" w:rsidRPr="00446D91">
        <w:rPr>
          <w:b/>
        </w:rPr>
        <w:t xml:space="preserve"> </w:t>
      </w:r>
    </w:p>
    <w:p w:rsidR="00315A33" w:rsidRPr="007A750C" w:rsidRDefault="00315A33" w:rsidP="007A750C">
      <w:pPr>
        <w:pStyle w:val="ListParagraph"/>
        <w:ind w:left="0"/>
        <w:jc w:val="both"/>
        <w:rPr>
          <w:szCs w:val="22"/>
        </w:rPr>
      </w:pPr>
      <w:r w:rsidRPr="007A750C">
        <w:t>The table below summarises the proportion of patients requiring treatment for a gout flare by time interval across the randomised trials (the only measure of gout flares reported by the trials):</w:t>
      </w:r>
    </w:p>
    <w:p w:rsidR="00315A33" w:rsidRPr="00124932" w:rsidRDefault="00315A33" w:rsidP="00315A33">
      <w:pPr>
        <w:pStyle w:val="BodyText3"/>
        <w:spacing w:after="0"/>
        <w:jc w:val="both"/>
        <w:rPr>
          <w:rFonts w:ascii="Arial" w:hAnsi="Arial" w:cs="Arial"/>
          <w:sz w:val="20"/>
          <w:szCs w:val="20"/>
        </w:rPr>
      </w:pPr>
    </w:p>
    <w:p w:rsidR="00315A33" w:rsidRPr="006C4EC2" w:rsidRDefault="00315A33" w:rsidP="00315A33">
      <w:pPr>
        <w:jc w:val="both"/>
        <w:rPr>
          <w:rFonts w:ascii="Arial" w:hAnsi="Arial" w:cs="Arial"/>
          <w:b/>
          <w:sz w:val="20"/>
          <w:szCs w:val="18"/>
        </w:rPr>
      </w:pPr>
      <w:r w:rsidRPr="006C4EC2">
        <w:rPr>
          <w:rFonts w:ascii="Arial" w:hAnsi="Arial" w:cs="Arial"/>
          <w:b/>
          <w:sz w:val="20"/>
          <w:szCs w:val="18"/>
        </w:rPr>
        <w:t xml:space="preserve">Summary of patients requiring treatment for a gout flare by time interval across the randomised trials (only relevant treatment arms </w:t>
      </w:r>
      <w:proofErr w:type="gramStart"/>
      <w:r w:rsidRPr="006C4EC2">
        <w:rPr>
          <w:rFonts w:ascii="Arial" w:hAnsi="Arial" w:cs="Arial"/>
          <w:b/>
          <w:sz w:val="20"/>
          <w:szCs w:val="18"/>
        </w:rPr>
        <w:t>are shown</w:t>
      </w:r>
      <w:proofErr w:type="gramEnd"/>
      <w:r w:rsidRPr="006C4EC2">
        <w:rPr>
          <w:rFonts w:ascii="Arial" w:hAnsi="Arial" w:cs="Arial"/>
          <w:b/>
          <w:sz w:val="20"/>
          <w:szCs w:val="18"/>
        </w:rPr>
        <w:t>)</w:t>
      </w:r>
    </w:p>
    <w:tbl>
      <w:tblPr>
        <w:tblW w:w="8789"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35"/>
        <w:gridCol w:w="709"/>
        <w:gridCol w:w="850"/>
        <w:gridCol w:w="709"/>
        <w:gridCol w:w="708"/>
        <w:gridCol w:w="1418"/>
        <w:gridCol w:w="992"/>
        <w:gridCol w:w="1276"/>
        <w:gridCol w:w="992"/>
      </w:tblGrid>
      <w:tr w:rsidR="00315A33" w:rsidRPr="007A750C" w:rsidTr="006C4EC2">
        <w:tc>
          <w:tcPr>
            <w:tcW w:w="1135" w:type="dxa"/>
            <w:shd w:val="clear" w:color="auto" w:fill="auto"/>
          </w:tcPr>
          <w:p w:rsidR="00315A33" w:rsidRPr="007A750C" w:rsidRDefault="00315A33" w:rsidP="006C4EC2">
            <w:pPr>
              <w:jc w:val="both"/>
              <w:rPr>
                <w:rFonts w:ascii="Arial" w:hAnsi="Arial" w:cs="Arial"/>
                <w:b/>
                <w:sz w:val="18"/>
                <w:szCs w:val="18"/>
              </w:rPr>
            </w:pPr>
            <w:r w:rsidRPr="007A750C">
              <w:rPr>
                <w:rFonts w:ascii="Arial" w:hAnsi="Arial" w:cs="Arial"/>
                <w:b/>
                <w:sz w:val="18"/>
                <w:szCs w:val="18"/>
              </w:rPr>
              <w:t>Time interval</w:t>
            </w:r>
          </w:p>
        </w:tc>
        <w:tc>
          <w:tcPr>
            <w:tcW w:w="709" w:type="dxa"/>
            <w:shd w:val="clear" w:color="auto" w:fill="auto"/>
            <w:vAlign w:val="center"/>
          </w:tcPr>
          <w:p w:rsidR="00315A33" w:rsidRPr="007A750C" w:rsidRDefault="00315A33" w:rsidP="006C4EC2">
            <w:pPr>
              <w:jc w:val="both"/>
              <w:rPr>
                <w:rFonts w:ascii="Arial" w:hAnsi="Arial" w:cs="Arial"/>
                <w:b/>
                <w:sz w:val="18"/>
                <w:szCs w:val="18"/>
              </w:rPr>
            </w:pPr>
            <w:r w:rsidRPr="007A750C">
              <w:rPr>
                <w:rFonts w:ascii="Arial" w:hAnsi="Arial" w:cs="Arial"/>
                <w:b/>
                <w:sz w:val="18"/>
                <w:szCs w:val="18"/>
              </w:rPr>
              <w:t>PBO</w:t>
            </w:r>
          </w:p>
        </w:tc>
        <w:tc>
          <w:tcPr>
            <w:tcW w:w="850" w:type="dxa"/>
            <w:shd w:val="clear" w:color="auto" w:fill="auto"/>
            <w:vAlign w:val="center"/>
          </w:tcPr>
          <w:p w:rsidR="00315A33" w:rsidRPr="007A750C" w:rsidRDefault="00315A33" w:rsidP="006C4EC2">
            <w:pPr>
              <w:jc w:val="both"/>
              <w:rPr>
                <w:rFonts w:ascii="Arial" w:hAnsi="Arial" w:cs="Arial"/>
                <w:b/>
                <w:sz w:val="18"/>
                <w:szCs w:val="18"/>
              </w:rPr>
            </w:pPr>
            <w:r w:rsidRPr="007A750C">
              <w:rPr>
                <w:rFonts w:ascii="Arial" w:hAnsi="Arial" w:cs="Arial"/>
                <w:b/>
                <w:sz w:val="18"/>
                <w:szCs w:val="18"/>
              </w:rPr>
              <w:t>FBX80</w:t>
            </w:r>
          </w:p>
        </w:tc>
        <w:tc>
          <w:tcPr>
            <w:tcW w:w="709" w:type="dxa"/>
            <w:shd w:val="clear" w:color="auto" w:fill="auto"/>
            <w:vAlign w:val="center"/>
          </w:tcPr>
          <w:p w:rsidR="00315A33" w:rsidRPr="007A750C" w:rsidRDefault="00315A33" w:rsidP="006C4EC2">
            <w:pPr>
              <w:jc w:val="both"/>
              <w:rPr>
                <w:rFonts w:ascii="Arial" w:hAnsi="Arial" w:cs="Arial"/>
                <w:b/>
                <w:sz w:val="18"/>
                <w:szCs w:val="18"/>
              </w:rPr>
            </w:pPr>
            <w:r w:rsidRPr="007A750C">
              <w:rPr>
                <w:rFonts w:ascii="Arial" w:hAnsi="Arial" w:cs="Arial"/>
                <w:b/>
                <w:sz w:val="18"/>
                <w:szCs w:val="18"/>
              </w:rPr>
              <w:t>FBX</w:t>
            </w:r>
          </w:p>
          <w:p w:rsidR="00315A33" w:rsidRPr="007A750C" w:rsidRDefault="00315A33" w:rsidP="006C4EC2">
            <w:pPr>
              <w:jc w:val="both"/>
              <w:rPr>
                <w:rFonts w:ascii="Arial" w:hAnsi="Arial" w:cs="Arial"/>
                <w:b/>
                <w:sz w:val="18"/>
                <w:szCs w:val="18"/>
              </w:rPr>
            </w:pPr>
            <w:r w:rsidRPr="007A750C">
              <w:rPr>
                <w:rFonts w:ascii="Arial" w:hAnsi="Arial" w:cs="Arial"/>
                <w:b/>
                <w:sz w:val="18"/>
                <w:szCs w:val="18"/>
              </w:rPr>
              <w:t>120</w:t>
            </w:r>
          </w:p>
        </w:tc>
        <w:tc>
          <w:tcPr>
            <w:tcW w:w="708" w:type="dxa"/>
            <w:shd w:val="clear" w:color="auto" w:fill="auto"/>
            <w:vAlign w:val="center"/>
          </w:tcPr>
          <w:p w:rsidR="00315A33" w:rsidRPr="007A750C" w:rsidRDefault="00315A33" w:rsidP="006C4EC2">
            <w:pPr>
              <w:jc w:val="both"/>
              <w:rPr>
                <w:rFonts w:ascii="Arial" w:hAnsi="Arial" w:cs="Arial"/>
                <w:b/>
                <w:sz w:val="18"/>
                <w:szCs w:val="18"/>
              </w:rPr>
            </w:pPr>
            <w:r w:rsidRPr="007A750C">
              <w:rPr>
                <w:rFonts w:ascii="Arial" w:hAnsi="Arial" w:cs="Arial"/>
                <w:b/>
                <w:sz w:val="18"/>
                <w:szCs w:val="18"/>
              </w:rPr>
              <w:t>ALO</w:t>
            </w:r>
          </w:p>
        </w:tc>
        <w:tc>
          <w:tcPr>
            <w:tcW w:w="2410" w:type="dxa"/>
            <w:gridSpan w:val="2"/>
            <w:shd w:val="clear" w:color="auto" w:fill="DBE5F1"/>
            <w:vAlign w:val="center"/>
          </w:tcPr>
          <w:p w:rsidR="00315A33" w:rsidRPr="007A750C" w:rsidRDefault="00315A33" w:rsidP="006C4EC2">
            <w:pPr>
              <w:jc w:val="both"/>
              <w:rPr>
                <w:rFonts w:ascii="Arial" w:hAnsi="Arial" w:cs="Arial"/>
                <w:b/>
                <w:i/>
                <w:sz w:val="18"/>
                <w:szCs w:val="18"/>
              </w:rPr>
            </w:pPr>
            <w:r w:rsidRPr="007A750C">
              <w:rPr>
                <w:rFonts w:ascii="Arial" w:hAnsi="Arial" w:cs="Arial"/>
                <w:b/>
                <w:i/>
                <w:sz w:val="18"/>
                <w:szCs w:val="18"/>
              </w:rPr>
              <w:t>FBX 80 vs ALO</w:t>
            </w:r>
          </w:p>
        </w:tc>
        <w:tc>
          <w:tcPr>
            <w:tcW w:w="2268" w:type="dxa"/>
            <w:gridSpan w:val="2"/>
            <w:shd w:val="clear" w:color="auto" w:fill="DBE5F1"/>
            <w:vAlign w:val="center"/>
          </w:tcPr>
          <w:p w:rsidR="00315A33" w:rsidRPr="007A750C" w:rsidRDefault="00315A33" w:rsidP="006C4EC2">
            <w:pPr>
              <w:jc w:val="both"/>
              <w:rPr>
                <w:rFonts w:ascii="Arial" w:hAnsi="Arial" w:cs="Arial"/>
                <w:b/>
                <w:i/>
                <w:sz w:val="18"/>
                <w:szCs w:val="18"/>
              </w:rPr>
            </w:pPr>
            <w:r w:rsidRPr="007A750C">
              <w:rPr>
                <w:rFonts w:ascii="Arial" w:hAnsi="Arial" w:cs="Arial"/>
                <w:b/>
                <w:i/>
                <w:sz w:val="18"/>
                <w:szCs w:val="18"/>
              </w:rPr>
              <w:t>FBX 120 vs ALO</w:t>
            </w:r>
          </w:p>
        </w:tc>
      </w:tr>
      <w:tr w:rsidR="00315A33" w:rsidRPr="007A750C" w:rsidTr="006C4EC2">
        <w:tc>
          <w:tcPr>
            <w:tcW w:w="4111" w:type="dxa"/>
            <w:gridSpan w:val="5"/>
            <w:shd w:val="clear" w:color="auto" w:fill="auto"/>
            <w:vAlign w:val="center"/>
          </w:tcPr>
          <w:p w:rsidR="00315A33" w:rsidRPr="006C4EC2" w:rsidRDefault="00315A33" w:rsidP="006C4EC2">
            <w:pPr>
              <w:jc w:val="both"/>
              <w:rPr>
                <w:rFonts w:ascii="Arial" w:hAnsi="Arial" w:cs="Arial"/>
                <w:b/>
                <w:sz w:val="18"/>
                <w:szCs w:val="18"/>
              </w:rPr>
            </w:pPr>
            <w:r w:rsidRPr="006C4EC2">
              <w:rPr>
                <w:rFonts w:ascii="Arial" w:hAnsi="Arial" w:cs="Arial"/>
                <w:b/>
                <w:sz w:val="18"/>
                <w:szCs w:val="18"/>
              </w:rPr>
              <w:t>APEX</w:t>
            </w:r>
          </w:p>
        </w:tc>
        <w:tc>
          <w:tcPr>
            <w:tcW w:w="1418" w:type="dxa"/>
            <w:shd w:val="clear" w:color="auto" w:fill="DBE5F1"/>
            <w:vAlign w:val="center"/>
          </w:tcPr>
          <w:p w:rsidR="00315A33" w:rsidRPr="006C4EC2" w:rsidRDefault="00315A33" w:rsidP="006C4EC2">
            <w:pPr>
              <w:jc w:val="both"/>
              <w:rPr>
                <w:rFonts w:ascii="Arial" w:hAnsi="Arial" w:cs="Arial"/>
                <w:b/>
                <w:i/>
                <w:sz w:val="18"/>
                <w:szCs w:val="18"/>
              </w:rPr>
            </w:pPr>
            <w:r w:rsidRPr="006C4EC2">
              <w:rPr>
                <w:rFonts w:ascii="Arial" w:hAnsi="Arial" w:cs="Arial"/>
                <w:b/>
                <w:i/>
                <w:sz w:val="18"/>
                <w:szCs w:val="18"/>
              </w:rPr>
              <w:t>RD (95%CI)</w:t>
            </w:r>
          </w:p>
          <w:p w:rsidR="00315A33" w:rsidRPr="007A750C" w:rsidRDefault="00315A33" w:rsidP="006C4EC2">
            <w:pPr>
              <w:jc w:val="both"/>
              <w:rPr>
                <w:rFonts w:ascii="Arial" w:hAnsi="Arial" w:cs="Arial"/>
                <w:b/>
                <w:i/>
                <w:sz w:val="18"/>
                <w:szCs w:val="18"/>
              </w:rPr>
            </w:pPr>
            <w:r w:rsidRPr="007A750C">
              <w:rPr>
                <w:rFonts w:ascii="Arial" w:hAnsi="Arial" w:cs="Arial"/>
                <w:b/>
                <w:i/>
                <w:sz w:val="18"/>
                <w:szCs w:val="18"/>
              </w:rPr>
              <w:t>NNT[95%CI]^</w:t>
            </w:r>
          </w:p>
        </w:tc>
        <w:tc>
          <w:tcPr>
            <w:tcW w:w="992" w:type="dxa"/>
            <w:shd w:val="clear" w:color="auto" w:fill="DBE5F1"/>
            <w:vAlign w:val="center"/>
          </w:tcPr>
          <w:p w:rsidR="00315A33" w:rsidRPr="007A750C" w:rsidRDefault="00315A33" w:rsidP="006C4EC2">
            <w:pPr>
              <w:jc w:val="both"/>
              <w:rPr>
                <w:rFonts w:ascii="Arial" w:hAnsi="Arial" w:cs="Arial"/>
                <w:b/>
                <w:i/>
                <w:sz w:val="18"/>
                <w:szCs w:val="18"/>
              </w:rPr>
            </w:pPr>
            <w:r w:rsidRPr="007A750C">
              <w:rPr>
                <w:rFonts w:ascii="Arial" w:hAnsi="Arial" w:cs="Arial"/>
                <w:b/>
                <w:i/>
                <w:sz w:val="18"/>
                <w:szCs w:val="18"/>
              </w:rPr>
              <w:t>RR (95%CI)</w:t>
            </w:r>
          </w:p>
        </w:tc>
        <w:tc>
          <w:tcPr>
            <w:tcW w:w="1276" w:type="dxa"/>
            <w:shd w:val="clear" w:color="auto" w:fill="DBE5F1"/>
            <w:vAlign w:val="center"/>
          </w:tcPr>
          <w:p w:rsidR="00315A33" w:rsidRPr="007A750C" w:rsidRDefault="00315A33" w:rsidP="006C4EC2">
            <w:pPr>
              <w:jc w:val="both"/>
              <w:rPr>
                <w:rFonts w:ascii="Arial" w:hAnsi="Arial" w:cs="Arial"/>
                <w:b/>
                <w:i/>
                <w:sz w:val="18"/>
                <w:szCs w:val="18"/>
              </w:rPr>
            </w:pPr>
            <w:r w:rsidRPr="007A750C">
              <w:rPr>
                <w:rFonts w:ascii="Arial" w:hAnsi="Arial" w:cs="Arial"/>
                <w:b/>
                <w:i/>
                <w:sz w:val="18"/>
                <w:szCs w:val="18"/>
              </w:rPr>
              <w:t>RD (95%CI)</w:t>
            </w:r>
          </w:p>
          <w:p w:rsidR="00315A33" w:rsidRPr="007A750C" w:rsidRDefault="00315A33" w:rsidP="006C4EC2">
            <w:pPr>
              <w:jc w:val="both"/>
              <w:rPr>
                <w:rFonts w:ascii="Arial" w:hAnsi="Arial" w:cs="Arial"/>
                <w:b/>
                <w:i/>
                <w:sz w:val="18"/>
                <w:szCs w:val="18"/>
              </w:rPr>
            </w:pPr>
            <w:r w:rsidRPr="007A750C">
              <w:rPr>
                <w:rFonts w:ascii="Arial" w:hAnsi="Arial" w:cs="Arial"/>
                <w:b/>
                <w:i/>
                <w:sz w:val="18"/>
                <w:szCs w:val="18"/>
              </w:rPr>
              <w:t>NNT[95%CI]^</w:t>
            </w:r>
          </w:p>
        </w:tc>
        <w:tc>
          <w:tcPr>
            <w:tcW w:w="992" w:type="dxa"/>
            <w:shd w:val="clear" w:color="auto" w:fill="DBE5F1"/>
            <w:vAlign w:val="center"/>
          </w:tcPr>
          <w:p w:rsidR="00315A33" w:rsidRPr="007A750C" w:rsidRDefault="00315A33" w:rsidP="006C4EC2">
            <w:pPr>
              <w:jc w:val="both"/>
              <w:rPr>
                <w:rFonts w:ascii="Arial" w:hAnsi="Arial" w:cs="Arial"/>
                <w:b/>
                <w:i/>
                <w:sz w:val="18"/>
                <w:szCs w:val="18"/>
              </w:rPr>
            </w:pPr>
            <w:r w:rsidRPr="007A750C">
              <w:rPr>
                <w:rFonts w:ascii="Arial" w:hAnsi="Arial" w:cs="Arial"/>
                <w:b/>
                <w:i/>
                <w:sz w:val="18"/>
                <w:szCs w:val="18"/>
              </w:rPr>
              <w:t>RR (95%CI)</w:t>
            </w:r>
          </w:p>
        </w:tc>
      </w:tr>
      <w:tr w:rsidR="00315A33" w:rsidRPr="007A750C" w:rsidTr="006C4EC2">
        <w:tc>
          <w:tcPr>
            <w:tcW w:w="1135" w:type="dxa"/>
            <w:shd w:val="clear" w:color="auto" w:fill="auto"/>
            <w:vAlign w:val="center"/>
          </w:tcPr>
          <w:p w:rsidR="00315A33" w:rsidRPr="006C4EC2" w:rsidRDefault="00315A33" w:rsidP="006C4EC2">
            <w:pPr>
              <w:jc w:val="both"/>
              <w:rPr>
                <w:rFonts w:ascii="Arial" w:hAnsi="Arial" w:cs="Arial"/>
                <w:sz w:val="18"/>
                <w:szCs w:val="18"/>
              </w:rPr>
            </w:pPr>
            <w:r w:rsidRPr="006C4EC2">
              <w:rPr>
                <w:rFonts w:ascii="Arial" w:hAnsi="Arial" w:cs="Arial"/>
                <w:sz w:val="18"/>
                <w:szCs w:val="18"/>
              </w:rPr>
              <w:t>Day 1 to Week 28</w:t>
            </w:r>
          </w:p>
        </w:tc>
        <w:tc>
          <w:tcPr>
            <w:tcW w:w="709" w:type="dxa"/>
            <w:shd w:val="clear" w:color="auto" w:fill="auto"/>
            <w:vAlign w:val="center"/>
          </w:tcPr>
          <w:p w:rsidR="00315A33" w:rsidRPr="007A750C" w:rsidRDefault="00315A33" w:rsidP="006C4EC2">
            <w:pPr>
              <w:jc w:val="both"/>
              <w:rPr>
                <w:rFonts w:ascii="Arial" w:hAnsi="Arial" w:cs="Arial"/>
                <w:sz w:val="18"/>
                <w:szCs w:val="18"/>
              </w:rPr>
            </w:pPr>
            <w:r w:rsidRPr="007A750C">
              <w:rPr>
                <w:rFonts w:ascii="Arial" w:hAnsi="Arial" w:cs="Arial"/>
                <w:sz w:val="18"/>
                <w:szCs w:val="18"/>
              </w:rPr>
              <w:t>74/134 (55%)</w:t>
            </w:r>
          </w:p>
        </w:tc>
        <w:tc>
          <w:tcPr>
            <w:tcW w:w="850" w:type="dxa"/>
            <w:shd w:val="clear" w:color="auto" w:fill="auto"/>
            <w:vAlign w:val="center"/>
          </w:tcPr>
          <w:p w:rsidR="00315A33" w:rsidRPr="007A750C" w:rsidRDefault="00315A33" w:rsidP="006C4EC2">
            <w:pPr>
              <w:jc w:val="both"/>
              <w:rPr>
                <w:rFonts w:ascii="Arial" w:hAnsi="Arial" w:cs="Arial"/>
                <w:sz w:val="18"/>
                <w:szCs w:val="18"/>
              </w:rPr>
            </w:pPr>
            <w:r w:rsidRPr="007A750C">
              <w:rPr>
                <w:rFonts w:ascii="Arial" w:hAnsi="Arial" w:cs="Arial"/>
                <w:sz w:val="18"/>
                <w:szCs w:val="18"/>
              </w:rPr>
              <w:t>149/262 (57%)</w:t>
            </w:r>
          </w:p>
        </w:tc>
        <w:tc>
          <w:tcPr>
            <w:tcW w:w="709" w:type="dxa"/>
            <w:shd w:val="clear" w:color="auto" w:fill="auto"/>
            <w:vAlign w:val="center"/>
          </w:tcPr>
          <w:p w:rsidR="00315A33" w:rsidRPr="007A750C" w:rsidRDefault="00315A33" w:rsidP="006C4EC2">
            <w:pPr>
              <w:jc w:val="both"/>
              <w:rPr>
                <w:rFonts w:ascii="Arial" w:hAnsi="Arial" w:cs="Arial"/>
                <w:sz w:val="18"/>
                <w:szCs w:val="18"/>
              </w:rPr>
            </w:pPr>
            <w:r w:rsidRPr="007A750C">
              <w:rPr>
                <w:rFonts w:ascii="Arial" w:hAnsi="Arial" w:cs="Arial"/>
                <w:sz w:val="18"/>
                <w:szCs w:val="18"/>
              </w:rPr>
              <w:t>168/269 (62%)</w:t>
            </w:r>
          </w:p>
        </w:tc>
        <w:tc>
          <w:tcPr>
            <w:tcW w:w="708" w:type="dxa"/>
            <w:shd w:val="clear" w:color="auto" w:fill="auto"/>
            <w:vAlign w:val="center"/>
          </w:tcPr>
          <w:p w:rsidR="00315A33" w:rsidRPr="007A750C" w:rsidRDefault="00315A33" w:rsidP="006C4EC2">
            <w:pPr>
              <w:jc w:val="both"/>
              <w:rPr>
                <w:rFonts w:ascii="Arial" w:hAnsi="Arial" w:cs="Arial"/>
                <w:sz w:val="18"/>
                <w:szCs w:val="18"/>
              </w:rPr>
            </w:pPr>
            <w:r w:rsidRPr="007A750C">
              <w:rPr>
                <w:rFonts w:ascii="Arial" w:hAnsi="Arial" w:cs="Arial"/>
                <w:sz w:val="18"/>
                <w:szCs w:val="18"/>
              </w:rPr>
              <w:t>136/268 (51%)</w:t>
            </w:r>
          </w:p>
        </w:tc>
        <w:tc>
          <w:tcPr>
            <w:tcW w:w="1418" w:type="dxa"/>
            <w:shd w:val="clear" w:color="auto" w:fill="DBE5F1"/>
            <w:vAlign w:val="center"/>
          </w:tcPr>
          <w:p w:rsidR="00315A33" w:rsidRPr="007A750C" w:rsidRDefault="00315A33" w:rsidP="006C4EC2">
            <w:pPr>
              <w:jc w:val="both"/>
              <w:rPr>
                <w:rFonts w:ascii="Arial" w:hAnsi="Arial" w:cs="Arial"/>
                <w:i/>
                <w:sz w:val="18"/>
                <w:szCs w:val="18"/>
              </w:rPr>
            </w:pPr>
            <w:r w:rsidRPr="007A750C">
              <w:rPr>
                <w:rFonts w:ascii="Arial" w:hAnsi="Arial" w:cs="Arial"/>
                <w:i/>
                <w:sz w:val="18"/>
                <w:szCs w:val="18"/>
              </w:rPr>
              <w:t>6% (-2%</w:t>
            </w:r>
            <w:proofErr w:type="gramStart"/>
            <w:r w:rsidRPr="007A750C">
              <w:rPr>
                <w:rFonts w:ascii="Arial" w:hAnsi="Arial" w:cs="Arial"/>
                <w:i/>
                <w:sz w:val="18"/>
                <w:szCs w:val="18"/>
              </w:rPr>
              <w:t>,15</w:t>
            </w:r>
            <w:proofErr w:type="gramEnd"/>
            <w:r w:rsidRPr="007A750C">
              <w:rPr>
                <w:rFonts w:ascii="Arial" w:hAnsi="Arial" w:cs="Arial"/>
                <w:i/>
                <w:sz w:val="18"/>
                <w:szCs w:val="18"/>
              </w:rPr>
              <w:t>%)</w:t>
            </w:r>
          </w:p>
        </w:tc>
        <w:tc>
          <w:tcPr>
            <w:tcW w:w="992" w:type="dxa"/>
            <w:shd w:val="clear" w:color="auto" w:fill="DBE5F1"/>
            <w:vAlign w:val="center"/>
          </w:tcPr>
          <w:p w:rsidR="00315A33" w:rsidRPr="007A750C" w:rsidRDefault="00315A33" w:rsidP="006C4EC2">
            <w:pPr>
              <w:jc w:val="both"/>
              <w:rPr>
                <w:rFonts w:ascii="Arial" w:hAnsi="Arial" w:cs="Arial"/>
                <w:i/>
                <w:sz w:val="18"/>
                <w:szCs w:val="18"/>
              </w:rPr>
            </w:pPr>
            <w:r w:rsidRPr="007A750C">
              <w:rPr>
                <w:rFonts w:ascii="Arial" w:hAnsi="Arial" w:cs="Arial"/>
                <w:i/>
                <w:sz w:val="18"/>
                <w:szCs w:val="18"/>
              </w:rPr>
              <w:t>1.12</w:t>
            </w:r>
          </w:p>
          <w:p w:rsidR="00315A33" w:rsidRPr="007A750C" w:rsidRDefault="00315A33" w:rsidP="006C4EC2">
            <w:pPr>
              <w:jc w:val="both"/>
              <w:rPr>
                <w:rFonts w:ascii="Arial" w:hAnsi="Arial" w:cs="Arial"/>
                <w:i/>
                <w:sz w:val="18"/>
                <w:szCs w:val="18"/>
              </w:rPr>
            </w:pPr>
            <w:r w:rsidRPr="007A750C">
              <w:rPr>
                <w:rFonts w:ascii="Arial" w:hAnsi="Arial" w:cs="Arial"/>
                <w:i/>
                <w:sz w:val="18"/>
                <w:szCs w:val="18"/>
              </w:rPr>
              <w:t>(0.96,1.31)</w:t>
            </w:r>
          </w:p>
        </w:tc>
        <w:tc>
          <w:tcPr>
            <w:tcW w:w="1276" w:type="dxa"/>
            <w:shd w:val="clear" w:color="auto" w:fill="DBE5F1"/>
            <w:vAlign w:val="center"/>
          </w:tcPr>
          <w:p w:rsidR="00315A33" w:rsidRPr="007A750C" w:rsidRDefault="00315A33" w:rsidP="006C4EC2">
            <w:pPr>
              <w:jc w:val="both"/>
              <w:rPr>
                <w:rFonts w:ascii="Arial" w:hAnsi="Arial" w:cs="Arial"/>
                <w:b/>
                <w:i/>
                <w:sz w:val="18"/>
                <w:szCs w:val="18"/>
              </w:rPr>
            </w:pPr>
            <w:proofErr w:type="gramStart"/>
            <w:r w:rsidRPr="007A750C">
              <w:rPr>
                <w:rFonts w:ascii="Arial" w:hAnsi="Arial" w:cs="Arial"/>
                <w:b/>
                <w:i/>
                <w:sz w:val="18"/>
                <w:szCs w:val="18"/>
              </w:rPr>
              <w:t>12%</w:t>
            </w:r>
            <w:proofErr w:type="gramEnd"/>
            <w:r w:rsidRPr="007A750C">
              <w:rPr>
                <w:rFonts w:ascii="Arial" w:hAnsi="Arial" w:cs="Arial"/>
                <w:b/>
                <w:i/>
                <w:sz w:val="18"/>
                <w:szCs w:val="18"/>
              </w:rPr>
              <w:t>(3%, 20%)</w:t>
            </w:r>
          </w:p>
          <w:p w:rsidR="00315A33" w:rsidRPr="007A750C" w:rsidRDefault="00315A33" w:rsidP="006C4EC2">
            <w:pPr>
              <w:jc w:val="both"/>
              <w:rPr>
                <w:rFonts w:ascii="Arial" w:hAnsi="Arial" w:cs="Arial"/>
                <w:b/>
                <w:i/>
                <w:sz w:val="18"/>
                <w:szCs w:val="18"/>
              </w:rPr>
            </w:pPr>
            <w:r w:rsidRPr="007A750C">
              <w:rPr>
                <w:rFonts w:ascii="Arial" w:hAnsi="Arial" w:cs="Arial"/>
                <w:b/>
                <w:i/>
                <w:sz w:val="18"/>
                <w:szCs w:val="18"/>
              </w:rPr>
              <w:t>7 [5, 33]</w:t>
            </w:r>
          </w:p>
        </w:tc>
        <w:tc>
          <w:tcPr>
            <w:tcW w:w="992" w:type="dxa"/>
            <w:shd w:val="clear" w:color="auto" w:fill="DBE5F1"/>
            <w:vAlign w:val="center"/>
          </w:tcPr>
          <w:p w:rsidR="00315A33" w:rsidRPr="007A750C" w:rsidRDefault="00315A33" w:rsidP="006C4EC2">
            <w:pPr>
              <w:jc w:val="both"/>
              <w:rPr>
                <w:rFonts w:ascii="Arial" w:hAnsi="Arial" w:cs="Arial"/>
                <w:i/>
                <w:sz w:val="18"/>
                <w:szCs w:val="18"/>
              </w:rPr>
            </w:pPr>
            <w:r w:rsidRPr="007A750C">
              <w:rPr>
                <w:rFonts w:ascii="Arial" w:hAnsi="Arial" w:cs="Arial"/>
                <w:i/>
                <w:sz w:val="18"/>
                <w:szCs w:val="18"/>
              </w:rPr>
              <w:t>1.23</w:t>
            </w:r>
          </w:p>
          <w:p w:rsidR="00315A33" w:rsidRPr="007A750C" w:rsidRDefault="00315A33" w:rsidP="006C4EC2">
            <w:pPr>
              <w:jc w:val="both"/>
              <w:rPr>
                <w:rFonts w:ascii="Arial" w:hAnsi="Arial" w:cs="Arial"/>
                <w:i/>
                <w:sz w:val="18"/>
                <w:szCs w:val="18"/>
              </w:rPr>
            </w:pPr>
            <w:r w:rsidRPr="007A750C">
              <w:rPr>
                <w:rFonts w:ascii="Arial" w:hAnsi="Arial" w:cs="Arial"/>
                <w:i/>
                <w:sz w:val="18"/>
                <w:szCs w:val="18"/>
              </w:rPr>
              <w:t>(1.05, 1.42)</w:t>
            </w:r>
          </w:p>
        </w:tc>
      </w:tr>
      <w:tr w:rsidR="00315A33" w:rsidRPr="007A750C" w:rsidTr="006C4EC2">
        <w:trPr>
          <w:trHeight w:val="143"/>
        </w:trPr>
        <w:tc>
          <w:tcPr>
            <w:tcW w:w="1135" w:type="dxa"/>
            <w:shd w:val="clear" w:color="auto" w:fill="auto"/>
            <w:vAlign w:val="center"/>
          </w:tcPr>
          <w:p w:rsidR="00315A33" w:rsidRPr="006C4EC2" w:rsidRDefault="00315A33" w:rsidP="006C4EC2">
            <w:pPr>
              <w:jc w:val="both"/>
              <w:rPr>
                <w:rFonts w:ascii="Arial" w:hAnsi="Arial" w:cs="Arial"/>
                <w:sz w:val="18"/>
                <w:szCs w:val="18"/>
              </w:rPr>
            </w:pPr>
            <w:r w:rsidRPr="006C4EC2">
              <w:rPr>
                <w:rFonts w:ascii="Arial" w:hAnsi="Arial" w:cs="Arial"/>
                <w:sz w:val="18"/>
                <w:szCs w:val="18"/>
              </w:rPr>
              <w:t>During prophylaxis*</w:t>
            </w:r>
          </w:p>
        </w:tc>
        <w:tc>
          <w:tcPr>
            <w:tcW w:w="709" w:type="dxa"/>
            <w:shd w:val="clear" w:color="auto" w:fill="auto"/>
            <w:vAlign w:val="center"/>
          </w:tcPr>
          <w:p w:rsidR="00315A33" w:rsidRPr="007A750C" w:rsidRDefault="00315A33" w:rsidP="006C4EC2">
            <w:pPr>
              <w:jc w:val="both"/>
              <w:rPr>
                <w:rFonts w:ascii="Arial" w:hAnsi="Arial" w:cs="Arial"/>
                <w:sz w:val="18"/>
                <w:szCs w:val="18"/>
              </w:rPr>
            </w:pPr>
            <w:r w:rsidRPr="007A750C">
              <w:rPr>
                <w:rFonts w:ascii="Arial" w:hAnsi="Arial" w:cs="Arial"/>
                <w:sz w:val="18"/>
                <w:szCs w:val="18"/>
              </w:rPr>
              <w:t>29/133 (22%)</w:t>
            </w:r>
          </w:p>
        </w:tc>
        <w:tc>
          <w:tcPr>
            <w:tcW w:w="850" w:type="dxa"/>
            <w:shd w:val="clear" w:color="auto" w:fill="auto"/>
            <w:vAlign w:val="center"/>
          </w:tcPr>
          <w:p w:rsidR="00315A33" w:rsidRPr="007A750C" w:rsidRDefault="00315A33" w:rsidP="006C4EC2">
            <w:pPr>
              <w:jc w:val="both"/>
              <w:rPr>
                <w:rFonts w:ascii="Arial" w:hAnsi="Arial" w:cs="Arial"/>
                <w:sz w:val="18"/>
                <w:szCs w:val="18"/>
              </w:rPr>
            </w:pPr>
            <w:r w:rsidRPr="007A750C">
              <w:rPr>
                <w:rFonts w:ascii="Arial" w:hAnsi="Arial" w:cs="Arial"/>
                <w:sz w:val="18"/>
                <w:szCs w:val="18"/>
              </w:rPr>
              <w:t>75/262 (29%)</w:t>
            </w:r>
          </w:p>
        </w:tc>
        <w:tc>
          <w:tcPr>
            <w:tcW w:w="709" w:type="dxa"/>
            <w:shd w:val="clear" w:color="auto" w:fill="auto"/>
            <w:vAlign w:val="center"/>
          </w:tcPr>
          <w:p w:rsidR="00315A33" w:rsidRPr="007A750C" w:rsidRDefault="00315A33" w:rsidP="006C4EC2">
            <w:pPr>
              <w:jc w:val="both"/>
              <w:rPr>
                <w:rFonts w:ascii="Arial" w:hAnsi="Arial" w:cs="Arial"/>
                <w:b/>
                <w:sz w:val="18"/>
                <w:szCs w:val="18"/>
              </w:rPr>
            </w:pPr>
            <w:r w:rsidRPr="007A750C">
              <w:rPr>
                <w:rFonts w:ascii="Arial" w:hAnsi="Arial" w:cs="Arial"/>
                <w:b/>
                <w:sz w:val="18"/>
                <w:szCs w:val="18"/>
              </w:rPr>
              <w:t xml:space="preserve">101/268 (38%) </w:t>
            </w:r>
            <w:r w:rsidRPr="007A750C">
              <w:rPr>
                <w:rFonts w:ascii="Arial" w:hAnsi="Arial" w:cs="Arial"/>
                <w:b/>
                <w:sz w:val="18"/>
                <w:szCs w:val="18"/>
                <w:vertAlign w:val="superscript"/>
              </w:rPr>
              <w:t>p</w:t>
            </w:r>
          </w:p>
        </w:tc>
        <w:tc>
          <w:tcPr>
            <w:tcW w:w="708" w:type="dxa"/>
            <w:shd w:val="clear" w:color="auto" w:fill="auto"/>
            <w:vAlign w:val="center"/>
          </w:tcPr>
          <w:p w:rsidR="00315A33" w:rsidRPr="007A750C" w:rsidRDefault="00315A33" w:rsidP="006C4EC2">
            <w:pPr>
              <w:jc w:val="both"/>
              <w:rPr>
                <w:rFonts w:ascii="Arial" w:hAnsi="Arial" w:cs="Arial"/>
                <w:sz w:val="18"/>
                <w:szCs w:val="18"/>
              </w:rPr>
            </w:pPr>
            <w:r w:rsidRPr="007A750C">
              <w:rPr>
                <w:rFonts w:ascii="Arial" w:hAnsi="Arial" w:cs="Arial"/>
                <w:sz w:val="18"/>
                <w:szCs w:val="18"/>
              </w:rPr>
              <w:t>64/267 (24%)</w:t>
            </w:r>
          </w:p>
        </w:tc>
        <w:tc>
          <w:tcPr>
            <w:tcW w:w="1418" w:type="dxa"/>
            <w:shd w:val="clear" w:color="auto" w:fill="DBE5F1"/>
            <w:vAlign w:val="center"/>
          </w:tcPr>
          <w:p w:rsidR="00315A33" w:rsidRPr="007A750C" w:rsidRDefault="00315A33" w:rsidP="006C4EC2">
            <w:pPr>
              <w:jc w:val="both"/>
              <w:rPr>
                <w:rFonts w:ascii="Arial" w:hAnsi="Arial" w:cs="Arial"/>
                <w:i/>
                <w:sz w:val="18"/>
                <w:szCs w:val="18"/>
              </w:rPr>
            </w:pPr>
            <w:r w:rsidRPr="007A750C">
              <w:rPr>
                <w:rFonts w:ascii="Arial" w:hAnsi="Arial" w:cs="Arial"/>
                <w:i/>
                <w:sz w:val="18"/>
                <w:szCs w:val="18"/>
              </w:rPr>
              <w:t>5%(-3%</w:t>
            </w:r>
            <w:proofErr w:type="gramStart"/>
            <w:r w:rsidRPr="007A750C">
              <w:rPr>
                <w:rFonts w:ascii="Arial" w:hAnsi="Arial" w:cs="Arial"/>
                <w:i/>
                <w:sz w:val="18"/>
                <w:szCs w:val="18"/>
              </w:rPr>
              <w:t>,12</w:t>
            </w:r>
            <w:proofErr w:type="gramEnd"/>
            <w:r w:rsidRPr="007A750C">
              <w:rPr>
                <w:rFonts w:ascii="Arial" w:hAnsi="Arial" w:cs="Arial"/>
                <w:i/>
                <w:sz w:val="18"/>
                <w:szCs w:val="18"/>
              </w:rPr>
              <w:t>%)</w:t>
            </w:r>
          </w:p>
        </w:tc>
        <w:tc>
          <w:tcPr>
            <w:tcW w:w="992" w:type="dxa"/>
            <w:shd w:val="clear" w:color="auto" w:fill="DBE5F1"/>
            <w:vAlign w:val="center"/>
          </w:tcPr>
          <w:p w:rsidR="00315A33" w:rsidRPr="007A750C" w:rsidRDefault="00315A33" w:rsidP="006C4EC2">
            <w:pPr>
              <w:jc w:val="both"/>
              <w:rPr>
                <w:rFonts w:ascii="Arial" w:hAnsi="Arial" w:cs="Arial"/>
                <w:i/>
                <w:sz w:val="18"/>
                <w:szCs w:val="18"/>
              </w:rPr>
            </w:pPr>
            <w:r w:rsidRPr="007A750C">
              <w:rPr>
                <w:rFonts w:ascii="Arial" w:hAnsi="Arial" w:cs="Arial"/>
                <w:i/>
                <w:sz w:val="18"/>
                <w:szCs w:val="18"/>
              </w:rPr>
              <w:t>1.2</w:t>
            </w:r>
          </w:p>
          <w:p w:rsidR="00315A33" w:rsidRPr="007A750C" w:rsidRDefault="00315A33" w:rsidP="006C4EC2">
            <w:pPr>
              <w:jc w:val="both"/>
              <w:rPr>
                <w:rFonts w:ascii="Arial" w:hAnsi="Arial" w:cs="Arial"/>
                <w:i/>
                <w:sz w:val="18"/>
                <w:szCs w:val="18"/>
              </w:rPr>
            </w:pPr>
            <w:r w:rsidRPr="007A750C">
              <w:rPr>
                <w:rFonts w:ascii="Arial" w:hAnsi="Arial" w:cs="Arial"/>
                <w:i/>
                <w:sz w:val="18"/>
                <w:szCs w:val="18"/>
              </w:rPr>
              <w:t>(0.9,1.6)</w:t>
            </w:r>
          </w:p>
        </w:tc>
        <w:tc>
          <w:tcPr>
            <w:tcW w:w="1276" w:type="dxa"/>
            <w:shd w:val="clear" w:color="auto" w:fill="DBE5F1"/>
            <w:vAlign w:val="center"/>
          </w:tcPr>
          <w:p w:rsidR="00315A33" w:rsidRPr="007A750C" w:rsidRDefault="00315A33" w:rsidP="006C4EC2">
            <w:pPr>
              <w:jc w:val="both"/>
              <w:rPr>
                <w:rFonts w:ascii="Arial" w:hAnsi="Arial" w:cs="Arial"/>
                <w:b/>
                <w:i/>
                <w:sz w:val="18"/>
                <w:szCs w:val="18"/>
              </w:rPr>
            </w:pPr>
            <w:proofErr w:type="gramStart"/>
            <w:r w:rsidRPr="007A750C">
              <w:rPr>
                <w:rFonts w:ascii="Arial" w:hAnsi="Arial" w:cs="Arial"/>
                <w:b/>
                <w:i/>
                <w:sz w:val="18"/>
                <w:szCs w:val="18"/>
              </w:rPr>
              <w:t>14%</w:t>
            </w:r>
            <w:proofErr w:type="gramEnd"/>
            <w:r w:rsidRPr="007A750C">
              <w:rPr>
                <w:rFonts w:ascii="Arial" w:hAnsi="Arial" w:cs="Arial"/>
                <w:b/>
                <w:i/>
                <w:sz w:val="18"/>
                <w:szCs w:val="18"/>
              </w:rPr>
              <w:t>(6%,21%)</w:t>
            </w:r>
          </w:p>
          <w:p w:rsidR="00315A33" w:rsidRPr="007A750C" w:rsidRDefault="00315A33" w:rsidP="006C4EC2">
            <w:pPr>
              <w:jc w:val="both"/>
              <w:rPr>
                <w:rFonts w:ascii="Arial" w:hAnsi="Arial" w:cs="Arial"/>
                <w:b/>
                <w:i/>
                <w:sz w:val="18"/>
                <w:szCs w:val="18"/>
              </w:rPr>
            </w:pPr>
            <w:r w:rsidRPr="007A750C">
              <w:rPr>
                <w:rFonts w:ascii="Arial" w:hAnsi="Arial" w:cs="Arial"/>
                <w:b/>
                <w:i/>
                <w:sz w:val="18"/>
                <w:szCs w:val="18"/>
              </w:rPr>
              <w:t>7 [5, 17]</w:t>
            </w:r>
          </w:p>
        </w:tc>
        <w:tc>
          <w:tcPr>
            <w:tcW w:w="992" w:type="dxa"/>
            <w:shd w:val="clear" w:color="auto" w:fill="DBE5F1"/>
            <w:vAlign w:val="center"/>
          </w:tcPr>
          <w:p w:rsidR="00315A33" w:rsidRPr="007A750C" w:rsidRDefault="00315A33" w:rsidP="006C4EC2">
            <w:pPr>
              <w:jc w:val="both"/>
              <w:rPr>
                <w:rFonts w:ascii="Arial" w:hAnsi="Arial" w:cs="Arial"/>
                <w:b/>
                <w:i/>
                <w:sz w:val="18"/>
                <w:szCs w:val="18"/>
              </w:rPr>
            </w:pPr>
            <w:r w:rsidRPr="007A750C">
              <w:rPr>
                <w:rFonts w:ascii="Arial" w:hAnsi="Arial" w:cs="Arial"/>
                <w:b/>
                <w:i/>
                <w:sz w:val="18"/>
                <w:szCs w:val="18"/>
              </w:rPr>
              <w:t>1.6</w:t>
            </w:r>
          </w:p>
          <w:p w:rsidR="00315A33" w:rsidRPr="007A750C" w:rsidRDefault="00315A33" w:rsidP="006C4EC2">
            <w:pPr>
              <w:jc w:val="both"/>
              <w:rPr>
                <w:rFonts w:ascii="Arial" w:hAnsi="Arial" w:cs="Arial"/>
                <w:b/>
                <w:i/>
                <w:sz w:val="18"/>
                <w:szCs w:val="18"/>
              </w:rPr>
            </w:pPr>
            <w:r w:rsidRPr="007A750C">
              <w:rPr>
                <w:rFonts w:ascii="Arial" w:hAnsi="Arial" w:cs="Arial"/>
                <w:b/>
                <w:i/>
                <w:sz w:val="18"/>
                <w:szCs w:val="18"/>
              </w:rPr>
              <w:t>(1.2, 2.0)</w:t>
            </w:r>
          </w:p>
        </w:tc>
      </w:tr>
      <w:tr w:rsidR="00315A33" w:rsidRPr="007A750C" w:rsidTr="006C4EC2">
        <w:tc>
          <w:tcPr>
            <w:tcW w:w="1135" w:type="dxa"/>
            <w:shd w:val="clear" w:color="auto" w:fill="auto"/>
            <w:vAlign w:val="center"/>
          </w:tcPr>
          <w:p w:rsidR="00315A33" w:rsidRPr="006C4EC2" w:rsidRDefault="00315A33" w:rsidP="006C4EC2">
            <w:pPr>
              <w:jc w:val="both"/>
              <w:rPr>
                <w:rFonts w:ascii="Arial" w:hAnsi="Arial" w:cs="Arial"/>
                <w:sz w:val="18"/>
                <w:szCs w:val="18"/>
              </w:rPr>
            </w:pPr>
            <w:r w:rsidRPr="006C4EC2">
              <w:rPr>
                <w:rFonts w:ascii="Arial" w:hAnsi="Arial" w:cs="Arial"/>
                <w:sz w:val="18"/>
                <w:szCs w:val="18"/>
              </w:rPr>
              <w:t>After prophylaxis*</w:t>
            </w:r>
          </w:p>
        </w:tc>
        <w:tc>
          <w:tcPr>
            <w:tcW w:w="709" w:type="dxa"/>
            <w:shd w:val="clear" w:color="auto" w:fill="auto"/>
            <w:vAlign w:val="center"/>
          </w:tcPr>
          <w:p w:rsidR="00315A33" w:rsidRPr="007A750C" w:rsidRDefault="00315A33" w:rsidP="006C4EC2">
            <w:pPr>
              <w:jc w:val="both"/>
              <w:rPr>
                <w:rFonts w:ascii="Arial" w:hAnsi="Arial" w:cs="Arial"/>
                <w:sz w:val="18"/>
                <w:szCs w:val="18"/>
              </w:rPr>
            </w:pPr>
            <w:r w:rsidRPr="007A750C">
              <w:rPr>
                <w:rFonts w:ascii="Arial" w:hAnsi="Arial" w:cs="Arial"/>
                <w:sz w:val="18"/>
                <w:szCs w:val="18"/>
              </w:rPr>
              <w:t>62/133 (47%)</w:t>
            </w:r>
          </w:p>
        </w:tc>
        <w:tc>
          <w:tcPr>
            <w:tcW w:w="850" w:type="dxa"/>
            <w:shd w:val="clear" w:color="auto" w:fill="auto"/>
            <w:vAlign w:val="center"/>
          </w:tcPr>
          <w:p w:rsidR="00315A33" w:rsidRPr="007A750C" w:rsidRDefault="00315A33" w:rsidP="006C4EC2">
            <w:pPr>
              <w:jc w:val="both"/>
              <w:rPr>
                <w:rFonts w:ascii="Arial" w:hAnsi="Arial" w:cs="Arial"/>
                <w:sz w:val="18"/>
                <w:szCs w:val="18"/>
              </w:rPr>
            </w:pPr>
            <w:r w:rsidRPr="007A750C">
              <w:rPr>
                <w:rFonts w:ascii="Arial" w:hAnsi="Arial" w:cs="Arial"/>
                <w:sz w:val="18"/>
                <w:szCs w:val="18"/>
              </w:rPr>
              <w:t>119/262 (45%)</w:t>
            </w:r>
          </w:p>
        </w:tc>
        <w:tc>
          <w:tcPr>
            <w:tcW w:w="709" w:type="dxa"/>
            <w:shd w:val="clear" w:color="auto" w:fill="auto"/>
            <w:vAlign w:val="center"/>
          </w:tcPr>
          <w:p w:rsidR="00315A33" w:rsidRPr="007A750C" w:rsidRDefault="00315A33" w:rsidP="006C4EC2">
            <w:pPr>
              <w:jc w:val="both"/>
              <w:rPr>
                <w:rFonts w:ascii="Arial" w:hAnsi="Arial" w:cs="Arial"/>
                <w:sz w:val="18"/>
                <w:szCs w:val="18"/>
              </w:rPr>
            </w:pPr>
            <w:r w:rsidRPr="007A750C">
              <w:rPr>
                <w:rFonts w:ascii="Arial" w:hAnsi="Arial" w:cs="Arial"/>
                <w:sz w:val="18"/>
                <w:szCs w:val="18"/>
              </w:rPr>
              <w:t>128/268 (48%)</w:t>
            </w:r>
          </w:p>
        </w:tc>
        <w:tc>
          <w:tcPr>
            <w:tcW w:w="708" w:type="dxa"/>
            <w:shd w:val="clear" w:color="auto" w:fill="auto"/>
            <w:vAlign w:val="center"/>
          </w:tcPr>
          <w:p w:rsidR="00315A33" w:rsidRPr="007A750C" w:rsidRDefault="00315A33" w:rsidP="006C4EC2">
            <w:pPr>
              <w:jc w:val="both"/>
              <w:rPr>
                <w:rFonts w:ascii="Arial" w:hAnsi="Arial" w:cs="Arial"/>
                <w:sz w:val="18"/>
                <w:szCs w:val="18"/>
              </w:rPr>
            </w:pPr>
            <w:r w:rsidRPr="007A750C">
              <w:rPr>
                <w:rFonts w:ascii="Arial" w:hAnsi="Arial" w:cs="Arial"/>
                <w:sz w:val="18"/>
                <w:szCs w:val="18"/>
              </w:rPr>
              <w:t>108/267 (40%)</w:t>
            </w:r>
          </w:p>
        </w:tc>
        <w:tc>
          <w:tcPr>
            <w:tcW w:w="1418" w:type="dxa"/>
            <w:shd w:val="clear" w:color="auto" w:fill="DBE5F1"/>
            <w:vAlign w:val="center"/>
          </w:tcPr>
          <w:p w:rsidR="00315A33" w:rsidRPr="007A750C" w:rsidRDefault="00315A33" w:rsidP="006C4EC2">
            <w:pPr>
              <w:jc w:val="both"/>
              <w:rPr>
                <w:rFonts w:ascii="Arial" w:hAnsi="Arial" w:cs="Arial"/>
                <w:i/>
                <w:sz w:val="18"/>
                <w:szCs w:val="18"/>
              </w:rPr>
            </w:pPr>
            <w:r w:rsidRPr="007A750C">
              <w:rPr>
                <w:rFonts w:ascii="Arial" w:hAnsi="Arial" w:cs="Arial"/>
                <w:i/>
                <w:sz w:val="18"/>
                <w:szCs w:val="18"/>
              </w:rPr>
              <w:t>5%(-3.5%</w:t>
            </w:r>
            <w:proofErr w:type="gramStart"/>
            <w:r w:rsidRPr="007A750C">
              <w:rPr>
                <w:rFonts w:ascii="Arial" w:hAnsi="Arial" w:cs="Arial"/>
                <w:i/>
                <w:sz w:val="18"/>
                <w:szCs w:val="18"/>
              </w:rPr>
              <w:t>,13</w:t>
            </w:r>
            <w:proofErr w:type="gramEnd"/>
            <w:r w:rsidRPr="007A750C">
              <w:rPr>
                <w:rFonts w:ascii="Arial" w:hAnsi="Arial" w:cs="Arial"/>
                <w:i/>
                <w:sz w:val="18"/>
                <w:szCs w:val="18"/>
              </w:rPr>
              <w:t>%)</w:t>
            </w:r>
          </w:p>
        </w:tc>
        <w:tc>
          <w:tcPr>
            <w:tcW w:w="992" w:type="dxa"/>
            <w:shd w:val="clear" w:color="auto" w:fill="DBE5F1"/>
            <w:vAlign w:val="center"/>
          </w:tcPr>
          <w:p w:rsidR="00315A33" w:rsidRPr="007A750C" w:rsidRDefault="00315A33" w:rsidP="006C4EC2">
            <w:pPr>
              <w:jc w:val="both"/>
              <w:rPr>
                <w:rFonts w:ascii="Arial" w:hAnsi="Arial" w:cs="Arial"/>
                <w:i/>
                <w:sz w:val="18"/>
                <w:szCs w:val="18"/>
              </w:rPr>
            </w:pPr>
            <w:r w:rsidRPr="007A750C">
              <w:rPr>
                <w:rFonts w:ascii="Arial" w:hAnsi="Arial" w:cs="Arial"/>
                <w:i/>
                <w:sz w:val="18"/>
                <w:szCs w:val="18"/>
              </w:rPr>
              <w:t>1.12</w:t>
            </w:r>
          </w:p>
          <w:p w:rsidR="00315A33" w:rsidRPr="007A750C" w:rsidRDefault="00315A33" w:rsidP="006C4EC2">
            <w:pPr>
              <w:jc w:val="both"/>
              <w:rPr>
                <w:rFonts w:ascii="Arial" w:hAnsi="Arial" w:cs="Arial"/>
                <w:i/>
                <w:sz w:val="18"/>
                <w:szCs w:val="18"/>
              </w:rPr>
            </w:pPr>
            <w:r w:rsidRPr="007A750C">
              <w:rPr>
                <w:rFonts w:ascii="Arial" w:hAnsi="Arial" w:cs="Arial"/>
                <w:i/>
                <w:sz w:val="18"/>
                <w:szCs w:val="18"/>
              </w:rPr>
              <w:t>(0.92,1.37)</w:t>
            </w:r>
          </w:p>
        </w:tc>
        <w:tc>
          <w:tcPr>
            <w:tcW w:w="1276" w:type="dxa"/>
            <w:shd w:val="clear" w:color="auto" w:fill="DBE5F1"/>
            <w:vAlign w:val="center"/>
          </w:tcPr>
          <w:p w:rsidR="00315A33" w:rsidRPr="007A750C" w:rsidRDefault="00315A33" w:rsidP="006C4EC2">
            <w:pPr>
              <w:jc w:val="both"/>
              <w:rPr>
                <w:rFonts w:ascii="Arial" w:hAnsi="Arial" w:cs="Arial"/>
                <w:i/>
                <w:sz w:val="18"/>
                <w:szCs w:val="18"/>
              </w:rPr>
            </w:pPr>
            <w:r w:rsidRPr="007A750C">
              <w:rPr>
                <w:rFonts w:ascii="Arial" w:hAnsi="Arial" w:cs="Arial"/>
                <w:i/>
                <w:sz w:val="18"/>
                <w:szCs w:val="18"/>
              </w:rPr>
              <w:t>7%(-1%</w:t>
            </w:r>
            <w:proofErr w:type="gramStart"/>
            <w:r w:rsidRPr="007A750C">
              <w:rPr>
                <w:rFonts w:ascii="Arial" w:hAnsi="Arial" w:cs="Arial"/>
                <w:i/>
                <w:sz w:val="18"/>
                <w:szCs w:val="18"/>
              </w:rPr>
              <w:t>,16</w:t>
            </w:r>
            <w:proofErr w:type="gramEnd"/>
            <w:r w:rsidRPr="007A750C">
              <w:rPr>
                <w:rFonts w:ascii="Arial" w:hAnsi="Arial" w:cs="Arial"/>
                <w:i/>
                <w:sz w:val="18"/>
                <w:szCs w:val="18"/>
              </w:rPr>
              <w:t>%)</w:t>
            </w:r>
          </w:p>
        </w:tc>
        <w:tc>
          <w:tcPr>
            <w:tcW w:w="992" w:type="dxa"/>
            <w:shd w:val="clear" w:color="auto" w:fill="DBE5F1"/>
            <w:vAlign w:val="center"/>
          </w:tcPr>
          <w:p w:rsidR="00315A33" w:rsidRPr="007A750C" w:rsidRDefault="00315A33" w:rsidP="006C4EC2">
            <w:pPr>
              <w:jc w:val="both"/>
              <w:rPr>
                <w:rFonts w:ascii="Arial" w:hAnsi="Arial" w:cs="Arial"/>
                <w:i/>
                <w:sz w:val="18"/>
                <w:szCs w:val="18"/>
              </w:rPr>
            </w:pPr>
            <w:r w:rsidRPr="007A750C">
              <w:rPr>
                <w:rFonts w:ascii="Arial" w:hAnsi="Arial" w:cs="Arial"/>
                <w:i/>
                <w:sz w:val="18"/>
                <w:szCs w:val="18"/>
              </w:rPr>
              <w:t>1.18</w:t>
            </w:r>
          </w:p>
          <w:p w:rsidR="00315A33" w:rsidRPr="007A750C" w:rsidRDefault="00315A33" w:rsidP="006C4EC2">
            <w:pPr>
              <w:jc w:val="both"/>
              <w:rPr>
                <w:rFonts w:ascii="Arial" w:hAnsi="Arial" w:cs="Arial"/>
                <w:i/>
                <w:sz w:val="18"/>
                <w:szCs w:val="18"/>
              </w:rPr>
            </w:pPr>
            <w:r w:rsidRPr="007A750C">
              <w:rPr>
                <w:rFonts w:ascii="Arial" w:hAnsi="Arial" w:cs="Arial"/>
                <w:i/>
                <w:sz w:val="18"/>
                <w:szCs w:val="18"/>
              </w:rPr>
              <w:t>(0.98. 1.43)</w:t>
            </w:r>
          </w:p>
        </w:tc>
      </w:tr>
      <w:tr w:rsidR="00315A33" w:rsidRPr="007A750C" w:rsidTr="006C4EC2">
        <w:tc>
          <w:tcPr>
            <w:tcW w:w="4111" w:type="dxa"/>
            <w:gridSpan w:val="5"/>
            <w:tcBorders>
              <w:right w:val="nil"/>
            </w:tcBorders>
            <w:shd w:val="clear" w:color="auto" w:fill="auto"/>
            <w:vAlign w:val="center"/>
          </w:tcPr>
          <w:p w:rsidR="00315A33" w:rsidRPr="006C4EC2" w:rsidRDefault="00315A33" w:rsidP="006C4EC2">
            <w:pPr>
              <w:jc w:val="both"/>
              <w:rPr>
                <w:rFonts w:ascii="Arial" w:hAnsi="Arial" w:cs="Arial"/>
                <w:b/>
                <w:sz w:val="18"/>
                <w:szCs w:val="18"/>
              </w:rPr>
            </w:pPr>
            <w:r w:rsidRPr="006C4EC2">
              <w:rPr>
                <w:rFonts w:ascii="Arial" w:hAnsi="Arial" w:cs="Arial"/>
                <w:b/>
                <w:sz w:val="18"/>
                <w:szCs w:val="18"/>
              </w:rPr>
              <w:t>FACT</w:t>
            </w:r>
          </w:p>
        </w:tc>
        <w:tc>
          <w:tcPr>
            <w:tcW w:w="1418" w:type="dxa"/>
            <w:tcBorders>
              <w:left w:val="nil"/>
              <w:right w:val="nil"/>
            </w:tcBorders>
            <w:shd w:val="clear" w:color="auto" w:fill="DBE5F1"/>
            <w:vAlign w:val="center"/>
          </w:tcPr>
          <w:p w:rsidR="00315A33" w:rsidRPr="006C4EC2" w:rsidRDefault="00315A33" w:rsidP="006C4EC2">
            <w:pPr>
              <w:jc w:val="both"/>
              <w:rPr>
                <w:rFonts w:ascii="Arial" w:hAnsi="Arial" w:cs="Arial"/>
                <w:b/>
                <w:i/>
                <w:sz w:val="18"/>
                <w:szCs w:val="18"/>
              </w:rPr>
            </w:pPr>
          </w:p>
        </w:tc>
        <w:tc>
          <w:tcPr>
            <w:tcW w:w="992" w:type="dxa"/>
            <w:tcBorders>
              <w:left w:val="nil"/>
              <w:right w:val="nil"/>
            </w:tcBorders>
            <w:shd w:val="clear" w:color="auto" w:fill="DBE5F1"/>
            <w:vAlign w:val="center"/>
          </w:tcPr>
          <w:p w:rsidR="00315A33" w:rsidRPr="007A750C" w:rsidRDefault="00315A33" w:rsidP="006C4EC2">
            <w:pPr>
              <w:jc w:val="both"/>
              <w:rPr>
                <w:rFonts w:ascii="Arial" w:hAnsi="Arial" w:cs="Arial"/>
                <w:b/>
                <w:i/>
                <w:sz w:val="18"/>
                <w:szCs w:val="18"/>
              </w:rPr>
            </w:pPr>
          </w:p>
        </w:tc>
        <w:tc>
          <w:tcPr>
            <w:tcW w:w="1276" w:type="dxa"/>
            <w:tcBorders>
              <w:left w:val="nil"/>
              <w:right w:val="nil"/>
            </w:tcBorders>
            <w:shd w:val="clear" w:color="auto" w:fill="DBE5F1"/>
            <w:vAlign w:val="center"/>
          </w:tcPr>
          <w:p w:rsidR="00315A33" w:rsidRPr="007A750C" w:rsidRDefault="00315A33" w:rsidP="006C4EC2">
            <w:pPr>
              <w:jc w:val="both"/>
              <w:rPr>
                <w:rFonts w:ascii="Arial" w:hAnsi="Arial" w:cs="Arial"/>
                <w:b/>
                <w:i/>
                <w:sz w:val="18"/>
                <w:szCs w:val="18"/>
              </w:rPr>
            </w:pPr>
          </w:p>
        </w:tc>
        <w:tc>
          <w:tcPr>
            <w:tcW w:w="992" w:type="dxa"/>
            <w:tcBorders>
              <w:left w:val="nil"/>
            </w:tcBorders>
            <w:shd w:val="clear" w:color="auto" w:fill="DBE5F1"/>
            <w:vAlign w:val="center"/>
          </w:tcPr>
          <w:p w:rsidR="00315A33" w:rsidRPr="007A750C" w:rsidRDefault="00315A33" w:rsidP="006C4EC2">
            <w:pPr>
              <w:jc w:val="both"/>
              <w:rPr>
                <w:rFonts w:ascii="Arial" w:hAnsi="Arial" w:cs="Arial"/>
                <w:b/>
                <w:i/>
                <w:sz w:val="18"/>
                <w:szCs w:val="18"/>
              </w:rPr>
            </w:pPr>
          </w:p>
        </w:tc>
      </w:tr>
      <w:tr w:rsidR="00315A33" w:rsidRPr="007A750C" w:rsidTr="006C4EC2">
        <w:tc>
          <w:tcPr>
            <w:tcW w:w="1135" w:type="dxa"/>
            <w:shd w:val="clear" w:color="auto" w:fill="auto"/>
            <w:vAlign w:val="center"/>
          </w:tcPr>
          <w:p w:rsidR="00315A33" w:rsidRPr="006C4EC2" w:rsidRDefault="00315A33" w:rsidP="006C4EC2">
            <w:pPr>
              <w:jc w:val="both"/>
              <w:rPr>
                <w:rFonts w:ascii="Arial" w:hAnsi="Arial" w:cs="Arial"/>
                <w:sz w:val="18"/>
                <w:szCs w:val="18"/>
              </w:rPr>
            </w:pPr>
            <w:r w:rsidRPr="006C4EC2">
              <w:rPr>
                <w:rFonts w:ascii="Arial" w:hAnsi="Arial" w:cs="Arial"/>
                <w:sz w:val="18"/>
                <w:szCs w:val="18"/>
              </w:rPr>
              <w:t>Day 1 to week 52</w:t>
            </w:r>
          </w:p>
        </w:tc>
        <w:tc>
          <w:tcPr>
            <w:tcW w:w="709" w:type="dxa"/>
            <w:shd w:val="clear" w:color="auto" w:fill="auto"/>
            <w:vAlign w:val="center"/>
          </w:tcPr>
          <w:p w:rsidR="00315A33" w:rsidRPr="007A750C" w:rsidRDefault="00315A33" w:rsidP="006C4EC2">
            <w:pPr>
              <w:jc w:val="both"/>
              <w:rPr>
                <w:rFonts w:ascii="Arial" w:hAnsi="Arial" w:cs="Arial"/>
                <w:sz w:val="18"/>
                <w:szCs w:val="18"/>
              </w:rPr>
            </w:pPr>
            <w:r w:rsidRPr="007A750C">
              <w:rPr>
                <w:rFonts w:ascii="Arial" w:hAnsi="Arial" w:cs="Arial"/>
                <w:sz w:val="18"/>
                <w:szCs w:val="18"/>
              </w:rPr>
              <w:t>NA</w:t>
            </w:r>
          </w:p>
        </w:tc>
        <w:tc>
          <w:tcPr>
            <w:tcW w:w="850" w:type="dxa"/>
            <w:shd w:val="clear" w:color="auto" w:fill="auto"/>
            <w:vAlign w:val="center"/>
          </w:tcPr>
          <w:p w:rsidR="00315A33" w:rsidRPr="007A750C" w:rsidRDefault="00315A33" w:rsidP="006C4EC2">
            <w:pPr>
              <w:jc w:val="both"/>
              <w:rPr>
                <w:rFonts w:ascii="Arial" w:hAnsi="Arial" w:cs="Arial"/>
                <w:sz w:val="18"/>
                <w:szCs w:val="18"/>
              </w:rPr>
            </w:pPr>
            <w:r w:rsidRPr="007A750C">
              <w:rPr>
                <w:rFonts w:ascii="Arial" w:hAnsi="Arial" w:cs="Arial"/>
                <w:sz w:val="18"/>
                <w:szCs w:val="18"/>
              </w:rPr>
              <w:t>163/255 (64%)</w:t>
            </w:r>
          </w:p>
        </w:tc>
        <w:tc>
          <w:tcPr>
            <w:tcW w:w="709" w:type="dxa"/>
            <w:shd w:val="clear" w:color="auto" w:fill="auto"/>
            <w:vAlign w:val="center"/>
          </w:tcPr>
          <w:p w:rsidR="00315A33" w:rsidRPr="007A750C" w:rsidRDefault="00315A33" w:rsidP="006C4EC2">
            <w:pPr>
              <w:jc w:val="both"/>
              <w:rPr>
                <w:rFonts w:ascii="Arial" w:hAnsi="Arial" w:cs="Arial"/>
                <w:sz w:val="18"/>
                <w:szCs w:val="18"/>
              </w:rPr>
            </w:pPr>
            <w:r w:rsidRPr="007A750C">
              <w:rPr>
                <w:rFonts w:ascii="Arial" w:hAnsi="Arial" w:cs="Arial"/>
                <w:sz w:val="18"/>
                <w:szCs w:val="18"/>
              </w:rPr>
              <w:t>179/250 (72%)</w:t>
            </w:r>
          </w:p>
        </w:tc>
        <w:tc>
          <w:tcPr>
            <w:tcW w:w="708" w:type="dxa"/>
            <w:shd w:val="clear" w:color="auto" w:fill="auto"/>
            <w:vAlign w:val="center"/>
          </w:tcPr>
          <w:p w:rsidR="00315A33" w:rsidRPr="007A750C" w:rsidRDefault="00315A33" w:rsidP="006C4EC2">
            <w:pPr>
              <w:jc w:val="both"/>
              <w:rPr>
                <w:rFonts w:ascii="Arial" w:hAnsi="Arial" w:cs="Arial"/>
                <w:sz w:val="18"/>
                <w:szCs w:val="18"/>
              </w:rPr>
            </w:pPr>
            <w:r w:rsidRPr="007A750C">
              <w:rPr>
                <w:rFonts w:ascii="Arial" w:hAnsi="Arial" w:cs="Arial"/>
                <w:sz w:val="18"/>
                <w:szCs w:val="18"/>
              </w:rPr>
              <w:t>163/251 (65%)</w:t>
            </w:r>
          </w:p>
        </w:tc>
        <w:tc>
          <w:tcPr>
            <w:tcW w:w="1418" w:type="dxa"/>
            <w:shd w:val="clear" w:color="auto" w:fill="DBE5F1"/>
            <w:vAlign w:val="center"/>
          </w:tcPr>
          <w:p w:rsidR="00315A33" w:rsidRPr="007A750C" w:rsidRDefault="00315A33" w:rsidP="006C4EC2">
            <w:pPr>
              <w:jc w:val="both"/>
              <w:rPr>
                <w:rFonts w:ascii="Arial" w:hAnsi="Arial" w:cs="Arial"/>
                <w:i/>
                <w:sz w:val="18"/>
                <w:szCs w:val="18"/>
              </w:rPr>
            </w:pPr>
            <w:r w:rsidRPr="007A750C">
              <w:rPr>
                <w:rFonts w:ascii="Arial" w:hAnsi="Arial" w:cs="Arial"/>
                <w:i/>
                <w:sz w:val="18"/>
                <w:szCs w:val="18"/>
              </w:rPr>
              <w:t>-1% (-9%</w:t>
            </w:r>
            <w:proofErr w:type="gramStart"/>
            <w:r w:rsidRPr="007A750C">
              <w:rPr>
                <w:rFonts w:ascii="Arial" w:hAnsi="Arial" w:cs="Arial"/>
                <w:i/>
                <w:sz w:val="18"/>
                <w:szCs w:val="18"/>
              </w:rPr>
              <w:t>,7</w:t>
            </w:r>
            <w:proofErr w:type="gramEnd"/>
            <w:r w:rsidRPr="007A750C">
              <w:rPr>
                <w:rFonts w:ascii="Arial" w:hAnsi="Arial" w:cs="Arial"/>
                <w:i/>
                <w:sz w:val="18"/>
                <w:szCs w:val="18"/>
              </w:rPr>
              <w:t>%)</w:t>
            </w:r>
          </w:p>
        </w:tc>
        <w:tc>
          <w:tcPr>
            <w:tcW w:w="992" w:type="dxa"/>
            <w:shd w:val="clear" w:color="auto" w:fill="DBE5F1"/>
            <w:vAlign w:val="center"/>
          </w:tcPr>
          <w:p w:rsidR="00315A33" w:rsidRPr="007A750C" w:rsidRDefault="00315A33" w:rsidP="006C4EC2">
            <w:pPr>
              <w:jc w:val="both"/>
              <w:rPr>
                <w:rFonts w:ascii="Arial" w:hAnsi="Arial" w:cs="Arial"/>
                <w:i/>
                <w:sz w:val="18"/>
                <w:szCs w:val="18"/>
              </w:rPr>
            </w:pPr>
            <w:r w:rsidRPr="007A750C">
              <w:rPr>
                <w:rFonts w:ascii="Arial" w:hAnsi="Arial" w:cs="Arial"/>
                <w:i/>
                <w:sz w:val="18"/>
                <w:szCs w:val="18"/>
              </w:rPr>
              <w:t>0.98</w:t>
            </w:r>
          </w:p>
          <w:p w:rsidR="00315A33" w:rsidRPr="007A750C" w:rsidRDefault="00315A33" w:rsidP="006C4EC2">
            <w:pPr>
              <w:jc w:val="both"/>
              <w:rPr>
                <w:rFonts w:ascii="Arial" w:hAnsi="Arial" w:cs="Arial"/>
                <w:i/>
                <w:sz w:val="18"/>
                <w:szCs w:val="18"/>
              </w:rPr>
            </w:pPr>
            <w:r w:rsidRPr="007A750C">
              <w:rPr>
                <w:rFonts w:ascii="Arial" w:hAnsi="Arial" w:cs="Arial"/>
                <w:i/>
                <w:sz w:val="18"/>
                <w:szCs w:val="18"/>
              </w:rPr>
              <w:t>(0.86,1.12)</w:t>
            </w:r>
          </w:p>
        </w:tc>
        <w:tc>
          <w:tcPr>
            <w:tcW w:w="1276" w:type="dxa"/>
            <w:shd w:val="clear" w:color="auto" w:fill="DBE5F1"/>
            <w:vAlign w:val="center"/>
          </w:tcPr>
          <w:p w:rsidR="00315A33" w:rsidRPr="007A750C" w:rsidRDefault="00315A33" w:rsidP="006C4EC2">
            <w:pPr>
              <w:jc w:val="both"/>
              <w:rPr>
                <w:rFonts w:ascii="Arial" w:hAnsi="Arial" w:cs="Arial"/>
                <w:i/>
                <w:sz w:val="18"/>
                <w:szCs w:val="18"/>
              </w:rPr>
            </w:pPr>
            <w:r w:rsidRPr="007A750C">
              <w:rPr>
                <w:rFonts w:ascii="Arial" w:hAnsi="Arial" w:cs="Arial"/>
                <w:i/>
                <w:sz w:val="18"/>
                <w:szCs w:val="18"/>
              </w:rPr>
              <w:t>7%</w:t>
            </w:r>
          </w:p>
          <w:p w:rsidR="00315A33" w:rsidRPr="007A750C" w:rsidRDefault="00315A33" w:rsidP="006C4EC2">
            <w:pPr>
              <w:jc w:val="both"/>
              <w:rPr>
                <w:rFonts w:ascii="Arial" w:hAnsi="Arial" w:cs="Arial"/>
                <w:i/>
                <w:sz w:val="18"/>
                <w:szCs w:val="18"/>
              </w:rPr>
            </w:pPr>
            <w:r w:rsidRPr="007A750C">
              <w:rPr>
                <w:rFonts w:ascii="Arial" w:hAnsi="Arial" w:cs="Arial"/>
                <w:i/>
                <w:sz w:val="18"/>
                <w:szCs w:val="18"/>
              </w:rPr>
              <w:t>(-1.5%</w:t>
            </w:r>
            <w:proofErr w:type="gramStart"/>
            <w:r w:rsidRPr="007A750C">
              <w:rPr>
                <w:rFonts w:ascii="Arial" w:hAnsi="Arial" w:cs="Arial"/>
                <w:i/>
                <w:sz w:val="18"/>
                <w:szCs w:val="18"/>
              </w:rPr>
              <w:t>,15</w:t>
            </w:r>
            <w:proofErr w:type="gramEnd"/>
            <w:r w:rsidRPr="007A750C">
              <w:rPr>
                <w:rFonts w:ascii="Arial" w:hAnsi="Arial" w:cs="Arial"/>
                <w:i/>
                <w:sz w:val="18"/>
                <w:szCs w:val="18"/>
              </w:rPr>
              <w:t>%)</w:t>
            </w:r>
          </w:p>
        </w:tc>
        <w:tc>
          <w:tcPr>
            <w:tcW w:w="992" w:type="dxa"/>
            <w:shd w:val="clear" w:color="auto" w:fill="DBE5F1"/>
            <w:vAlign w:val="center"/>
          </w:tcPr>
          <w:p w:rsidR="00315A33" w:rsidRPr="007A750C" w:rsidRDefault="00315A33" w:rsidP="006C4EC2">
            <w:pPr>
              <w:jc w:val="both"/>
              <w:rPr>
                <w:rFonts w:ascii="Arial" w:hAnsi="Arial" w:cs="Arial"/>
                <w:i/>
                <w:sz w:val="18"/>
                <w:szCs w:val="18"/>
              </w:rPr>
            </w:pPr>
            <w:r w:rsidRPr="007A750C">
              <w:rPr>
                <w:rFonts w:ascii="Arial" w:hAnsi="Arial" w:cs="Arial"/>
                <w:i/>
                <w:sz w:val="18"/>
                <w:szCs w:val="18"/>
              </w:rPr>
              <w:t>1.10</w:t>
            </w:r>
          </w:p>
          <w:p w:rsidR="00315A33" w:rsidRPr="007A750C" w:rsidRDefault="00315A33" w:rsidP="006C4EC2">
            <w:pPr>
              <w:jc w:val="both"/>
              <w:rPr>
                <w:rFonts w:ascii="Arial" w:hAnsi="Arial" w:cs="Arial"/>
                <w:i/>
                <w:sz w:val="18"/>
                <w:szCs w:val="18"/>
              </w:rPr>
            </w:pPr>
            <w:r w:rsidRPr="007A750C">
              <w:rPr>
                <w:rFonts w:ascii="Arial" w:hAnsi="Arial" w:cs="Arial"/>
                <w:i/>
                <w:sz w:val="18"/>
                <w:szCs w:val="18"/>
              </w:rPr>
              <w:t>(0.98, 1.25)</w:t>
            </w:r>
          </w:p>
        </w:tc>
      </w:tr>
      <w:tr w:rsidR="00315A33" w:rsidRPr="007A750C" w:rsidTr="006C4EC2">
        <w:tc>
          <w:tcPr>
            <w:tcW w:w="1135" w:type="dxa"/>
            <w:shd w:val="clear" w:color="auto" w:fill="auto"/>
            <w:vAlign w:val="center"/>
          </w:tcPr>
          <w:p w:rsidR="00315A33" w:rsidRPr="006C4EC2" w:rsidRDefault="00315A33" w:rsidP="006C4EC2">
            <w:pPr>
              <w:jc w:val="both"/>
              <w:rPr>
                <w:rFonts w:ascii="Arial" w:hAnsi="Arial" w:cs="Arial"/>
                <w:sz w:val="18"/>
                <w:szCs w:val="18"/>
              </w:rPr>
            </w:pPr>
            <w:r w:rsidRPr="006C4EC2">
              <w:rPr>
                <w:rFonts w:ascii="Arial" w:hAnsi="Arial" w:cs="Arial"/>
                <w:sz w:val="18"/>
                <w:szCs w:val="18"/>
              </w:rPr>
              <w:t>During prophylaxis*</w:t>
            </w:r>
          </w:p>
        </w:tc>
        <w:tc>
          <w:tcPr>
            <w:tcW w:w="709" w:type="dxa"/>
            <w:shd w:val="clear" w:color="auto" w:fill="auto"/>
            <w:vAlign w:val="center"/>
          </w:tcPr>
          <w:p w:rsidR="00315A33" w:rsidRPr="007A750C" w:rsidRDefault="00315A33" w:rsidP="006C4EC2">
            <w:pPr>
              <w:jc w:val="both"/>
              <w:rPr>
                <w:rFonts w:ascii="Arial" w:hAnsi="Arial" w:cs="Arial"/>
                <w:sz w:val="18"/>
                <w:szCs w:val="18"/>
              </w:rPr>
            </w:pPr>
            <w:r w:rsidRPr="007A750C">
              <w:rPr>
                <w:rFonts w:ascii="Arial" w:hAnsi="Arial" w:cs="Arial"/>
                <w:sz w:val="18"/>
                <w:szCs w:val="18"/>
              </w:rPr>
              <w:t>NA</w:t>
            </w:r>
          </w:p>
        </w:tc>
        <w:tc>
          <w:tcPr>
            <w:tcW w:w="850" w:type="dxa"/>
            <w:shd w:val="clear" w:color="auto" w:fill="auto"/>
            <w:vAlign w:val="center"/>
          </w:tcPr>
          <w:p w:rsidR="00315A33" w:rsidRPr="007A750C" w:rsidRDefault="00315A33" w:rsidP="006C4EC2">
            <w:pPr>
              <w:jc w:val="both"/>
              <w:rPr>
                <w:rFonts w:ascii="Arial" w:hAnsi="Arial" w:cs="Arial"/>
                <w:sz w:val="18"/>
                <w:szCs w:val="18"/>
              </w:rPr>
            </w:pPr>
            <w:r w:rsidRPr="007A750C">
              <w:rPr>
                <w:rFonts w:ascii="Arial" w:hAnsi="Arial" w:cs="Arial"/>
                <w:sz w:val="18"/>
                <w:szCs w:val="18"/>
              </w:rPr>
              <w:t>56/253 (22%)</w:t>
            </w:r>
          </w:p>
        </w:tc>
        <w:tc>
          <w:tcPr>
            <w:tcW w:w="709" w:type="dxa"/>
            <w:shd w:val="clear" w:color="auto" w:fill="auto"/>
            <w:vAlign w:val="center"/>
          </w:tcPr>
          <w:p w:rsidR="00315A33" w:rsidRPr="007A750C" w:rsidRDefault="00315A33" w:rsidP="006C4EC2">
            <w:pPr>
              <w:jc w:val="both"/>
              <w:rPr>
                <w:rFonts w:ascii="Arial" w:hAnsi="Arial" w:cs="Arial"/>
                <w:sz w:val="18"/>
                <w:szCs w:val="18"/>
              </w:rPr>
            </w:pPr>
            <w:r w:rsidRPr="007A750C">
              <w:rPr>
                <w:rFonts w:ascii="Arial" w:hAnsi="Arial" w:cs="Arial"/>
                <w:sz w:val="18"/>
                <w:szCs w:val="18"/>
              </w:rPr>
              <w:t>90/250 (36%)</w:t>
            </w:r>
          </w:p>
        </w:tc>
        <w:tc>
          <w:tcPr>
            <w:tcW w:w="708" w:type="dxa"/>
            <w:shd w:val="clear" w:color="auto" w:fill="auto"/>
            <w:vAlign w:val="center"/>
          </w:tcPr>
          <w:p w:rsidR="00315A33" w:rsidRPr="007A750C" w:rsidRDefault="00315A33" w:rsidP="006C4EC2">
            <w:pPr>
              <w:jc w:val="both"/>
              <w:rPr>
                <w:rFonts w:ascii="Arial" w:hAnsi="Arial" w:cs="Arial"/>
                <w:sz w:val="18"/>
                <w:szCs w:val="18"/>
              </w:rPr>
            </w:pPr>
            <w:r w:rsidRPr="007A750C">
              <w:rPr>
                <w:rFonts w:ascii="Arial" w:hAnsi="Arial" w:cs="Arial"/>
                <w:sz w:val="18"/>
                <w:szCs w:val="18"/>
              </w:rPr>
              <w:t>52/248 (21%)</w:t>
            </w:r>
          </w:p>
        </w:tc>
        <w:tc>
          <w:tcPr>
            <w:tcW w:w="1418" w:type="dxa"/>
            <w:shd w:val="clear" w:color="auto" w:fill="DBE5F1"/>
            <w:vAlign w:val="center"/>
          </w:tcPr>
          <w:p w:rsidR="00315A33" w:rsidRPr="007A750C" w:rsidRDefault="00315A33" w:rsidP="006C4EC2">
            <w:pPr>
              <w:jc w:val="both"/>
              <w:rPr>
                <w:rFonts w:ascii="Arial" w:hAnsi="Arial" w:cs="Arial"/>
                <w:i/>
                <w:sz w:val="18"/>
                <w:szCs w:val="18"/>
              </w:rPr>
            </w:pPr>
            <w:r w:rsidRPr="007A750C">
              <w:rPr>
                <w:rFonts w:ascii="Arial" w:hAnsi="Arial" w:cs="Arial"/>
                <w:i/>
                <w:sz w:val="18"/>
                <w:szCs w:val="18"/>
              </w:rPr>
              <w:t>1% (-6%</w:t>
            </w:r>
            <w:proofErr w:type="gramStart"/>
            <w:r w:rsidRPr="007A750C">
              <w:rPr>
                <w:rFonts w:ascii="Arial" w:hAnsi="Arial" w:cs="Arial"/>
                <w:i/>
                <w:sz w:val="18"/>
                <w:szCs w:val="18"/>
              </w:rPr>
              <w:t>,8</w:t>
            </w:r>
            <w:proofErr w:type="gramEnd"/>
            <w:r w:rsidRPr="007A750C">
              <w:rPr>
                <w:rFonts w:ascii="Arial" w:hAnsi="Arial" w:cs="Arial"/>
                <w:i/>
                <w:sz w:val="18"/>
                <w:szCs w:val="18"/>
              </w:rPr>
              <w:t>%)</w:t>
            </w:r>
          </w:p>
        </w:tc>
        <w:tc>
          <w:tcPr>
            <w:tcW w:w="992" w:type="dxa"/>
            <w:shd w:val="clear" w:color="auto" w:fill="DBE5F1"/>
            <w:vAlign w:val="center"/>
          </w:tcPr>
          <w:p w:rsidR="00315A33" w:rsidRPr="007A750C" w:rsidRDefault="00315A33" w:rsidP="006C4EC2">
            <w:pPr>
              <w:jc w:val="both"/>
              <w:rPr>
                <w:rFonts w:ascii="Arial" w:hAnsi="Arial" w:cs="Arial"/>
                <w:i/>
                <w:sz w:val="18"/>
                <w:szCs w:val="18"/>
              </w:rPr>
            </w:pPr>
            <w:r w:rsidRPr="007A750C">
              <w:rPr>
                <w:rFonts w:ascii="Arial" w:hAnsi="Arial" w:cs="Arial"/>
                <w:i/>
                <w:sz w:val="18"/>
                <w:szCs w:val="18"/>
              </w:rPr>
              <w:t>1.06</w:t>
            </w:r>
          </w:p>
          <w:p w:rsidR="00315A33" w:rsidRPr="007A750C" w:rsidRDefault="00315A33" w:rsidP="006C4EC2">
            <w:pPr>
              <w:jc w:val="both"/>
              <w:rPr>
                <w:rFonts w:ascii="Arial" w:hAnsi="Arial" w:cs="Arial"/>
                <w:i/>
                <w:sz w:val="18"/>
                <w:szCs w:val="18"/>
              </w:rPr>
            </w:pPr>
            <w:r w:rsidRPr="007A750C">
              <w:rPr>
                <w:rFonts w:ascii="Arial" w:hAnsi="Arial" w:cs="Arial"/>
                <w:i/>
                <w:sz w:val="18"/>
                <w:szCs w:val="18"/>
              </w:rPr>
              <w:t>(0.76,1.47)</w:t>
            </w:r>
          </w:p>
        </w:tc>
        <w:tc>
          <w:tcPr>
            <w:tcW w:w="1276" w:type="dxa"/>
            <w:shd w:val="clear" w:color="auto" w:fill="DBE5F1"/>
            <w:vAlign w:val="center"/>
          </w:tcPr>
          <w:p w:rsidR="00315A33" w:rsidRPr="007A750C" w:rsidRDefault="00315A33" w:rsidP="006C4EC2">
            <w:pPr>
              <w:jc w:val="both"/>
              <w:rPr>
                <w:rFonts w:ascii="Arial" w:hAnsi="Arial" w:cs="Arial"/>
                <w:b/>
                <w:i/>
                <w:sz w:val="18"/>
                <w:szCs w:val="18"/>
              </w:rPr>
            </w:pPr>
            <w:proofErr w:type="gramStart"/>
            <w:r w:rsidRPr="007A750C">
              <w:rPr>
                <w:rFonts w:ascii="Arial" w:hAnsi="Arial" w:cs="Arial"/>
                <w:b/>
                <w:i/>
                <w:sz w:val="18"/>
                <w:szCs w:val="18"/>
              </w:rPr>
              <w:t>15%</w:t>
            </w:r>
            <w:proofErr w:type="gramEnd"/>
            <w:r w:rsidRPr="007A750C">
              <w:rPr>
                <w:rFonts w:ascii="Arial" w:hAnsi="Arial" w:cs="Arial"/>
                <w:b/>
                <w:i/>
                <w:sz w:val="18"/>
                <w:szCs w:val="18"/>
              </w:rPr>
              <w:t>(7%,23%)</w:t>
            </w:r>
          </w:p>
          <w:p w:rsidR="00315A33" w:rsidRPr="007A750C" w:rsidRDefault="00315A33" w:rsidP="006C4EC2">
            <w:pPr>
              <w:jc w:val="both"/>
              <w:rPr>
                <w:rFonts w:ascii="Arial" w:hAnsi="Arial" w:cs="Arial"/>
                <w:b/>
                <w:i/>
                <w:sz w:val="18"/>
                <w:szCs w:val="18"/>
              </w:rPr>
            </w:pPr>
            <w:r w:rsidRPr="007A750C">
              <w:rPr>
                <w:rFonts w:ascii="Arial" w:hAnsi="Arial" w:cs="Arial"/>
                <w:b/>
                <w:i/>
                <w:sz w:val="18"/>
                <w:szCs w:val="18"/>
              </w:rPr>
              <w:t>7 [4, 14]</w:t>
            </w:r>
          </w:p>
        </w:tc>
        <w:tc>
          <w:tcPr>
            <w:tcW w:w="992" w:type="dxa"/>
            <w:shd w:val="clear" w:color="auto" w:fill="DBE5F1"/>
            <w:vAlign w:val="center"/>
          </w:tcPr>
          <w:p w:rsidR="00315A33" w:rsidRPr="007A750C" w:rsidRDefault="00315A33" w:rsidP="006C4EC2">
            <w:pPr>
              <w:jc w:val="both"/>
              <w:rPr>
                <w:rFonts w:ascii="Arial" w:hAnsi="Arial" w:cs="Arial"/>
                <w:b/>
                <w:i/>
                <w:sz w:val="18"/>
                <w:szCs w:val="18"/>
              </w:rPr>
            </w:pPr>
            <w:r w:rsidRPr="007A750C">
              <w:rPr>
                <w:rFonts w:ascii="Arial" w:hAnsi="Arial" w:cs="Arial"/>
                <w:b/>
                <w:i/>
                <w:sz w:val="18"/>
                <w:szCs w:val="18"/>
              </w:rPr>
              <w:t>1.72</w:t>
            </w:r>
          </w:p>
          <w:p w:rsidR="00315A33" w:rsidRPr="007A750C" w:rsidRDefault="00315A33" w:rsidP="006C4EC2">
            <w:pPr>
              <w:jc w:val="both"/>
              <w:rPr>
                <w:rFonts w:ascii="Arial" w:hAnsi="Arial" w:cs="Arial"/>
                <w:i/>
                <w:sz w:val="18"/>
                <w:szCs w:val="18"/>
              </w:rPr>
            </w:pPr>
            <w:r w:rsidRPr="007A750C">
              <w:rPr>
                <w:rFonts w:ascii="Arial" w:hAnsi="Arial" w:cs="Arial"/>
                <w:b/>
                <w:i/>
                <w:sz w:val="18"/>
                <w:szCs w:val="18"/>
              </w:rPr>
              <w:t>(1.29, 2.31)</w:t>
            </w:r>
          </w:p>
        </w:tc>
      </w:tr>
      <w:tr w:rsidR="00315A33" w:rsidRPr="007A750C" w:rsidTr="006C4EC2">
        <w:tc>
          <w:tcPr>
            <w:tcW w:w="1135" w:type="dxa"/>
            <w:shd w:val="clear" w:color="auto" w:fill="auto"/>
            <w:vAlign w:val="center"/>
          </w:tcPr>
          <w:p w:rsidR="00315A33" w:rsidRPr="006C4EC2" w:rsidRDefault="00315A33" w:rsidP="006C4EC2">
            <w:pPr>
              <w:jc w:val="both"/>
              <w:rPr>
                <w:rFonts w:ascii="Arial" w:hAnsi="Arial" w:cs="Arial"/>
                <w:sz w:val="18"/>
                <w:szCs w:val="18"/>
              </w:rPr>
            </w:pPr>
            <w:r w:rsidRPr="006C4EC2">
              <w:rPr>
                <w:rFonts w:ascii="Arial" w:hAnsi="Arial" w:cs="Arial"/>
                <w:sz w:val="18"/>
                <w:szCs w:val="18"/>
              </w:rPr>
              <w:t>After prophylaxis*</w:t>
            </w:r>
          </w:p>
        </w:tc>
        <w:tc>
          <w:tcPr>
            <w:tcW w:w="709" w:type="dxa"/>
            <w:shd w:val="clear" w:color="auto" w:fill="auto"/>
            <w:vAlign w:val="center"/>
          </w:tcPr>
          <w:p w:rsidR="00315A33" w:rsidRPr="007A750C" w:rsidRDefault="00315A33" w:rsidP="006C4EC2">
            <w:pPr>
              <w:jc w:val="both"/>
              <w:rPr>
                <w:rFonts w:ascii="Arial" w:hAnsi="Arial" w:cs="Arial"/>
                <w:sz w:val="18"/>
                <w:szCs w:val="18"/>
              </w:rPr>
            </w:pPr>
            <w:r w:rsidRPr="007A750C">
              <w:rPr>
                <w:rFonts w:ascii="Arial" w:hAnsi="Arial" w:cs="Arial"/>
                <w:sz w:val="18"/>
                <w:szCs w:val="18"/>
              </w:rPr>
              <w:t>NA</w:t>
            </w:r>
          </w:p>
        </w:tc>
        <w:tc>
          <w:tcPr>
            <w:tcW w:w="850" w:type="dxa"/>
            <w:shd w:val="clear" w:color="auto" w:fill="auto"/>
            <w:vAlign w:val="center"/>
          </w:tcPr>
          <w:p w:rsidR="00315A33" w:rsidRPr="007A750C" w:rsidRDefault="00315A33" w:rsidP="006C4EC2">
            <w:pPr>
              <w:jc w:val="both"/>
              <w:rPr>
                <w:rFonts w:ascii="Arial" w:hAnsi="Arial" w:cs="Arial"/>
                <w:sz w:val="18"/>
                <w:szCs w:val="18"/>
              </w:rPr>
            </w:pPr>
            <w:r w:rsidRPr="007A750C">
              <w:rPr>
                <w:rFonts w:ascii="Arial" w:hAnsi="Arial" w:cs="Arial"/>
                <w:sz w:val="18"/>
                <w:szCs w:val="18"/>
              </w:rPr>
              <w:t>146/253 (58%)</w:t>
            </w:r>
          </w:p>
        </w:tc>
        <w:tc>
          <w:tcPr>
            <w:tcW w:w="709" w:type="dxa"/>
            <w:shd w:val="clear" w:color="auto" w:fill="auto"/>
            <w:vAlign w:val="center"/>
          </w:tcPr>
          <w:p w:rsidR="00315A33" w:rsidRPr="007A750C" w:rsidRDefault="00315A33" w:rsidP="006C4EC2">
            <w:pPr>
              <w:jc w:val="both"/>
              <w:rPr>
                <w:rFonts w:ascii="Arial" w:hAnsi="Arial" w:cs="Arial"/>
                <w:sz w:val="18"/>
                <w:szCs w:val="18"/>
              </w:rPr>
            </w:pPr>
            <w:r w:rsidRPr="007A750C">
              <w:rPr>
                <w:rFonts w:ascii="Arial" w:hAnsi="Arial" w:cs="Arial"/>
                <w:sz w:val="18"/>
                <w:szCs w:val="18"/>
              </w:rPr>
              <w:t>151/250 (60%)</w:t>
            </w:r>
          </w:p>
        </w:tc>
        <w:tc>
          <w:tcPr>
            <w:tcW w:w="708" w:type="dxa"/>
            <w:shd w:val="clear" w:color="auto" w:fill="auto"/>
            <w:vAlign w:val="center"/>
          </w:tcPr>
          <w:p w:rsidR="00315A33" w:rsidRPr="007A750C" w:rsidRDefault="00315A33" w:rsidP="006C4EC2">
            <w:pPr>
              <w:jc w:val="both"/>
              <w:rPr>
                <w:rFonts w:ascii="Arial" w:hAnsi="Arial" w:cs="Arial"/>
                <w:sz w:val="18"/>
                <w:szCs w:val="18"/>
              </w:rPr>
            </w:pPr>
            <w:r w:rsidRPr="007A750C">
              <w:rPr>
                <w:rFonts w:ascii="Arial" w:hAnsi="Arial" w:cs="Arial"/>
                <w:sz w:val="18"/>
                <w:szCs w:val="18"/>
              </w:rPr>
              <w:t>151/248 (61%)</w:t>
            </w:r>
          </w:p>
        </w:tc>
        <w:tc>
          <w:tcPr>
            <w:tcW w:w="1418" w:type="dxa"/>
            <w:shd w:val="clear" w:color="auto" w:fill="DBE5F1"/>
            <w:vAlign w:val="center"/>
          </w:tcPr>
          <w:p w:rsidR="00315A33" w:rsidRPr="007A750C" w:rsidRDefault="00315A33" w:rsidP="006C4EC2">
            <w:pPr>
              <w:jc w:val="both"/>
              <w:rPr>
                <w:rFonts w:ascii="Arial" w:hAnsi="Arial" w:cs="Arial"/>
                <w:i/>
                <w:sz w:val="18"/>
                <w:szCs w:val="18"/>
              </w:rPr>
            </w:pPr>
            <w:r w:rsidRPr="007A750C">
              <w:rPr>
                <w:rFonts w:ascii="Arial" w:hAnsi="Arial" w:cs="Arial"/>
                <w:i/>
                <w:sz w:val="18"/>
                <w:szCs w:val="18"/>
              </w:rPr>
              <w:t>-3% (-12%</w:t>
            </w:r>
            <w:proofErr w:type="gramStart"/>
            <w:r w:rsidRPr="007A750C">
              <w:rPr>
                <w:rFonts w:ascii="Arial" w:hAnsi="Arial" w:cs="Arial"/>
                <w:i/>
                <w:sz w:val="18"/>
                <w:szCs w:val="18"/>
              </w:rPr>
              <w:t>,5</w:t>
            </w:r>
            <w:proofErr w:type="gramEnd"/>
            <w:r w:rsidRPr="007A750C">
              <w:rPr>
                <w:rFonts w:ascii="Arial" w:hAnsi="Arial" w:cs="Arial"/>
                <w:i/>
                <w:sz w:val="18"/>
                <w:szCs w:val="18"/>
              </w:rPr>
              <w:t>%)</w:t>
            </w:r>
          </w:p>
        </w:tc>
        <w:tc>
          <w:tcPr>
            <w:tcW w:w="992" w:type="dxa"/>
            <w:shd w:val="clear" w:color="auto" w:fill="DBE5F1"/>
            <w:vAlign w:val="center"/>
          </w:tcPr>
          <w:p w:rsidR="00315A33" w:rsidRPr="007A750C" w:rsidRDefault="00315A33" w:rsidP="006C4EC2">
            <w:pPr>
              <w:jc w:val="both"/>
              <w:rPr>
                <w:rFonts w:ascii="Arial" w:hAnsi="Arial" w:cs="Arial"/>
                <w:i/>
                <w:sz w:val="18"/>
                <w:szCs w:val="18"/>
              </w:rPr>
            </w:pPr>
            <w:r w:rsidRPr="007A750C">
              <w:rPr>
                <w:rFonts w:ascii="Arial" w:hAnsi="Arial" w:cs="Arial"/>
                <w:i/>
                <w:sz w:val="18"/>
                <w:szCs w:val="18"/>
              </w:rPr>
              <w:t xml:space="preserve">0.95 </w:t>
            </w:r>
          </w:p>
          <w:p w:rsidR="00315A33" w:rsidRPr="007A750C" w:rsidRDefault="00315A33" w:rsidP="006C4EC2">
            <w:pPr>
              <w:jc w:val="both"/>
              <w:rPr>
                <w:rFonts w:ascii="Arial" w:hAnsi="Arial" w:cs="Arial"/>
                <w:i/>
                <w:sz w:val="18"/>
                <w:szCs w:val="18"/>
              </w:rPr>
            </w:pPr>
            <w:r w:rsidRPr="007A750C">
              <w:rPr>
                <w:rFonts w:ascii="Arial" w:hAnsi="Arial" w:cs="Arial"/>
                <w:i/>
                <w:sz w:val="18"/>
                <w:szCs w:val="18"/>
              </w:rPr>
              <w:t>(0.82,1.10)</w:t>
            </w:r>
          </w:p>
        </w:tc>
        <w:tc>
          <w:tcPr>
            <w:tcW w:w="1276" w:type="dxa"/>
            <w:shd w:val="clear" w:color="auto" w:fill="DBE5F1"/>
            <w:vAlign w:val="center"/>
          </w:tcPr>
          <w:p w:rsidR="00315A33" w:rsidRPr="007A750C" w:rsidRDefault="00315A33" w:rsidP="006C4EC2">
            <w:pPr>
              <w:jc w:val="both"/>
              <w:rPr>
                <w:rFonts w:ascii="Arial" w:hAnsi="Arial" w:cs="Arial"/>
                <w:i/>
                <w:sz w:val="18"/>
                <w:szCs w:val="18"/>
              </w:rPr>
            </w:pPr>
            <w:r w:rsidRPr="007A750C">
              <w:rPr>
                <w:rFonts w:ascii="Arial" w:hAnsi="Arial" w:cs="Arial"/>
                <w:i/>
                <w:sz w:val="18"/>
                <w:szCs w:val="18"/>
              </w:rPr>
              <w:t>-0.5%</w:t>
            </w:r>
          </w:p>
          <w:p w:rsidR="00315A33" w:rsidRPr="007A750C" w:rsidRDefault="00315A33" w:rsidP="006C4EC2">
            <w:pPr>
              <w:jc w:val="both"/>
              <w:rPr>
                <w:rFonts w:ascii="Arial" w:hAnsi="Arial" w:cs="Arial"/>
                <w:i/>
                <w:sz w:val="18"/>
                <w:szCs w:val="18"/>
              </w:rPr>
            </w:pPr>
            <w:r w:rsidRPr="007A750C">
              <w:rPr>
                <w:rFonts w:ascii="Arial" w:hAnsi="Arial" w:cs="Arial"/>
                <w:i/>
                <w:sz w:val="18"/>
                <w:szCs w:val="18"/>
              </w:rPr>
              <w:t>(-9%</w:t>
            </w:r>
            <w:proofErr w:type="gramStart"/>
            <w:r w:rsidRPr="007A750C">
              <w:rPr>
                <w:rFonts w:ascii="Arial" w:hAnsi="Arial" w:cs="Arial"/>
                <w:i/>
                <w:sz w:val="18"/>
                <w:szCs w:val="18"/>
              </w:rPr>
              <w:t>,8</w:t>
            </w:r>
            <w:proofErr w:type="gramEnd"/>
            <w:r w:rsidRPr="007A750C">
              <w:rPr>
                <w:rFonts w:ascii="Arial" w:hAnsi="Arial" w:cs="Arial"/>
                <w:i/>
                <w:sz w:val="18"/>
                <w:szCs w:val="18"/>
              </w:rPr>
              <w:t>%)</w:t>
            </w:r>
          </w:p>
        </w:tc>
        <w:tc>
          <w:tcPr>
            <w:tcW w:w="992" w:type="dxa"/>
            <w:shd w:val="clear" w:color="auto" w:fill="DBE5F1"/>
            <w:vAlign w:val="center"/>
          </w:tcPr>
          <w:p w:rsidR="00315A33" w:rsidRPr="007A750C" w:rsidRDefault="00315A33" w:rsidP="006C4EC2">
            <w:pPr>
              <w:jc w:val="both"/>
              <w:rPr>
                <w:rFonts w:ascii="Arial" w:hAnsi="Arial" w:cs="Arial"/>
                <w:i/>
                <w:sz w:val="18"/>
                <w:szCs w:val="18"/>
              </w:rPr>
            </w:pPr>
            <w:r w:rsidRPr="007A750C">
              <w:rPr>
                <w:rFonts w:ascii="Arial" w:hAnsi="Arial" w:cs="Arial"/>
                <w:i/>
                <w:sz w:val="18"/>
                <w:szCs w:val="18"/>
              </w:rPr>
              <w:t>0.99</w:t>
            </w:r>
          </w:p>
          <w:p w:rsidR="00315A33" w:rsidRPr="007A750C" w:rsidRDefault="00315A33" w:rsidP="006C4EC2">
            <w:pPr>
              <w:jc w:val="both"/>
              <w:rPr>
                <w:rFonts w:ascii="Arial" w:hAnsi="Arial" w:cs="Arial"/>
                <w:i/>
                <w:sz w:val="18"/>
                <w:szCs w:val="18"/>
              </w:rPr>
            </w:pPr>
            <w:r w:rsidRPr="007A750C">
              <w:rPr>
                <w:rFonts w:ascii="Arial" w:hAnsi="Arial" w:cs="Arial"/>
                <w:i/>
                <w:sz w:val="18"/>
                <w:szCs w:val="18"/>
              </w:rPr>
              <w:t>(0.86, 1.14)</w:t>
            </w:r>
          </w:p>
        </w:tc>
      </w:tr>
      <w:tr w:rsidR="00315A33" w:rsidRPr="007A750C" w:rsidTr="006C4EC2">
        <w:tc>
          <w:tcPr>
            <w:tcW w:w="4111" w:type="dxa"/>
            <w:gridSpan w:val="5"/>
            <w:tcBorders>
              <w:right w:val="nil"/>
            </w:tcBorders>
            <w:shd w:val="clear" w:color="auto" w:fill="auto"/>
            <w:vAlign w:val="center"/>
          </w:tcPr>
          <w:p w:rsidR="00315A33" w:rsidRPr="006C4EC2" w:rsidRDefault="00315A33" w:rsidP="006C4EC2">
            <w:pPr>
              <w:jc w:val="both"/>
              <w:rPr>
                <w:rFonts w:ascii="Arial" w:hAnsi="Arial" w:cs="Arial"/>
                <w:b/>
                <w:sz w:val="18"/>
                <w:szCs w:val="18"/>
              </w:rPr>
            </w:pPr>
            <w:r w:rsidRPr="006C4EC2">
              <w:rPr>
                <w:rFonts w:ascii="Arial" w:hAnsi="Arial" w:cs="Arial"/>
                <w:b/>
                <w:sz w:val="18"/>
                <w:szCs w:val="18"/>
              </w:rPr>
              <w:t>CONFIRMS</w:t>
            </w:r>
          </w:p>
        </w:tc>
        <w:tc>
          <w:tcPr>
            <w:tcW w:w="1418" w:type="dxa"/>
            <w:tcBorders>
              <w:left w:val="nil"/>
              <w:right w:val="nil"/>
            </w:tcBorders>
            <w:shd w:val="clear" w:color="auto" w:fill="DBE5F1"/>
            <w:vAlign w:val="center"/>
          </w:tcPr>
          <w:p w:rsidR="00315A33" w:rsidRPr="006C4EC2" w:rsidRDefault="00315A33" w:rsidP="006C4EC2">
            <w:pPr>
              <w:jc w:val="both"/>
              <w:rPr>
                <w:rFonts w:ascii="Arial" w:hAnsi="Arial" w:cs="Arial"/>
                <w:b/>
                <w:i/>
                <w:sz w:val="18"/>
                <w:szCs w:val="18"/>
              </w:rPr>
            </w:pPr>
          </w:p>
        </w:tc>
        <w:tc>
          <w:tcPr>
            <w:tcW w:w="992" w:type="dxa"/>
            <w:tcBorders>
              <w:left w:val="nil"/>
              <w:right w:val="nil"/>
            </w:tcBorders>
            <w:shd w:val="clear" w:color="auto" w:fill="DBE5F1"/>
            <w:vAlign w:val="center"/>
          </w:tcPr>
          <w:p w:rsidR="00315A33" w:rsidRPr="007A750C" w:rsidRDefault="00315A33" w:rsidP="006C4EC2">
            <w:pPr>
              <w:jc w:val="both"/>
              <w:rPr>
                <w:rFonts w:ascii="Arial" w:hAnsi="Arial" w:cs="Arial"/>
                <w:b/>
                <w:i/>
                <w:sz w:val="18"/>
                <w:szCs w:val="18"/>
              </w:rPr>
            </w:pPr>
          </w:p>
        </w:tc>
        <w:tc>
          <w:tcPr>
            <w:tcW w:w="1276" w:type="dxa"/>
            <w:tcBorders>
              <w:left w:val="nil"/>
              <w:right w:val="nil"/>
            </w:tcBorders>
            <w:shd w:val="clear" w:color="auto" w:fill="DBE5F1"/>
            <w:vAlign w:val="center"/>
          </w:tcPr>
          <w:p w:rsidR="00315A33" w:rsidRPr="007A750C" w:rsidRDefault="00315A33" w:rsidP="006C4EC2">
            <w:pPr>
              <w:jc w:val="both"/>
              <w:rPr>
                <w:rFonts w:ascii="Arial" w:hAnsi="Arial" w:cs="Arial"/>
                <w:b/>
                <w:i/>
                <w:sz w:val="18"/>
                <w:szCs w:val="18"/>
              </w:rPr>
            </w:pPr>
          </w:p>
        </w:tc>
        <w:tc>
          <w:tcPr>
            <w:tcW w:w="992" w:type="dxa"/>
            <w:tcBorders>
              <w:left w:val="nil"/>
            </w:tcBorders>
            <w:shd w:val="clear" w:color="auto" w:fill="DBE5F1"/>
            <w:vAlign w:val="center"/>
          </w:tcPr>
          <w:p w:rsidR="00315A33" w:rsidRPr="007A750C" w:rsidRDefault="00315A33" w:rsidP="006C4EC2">
            <w:pPr>
              <w:jc w:val="both"/>
              <w:rPr>
                <w:rFonts w:ascii="Arial" w:hAnsi="Arial" w:cs="Arial"/>
                <w:b/>
                <w:i/>
                <w:sz w:val="18"/>
                <w:szCs w:val="18"/>
              </w:rPr>
            </w:pPr>
          </w:p>
        </w:tc>
      </w:tr>
      <w:tr w:rsidR="00315A33" w:rsidRPr="007A750C" w:rsidTr="006C4EC2">
        <w:tc>
          <w:tcPr>
            <w:tcW w:w="1135" w:type="dxa"/>
            <w:shd w:val="clear" w:color="auto" w:fill="auto"/>
            <w:vAlign w:val="center"/>
          </w:tcPr>
          <w:p w:rsidR="00315A33" w:rsidRPr="006C4EC2" w:rsidRDefault="00315A33" w:rsidP="006C4EC2">
            <w:pPr>
              <w:jc w:val="both"/>
              <w:rPr>
                <w:rFonts w:ascii="Arial" w:hAnsi="Arial" w:cs="Arial"/>
                <w:sz w:val="18"/>
                <w:szCs w:val="18"/>
              </w:rPr>
            </w:pPr>
            <w:r w:rsidRPr="006C4EC2">
              <w:rPr>
                <w:rFonts w:ascii="Arial" w:hAnsi="Arial" w:cs="Arial"/>
                <w:sz w:val="18"/>
                <w:szCs w:val="18"/>
              </w:rPr>
              <w:t>Day 1 to Month 6</w:t>
            </w:r>
          </w:p>
        </w:tc>
        <w:tc>
          <w:tcPr>
            <w:tcW w:w="709" w:type="dxa"/>
            <w:shd w:val="clear" w:color="auto" w:fill="auto"/>
            <w:vAlign w:val="center"/>
          </w:tcPr>
          <w:p w:rsidR="00315A33" w:rsidRPr="007A750C" w:rsidRDefault="00315A33" w:rsidP="006C4EC2">
            <w:pPr>
              <w:jc w:val="both"/>
              <w:rPr>
                <w:rFonts w:ascii="Arial" w:hAnsi="Arial" w:cs="Arial"/>
                <w:sz w:val="18"/>
                <w:szCs w:val="18"/>
              </w:rPr>
            </w:pPr>
            <w:r w:rsidRPr="007A750C">
              <w:rPr>
                <w:rFonts w:ascii="Arial" w:hAnsi="Arial" w:cs="Arial"/>
                <w:sz w:val="18"/>
                <w:szCs w:val="18"/>
              </w:rPr>
              <w:t>NA</w:t>
            </w:r>
          </w:p>
        </w:tc>
        <w:tc>
          <w:tcPr>
            <w:tcW w:w="850" w:type="dxa"/>
            <w:shd w:val="clear" w:color="auto" w:fill="auto"/>
            <w:vAlign w:val="center"/>
          </w:tcPr>
          <w:p w:rsidR="00315A33" w:rsidRPr="007A750C" w:rsidRDefault="00315A33" w:rsidP="006C4EC2">
            <w:pPr>
              <w:jc w:val="both"/>
              <w:rPr>
                <w:rFonts w:ascii="Arial" w:hAnsi="Arial" w:cs="Arial"/>
                <w:sz w:val="18"/>
                <w:szCs w:val="18"/>
              </w:rPr>
            </w:pPr>
            <w:r w:rsidRPr="007A750C">
              <w:rPr>
                <w:rFonts w:ascii="Arial" w:hAnsi="Arial" w:cs="Arial"/>
                <w:sz w:val="18"/>
                <w:szCs w:val="18"/>
              </w:rPr>
              <w:t>235/756</w:t>
            </w:r>
          </w:p>
          <w:p w:rsidR="00315A33" w:rsidRPr="007A750C" w:rsidRDefault="00315A33" w:rsidP="006C4EC2">
            <w:pPr>
              <w:jc w:val="both"/>
              <w:rPr>
                <w:rFonts w:ascii="Arial" w:hAnsi="Arial" w:cs="Arial"/>
                <w:sz w:val="18"/>
                <w:szCs w:val="18"/>
                <w:vertAlign w:val="superscript"/>
              </w:rPr>
            </w:pPr>
            <w:r w:rsidRPr="007A750C">
              <w:rPr>
                <w:rFonts w:ascii="Arial" w:hAnsi="Arial" w:cs="Arial"/>
                <w:sz w:val="18"/>
                <w:szCs w:val="18"/>
              </w:rPr>
              <w:t xml:space="preserve">(31%) </w:t>
            </w:r>
          </w:p>
        </w:tc>
        <w:tc>
          <w:tcPr>
            <w:tcW w:w="709" w:type="dxa"/>
            <w:shd w:val="clear" w:color="auto" w:fill="auto"/>
            <w:vAlign w:val="center"/>
          </w:tcPr>
          <w:p w:rsidR="00315A33" w:rsidRPr="007A750C" w:rsidRDefault="00315A33" w:rsidP="006C4EC2">
            <w:pPr>
              <w:jc w:val="both"/>
              <w:rPr>
                <w:rFonts w:ascii="Arial" w:hAnsi="Arial" w:cs="Arial"/>
                <w:sz w:val="18"/>
                <w:szCs w:val="18"/>
              </w:rPr>
            </w:pPr>
            <w:r w:rsidRPr="007A750C">
              <w:rPr>
                <w:rFonts w:ascii="Arial" w:hAnsi="Arial" w:cs="Arial"/>
                <w:sz w:val="18"/>
                <w:szCs w:val="18"/>
              </w:rPr>
              <w:t>-</w:t>
            </w:r>
          </w:p>
        </w:tc>
        <w:tc>
          <w:tcPr>
            <w:tcW w:w="708" w:type="dxa"/>
            <w:shd w:val="clear" w:color="auto" w:fill="auto"/>
            <w:vAlign w:val="center"/>
          </w:tcPr>
          <w:p w:rsidR="00315A33" w:rsidRPr="007A750C" w:rsidRDefault="00315A33" w:rsidP="006C4EC2">
            <w:pPr>
              <w:jc w:val="both"/>
              <w:rPr>
                <w:rFonts w:ascii="Arial" w:hAnsi="Arial" w:cs="Arial"/>
                <w:sz w:val="18"/>
                <w:szCs w:val="18"/>
              </w:rPr>
            </w:pPr>
            <w:r w:rsidRPr="007A750C">
              <w:rPr>
                <w:rFonts w:ascii="Arial" w:hAnsi="Arial" w:cs="Arial"/>
                <w:sz w:val="18"/>
                <w:szCs w:val="18"/>
              </w:rPr>
              <w:t>186/ 755</w:t>
            </w:r>
          </w:p>
          <w:p w:rsidR="00315A33" w:rsidRPr="007A750C" w:rsidRDefault="00315A33" w:rsidP="006C4EC2">
            <w:pPr>
              <w:jc w:val="both"/>
              <w:rPr>
                <w:rFonts w:ascii="Arial" w:hAnsi="Arial" w:cs="Arial"/>
                <w:sz w:val="18"/>
                <w:szCs w:val="18"/>
              </w:rPr>
            </w:pPr>
            <w:r w:rsidRPr="007A750C">
              <w:rPr>
                <w:rFonts w:ascii="Arial" w:hAnsi="Arial" w:cs="Arial"/>
                <w:sz w:val="18"/>
                <w:szCs w:val="18"/>
              </w:rPr>
              <w:t>(25%)</w:t>
            </w:r>
          </w:p>
        </w:tc>
        <w:tc>
          <w:tcPr>
            <w:tcW w:w="1418" w:type="dxa"/>
            <w:shd w:val="clear" w:color="auto" w:fill="DBE5F1"/>
            <w:vAlign w:val="center"/>
          </w:tcPr>
          <w:p w:rsidR="00315A33" w:rsidRPr="007A750C" w:rsidRDefault="00315A33" w:rsidP="006C4EC2">
            <w:pPr>
              <w:jc w:val="both"/>
              <w:rPr>
                <w:rFonts w:ascii="Arial" w:hAnsi="Arial" w:cs="Arial"/>
                <w:b/>
                <w:i/>
                <w:sz w:val="18"/>
                <w:szCs w:val="18"/>
              </w:rPr>
            </w:pPr>
            <w:r w:rsidRPr="007A750C">
              <w:rPr>
                <w:rFonts w:ascii="Arial" w:hAnsi="Arial" w:cs="Arial"/>
                <w:b/>
                <w:i/>
                <w:sz w:val="18"/>
                <w:szCs w:val="18"/>
              </w:rPr>
              <w:t>6% (1.9%</w:t>
            </w:r>
            <w:proofErr w:type="gramStart"/>
            <w:r w:rsidRPr="007A750C">
              <w:rPr>
                <w:rFonts w:ascii="Arial" w:hAnsi="Arial" w:cs="Arial"/>
                <w:b/>
                <w:i/>
                <w:sz w:val="18"/>
                <w:szCs w:val="18"/>
              </w:rPr>
              <w:t>,11</w:t>
            </w:r>
            <w:proofErr w:type="gramEnd"/>
            <w:r w:rsidRPr="007A750C">
              <w:rPr>
                <w:rFonts w:ascii="Arial" w:hAnsi="Arial" w:cs="Arial"/>
                <w:b/>
                <w:i/>
                <w:sz w:val="18"/>
                <w:szCs w:val="18"/>
              </w:rPr>
              <w:t>%)</w:t>
            </w:r>
          </w:p>
          <w:p w:rsidR="00315A33" w:rsidRPr="007A750C" w:rsidRDefault="00315A33" w:rsidP="006C4EC2">
            <w:pPr>
              <w:jc w:val="both"/>
              <w:rPr>
                <w:rFonts w:ascii="Arial" w:hAnsi="Arial" w:cs="Arial"/>
                <w:b/>
                <w:i/>
                <w:sz w:val="18"/>
                <w:szCs w:val="18"/>
              </w:rPr>
            </w:pPr>
            <w:r w:rsidRPr="007A750C">
              <w:rPr>
                <w:rFonts w:ascii="Arial" w:hAnsi="Arial" w:cs="Arial"/>
                <w:b/>
                <w:i/>
                <w:sz w:val="18"/>
                <w:szCs w:val="18"/>
              </w:rPr>
              <w:t>17 [9, 53]</w:t>
            </w:r>
          </w:p>
        </w:tc>
        <w:tc>
          <w:tcPr>
            <w:tcW w:w="992" w:type="dxa"/>
            <w:shd w:val="clear" w:color="auto" w:fill="DBE5F1"/>
            <w:vAlign w:val="center"/>
          </w:tcPr>
          <w:p w:rsidR="00315A33" w:rsidRPr="007A750C" w:rsidRDefault="00315A33" w:rsidP="006C4EC2">
            <w:pPr>
              <w:jc w:val="both"/>
              <w:rPr>
                <w:rFonts w:ascii="Arial" w:hAnsi="Arial" w:cs="Arial"/>
                <w:b/>
                <w:i/>
                <w:sz w:val="18"/>
                <w:szCs w:val="18"/>
              </w:rPr>
            </w:pPr>
            <w:r w:rsidRPr="007A750C">
              <w:rPr>
                <w:rFonts w:ascii="Arial" w:hAnsi="Arial" w:cs="Arial"/>
                <w:b/>
                <w:i/>
                <w:sz w:val="18"/>
                <w:szCs w:val="18"/>
              </w:rPr>
              <w:t xml:space="preserve">1.26 </w:t>
            </w:r>
          </w:p>
          <w:p w:rsidR="00315A33" w:rsidRPr="007A750C" w:rsidRDefault="00315A33" w:rsidP="006C4EC2">
            <w:pPr>
              <w:jc w:val="both"/>
              <w:rPr>
                <w:rFonts w:ascii="Arial" w:hAnsi="Arial" w:cs="Arial"/>
                <w:i/>
                <w:sz w:val="18"/>
                <w:szCs w:val="18"/>
              </w:rPr>
            </w:pPr>
            <w:r w:rsidRPr="007A750C">
              <w:rPr>
                <w:rFonts w:ascii="Arial" w:hAnsi="Arial" w:cs="Arial"/>
                <w:b/>
                <w:i/>
                <w:sz w:val="18"/>
                <w:szCs w:val="18"/>
              </w:rPr>
              <w:t>(1.07,1.49)</w:t>
            </w:r>
          </w:p>
        </w:tc>
        <w:tc>
          <w:tcPr>
            <w:tcW w:w="1276" w:type="dxa"/>
            <w:shd w:val="clear" w:color="auto" w:fill="DBE5F1"/>
            <w:vAlign w:val="center"/>
          </w:tcPr>
          <w:p w:rsidR="00315A33" w:rsidRPr="007A750C" w:rsidRDefault="00315A33" w:rsidP="006C4EC2">
            <w:pPr>
              <w:jc w:val="both"/>
              <w:rPr>
                <w:rFonts w:ascii="Arial" w:hAnsi="Arial" w:cs="Arial"/>
                <w:sz w:val="18"/>
                <w:szCs w:val="18"/>
              </w:rPr>
            </w:pPr>
            <w:r w:rsidRPr="007A750C">
              <w:rPr>
                <w:rFonts w:ascii="Arial" w:hAnsi="Arial" w:cs="Arial"/>
                <w:sz w:val="18"/>
                <w:szCs w:val="18"/>
              </w:rPr>
              <w:t>NA</w:t>
            </w:r>
          </w:p>
        </w:tc>
        <w:tc>
          <w:tcPr>
            <w:tcW w:w="992" w:type="dxa"/>
            <w:shd w:val="clear" w:color="auto" w:fill="DBE5F1"/>
            <w:vAlign w:val="center"/>
          </w:tcPr>
          <w:p w:rsidR="00315A33" w:rsidRPr="007A750C" w:rsidRDefault="00315A33" w:rsidP="006C4EC2">
            <w:pPr>
              <w:jc w:val="both"/>
              <w:rPr>
                <w:rFonts w:ascii="Arial" w:hAnsi="Arial" w:cs="Arial"/>
                <w:sz w:val="18"/>
                <w:szCs w:val="18"/>
              </w:rPr>
            </w:pPr>
            <w:r w:rsidRPr="007A750C">
              <w:rPr>
                <w:rFonts w:ascii="Arial" w:hAnsi="Arial" w:cs="Arial"/>
                <w:sz w:val="18"/>
                <w:szCs w:val="18"/>
              </w:rPr>
              <w:t>NA</w:t>
            </w:r>
          </w:p>
        </w:tc>
      </w:tr>
      <w:tr w:rsidR="00315A33" w:rsidRPr="007A750C" w:rsidTr="006C4EC2">
        <w:tc>
          <w:tcPr>
            <w:tcW w:w="4111" w:type="dxa"/>
            <w:gridSpan w:val="5"/>
            <w:tcBorders>
              <w:right w:val="nil"/>
            </w:tcBorders>
            <w:shd w:val="clear" w:color="auto" w:fill="auto"/>
            <w:vAlign w:val="center"/>
          </w:tcPr>
          <w:p w:rsidR="00315A33" w:rsidRPr="006C4EC2" w:rsidRDefault="00315A33" w:rsidP="006C4EC2">
            <w:pPr>
              <w:jc w:val="both"/>
              <w:rPr>
                <w:rFonts w:ascii="Arial" w:hAnsi="Arial" w:cs="Arial"/>
                <w:b/>
                <w:sz w:val="18"/>
                <w:szCs w:val="18"/>
              </w:rPr>
            </w:pPr>
            <w:r w:rsidRPr="006C4EC2">
              <w:rPr>
                <w:rFonts w:ascii="Arial" w:hAnsi="Arial" w:cs="Arial"/>
                <w:b/>
                <w:sz w:val="18"/>
                <w:szCs w:val="18"/>
              </w:rPr>
              <w:t>EXCEL (by initial treatment)</w:t>
            </w:r>
          </w:p>
        </w:tc>
        <w:tc>
          <w:tcPr>
            <w:tcW w:w="1418" w:type="dxa"/>
            <w:tcBorders>
              <w:left w:val="nil"/>
              <w:right w:val="nil"/>
            </w:tcBorders>
            <w:shd w:val="clear" w:color="auto" w:fill="DBE5F1"/>
            <w:vAlign w:val="center"/>
          </w:tcPr>
          <w:p w:rsidR="00315A33" w:rsidRPr="006C4EC2" w:rsidRDefault="00315A33" w:rsidP="006C4EC2">
            <w:pPr>
              <w:jc w:val="both"/>
              <w:rPr>
                <w:rFonts w:ascii="Arial" w:hAnsi="Arial" w:cs="Arial"/>
                <w:sz w:val="18"/>
                <w:szCs w:val="18"/>
              </w:rPr>
            </w:pPr>
          </w:p>
        </w:tc>
        <w:tc>
          <w:tcPr>
            <w:tcW w:w="992" w:type="dxa"/>
            <w:tcBorders>
              <w:left w:val="nil"/>
              <w:right w:val="nil"/>
            </w:tcBorders>
            <w:shd w:val="clear" w:color="auto" w:fill="DBE5F1"/>
            <w:vAlign w:val="center"/>
          </w:tcPr>
          <w:p w:rsidR="00315A33" w:rsidRPr="007A750C" w:rsidRDefault="00315A33" w:rsidP="006C4EC2">
            <w:pPr>
              <w:jc w:val="both"/>
              <w:rPr>
                <w:rFonts w:ascii="Arial" w:hAnsi="Arial" w:cs="Arial"/>
                <w:b/>
                <w:i/>
                <w:sz w:val="18"/>
                <w:szCs w:val="18"/>
              </w:rPr>
            </w:pPr>
          </w:p>
        </w:tc>
        <w:tc>
          <w:tcPr>
            <w:tcW w:w="1276" w:type="dxa"/>
            <w:tcBorders>
              <w:left w:val="nil"/>
              <w:right w:val="nil"/>
            </w:tcBorders>
            <w:shd w:val="clear" w:color="auto" w:fill="DBE5F1"/>
            <w:vAlign w:val="center"/>
          </w:tcPr>
          <w:p w:rsidR="00315A33" w:rsidRPr="007A750C" w:rsidRDefault="00315A33" w:rsidP="006C4EC2">
            <w:pPr>
              <w:jc w:val="both"/>
              <w:rPr>
                <w:rFonts w:ascii="Arial" w:hAnsi="Arial" w:cs="Arial"/>
                <w:b/>
                <w:i/>
                <w:sz w:val="18"/>
                <w:szCs w:val="18"/>
              </w:rPr>
            </w:pPr>
          </w:p>
        </w:tc>
        <w:tc>
          <w:tcPr>
            <w:tcW w:w="992" w:type="dxa"/>
            <w:tcBorders>
              <w:left w:val="nil"/>
            </w:tcBorders>
            <w:shd w:val="clear" w:color="auto" w:fill="DBE5F1"/>
            <w:vAlign w:val="center"/>
          </w:tcPr>
          <w:p w:rsidR="00315A33" w:rsidRPr="007A750C" w:rsidRDefault="00315A33" w:rsidP="006C4EC2">
            <w:pPr>
              <w:jc w:val="both"/>
              <w:rPr>
                <w:rFonts w:ascii="Arial" w:hAnsi="Arial" w:cs="Arial"/>
                <w:b/>
                <w:i/>
                <w:sz w:val="18"/>
                <w:szCs w:val="18"/>
              </w:rPr>
            </w:pPr>
          </w:p>
        </w:tc>
      </w:tr>
      <w:tr w:rsidR="00315A33" w:rsidRPr="007A750C" w:rsidTr="006C4EC2">
        <w:tc>
          <w:tcPr>
            <w:tcW w:w="1135" w:type="dxa"/>
            <w:shd w:val="clear" w:color="auto" w:fill="auto"/>
            <w:vAlign w:val="center"/>
          </w:tcPr>
          <w:p w:rsidR="00315A33" w:rsidRPr="006C4EC2" w:rsidRDefault="00315A33" w:rsidP="006C4EC2">
            <w:pPr>
              <w:jc w:val="both"/>
              <w:rPr>
                <w:rFonts w:ascii="Arial" w:hAnsi="Arial" w:cs="Arial"/>
                <w:sz w:val="18"/>
                <w:szCs w:val="18"/>
              </w:rPr>
            </w:pPr>
            <w:r w:rsidRPr="006C4EC2">
              <w:rPr>
                <w:rFonts w:ascii="Arial" w:hAnsi="Arial" w:cs="Arial"/>
                <w:sz w:val="18"/>
                <w:szCs w:val="18"/>
              </w:rPr>
              <w:t>Overall</w:t>
            </w:r>
          </w:p>
        </w:tc>
        <w:tc>
          <w:tcPr>
            <w:tcW w:w="709" w:type="dxa"/>
            <w:shd w:val="clear" w:color="auto" w:fill="auto"/>
            <w:vAlign w:val="center"/>
          </w:tcPr>
          <w:p w:rsidR="00315A33" w:rsidRPr="006C4EC2" w:rsidRDefault="00315A33" w:rsidP="006C4EC2">
            <w:pPr>
              <w:jc w:val="both"/>
              <w:rPr>
                <w:rFonts w:ascii="Arial" w:hAnsi="Arial" w:cs="Arial"/>
                <w:sz w:val="18"/>
                <w:szCs w:val="18"/>
              </w:rPr>
            </w:pPr>
            <w:r w:rsidRPr="006C4EC2">
              <w:rPr>
                <w:rFonts w:ascii="Arial" w:hAnsi="Arial" w:cs="Arial"/>
                <w:sz w:val="18"/>
                <w:szCs w:val="18"/>
              </w:rPr>
              <w:t>NA</w:t>
            </w:r>
          </w:p>
        </w:tc>
        <w:tc>
          <w:tcPr>
            <w:tcW w:w="850" w:type="dxa"/>
            <w:shd w:val="clear" w:color="auto" w:fill="auto"/>
            <w:vAlign w:val="center"/>
          </w:tcPr>
          <w:p w:rsidR="00315A33" w:rsidRPr="007A750C" w:rsidRDefault="00315A33" w:rsidP="006C4EC2">
            <w:pPr>
              <w:jc w:val="both"/>
              <w:rPr>
                <w:rFonts w:ascii="Arial" w:hAnsi="Arial" w:cs="Arial"/>
                <w:sz w:val="18"/>
                <w:szCs w:val="18"/>
              </w:rPr>
            </w:pPr>
            <w:r w:rsidRPr="007A750C">
              <w:rPr>
                <w:rFonts w:ascii="Arial" w:hAnsi="Arial" w:cs="Arial"/>
                <w:sz w:val="18"/>
                <w:szCs w:val="18"/>
              </w:rPr>
              <w:t>221/649 (34%)</w:t>
            </w:r>
          </w:p>
        </w:tc>
        <w:tc>
          <w:tcPr>
            <w:tcW w:w="709" w:type="dxa"/>
            <w:shd w:val="clear" w:color="auto" w:fill="auto"/>
            <w:vAlign w:val="center"/>
          </w:tcPr>
          <w:p w:rsidR="00315A33" w:rsidRPr="007A750C" w:rsidRDefault="00315A33" w:rsidP="006C4EC2">
            <w:pPr>
              <w:jc w:val="both"/>
              <w:rPr>
                <w:rFonts w:ascii="Arial" w:hAnsi="Arial" w:cs="Arial"/>
                <w:sz w:val="18"/>
                <w:szCs w:val="18"/>
              </w:rPr>
            </w:pPr>
            <w:r w:rsidRPr="007A750C">
              <w:rPr>
                <w:rFonts w:ascii="Arial" w:hAnsi="Arial" w:cs="Arial"/>
                <w:sz w:val="18"/>
                <w:szCs w:val="18"/>
              </w:rPr>
              <w:t>122/292 (42%)</w:t>
            </w:r>
          </w:p>
        </w:tc>
        <w:tc>
          <w:tcPr>
            <w:tcW w:w="708" w:type="dxa"/>
            <w:shd w:val="clear" w:color="auto" w:fill="auto"/>
            <w:vAlign w:val="center"/>
          </w:tcPr>
          <w:p w:rsidR="00315A33" w:rsidRPr="007A750C" w:rsidRDefault="00315A33" w:rsidP="006C4EC2">
            <w:pPr>
              <w:jc w:val="both"/>
              <w:rPr>
                <w:rFonts w:ascii="Arial" w:hAnsi="Arial" w:cs="Arial"/>
                <w:sz w:val="18"/>
                <w:szCs w:val="18"/>
              </w:rPr>
            </w:pPr>
            <w:r w:rsidRPr="007A750C">
              <w:rPr>
                <w:rFonts w:ascii="Arial" w:hAnsi="Arial" w:cs="Arial"/>
                <w:sz w:val="18"/>
                <w:szCs w:val="18"/>
              </w:rPr>
              <w:t>35/145 (24%)</w:t>
            </w:r>
          </w:p>
        </w:tc>
        <w:tc>
          <w:tcPr>
            <w:tcW w:w="1418" w:type="dxa"/>
            <w:shd w:val="clear" w:color="auto" w:fill="DBE5F1"/>
            <w:vAlign w:val="center"/>
          </w:tcPr>
          <w:p w:rsidR="00315A33" w:rsidRPr="007A750C" w:rsidRDefault="00315A33" w:rsidP="006C4EC2">
            <w:pPr>
              <w:jc w:val="both"/>
              <w:rPr>
                <w:rFonts w:ascii="Arial" w:hAnsi="Arial" w:cs="Arial"/>
                <w:b/>
                <w:i/>
                <w:sz w:val="18"/>
                <w:szCs w:val="18"/>
              </w:rPr>
            </w:pPr>
            <w:proofErr w:type="gramStart"/>
            <w:r w:rsidRPr="007A750C">
              <w:rPr>
                <w:rFonts w:ascii="Arial" w:hAnsi="Arial" w:cs="Arial"/>
                <w:b/>
                <w:i/>
                <w:sz w:val="18"/>
                <w:szCs w:val="18"/>
              </w:rPr>
              <w:t>10%</w:t>
            </w:r>
            <w:proofErr w:type="gramEnd"/>
            <w:r w:rsidRPr="007A750C">
              <w:rPr>
                <w:rFonts w:ascii="Arial" w:hAnsi="Arial" w:cs="Arial"/>
                <w:b/>
                <w:i/>
                <w:sz w:val="18"/>
                <w:szCs w:val="18"/>
              </w:rPr>
              <w:t>(1.6%,17%)</w:t>
            </w:r>
          </w:p>
          <w:p w:rsidR="00315A33" w:rsidRPr="007A750C" w:rsidRDefault="00315A33" w:rsidP="006C4EC2">
            <w:pPr>
              <w:jc w:val="both"/>
              <w:rPr>
                <w:rFonts w:ascii="Arial" w:hAnsi="Arial" w:cs="Arial"/>
                <w:b/>
                <w:i/>
                <w:sz w:val="18"/>
                <w:szCs w:val="18"/>
              </w:rPr>
            </w:pPr>
            <w:r w:rsidRPr="007A750C">
              <w:rPr>
                <w:rFonts w:ascii="Arial" w:hAnsi="Arial" w:cs="Arial"/>
                <w:b/>
                <w:i/>
                <w:sz w:val="18"/>
                <w:szCs w:val="18"/>
              </w:rPr>
              <w:t>10 [6, 63]</w:t>
            </w:r>
          </w:p>
        </w:tc>
        <w:tc>
          <w:tcPr>
            <w:tcW w:w="992" w:type="dxa"/>
            <w:shd w:val="clear" w:color="auto" w:fill="DBE5F1"/>
            <w:vAlign w:val="center"/>
          </w:tcPr>
          <w:p w:rsidR="00315A33" w:rsidRPr="007A750C" w:rsidRDefault="00315A33" w:rsidP="006C4EC2">
            <w:pPr>
              <w:jc w:val="both"/>
              <w:rPr>
                <w:rFonts w:ascii="Arial" w:hAnsi="Arial" w:cs="Arial"/>
                <w:b/>
                <w:i/>
                <w:sz w:val="18"/>
                <w:szCs w:val="18"/>
              </w:rPr>
            </w:pPr>
            <w:r w:rsidRPr="007A750C">
              <w:rPr>
                <w:rFonts w:ascii="Arial" w:hAnsi="Arial" w:cs="Arial"/>
                <w:b/>
                <w:i/>
                <w:sz w:val="18"/>
                <w:szCs w:val="18"/>
              </w:rPr>
              <w:t>1.41</w:t>
            </w:r>
          </w:p>
          <w:p w:rsidR="00315A33" w:rsidRPr="007A750C" w:rsidRDefault="00315A33" w:rsidP="006C4EC2">
            <w:pPr>
              <w:jc w:val="both"/>
              <w:rPr>
                <w:rFonts w:ascii="Arial" w:hAnsi="Arial" w:cs="Arial"/>
                <w:b/>
                <w:i/>
                <w:sz w:val="18"/>
                <w:szCs w:val="18"/>
              </w:rPr>
            </w:pPr>
            <w:r w:rsidRPr="007A750C">
              <w:rPr>
                <w:rFonts w:ascii="Arial" w:hAnsi="Arial" w:cs="Arial"/>
                <w:b/>
                <w:i/>
                <w:sz w:val="18"/>
                <w:szCs w:val="18"/>
              </w:rPr>
              <w:t>(1.05,1.94)</w:t>
            </w:r>
          </w:p>
        </w:tc>
        <w:tc>
          <w:tcPr>
            <w:tcW w:w="1276" w:type="dxa"/>
            <w:shd w:val="clear" w:color="auto" w:fill="DBE5F1"/>
            <w:vAlign w:val="center"/>
          </w:tcPr>
          <w:p w:rsidR="00315A33" w:rsidRPr="007A750C" w:rsidRDefault="00315A33" w:rsidP="006C4EC2">
            <w:pPr>
              <w:jc w:val="both"/>
              <w:rPr>
                <w:rFonts w:ascii="Arial" w:hAnsi="Arial" w:cs="Arial"/>
                <w:b/>
                <w:i/>
                <w:sz w:val="18"/>
                <w:szCs w:val="18"/>
              </w:rPr>
            </w:pPr>
            <w:r w:rsidRPr="007A750C">
              <w:rPr>
                <w:rFonts w:ascii="Arial" w:hAnsi="Arial" w:cs="Arial"/>
                <w:b/>
                <w:i/>
                <w:sz w:val="18"/>
                <w:szCs w:val="18"/>
              </w:rPr>
              <w:t>18%</w:t>
            </w:r>
          </w:p>
          <w:p w:rsidR="00315A33" w:rsidRPr="007A750C" w:rsidRDefault="00315A33" w:rsidP="006C4EC2">
            <w:pPr>
              <w:jc w:val="both"/>
              <w:rPr>
                <w:rFonts w:ascii="Arial" w:hAnsi="Arial" w:cs="Arial"/>
                <w:b/>
                <w:i/>
                <w:sz w:val="18"/>
                <w:szCs w:val="18"/>
              </w:rPr>
            </w:pPr>
            <w:r w:rsidRPr="007A750C">
              <w:rPr>
                <w:rFonts w:ascii="Arial" w:hAnsi="Arial" w:cs="Arial"/>
                <w:b/>
                <w:i/>
                <w:sz w:val="18"/>
                <w:szCs w:val="18"/>
              </w:rPr>
              <w:t>(8.3%</w:t>
            </w:r>
            <w:proofErr w:type="gramStart"/>
            <w:r w:rsidRPr="007A750C">
              <w:rPr>
                <w:rFonts w:ascii="Arial" w:hAnsi="Arial" w:cs="Arial"/>
                <w:b/>
                <w:i/>
                <w:sz w:val="18"/>
                <w:szCs w:val="18"/>
              </w:rPr>
              <w:t>,26</w:t>
            </w:r>
            <w:proofErr w:type="gramEnd"/>
            <w:r w:rsidRPr="007A750C">
              <w:rPr>
                <w:rFonts w:ascii="Arial" w:hAnsi="Arial" w:cs="Arial"/>
                <w:b/>
                <w:i/>
                <w:sz w:val="18"/>
                <w:szCs w:val="18"/>
              </w:rPr>
              <w:t>%)</w:t>
            </w:r>
          </w:p>
          <w:p w:rsidR="00315A33" w:rsidRPr="007A750C" w:rsidRDefault="00315A33" w:rsidP="006C4EC2">
            <w:pPr>
              <w:jc w:val="both"/>
              <w:rPr>
                <w:rFonts w:ascii="Arial" w:hAnsi="Arial" w:cs="Arial"/>
                <w:b/>
                <w:i/>
                <w:sz w:val="18"/>
                <w:szCs w:val="18"/>
              </w:rPr>
            </w:pPr>
            <w:r w:rsidRPr="007A750C">
              <w:rPr>
                <w:rFonts w:ascii="Arial" w:hAnsi="Arial" w:cs="Arial"/>
                <w:b/>
                <w:i/>
                <w:sz w:val="18"/>
                <w:szCs w:val="18"/>
              </w:rPr>
              <w:t>5 [4, 10]</w:t>
            </w:r>
          </w:p>
        </w:tc>
        <w:tc>
          <w:tcPr>
            <w:tcW w:w="992" w:type="dxa"/>
            <w:shd w:val="clear" w:color="auto" w:fill="DBE5F1"/>
            <w:vAlign w:val="center"/>
          </w:tcPr>
          <w:p w:rsidR="00315A33" w:rsidRPr="007A750C" w:rsidRDefault="00315A33" w:rsidP="006C4EC2">
            <w:pPr>
              <w:jc w:val="both"/>
              <w:rPr>
                <w:rFonts w:ascii="Arial" w:hAnsi="Arial" w:cs="Arial"/>
                <w:b/>
                <w:i/>
                <w:sz w:val="18"/>
                <w:szCs w:val="18"/>
              </w:rPr>
            </w:pPr>
            <w:r w:rsidRPr="007A750C">
              <w:rPr>
                <w:rFonts w:ascii="Arial" w:hAnsi="Arial" w:cs="Arial"/>
                <w:b/>
                <w:i/>
                <w:sz w:val="18"/>
                <w:szCs w:val="18"/>
              </w:rPr>
              <w:t>1.73</w:t>
            </w:r>
          </w:p>
          <w:p w:rsidR="00315A33" w:rsidRPr="007A750C" w:rsidRDefault="00315A33" w:rsidP="006C4EC2">
            <w:pPr>
              <w:jc w:val="both"/>
              <w:rPr>
                <w:rFonts w:ascii="Arial" w:hAnsi="Arial" w:cs="Arial"/>
                <w:b/>
                <w:i/>
                <w:sz w:val="18"/>
                <w:szCs w:val="18"/>
              </w:rPr>
            </w:pPr>
            <w:r w:rsidRPr="007A750C">
              <w:rPr>
                <w:rFonts w:ascii="Arial" w:hAnsi="Arial" w:cs="Arial"/>
                <w:b/>
                <w:i/>
                <w:sz w:val="18"/>
                <w:szCs w:val="18"/>
              </w:rPr>
              <w:t>(1.27, 2.40)</w:t>
            </w:r>
          </w:p>
        </w:tc>
      </w:tr>
      <w:tr w:rsidR="00315A33" w:rsidRPr="007A750C" w:rsidTr="006C4EC2">
        <w:tc>
          <w:tcPr>
            <w:tcW w:w="1135" w:type="dxa"/>
            <w:shd w:val="clear" w:color="auto" w:fill="auto"/>
            <w:vAlign w:val="center"/>
          </w:tcPr>
          <w:p w:rsidR="00315A33" w:rsidRPr="006C4EC2" w:rsidRDefault="00315A33" w:rsidP="006C4EC2">
            <w:pPr>
              <w:jc w:val="both"/>
              <w:rPr>
                <w:rFonts w:ascii="Arial" w:hAnsi="Arial" w:cs="Arial"/>
                <w:sz w:val="18"/>
                <w:szCs w:val="18"/>
              </w:rPr>
            </w:pPr>
            <w:r w:rsidRPr="006C4EC2">
              <w:rPr>
                <w:rFonts w:ascii="Arial" w:hAnsi="Arial" w:cs="Arial"/>
                <w:sz w:val="18"/>
                <w:szCs w:val="18"/>
              </w:rPr>
              <w:t>≤1 year</w:t>
            </w:r>
          </w:p>
        </w:tc>
        <w:tc>
          <w:tcPr>
            <w:tcW w:w="709" w:type="dxa"/>
            <w:shd w:val="clear" w:color="auto" w:fill="auto"/>
            <w:vAlign w:val="center"/>
          </w:tcPr>
          <w:p w:rsidR="00315A33" w:rsidRPr="006C4EC2" w:rsidRDefault="00315A33" w:rsidP="006C4EC2">
            <w:pPr>
              <w:jc w:val="both"/>
              <w:rPr>
                <w:rFonts w:ascii="Arial" w:hAnsi="Arial" w:cs="Arial"/>
                <w:sz w:val="18"/>
                <w:szCs w:val="18"/>
              </w:rPr>
            </w:pPr>
            <w:r w:rsidRPr="006C4EC2">
              <w:rPr>
                <w:rFonts w:ascii="Arial" w:hAnsi="Arial" w:cs="Arial"/>
                <w:sz w:val="18"/>
                <w:szCs w:val="18"/>
              </w:rPr>
              <w:t>NA</w:t>
            </w:r>
          </w:p>
        </w:tc>
        <w:tc>
          <w:tcPr>
            <w:tcW w:w="850" w:type="dxa"/>
            <w:shd w:val="clear" w:color="auto" w:fill="auto"/>
            <w:vAlign w:val="center"/>
          </w:tcPr>
          <w:p w:rsidR="00315A33" w:rsidRPr="007A750C" w:rsidRDefault="00315A33" w:rsidP="006C4EC2">
            <w:pPr>
              <w:jc w:val="both"/>
              <w:rPr>
                <w:rFonts w:ascii="Arial" w:hAnsi="Arial" w:cs="Arial"/>
                <w:sz w:val="18"/>
                <w:szCs w:val="18"/>
              </w:rPr>
            </w:pPr>
            <w:r w:rsidRPr="007A750C">
              <w:rPr>
                <w:rFonts w:ascii="Arial" w:hAnsi="Arial" w:cs="Arial"/>
                <w:sz w:val="18"/>
                <w:szCs w:val="18"/>
              </w:rPr>
              <w:t>192/649 (30%)</w:t>
            </w:r>
          </w:p>
        </w:tc>
        <w:tc>
          <w:tcPr>
            <w:tcW w:w="709" w:type="dxa"/>
            <w:shd w:val="clear" w:color="auto" w:fill="auto"/>
            <w:vAlign w:val="center"/>
          </w:tcPr>
          <w:p w:rsidR="00315A33" w:rsidRPr="007A750C" w:rsidRDefault="00315A33" w:rsidP="006C4EC2">
            <w:pPr>
              <w:jc w:val="both"/>
              <w:rPr>
                <w:rFonts w:ascii="Arial" w:hAnsi="Arial" w:cs="Arial"/>
                <w:sz w:val="18"/>
                <w:szCs w:val="18"/>
              </w:rPr>
            </w:pPr>
            <w:r w:rsidRPr="007A750C">
              <w:rPr>
                <w:rFonts w:ascii="Arial" w:hAnsi="Arial" w:cs="Arial"/>
                <w:sz w:val="18"/>
                <w:szCs w:val="18"/>
              </w:rPr>
              <w:t>111/292 (38%)</w:t>
            </w:r>
          </w:p>
        </w:tc>
        <w:tc>
          <w:tcPr>
            <w:tcW w:w="708" w:type="dxa"/>
            <w:shd w:val="clear" w:color="auto" w:fill="auto"/>
            <w:vAlign w:val="center"/>
          </w:tcPr>
          <w:p w:rsidR="00315A33" w:rsidRPr="007A750C" w:rsidRDefault="00315A33" w:rsidP="006C4EC2">
            <w:pPr>
              <w:jc w:val="both"/>
              <w:rPr>
                <w:rFonts w:ascii="Arial" w:hAnsi="Arial" w:cs="Arial"/>
                <w:sz w:val="18"/>
                <w:szCs w:val="18"/>
              </w:rPr>
            </w:pPr>
            <w:r w:rsidRPr="007A750C">
              <w:rPr>
                <w:rFonts w:ascii="Arial" w:hAnsi="Arial" w:cs="Arial"/>
                <w:sz w:val="18"/>
                <w:szCs w:val="18"/>
              </w:rPr>
              <w:t>32/145 (22%)</w:t>
            </w:r>
          </w:p>
        </w:tc>
        <w:tc>
          <w:tcPr>
            <w:tcW w:w="1418" w:type="dxa"/>
            <w:shd w:val="clear" w:color="auto" w:fill="DBE5F1"/>
            <w:vAlign w:val="center"/>
          </w:tcPr>
          <w:p w:rsidR="00315A33" w:rsidRPr="007A750C" w:rsidRDefault="00315A33" w:rsidP="006C4EC2">
            <w:pPr>
              <w:jc w:val="both"/>
              <w:rPr>
                <w:rFonts w:ascii="Arial" w:hAnsi="Arial" w:cs="Arial"/>
                <w:i/>
                <w:sz w:val="18"/>
                <w:szCs w:val="18"/>
              </w:rPr>
            </w:pPr>
            <w:r w:rsidRPr="007A750C">
              <w:rPr>
                <w:rFonts w:ascii="Arial" w:hAnsi="Arial" w:cs="Arial"/>
                <w:i/>
                <w:sz w:val="18"/>
                <w:szCs w:val="18"/>
              </w:rPr>
              <w:t>8%(-0.6%</w:t>
            </w:r>
            <w:proofErr w:type="gramStart"/>
            <w:r w:rsidRPr="007A750C">
              <w:rPr>
                <w:rFonts w:ascii="Arial" w:hAnsi="Arial" w:cs="Arial"/>
                <w:i/>
                <w:sz w:val="18"/>
                <w:szCs w:val="18"/>
              </w:rPr>
              <w:t>,15</w:t>
            </w:r>
            <w:proofErr w:type="gramEnd"/>
            <w:r w:rsidRPr="007A750C">
              <w:rPr>
                <w:rFonts w:ascii="Arial" w:hAnsi="Arial" w:cs="Arial"/>
                <w:i/>
                <w:sz w:val="18"/>
                <w:szCs w:val="18"/>
              </w:rPr>
              <w:t>%)</w:t>
            </w:r>
          </w:p>
        </w:tc>
        <w:tc>
          <w:tcPr>
            <w:tcW w:w="992" w:type="dxa"/>
            <w:shd w:val="clear" w:color="auto" w:fill="DBE5F1"/>
            <w:vAlign w:val="center"/>
          </w:tcPr>
          <w:p w:rsidR="00315A33" w:rsidRPr="007A750C" w:rsidRDefault="00315A33" w:rsidP="006C4EC2">
            <w:pPr>
              <w:jc w:val="both"/>
              <w:rPr>
                <w:rFonts w:ascii="Arial" w:hAnsi="Arial" w:cs="Arial"/>
                <w:i/>
                <w:sz w:val="18"/>
                <w:szCs w:val="18"/>
              </w:rPr>
            </w:pPr>
            <w:r w:rsidRPr="007A750C">
              <w:rPr>
                <w:rFonts w:ascii="Arial" w:hAnsi="Arial" w:cs="Arial"/>
                <w:i/>
                <w:sz w:val="18"/>
                <w:szCs w:val="18"/>
              </w:rPr>
              <w:t>1.34</w:t>
            </w:r>
          </w:p>
          <w:p w:rsidR="00315A33" w:rsidRPr="007A750C" w:rsidRDefault="00315A33" w:rsidP="006C4EC2">
            <w:pPr>
              <w:jc w:val="both"/>
              <w:rPr>
                <w:rFonts w:ascii="Arial" w:hAnsi="Arial" w:cs="Arial"/>
                <w:i/>
                <w:sz w:val="18"/>
                <w:szCs w:val="18"/>
              </w:rPr>
            </w:pPr>
            <w:r w:rsidRPr="007A750C">
              <w:rPr>
                <w:rFonts w:ascii="Arial" w:hAnsi="Arial" w:cs="Arial"/>
                <w:i/>
                <w:sz w:val="18"/>
                <w:szCs w:val="18"/>
              </w:rPr>
              <w:t>(0.98,1.88)</w:t>
            </w:r>
          </w:p>
        </w:tc>
        <w:tc>
          <w:tcPr>
            <w:tcW w:w="1276" w:type="dxa"/>
            <w:shd w:val="clear" w:color="auto" w:fill="DBE5F1"/>
            <w:vAlign w:val="center"/>
          </w:tcPr>
          <w:p w:rsidR="00315A33" w:rsidRPr="007A750C" w:rsidRDefault="00315A33" w:rsidP="006C4EC2">
            <w:pPr>
              <w:jc w:val="both"/>
              <w:rPr>
                <w:rFonts w:ascii="Arial" w:hAnsi="Arial" w:cs="Arial"/>
                <w:b/>
                <w:i/>
                <w:sz w:val="18"/>
                <w:szCs w:val="18"/>
              </w:rPr>
            </w:pPr>
            <w:r w:rsidRPr="007A750C">
              <w:rPr>
                <w:rFonts w:ascii="Arial" w:hAnsi="Arial" w:cs="Arial"/>
                <w:b/>
                <w:i/>
                <w:sz w:val="18"/>
                <w:szCs w:val="18"/>
              </w:rPr>
              <w:t>16% (6.8%</w:t>
            </w:r>
            <w:proofErr w:type="gramStart"/>
            <w:r w:rsidRPr="007A750C">
              <w:rPr>
                <w:rFonts w:ascii="Arial" w:hAnsi="Arial" w:cs="Arial"/>
                <w:b/>
                <w:i/>
                <w:sz w:val="18"/>
                <w:szCs w:val="18"/>
              </w:rPr>
              <w:t>,24</w:t>
            </w:r>
            <w:proofErr w:type="gramEnd"/>
            <w:r w:rsidRPr="007A750C">
              <w:rPr>
                <w:rFonts w:ascii="Arial" w:hAnsi="Arial" w:cs="Arial"/>
                <w:b/>
                <w:i/>
                <w:sz w:val="18"/>
                <w:szCs w:val="18"/>
              </w:rPr>
              <w:t>%)</w:t>
            </w:r>
          </w:p>
          <w:p w:rsidR="00315A33" w:rsidRPr="007A750C" w:rsidRDefault="00315A33" w:rsidP="006C4EC2">
            <w:pPr>
              <w:jc w:val="both"/>
              <w:rPr>
                <w:rFonts w:ascii="Arial" w:hAnsi="Arial" w:cs="Arial"/>
                <w:b/>
                <w:i/>
                <w:sz w:val="18"/>
                <w:szCs w:val="18"/>
              </w:rPr>
            </w:pPr>
            <w:r w:rsidRPr="007A750C">
              <w:rPr>
                <w:rFonts w:ascii="Arial" w:hAnsi="Arial" w:cs="Arial"/>
                <w:b/>
                <w:i/>
                <w:sz w:val="18"/>
                <w:szCs w:val="18"/>
              </w:rPr>
              <w:t>6 [4, 10]</w:t>
            </w:r>
          </w:p>
        </w:tc>
        <w:tc>
          <w:tcPr>
            <w:tcW w:w="992" w:type="dxa"/>
            <w:shd w:val="clear" w:color="auto" w:fill="DBE5F1"/>
            <w:vAlign w:val="center"/>
          </w:tcPr>
          <w:p w:rsidR="00315A33" w:rsidRPr="007A750C" w:rsidRDefault="00315A33" w:rsidP="006C4EC2">
            <w:pPr>
              <w:jc w:val="both"/>
              <w:rPr>
                <w:rFonts w:ascii="Arial" w:hAnsi="Arial" w:cs="Arial"/>
                <w:b/>
                <w:i/>
                <w:sz w:val="18"/>
                <w:szCs w:val="18"/>
              </w:rPr>
            </w:pPr>
            <w:r w:rsidRPr="007A750C">
              <w:rPr>
                <w:rFonts w:ascii="Arial" w:hAnsi="Arial" w:cs="Arial"/>
                <w:b/>
                <w:i/>
                <w:sz w:val="18"/>
                <w:szCs w:val="18"/>
              </w:rPr>
              <w:t>1.72</w:t>
            </w:r>
          </w:p>
          <w:p w:rsidR="00315A33" w:rsidRPr="007A750C" w:rsidRDefault="00315A33" w:rsidP="006C4EC2">
            <w:pPr>
              <w:jc w:val="both"/>
              <w:rPr>
                <w:rFonts w:ascii="Arial" w:hAnsi="Arial" w:cs="Arial"/>
                <w:b/>
                <w:i/>
                <w:sz w:val="18"/>
                <w:szCs w:val="18"/>
              </w:rPr>
            </w:pPr>
            <w:r w:rsidRPr="007A750C">
              <w:rPr>
                <w:rFonts w:ascii="Arial" w:hAnsi="Arial" w:cs="Arial"/>
                <w:b/>
                <w:i/>
                <w:sz w:val="18"/>
                <w:szCs w:val="18"/>
              </w:rPr>
              <w:t>(1.24, 2.44)</w:t>
            </w:r>
          </w:p>
        </w:tc>
      </w:tr>
      <w:tr w:rsidR="00315A33" w:rsidRPr="007A750C" w:rsidTr="006C4EC2">
        <w:tc>
          <w:tcPr>
            <w:tcW w:w="1135" w:type="dxa"/>
            <w:shd w:val="clear" w:color="auto" w:fill="auto"/>
            <w:vAlign w:val="center"/>
          </w:tcPr>
          <w:p w:rsidR="00315A33" w:rsidRPr="006C4EC2" w:rsidRDefault="00315A33" w:rsidP="006C4EC2">
            <w:pPr>
              <w:jc w:val="both"/>
              <w:rPr>
                <w:rFonts w:ascii="Arial" w:hAnsi="Arial" w:cs="Arial"/>
                <w:sz w:val="18"/>
                <w:szCs w:val="18"/>
              </w:rPr>
            </w:pPr>
            <w:r w:rsidRPr="006C4EC2">
              <w:rPr>
                <w:rFonts w:ascii="Arial" w:hAnsi="Arial" w:cs="Arial"/>
                <w:sz w:val="18"/>
                <w:szCs w:val="18"/>
              </w:rPr>
              <w:t>&gt;1 year</w:t>
            </w:r>
          </w:p>
        </w:tc>
        <w:tc>
          <w:tcPr>
            <w:tcW w:w="709" w:type="dxa"/>
            <w:shd w:val="clear" w:color="auto" w:fill="auto"/>
            <w:vAlign w:val="center"/>
          </w:tcPr>
          <w:p w:rsidR="00315A33" w:rsidRPr="006C4EC2" w:rsidRDefault="00315A33" w:rsidP="006C4EC2">
            <w:pPr>
              <w:jc w:val="both"/>
              <w:rPr>
                <w:rFonts w:ascii="Arial" w:hAnsi="Arial" w:cs="Arial"/>
                <w:sz w:val="18"/>
                <w:szCs w:val="18"/>
              </w:rPr>
            </w:pPr>
            <w:r w:rsidRPr="006C4EC2">
              <w:rPr>
                <w:rFonts w:ascii="Arial" w:hAnsi="Arial" w:cs="Arial"/>
                <w:sz w:val="18"/>
                <w:szCs w:val="18"/>
              </w:rPr>
              <w:t>NA</w:t>
            </w:r>
          </w:p>
        </w:tc>
        <w:tc>
          <w:tcPr>
            <w:tcW w:w="850" w:type="dxa"/>
            <w:shd w:val="clear" w:color="auto" w:fill="auto"/>
            <w:vAlign w:val="center"/>
          </w:tcPr>
          <w:p w:rsidR="00315A33" w:rsidRPr="007A750C" w:rsidRDefault="00315A33" w:rsidP="006C4EC2">
            <w:pPr>
              <w:jc w:val="both"/>
              <w:rPr>
                <w:rFonts w:ascii="Arial" w:hAnsi="Arial" w:cs="Arial"/>
                <w:sz w:val="18"/>
                <w:szCs w:val="18"/>
              </w:rPr>
            </w:pPr>
            <w:r w:rsidRPr="007A750C">
              <w:rPr>
                <w:rFonts w:ascii="Arial" w:hAnsi="Arial" w:cs="Arial"/>
                <w:sz w:val="18"/>
                <w:szCs w:val="18"/>
              </w:rPr>
              <w:t>68/425 (16%)</w:t>
            </w:r>
          </w:p>
        </w:tc>
        <w:tc>
          <w:tcPr>
            <w:tcW w:w="709" w:type="dxa"/>
            <w:shd w:val="clear" w:color="auto" w:fill="auto"/>
            <w:vAlign w:val="center"/>
          </w:tcPr>
          <w:p w:rsidR="00315A33" w:rsidRPr="007A750C" w:rsidRDefault="00315A33" w:rsidP="006C4EC2">
            <w:pPr>
              <w:jc w:val="both"/>
              <w:rPr>
                <w:rFonts w:ascii="Arial" w:hAnsi="Arial" w:cs="Arial"/>
                <w:sz w:val="18"/>
                <w:szCs w:val="18"/>
              </w:rPr>
            </w:pPr>
            <w:r w:rsidRPr="007A750C">
              <w:rPr>
                <w:rFonts w:ascii="Arial" w:hAnsi="Arial" w:cs="Arial"/>
                <w:sz w:val="18"/>
                <w:szCs w:val="18"/>
              </w:rPr>
              <w:t>35/174 (20%)</w:t>
            </w:r>
          </w:p>
        </w:tc>
        <w:tc>
          <w:tcPr>
            <w:tcW w:w="708" w:type="dxa"/>
            <w:shd w:val="clear" w:color="auto" w:fill="auto"/>
            <w:vAlign w:val="center"/>
          </w:tcPr>
          <w:p w:rsidR="00315A33" w:rsidRPr="007A750C" w:rsidRDefault="00315A33" w:rsidP="006C4EC2">
            <w:pPr>
              <w:jc w:val="both"/>
              <w:rPr>
                <w:rFonts w:ascii="Arial" w:hAnsi="Arial" w:cs="Arial"/>
                <w:sz w:val="18"/>
                <w:szCs w:val="18"/>
              </w:rPr>
            </w:pPr>
            <w:r w:rsidRPr="007A750C">
              <w:rPr>
                <w:rFonts w:ascii="Arial" w:hAnsi="Arial" w:cs="Arial"/>
                <w:sz w:val="18"/>
                <w:szCs w:val="18"/>
              </w:rPr>
              <w:t>11/45 (24%)</w:t>
            </w:r>
          </w:p>
        </w:tc>
        <w:tc>
          <w:tcPr>
            <w:tcW w:w="1418" w:type="dxa"/>
            <w:shd w:val="clear" w:color="auto" w:fill="DBE5F1"/>
            <w:vAlign w:val="center"/>
          </w:tcPr>
          <w:p w:rsidR="00315A33" w:rsidRPr="007A750C" w:rsidRDefault="00315A33" w:rsidP="006C4EC2">
            <w:pPr>
              <w:jc w:val="both"/>
              <w:rPr>
                <w:rFonts w:ascii="Arial" w:hAnsi="Arial" w:cs="Arial"/>
                <w:i/>
                <w:sz w:val="18"/>
                <w:szCs w:val="18"/>
              </w:rPr>
            </w:pPr>
            <w:r w:rsidRPr="007A750C">
              <w:rPr>
                <w:rFonts w:ascii="Arial" w:hAnsi="Arial" w:cs="Arial"/>
                <w:i/>
                <w:sz w:val="18"/>
                <w:szCs w:val="18"/>
              </w:rPr>
              <w:t>-8%(-23% 3%)</w:t>
            </w:r>
          </w:p>
        </w:tc>
        <w:tc>
          <w:tcPr>
            <w:tcW w:w="992" w:type="dxa"/>
            <w:shd w:val="clear" w:color="auto" w:fill="DBE5F1"/>
            <w:vAlign w:val="center"/>
          </w:tcPr>
          <w:p w:rsidR="00315A33" w:rsidRPr="007A750C" w:rsidRDefault="00315A33" w:rsidP="006C4EC2">
            <w:pPr>
              <w:jc w:val="both"/>
              <w:rPr>
                <w:rFonts w:ascii="Arial" w:hAnsi="Arial" w:cs="Arial"/>
                <w:i/>
                <w:sz w:val="18"/>
                <w:szCs w:val="18"/>
              </w:rPr>
            </w:pPr>
            <w:r w:rsidRPr="007A750C">
              <w:rPr>
                <w:rFonts w:ascii="Arial" w:hAnsi="Arial" w:cs="Arial"/>
                <w:i/>
                <w:sz w:val="18"/>
                <w:szCs w:val="18"/>
              </w:rPr>
              <w:t>0.65</w:t>
            </w:r>
          </w:p>
          <w:p w:rsidR="00315A33" w:rsidRPr="007A750C" w:rsidRDefault="00315A33" w:rsidP="006C4EC2">
            <w:pPr>
              <w:jc w:val="both"/>
              <w:rPr>
                <w:rFonts w:ascii="Arial" w:hAnsi="Arial" w:cs="Arial"/>
                <w:i/>
                <w:sz w:val="18"/>
                <w:szCs w:val="18"/>
              </w:rPr>
            </w:pPr>
            <w:r w:rsidRPr="007A750C">
              <w:rPr>
                <w:rFonts w:ascii="Arial" w:hAnsi="Arial" w:cs="Arial"/>
                <w:i/>
                <w:sz w:val="18"/>
                <w:szCs w:val="18"/>
              </w:rPr>
              <w:t>(0.39,1.17)</w:t>
            </w:r>
          </w:p>
        </w:tc>
        <w:tc>
          <w:tcPr>
            <w:tcW w:w="1276" w:type="dxa"/>
            <w:shd w:val="clear" w:color="auto" w:fill="DBE5F1"/>
            <w:vAlign w:val="center"/>
          </w:tcPr>
          <w:p w:rsidR="00315A33" w:rsidRPr="007A750C" w:rsidRDefault="00315A33" w:rsidP="006C4EC2">
            <w:pPr>
              <w:jc w:val="both"/>
              <w:rPr>
                <w:rFonts w:ascii="Arial" w:hAnsi="Arial" w:cs="Arial"/>
                <w:i/>
                <w:sz w:val="18"/>
                <w:szCs w:val="18"/>
              </w:rPr>
            </w:pPr>
            <w:r w:rsidRPr="007A750C">
              <w:rPr>
                <w:rFonts w:ascii="Arial" w:hAnsi="Arial" w:cs="Arial"/>
                <w:i/>
                <w:sz w:val="18"/>
                <w:szCs w:val="18"/>
              </w:rPr>
              <w:t>-4%(-20%</w:t>
            </w:r>
            <w:proofErr w:type="gramStart"/>
            <w:r w:rsidRPr="007A750C">
              <w:rPr>
                <w:rFonts w:ascii="Arial" w:hAnsi="Arial" w:cs="Arial"/>
                <w:i/>
                <w:sz w:val="18"/>
                <w:szCs w:val="18"/>
              </w:rPr>
              <w:t>,8</w:t>
            </w:r>
            <w:proofErr w:type="gramEnd"/>
            <w:r w:rsidRPr="007A750C">
              <w:rPr>
                <w:rFonts w:ascii="Arial" w:hAnsi="Arial" w:cs="Arial"/>
                <w:i/>
                <w:sz w:val="18"/>
                <w:szCs w:val="18"/>
              </w:rPr>
              <w:t>%)</w:t>
            </w:r>
          </w:p>
        </w:tc>
        <w:tc>
          <w:tcPr>
            <w:tcW w:w="992" w:type="dxa"/>
            <w:shd w:val="clear" w:color="auto" w:fill="DBE5F1"/>
            <w:vAlign w:val="center"/>
          </w:tcPr>
          <w:p w:rsidR="00315A33" w:rsidRPr="007A750C" w:rsidRDefault="00315A33" w:rsidP="006C4EC2">
            <w:pPr>
              <w:jc w:val="both"/>
              <w:rPr>
                <w:rFonts w:ascii="Arial" w:hAnsi="Arial" w:cs="Arial"/>
                <w:i/>
                <w:sz w:val="18"/>
                <w:szCs w:val="18"/>
              </w:rPr>
            </w:pPr>
            <w:r w:rsidRPr="007A750C">
              <w:rPr>
                <w:rFonts w:ascii="Arial" w:hAnsi="Arial" w:cs="Arial"/>
                <w:i/>
                <w:sz w:val="18"/>
                <w:szCs w:val="18"/>
              </w:rPr>
              <w:t>0.82</w:t>
            </w:r>
          </w:p>
          <w:p w:rsidR="00315A33" w:rsidRPr="007A750C" w:rsidRDefault="00315A33" w:rsidP="006C4EC2">
            <w:pPr>
              <w:jc w:val="both"/>
              <w:rPr>
                <w:rFonts w:ascii="Arial" w:hAnsi="Arial" w:cs="Arial"/>
                <w:i/>
                <w:sz w:val="18"/>
                <w:szCs w:val="18"/>
              </w:rPr>
            </w:pPr>
            <w:r w:rsidRPr="007A750C">
              <w:rPr>
                <w:rFonts w:ascii="Arial" w:hAnsi="Arial" w:cs="Arial"/>
                <w:i/>
                <w:sz w:val="18"/>
                <w:szCs w:val="18"/>
              </w:rPr>
              <w:t>(0.47, 1.51)</w:t>
            </w:r>
          </w:p>
        </w:tc>
      </w:tr>
    </w:tbl>
    <w:p w:rsidR="00315A33" w:rsidRPr="007A750C" w:rsidRDefault="00315A33" w:rsidP="00315A33">
      <w:pPr>
        <w:jc w:val="both"/>
        <w:rPr>
          <w:rFonts w:ascii="Arial" w:hAnsi="Arial" w:cs="Arial"/>
          <w:i/>
          <w:sz w:val="18"/>
          <w:szCs w:val="18"/>
        </w:rPr>
      </w:pPr>
      <w:r w:rsidRPr="007A750C">
        <w:rPr>
          <w:rFonts w:ascii="Arial" w:hAnsi="Arial" w:cs="Arial"/>
          <w:i/>
          <w:sz w:val="18"/>
          <w:szCs w:val="18"/>
        </w:rPr>
        <w:t xml:space="preserve">Italics represent results calculated during the evaluation using </w:t>
      </w:r>
      <w:proofErr w:type="spellStart"/>
      <w:r w:rsidRPr="007A750C">
        <w:rPr>
          <w:rFonts w:ascii="Arial" w:hAnsi="Arial" w:cs="Arial"/>
          <w:i/>
          <w:sz w:val="18"/>
          <w:szCs w:val="18"/>
        </w:rPr>
        <w:t>StatsDirect</w:t>
      </w:r>
      <w:proofErr w:type="spellEnd"/>
      <w:r w:rsidRPr="007A750C">
        <w:rPr>
          <w:rFonts w:ascii="Arial" w:hAnsi="Arial" w:cs="Arial"/>
          <w:i/>
          <w:sz w:val="18"/>
          <w:szCs w:val="18"/>
        </w:rPr>
        <w:t xml:space="preserve"> (Version 2.8.0)</w:t>
      </w:r>
    </w:p>
    <w:p w:rsidR="00315A33" w:rsidRPr="006C4EC2" w:rsidRDefault="00315A33" w:rsidP="00315A33">
      <w:pPr>
        <w:jc w:val="both"/>
        <w:rPr>
          <w:rFonts w:ascii="Arial" w:hAnsi="Arial" w:cs="Arial"/>
          <w:sz w:val="18"/>
          <w:szCs w:val="18"/>
        </w:rPr>
      </w:pPr>
      <w:r w:rsidRPr="006C4EC2">
        <w:rPr>
          <w:rFonts w:ascii="Arial" w:hAnsi="Arial" w:cs="Arial"/>
          <w:sz w:val="18"/>
          <w:szCs w:val="18"/>
        </w:rPr>
        <w:t>Bold typography indicates statistically significant results.</w:t>
      </w:r>
    </w:p>
    <w:p w:rsidR="00315A33" w:rsidRDefault="00315A33" w:rsidP="003C0DCA">
      <w:pPr>
        <w:pStyle w:val="ListParagraph"/>
        <w:ind w:left="0"/>
        <w:jc w:val="both"/>
      </w:pPr>
    </w:p>
    <w:p w:rsidR="004C0E3F" w:rsidRPr="003161B0" w:rsidRDefault="004C0E3F" w:rsidP="003C0DCA">
      <w:pPr>
        <w:pStyle w:val="ListParagraph"/>
        <w:ind w:left="0"/>
        <w:jc w:val="both"/>
      </w:pPr>
      <w:r w:rsidRPr="003161B0">
        <w:t>The PBAC noted that EXCEL, the only trial providing evidence of longer term follow up (up to 40 months), showed that the incidence of flares and the proportions of patients with a serum uric acid (sUA) level below 6mg/</w:t>
      </w:r>
      <w:proofErr w:type="spellStart"/>
      <w:r w:rsidRPr="003161B0">
        <w:t>dL</w:t>
      </w:r>
      <w:proofErr w:type="spellEnd"/>
      <w:r w:rsidRPr="003161B0">
        <w:t xml:space="preserve"> were similar by month 40 between febuxostat arms and allopurinol in those that remained on treatment.</w:t>
      </w:r>
    </w:p>
    <w:p w:rsidR="004C0E3F" w:rsidRPr="00DA5BD4" w:rsidRDefault="004C0E3F" w:rsidP="004C0E3F">
      <w:pPr>
        <w:pStyle w:val="ListParagraph"/>
        <w:ind w:left="709"/>
        <w:jc w:val="both"/>
        <w:rPr>
          <w:sz w:val="20"/>
          <w:szCs w:val="20"/>
        </w:rPr>
      </w:pPr>
    </w:p>
    <w:p w:rsidR="006C4EC2" w:rsidRPr="007A750C" w:rsidRDefault="007A750C" w:rsidP="007A750C">
      <w:pPr>
        <w:pStyle w:val="ListParagraph"/>
        <w:ind w:left="0"/>
        <w:jc w:val="both"/>
        <w:rPr>
          <w:szCs w:val="22"/>
        </w:rPr>
      </w:pPr>
      <w:r>
        <w:rPr>
          <w:noProof/>
          <w:szCs w:val="22"/>
          <w:lang w:eastAsia="zh-CN"/>
        </w:rPr>
        <w:br w:type="page"/>
      </w:r>
      <w:r w:rsidR="006C4EC2" w:rsidRPr="007A750C">
        <w:rPr>
          <w:noProof/>
          <w:szCs w:val="22"/>
          <w:lang w:eastAsia="zh-CN"/>
        </w:rPr>
        <w:lastRenderedPageBreak/>
        <w:t>The table below summarises the change from baseline in primary tophus size from the randomised trials (only reported by APEX, FACT and EXCEL).</w:t>
      </w:r>
    </w:p>
    <w:p w:rsidR="006C4EC2" w:rsidRDefault="006C4EC2" w:rsidP="006C4EC2">
      <w:pPr>
        <w:rPr>
          <w:rFonts w:ascii="Arial" w:hAnsi="Arial" w:cs="Arial"/>
          <w:b/>
          <w:sz w:val="20"/>
        </w:rPr>
      </w:pPr>
    </w:p>
    <w:p w:rsidR="006C4EC2" w:rsidRPr="00883204" w:rsidRDefault="006C4EC2" w:rsidP="006C4EC2">
      <w:pPr>
        <w:jc w:val="both"/>
        <w:rPr>
          <w:rFonts w:ascii="Arial" w:hAnsi="Arial" w:cs="Arial"/>
          <w:b/>
          <w:sz w:val="20"/>
        </w:rPr>
      </w:pPr>
      <w:r w:rsidRPr="00883204">
        <w:rPr>
          <w:rFonts w:ascii="Arial" w:hAnsi="Arial" w:cs="Arial"/>
          <w:b/>
          <w:sz w:val="20"/>
        </w:rPr>
        <w:t>Change from baseline in primary tophus size (ITT patients with tophus)</w:t>
      </w:r>
      <w:r>
        <w:rPr>
          <w:rFonts w:ascii="Arial" w:hAnsi="Arial" w:cs="Arial"/>
          <w:b/>
          <w:sz w:val="20"/>
        </w:rPr>
        <w:t xml:space="preserve"> across the randomised trials (only relevant treatment arms </w:t>
      </w:r>
      <w:proofErr w:type="gramStart"/>
      <w:r>
        <w:rPr>
          <w:rFonts w:ascii="Arial" w:hAnsi="Arial" w:cs="Arial"/>
          <w:b/>
          <w:sz w:val="20"/>
        </w:rPr>
        <w:t>are shown</w:t>
      </w:r>
      <w:proofErr w:type="gramEnd"/>
      <w:r>
        <w:rPr>
          <w:rFonts w:ascii="Arial" w:hAnsi="Arial" w:cs="Arial"/>
          <w:b/>
          <w:sz w:val="20"/>
        </w:rPr>
        <w:t>)</w:t>
      </w:r>
    </w:p>
    <w:tbl>
      <w:tblPr>
        <w:tblW w:w="8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28" w:type="dxa"/>
          <w:right w:w="28" w:type="dxa"/>
        </w:tblCellMar>
        <w:tblLook w:val="04A0" w:firstRow="1" w:lastRow="0" w:firstColumn="1" w:lastColumn="0" w:noHBand="0" w:noVBand="1"/>
      </w:tblPr>
      <w:tblGrid>
        <w:gridCol w:w="879"/>
        <w:gridCol w:w="992"/>
        <w:gridCol w:w="284"/>
        <w:gridCol w:w="1275"/>
        <w:gridCol w:w="426"/>
        <w:gridCol w:w="1275"/>
        <w:gridCol w:w="284"/>
        <w:gridCol w:w="1276"/>
        <w:gridCol w:w="425"/>
        <w:gridCol w:w="1417"/>
      </w:tblGrid>
      <w:tr w:rsidR="006C4EC2" w:rsidRPr="00313845" w:rsidTr="006C4EC2">
        <w:trPr>
          <w:trHeight w:val="162"/>
        </w:trPr>
        <w:tc>
          <w:tcPr>
            <w:tcW w:w="879" w:type="dxa"/>
            <w:vMerge w:val="restart"/>
            <w:shd w:val="clear" w:color="auto" w:fill="FFFFFF"/>
            <w:vAlign w:val="center"/>
          </w:tcPr>
          <w:p w:rsidR="006C4EC2" w:rsidRPr="00313845" w:rsidRDefault="006C4EC2" w:rsidP="006C4EC2">
            <w:pPr>
              <w:jc w:val="both"/>
              <w:rPr>
                <w:rFonts w:ascii="Arial" w:hAnsi="Arial" w:cs="Arial"/>
                <w:b/>
                <w:sz w:val="20"/>
              </w:rPr>
            </w:pPr>
            <w:r w:rsidRPr="00313845">
              <w:rPr>
                <w:rFonts w:ascii="Arial" w:hAnsi="Arial" w:cs="Arial"/>
                <w:b/>
                <w:sz w:val="20"/>
              </w:rPr>
              <w:t>Trial</w:t>
            </w:r>
          </w:p>
        </w:tc>
        <w:tc>
          <w:tcPr>
            <w:tcW w:w="992" w:type="dxa"/>
            <w:vMerge w:val="restart"/>
            <w:shd w:val="clear" w:color="auto" w:fill="FFFFFF"/>
            <w:vAlign w:val="center"/>
          </w:tcPr>
          <w:p w:rsidR="006C4EC2" w:rsidRPr="00313845" w:rsidRDefault="006C4EC2" w:rsidP="006C4EC2">
            <w:pPr>
              <w:jc w:val="both"/>
              <w:rPr>
                <w:rFonts w:ascii="Arial" w:hAnsi="Arial" w:cs="Arial"/>
                <w:b/>
                <w:sz w:val="20"/>
              </w:rPr>
            </w:pPr>
            <w:r w:rsidRPr="00313845">
              <w:rPr>
                <w:rFonts w:ascii="Arial" w:hAnsi="Arial" w:cs="Arial"/>
                <w:b/>
                <w:sz w:val="20"/>
              </w:rPr>
              <w:t>Visit</w:t>
            </w:r>
          </w:p>
        </w:tc>
        <w:tc>
          <w:tcPr>
            <w:tcW w:w="1559" w:type="dxa"/>
            <w:gridSpan w:val="2"/>
            <w:shd w:val="clear" w:color="auto" w:fill="FFFFFF"/>
            <w:vAlign w:val="center"/>
          </w:tcPr>
          <w:p w:rsidR="006C4EC2" w:rsidRPr="00313845" w:rsidRDefault="006C4EC2" w:rsidP="006C4EC2">
            <w:pPr>
              <w:jc w:val="both"/>
              <w:rPr>
                <w:rFonts w:ascii="Arial" w:hAnsi="Arial" w:cs="Arial"/>
                <w:b/>
                <w:sz w:val="20"/>
              </w:rPr>
            </w:pPr>
            <w:r w:rsidRPr="00313845">
              <w:rPr>
                <w:rFonts w:ascii="Arial" w:hAnsi="Arial" w:cs="Arial"/>
                <w:b/>
                <w:sz w:val="20"/>
              </w:rPr>
              <w:t>PBO</w:t>
            </w:r>
          </w:p>
        </w:tc>
        <w:tc>
          <w:tcPr>
            <w:tcW w:w="1701" w:type="dxa"/>
            <w:gridSpan w:val="2"/>
            <w:shd w:val="clear" w:color="auto" w:fill="FFFFFF"/>
            <w:vAlign w:val="center"/>
          </w:tcPr>
          <w:p w:rsidR="006C4EC2" w:rsidRPr="00313845" w:rsidRDefault="006C4EC2" w:rsidP="006C4EC2">
            <w:pPr>
              <w:jc w:val="both"/>
              <w:rPr>
                <w:rFonts w:ascii="Arial" w:hAnsi="Arial" w:cs="Arial"/>
                <w:b/>
                <w:sz w:val="20"/>
              </w:rPr>
            </w:pPr>
            <w:r w:rsidRPr="00313845">
              <w:rPr>
                <w:rFonts w:ascii="Arial" w:hAnsi="Arial" w:cs="Arial"/>
                <w:b/>
                <w:sz w:val="20"/>
              </w:rPr>
              <w:t>FBX80</w:t>
            </w:r>
          </w:p>
        </w:tc>
        <w:tc>
          <w:tcPr>
            <w:tcW w:w="1560" w:type="dxa"/>
            <w:gridSpan w:val="2"/>
            <w:shd w:val="clear" w:color="auto" w:fill="FFFFFF"/>
            <w:vAlign w:val="center"/>
          </w:tcPr>
          <w:p w:rsidR="006C4EC2" w:rsidRPr="00313845" w:rsidRDefault="006C4EC2" w:rsidP="006C4EC2">
            <w:pPr>
              <w:jc w:val="both"/>
              <w:rPr>
                <w:rFonts w:ascii="Arial" w:hAnsi="Arial" w:cs="Arial"/>
                <w:b/>
                <w:sz w:val="20"/>
              </w:rPr>
            </w:pPr>
            <w:r w:rsidRPr="00313845">
              <w:rPr>
                <w:rFonts w:ascii="Arial" w:hAnsi="Arial" w:cs="Arial"/>
                <w:b/>
                <w:sz w:val="20"/>
              </w:rPr>
              <w:t>FBX120</w:t>
            </w:r>
          </w:p>
        </w:tc>
        <w:tc>
          <w:tcPr>
            <w:tcW w:w="1842" w:type="dxa"/>
            <w:gridSpan w:val="2"/>
            <w:shd w:val="clear" w:color="auto" w:fill="FFFFFF"/>
            <w:vAlign w:val="center"/>
          </w:tcPr>
          <w:p w:rsidR="006C4EC2" w:rsidRPr="00313845" w:rsidRDefault="006C4EC2" w:rsidP="006C4EC2">
            <w:pPr>
              <w:jc w:val="both"/>
              <w:rPr>
                <w:rFonts w:ascii="Arial" w:hAnsi="Arial" w:cs="Arial"/>
                <w:b/>
                <w:sz w:val="20"/>
              </w:rPr>
            </w:pPr>
            <w:r w:rsidRPr="00313845">
              <w:rPr>
                <w:rFonts w:ascii="Arial" w:hAnsi="Arial" w:cs="Arial"/>
                <w:b/>
                <w:sz w:val="20"/>
              </w:rPr>
              <w:t>ALO</w:t>
            </w:r>
          </w:p>
        </w:tc>
      </w:tr>
      <w:tr w:rsidR="006C4EC2" w:rsidRPr="00313845" w:rsidTr="006C4EC2">
        <w:tc>
          <w:tcPr>
            <w:tcW w:w="879" w:type="dxa"/>
            <w:vMerge/>
            <w:shd w:val="clear" w:color="auto" w:fill="FFFFFF"/>
            <w:vAlign w:val="center"/>
          </w:tcPr>
          <w:p w:rsidR="006C4EC2" w:rsidRPr="00313845" w:rsidRDefault="006C4EC2" w:rsidP="006C4EC2">
            <w:pPr>
              <w:jc w:val="both"/>
              <w:rPr>
                <w:rFonts w:ascii="Arial" w:hAnsi="Arial" w:cs="Arial"/>
                <w:b/>
                <w:sz w:val="20"/>
              </w:rPr>
            </w:pPr>
          </w:p>
        </w:tc>
        <w:tc>
          <w:tcPr>
            <w:tcW w:w="992" w:type="dxa"/>
            <w:vMerge/>
            <w:shd w:val="clear" w:color="auto" w:fill="FFFFFF"/>
            <w:vAlign w:val="center"/>
          </w:tcPr>
          <w:p w:rsidR="006C4EC2" w:rsidRPr="00313845" w:rsidRDefault="006C4EC2" w:rsidP="006C4EC2">
            <w:pPr>
              <w:jc w:val="both"/>
              <w:rPr>
                <w:rFonts w:ascii="Arial" w:hAnsi="Arial" w:cs="Arial"/>
                <w:b/>
                <w:sz w:val="20"/>
              </w:rPr>
            </w:pPr>
          </w:p>
        </w:tc>
        <w:tc>
          <w:tcPr>
            <w:tcW w:w="284" w:type="dxa"/>
            <w:shd w:val="clear" w:color="auto" w:fill="FFFFFF"/>
            <w:vAlign w:val="center"/>
          </w:tcPr>
          <w:p w:rsidR="006C4EC2" w:rsidRPr="00313845" w:rsidRDefault="006C4EC2" w:rsidP="006C4EC2">
            <w:pPr>
              <w:jc w:val="both"/>
              <w:rPr>
                <w:rFonts w:ascii="Arial" w:hAnsi="Arial" w:cs="Arial"/>
                <w:b/>
                <w:sz w:val="20"/>
              </w:rPr>
            </w:pPr>
            <w:r w:rsidRPr="00313845">
              <w:rPr>
                <w:rFonts w:ascii="Arial" w:hAnsi="Arial" w:cs="Arial"/>
                <w:b/>
                <w:sz w:val="20"/>
              </w:rPr>
              <w:t>N</w:t>
            </w:r>
          </w:p>
        </w:tc>
        <w:tc>
          <w:tcPr>
            <w:tcW w:w="1275" w:type="dxa"/>
            <w:shd w:val="clear" w:color="auto" w:fill="FFFFFF"/>
            <w:vAlign w:val="center"/>
          </w:tcPr>
          <w:p w:rsidR="006C4EC2" w:rsidRPr="00313845" w:rsidRDefault="006C4EC2" w:rsidP="006C4EC2">
            <w:pPr>
              <w:jc w:val="both"/>
              <w:rPr>
                <w:rFonts w:ascii="Arial" w:hAnsi="Arial" w:cs="Arial"/>
                <w:b/>
                <w:sz w:val="20"/>
              </w:rPr>
            </w:pPr>
            <w:r w:rsidRPr="00313845">
              <w:rPr>
                <w:rFonts w:ascii="Arial" w:hAnsi="Arial" w:cs="Arial"/>
                <w:b/>
                <w:sz w:val="20"/>
              </w:rPr>
              <w:t>Median (IQR)</w:t>
            </w:r>
          </w:p>
        </w:tc>
        <w:tc>
          <w:tcPr>
            <w:tcW w:w="426" w:type="dxa"/>
            <w:shd w:val="clear" w:color="auto" w:fill="FFFFFF"/>
            <w:vAlign w:val="center"/>
          </w:tcPr>
          <w:p w:rsidR="006C4EC2" w:rsidRPr="00313845" w:rsidRDefault="006C4EC2" w:rsidP="006C4EC2">
            <w:pPr>
              <w:jc w:val="both"/>
              <w:rPr>
                <w:rFonts w:ascii="Arial" w:hAnsi="Arial" w:cs="Arial"/>
                <w:b/>
                <w:sz w:val="20"/>
              </w:rPr>
            </w:pPr>
            <w:r w:rsidRPr="00313845">
              <w:rPr>
                <w:rFonts w:ascii="Arial" w:hAnsi="Arial" w:cs="Arial"/>
                <w:b/>
                <w:sz w:val="20"/>
              </w:rPr>
              <w:t>N</w:t>
            </w:r>
          </w:p>
        </w:tc>
        <w:tc>
          <w:tcPr>
            <w:tcW w:w="1275" w:type="dxa"/>
            <w:shd w:val="clear" w:color="auto" w:fill="FFFFFF"/>
            <w:vAlign w:val="center"/>
          </w:tcPr>
          <w:p w:rsidR="006C4EC2" w:rsidRPr="00313845" w:rsidRDefault="006C4EC2" w:rsidP="006C4EC2">
            <w:pPr>
              <w:jc w:val="both"/>
              <w:rPr>
                <w:rFonts w:ascii="Arial" w:hAnsi="Arial" w:cs="Arial"/>
                <w:b/>
                <w:sz w:val="20"/>
              </w:rPr>
            </w:pPr>
            <w:r w:rsidRPr="00313845">
              <w:rPr>
                <w:rFonts w:ascii="Arial" w:hAnsi="Arial" w:cs="Arial"/>
                <w:b/>
                <w:sz w:val="20"/>
              </w:rPr>
              <w:t>Median (IQR)</w:t>
            </w:r>
          </w:p>
        </w:tc>
        <w:tc>
          <w:tcPr>
            <w:tcW w:w="284" w:type="dxa"/>
            <w:shd w:val="clear" w:color="auto" w:fill="FFFFFF"/>
            <w:vAlign w:val="center"/>
          </w:tcPr>
          <w:p w:rsidR="006C4EC2" w:rsidRPr="00313845" w:rsidRDefault="006C4EC2" w:rsidP="006C4EC2">
            <w:pPr>
              <w:jc w:val="both"/>
              <w:rPr>
                <w:rFonts w:ascii="Arial" w:hAnsi="Arial" w:cs="Arial"/>
                <w:b/>
                <w:sz w:val="20"/>
              </w:rPr>
            </w:pPr>
            <w:r w:rsidRPr="00313845">
              <w:rPr>
                <w:rFonts w:ascii="Arial" w:hAnsi="Arial" w:cs="Arial"/>
                <w:b/>
                <w:sz w:val="20"/>
              </w:rPr>
              <w:t>N</w:t>
            </w:r>
          </w:p>
        </w:tc>
        <w:tc>
          <w:tcPr>
            <w:tcW w:w="1276" w:type="dxa"/>
            <w:shd w:val="clear" w:color="auto" w:fill="FFFFFF"/>
            <w:vAlign w:val="center"/>
          </w:tcPr>
          <w:p w:rsidR="006C4EC2" w:rsidRPr="00313845" w:rsidRDefault="006C4EC2" w:rsidP="006C4EC2">
            <w:pPr>
              <w:jc w:val="both"/>
              <w:rPr>
                <w:rFonts w:ascii="Arial" w:hAnsi="Arial" w:cs="Arial"/>
                <w:b/>
                <w:sz w:val="20"/>
              </w:rPr>
            </w:pPr>
            <w:r w:rsidRPr="00313845">
              <w:rPr>
                <w:rFonts w:ascii="Arial" w:hAnsi="Arial" w:cs="Arial"/>
                <w:b/>
                <w:sz w:val="20"/>
              </w:rPr>
              <w:t>Median (IQR)</w:t>
            </w:r>
          </w:p>
        </w:tc>
        <w:tc>
          <w:tcPr>
            <w:tcW w:w="425" w:type="dxa"/>
            <w:shd w:val="clear" w:color="auto" w:fill="FFFFFF"/>
            <w:vAlign w:val="center"/>
          </w:tcPr>
          <w:p w:rsidR="006C4EC2" w:rsidRPr="00313845" w:rsidRDefault="006C4EC2" w:rsidP="006C4EC2">
            <w:pPr>
              <w:jc w:val="both"/>
              <w:rPr>
                <w:rFonts w:ascii="Arial" w:hAnsi="Arial" w:cs="Arial"/>
                <w:b/>
                <w:sz w:val="20"/>
              </w:rPr>
            </w:pPr>
            <w:r w:rsidRPr="00313845">
              <w:rPr>
                <w:rFonts w:ascii="Arial" w:hAnsi="Arial" w:cs="Arial"/>
                <w:b/>
                <w:sz w:val="20"/>
              </w:rPr>
              <w:t>N</w:t>
            </w:r>
          </w:p>
        </w:tc>
        <w:tc>
          <w:tcPr>
            <w:tcW w:w="1417" w:type="dxa"/>
            <w:shd w:val="clear" w:color="auto" w:fill="FFFFFF"/>
            <w:vAlign w:val="center"/>
          </w:tcPr>
          <w:p w:rsidR="006C4EC2" w:rsidRPr="00313845" w:rsidRDefault="006C4EC2" w:rsidP="006C4EC2">
            <w:pPr>
              <w:jc w:val="both"/>
              <w:rPr>
                <w:rFonts w:ascii="Arial" w:hAnsi="Arial" w:cs="Arial"/>
                <w:b/>
                <w:sz w:val="20"/>
              </w:rPr>
            </w:pPr>
            <w:r w:rsidRPr="00313845">
              <w:rPr>
                <w:rFonts w:ascii="Arial" w:hAnsi="Arial" w:cs="Arial"/>
                <w:b/>
                <w:sz w:val="20"/>
              </w:rPr>
              <w:t>Median (IQR)</w:t>
            </w:r>
          </w:p>
        </w:tc>
      </w:tr>
      <w:tr w:rsidR="006C4EC2" w:rsidRPr="00313845" w:rsidTr="006C4EC2">
        <w:tc>
          <w:tcPr>
            <w:tcW w:w="879" w:type="dxa"/>
            <w:vMerge w:val="restart"/>
            <w:shd w:val="clear" w:color="auto" w:fill="FFFFFF"/>
            <w:vAlign w:val="center"/>
          </w:tcPr>
          <w:p w:rsidR="006C4EC2" w:rsidRPr="00313845" w:rsidRDefault="006C4EC2" w:rsidP="006C4EC2">
            <w:pPr>
              <w:jc w:val="both"/>
              <w:rPr>
                <w:rFonts w:ascii="Arial" w:hAnsi="Arial" w:cs="Arial"/>
                <w:sz w:val="20"/>
              </w:rPr>
            </w:pPr>
            <w:r w:rsidRPr="00313845">
              <w:rPr>
                <w:rFonts w:ascii="Arial" w:hAnsi="Arial" w:cs="Arial"/>
                <w:sz w:val="20"/>
              </w:rPr>
              <w:t>APEX*</w:t>
            </w:r>
          </w:p>
        </w:tc>
        <w:tc>
          <w:tcPr>
            <w:tcW w:w="992" w:type="dxa"/>
            <w:shd w:val="clear" w:color="auto" w:fill="FFFFFF"/>
            <w:vAlign w:val="center"/>
          </w:tcPr>
          <w:p w:rsidR="006C4EC2" w:rsidRPr="00313845" w:rsidRDefault="006C4EC2" w:rsidP="006C4EC2">
            <w:pPr>
              <w:jc w:val="both"/>
              <w:rPr>
                <w:rFonts w:ascii="Arial" w:hAnsi="Arial" w:cs="Arial"/>
                <w:sz w:val="20"/>
              </w:rPr>
            </w:pPr>
            <w:r w:rsidRPr="00313845">
              <w:rPr>
                <w:rFonts w:ascii="Arial" w:hAnsi="Arial" w:cs="Arial"/>
                <w:sz w:val="20"/>
              </w:rPr>
              <w:t>Week 28</w:t>
            </w:r>
          </w:p>
        </w:tc>
        <w:tc>
          <w:tcPr>
            <w:tcW w:w="284" w:type="dxa"/>
            <w:shd w:val="clear" w:color="auto" w:fill="FFFFFF"/>
            <w:vAlign w:val="center"/>
          </w:tcPr>
          <w:p w:rsidR="006C4EC2" w:rsidRPr="00313845" w:rsidRDefault="006C4EC2" w:rsidP="006C4EC2">
            <w:pPr>
              <w:jc w:val="both"/>
              <w:rPr>
                <w:rFonts w:ascii="Arial" w:hAnsi="Arial" w:cs="Arial"/>
                <w:sz w:val="20"/>
              </w:rPr>
            </w:pPr>
            <w:r w:rsidRPr="00313845">
              <w:rPr>
                <w:rFonts w:ascii="Arial" w:hAnsi="Arial" w:cs="Arial"/>
                <w:sz w:val="20"/>
              </w:rPr>
              <w:t>21</w:t>
            </w:r>
          </w:p>
        </w:tc>
        <w:tc>
          <w:tcPr>
            <w:tcW w:w="1275" w:type="dxa"/>
            <w:shd w:val="clear" w:color="auto" w:fill="FFFFFF"/>
            <w:vAlign w:val="center"/>
          </w:tcPr>
          <w:p w:rsidR="006C4EC2" w:rsidRPr="00313845" w:rsidRDefault="006C4EC2" w:rsidP="006C4EC2">
            <w:pPr>
              <w:jc w:val="both"/>
              <w:rPr>
                <w:rFonts w:ascii="Arial" w:hAnsi="Arial" w:cs="Arial"/>
                <w:sz w:val="20"/>
              </w:rPr>
            </w:pPr>
            <w:r w:rsidRPr="00313845">
              <w:rPr>
                <w:rFonts w:ascii="Arial" w:hAnsi="Arial" w:cs="Arial"/>
                <w:sz w:val="20"/>
              </w:rPr>
              <w:t>-52.0</w:t>
            </w:r>
          </w:p>
          <w:p w:rsidR="006C4EC2" w:rsidRPr="00313845" w:rsidRDefault="006C4EC2" w:rsidP="006C4EC2">
            <w:pPr>
              <w:jc w:val="both"/>
              <w:rPr>
                <w:rFonts w:ascii="Arial" w:hAnsi="Arial" w:cs="Arial"/>
                <w:sz w:val="20"/>
              </w:rPr>
            </w:pPr>
            <w:r w:rsidRPr="00313845">
              <w:rPr>
                <w:rFonts w:ascii="Arial" w:hAnsi="Arial" w:cs="Arial"/>
                <w:sz w:val="20"/>
              </w:rPr>
              <w:t>(-62.5, -21.4)</w:t>
            </w:r>
          </w:p>
        </w:tc>
        <w:tc>
          <w:tcPr>
            <w:tcW w:w="426" w:type="dxa"/>
            <w:shd w:val="clear" w:color="auto" w:fill="FFFFFF"/>
            <w:vAlign w:val="center"/>
          </w:tcPr>
          <w:p w:rsidR="006C4EC2" w:rsidRPr="00313845" w:rsidRDefault="006C4EC2" w:rsidP="006C4EC2">
            <w:pPr>
              <w:jc w:val="both"/>
              <w:rPr>
                <w:rFonts w:ascii="Arial" w:hAnsi="Arial" w:cs="Arial"/>
                <w:sz w:val="20"/>
              </w:rPr>
            </w:pPr>
            <w:r w:rsidRPr="00313845">
              <w:rPr>
                <w:rFonts w:ascii="Arial" w:hAnsi="Arial" w:cs="Arial"/>
                <w:sz w:val="20"/>
              </w:rPr>
              <w:t>26</w:t>
            </w:r>
          </w:p>
        </w:tc>
        <w:tc>
          <w:tcPr>
            <w:tcW w:w="1275" w:type="dxa"/>
            <w:shd w:val="clear" w:color="auto" w:fill="FFFFFF"/>
            <w:vAlign w:val="center"/>
          </w:tcPr>
          <w:p w:rsidR="006C4EC2" w:rsidRPr="00313845" w:rsidRDefault="006C4EC2" w:rsidP="006C4EC2">
            <w:pPr>
              <w:jc w:val="both"/>
              <w:rPr>
                <w:rFonts w:ascii="Arial" w:hAnsi="Arial" w:cs="Arial"/>
                <w:sz w:val="20"/>
              </w:rPr>
            </w:pPr>
            <w:r w:rsidRPr="00313845">
              <w:rPr>
                <w:rFonts w:ascii="Arial" w:hAnsi="Arial" w:cs="Arial"/>
                <w:sz w:val="20"/>
              </w:rPr>
              <w:t>-45.6</w:t>
            </w:r>
          </w:p>
          <w:p w:rsidR="006C4EC2" w:rsidRPr="00313845" w:rsidRDefault="006C4EC2" w:rsidP="006C4EC2">
            <w:pPr>
              <w:jc w:val="both"/>
              <w:rPr>
                <w:rFonts w:ascii="Arial" w:hAnsi="Arial" w:cs="Arial"/>
                <w:sz w:val="20"/>
              </w:rPr>
            </w:pPr>
            <w:r w:rsidRPr="00313845">
              <w:rPr>
                <w:rFonts w:ascii="Arial" w:hAnsi="Arial" w:cs="Arial"/>
                <w:sz w:val="20"/>
              </w:rPr>
              <w:t>(-85.9, 3.0)</w:t>
            </w:r>
          </w:p>
        </w:tc>
        <w:tc>
          <w:tcPr>
            <w:tcW w:w="284" w:type="dxa"/>
            <w:shd w:val="clear" w:color="auto" w:fill="FFFFFF"/>
            <w:vAlign w:val="center"/>
          </w:tcPr>
          <w:p w:rsidR="006C4EC2" w:rsidRPr="00313845" w:rsidRDefault="006C4EC2" w:rsidP="006C4EC2">
            <w:pPr>
              <w:jc w:val="both"/>
              <w:rPr>
                <w:rFonts w:ascii="Arial" w:hAnsi="Arial" w:cs="Arial"/>
                <w:sz w:val="20"/>
              </w:rPr>
            </w:pPr>
            <w:r w:rsidRPr="00313845">
              <w:rPr>
                <w:rFonts w:ascii="Arial" w:hAnsi="Arial" w:cs="Arial"/>
                <w:sz w:val="20"/>
              </w:rPr>
              <w:t>35</w:t>
            </w:r>
          </w:p>
        </w:tc>
        <w:tc>
          <w:tcPr>
            <w:tcW w:w="1276" w:type="dxa"/>
            <w:shd w:val="clear" w:color="auto" w:fill="FFFFFF"/>
            <w:vAlign w:val="center"/>
          </w:tcPr>
          <w:p w:rsidR="006C4EC2" w:rsidRPr="00313845" w:rsidRDefault="006C4EC2" w:rsidP="006C4EC2">
            <w:pPr>
              <w:jc w:val="both"/>
              <w:rPr>
                <w:rFonts w:ascii="Arial" w:hAnsi="Arial" w:cs="Arial"/>
                <w:b/>
                <w:sz w:val="20"/>
                <w:vertAlign w:val="superscript"/>
              </w:rPr>
            </w:pPr>
            <w:r w:rsidRPr="00313845">
              <w:rPr>
                <w:rFonts w:ascii="Arial" w:hAnsi="Arial" w:cs="Arial"/>
                <w:b/>
                <w:sz w:val="20"/>
              </w:rPr>
              <w:t xml:space="preserve">-54.2 </w:t>
            </w:r>
            <w:r w:rsidRPr="00313845">
              <w:rPr>
                <w:rFonts w:ascii="Arial" w:hAnsi="Arial" w:cs="Arial"/>
                <w:b/>
                <w:sz w:val="20"/>
                <w:vertAlign w:val="superscript"/>
              </w:rPr>
              <w:t>p</w:t>
            </w:r>
          </w:p>
          <w:p w:rsidR="006C4EC2" w:rsidRPr="00313845" w:rsidRDefault="006C4EC2" w:rsidP="006C4EC2">
            <w:pPr>
              <w:jc w:val="both"/>
              <w:rPr>
                <w:rFonts w:ascii="Arial" w:hAnsi="Arial" w:cs="Arial"/>
                <w:sz w:val="20"/>
              </w:rPr>
            </w:pPr>
            <w:r>
              <w:rPr>
                <w:rFonts w:ascii="Arial" w:hAnsi="Arial" w:cs="Arial"/>
                <w:b/>
                <w:sz w:val="20"/>
              </w:rPr>
              <w:t>(-100</w:t>
            </w:r>
            <w:r w:rsidRPr="00313845">
              <w:rPr>
                <w:rFonts w:ascii="Arial" w:hAnsi="Arial" w:cs="Arial"/>
                <w:b/>
                <w:sz w:val="20"/>
              </w:rPr>
              <w:t>, -16.7)</w:t>
            </w:r>
          </w:p>
        </w:tc>
        <w:tc>
          <w:tcPr>
            <w:tcW w:w="425" w:type="dxa"/>
            <w:shd w:val="clear" w:color="auto" w:fill="FFFFFF"/>
            <w:vAlign w:val="center"/>
          </w:tcPr>
          <w:p w:rsidR="006C4EC2" w:rsidRPr="00313845" w:rsidRDefault="006C4EC2" w:rsidP="006C4EC2">
            <w:pPr>
              <w:jc w:val="both"/>
              <w:rPr>
                <w:rFonts w:ascii="Arial" w:hAnsi="Arial" w:cs="Arial"/>
                <w:sz w:val="20"/>
              </w:rPr>
            </w:pPr>
            <w:r w:rsidRPr="00313845">
              <w:rPr>
                <w:rFonts w:ascii="Arial" w:hAnsi="Arial" w:cs="Arial"/>
                <w:sz w:val="20"/>
              </w:rPr>
              <w:t>46</w:t>
            </w:r>
          </w:p>
        </w:tc>
        <w:tc>
          <w:tcPr>
            <w:tcW w:w="1417" w:type="dxa"/>
            <w:shd w:val="clear" w:color="auto" w:fill="FFFFFF"/>
            <w:vAlign w:val="center"/>
          </w:tcPr>
          <w:p w:rsidR="006C4EC2" w:rsidRPr="00313845" w:rsidRDefault="006C4EC2" w:rsidP="006C4EC2">
            <w:pPr>
              <w:jc w:val="both"/>
              <w:rPr>
                <w:rFonts w:ascii="Arial" w:hAnsi="Arial" w:cs="Arial"/>
                <w:sz w:val="20"/>
              </w:rPr>
            </w:pPr>
            <w:r w:rsidRPr="00313845">
              <w:rPr>
                <w:rFonts w:ascii="Arial" w:hAnsi="Arial" w:cs="Arial"/>
                <w:sz w:val="20"/>
              </w:rPr>
              <w:t>-31.5</w:t>
            </w:r>
          </w:p>
          <w:p w:rsidR="006C4EC2" w:rsidRPr="00313845" w:rsidRDefault="006C4EC2" w:rsidP="006C4EC2">
            <w:pPr>
              <w:jc w:val="both"/>
              <w:rPr>
                <w:rFonts w:ascii="Arial" w:hAnsi="Arial" w:cs="Arial"/>
                <w:sz w:val="20"/>
                <w:vertAlign w:val="superscript"/>
              </w:rPr>
            </w:pPr>
            <w:r w:rsidRPr="00313845">
              <w:rPr>
                <w:rFonts w:ascii="Arial" w:hAnsi="Arial" w:cs="Arial"/>
                <w:sz w:val="20"/>
              </w:rPr>
              <w:t>(-95.0, 5.6)</w:t>
            </w:r>
          </w:p>
        </w:tc>
      </w:tr>
      <w:tr w:rsidR="006C4EC2" w:rsidRPr="00313845" w:rsidTr="006C4EC2">
        <w:tc>
          <w:tcPr>
            <w:tcW w:w="879" w:type="dxa"/>
            <w:vMerge/>
            <w:shd w:val="clear" w:color="auto" w:fill="FFFFFF"/>
            <w:vAlign w:val="center"/>
          </w:tcPr>
          <w:p w:rsidR="006C4EC2" w:rsidRPr="00313845" w:rsidRDefault="006C4EC2" w:rsidP="006C4EC2">
            <w:pPr>
              <w:jc w:val="both"/>
              <w:rPr>
                <w:rFonts w:ascii="Arial" w:hAnsi="Arial" w:cs="Arial"/>
                <w:sz w:val="20"/>
              </w:rPr>
            </w:pPr>
          </w:p>
        </w:tc>
        <w:tc>
          <w:tcPr>
            <w:tcW w:w="992" w:type="dxa"/>
            <w:shd w:val="clear" w:color="auto" w:fill="FFFFFF"/>
            <w:vAlign w:val="center"/>
          </w:tcPr>
          <w:p w:rsidR="006C4EC2" w:rsidRPr="00313845" w:rsidRDefault="006C4EC2" w:rsidP="006C4EC2">
            <w:pPr>
              <w:jc w:val="both"/>
              <w:rPr>
                <w:rFonts w:ascii="Arial" w:hAnsi="Arial" w:cs="Arial"/>
                <w:sz w:val="20"/>
              </w:rPr>
            </w:pPr>
            <w:r w:rsidRPr="00313845">
              <w:rPr>
                <w:rFonts w:ascii="Arial" w:hAnsi="Arial" w:cs="Arial"/>
                <w:sz w:val="20"/>
              </w:rPr>
              <w:t>Final</w:t>
            </w:r>
            <w:r>
              <w:rPr>
                <w:rFonts w:ascii="Arial" w:hAnsi="Arial" w:cs="Arial"/>
                <w:sz w:val="20"/>
              </w:rPr>
              <w:t>^</w:t>
            </w:r>
          </w:p>
        </w:tc>
        <w:tc>
          <w:tcPr>
            <w:tcW w:w="284" w:type="dxa"/>
            <w:shd w:val="clear" w:color="auto" w:fill="FFFFFF"/>
            <w:vAlign w:val="center"/>
          </w:tcPr>
          <w:p w:rsidR="006C4EC2" w:rsidRPr="00313845" w:rsidRDefault="006C4EC2" w:rsidP="006C4EC2">
            <w:pPr>
              <w:jc w:val="both"/>
              <w:rPr>
                <w:rFonts w:ascii="Arial" w:hAnsi="Arial" w:cs="Arial"/>
                <w:sz w:val="20"/>
              </w:rPr>
            </w:pPr>
            <w:r w:rsidRPr="00313845">
              <w:rPr>
                <w:rFonts w:ascii="Arial" w:hAnsi="Arial" w:cs="Arial"/>
                <w:sz w:val="20"/>
              </w:rPr>
              <w:t>26</w:t>
            </w:r>
          </w:p>
        </w:tc>
        <w:tc>
          <w:tcPr>
            <w:tcW w:w="1275" w:type="dxa"/>
            <w:shd w:val="clear" w:color="auto" w:fill="FFFFFF"/>
            <w:vAlign w:val="center"/>
          </w:tcPr>
          <w:p w:rsidR="006C4EC2" w:rsidRPr="00313845" w:rsidRDefault="006C4EC2" w:rsidP="006C4EC2">
            <w:pPr>
              <w:jc w:val="both"/>
              <w:rPr>
                <w:rFonts w:ascii="Arial" w:hAnsi="Arial" w:cs="Arial"/>
                <w:sz w:val="20"/>
              </w:rPr>
            </w:pPr>
            <w:r w:rsidRPr="00313845">
              <w:rPr>
                <w:rFonts w:ascii="Arial" w:hAnsi="Arial" w:cs="Arial"/>
                <w:sz w:val="20"/>
              </w:rPr>
              <w:t>-40.3</w:t>
            </w:r>
          </w:p>
          <w:p w:rsidR="006C4EC2" w:rsidRPr="00313845" w:rsidRDefault="006C4EC2" w:rsidP="006C4EC2">
            <w:pPr>
              <w:jc w:val="both"/>
              <w:rPr>
                <w:rFonts w:ascii="Arial" w:hAnsi="Arial" w:cs="Arial"/>
                <w:sz w:val="20"/>
              </w:rPr>
            </w:pPr>
            <w:r w:rsidRPr="00313845">
              <w:rPr>
                <w:rFonts w:ascii="Arial" w:hAnsi="Arial" w:cs="Arial"/>
                <w:sz w:val="20"/>
              </w:rPr>
              <w:t>(-62.5, -16.7)</w:t>
            </w:r>
          </w:p>
        </w:tc>
        <w:tc>
          <w:tcPr>
            <w:tcW w:w="426" w:type="dxa"/>
            <w:shd w:val="clear" w:color="auto" w:fill="FFFFFF"/>
            <w:vAlign w:val="center"/>
          </w:tcPr>
          <w:p w:rsidR="006C4EC2" w:rsidRPr="00313845" w:rsidRDefault="006C4EC2" w:rsidP="006C4EC2">
            <w:pPr>
              <w:jc w:val="both"/>
              <w:rPr>
                <w:rFonts w:ascii="Arial" w:hAnsi="Arial" w:cs="Arial"/>
                <w:sz w:val="20"/>
              </w:rPr>
            </w:pPr>
            <w:r w:rsidRPr="00313845">
              <w:rPr>
                <w:rFonts w:ascii="Arial" w:hAnsi="Arial" w:cs="Arial"/>
                <w:sz w:val="20"/>
              </w:rPr>
              <w:t>42</w:t>
            </w:r>
          </w:p>
        </w:tc>
        <w:tc>
          <w:tcPr>
            <w:tcW w:w="1275" w:type="dxa"/>
            <w:shd w:val="clear" w:color="auto" w:fill="FFFFFF"/>
            <w:vAlign w:val="center"/>
          </w:tcPr>
          <w:p w:rsidR="006C4EC2" w:rsidRPr="00313845" w:rsidRDefault="006C4EC2" w:rsidP="006C4EC2">
            <w:pPr>
              <w:jc w:val="both"/>
              <w:rPr>
                <w:rFonts w:ascii="Arial" w:hAnsi="Arial" w:cs="Arial"/>
                <w:sz w:val="20"/>
              </w:rPr>
            </w:pPr>
            <w:r w:rsidRPr="00313845">
              <w:rPr>
                <w:rFonts w:ascii="Arial" w:hAnsi="Arial" w:cs="Arial"/>
                <w:sz w:val="20"/>
              </w:rPr>
              <w:t>-33.8</w:t>
            </w:r>
          </w:p>
          <w:p w:rsidR="006C4EC2" w:rsidRPr="00313845" w:rsidRDefault="006C4EC2" w:rsidP="006C4EC2">
            <w:pPr>
              <w:jc w:val="both"/>
              <w:rPr>
                <w:rFonts w:ascii="Arial" w:hAnsi="Arial" w:cs="Arial"/>
                <w:sz w:val="20"/>
              </w:rPr>
            </w:pPr>
            <w:r w:rsidRPr="00313845">
              <w:rPr>
                <w:rFonts w:ascii="Arial" w:hAnsi="Arial" w:cs="Arial"/>
                <w:sz w:val="20"/>
              </w:rPr>
              <w:t>(-85.4, 0.0)</w:t>
            </w:r>
          </w:p>
        </w:tc>
        <w:tc>
          <w:tcPr>
            <w:tcW w:w="284" w:type="dxa"/>
            <w:shd w:val="clear" w:color="auto" w:fill="FFFFFF"/>
            <w:vAlign w:val="center"/>
          </w:tcPr>
          <w:p w:rsidR="006C4EC2" w:rsidRPr="00313845" w:rsidRDefault="006C4EC2" w:rsidP="006C4EC2">
            <w:pPr>
              <w:jc w:val="both"/>
              <w:rPr>
                <w:rFonts w:ascii="Arial" w:hAnsi="Arial" w:cs="Arial"/>
                <w:sz w:val="20"/>
              </w:rPr>
            </w:pPr>
            <w:r w:rsidRPr="00313845">
              <w:rPr>
                <w:rFonts w:ascii="Arial" w:hAnsi="Arial" w:cs="Arial"/>
                <w:sz w:val="20"/>
              </w:rPr>
              <w:t>50</w:t>
            </w:r>
          </w:p>
        </w:tc>
        <w:tc>
          <w:tcPr>
            <w:tcW w:w="1276" w:type="dxa"/>
            <w:shd w:val="clear" w:color="auto" w:fill="FFFFFF"/>
            <w:vAlign w:val="center"/>
          </w:tcPr>
          <w:p w:rsidR="006C4EC2" w:rsidRPr="00313845" w:rsidRDefault="006C4EC2" w:rsidP="006C4EC2">
            <w:pPr>
              <w:jc w:val="both"/>
              <w:rPr>
                <w:rFonts w:ascii="Arial" w:hAnsi="Arial" w:cs="Arial"/>
                <w:sz w:val="20"/>
              </w:rPr>
            </w:pPr>
            <w:r w:rsidRPr="00313845">
              <w:rPr>
                <w:rFonts w:ascii="Arial" w:hAnsi="Arial" w:cs="Arial"/>
                <w:sz w:val="20"/>
              </w:rPr>
              <w:t>-42.4</w:t>
            </w:r>
          </w:p>
          <w:p w:rsidR="006C4EC2" w:rsidRPr="00313845" w:rsidRDefault="006C4EC2" w:rsidP="006C4EC2">
            <w:pPr>
              <w:jc w:val="both"/>
              <w:rPr>
                <w:rFonts w:ascii="Arial" w:hAnsi="Arial" w:cs="Arial"/>
                <w:sz w:val="20"/>
              </w:rPr>
            </w:pPr>
            <w:r w:rsidRPr="00313845">
              <w:rPr>
                <w:rFonts w:ascii="Arial" w:hAnsi="Arial" w:cs="Arial"/>
                <w:sz w:val="20"/>
              </w:rPr>
              <w:t>(-90.3, 0)</w:t>
            </w:r>
          </w:p>
        </w:tc>
        <w:tc>
          <w:tcPr>
            <w:tcW w:w="425" w:type="dxa"/>
            <w:shd w:val="clear" w:color="auto" w:fill="FFFFFF"/>
            <w:vAlign w:val="center"/>
          </w:tcPr>
          <w:p w:rsidR="006C4EC2" w:rsidRPr="00313845" w:rsidRDefault="006C4EC2" w:rsidP="006C4EC2">
            <w:pPr>
              <w:jc w:val="both"/>
              <w:rPr>
                <w:rFonts w:ascii="Arial" w:hAnsi="Arial" w:cs="Arial"/>
                <w:sz w:val="20"/>
              </w:rPr>
            </w:pPr>
            <w:r w:rsidRPr="00313845">
              <w:rPr>
                <w:rFonts w:ascii="Arial" w:hAnsi="Arial" w:cs="Arial"/>
                <w:sz w:val="20"/>
              </w:rPr>
              <w:t>61</w:t>
            </w:r>
          </w:p>
        </w:tc>
        <w:tc>
          <w:tcPr>
            <w:tcW w:w="1417" w:type="dxa"/>
            <w:shd w:val="clear" w:color="auto" w:fill="FFFFFF"/>
            <w:vAlign w:val="center"/>
          </w:tcPr>
          <w:p w:rsidR="006C4EC2" w:rsidRPr="00313845" w:rsidRDefault="006C4EC2" w:rsidP="006C4EC2">
            <w:pPr>
              <w:jc w:val="both"/>
              <w:rPr>
                <w:rFonts w:ascii="Arial" w:hAnsi="Arial" w:cs="Arial"/>
                <w:sz w:val="20"/>
              </w:rPr>
            </w:pPr>
            <w:r w:rsidRPr="00313845">
              <w:rPr>
                <w:rFonts w:ascii="Arial" w:hAnsi="Arial" w:cs="Arial"/>
                <w:sz w:val="20"/>
              </w:rPr>
              <w:t>-22.6</w:t>
            </w:r>
          </w:p>
          <w:p w:rsidR="006C4EC2" w:rsidRPr="00313845" w:rsidRDefault="006C4EC2" w:rsidP="006C4EC2">
            <w:pPr>
              <w:jc w:val="both"/>
              <w:rPr>
                <w:rFonts w:ascii="Arial" w:hAnsi="Arial" w:cs="Arial"/>
                <w:sz w:val="20"/>
              </w:rPr>
            </w:pPr>
            <w:r w:rsidRPr="00313845">
              <w:rPr>
                <w:rFonts w:ascii="Arial" w:hAnsi="Arial" w:cs="Arial"/>
                <w:sz w:val="20"/>
              </w:rPr>
              <w:t xml:space="preserve">(-66.7, 0) </w:t>
            </w:r>
            <w:r w:rsidRPr="00313845">
              <w:rPr>
                <w:rFonts w:ascii="Arial" w:hAnsi="Arial" w:cs="Arial"/>
                <w:sz w:val="20"/>
                <w:vertAlign w:val="superscript"/>
              </w:rPr>
              <w:t>p</w:t>
            </w:r>
          </w:p>
        </w:tc>
      </w:tr>
      <w:tr w:rsidR="006C4EC2" w:rsidRPr="00313845" w:rsidTr="006C4EC2">
        <w:tc>
          <w:tcPr>
            <w:tcW w:w="879" w:type="dxa"/>
            <w:vMerge w:val="restart"/>
            <w:shd w:val="clear" w:color="auto" w:fill="FFFFFF"/>
            <w:vAlign w:val="center"/>
          </w:tcPr>
          <w:p w:rsidR="006C4EC2" w:rsidRPr="00313845" w:rsidRDefault="006C4EC2" w:rsidP="006C4EC2">
            <w:pPr>
              <w:jc w:val="both"/>
              <w:rPr>
                <w:rFonts w:ascii="Arial" w:hAnsi="Arial" w:cs="Arial"/>
                <w:sz w:val="20"/>
              </w:rPr>
            </w:pPr>
            <w:r w:rsidRPr="00313845">
              <w:rPr>
                <w:rFonts w:ascii="Arial" w:hAnsi="Arial" w:cs="Arial"/>
                <w:sz w:val="20"/>
              </w:rPr>
              <w:t>FACT</w:t>
            </w:r>
          </w:p>
        </w:tc>
        <w:tc>
          <w:tcPr>
            <w:tcW w:w="992" w:type="dxa"/>
            <w:shd w:val="clear" w:color="auto" w:fill="FFFFFF"/>
            <w:vAlign w:val="center"/>
          </w:tcPr>
          <w:p w:rsidR="006C4EC2" w:rsidRPr="00313845" w:rsidRDefault="006C4EC2" w:rsidP="006C4EC2">
            <w:pPr>
              <w:jc w:val="both"/>
              <w:rPr>
                <w:rFonts w:ascii="Arial" w:hAnsi="Arial" w:cs="Arial"/>
                <w:sz w:val="20"/>
              </w:rPr>
            </w:pPr>
            <w:r w:rsidRPr="00313845">
              <w:rPr>
                <w:rFonts w:ascii="Arial" w:hAnsi="Arial" w:cs="Arial"/>
                <w:sz w:val="20"/>
              </w:rPr>
              <w:t>Week 28</w:t>
            </w:r>
          </w:p>
        </w:tc>
        <w:tc>
          <w:tcPr>
            <w:tcW w:w="284" w:type="dxa"/>
            <w:shd w:val="clear" w:color="auto" w:fill="FFFFFF"/>
            <w:vAlign w:val="center"/>
          </w:tcPr>
          <w:p w:rsidR="006C4EC2" w:rsidRPr="00313845" w:rsidRDefault="006C4EC2" w:rsidP="006C4EC2">
            <w:pPr>
              <w:jc w:val="both"/>
              <w:rPr>
                <w:rFonts w:ascii="Arial" w:hAnsi="Arial" w:cs="Arial"/>
                <w:sz w:val="20"/>
              </w:rPr>
            </w:pPr>
            <w:r w:rsidRPr="00313845">
              <w:rPr>
                <w:rFonts w:ascii="Arial" w:hAnsi="Arial" w:cs="Arial"/>
                <w:sz w:val="20"/>
              </w:rPr>
              <w:t>-</w:t>
            </w:r>
          </w:p>
        </w:tc>
        <w:tc>
          <w:tcPr>
            <w:tcW w:w="1275" w:type="dxa"/>
            <w:shd w:val="clear" w:color="auto" w:fill="FFFFFF"/>
            <w:vAlign w:val="center"/>
          </w:tcPr>
          <w:p w:rsidR="006C4EC2" w:rsidRPr="00313845" w:rsidRDefault="006C4EC2" w:rsidP="006C4EC2">
            <w:pPr>
              <w:jc w:val="both"/>
              <w:rPr>
                <w:rFonts w:ascii="Arial" w:hAnsi="Arial" w:cs="Arial"/>
                <w:sz w:val="20"/>
              </w:rPr>
            </w:pPr>
            <w:r w:rsidRPr="00313845">
              <w:rPr>
                <w:rFonts w:ascii="Arial" w:hAnsi="Arial" w:cs="Arial"/>
                <w:sz w:val="20"/>
              </w:rPr>
              <w:t>-</w:t>
            </w:r>
          </w:p>
        </w:tc>
        <w:tc>
          <w:tcPr>
            <w:tcW w:w="426" w:type="dxa"/>
            <w:shd w:val="clear" w:color="auto" w:fill="FFFFFF"/>
            <w:vAlign w:val="center"/>
          </w:tcPr>
          <w:p w:rsidR="006C4EC2" w:rsidRPr="00313845" w:rsidRDefault="006C4EC2" w:rsidP="006C4EC2">
            <w:pPr>
              <w:jc w:val="both"/>
              <w:rPr>
                <w:rFonts w:ascii="Arial" w:hAnsi="Arial" w:cs="Arial"/>
                <w:sz w:val="20"/>
              </w:rPr>
            </w:pPr>
            <w:r w:rsidRPr="00313845">
              <w:rPr>
                <w:rFonts w:ascii="Arial" w:hAnsi="Arial" w:cs="Arial"/>
                <w:sz w:val="20"/>
              </w:rPr>
              <w:t>36</w:t>
            </w:r>
          </w:p>
        </w:tc>
        <w:tc>
          <w:tcPr>
            <w:tcW w:w="1275" w:type="dxa"/>
            <w:shd w:val="clear" w:color="auto" w:fill="FFFFFF"/>
            <w:vAlign w:val="center"/>
          </w:tcPr>
          <w:p w:rsidR="006C4EC2" w:rsidRPr="00FF37B4" w:rsidRDefault="006C4EC2" w:rsidP="006C4EC2">
            <w:pPr>
              <w:jc w:val="both"/>
              <w:rPr>
                <w:rFonts w:ascii="Arial" w:hAnsi="Arial" w:cs="Arial"/>
                <w:sz w:val="20"/>
                <w:vertAlign w:val="superscript"/>
              </w:rPr>
            </w:pPr>
            <w:r>
              <w:rPr>
                <w:rFonts w:ascii="Arial" w:hAnsi="Arial" w:cs="Arial"/>
                <w:b/>
                <w:sz w:val="20"/>
              </w:rPr>
              <w:t>-</w:t>
            </w:r>
            <w:r w:rsidRPr="00FF37B4">
              <w:rPr>
                <w:rFonts w:ascii="Arial" w:hAnsi="Arial" w:cs="Arial"/>
                <w:sz w:val="20"/>
              </w:rPr>
              <w:t>29.5</w:t>
            </w:r>
          </w:p>
          <w:p w:rsidR="006C4EC2" w:rsidRPr="00313845" w:rsidRDefault="006C4EC2" w:rsidP="006C4EC2">
            <w:pPr>
              <w:jc w:val="both"/>
              <w:rPr>
                <w:rFonts w:ascii="Arial" w:hAnsi="Arial" w:cs="Arial"/>
                <w:sz w:val="20"/>
              </w:rPr>
            </w:pPr>
            <w:r w:rsidRPr="00FF37B4">
              <w:rPr>
                <w:rFonts w:ascii="Arial" w:hAnsi="Arial" w:cs="Arial"/>
                <w:sz w:val="20"/>
              </w:rPr>
              <w:t>(-66.0, 4.1)</w:t>
            </w:r>
          </w:p>
        </w:tc>
        <w:tc>
          <w:tcPr>
            <w:tcW w:w="284" w:type="dxa"/>
            <w:shd w:val="clear" w:color="auto" w:fill="FFFFFF"/>
            <w:vAlign w:val="center"/>
          </w:tcPr>
          <w:p w:rsidR="006C4EC2" w:rsidRPr="00313845" w:rsidRDefault="006C4EC2" w:rsidP="006C4EC2">
            <w:pPr>
              <w:jc w:val="both"/>
              <w:rPr>
                <w:rFonts w:ascii="Arial" w:hAnsi="Arial" w:cs="Arial"/>
                <w:sz w:val="20"/>
              </w:rPr>
            </w:pPr>
            <w:r w:rsidRPr="00313845">
              <w:rPr>
                <w:rFonts w:ascii="Arial" w:hAnsi="Arial" w:cs="Arial"/>
                <w:sz w:val="20"/>
              </w:rPr>
              <w:t>28</w:t>
            </w:r>
          </w:p>
        </w:tc>
        <w:tc>
          <w:tcPr>
            <w:tcW w:w="1276" w:type="dxa"/>
            <w:shd w:val="clear" w:color="auto" w:fill="FFFFFF"/>
            <w:vAlign w:val="center"/>
          </w:tcPr>
          <w:p w:rsidR="006C4EC2" w:rsidRPr="00313845" w:rsidRDefault="006C4EC2" w:rsidP="006C4EC2">
            <w:pPr>
              <w:jc w:val="both"/>
              <w:rPr>
                <w:rFonts w:ascii="Arial" w:hAnsi="Arial" w:cs="Arial"/>
                <w:b/>
                <w:sz w:val="20"/>
              </w:rPr>
            </w:pPr>
            <w:r w:rsidRPr="00313845">
              <w:rPr>
                <w:rFonts w:ascii="Arial" w:hAnsi="Arial" w:cs="Arial"/>
                <w:b/>
                <w:sz w:val="20"/>
              </w:rPr>
              <w:t>-49.5</w:t>
            </w:r>
            <w:r w:rsidRPr="00313845">
              <w:rPr>
                <w:rFonts w:ascii="Arial" w:hAnsi="Arial" w:cs="Arial"/>
                <w:b/>
                <w:sz w:val="20"/>
                <w:vertAlign w:val="superscript"/>
              </w:rPr>
              <w:t>a</w:t>
            </w:r>
            <w:r>
              <w:rPr>
                <w:rFonts w:ascii="Arial" w:hAnsi="Arial" w:cs="Arial"/>
                <w:b/>
                <w:sz w:val="20"/>
                <w:vertAlign w:val="superscript"/>
              </w:rPr>
              <w:t xml:space="preserve"> </w:t>
            </w:r>
            <w:r w:rsidRPr="00313845">
              <w:rPr>
                <w:rFonts w:ascii="Arial" w:hAnsi="Arial" w:cs="Arial"/>
                <w:b/>
                <w:sz w:val="20"/>
                <w:vertAlign w:val="superscript"/>
              </w:rPr>
              <w:t>†</w:t>
            </w:r>
          </w:p>
          <w:p w:rsidR="006C4EC2" w:rsidRPr="00313845" w:rsidRDefault="006C4EC2" w:rsidP="006C4EC2">
            <w:pPr>
              <w:jc w:val="both"/>
              <w:rPr>
                <w:rFonts w:ascii="Arial" w:hAnsi="Arial" w:cs="Arial"/>
                <w:sz w:val="20"/>
              </w:rPr>
            </w:pPr>
            <w:r w:rsidRPr="00313845">
              <w:rPr>
                <w:rFonts w:ascii="Arial" w:hAnsi="Arial" w:cs="Arial"/>
                <w:b/>
                <w:sz w:val="20"/>
              </w:rPr>
              <w:t>(-80.8, -34.9)</w:t>
            </w:r>
          </w:p>
        </w:tc>
        <w:tc>
          <w:tcPr>
            <w:tcW w:w="425" w:type="dxa"/>
            <w:shd w:val="clear" w:color="auto" w:fill="FFFFFF"/>
            <w:vAlign w:val="center"/>
          </w:tcPr>
          <w:p w:rsidR="006C4EC2" w:rsidRPr="00313845" w:rsidRDefault="006C4EC2" w:rsidP="006C4EC2">
            <w:pPr>
              <w:jc w:val="both"/>
              <w:rPr>
                <w:rFonts w:ascii="Arial" w:hAnsi="Arial" w:cs="Arial"/>
                <w:sz w:val="20"/>
              </w:rPr>
            </w:pPr>
            <w:r w:rsidRPr="00313845">
              <w:rPr>
                <w:rFonts w:ascii="Arial" w:hAnsi="Arial" w:cs="Arial"/>
                <w:sz w:val="20"/>
              </w:rPr>
              <w:t>33</w:t>
            </w:r>
          </w:p>
        </w:tc>
        <w:tc>
          <w:tcPr>
            <w:tcW w:w="1417" w:type="dxa"/>
            <w:shd w:val="clear" w:color="auto" w:fill="FFFFFF"/>
            <w:vAlign w:val="center"/>
          </w:tcPr>
          <w:p w:rsidR="006C4EC2" w:rsidRPr="00313845" w:rsidRDefault="006C4EC2" w:rsidP="006C4EC2">
            <w:pPr>
              <w:jc w:val="both"/>
              <w:rPr>
                <w:rFonts w:ascii="Arial" w:hAnsi="Arial" w:cs="Arial"/>
                <w:sz w:val="20"/>
              </w:rPr>
            </w:pPr>
            <w:r w:rsidRPr="00313845">
              <w:rPr>
                <w:rFonts w:ascii="Arial" w:hAnsi="Arial" w:cs="Arial"/>
                <w:sz w:val="20"/>
              </w:rPr>
              <w:t>-28.6</w:t>
            </w:r>
          </w:p>
          <w:p w:rsidR="006C4EC2" w:rsidRPr="00313845" w:rsidRDefault="006C4EC2" w:rsidP="006C4EC2">
            <w:pPr>
              <w:jc w:val="both"/>
              <w:rPr>
                <w:rFonts w:ascii="Arial" w:hAnsi="Arial" w:cs="Arial"/>
                <w:sz w:val="20"/>
              </w:rPr>
            </w:pPr>
            <w:r w:rsidRPr="00313845">
              <w:rPr>
                <w:rFonts w:ascii="Arial" w:hAnsi="Arial" w:cs="Arial"/>
                <w:sz w:val="20"/>
              </w:rPr>
              <w:t>(-54.9, 0.0)</w:t>
            </w:r>
          </w:p>
        </w:tc>
      </w:tr>
      <w:tr w:rsidR="006C4EC2" w:rsidRPr="00313845" w:rsidTr="006C4EC2">
        <w:tc>
          <w:tcPr>
            <w:tcW w:w="879" w:type="dxa"/>
            <w:vMerge/>
            <w:shd w:val="clear" w:color="auto" w:fill="FFFFFF"/>
            <w:vAlign w:val="center"/>
          </w:tcPr>
          <w:p w:rsidR="006C4EC2" w:rsidRPr="00313845" w:rsidRDefault="006C4EC2" w:rsidP="006C4EC2">
            <w:pPr>
              <w:jc w:val="both"/>
              <w:rPr>
                <w:rFonts w:ascii="Arial" w:hAnsi="Arial" w:cs="Arial"/>
                <w:sz w:val="20"/>
              </w:rPr>
            </w:pPr>
          </w:p>
        </w:tc>
        <w:tc>
          <w:tcPr>
            <w:tcW w:w="992" w:type="dxa"/>
            <w:shd w:val="clear" w:color="auto" w:fill="FFFFFF"/>
            <w:vAlign w:val="center"/>
          </w:tcPr>
          <w:p w:rsidR="006C4EC2" w:rsidRPr="00313845" w:rsidRDefault="006C4EC2" w:rsidP="006C4EC2">
            <w:pPr>
              <w:jc w:val="both"/>
              <w:rPr>
                <w:rFonts w:ascii="Arial" w:hAnsi="Arial" w:cs="Arial"/>
                <w:sz w:val="20"/>
              </w:rPr>
            </w:pPr>
            <w:r w:rsidRPr="00313845">
              <w:rPr>
                <w:rFonts w:ascii="Arial" w:hAnsi="Arial" w:cs="Arial"/>
                <w:sz w:val="20"/>
              </w:rPr>
              <w:t>Week 52</w:t>
            </w:r>
          </w:p>
        </w:tc>
        <w:tc>
          <w:tcPr>
            <w:tcW w:w="284" w:type="dxa"/>
            <w:shd w:val="clear" w:color="auto" w:fill="FFFFFF"/>
            <w:vAlign w:val="center"/>
          </w:tcPr>
          <w:p w:rsidR="006C4EC2" w:rsidRPr="00313845" w:rsidRDefault="006C4EC2" w:rsidP="006C4EC2">
            <w:pPr>
              <w:jc w:val="both"/>
              <w:rPr>
                <w:rFonts w:ascii="Arial" w:hAnsi="Arial" w:cs="Arial"/>
                <w:sz w:val="20"/>
              </w:rPr>
            </w:pPr>
            <w:r w:rsidRPr="00313845">
              <w:rPr>
                <w:rFonts w:ascii="Arial" w:hAnsi="Arial" w:cs="Arial"/>
                <w:sz w:val="20"/>
              </w:rPr>
              <w:t>-</w:t>
            </w:r>
          </w:p>
        </w:tc>
        <w:tc>
          <w:tcPr>
            <w:tcW w:w="1275" w:type="dxa"/>
            <w:shd w:val="clear" w:color="auto" w:fill="FFFFFF"/>
            <w:vAlign w:val="center"/>
          </w:tcPr>
          <w:p w:rsidR="006C4EC2" w:rsidRPr="00313845" w:rsidRDefault="006C4EC2" w:rsidP="006C4EC2">
            <w:pPr>
              <w:jc w:val="both"/>
              <w:rPr>
                <w:rFonts w:ascii="Arial" w:hAnsi="Arial" w:cs="Arial"/>
                <w:sz w:val="20"/>
              </w:rPr>
            </w:pPr>
            <w:r w:rsidRPr="00313845">
              <w:rPr>
                <w:rFonts w:ascii="Arial" w:hAnsi="Arial" w:cs="Arial"/>
                <w:sz w:val="20"/>
              </w:rPr>
              <w:t>-</w:t>
            </w:r>
          </w:p>
        </w:tc>
        <w:tc>
          <w:tcPr>
            <w:tcW w:w="426" w:type="dxa"/>
            <w:shd w:val="clear" w:color="auto" w:fill="FFFFFF"/>
            <w:vAlign w:val="center"/>
          </w:tcPr>
          <w:p w:rsidR="006C4EC2" w:rsidRPr="00313845" w:rsidRDefault="006C4EC2" w:rsidP="006C4EC2">
            <w:pPr>
              <w:jc w:val="both"/>
              <w:rPr>
                <w:rFonts w:ascii="Arial" w:hAnsi="Arial" w:cs="Arial"/>
                <w:sz w:val="20"/>
              </w:rPr>
            </w:pPr>
            <w:r w:rsidRPr="00313845">
              <w:rPr>
                <w:rFonts w:ascii="Arial" w:hAnsi="Arial" w:cs="Arial"/>
                <w:sz w:val="20"/>
              </w:rPr>
              <w:t>32</w:t>
            </w:r>
          </w:p>
        </w:tc>
        <w:tc>
          <w:tcPr>
            <w:tcW w:w="1275" w:type="dxa"/>
            <w:shd w:val="clear" w:color="auto" w:fill="FFFFFF"/>
            <w:vAlign w:val="center"/>
          </w:tcPr>
          <w:p w:rsidR="006C4EC2" w:rsidRPr="00313845" w:rsidRDefault="006C4EC2" w:rsidP="006C4EC2">
            <w:pPr>
              <w:jc w:val="both"/>
              <w:rPr>
                <w:rFonts w:ascii="Arial" w:hAnsi="Arial" w:cs="Arial"/>
                <w:sz w:val="20"/>
              </w:rPr>
            </w:pPr>
            <w:r w:rsidRPr="00313845">
              <w:rPr>
                <w:rFonts w:ascii="Arial" w:hAnsi="Arial" w:cs="Arial"/>
                <w:sz w:val="20"/>
              </w:rPr>
              <w:t>83.4</w:t>
            </w:r>
          </w:p>
          <w:p w:rsidR="006C4EC2" w:rsidRPr="00313845" w:rsidRDefault="006C4EC2" w:rsidP="006C4EC2">
            <w:pPr>
              <w:jc w:val="both"/>
              <w:rPr>
                <w:rFonts w:ascii="Arial" w:hAnsi="Arial" w:cs="Arial"/>
                <w:sz w:val="20"/>
              </w:rPr>
            </w:pPr>
            <w:r w:rsidRPr="00313845">
              <w:rPr>
                <w:rFonts w:ascii="Arial" w:hAnsi="Arial" w:cs="Arial"/>
                <w:sz w:val="20"/>
              </w:rPr>
              <w:t>(-100, -15.6)</w:t>
            </w:r>
          </w:p>
        </w:tc>
        <w:tc>
          <w:tcPr>
            <w:tcW w:w="284" w:type="dxa"/>
            <w:shd w:val="clear" w:color="auto" w:fill="FFFFFF"/>
            <w:vAlign w:val="center"/>
          </w:tcPr>
          <w:p w:rsidR="006C4EC2" w:rsidRPr="00313845" w:rsidRDefault="006C4EC2" w:rsidP="006C4EC2">
            <w:pPr>
              <w:jc w:val="both"/>
              <w:rPr>
                <w:rFonts w:ascii="Arial" w:hAnsi="Arial" w:cs="Arial"/>
                <w:sz w:val="20"/>
              </w:rPr>
            </w:pPr>
            <w:r w:rsidRPr="00313845">
              <w:rPr>
                <w:rFonts w:ascii="Arial" w:hAnsi="Arial" w:cs="Arial"/>
                <w:sz w:val="20"/>
              </w:rPr>
              <w:t>26</w:t>
            </w:r>
          </w:p>
        </w:tc>
        <w:tc>
          <w:tcPr>
            <w:tcW w:w="1276" w:type="dxa"/>
            <w:shd w:val="clear" w:color="auto" w:fill="FFFFFF"/>
            <w:vAlign w:val="center"/>
          </w:tcPr>
          <w:p w:rsidR="006C4EC2" w:rsidRPr="00313845" w:rsidRDefault="006C4EC2" w:rsidP="006C4EC2">
            <w:pPr>
              <w:jc w:val="both"/>
              <w:rPr>
                <w:rFonts w:ascii="Arial" w:hAnsi="Arial" w:cs="Arial"/>
                <w:sz w:val="20"/>
              </w:rPr>
            </w:pPr>
            <w:r w:rsidRPr="00313845">
              <w:rPr>
                <w:rFonts w:ascii="Arial" w:hAnsi="Arial" w:cs="Arial"/>
                <w:sz w:val="20"/>
              </w:rPr>
              <w:t>-65.5</w:t>
            </w:r>
          </w:p>
          <w:p w:rsidR="006C4EC2" w:rsidRPr="00313845" w:rsidRDefault="006C4EC2" w:rsidP="006C4EC2">
            <w:pPr>
              <w:jc w:val="both"/>
              <w:rPr>
                <w:rFonts w:ascii="Arial" w:hAnsi="Arial" w:cs="Arial"/>
                <w:sz w:val="20"/>
              </w:rPr>
            </w:pPr>
            <w:r w:rsidRPr="00313845">
              <w:rPr>
                <w:rFonts w:ascii="Arial" w:hAnsi="Arial" w:cs="Arial"/>
                <w:sz w:val="20"/>
              </w:rPr>
              <w:t>(-85.5, -38.9)</w:t>
            </w:r>
          </w:p>
        </w:tc>
        <w:tc>
          <w:tcPr>
            <w:tcW w:w="425" w:type="dxa"/>
            <w:shd w:val="clear" w:color="auto" w:fill="FFFFFF"/>
            <w:vAlign w:val="center"/>
          </w:tcPr>
          <w:p w:rsidR="006C4EC2" w:rsidRPr="00313845" w:rsidRDefault="006C4EC2" w:rsidP="006C4EC2">
            <w:pPr>
              <w:jc w:val="both"/>
              <w:rPr>
                <w:rFonts w:ascii="Arial" w:hAnsi="Arial" w:cs="Arial"/>
                <w:sz w:val="20"/>
              </w:rPr>
            </w:pPr>
            <w:r w:rsidRPr="00313845">
              <w:rPr>
                <w:rFonts w:ascii="Arial" w:hAnsi="Arial" w:cs="Arial"/>
                <w:sz w:val="20"/>
              </w:rPr>
              <w:t>30</w:t>
            </w:r>
          </w:p>
        </w:tc>
        <w:tc>
          <w:tcPr>
            <w:tcW w:w="1417" w:type="dxa"/>
            <w:shd w:val="clear" w:color="auto" w:fill="FFFFFF"/>
            <w:vAlign w:val="center"/>
          </w:tcPr>
          <w:p w:rsidR="006C4EC2" w:rsidRPr="00313845" w:rsidRDefault="006C4EC2" w:rsidP="006C4EC2">
            <w:pPr>
              <w:jc w:val="both"/>
              <w:rPr>
                <w:rFonts w:ascii="Arial" w:hAnsi="Arial" w:cs="Arial"/>
                <w:sz w:val="20"/>
              </w:rPr>
            </w:pPr>
            <w:r w:rsidRPr="00313845">
              <w:rPr>
                <w:rFonts w:ascii="Arial" w:hAnsi="Arial" w:cs="Arial"/>
                <w:sz w:val="20"/>
              </w:rPr>
              <w:t>-49.7</w:t>
            </w:r>
          </w:p>
          <w:p w:rsidR="006C4EC2" w:rsidRPr="00313845" w:rsidRDefault="006C4EC2" w:rsidP="006C4EC2">
            <w:pPr>
              <w:jc w:val="both"/>
              <w:rPr>
                <w:rFonts w:ascii="Arial" w:hAnsi="Arial" w:cs="Arial"/>
                <w:sz w:val="20"/>
              </w:rPr>
            </w:pPr>
            <w:r w:rsidRPr="00313845">
              <w:rPr>
                <w:rFonts w:ascii="Arial" w:hAnsi="Arial" w:cs="Arial"/>
                <w:sz w:val="20"/>
              </w:rPr>
              <w:t>(-96.0, 0.0)</w:t>
            </w:r>
          </w:p>
        </w:tc>
      </w:tr>
      <w:tr w:rsidR="006C4EC2" w:rsidRPr="00313845" w:rsidTr="006C4EC2">
        <w:tc>
          <w:tcPr>
            <w:tcW w:w="879" w:type="dxa"/>
            <w:vMerge/>
            <w:shd w:val="clear" w:color="auto" w:fill="FFFFFF"/>
            <w:vAlign w:val="center"/>
          </w:tcPr>
          <w:p w:rsidR="006C4EC2" w:rsidRPr="00313845" w:rsidRDefault="006C4EC2" w:rsidP="006C4EC2">
            <w:pPr>
              <w:jc w:val="both"/>
              <w:rPr>
                <w:rFonts w:ascii="Arial" w:hAnsi="Arial" w:cs="Arial"/>
                <w:sz w:val="20"/>
              </w:rPr>
            </w:pPr>
          </w:p>
        </w:tc>
        <w:tc>
          <w:tcPr>
            <w:tcW w:w="992" w:type="dxa"/>
            <w:shd w:val="clear" w:color="auto" w:fill="FFFFFF"/>
            <w:vAlign w:val="center"/>
          </w:tcPr>
          <w:p w:rsidR="006C4EC2" w:rsidRPr="00313845" w:rsidRDefault="006C4EC2" w:rsidP="006C4EC2">
            <w:pPr>
              <w:jc w:val="both"/>
              <w:rPr>
                <w:rFonts w:ascii="Arial" w:hAnsi="Arial" w:cs="Arial"/>
                <w:sz w:val="20"/>
              </w:rPr>
            </w:pPr>
            <w:r w:rsidRPr="00313845">
              <w:rPr>
                <w:rFonts w:ascii="Arial" w:hAnsi="Arial" w:cs="Arial"/>
                <w:sz w:val="20"/>
              </w:rPr>
              <w:t>Final</w:t>
            </w:r>
            <w:r>
              <w:rPr>
                <w:rFonts w:ascii="Arial" w:hAnsi="Arial" w:cs="Arial"/>
                <w:sz w:val="20"/>
              </w:rPr>
              <w:t>^</w:t>
            </w:r>
          </w:p>
        </w:tc>
        <w:tc>
          <w:tcPr>
            <w:tcW w:w="284" w:type="dxa"/>
            <w:shd w:val="clear" w:color="auto" w:fill="FFFFFF"/>
            <w:vAlign w:val="center"/>
          </w:tcPr>
          <w:p w:rsidR="006C4EC2" w:rsidRPr="00313845" w:rsidRDefault="006C4EC2" w:rsidP="006C4EC2">
            <w:pPr>
              <w:jc w:val="both"/>
              <w:rPr>
                <w:rFonts w:ascii="Arial" w:hAnsi="Arial" w:cs="Arial"/>
                <w:sz w:val="20"/>
              </w:rPr>
            </w:pPr>
            <w:r w:rsidRPr="00313845">
              <w:rPr>
                <w:rFonts w:ascii="Arial" w:hAnsi="Arial" w:cs="Arial"/>
                <w:sz w:val="20"/>
              </w:rPr>
              <w:t>-</w:t>
            </w:r>
          </w:p>
        </w:tc>
        <w:tc>
          <w:tcPr>
            <w:tcW w:w="1275" w:type="dxa"/>
            <w:shd w:val="clear" w:color="auto" w:fill="FFFFFF"/>
            <w:vAlign w:val="center"/>
          </w:tcPr>
          <w:p w:rsidR="006C4EC2" w:rsidRPr="00313845" w:rsidRDefault="006C4EC2" w:rsidP="006C4EC2">
            <w:pPr>
              <w:jc w:val="both"/>
              <w:rPr>
                <w:rFonts w:ascii="Arial" w:hAnsi="Arial" w:cs="Arial"/>
                <w:sz w:val="20"/>
              </w:rPr>
            </w:pPr>
            <w:r w:rsidRPr="00313845">
              <w:rPr>
                <w:rFonts w:ascii="Arial" w:hAnsi="Arial" w:cs="Arial"/>
                <w:sz w:val="20"/>
              </w:rPr>
              <w:t>-</w:t>
            </w:r>
          </w:p>
        </w:tc>
        <w:tc>
          <w:tcPr>
            <w:tcW w:w="426" w:type="dxa"/>
            <w:shd w:val="clear" w:color="auto" w:fill="FFFFFF"/>
            <w:vAlign w:val="center"/>
          </w:tcPr>
          <w:p w:rsidR="006C4EC2" w:rsidRPr="00313845" w:rsidRDefault="006C4EC2" w:rsidP="006C4EC2">
            <w:pPr>
              <w:jc w:val="both"/>
              <w:rPr>
                <w:rFonts w:ascii="Arial" w:hAnsi="Arial" w:cs="Arial"/>
                <w:sz w:val="20"/>
              </w:rPr>
            </w:pPr>
            <w:r w:rsidRPr="00313845">
              <w:rPr>
                <w:rFonts w:ascii="Arial" w:hAnsi="Arial" w:cs="Arial"/>
                <w:sz w:val="20"/>
              </w:rPr>
              <w:t>50</w:t>
            </w:r>
          </w:p>
        </w:tc>
        <w:tc>
          <w:tcPr>
            <w:tcW w:w="1275" w:type="dxa"/>
            <w:shd w:val="clear" w:color="auto" w:fill="FFFFFF"/>
            <w:vAlign w:val="center"/>
          </w:tcPr>
          <w:p w:rsidR="006C4EC2" w:rsidRPr="00313845" w:rsidRDefault="006C4EC2" w:rsidP="006C4EC2">
            <w:pPr>
              <w:jc w:val="both"/>
              <w:rPr>
                <w:rFonts w:ascii="Arial" w:hAnsi="Arial" w:cs="Arial"/>
                <w:sz w:val="20"/>
              </w:rPr>
            </w:pPr>
            <w:r w:rsidRPr="00313845">
              <w:rPr>
                <w:rFonts w:ascii="Arial" w:hAnsi="Arial" w:cs="Arial"/>
                <w:sz w:val="20"/>
              </w:rPr>
              <w:t>-51.7</w:t>
            </w:r>
          </w:p>
          <w:p w:rsidR="006C4EC2" w:rsidRPr="00313845" w:rsidRDefault="006C4EC2" w:rsidP="006C4EC2">
            <w:pPr>
              <w:jc w:val="both"/>
              <w:rPr>
                <w:rFonts w:ascii="Arial" w:hAnsi="Arial" w:cs="Arial"/>
                <w:sz w:val="20"/>
              </w:rPr>
            </w:pPr>
            <w:r w:rsidRPr="00313845">
              <w:rPr>
                <w:rFonts w:ascii="Arial" w:hAnsi="Arial" w:cs="Arial"/>
                <w:sz w:val="20"/>
              </w:rPr>
              <w:t>(-100, -8.3)</w:t>
            </w:r>
          </w:p>
        </w:tc>
        <w:tc>
          <w:tcPr>
            <w:tcW w:w="284" w:type="dxa"/>
            <w:shd w:val="clear" w:color="auto" w:fill="FFFFFF"/>
            <w:vAlign w:val="center"/>
          </w:tcPr>
          <w:p w:rsidR="006C4EC2" w:rsidRPr="00313845" w:rsidRDefault="006C4EC2" w:rsidP="006C4EC2">
            <w:pPr>
              <w:jc w:val="both"/>
              <w:rPr>
                <w:rFonts w:ascii="Arial" w:hAnsi="Arial" w:cs="Arial"/>
                <w:sz w:val="20"/>
              </w:rPr>
            </w:pPr>
            <w:r w:rsidRPr="00313845">
              <w:rPr>
                <w:rFonts w:ascii="Arial" w:hAnsi="Arial" w:cs="Arial"/>
                <w:sz w:val="20"/>
              </w:rPr>
              <w:t>51</w:t>
            </w:r>
          </w:p>
        </w:tc>
        <w:tc>
          <w:tcPr>
            <w:tcW w:w="1276" w:type="dxa"/>
            <w:shd w:val="clear" w:color="auto" w:fill="FFFFFF"/>
            <w:vAlign w:val="center"/>
          </w:tcPr>
          <w:p w:rsidR="006C4EC2" w:rsidRPr="00313845" w:rsidRDefault="006C4EC2" w:rsidP="006C4EC2">
            <w:pPr>
              <w:jc w:val="both"/>
              <w:rPr>
                <w:rFonts w:ascii="Arial" w:hAnsi="Arial" w:cs="Arial"/>
                <w:sz w:val="20"/>
              </w:rPr>
            </w:pPr>
            <w:r w:rsidRPr="00313845">
              <w:rPr>
                <w:rFonts w:ascii="Arial" w:hAnsi="Arial" w:cs="Arial"/>
                <w:sz w:val="20"/>
              </w:rPr>
              <w:t>-43.8</w:t>
            </w:r>
          </w:p>
          <w:p w:rsidR="006C4EC2" w:rsidRPr="00313845" w:rsidRDefault="006C4EC2" w:rsidP="006C4EC2">
            <w:pPr>
              <w:jc w:val="both"/>
              <w:rPr>
                <w:rFonts w:ascii="Arial" w:hAnsi="Arial" w:cs="Arial"/>
                <w:sz w:val="20"/>
              </w:rPr>
            </w:pPr>
            <w:r w:rsidRPr="00313845">
              <w:rPr>
                <w:rFonts w:ascii="Arial" w:hAnsi="Arial" w:cs="Arial"/>
                <w:sz w:val="20"/>
              </w:rPr>
              <w:t>(-83.0, 0.0)</w:t>
            </w:r>
          </w:p>
        </w:tc>
        <w:tc>
          <w:tcPr>
            <w:tcW w:w="425" w:type="dxa"/>
            <w:shd w:val="clear" w:color="auto" w:fill="FFFFFF"/>
            <w:vAlign w:val="center"/>
          </w:tcPr>
          <w:p w:rsidR="006C4EC2" w:rsidRPr="00313845" w:rsidRDefault="006C4EC2" w:rsidP="006C4EC2">
            <w:pPr>
              <w:jc w:val="both"/>
              <w:rPr>
                <w:rFonts w:ascii="Arial" w:hAnsi="Arial" w:cs="Arial"/>
                <w:sz w:val="20"/>
              </w:rPr>
            </w:pPr>
            <w:r w:rsidRPr="00313845">
              <w:rPr>
                <w:rFonts w:ascii="Arial" w:hAnsi="Arial" w:cs="Arial"/>
                <w:sz w:val="20"/>
              </w:rPr>
              <w:t>44</w:t>
            </w:r>
          </w:p>
        </w:tc>
        <w:tc>
          <w:tcPr>
            <w:tcW w:w="1417" w:type="dxa"/>
            <w:shd w:val="clear" w:color="auto" w:fill="FFFFFF"/>
            <w:vAlign w:val="center"/>
          </w:tcPr>
          <w:p w:rsidR="006C4EC2" w:rsidRPr="00313845" w:rsidRDefault="006C4EC2" w:rsidP="006C4EC2">
            <w:pPr>
              <w:jc w:val="both"/>
              <w:rPr>
                <w:rFonts w:ascii="Arial" w:hAnsi="Arial" w:cs="Arial"/>
                <w:sz w:val="20"/>
              </w:rPr>
            </w:pPr>
            <w:r w:rsidRPr="00313845">
              <w:rPr>
                <w:rFonts w:ascii="Arial" w:hAnsi="Arial" w:cs="Arial"/>
                <w:sz w:val="20"/>
              </w:rPr>
              <w:t>-39.6</w:t>
            </w:r>
          </w:p>
          <w:p w:rsidR="006C4EC2" w:rsidRPr="00313845" w:rsidRDefault="006C4EC2" w:rsidP="006C4EC2">
            <w:pPr>
              <w:jc w:val="both"/>
              <w:rPr>
                <w:rFonts w:ascii="Arial" w:hAnsi="Arial" w:cs="Arial"/>
                <w:sz w:val="20"/>
              </w:rPr>
            </w:pPr>
            <w:r w:rsidRPr="00313845">
              <w:rPr>
                <w:rFonts w:ascii="Arial" w:hAnsi="Arial" w:cs="Arial"/>
                <w:sz w:val="20"/>
              </w:rPr>
              <w:t>(-65.0, 1.5)</w:t>
            </w:r>
          </w:p>
        </w:tc>
      </w:tr>
      <w:tr w:rsidR="006C4EC2" w:rsidRPr="00313845" w:rsidTr="006C4EC2">
        <w:tc>
          <w:tcPr>
            <w:tcW w:w="879" w:type="dxa"/>
            <w:vMerge w:val="restart"/>
            <w:shd w:val="clear" w:color="auto" w:fill="FFFFFF"/>
            <w:vAlign w:val="center"/>
          </w:tcPr>
          <w:p w:rsidR="006C4EC2" w:rsidRPr="0061181D" w:rsidRDefault="006C4EC2" w:rsidP="006C4EC2">
            <w:pPr>
              <w:jc w:val="both"/>
              <w:rPr>
                <w:rFonts w:ascii="Arial" w:hAnsi="Arial" w:cs="Arial"/>
                <w:sz w:val="20"/>
                <w:vertAlign w:val="superscript"/>
              </w:rPr>
            </w:pPr>
            <w:proofErr w:type="spellStart"/>
            <w:r w:rsidRPr="00313845">
              <w:rPr>
                <w:rFonts w:ascii="Arial" w:hAnsi="Arial" w:cs="Arial"/>
                <w:sz w:val="20"/>
              </w:rPr>
              <w:t>EXCEL</w:t>
            </w:r>
            <w:r>
              <w:rPr>
                <w:rFonts w:ascii="Arial" w:hAnsi="Arial" w:cs="Arial"/>
                <w:sz w:val="20"/>
                <w:vertAlign w:val="superscript"/>
              </w:rPr>
              <w:t>c</w:t>
            </w:r>
            <w:proofErr w:type="spellEnd"/>
          </w:p>
        </w:tc>
        <w:tc>
          <w:tcPr>
            <w:tcW w:w="992" w:type="dxa"/>
            <w:shd w:val="clear" w:color="auto" w:fill="FFFFFF"/>
            <w:vAlign w:val="center"/>
          </w:tcPr>
          <w:p w:rsidR="006C4EC2" w:rsidRPr="00725C8F" w:rsidRDefault="006C4EC2" w:rsidP="006C4EC2">
            <w:pPr>
              <w:jc w:val="both"/>
              <w:rPr>
                <w:rFonts w:ascii="Arial" w:hAnsi="Arial" w:cs="Arial"/>
                <w:sz w:val="20"/>
                <w:vertAlign w:val="superscript"/>
              </w:rPr>
            </w:pPr>
            <w:r w:rsidRPr="00313845">
              <w:rPr>
                <w:rFonts w:ascii="Arial" w:hAnsi="Arial" w:cs="Arial"/>
                <w:sz w:val="20"/>
              </w:rPr>
              <w:t>Day 1</w:t>
            </w:r>
            <w:r>
              <w:rPr>
                <w:rFonts w:ascii="Arial" w:hAnsi="Arial" w:cs="Arial"/>
                <w:sz w:val="20"/>
              </w:rPr>
              <w:t xml:space="preserve"> </w:t>
            </w:r>
            <w:r>
              <w:rPr>
                <w:rFonts w:ascii="Arial" w:hAnsi="Arial" w:cs="Arial"/>
                <w:sz w:val="20"/>
                <w:vertAlign w:val="superscript"/>
              </w:rPr>
              <w:t>#</w:t>
            </w:r>
          </w:p>
        </w:tc>
        <w:tc>
          <w:tcPr>
            <w:tcW w:w="284" w:type="dxa"/>
            <w:shd w:val="clear" w:color="auto" w:fill="FFFFFF"/>
            <w:vAlign w:val="center"/>
          </w:tcPr>
          <w:p w:rsidR="006C4EC2" w:rsidRPr="00313845" w:rsidRDefault="006C4EC2" w:rsidP="006C4EC2">
            <w:pPr>
              <w:jc w:val="both"/>
              <w:rPr>
                <w:rFonts w:ascii="Arial" w:hAnsi="Arial" w:cs="Arial"/>
                <w:sz w:val="20"/>
              </w:rPr>
            </w:pPr>
            <w:r w:rsidRPr="00313845">
              <w:rPr>
                <w:rFonts w:ascii="Arial" w:hAnsi="Arial" w:cs="Arial"/>
                <w:sz w:val="20"/>
              </w:rPr>
              <w:t>-</w:t>
            </w:r>
          </w:p>
        </w:tc>
        <w:tc>
          <w:tcPr>
            <w:tcW w:w="1275" w:type="dxa"/>
            <w:shd w:val="clear" w:color="auto" w:fill="FFFFFF"/>
            <w:vAlign w:val="center"/>
          </w:tcPr>
          <w:p w:rsidR="006C4EC2" w:rsidRPr="00313845" w:rsidRDefault="006C4EC2" w:rsidP="006C4EC2">
            <w:pPr>
              <w:jc w:val="both"/>
              <w:rPr>
                <w:rFonts w:ascii="Arial" w:hAnsi="Arial" w:cs="Arial"/>
                <w:sz w:val="20"/>
              </w:rPr>
            </w:pPr>
            <w:r w:rsidRPr="00313845">
              <w:rPr>
                <w:rFonts w:ascii="Arial" w:hAnsi="Arial" w:cs="Arial"/>
                <w:sz w:val="20"/>
              </w:rPr>
              <w:t>-</w:t>
            </w:r>
          </w:p>
        </w:tc>
        <w:tc>
          <w:tcPr>
            <w:tcW w:w="426" w:type="dxa"/>
            <w:shd w:val="clear" w:color="auto" w:fill="FFFFFF"/>
            <w:vAlign w:val="center"/>
          </w:tcPr>
          <w:p w:rsidR="006C4EC2" w:rsidRPr="00313845" w:rsidRDefault="006C4EC2" w:rsidP="006C4EC2">
            <w:pPr>
              <w:jc w:val="both"/>
              <w:rPr>
                <w:rFonts w:ascii="Arial" w:hAnsi="Arial" w:cs="Arial"/>
                <w:sz w:val="20"/>
              </w:rPr>
            </w:pPr>
            <w:r w:rsidRPr="00313845">
              <w:rPr>
                <w:rFonts w:ascii="Arial" w:hAnsi="Arial" w:cs="Arial"/>
                <w:sz w:val="20"/>
              </w:rPr>
              <w:t>87</w:t>
            </w:r>
          </w:p>
        </w:tc>
        <w:tc>
          <w:tcPr>
            <w:tcW w:w="1275" w:type="dxa"/>
            <w:shd w:val="clear" w:color="auto" w:fill="FFFFFF"/>
            <w:vAlign w:val="center"/>
          </w:tcPr>
          <w:p w:rsidR="006C4EC2" w:rsidRPr="00313845" w:rsidRDefault="006C4EC2" w:rsidP="006C4EC2">
            <w:pPr>
              <w:jc w:val="both"/>
              <w:rPr>
                <w:rFonts w:ascii="Arial" w:hAnsi="Arial" w:cs="Arial"/>
                <w:sz w:val="20"/>
              </w:rPr>
            </w:pPr>
            <w:r w:rsidRPr="00313845">
              <w:rPr>
                <w:rFonts w:ascii="Arial" w:hAnsi="Arial" w:cs="Arial"/>
                <w:sz w:val="20"/>
              </w:rPr>
              <w:t>-57</w:t>
            </w:r>
          </w:p>
          <w:p w:rsidR="006C4EC2" w:rsidRPr="00313845" w:rsidRDefault="006C4EC2" w:rsidP="006C4EC2">
            <w:pPr>
              <w:jc w:val="both"/>
              <w:rPr>
                <w:rFonts w:ascii="Arial" w:hAnsi="Arial" w:cs="Arial"/>
                <w:sz w:val="20"/>
              </w:rPr>
            </w:pPr>
            <w:r w:rsidRPr="00313845">
              <w:rPr>
                <w:rFonts w:ascii="Arial" w:hAnsi="Arial" w:cs="Arial"/>
                <w:sz w:val="20"/>
              </w:rPr>
              <w:t>(-100, -22)</w:t>
            </w:r>
          </w:p>
        </w:tc>
        <w:tc>
          <w:tcPr>
            <w:tcW w:w="284" w:type="dxa"/>
            <w:shd w:val="clear" w:color="auto" w:fill="FFFFFF"/>
            <w:vAlign w:val="center"/>
          </w:tcPr>
          <w:p w:rsidR="006C4EC2" w:rsidRPr="00313845" w:rsidRDefault="006C4EC2" w:rsidP="006C4EC2">
            <w:pPr>
              <w:jc w:val="both"/>
              <w:rPr>
                <w:rFonts w:ascii="Arial" w:hAnsi="Arial" w:cs="Arial"/>
                <w:sz w:val="20"/>
              </w:rPr>
            </w:pPr>
            <w:r w:rsidRPr="00313845">
              <w:rPr>
                <w:rFonts w:ascii="Arial" w:hAnsi="Arial" w:cs="Arial"/>
                <w:sz w:val="20"/>
              </w:rPr>
              <w:t>34</w:t>
            </w:r>
          </w:p>
        </w:tc>
        <w:tc>
          <w:tcPr>
            <w:tcW w:w="1276" w:type="dxa"/>
            <w:shd w:val="clear" w:color="auto" w:fill="FFFFFF"/>
            <w:vAlign w:val="center"/>
          </w:tcPr>
          <w:p w:rsidR="006C4EC2" w:rsidRPr="00313845" w:rsidRDefault="006C4EC2" w:rsidP="006C4EC2">
            <w:pPr>
              <w:jc w:val="both"/>
              <w:rPr>
                <w:rFonts w:ascii="Arial" w:hAnsi="Arial" w:cs="Arial"/>
                <w:sz w:val="20"/>
              </w:rPr>
            </w:pPr>
            <w:r w:rsidRPr="00313845">
              <w:rPr>
                <w:rFonts w:ascii="Arial" w:hAnsi="Arial" w:cs="Arial"/>
                <w:sz w:val="20"/>
              </w:rPr>
              <w:t>-52</w:t>
            </w:r>
          </w:p>
          <w:p w:rsidR="006C4EC2" w:rsidRPr="00313845" w:rsidRDefault="006C4EC2" w:rsidP="006C4EC2">
            <w:pPr>
              <w:jc w:val="both"/>
              <w:rPr>
                <w:rFonts w:ascii="Arial" w:hAnsi="Arial" w:cs="Arial"/>
                <w:sz w:val="20"/>
              </w:rPr>
            </w:pPr>
            <w:r w:rsidRPr="00313845">
              <w:rPr>
                <w:rFonts w:ascii="Arial" w:hAnsi="Arial" w:cs="Arial"/>
                <w:sz w:val="20"/>
              </w:rPr>
              <w:t>(-92, 0)</w:t>
            </w:r>
          </w:p>
        </w:tc>
        <w:tc>
          <w:tcPr>
            <w:tcW w:w="425" w:type="dxa"/>
            <w:shd w:val="clear" w:color="auto" w:fill="FFFFFF"/>
            <w:vAlign w:val="center"/>
          </w:tcPr>
          <w:p w:rsidR="006C4EC2" w:rsidRPr="00313845" w:rsidRDefault="006C4EC2" w:rsidP="006C4EC2">
            <w:pPr>
              <w:jc w:val="both"/>
              <w:rPr>
                <w:rFonts w:ascii="Arial" w:hAnsi="Arial" w:cs="Arial"/>
                <w:sz w:val="20"/>
              </w:rPr>
            </w:pPr>
            <w:r w:rsidRPr="00313845">
              <w:rPr>
                <w:rFonts w:ascii="Arial" w:hAnsi="Arial" w:cs="Arial"/>
                <w:sz w:val="20"/>
              </w:rPr>
              <w:t>10</w:t>
            </w:r>
          </w:p>
        </w:tc>
        <w:tc>
          <w:tcPr>
            <w:tcW w:w="1417" w:type="dxa"/>
            <w:shd w:val="clear" w:color="auto" w:fill="FFFFFF"/>
            <w:vAlign w:val="center"/>
          </w:tcPr>
          <w:p w:rsidR="006C4EC2" w:rsidRPr="00313845" w:rsidRDefault="006C4EC2" w:rsidP="006C4EC2">
            <w:pPr>
              <w:jc w:val="both"/>
              <w:rPr>
                <w:rFonts w:ascii="Arial" w:hAnsi="Arial" w:cs="Arial"/>
                <w:sz w:val="20"/>
              </w:rPr>
            </w:pPr>
            <w:r w:rsidRPr="00313845">
              <w:rPr>
                <w:rFonts w:ascii="Arial" w:hAnsi="Arial" w:cs="Arial"/>
                <w:sz w:val="20"/>
              </w:rPr>
              <w:t>-57</w:t>
            </w:r>
          </w:p>
          <w:p w:rsidR="006C4EC2" w:rsidRPr="00313845" w:rsidRDefault="006C4EC2" w:rsidP="006C4EC2">
            <w:pPr>
              <w:jc w:val="both"/>
              <w:rPr>
                <w:rFonts w:ascii="Arial" w:hAnsi="Arial" w:cs="Arial"/>
                <w:sz w:val="20"/>
              </w:rPr>
            </w:pPr>
            <w:r w:rsidRPr="00313845">
              <w:rPr>
                <w:rFonts w:ascii="Arial" w:hAnsi="Arial" w:cs="Arial"/>
                <w:sz w:val="20"/>
              </w:rPr>
              <w:t>(-100,-15)</w:t>
            </w:r>
          </w:p>
        </w:tc>
      </w:tr>
      <w:tr w:rsidR="006C4EC2" w:rsidRPr="00313845" w:rsidTr="006C4EC2">
        <w:tc>
          <w:tcPr>
            <w:tcW w:w="879" w:type="dxa"/>
            <w:vMerge/>
            <w:shd w:val="clear" w:color="auto" w:fill="FFFFFF"/>
            <w:vAlign w:val="center"/>
          </w:tcPr>
          <w:p w:rsidR="006C4EC2" w:rsidRPr="00313845" w:rsidRDefault="006C4EC2" w:rsidP="006C4EC2">
            <w:pPr>
              <w:jc w:val="both"/>
              <w:rPr>
                <w:rFonts w:ascii="Arial" w:hAnsi="Arial" w:cs="Arial"/>
                <w:sz w:val="20"/>
              </w:rPr>
            </w:pPr>
          </w:p>
        </w:tc>
        <w:tc>
          <w:tcPr>
            <w:tcW w:w="992" w:type="dxa"/>
            <w:shd w:val="clear" w:color="auto" w:fill="FFFFFF"/>
            <w:vAlign w:val="center"/>
          </w:tcPr>
          <w:p w:rsidR="006C4EC2" w:rsidRPr="00313845" w:rsidRDefault="006C4EC2" w:rsidP="006C4EC2">
            <w:pPr>
              <w:jc w:val="both"/>
              <w:rPr>
                <w:rFonts w:ascii="Arial" w:hAnsi="Arial" w:cs="Arial"/>
                <w:sz w:val="20"/>
              </w:rPr>
            </w:pPr>
            <w:r w:rsidRPr="00313845">
              <w:rPr>
                <w:rFonts w:ascii="Arial" w:hAnsi="Arial" w:cs="Arial"/>
                <w:sz w:val="20"/>
              </w:rPr>
              <w:t>Month</w:t>
            </w:r>
            <w:r>
              <w:rPr>
                <w:rFonts w:ascii="Arial" w:hAnsi="Arial" w:cs="Arial"/>
                <w:sz w:val="20"/>
              </w:rPr>
              <w:t xml:space="preserve"> </w:t>
            </w:r>
            <w:r w:rsidRPr="00313845">
              <w:rPr>
                <w:rFonts w:ascii="Arial" w:hAnsi="Arial" w:cs="Arial"/>
                <w:sz w:val="20"/>
              </w:rPr>
              <w:t>12</w:t>
            </w:r>
          </w:p>
        </w:tc>
        <w:tc>
          <w:tcPr>
            <w:tcW w:w="284" w:type="dxa"/>
            <w:shd w:val="clear" w:color="auto" w:fill="FFFFFF"/>
            <w:vAlign w:val="center"/>
          </w:tcPr>
          <w:p w:rsidR="006C4EC2" w:rsidRPr="00313845" w:rsidRDefault="006C4EC2" w:rsidP="006C4EC2">
            <w:pPr>
              <w:jc w:val="both"/>
              <w:rPr>
                <w:rFonts w:ascii="Arial" w:hAnsi="Arial" w:cs="Arial"/>
                <w:sz w:val="20"/>
              </w:rPr>
            </w:pPr>
            <w:r w:rsidRPr="00313845">
              <w:rPr>
                <w:rFonts w:ascii="Arial" w:hAnsi="Arial" w:cs="Arial"/>
                <w:sz w:val="20"/>
              </w:rPr>
              <w:t>-</w:t>
            </w:r>
          </w:p>
        </w:tc>
        <w:tc>
          <w:tcPr>
            <w:tcW w:w="1275" w:type="dxa"/>
            <w:shd w:val="clear" w:color="auto" w:fill="FFFFFF"/>
            <w:vAlign w:val="center"/>
          </w:tcPr>
          <w:p w:rsidR="006C4EC2" w:rsidRPr="00313845" w:rsidRDefault="006C4EC2" w:rsidP="006C4EC2">
            <w:pPr>
              <w:jc w:val="both"/>
              <w:rPr>
                <w:rFonts w:ascii="Arial" w:hAnsi="Arial" w:cs="Arial"/>
                <w:sz w:val="20"/>
              </w:rPr>
            </w:pPr>
            <w:r w:rsidRPr="00313845">
              <w:rPr>
                <w:rFonts w:ascii="Arial" w:hAnsi="Arial" w:cs="Arial"/>
                <w:sz w:val="20"/>
              </w:rPr>
              <w:t>-</w:t>
            </w:r>
          </w:p>
        </w:tc>
        <w:tc>
          <w:tcPr>
            <w:tcW w:w="426" w:type="dxa"/>
            <w:shd w:val="clear" w:color="auto" w:fill="FFFFFF"/>
            <w:vAlign w:val="center"/>
          </w:tcPr>
          <w:p w:rsidR="006C4EC2" w:rsidRPr="00313845" w:rsidRDefault="006C4EC2" w:rsidP="006C4EC2">
            <w:pPr>
              <w:jc w:val="both"/>
              <w:rPr>
                <w:rFonts w:ascii="Arial" w:hAnsi="Arial" w:cs="Arial"/>
                <w:sz w:val="20"/>
              </w:rPr>
            </w:pPr>
            <w:r w:rsidRPr="00313845">
              <w:rPr>
                <w:rFonts w:ascii="Arial" w:hAnsi="Arial" w:cs="Arial"/>
                <w:sz w:val="20"/>
              </w:rPr>
              <w:t>80</w:t>
            </w:r>
          </w:p>
        </w:tc>
        <w:tc>
          <w:tcPr>
            <w:tcW w:w="1275" w:type="dxa"/>
            <w:shd w:val="clear" w:color="auto" w:fill="FFFFFF"/>
            <w:vAlign w:val="center"/>
          </w:tcPr>
          <w:p w:rsidR="006C4EC2" w:rsidRPr="00313845" w:rsidRDefault="006C4EC2" w:rsidP="006C4EC2">
            <w:pPr>
              <w:jc w:val="both"/>
              <w:rPr>
                <w:rFonts w:ascii="Arial" w:hAnsi="Arial" w:cs="Arial"/>
                <w:sz w:val="20"/>
              </w:rPr>
            </w:pPr>
            <w:r w:rsidRPr="00313845">
              <w:rPr>
                <w:rFonts w:ascii="Arial" w:hAnsi="Arial" w:cs="Arial"/>
                <w:sz w:val="20"/>
              </w:rPr>
              <w:t>-82</w:t>
            </w:r>
          </w:p>
          <w:p w:rsidR="006C4EC2" w:rsidRPr="00313845" w:rsidRDefault="006C4EC2" w:rsidP="006C4EC2">
            <w:pPr>
              <w:jc w:val="both"/>
              <w:rPr>
                <w:rFonts w:ascii="Arial" w:hAnsi="Arial" w:cs="Arial"/>
                <w:sz w:val="20"/>
              </w:rPr>
            </w:pPr>
            <w:r w:rsidRPr="00313845">
              <w:rPr>
                <w:rFonts w:ascii="Arial" w:hAnsi="Arial" w:cs="Arial"/>
                <w:sz w:val="20"/>
              </w:rPr>
              <w:t>(-100, -40)</w:t>
            </w:r>
          </w:p>
        </w:tc>
        <w:tc>
          <w:tcPr>
            <w:tcW w:w="284" w:type="dxa"/>
            <w:shd w:val="clear" w:color="auto" w:fill="FFFFFF"/>
            <w:vAlign w:val="center"/>
          </w:tcPr>
          <w:p w:rsidR="006C4EC2" w:rsidRPr="00313845" w:rsidRDefault="006C4EC2" w:rsidP="006C4EC2">
            <w:pPr>
              <w:jc w:val="both"/>
              <w:rPr>
                <w:rFonts w:ascii="Arial" w:hAnsi="Arial" w:cs="Arial"/>
                <w:sz w:val="20"/>
              </w:rPr>
            </w:pPr>
            <w:r w:rsidRPr="00313845">
              <w:rPr>
                <w:rFonts w:ascii="Arial" w:hAnsi="Arial" w:cs="Arial"/>
                <w:sz w:val="20"/>
              </w:rPr>
              <w:t>51</w:t>
            </w:r>
          </w:p>
        </w:tc>
        <w:tc>
          <w:tcPr>
            <w:tcW w:w="1276" w:type="dxa"/>
            <w:shd w:val="clear" w:color="auto" w:fill="FFFFFF"/>
            <w:vAlign w:val="center"/>
          </w:tcPr>
          <w:p w:rsidR="006C4EC2" w:rsidRPr="00313845" w:rsidRDefault="006C4EC2" w:rsidP="006C4EC2">
            <w:pPr>
              <w:jc w:val="both"/>
              <w:rPr>
                <w:rFonts w:ascii="Arial" w:hAnsi="Arial" w:cs="Arial"/>
                <w:sz w:val="20"/>
              </w:rPr>
            </w:pPr>
            <w:r w:rsidRPr="00313845">
              <w:rPr>
                <w:rFonts w:ascii="Arial" w:hAnsi="Arial" w:cs="Arial"/>
                <w:sz w:val="20"/>
              </w:rPr>
              <w:t>-79</w:t>
            </w:r>
          </w:p>
          <w:p w:rsidR="006C4EC2" w:rsidRPr="00313845" w:rsidRDefault="006C4EC2" w:rsidP="006C4EC2">
            <w:pPr>
              <w:jc w:val="both"/>
              <w:rPr>
                <w:rFonts w:ascii="Arial" w:hAnsi="Arial" w:cs="Arial"/>
                <w:sz w:val="20"/>
              </w:rPr>
            </w:pPr>
            <w:r w:rsidRPr="00313845">
              <w:rPr>
                <w:rFonts w:ascii="Arial" w:hAnsi="Arial" w:cs="Arial"/>
                <w:sz w:val="20"/>
              </w:rPr>
              <w:t>(-100,-26)</w:t>
            </w:r>
          </w:p>
        </w:tc>
        <w:tc>
          <w:tcPr>
            <w:tcW w:w="425" w:type="dxa"/>
            <w:shd w:val="clear" w:color="auto" w:fill="FFFFFF"/>
            <w:vAlign w:val="center"/>
          </w:tcPr>
          <w:p w:rsidR="006C4EC2" w:rsidRPr="00313845" w:rsidRDefault="006C4EC2" w:rsidP="006C4EC2">
            <w:pPr>
              <w:jc w:val="both"/>
              <w:rPr>
                <w:rFonts w:ascii="Arial" w:hAnsi="Arial" w:cs="Arial"/>
                <w:sz w:val="20"/>
              </w:rPr>
            </w:pPr>
            <w:r w:rsidRPr="00313845">
              <w:rPr>
                <w:rFonts w:ascii="Arial" w:hAnsi="Arial" w:cs="Arial"/>
                <w:sz w:val="20"/>
              </w:rPr>
              <w:t>9</w:t>
            </w:r>
          </w:p>
        </w:tc>
        <w:tc>
          <w:tcPr>
            <w:tcW w:w="1417" w:type="dxa"/>
            <w:shd w:val="clear" w:color="auto" w:fill="FFFFFF"/>
            <w:vAlign w:val="center"/>
          </w:tcPr>
          <w:p w:rsidR="006C4EC2" w:rsidRPr="00313845" w:rsidRDefault="006C4EC2" w:rsidP="006C4EC2">
            <w:pPr>
              <w:jc w:val="both"/>
              <w:rPr>
                <w:rFonts w:ascii="Arial" w:hAnsi="Arial" w:cs="Arial"/>
                <w:sz w:val="20"/>
              </w:rPr>
            </w:pPr>
            <w:r w:rsidRPr="00313845">
              <w:rPr>
                <w:rFonts w:ascii="Arial" w:hAnsi="Arial" w:cs="Arial"/>
                <w:sz w:val="20"/>
              </w:rPr>
              <w:t>-56</w:t>
            </w:r>
          </w:p>
          <w:p w:rsidR="006C4EC2" w:rsidRPr="00313845" w:rsidRDefault="006C4EC2" w:rsidP="006C4EC2">
            <w:pPr>
              <w:jc w:val="both"/>
              <w:rPr>
                <w:rFonts w:ascii="Arial" w:hAnsi="Arial" w:cs="Arial"/>
                <w:sz w:val="20"/>
              </w:rPr>
            </w:pPr>
            <w:r w:rsidRPr="00313845">
              <w:rPr>
                <w:rFonts w:ascii="Arial" w:hAnsi="Arial" w:cs="Arial"/>
                <w:sz w:val="20"/>
              </w:rPr>
              <w:t>(-100,-16)</w:t>
            </w:r>
          </w:p>
        </w:tc>
      </w:tr>
      <w:tr w:rsidR="006C4EC2" w:rsidRPr="00313845" w:rsidTr="006C4EC2">
        <w:tc>
          <w:tcPr>
            <w:tcW w:w="879" w:type="dxa"/>
            <w:vMerge/>
            <w:shd w:val="clear" w:color="auto" w:fill="FFFFFF"/>
            <w:vAlign w:val="center"/>
          </w:tcPr>
          <w:p w:rsidR="006C4EC2" w:rsidRPr="00313845" w:rsidRDefault="006C4EC2" w:rsidP="006C4EC2">
            <w:pPr>
              <w:jc w:val="both"/>
              <w:rPr>
                <w:rFonts w:ascii="Arial" w:hAnsi="Arial" w:cs="Arial"/>
                <w:sz w:val="20"/>
              </w:rPr>
            </w:pPr>
          </w:p>
        </w:tc>
        <w:tc>
          <w:tcPr>
            <w:tcW w:w="992" w:type="dxa"/>
            <w:shd w:val="clear" w:color="auto" w:fill="FFFFFF"/>
            <w:vAlign w:val="center"/>
          </w:tcPr>
          <w:p w:rsidR="006C4EC2" w:rsidRPr="00313845" w:rsidRDefault="006C4EC2" w:rsidP="006C4EC2">
            <w:pPr>
              <w:jc w:val="both"/>
              <w:rPr>
                <w:rFonts w:ascii="Arial" w:hAnsi="Arial" w:cs="Arial"/>
                <w:sz w:val="20"/>
              </w:rPr>
            </w:pPr>
            <w:r w:rsidRPr="00313845">
              <w:rPr>
                <w:rFonts w:ascii="Arial" w:hAnsi="Arial" w:cs="Arial"/>
                <w:sz w:val="20"/>
              </w:rPr>
              <w:t>Month 24</w:t>
            </w:r>
          </w:p>
        </w:tc>
        <w:tc>
          <w:tcPr>
            <w:tcW w:w="284" w:type="dxa"/>
            <w:shd w:val="clear" w:color="auto" w:fill="FFFFFF"/>
            <w:vAlign w:val="center"/>
          </w:tcPr>
          <w:p w:rsidR="006C4EC2" w:rsidRPr="00313845" w:rsidRDefault="006C4EC2" w:rsidP="006C4EC2">
            <w:pPr>
              <w:jc w:val="both"/>
              <w:rPr>
                <w:rFonts w:ascii="Arial" w:hAnsi="Arial" w:cs="Arial"/>
                <w:sz w:val="20"/>
              </w:rPr>
            </w:pPr>
            <w:r w:rsidRPr="00313845">
              <w:rPr>
                <w:rFonts w:ascii="Arial" w:hAnsi="Arial" w:cs="Arial"/>
                <w:sz w:val="20"/>
              </w:rPr>
              <w:t>-</w:t>
            </w:r>
          </w:p>
        </w:tc>
        <w:tc>
          <w:tcPr>
            <w:tcW w:w="1275" w:type="dxa"/>
            <w:shd w:val="clear" w:color="auto" w:fill="FFFFFF"/>
            <w:vAlign w:val="center"/>
          </w:tcPr>
          <w:p w:rsidR="006C4EC2" w:rsidRPr="00313845" w:rsidRDefault="006C4EC2" w:rsidP="006C4EC2">
            <w:pPr>
              <w:jc w:val="both"/>
              <w:rPr>
                <w:rFonts w:ascii="Arial" w:hAnsi="Arial" w:cs="Arial"/>
                <w:sz w:val="20"/>
              </w:rPr>
            </w:pPr>
            <w:r w:rsidRPr="00313845">
              <w:rPr>
                <w:rFonts w:ascii="Arial" w:hAnsi="Arial" w:cs="Arial"/>
                <w:sz w:val="20"/>
              </w:rPr>
              <w:t>-</w:t>
            </w:r>
          </w:p>
        </w:tc>
        <w:tc>
          <w:tcPr>
            <w:tcW w:w="426" w:type="dxa"/>
            <w:shd w:val="clear" w:color="auto" w:fill="FFFFFF"/>
            <w:vAlign w:val="center"/>
          </w:tcPr>
          <w:p w:rsidR="006C4EC2" w:rsidRPr="00313845" w:rsidRDefault="006C4EC2" w:rsidP="006C4EC2">
            <w:pPr>
              <w:jc w:val="both"/>
              <w:rPr>
                <w:rFonts w:ascii="Arial" w:hAnsi="Arial" w:cs="Arial"/>
                <w:sz w:val="20"/>
              </w:rPr>
            </w:pPr>
            <w:r w:rsidRPr="00313845">
              <w:rPr>
                <w:rFonts w:ascii="Arial" w:hAnsi="Arial" w:cs="Arial"/>
                <w:sz w:val="20"/>
              </w:rPr>
              <w:t>64</w:t>
            </w:r>
          </w:p>
        </w:tc>
        <w:tc>
          <w:tcPr>
            <w:tcW w:w="1275" w:type="dxa"/>
            <w:shd w:val="clear" w:color="auto" w:fill="FFFFFF"/>
            <w:vAlign w:val="center"/>
          </w:tcPr>
          <w:p w:rsidR="006C4EC2" w:rsidRPr="00313845" w:rsidRDefault="006C4EC2" w:rsidP="006C4EC2">
            <w:pPr>
              <w:jc w:val="both"/>
              <w:rPr>
                <w:rFonts w:ascii="Arial" w:hAnsi="Arial" w:cs="Arial"/>
                <w:sz w:val="20"/>
              </w:rPr>
            </w:pPr>
            <w:r w:rsidRPr="00313845">
              <w:rPr>
                <w:rFonts w:ascii="Arial" w:hAnsi="Arial" w:cs="Arial"/>
                <w:sz w:val="20"/>
              </w:rPr>
              <w:t>-100</w:t>
            </w:r>
          </w:p>
          <w:p w:rsidR="006C4EC2" w:rsidRPr="00313845" w:rsidRDefault="006C4EC2" w:rsidP="006C4EC2">
            <w:pPr>
              <w:jc w:val="both"/>
              <w:rPr>
                <w:rFonts w:ascii="Arial" w:hAnsi="Arial" w:cs="Arial"/>
                <w:sz w:val="20"/>
              </w:rPr>
            </w:pPr>
            <w:r w:rsidRPr="00313845">
              <w:rPr>
                <w:rFonts w:ascii="Arial" w:hAnsi="Arial" w:cs="Arial"/>
                <w:sz w:val="20"/>
              </w:rPr>
              <w:t>(-100, 54)</w:t>
            </w:r>
          </w:p>
        </w:tc>
        <w:tc>
          <w:tcPr>
            <w:tcW w:w="284" w:type="dxa"/>
            <w:shd w:val="clear" w:color="auto" w:fill="FFFFFF"/>
            <w:vAlign w:val="center"/>
          </w:tcPr>
          <w:p w:rsidR="006C4EC2" w:rsidRPr="00313845" w:rsidRDefault="006C4EC2" w:rsidP="006C4EC2">
            <w:pPr>
              <w:jc w:val="both"/>
              <w:rPr>
                <w:rFonts w:ascii="Arial" w:hAnsi="Arial" w:cs="Arial"/>
                <w:sz w:val="20"/>
              </w:rPr>
            </w:pPr>
            <w:r w:rsidRPr="00313845">
              <w:rPr>
                <w:rFonts w:ascii="Arial" w:hAnsi="Arial" w:cs="Arial"/>
                <w:sz w:val="20"/>
              </w:rPr>
              <w:t>32</w:t>
            </w:r>
          </w:p>
        </w:tc>
        <w:tc>
          <w:tcPr>
            <w:tcW w:w="1276" w:type="dxa"/>
            <w:shd w:val="clear" w:color="auto" w:fill="FFFFFF"/>
            <w:vAlign w:val="center"/>
          </w:tcPr>
          <w:p w:rsidR="006C4EC2" w:rsidRPr="00313845" w:rsidRDefault="006C4EC2" w:rsidP="006C4EC2">
            <w:pPr>
              <w:jc w:val="both"/>
              <w:rPr>
                <w:rFonts w:ascii="Arial" w:hAnsi="Arial" w:cs="Arial"/>
                <w:sz w:val="20"/>
              </w:rPr>
            </w:pPr>
            <w:r w:rsidRPr="00313845">
              <w:rPr>
                <w:rFonts w:ascii="Arial" w:hAnsi="Arial" w:cs="Arial"/>
                <w:sz w:val="20"/>
              </w:rPr>
              <w:t>-96</w:t>
            </w:r>
          </w:p>
          <w:p w:rsidR="006C4EC2" w:rsidRPr="00313845" w:rsidRDefault="006C4EC2" w:rsidP="006C4EC2">
            <w:pPr>
              <w:jc w:val="both"/>
              <w:rPr>
                <w:rFonts w:ascii="Arial" w:hAnsi="Arial" w:cs="Arial"/>
                <w:sz w:val="20"/>
              </w:rPr>
            </w:pPr>
            <w:r w:rsidRPr="00313845">
              <w:rPr>
                <w:rFonts w:ascii="Arial" w:hAnsi="Arial" w:cs="Arial"/>
                <w:sz w:val="20"/>
              </w:rPr>
              <w:t>(-100,-25)</w:t>
            </w:r>
          </w:p>
        </w:tc>
        <w:tc>
          <w:tcPr>
            <w:tcW w:w="425" w:type="dxa"/>
            <w:shd w:val="clear" w:color="auto" w:fill="FFFFFF"/>
            <w:vAlign w:val="center"/>
          </w:tcPr>
          <w:p w:rsidR="006C4EC2" w:rsidRPr="00313845" w:rsidRDefault="006C4EC2" w:rsidP="006C4EC2">
            <w:pPr>
              <w:jc w:val="both"/>
              <w:rPr>
                <w:rFonts w:ascii="Arial" w:hAnsi="Arial" w:cs="Arial"/>
                <w:sz w:val="20"/>
              </w:rPr>
            </w:pPr>
            <w:r w:rsidRPr="00313845">
              <w:rPr>
                <w:rFonts w:ascii="Arial" w:hAnsi="Arial" w:cs="Arial"/>
                <w:sz w:val="20"/>
              </w:rPr>
              <w:t>4</w:t>
            </w:r>
          </w:p>
        </w:tc>
        <w:tc>
          <w:tcPr>
            <w:tcW w:w="1417" w:type="dxa"/>
            <w:shd w:val="clear" w:color="auto" w:fill="FFFFFF"/>
            <w:vAlign w:val="center"/>
          </w:tcPr>
          <w:p w:rsidR="006C4EC2" w:rsidRPr="00313845" w:rsidRDefault="006C4EC2" w:rsidP="006C4EC2">
            <w:pPr>
              <w:jc w:val="both"/>
              <w:rPr>
                <w:rFonts w:ascii="Arial" w:hAnsi="Arial" w:cs="Arial"/>
                <w:sz w:val="20"/>
              </w:rPr>
            </w:pPr>
            <w:r w:rsidRPr="00313845">
              <w:rPr>
                <w:rFonts w:ascii="Arial" w:hAnsi="Arial" w:cs="Arial"/>
                <w:sz w:val="20"/>
              </w:rPr>
              <w:t>-87</w:t>
            </w:r>
          </w:p>
          <w:p w:rsidR="006C4EC2" w:rsidRPr="00313845" w:rsidRDefault="006C4EC2" w:rsidP="006C4EC2">
            <w:pPr>
              <w:jc w:val="both"/>
              <w:rPr>
                <w:rFonts w:ascii="Arial" w:hAnsi="Arial" w:cs="Arial"/>
                <w:sz w:val="20"/>
              </w:rPr>
            </w:pPr>
            <w:r w:rsidRPr="00313845">
              <w:rPr>
                <w:rFonts w:ascii="Arial" w:hAnsi="Arial" w:cs="Arial"/>
                <w:sz w:val="20"/>
              </w:rPr>
              <w:t>(-98, -29)</w:t>
            </w:r>
          </w:p>
        </w:tc>
      </w:tr>
      <w:tr w:rsidR="006C4EC2" w:rsidRPr="00313845" w:rsidTr="006C4EC2">
        <w:tc>
          <w:tcPr>
            <w:tcW w:w="879" w:type="dxa"/>
            <w:vMerge/>
            <w:shd w:val="clear" w:color="auto" w:fill="FFFFFF"/>
            <w:vAlign w:val="center"/>
          </w:tcPr>
          <w:p w:rsidR="006C4EC2" w:rsidRPr="00313845" w:rsidRDefault="006C4EC2" w:rsidP="006C4EC2">
            <w:pPr>
              <w:jc w:val="both"/>
              <w:rPr>
                <w:rFonts w:ascii="Arial" w:hAnsi="Arial" w:cs="Arial"/>
                <w:sz w:val="20"/>
              </w:rPr>
            </w:pPr>
          </w:p>
        </w:tc>
        <w:tc>
          <w:tcPr>
            <w:tcW w:w="992" w:type="dxa"/>
            <w:shd w:val="clear" w:color="auto" w:fill="FFFFFF"/>
            <w:vAlign w:val="center"/>
          </w:tcPr>
          <w:p w:rsidR="006C4EC2" w:rsidRPr="00313845" w:rsidRDefault="006C4EC2" w:rsidP="006C4EC2">
            <w:pPr>
              <w:jc w:val="both"/>
              <w:rPr>
                <w:rFonts w:ascii="Arial" w:hAnsi="Arial" w:cs="Arial"/>
                <w:sz w:val="20"/>
              </w:rPr>
            </w:pPr>
            <w:r w:rsidRPr="00313845">
              <w:rPr>
                <w:rFonts w:ascii="Arial" w:hAnsi="Arial" w:cs="Arial"/>
                <w:sz w:val="20"/>
              </w:rPr>
              <w:t>Month 36</w:t>
            </w:r>
          </w:p>
        </w:tc>
        <w:tc>
          <w:tcPr>
            <w:tcW w:w="284" w:type="dxa"/>
            <w:shd w:val="clear" w:color="auto" w:fill="FFFFFF"/>
            <w:vAlign w:val="center"/>
          </w:tcPr>
          <w:p w:rsidR="006C4EC2" w:rsidRPr="00313845" w:rsidRDefault="006C4EC2" w:rsidP="006C4EC2">
            <w:pPr>
              <w:jc w:val="both"/>
              <w:rPr>
                <w:rFonts w:ascii="Arial" w:hAnsi="Arial" w:cs="Arial"/>
                <w:sz w:val="20"/>
              </w:rPr>
            </w:pPr>
            <w:r w:rsidRPr="00313845">
              <w:rPr>
                <w:rFonts w:ascii="Arial" w:hAnsi="Arial" w:cs="Arial"/>
                <w:sz w:val="20"/>
              </w:rPr>
              <w:t>-</w:t>
            </w:r>
          </w:p>
        </w:tc>
        <w:tc>
          <w:tcPr>
            <w:tcW w:w="1275" w:type="dxa"/>
            <w:shd w:val="clear" w:color="auto" w:fill="FFFFFF"/>
            <w:vAlign w:val="center"/>
          </w:tcPr>
          <w:p w:rsidR="006C4EC2" w:rsidRPr="00313845" w:rsidRDefault="006C4EC2" w:rsidP="006C4EC2">
            <w:pPr>
              <w:jc w:val="both"/>
              <w:rPr>
                <w:rFonts w:ascii="Arial" w:hAnsi="Arial" w:cs="Arial"/>
                <w:sz w:val="20"/>
              </w:rPr>
            </w:pPr>
            <w:r w:rsidRPr="00313845">
              <w:rPr>
                <w:rFonts w:ascii="Arial" w:hAnsi="Arial" w:cs="Arial"/>
                <w:sz w:val="20"/>
              </w:rPr>
              <w:t>-</w:t>
            </w:r>
          </w:p>
        </w:tc>
        <w:tc>
          <w:tcPr>
            <w:tcW w:w="426" w:type="dxa"/>
            <w:shd w:val="clear" w:color="auto" w:fill="FFFFFF"/>
            <w:vAlign w:val="center"/>
          </w:tcPr>
          <w:p w:rsidR="006C4EC2" w:rsidRPr="00313845" w:rsidRDefault="006C4EC2" w:rsidP="006C4EC2">
            <w:pPr>
              <w:jc w:val="both"/>
              <w:rPr>
                <w:rFonts w:ascii="Arial" w:hAnsi="Arial" w:cs="Arial"/>
                <w:sz w:val="20"/>
              </w:rPr>
            </w:pPr>
            <w:r w:rsidRPr="00313845">
              <w:rPr>
                <w:rFonts w:ascii="Arial" w:hAnsi="Arial" w:cs="Arial"/>
                <w:sz w:val="20"/>
              </w:rPr>
              <w:t>1</w:t>
            </w:r>
          </w:p>
        </w:tc>
        <w:tc>
          <w:tcPr>
            <w:tcW w:w="1275" w:type="dxa"/>
            <w:shd w:val="clear" w:color="auto" w:fill="FFFFFF"/>
            <w:vAlign w:val="center"/>
          </w:tcPr>
          <w:p w:rsidR="006C4EC2" w:rsidRPr="00313845" w:rsidRDefault="006C4EC2" w:rsidP="006C4EC2">
            <w:pPr>
              <w:jc w:val="both"/>
              <w:rPr>
                <w:rFonts w:ascii="Arial" w:hAnsi="Arial" w:cs="Arial"/>
                <w:sz w:val="20"/>
              </w:rPr>
            </w:pPr>
            <w:r w:rsidRPr="00313845">
              <w:rPr>
                <w:rFonts w:ascii="Arial" w:hAnsi="Arial" w:cs="Arial"/>
                <w:sz w:val="20"/>
              </w:rPr>
              <w:t>-83</w:t>
            </w:r>
          </w:p>
          <w:p w:rsidR="006C4EC2" w:rsidRPr="00313845" w:rsidRDefault="006C4EC2" w:rsidP="006C4EC2">
            <w:pPr>
              <w:jc w:val="both"/>
              <w:rPr>
                <w:rFonts w:ascii="Arial" w:hAnsi="Arial" w:cs="Arial"/>
                <w:sz w:val="20"/>
              </w:rPr>
            </w:pPr>
            <w:r w:rsidRPr="00313845">
              <w:rPr>
                <w:rFonts w:ascii="Arial" w:hAnsi="Arial" w:cs="Arial"/>
                <w:sz w:val="20"/>
              </w:rPr>
              <w:t>(-83, -83)</w:t>
            </w:r>
          </w:p>
        </w:tc>
        <w:tc>
          <w:tcPr>
            <w:tcW w:w="284" w:type="dxa"/>
            <w:shd w:val="clear" w:color="auto" w:fill="FFFFFF"/>
            <w:vAlign w:val="center"/>
          </w:tcPr>
          <w:p w:rsidR="006C4EC2" w:rsidRPr="00313845" w:rsidRDefault="006C4EC2" w:rsidP="006C4EC2">
            <w:pPr>
              <w:jc w:val="both"/>
              <w:rPr>
                <w:rFonts w:ascii="Arial" w:hAnsi="Arial" w:cs="Arial"/>
                <w:sz w:val="20"/>
              </w:rPr>
            </w:pPr>
            <w:r w:rsidRPr="00313845">
              <w:rPr>
                <w:rFonts w:ascii="Arial" w:hAnsi="Arial" w:cs="Arial"/>
                <w:sz w:val="20"/>
              </w:rPr>
              <w:t>0</w:t>
            </w:r>
          </w:p>
        </w:tc>
        <w:tc>
          <w:tcPr>
            <w:tcW w:w="1276" w:type="dxa"/>
            <w:shd w:val="clear" w:color="auto" w:fill="FFFFFF"/>
            <w:vAlign w:val="center"/>
          </w:tcPr>
          <w:p w:rsidR="006C4EC2" w:rsidRPr="00313845" w:rsidRDefault="006C4EC2" w:rsidP="006C4EC2">
            <w:pPr>
              <w:jc w:val="both"/>
              <w:rPr>
                <w:rFonts w:ascii="Arial" w:hAnsi="Arial" w:cs="Arial"/>
                <w:sz w:val="20"/>
              </w:rPr>
            </w:pPr>
            <w:r w:rsidRPr="00313845">
              <w:rPr>
                <w:rFonts w:ascii="Arial" w:hAnsi="Arial" w:cs="Arial"/>
                <w:sz w:val="20"/>
              </w:rPr>
              <w:t>N</w:t>
            </w:r>
            <w:r>
              <w:rPr>
                <w:rFonts w:ascii="Arial" w:hAnsi="Arial" w:cs="Arial"/>
                <w:sz w:val="20"/>
              </w:rPr>
              <w:t>R</w:t>
            </w:r>
          </w:p>
        </w:tc>
        <w:tc>
          <w:tcPr>
            <w:tcW w:w="425" w:type="dxa"/>
            <w:shd w:val="clear" w:color="auto" w:fill="FFFFFF"/>
            <w:vAlign w:val="center"/>
          </w:tcPr>
          <w:p w:rsidR="006C4EC2" w:rsidRPr="00313845" w:rsidRDefault="006C4EC2" w:rsidP="006C4EC2">
            <w:pPr>
              <w:jc w:val="both"/>
              <w:rPr>
                <w:rFonts w:ascii="Arial" w:hAnsi="Arial" w:cs="Arial"/>
                <w:sz w:val="20"/>
              </w:rPr>
            </w:pPr>
            <w:r w:rsidRPr="00313845">
              <w:rPr>
                <w:rFonts w:ascii="Arial" w:hAnsi="Arial" w:cs="Arial"/>
                <w:sz w:val="20"/>
              </w:rPr>
              <w:t>0</w:t>
            </w:r>
          </w:p>
        </w:tc>
        <w:tc>
          <w:tcPr>
            <w:tcW w:w="1417" w:type="dxa"/>
            <w:shd w:val="clear" w:color="auto" w:fill="FFFFFF"/>
            <w:vAlign w:val="center"/>
          </w:tcPr>
          <w:p w:rsidR="006C4EC2" w:rsidRPr="00313845" w:rsidRDefault="006C4EC2" w:rsidP="006C4EC2">
            <w:pPr>
              <w:jc w:val="both"/>
              <w:rPr>
                <w:rFonts w:ascii="Arial" w:hAnsi="Arial" w:cs="Arial"/>
                <w:sz w:val="20"/>
              </w:rPr>
            </w:pPr>
            <w:r>
              <w:rPr>
                <w:rFonts w:ascii="Arial" w:hAnsi="Arial" w:cs="Arial"/>
                <w:sz w:val="20"/>
              </w:rPr>
              <w:t>NR</w:t>
            </w:r>
          </w:p>
        </w:tc>
      </w:tr>
      <w:tr w:rsidR="006C4EC2" w:rsidRPr="00313845" w:rsidTr="006C4EC2">
        <w:tc>
          <w:tcPr>
            <w:tcW w:w="879" w:type="dxa"/>
            <w:vMerge/>
            <w:shd w:val="clear" w:color="auto" w:fill="FFFFFF"/>
            <w:vAlign w:val="center"/>
          </w:tcPr>
          <w:p w:rsidR="006C4EC2" w:rsidRPr="00313845" w:rsidRDefault="006C4EC2" w:rsidP="006C4EC2">
            <w:pPr>
              <w:jc w:val="both"/>
              <w:rPr>
                <w:rFonts w:ascii="Arial" w:hAnsi="Arial" w:cs="Arial"/>
                <w:sz w:val="20"/>
              </w:rPr>
            </w:pPr>
          </w:p>
        </w:tc>
        <w:tc>
          <w:tcPr>
            <w:tcW w:w="992" w:type="dxa"/>
            <w:shd w:val="clear" w:color="auto" w:fill="FFFFFF"/>
            <w:vAlign w:val="center"/>
          </w:tcPr>
          <w:p w:rsidR="006C4EC2" w:rsidRPr="00313845" w:rsidRDefault="006C4EC2" w:rsidP="006C4EC2">
            <w:pPr>
              <w:jc w:val="both"/>
              <w:rPr>
                <w:rFonts w:ascii="Arial" w:hAnsi="Arial" w:cs="Arial"/>
                <w:sz w:val="20"/>
              </w:rPr>
            </w:pPr>
            <w:r w:rsidRPr="00313845">
              <w:rPr>
                <w:rFonts w:ascii="Arial" w:hAnsi="Arial" w:cs="Arial"/>
                <w:sz w:val="20"/>
              </w:rPr>
              <w:t>Final</w:t>
            </w:r>
            <w:r>
              <w:rPr>
                <w:rFonts w:ascii="Arial" w:hAnsi="Arial" w:cs="Arial"/>
                <w:sz w:val="20"/>
              </w:rPr>
              <w:t>^</w:t>
            </w:r>
          </w:p>
        </w:tc>
        <w:tc>
          <w:tcPr>
            <w:tcW w:w="284" w:type="dxa"/>
            <w:shd w:val="clear" w:color="auto" w:fill="FFFFFF"/>
            <w:vAlign w:val="center"/>
          </w:tcPr>
          <w:p w:rsidR="006C4EC2" w:rsidRPr="00313845" w:rsidRDefault="006C4EC2" w:rsidP="006C4EC2">
            <w:pPr>
              <w:jc w:val="both"/>
              <w:rPr>
                <w:rFonts w:ascii="Arial" w:hAnsi="Arial" w:cs="Arial"/>
                <w:sz w:val="20"/>
              </w:rPr>
            </w:pPr>
            <w:r w:rsidRPr="00313845">
              <w:rPr>
                <w:rFonts w:ascii="Arial" w:hAnsi="Arial" w:cs="Arial"/>
                <w:sz w:val="20"/>
              </w:rPr>
              <w:t>-</w:t>
            </w:r>
          </w:p>
        </w:tc>
        <w:tc>
          <w:tcPr>
            <w:tcW w:w="1275" w:type="dxa"/>
            <w:shd w:val="clear" w:color="auto" w:fill="FFFFFF"/>
            <w:vAlign w:val="center"/>
          </w:tcPr>
          <w:p w:rsidR="006C4EC2" w:rsidRPr="00313845" w:rsidRDefault="006C4EC2" w:rsidP="006C4EC2">
            <w:pPr>
              <w:jc w:val="both"/>
              <w:rPr>
                <w:rFonts w:ascii="Arial" w:hAnsi="Arial" w:cs="Arial"/>
                <w:sz w:val="20"/>
              </w:rPr>
            </w:pPr>
            <w:r w:rsidRPr="00313845">
              <w:rPr>
                <w:rFonts w:ascii="Arial" w:hAnsi="Arial" w:cs="Arial"/>
                <w:sz w:val="20"/>
              </w:rPr>
              <w:t>-</w:t>
            </w:r>
          </w:p>
        </w:tc>
        <w:tc>
          <w:tcPr>
            <w:tcW w:w="426" w:type="dxa"/>
            <w:shd w:val="clear" w:color="auto" w:fill="FFFFFF"/>
            <w:vAlign w:val="center"/>
          </w:tcPr>
          <w:p w:rsidR="006C4EC2" w:rsidRPr="00313845" w:rsidRDefault="006C4EC2" w:rsidP="006C4EC2">
            <w:pPr>
              <w:jc w:val="both"/>
              <w:rPr>
                <w:rFonts w:ascii="Arial" w:hAnsi="Arial" w:cs="Arial"/>
                <w:sz w:val="20"/>
              </w:rPr>
            </w:pPr>
            <w:r w:rsidRPr="00313845">
              <w:rPr>
                <w:rFonts w:ascii="Arial" w:hAnsi="Arial" w:cs="Arial"/>
                <w:sz w:val="20"/>
              </w:rPr>
              <w:t>107</w:t>
            </w:r>
          </w:p>
        </w:tc>
        <w:tc>
          <w:tcPr>
            <w:tcW w:w="1275" w:type="dxa"/>
            <w:shd w:val="clear" w:color="auto" w:fill="FFFFFF"/>
            <w:vAlign w:val="center"/>
          </w:tcPr>
          <w:p w:rsidR="006C4EC2" w:rsidRPr="00313845" w:rsidRDefault="006C4EC2" w:rsidP="006C4EC2">
            <w:pPr>
              <w:jc w:val="both"/>
              <w:rPr>
                <w:rFonts w:ascii="Arial" w:hAnsi="Arial" w:cs="Arial"/>
                <w:sz w:val="20"/>
              </w:rPr>
            </w:pPr>
            <w:r w:rsidRPr="00313845">
              <w:rPr>
                <w:rFonts w:ascii="Arial" w:hAnsi="Arial" w:cs="Arial"/>
                <w:sz w:val="20"/>
              </w:rPr>
              <w:t>-96</w:t>
            </w:r>
          </w:p>
          <w:p w:rsidR="006C4EC2" w:rsidRPr="00313845" w:rsidRDefault="006C4EC2" w:rsidP="006C4EC2">
            <w:pPr>
              <w:jc w:val="both"/>
              <w:rPr>
                <w:rFonts w:ascii="Arial" w:hAnsi="Arial" w:cs="Arial"/>
                <w:sz w:val="20"/>
              </w:rPr>
            </w:pPr>
            <w:r w:rsidRPr="00313845">
              <w:rPr>
                <w:rFonts w:ascii="Arial" w:hAnsi="Arial" w:cs="Arial"/>
                <w:sz w:val="20"/>
              </w:rPr>
              <w:t>(-100,-42)</w:t>
            </w:r>
          </w:p>
        </w:tc>
        <w:tc>
          <w:tcPr>
            <w:tcW w:w="284" w:type="dxa"/>
            <w:shd w:val="clear" w:color="auto" w:fill="FFFFFF"/>
            <w:vAlign w:val="center"/>
          </w:tcPr>
          <w:p w:rsidR="006C4EC2" w:rsidRPr="00313845" w:rsidRDefault="006C4EC2" w:rsidP="006C4EC2">
            <w:pPr>
              <w:jc w:val="both"/>
              <w:rPr>
                <w:rFonts w:ascii="Arial" w:hAnsi="Arial" w:cs="Arial"/>
                <w:sz w:val="20"/>
              </w:rPr>
            </w:pPr>
            <w:r w:rsidRPr="00313845">
              <w:rPr>
                <w:rFonts w:ascii="Arial" w:hAnsi="Arial" w:cs="Arial"/>
                <w:sz w:val="20"/>
              </w:rPr>
              <w:t>76</w:t>
            </w:r>
          </w:p>
        </w:tc>
        <w:tc>
          <w:tcPr>
            <w:tcW w:w="1276" w:type="dxa"/>
            <w:shd w:val="clear" w:color="auto" w:fill="FFFFFF"/>
            <w:vAlign w:val="center"/>
          </w:tcPr>
          <w:p w:rsidR="006C4EC2" w:rsidRPr="00313845" w:rsidRDefault="006C4EC2" w:rsidP="006C4EC2">
            <w:pPr>
              <w:jc w:val="both"/>
              <w:rPr>
                <w:rFonts w:ascii="Arial" w:hAnsi="Arial" w:cs="Arial"/>
                <w:sz w:val="20"/>
              </w:rPr>
            </w:pPr>
            <w:r w:rsidRPr="00313845">
              <w:rPr>
                <w:rFonts w:ascii="Arial" w:hAnsi="Arial" w:cs="Arial"/>
                <w:sz w:val="20"/>
              </w:rPr>
              <w:t>-84</w:t>
            </w:r>
          </w:p>
          <w:p w:rsidR="006C4EC2" w:rsidRPr="00313845" w:rsidRDefault="006C4EC2" w:rsidP="006C4EC2">
            <w:pPr>
              <w:jc w:val="both"/>
              <w:rPr>
                <w:rFonts w:ascii="Arial" w:hAnsi="Arial" w:cs="Arial"/>
                <w:sz w:val="20"/>
              </w:rPr>
            </w:pPr>
            <w:r w:rsidRPr="00313845">
              <w:rPr>
                <w:rFonts w:ascii="Arial" w:hAnsi="Arial" w:cs="Arial"/>
                <w:sz w:val="20"/>
              </w:rPr>
              <w:t>(-100,-16)</w:t>
            </w:r>
          </w:p>
        </w:tc>
        <w:tc>
          <w:tcPr>
            <w:tcW w:w="425" w:type="dxa"/>
            <w:shd w:val="clear" w:color="auto" w:fill="FFFFFF"/>
            <w:vAlign w:val="center"/>
          </w:tcPr>
          <w:p w:rsidR="006C4EC2" w:rsidRPr="00313845" w:rsidRDefault="006C4EC2" w:rsidP="006C4EC2">
            <w:pPr>
              <w:jc w:val="both"/>
              <w:rPr>
                <w:rFonts w:ascii="Arial" w:hAnsi="Arial" w:cs="Arial"/>
                <w:sz w:val="20"/>
              </w:rPr>
            </w:pPr>
            <w:r w:rsidRPr="00313845">
              <w:rPr>
                <w:rFonts w:ascii="Arial" w:hAnsi="Arial" w:cs="Arial"/>
                <w:sz w:val="20"/>
              </w:rPr>
              <w:t>14</w:t>
            </w:r>
          </w:p>
        </w:tc>
        <w:tc>
          <w:tcPr>
            <w:tcW w:w="1417" w:type="dxa"/>
            <w:shd w:val="clear" w:color="auto" w:fill="FFFFFF"/>
            <w:vAlign w:val="center"/>
          </w:tcPr>
          <w:p w:rsidR="006C4EC2" w:rsidRPr="00313845" w:rsidRDefault="006C4EC2" w:rsidP="006C4EC2">
            <w:pPr>
              <w:jc w:val="both"/>
              <w:rPr>
                <w:rFonts w:ascii="Arial" w:hAnsi="Arial" w:cs="Arial"/>
                <w:sz w:val="20"/>
              </w:rPr>
            </w:pPr>
            <w:r w:rsidRPr="00313845">
              <w:rPr>
                <w:rFonts w:ascii="Arial" w:hAnsi="Arial" w:cs="Arial"/>
                <w:sz w:val="20"/>
              </w:rPr>
              <w:t>-67</w:t>
            </w:r>
          </w:p>
          <w:p w:rsidR="006C4EC2" w:rsidRPr="00313845" w:rsidRDefault="006C4EC2" w:rsidP="006C4EC2">
            <w:pPr>
              <w:jc w:val="both"/>
              <w:rPr>
                <w:rFonts w:ascii="Arial" w:hAnsi="Arial" w:cs="Arial"/>
                <w:sz w:val="20"/>
              </w:rPr>
            </w:pPr>
            <w:r w:rsidRPr="00313845">
              <w:rPr>
                <w:rFonts w:ascii="Arial" w:hAnsi="Arial" w:cs="Arial"/>
                <w:sz w:val="20"/>
              </w:rPr>
              <w:t>(-100, 0)</w:t>
            </w:r>
          </w:p>
        </w:tc>
      </w:tr>
    </w:tbl>
    <w:p w:rsidR="006C4EC2" w:rsidRPr="005F252A" w:rsidRDefault="006C4EC2" w:rsidP="006C4EC2">
      <w:pPr>
        <w:jc w:val="both"/>
        <w:rPr>
          <w:rFonts w:ascii="Arial" w:hAnsi="Arial" w:cs="Arial"/>
          <w:sz w:val="18"/>
        </w:rPr>
      </w:pPr>
      <w:r w:rsidRPr="005F252A">
        <w:rPr>
          <w:rFonts w:ascii="Arial" w:hAnsi="Arial" w:cs="Arial"/>
          <w:sz w:val="18"/>
        </w:rPr>
        <w:t>Abbreviations: ALO = allopurinol; PBO = placebo; FBX80 = febuxostat 80 mg; FBX120 = febuxostat 120 mg; FBX240 = febuxostat 240 mg; NR=not reported.</w:t>
      </w:r>
    </w:p>
    <w:p w:rsidR="006C4EC2" w:rsidRPr="005F252A" w:rsidRDefault="006C4EC2" w:rsidP="006C4EC2">
      <w:pPr>
        <w:jc w:val="both"/>
        <w:rPr>
          <w:rFonts w:ascii="Arial" w:hAnsi="Arial" w:cs="Arial"/>
          <w:sz w:val="18"/>
        </w:rPr>
      </w:pPr>
      <w:r w:rsidRPr="005F252A">
        <w:rPr>
          <w:rFonts w:ascii="Arial" w:hAnsi="Arial" w:cs="Arial"/>
          <w:sz w:val="18"/>
        </w:rPr>
        <w:t>Bold typography indicates statistically significant results</w:t>
      </w:r>
    </w:p>
    <w:p w:rsidR="006C4EC2" w:rsidRPr="005F252A" w:rsidRDefault="006C4EC2" w:rsidP="006C4EC2">
      <w:pPr>
        <w:ind w:left="165" w:hanging="165"/>
        <w:jc w:val="both"/>
        <w:rPr>
          <w:rFonts w:ascii="Arial" w:hAnsi="Arial" w:cs="Arial"/>
          <w:sz w:val="18"/>
        </w:rPr>
      </w:pPr>
      <w:r w:rsidRPr="005F252A">
        <w:rPr>
          <w:rFonts w:ascii="Arial" w:hAnsi="Arial" w:cs="Arial"/>
          <w:sz w:val="18"/>
        </w:rPr>
        <w:t>*</w:t>
      </w:r>
      <w:r w:rsidRPr="005F252A">
        <w:rPr>
          <w:rFonts w:ascii="Arial" w:hAnsi="Arial" w:cs="Arial"/>
          <w:sz w:val="18"/>
        </w:rPr>
        <w:tab/>
        <w:t>Comparisons between treatment groups were made with a two-way ANOVA with treatment and baseline renal function (serum creatinine ≤1.5 mg/</w:t>
      </w:r>
      <w:proofErr w:type="spellStart"/>
      <w:r w:rsidRPr="005F252A">
        <w:rPr>
          <w:rFonts w:ascii="Arial" w:hAnsi="Arial" w:cs="Arial"/>
          <w:sz w:val="18"/>
        </w:rPr>
        <w:t>dL</w:t>
      </w:r>
      <w:proofErr w:type="spellEnd"/>
      <w:r w:rsidRPr="005F252A">
        <w:rPr>
          <w:rFonts w:ascii="Arial" w:hAnsi="Arial" w:cs="Arial"/>
          <w:sz w:val="18"/>
        </w:rPr>
        <w:t xml:space="preserve"> vs. &gt;1.5 mg/</w:t>
      </w:r>
      <w:proofErr w:type="spellStart"/>
      <w:r w:rsidRPr="005F252A">
        <w:rPr>
          <w:rFonts w:ascii="Arial" w:hAnsi="Arial" w:cs="Arial"/>
          <w:sz w:val="18"/>
        </w:rPr>
        <w:t>dL</w:t>
      </w:r>
      <w:proofErr w:type="spellEnd"/>
      <w:r w:rsidRPr="005F252A">
        <w:rPr>
          <w:rFonts w:ascii="Arial" w:hAnsi="Arial" w:cs="Arial"/>
          <w:sz w:val="18"/>
        </w:rPr>
        <w:t>) as factors.</w:t>
      </w:r>
    </w:p>
    <w:p w:rsidR="006C4EC2" w:rsidRPr="005F252A" w:rsidRDefault="006C4EC2" w:rsidP="006C4EC2">
      <w:pPr>
        <w:ind w:left="165" w:hanging="165"/>
        <w:jc w:val="both"/>
        <w:rPr>
          <w:rFonts w:ascii="Arial" w:hAnsi="Arial" w:cs="Arial"/>
          <w:sz w:val="18"/>
        </w:rPr>
      </w:pPr>
      <w:proofErr w:type="gramStart"/>
      <w:r w:rsidRPr="005F252A">
        <w:rPr>
          <w:rFonts w:ascii="Arial" w:hAnsi="Arial" w:cs="Arial"/>
          <w:sz w:val="18"/>
          <w:vertAlign w:val="superscript"/>
        </w:rPr>
        <w:t>a</w:t>
      </w:r>
      <w:proofErr w:type="gramEnd"/>
      <w:r w:rsidRPr="005F252A">
        <w:rPr>
          <w:rFonts w:ascii="Arial" w:hAnsi="Arial" w:cs="Arial"/>
          <w:sz w:val="18"/>
          <w:vertAlign w:val="superscript"/>
        </w:rPr>
        <w:tab/>
      </w:r>
      <w:r w:rsidRPr="005F252A">
        <w:rPr>
          <w:rFonts w:ascii="Arial" w:hAnsi="Arial" w:cs="Arial"/>
          <w:sz w:val="18"/>
        </w:rPr>
        <w:t>Statistically significant difference in percent change values versus allopurinol 300mg (p≤0.05)</w:t>
      </w:r>
    </w:p>
    <w:p w:rsidR="006C4EC2" w:rsidRPr="005F252A" w:rsidRDefault="006C4EC2" w:rsidP="006C4EC2">
      <w:pPr>
        <w:ind w:left="165" w:hanging="165"/>
        <w:jc w:val="both"/>
        <w:rPr>
          <w:rFonts w:ascii="Arial" w:hAnsi="Arial" w:cs="Arial"/>
          <w:sz w:val="18"/>
        </w:rPr>
      </w:pPr>
      <w:proofErr w:type="gramStart"/>
      <w:r w:rsidRPr="005F252A">
        <w:rPr>
          <w:rFonts w:ascii="Arial" w:hAnsi="Arial" w:cs="Arial"/>
          <w:sz w:val="18"/>
          <w:vertAlign w:val="superscript"/>
        </w:rPr>
        <w:t>p</w:t>
      </w:r>
      <w:proofErr w:type="gramEnd"/>
      <w:r w:rsidRPr="005F252A">
        <w:rPr>
          <w:rFonts w:ascii="Arial" w:hAnsi="Arial" w:cs="Arial"/>
          <w:sz w:val="18"/>
          <w:vertAlign w:val="superscript"/>
        </w:rPr>
        <w:tab/>
      </w:r>
      <w:r w:rsidRPr="005F252A">
        <w:rPr>
          <w:rFonts w:ascii="Arial" w:hAnsi="Arial" w:cs="Arial"/>
          <w:sz w:val="18"/>
        </w:rPr>
        <w:t>Statistically significant difference in percent change values versus placebo (p≤0.05)</w:t>
      </w:r>
    </w:p>
    <w:p w:rsidR="006C4EC2" w:rsidRPr="005F252A" w:rsidRDefault="006C4EC2" w:rsidP="006C4EC2">
      <w:pPr>
        <w:ind w:left="165" w:hanging="165"/>
        <w:jc w:val="both"/>
        <w:rPr>
          <w:rFonts w:ascii="Arial" w:hAnsi="Arial" w:cs="Arial"/>
          <w:sz w:val="18"/>
        </w:rPr>
      </w:pPr>
      <w:r w:rsidRPr="005F252A">
        <w:rPr>
          <w:rFonts w:ascii="Arial" w:hAnsi="Arial" w:cs="Arial"/>
          <w:sz w:val="18"/>
        </w:rPr>
        <w:t>†</w:t>
      </w:r>
      <w:r w:rsidRPr="005F252A">
        <w:rPr>
          <w:rFonts w:ascii="Arial" w:hAnsi="Arial" w:cs="Arial"/>
          <w:sz w:val="18"/>
        </w:rPr>
        <w:tab/>
        <w:t>Statistically significant difference in percent change values versus febuxostat 120mg (p≤0.05)</w:t>
      </w:r>
    </w:p>
    <w:p w:rsidR="006C4EC2" w:rsidRPr="005F252A" w:rsidRDefault="006C4EC2" w:rsidP="006C4EC2">
      <w:pPr>
        <w:ind w:left="165" w:hanging="165"/>
        <w:jc w:val="both"/>
        <w:rPr>
          <w:rFonts w:ascii="Arial" w:hAnsi="Arial" w:cs="Arial"/>
          <w:sz w:val="18"/>
        </w:rPr>
      </w:pPr>
      <w:r w:rsidRPr="005F252A">
        <w:rPr>
          <w:rFonts w:ascii="Arial" w:hAnsi="Arial" w:cs="Arial"/>
          <w:sz w:val="18"/>
        </w:rPr>
        <w:t>^at patients’ final assessment, which may be before the maximum trial follow up.</w:t>
      </w:r>
    </w:p>
    <w:p w:rsidR="006C4EC2" w:rsidRPr="005F252A" w:rsidRDefault="006C4EC2" w:rsidP="006C4EC2">
      <w:pPr>
        <w:ind w:left="165" w:hanging="165"/>
        <w:jc w:val="both"/>
        <w:rPr>
          <w:rFonts w:ascii="Arial" w:hAnsi="Arial" w:cs="Arial"/>
          <w:sz w:val="18"/>
        </w:rPr>
      </w:pPr>
      <w:r w:rsidRPr="005F252A">
        <w:rPr>
          <w:rFonts w:ascii="Arial" w:hAnsi="Arial" w:cs="Arial"/>
          <w:sz w:val="18"/>
          <w:vertAlign w:val="superscript"/>
        </w:rPr>
        <w:t>#</w:t>
      </w:r>
      <w:r w:rsidRPr="005F252A">
        <w:rPr>
          <w:rFonts w:ascii="Arial" w:hAnsi="Arial" w:cs="Arial"/>
          <w:sz w:val="18"/>
          <w:vertAlign w:val="superscript"/>
        </w:rPr>
        <w:tab/>
      </w:r>
      <w:r w:rsidRPr="005F252A">
        <w:rPr>
          <w:rFonts w:ascii="Arial" w:hAnsi="Arial" w:cs="Arial"/>
          <w:sz w:val="18"/>
        </w:rPr>
        <w:t>Day 1 is the last value from the participants’ previous study APEX or FACT.</w:t>
      </w:r>
    </w:p>
    <w:p w:rsidR="006C4EC2" w:rsidRPr="005F252A" w:rsidRDefault="006C4EC2" w:rsidP="006C4EC2">
      <w:pPr>
        <w:ind w:left="165" w:hanging="165"/>
        <w:jc w:val="both"/>
        <w:rPr>
          <w:rFonts w:ascii="Arial" w:hAnsi="Arial" w:cs="Arial"/>
          <w:sz w:val="18"/>
        </w:rPr>
      </w:pPr>
      <w:proofErr w:type="gramStart"/>
      <w:r w:rsidRPr="005F252A">
        <w:rPr>
          <w:rFonts w:ascii="Arial" w:hAnsi="Arial" w:cs="Arial"/>
          <w:sz w:val="18"/>
          <w:vertAlign w:val="superscript"/>
        </w:rPr>
        <w:t>c</w:t>
      </w:r>
      <w:proofErr w:type="gramEnd"/>
      <w:r w:rsidRPr="005F252A">
        <w:rPr>
          <w:rFonts w:ascii="Arial" w:hAnsi="Arial" w:cs="Arial"/>
          <w:sz w:val="18"/>
          <w:vertAlign w:val="superscript"/>
        </w:rPr>
        <w:tab/>
      </w:r>
      <w:r w:rsidRPr="005F252A">
        <w:rPr>
          <w:rFonts w:ascii="Arial" w:hAnsi="Arial" w:cs="Arial"/>
          <w:sz w:val="18"/>
        </w:rPr>
        <w:t>patients by final stable treatment.</w:t>
      </w:r>
    </w:p>
    <w:p w:rsidR="006C4EC2" w:rsidRDefault="006C4EC2" w:rsidP="003C0DCA">
      <w:pPr>
        <w:pStyle w:val="ListParagraph"/>
        <w:ind w:left="0"/>
        <w:jc w:val="both"/>
      </w:pPr>
    </w:p>
    <w:p w:rsidR="004C0E3F" w:rsidRPr="003161B0" w:rsidRDefault="004C0E3F" w:rsidP="003C0DCA">
      <w:pPr>
        <w:pStyle w:val="ListParagraph"/>
        <w:ind w:left="0"/>
        <w:jc w:val="both"/>
      </w:pPr>
      <w:r w:rsidRPr="003161B0">
        <w:t>The PBAC noted that overall there were no statistically significant differences between any of the active treatment arms in mean change from baseline in number of tophi across the trials.</w:t>
      </w:r>
    </w:p>
    <w:p w:rsidR="004C0E3F" w:rsidRPr="003161B0" w:rsidRDefault="004C0E3F" w:rsidP="004C0E3F">
      <w:pPr>
        <w:pStyle w:val="ListParagraph"/>
        <w:ind w:left="709"/>
        <w:jc w:val="both"/>
      </w:pPr>
    </w:p>
    <w:p w:rsidR="006C4EC2" w:rsidRPr="007A750C" w:rsidRDefault="00F047AD" w:rsidP="007A750C">
      <w:pPr>
        <w:pStyle w:val="ListParagraph"/>
        <w:ind w:left="0"/>
        <w:jc w:val="both"/>
        <w:rPr>
          <w:szCs w:val="22"/>
        </w:rPr>
      </w:pPr>
      <w:r>
        <w:rPr>
          <w:szCs w:val="22"/>
        </w:rPr>
        <w:br w:type="page"/>
      </w:r>
      <w:r w:rsidR="006C4EC2" w:rsidRPr="007A750C">
        <w:rPr>
          <w:szCs w:val="22"/>
        </w:rPr>
        <w:lastRenderedPageBreak/>
        <w:t xml:space="preserve">The table below summarises the </w:t>
      </w:r>
      <w:r w:rsidR="006C4EC2" w:rsidRPr="007A750C">
        <w:rPr>
          <w:noProof/>
          <w:szCs w:val="22"/>
          <w:lang w:eastAsia="zh-CN"/>
        </w:rPr>
        <w:t>proportions of patients attaining serum uric acid (sUA) below 6mg/dl across the direct randomised trials.</w:t>
      </w:r>
    </w:p>
    <w:p w:rsidR="006C4EC2" w:rsidRDefault="006C4EC2" w:rsidP="006C4EC2">
      <w:pPr>
        <w:pStyle w:val="ListParagraph"/>
        <w:ind w:left="709"/>
        <w:jc w:val="both"/>
        <w:rPr>
          <w:rFonts w:ascii="Arial" w:hAnsi="Arial" w:cs="Arial"/>
          <w:sz w:val="22"/>
          <w:szCs w:val="22"/>
        </w:rPr>
      </w:pPr>
    </w:p>
    <w:p w:rsidR="006C4EC2" w:rsidRPr="00971C42" w:rsidRDefault="006C4EC2" w:rsidP="006C4EC2">
      <w:pPr>
        <w:widowControl w:val="0"/>
        <w:jc w:val="both"/>
        <w:rPr>
          <w:rFonts w:ascii="Arial" w:hAnsi="Arial"/>
          <w:b/>
          <w:snapToGrid w:val="0"/>
          <w:sz w:val="20"/>
          <w:szCs w:val="20"/>
          <w:lang w:eastAsia="en-US"/>
        </w:rPr>
      </w:pPr>
      <w:r w:rsidRPr="00971C42">
        <w:rPr>
          <w:rFonts w:ascii="Arial" w:hAnsi="Arial"/>
          <w:b/>
          <w:snapToGrid w:val="0"/>
          <w:sz w:val="20"/>
          <w:szCs w:val="20"/>
          <w:lang w:eastAsia="en-US"/>
        </w:rPr>
        <w:t>Results of proportion of patients attaining sUA&lt;6mg/dl across the direct randomised trials (only relevant treatment arms from the trials are shown)</w:t>
      </w:r>
    </w:p>
    <w:tbl>
      <w:tblPr>
        <w:tblW w:w="850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134"/>
        <w:gridCol w:w="737"/>
        <w:gridCol w:w="823"/>
        <w:gridCol w:w="708"/>
        <w:gridCol w:w="1559"/>
        <w:gridCol w:w="993"/>
        <w:gridCol w:w="1559"/>
        <w:gridCol w:w="992"/>
      </w:tblGrid>
      <w:tr w:rsidR="006C4EC2" w:rsidRPr="00971C42" w:rsidTr="006C4EC2">
        <w:trPr>
          <w:trHeight w:val="155"/>
        </w:trPr>
        <w:tc>
          <w:tcPr>
            <w:tcW w:w="1134" w:type="dxa"/>
            <w:vMerge w:val="restart"/>
            <w:vAlign w:val="center"/>
          </w:tcPr>
          <w:p w:rsidR="006C4EC2" w:rsidRPr="00971C42" w:rsidRDefault="006C4EC2" w:rsidP="006C4EC2">
            <w:pPr>
              <w:widowControl w:val="0"/>
              <w:jc w:val="both"/>
              <w:rPr>
                <w:rFonts w:ascii="Arial" w:hAnsi="Arial" w:cs="Arial"/>
                <w:b/>
                <w:snapToGrid w:val="0"/>
                <w:sz w:val="18"/>
                <w:szCs w:val="18"/>
                <w:lang w:eastAsia="en-US"/>
              </w:rPr>
            </w:pPr>
            <w:r w:rsidRPr="00971C42">
              <w:rPr>
                <w:rFonts w:ascii="Arial" w:hAnsi="Arial" w:cs="Arial"/>
                <w:b/>
                <w:snapToGrid w:val="0"/>
                <w:sz w:val="18"/>
                <w:szCs w:val="18"/>
                <w:lang w:eastAsia="en-US"/>
              </w:rPr>
              <w:t xml:space="preserve">Trials </w:t>
            </w:r>
          </w:p>
          <w:p w:rsidR="006C4EC2" w:rsidRPr="00971C42" w:rsidRDefault="006C4EC2" w:rsidP="006C4EC2">
            <w:pPr>
              <w:widowControl w:val="0"/>
              <w:jc w:val="both"/>
              <w:rPr>
                <w:rFonts w:ascii="Arial" w:hAnsi="Arial" w:cs="Arial"/>
                <w:b/>
                <w:snapToGrid w:val="0"/>
                <w:sz w:val="18"/>
                <w:szCs w:val="18"/>
                <w:lang w:eastAsia="en-US"/>
              </w:rPr>
            </w:pPr>
            <w:r w:rsidRPr="00971C42">
              <w:rPr>
                <w:rFonts w:ascii="Arial" w:hAnsi="Arial" w:cs="Arial"/>
                <w:b/>
                <w:snapToGrid w:val="0"/>
                <w:sz w:val="18"/>
                <w:szCs w:val="18"/>
                <w:lang w:eastAsia="en-US"/>
              </w:rPr>
              <w:t>(follow up duration)</w:t>
            </w:r>
          </w:p>
        </w:tc>
        <w:tc>
          <w:tcPr>
            <w:tcW w:w="737" w:type="dxa"/>
            <w:vMerge w:val="restart"/>
            <w:vAlign w:val="center"/>
          </w:tcPr>
          <w:p w:rsidR="006C4EC2" w:rsidRPr="00971C42" w:rsidRDefault="006C4EC2" w:rsidP="006C4EC2">
            <w:pPr>
              <w:widowControl w:val="0"/>
              <w:jc w:val="both"/>
              <w:rPr>
                <w:rFonts w:ascii="Arial" w:hAnsi="Arial" w:cs="Arial"/>
                <w:b/>
                <w:snapToGrid w:val="0"/>
                <w:sz w:val="18"/>
                <w:szCs w:val="18"/>
                <w:lang w:eastAsia="en-US"/>
              </w:rPr>
            </w:pPr>
            <w:r w:rsidRPr="00971C42">
              <w:rPr>
                <w:rFonts w:ascii="Arial" w:hAnsi="Arial" w:cs="Arial"/>
                <w:b/>
                <w:snapToGrid w:val="0"/>
                <w:sz w:val="18"/>
                <w:szCs w:val="18"/>
                <w:lang w:eastAsia="en-US"/>
              </w:rPr>
              <w:t>FBX</w:t>
            </w:r>
          </w:p>
          <w:p w:rsidR="006C4EC2" w:rsidRPr="00971C42" w:rsidRDefault="006C4EC2" w:rsidP="006C4EC2">
            <w:pPr>
              <w:widowControl w:val="0"/>
              <w:jc w:val="both"/>
              <w:rPr>
                <w:rFonts w:ascii="Arial" w:hAnsi="Arial" w:cs="Arial"/>
                <w:b/>
                <w:snapToGrid w:val="0"/>
                <w:sz w:val="18"/>
                <w:szCs w:val="18"/>
                <w:lang w:eastAsia="en-US"/>
              </w:rPr>
            </w:pPr>
            <w:r w:rsidRPr="00971C42">
              <w:rPr>
                <w:rFonts w:ascii="Arial" w:hAnsi="Arial" w:cs="Arial"/>
                <w:b/>
                <w:snapToGrid w:val="0"/>
                <w:sz w:val="18"/>
                <w:szCs w:val="18"/>
                <w:lang w:eastAsia="en-US"/>
              </w:rPr>
              <w:t>80</w:t>
            </w:r>
          </w:p>
          <w:p w:rsidR="006C4EC2" w:rsidRPr="00971C42" w:rsidRDefault="006C4EC2" w:rsidP="006C4EC2">
            <w:pPr>
              <w:widowControl w:val="0"/>
              <w:jc w:val="both"/>
              <w:rPr>
                <w:rFonts w:ascii="Arial" w:hAnsi="Arial" w:cs="Arial"/>
                <w:b/>
                <w:snapToGrid w:val="0"/>
                <w:sz w:val="18"/>
                <w:szCs w:val="18"/>
                <w:lang w:eastAsia="en-US"/>
              </w:rPr>
            </w:pPr>
            <w:proofErr w:type="gramStart"/>
            <w:r w:rsidRPr="00971C42">
              <w:rPr>
                <w:rFonts w:ascii="Arial" w:hAnsi="Arial" w:cs="Arial"/>
                <w:b/>
                <w:snapToGrid w:val="0"/>
                <w:sz w:val="18"/>
                <w:szCs w:val="18"/>
                <w:lang w:eastAsia="en-US"/>
              </w:rPr>
              <w:t>n/N</w:t>
            </w:r>
            <w:proofErr w:type="gramEnd"/>
            <w:r w:rsidRPr="00971C42">
              <w:rPr>
                <w:rFonts w:ascii="Arial" w:hAnsi="Arial" w:cs="Arial"/>
                <w:b/>
                <w:snapToGrid w:val="0"/>
                <w:sz w:val="18"/>
                <w:szCs w:val="18"/>
                <w:lang w:eastAsia="en-US"/>
              </w:rPr>
              <w:t xml:space="preserve"> (%)</w:t>
            </w:r>
          </w:p>
        </w:tc>
        <w:tc>
          <w:tcPr>
            <w:tcW w:w="823" w:type="dxa"/>
            <w:vMerge w:val="restart"/>
            <w:vAlign w:val="center"/>
          </w:tcPr>
          <w:p w:rsidR="006C4EC2" w:rsidRPr="00971C42" w:rsidRDefault="006C4EC2" w:rsidP="006C4EC2">
            <w:pPr>
              <w:widowControl w:val="0"/>
              <w:jc w:val="both"/>
              <w:rPr>
                <w:rFonts w:ascii="Arial" w:hAnsi="Arial" w:cs="Arial"/>
                <w:b/>
                <w:snapToGrid w:val="0"/>
                <w:sz w:val="18"/>
                <w:szCs w:val="18"/>
                <w:lang w:eastAsia="en-US"/>
              </w:rPr>
            </w:pPr>
            <w:r w:rsidRPr="00971C42">
              <w:rPr>
                <w:rFonts w:ascii="Arial" w:hAnsi="Arial" w:cs="Arial"/>
                <w:b/>
                <w:snapToGrid w:val="0"/>
                <w:sz w:val="18"/>
                <w:szCs w:val="18"/>
                <w:lang w:eastAsia="en-US"/>
              </w:rPr>
              <w:t>FBX</w:t>
            </w:r>
          </w:p>
          <w:p w:rsidR="006C4EC2" w:rsidRPr="00971C42" w:rsidRDefault="006C4EC2" w:rsidP="006C4EC2">
            <w:pPr>
              <w:widowControl w:val="0"/>
              <w:jc w:val="both"/>
              <w:rPr>
                <w:rFonts w:ascii="Arial" w:hAnsi="Arial" w:cs="Arial"/>
                <w:b/>
                <w:snapToGrid w:val="0"/>
                <w:sz w:val="18"/>
                <w:szCs w:val="18"/>
                <w:lang w:eastAsia="en-US"/>
              </w:rPr>
            </w:pPr>
            <w:r w:rsidRPr="00971C42">
              <w:rPr>
                <w:rFonts w:ascii="Arial" w:hAnsi="Arial" w:cs="Arial"/>
                <w:b/>
                <w:snapToGrid w:val="0"/>
                <w:sz w:val="18"/>
                <w:szCs w:val="18"/>
                <w:lang w:eastAsia="en-US"/>
              </w:rPr>
              <w:t>120</w:t>
            </w:r>
          </w:p>
          <w:p w:rsidR="006C4EC2" w:rsidRPr="00971C42" w:rsidRDefault="006C4EC2" w:rsidP="006C4EC2">
            <w:pPr>
              <w:widowControl w:val="0"/>
              <w:jc w:val="both"/>
              <w:rPr>
                <w:rFonts w:ascii="Arial" w:hAnsi="Arial" w:cs="Arial"/>
                <w:b/>
                <w:snapToGrid w:val="0"/>
                <w:sz w:val="18"/>
                <w:szCs w:val="18"/>
                <w:lang w:eastAsia="en-US"/>
              </w:rPr>
            </w:pPr>
            <w:proofErr w:type="gramStart"/>
            <w:r w:rsidRPr="00971C42">
              <w:rPr>
                <w:rFonts w:ascii="Arial" w:hAnsi="Arial" w:cs="Arial"/>
                <w:b/>
                <w:snapToGrid w:val="0"/>
                <w:sz w:val="18"/>
                <w:szCs w:val="18"/>
                <w:lang w:eastAsia="en-US"/>
              </w:rPr>
              <w:t>n</w:t>
            </w:r>
            <w:proofErr w:type="gramEnd"/>
            <w:r w:rsidRPr="00971C42">
              <w:rPr>
                <w:rFonts w:ascii="Arial" w:hAnsi="Arial" w:cs="Arial"/>
                <w:b/>
                <w:snapToGrid w:val="0"/>
                <w:sz w:val="18"/>
                <w:szCs w:val="18"/>
                <w:lang w:eastAsia="en-US"/>
              </w:rPr>
              <w:t xml:space="preserve"> /N (%)</w:t>
            </w:r>
          </w:p>
        </w:tc>
        <w:tc>
          <w:tcPr>
            <w:tcW w:w="708" w:type="dxa"/>
            <w:vMerge w:val="restart"/>
            <w:vAlign w:val="center"/>
          </w:tcPr>
          <w:p w:rsidR="006C4EC2" w:rsidRPr="00971C42" w:rsidRDefault="006C4EC2" w:rsidP="006C4EC2">
            <w:pPr>
              <w:widowControl w:val="0"/>
              <w:jc w:val="both"/>
              <w:rPr>
                <w:rFonts w:ascii="Arial" w:hAnsi="Arial" w:cs="Arial"/>
                <w:b/>
                <w:snapToGrid w:val="0"/>
                <w:sz w:val="18"/>
                <w:szCs w:val="18"/>
                <w:lang w:eastAsia="en-US"/>
              </w:rPr>
            </w:pPr>
            <w:r w:rsidRPr="00971C42">
              <w:rPr>
                <w:rFonts w:ascii="Arial" w:hAnsi="Arial" w:cs="Arial"/>
                <w:b/>
                <w:snapToGrid w:val="0"/>
                <w:sz w:val="18"/>
                <w:szCs w:val="18"/>
                <w:lang w:eastAsia="en-US"/>
              </w:rPr>
              <w:t>ALO</w:t>
            </w:r>
          </w:p>
          <w:p w:rsidR="006C4EC2" w:rsidRPr="00971C42" w:rsidRDefault="006C4EC2" w:rsidP="006C4EC2">
            <w:pPr>
              <w:widowControl w:val="0"/>
              <w:jc w:val="both"/>
              <w:rPr>
                <w:rFonts w:ascii="Arial" w:hAnsi="Arial" w:cs="Arial"/>
                <w:b/>
                <w:snapToGrid w:val="0"/>
                <w:sz w:val="18"/>
                <w:szCs w:val="18"/>
                <w:vertAlign w:val="superscript"/>
                <w:lang w:eastAsia="en-US"/>
              </w:rPr>
            </w:pPr>
            <w:r w:rsidRPr="00971C42">
              <w:rPr>
                <w:rFonts w:ascii="Arial" w:hAnsi="Arial" w:cs="Arial"/>
                <w:b/>
                <w:snapToGrid w:val="0"/>
                <w:sz w:val="18"/>
                <w:szCs w:val="18"/>
                <w:lang w:eastAsia="en-US"/>
              </w:rPr>
              <w:t>300</w:t>
            </w:r>
            <w:r w:rsidRPr="00971C42">
              <w:rPr>
                <w:rFonts w:ascii="Arial" w:hAnsi="Arial" w:cs="Arial"/>
                <w:b/>
                <w:snapToGrid w:val="0"/>
                <w:sz w:val="18"/>
                <w:szCs w:val="18"/>
                <w:vertAlign w:val="superscript"/>
                <w:lang w:eastAsia="en-US"/>
              </w:rPr>
              <w:t>+</w:t>
            </w:r>
          </w:p>
        </w:tc>
        <w:tc>
          <w:tcPr>
            <w:tcW w:w="2552" w:type="dxa"/>
            <w:gridSpan w:val="2"/>
            <w:shd w:val="clear" w:color="auto" w:fill="DBE5F1"/>
            <w:vAlign w:val="center"/>
          </w:tcPr>
          <w:p w:rsidR="006C4EC2" w:rsidRPr="00971C42" w:rsidRDefault="006C4EC2" w:rsidP="006C4EC2">
            <w:pPr>
              <w:widowControl w:val="0"/>
              <w:jc w:val="both"/>
              <w:rPr>
                <w:rFonts w:ascii="Arial" w:hAnsi="Arial" w:cs="Arial"/>
                <w:b/>
                <w:snapToGrid w:val="0"/>
                <w:sz w:val="18"/>
                <w:szCs w:val="18"/>
                <w:lang w:eastAsia="en-US"/>
              </w:rPr>
            </w:pPr>
            <w:r w:rsidRPr="00971C42">
              <w:rPr>
                <w:rFonts w:ascii="Arial" w:hAnsi="Arial" w:cs="Arial"/>
                <w:b/>
                <w:snapToGrid w:val="0"/>
                <w:sz w:val="18"/>
                <w:szCs w:val="18"/>
                <w:lang w:eastAsia="en-US"/>
              </w:rPr>
              <w:t>FBX 80 vs ALO 300+</w:t>
            </w:r>
          </w:p>
        </w:tc>
        <w:tc>
          <w:tcPr>
            <w:tcW w:w="2551" w:type="dxa"/>
            <w:gridSpan w:val="2"/>
            <w:shd w:val="clear" w:color="auto" w:fill="DBE5F1"/>
            <w:vAlign w:val="center"/>
          </w:tcPr>
          <w:p w:rsidR="006C4EC2" w:rsidRPr="00971C42" w:rsidRDefault="006C4EC2" w:rsidP="006C4EC2">
            <w:pPr>
              <w:widowControl w:val="0"/>
              <w:jc w:val="both"/>
              <w:rPr>
                <w:rFonts w:ascii="Arial" w:hAnsi="Arial" w:cs="Arial"/>
                <w:b/>
                <w:snapToGrid w:val="0"/>
                <w:sz w:val="18"/>
                <w:szCs w:val="18"/>
                <w:lang w:eastAsia="en-US"/>
              </w:rPr>
            </w:pPr>
            <w:r w:rsidRPr="00971C42">
              <w:rPr>
                <w:rFonts w:ascii="Arial" w:hAnsi="Arial" w:cs="Arial"/>
                <w:b/>
                <w:snapToGrid w:val="0"/>
                <w:sz w:val="18"/>
                <w:szCs w:val="18"/>
                <w:lang w:eastAsia="en-US"/>
              </w:rPr>
              <w:t>FBX 120 vs ALO 300+</w:t>
            </w:r>
          </w:p>
        </w:tc>
      </w:tr>
      <w:tr w:rsidR="006C4EC2" w:rsidRPr="00971C42" w:rsidTr="006C4EC2">
        <w:trPr>
          <w:trHeight w:val="371"/>
        </w:trPr>
        <w:tc>
          <w:tcPr>
            <w:tcW w:w="1134" w:type="dxa"/>
            <w:vMerge/>
            <w:vAlign w:val="center"/>
          </w:tcPr>
          <w:p w:rsidR="006C4EC2" w:rsidRPr="00971C42" w:rsidRDefault="006C4EC2" w:rsidP="006C4EC2">
            <w:pPr>
              <w:widowControl w:val="0"/>
              <w:jc w:val="both"/>
              <w:rPr>
                <w:rFonts w:ascii="Arial" w:hAnsi="Arial" w:cs="Arial"/>
                <w:b/>
                <w:snapToGrid w:val="0"/>
                <w:sz w:val="18"/>
                <w:szCs w:val="18"/>
                <w:lang w:eastAsia="en-US"/>
              </w:rPr>
            </w:pPr>
          </w:p>
        </w:tc>
        <w:tc>
          <w:tcPr>
            <w:tcW w:w="737" w:type="dxa"/>
            <w:vMerge/>
            <w:vAlign w:val="center"/>
          </w:tcPr>
          <w:p w:rsidR="006C4EC2" w:rsidRPr="00971C42" w:rsidRDefault="006C4EC2" w:rsidP="006C4EC2">
            <w:pPr>
              <w:widowControl w:val="0"/>
              <w:jc w:val="both"/>
              <w:rPr>
                <w:rFonts w:ascii="Arial" w:hAnsi="Arial" w:cs="Arial"/>
                <w:b/>
                <w:snapToGrid w:val="0"/>
                <w:sz w:val="18"/>
                <w:szCs w:val="18"/>
                <w:lang w:eastAsia="en-US"/>
              </w:rPr>
            </w:pPr>
          </w:p>
        </w:tc>
        <w:tc>
          <w:tcPr>
            <w:tcW w:w="823" w:type="dxa"/>
            <w:vMerge/>
            <w:vAlign w:val="center"/>
          </w:tcPr>
          <w:p w:rsidR="006C4EC2" w:rsidRPr="00971C42" w:rsidRDefault="006C4EC2" w:rsidP="006C4EC2">
            <w:pPr>
              <w:widowControl w:val="0"/>
              <w:jc w:val="both"/>
              <w:rPr>
                <w:rFonts w:ascii="Arial" w:hAnsi="Arial" w:cs="Arial"/>
                <w:b/>
                <w:snapToGrid w:val="0"/>
                <w:sz w:val="18"/>
                <w:szCs w:val="18"/>
                <w:lang w:eastAsia="en-US"/>
              </w:rPr>
            </w:pPr>
          </w:p>
        </w:tc>
        <w:tc>
          <w:tcPr>
            <w:tcW w:w="708" w:type="dxa"/>
            <w:vMerge/>
            <w:vAlign w:val="center"/>
          </w:tcPr>
          <w:p w:rsidR="006C4EC2" w:rsidRPr="00971C42" w:rsidRDefault="006C4EC2" w:rsidP="006C4EC2">
            <w:pPr>
              <w:widowControl w:val="0"/>
              <w:jc w:val="both"/>
              <w:rPr>
                <w:rFonts w:ascii="Arial" w:hAnsi="Arial" w:cs="Arial"/>
                <w:b/>
                <w:snapToGrid w:val="0"/>
                <w:sz w:val="18"/>
                <w:szCs w:val="18"/>
                <w:lang w:eastAsia="en-US"/>
              </w:rPr>
            </w:pPr>
          </w:p>
        </w:tc>
        <w:tc>
          <w:tcPr>
            <w:tcW w:w="1559" w:type="dxa"/>
            <w:shd w:val="clear" w:color="auto" w:fill="DBE5F1"/>
            <w:vAlign w:val="center"/>
          </w:tcPr>
          <w:p w:rsidR="006C4EC2" w:rsidRPr="00971C42" w:rsidRDefault="006C4EC2" w:rsidP="006C4EC2">
            <w:pPr>
              <w:widowControl w:val="0"/>
              <w:jc w:val="both"/>
              <w:rPr>
                <w:rFonts w:ascii="Arial" w:hAnsi="Arial" w:cs="Arial"/>
                <w:b/>
                <w:snapToGrid w:val="0"/>
                <w:sz w:val="18"/>
                <w:szCs w:val="18"/>
                <w:lang w:eastAsia="en-US"/>
              </w:rPr>
            </w:pPr>
            <w:r w:rsidRPr="00971C42">
              <w:rPr>
                <w:rFonts w:ascii="Arial" w:hAnsi="Arial" w:cs="Arial"/>
                <w:b/>
                <w:snapToGrid w:val="0"/>
                <w:sz w:val="18"/>
                <w:szCs w:val="18"/>
                <w:lang w:eastAsia="en-US"/>
              </w:rPr>
              <w:t>RD (95%CI)</w:t>
            </w:r>
          </w:p>
          <w:p w:rsidR="006C4EC2" w:rsidRPr="00971C42" w:rsidRDefault="006C4EC2" w:rsidP="006C4EC2">
            <w:pPr>
              <w:widowControl w:val="0"/>
              <w:jc w:val="both"/>
              <w:rPr>
                <w:rFonts w:ascii="Arial" w:hAnsi="Arial" w:cs="Arial"/>
                <w:b/>
                <w:snapToGrid w:val="0"/>
                <w:sz w:val="18"/>
                <w:szCs w:val="18"/>
                <w:vertAlign w:val="superscript"/>
                <w:lang w:eastAsia="en-US"/>
              </w:rPr>
            </w:pPr>
            <w:r w:rsidRPr="00971C42">
              <w:rPr>
                <w:rFonts w:ascii="Arial" w:hAnsi="Arial" w:cs="Arial"/>
                <w:b/>
                <w:snapToGrid w:val="0"/>
                <w:sz w:val="18"/>
                <w:szCs w:val="18"/>
                <w:lang w:eastAsia="en-US"/>
              </w:rPr>
              <w:t>NNT[95%CI]</w:t>
            </w:r>
            <w:r w:rsidRPr="00971C42">
              <w:rPr>
                <w:rFonts w:ascii="Arial" w:hAnsi="Arial" w:cs="Arial"/>
                <w:b/>
                <w:snapToGrid w:val="0"/>
                <w:sz w:val="18"/>
                <w:szCs w:val="18"/>
                <w:vertAlign w:val="superscript"/>
                <w:lang w:eastAsia="en-US"/>
              </w:rPr>
              <w:t>$</w:t>
            </w:r>
          </w:p>
        </w:tc>
        <w:tc>
          <w:tcPr>
            <w:tcW w:w="993" w:type="dxa"/>
            <w:shd w:val="clear" w:color="auto" w:fill="DBE5F1"/>
            <w:vAlign w:val="center"/>
          </w:tcPr>
          <w:p w:rsidR="006C4EC2" w:rsidRPr="00971C42" w:rsidRDefault="006C4EC2" w:rsidP="006C4EC2">
            <w:pPr>
              <w:widowControl w:val="0"/>
              <w:jc w:val="both"/>
              <w:rPr>
                <w:rFonts w:ascii="Arial" w:hAnsi="Arial" w:cs="Arial"/>
                <w:b/>
                <w:i/>
                <w:snapToGrid w:val="0"/>
                <w:sz w:val="18"/>
                <w:szCs w:val="18"/>
                <w:lang w:eastAsia="en-US"/>
              </w:rPr>
            </w:pPr>
            <w:r w:rsidRPr="00971C42">
              <w:rPr>
                <w:rFonts w:ascii="Arial" w:hAnsi="Arial" w:cs="Arial"/>
                <w:b/>
                <w:i/>
                <w:snapToGrid w:val="0"/>
                <w:sz w:val="18"/>
                <w:szCs w:val="18"/>
                <w:lang w:eastAsia="en-US"/>
              </w:rPr>
              <w:t>RR</w:t>
            </w:r>
          </w:p>
          <w:p w:rsidR="006C4EC2" w:rsidRPr="00971C42" w:rsidRDefault="006C4EC2" w:rsidP="006C4EC2">
            <w:pPr>
              <w:widowControl w:val="0"/>
              <w:jc w:val="both"/>
              <w:rPr>
                <w:rFonts w:ascii="Arial" w:hAnsi="Arial" w:cs="Arial"/>
                <w:b/>
                <w:i/>
                <w:snapToGrid w:val="0"/>
                <w:sz w:val="18"/>
                <w:szCs w:val="18"/>
                <w:lang w:eastAsia="en-US"/>
              </w:rPr>
            </w:pPr>
            <w:r w:rsidRPr="00971C42">
              <w:rPr>
                <w:rFonts w:ascii="Arial" w:hAnsi="Arial" w:cs="Arial"/>
                <w:b/>
                <w:i/>
                <w:snapToGrid w:val="0"/>
                <w:sz w:val="18"/>
                <w:szCs w:val="18"/>
                <w:lang w:eastAsia="en-US"/>
              </w:rPr>
              <w:t>(95%CI)</w:t>
            </w:r>
          </w:p>
        </w:tc>
        <w:tc>
          <w:tcPr>
            <w:tcW w:w="1559" w:type="dxa"/>
            <w:shd w:val="clear" w:color="auto" w:fill="DBE5F1"/>
            <w:vAlign w:val="center"/>
          </w:tcPr>
          <w:p w:rsidR="006C4EC2" w:rsidRPr="00971C42" w:rsidRDefault="006C4EC2" w:rsidP="006C4EC2">
            <w:pPr>
              <w:widowControl w:val="0"/>
              <w:jc w:val="both"/>
              <w:rPr>
                <w:rFonts w:ascii="Arial" w:hAnsi="Arial" w:cs="Arial"/>
                <w:b/>
                <w:snapToGrid w:val="0"/>
                <w:sz w:val="18"/>
                <w:szCs w:val="18"/>
                <w:lang w:eastAsia="en-US"/>
              </w:rPr>
            </w:pPr>
            <w:r w:rsidRPr="00971C42">
              <w:rPr>
                <w:rFonts w:ascii="Arial" w:hAnsi="Arial" w:cs="Arial"/>
                <w:b/>
                <w:snapToGrid w:val="0"/>
                <w:sz w:val="18"/>
                <w:szCs w:val="18"/>
                <w:lang w:eastAsia="en-US"/>
              </w:rPr>
              <w:t>RD (95%CI)</w:t>
            </w:r>
          </w:p>
          <w:p w:rsidR="006C4EC2" w:rsidRPr="00971C42" w:rsidRDefault="006C4EC2" w:rsidP="006C4EC2">
            <w:pPr>
              <w:widowControl w:val="0"/>
              <w:jc w:val="both"/>
              <w:rPr>
                <w:rFonts w:ascii="Arial" w:hAnsi="Arial" w:cs="Arial"/>
                <w:b/>
                <w:snapToGrid w:val="0"/>
                <w:sz w:val="18"/>
                <w:szCs w:val="18"/>
                <w:vertAlign w:val="superscript"/>
                <w:lang w:eastAsia="en-US"/>
              </w:rPr>
            </w:pPr>
            <w:r w:rsidRPr="00971C42">
              <w:rPr>
                <w:rFonts w:ascii="Arial" w:hAnsi="Arial" w:cs="Arial"/>
                <w:b/>
                <w:snapToGrid w:val="0"/>
                <w:sz w:val="18"/>
                <w:szCs w:val="18"/>
                <w:lang w:eastAsia="en-US"/>
              </w:rPr>
              <w:t>NNT [95%CI]</w:t>
            </w:r>
            <w:r w:rsidRPr="00971C42">
              <w:rPr>
                <w:rFonts w:ascii="Arial" w:hAnsi="Arial" w:cs="Arial"/>
                <w:b/>
                <w:snapToGrid w:val="0"/>
                <w:sz w:val="18"/>
                <w:szCs w:val="18"/>
                <w:vertAlign w:val="superscript"/>
                <w:lang w:eastAsia="en-US"/>
              </w:rPr>
              <w:t>$</w:t>
            </w:r>
          </w:p>
        </w:tc>
        <w:tc>
          <w:tcPr>
            <w:tcW w:w="992" w:type="dxa"/>
            <w:shd w:val="clear" w:color="auto" w:fill="DBE5F1"/>
            <w:vAlign w:val="center"/>
          </w:tcPr>
          <w:p w:rsidR="006C4EC2" w:rsidRPr="00971C42" w:rsidRDefault="006C4EC2" w:rsidP="006C4EC2">
            <w:pPr>
              <w:widowControl w:val="0"/>
              <w:jc w:val="both"/>
              <w:rPr>
                <w:rFonts w:ascii="Arial" w:hAnsi="Arial" w:cs="Arial"/>
                <w:b/>
                <w:i/>
                <w:snapToGrid w:val="0"/>
                <w:sz w:val="18"/>
                <w:szCs w:val="18"/>
                <w:lang w:eastAsia="en-US"/>
              </w:rPr>
            </w:pPr>
            <w:r w:rsidRPr="00971C42">
              <w:rPr>
                <w:rFonts w:ascii="Arial" w:hAnsi="Arial" w:cs="Arial"/>
                <w:b/>
                <w:i/>
                <w:snapToGrid w:val="0"/>
                <w:sz w:val="18"/>
                <w:szCs w:val="18"/>
                <w:lang w:eastAsia="en-US"/>
              </w:rPr>
              <w:t xml:space="preserve">RR </w:t>
            </w:r>
          </w:p>
          <w:p w:rsidR="006C4EC2" w:rsidRPr="00971C42" w:rsidRDefault="006C4EC2" w:rsidP="006C4EC2">
            <w:pPr>
              <w:widowControl w:val="0"/>
              <w:jc w:val="both"/>
              <w:rPr>
                <w:rFonts w:ascii="Arial" w:hAnsi="Arial" w:cs="Arial"/>
                <w:b/>
                <w:i/>
                <w:snapToGrid w:val="0"/>
                <w:sz w:val="18"/>
                <w:szCs w:val="18"/>
                <w:lang w:eastAsia="en-US"/>
              </w:rPr>
            </w:pPr>
            <w:r w:rsidRPr="00971C42">
              <w:rPr>
                <w:rFonts w:ascii="Arial" w:hAnsi="Arial" w:cs="Arial"/>
                <w:b/>
                <w:i/>
                <w:snapToGrid w:val="0"/>
                <w:sz w:val="18"/>
                <w:szCs w:val="18"/>
                <w:lang w:eastAsia="en-US"/>
              </w:rPr>
              <w:t>(95%CI)</w:t>
            </w:r>
          </w:p>
        </w:tc>
      </w:tr>
      <w:tr w:rsidR="006C4EC2" w:rsidRPr="00971C42" w:rsidTr="006C4EC2">
        <w:trPr>
          <w:trHeight w:val="101"/>
        </w:trPr>
        <w:tc>
          <w:tcPr>
            <w:tcW w:w="8505" w:type="dxa"/>
            <w:gridSpan w:val="8"/>
            <w:vAlign w:val="center"/>
          </w:tcPr>
          <w:p w:rsidR="006C4EC2" w:rsidRPr="00971C42" w:rsidRDefault="006C4EC2" w:rsidP="006C4EC2">
            <w:pPr>
              <w:widowControl w:val="0"/>
              <w:jc w:val="both"/>
              <w:rPr>
                <w:rFonts w:ascii="Arial" w:hAnsi="Arial" w:cs="Arial"/>
                <w:b/>
                <w:i/>
                <w:snapToGrid w:val="0"/>
                <w:sz w:val="18"/>
                <w:szCs w:val="18"/>
                <w:lang w:eastAsia="en-US"/>
              </w:rPr>
            </w:pPr>
            <w:r w:rsidRPr="00971C42">
              <w:rPr>
                <w:rFonts w:ascii="Arial" w:hAnsi="Arial" w:cs="Arial"/>
                <w:b/>
                <w:snapToGrid w:val="0"/>
                <w:sz w:val="18"/>
                <w:szCs w:val="18"/>
                <w:lang w:eastAsia="en-US"/>
              </w:rPr>
              <w:t>Last 3 visits</w:t>
            </w:r>
          </w:p>
        </w:tc>
      </w:tr>
      <w:tr w:rsidR="006C4EC2" w:rsidRPr="00971C42" w:rsidTr="006C4EC2">
        <w:tc>
          <w:tcPr>
            <w:tcW w:w="1134" w:type="dxa"/>
            <w:vAlign w:val="center"/>
          </w:tcPr>
          <w:p w:rsidR="006C4EC2" w:rsidRPr="00971C42" w:rsidRDefault="006C4EC2" w:rsidP="006C4EC2">
            <w:pPr>
              <w:widowControl w:val="0"/>
              <w:jc w:val="both"/>
              <w:rPr>
                <w:rFonts w:ascii="Arial" w:hAnsi="Arial" w:cs="Arial"/>
                <w:snapToGrid w:val="0"/>
                <w:sz w:val="18"/>
                <w:szCs w:val="18"/>
                <w:lang w:eastAsia="en-US"/>
              </w:rPr>
            </w:pPr>
            <w:r w:rsidRPr="00971C42">
              <w:rPr>
                <w:rFonts w:ascii="Arial" w:hAnsi="Arial" w:cs="Arial"/>
                <w:snapToGrid w:val="0"/>
                <w:sz w:val="18"/>
                <w:szCs w:val="18"/>
                <w:lang w:eastAsia="en-US"/>
              </w:rPr>
              <w:t>APEX^</w:t>
            </w:r>
          </w:p>
        </w:tc>
        <w:tc>
          <w:tcPr>
            <w:tcW w:w="737" w:type="dxa"/>
            <w:vAlign w:val="center"/>
          </w:tcPr>
          <w:p w:rsidR="006C4EC2" w:rsidRPr="00971C42" w:rsidRDefault="006C4EC2" w:rsidP="006C4EC2">
            <w:pPr>
              <w:widowControl w:val="0"/>
              <w:jc w:val="both"/>
              <w:rPr>
                <w:rFonts w:ascii="Arial" w:hAnsi="Arial" w:cs="Arial"/>
                <w:snapToGrid w:val="0"/>
                <w:sz w:val="18"/>
                <w:szCs w:val="18"/>
                <w:lang w:eastAsia="en-US"/>
              </w:rPr>
            </w:pPr>
            <w:r w:rsidRPr="00971C42">
              <w:rPr>
                <w:rFonts w:ascii="Arial" w:hAnsi="Arial" w:cs="Arial"/>
                <w:snapToGrid w:val="0"/>
                <w:sz w:val="18"/>
                <w:szCs w:val="18"/>
                <w:lang w:eastAsia="en-US"/>
              </w:rPr>
              <w:t>126/262 (48%)</w:t>
            </w:r>
          </w:p>
        </w:tc>
        <w:tc>
          <w:tcPr>
            <w:tcW w:w="823" w:type="dxa"/>
            <w:vAlign w:val="center"/>
          </w:tcPr>
          <w:p w:rsidR="006C4EC2" w:rsidRPr="00971C42" w:rsidRDefault="006C4EC2" w:rsidP="006C4EC2">
            <w:pPr>
              <w:widowControl w:val="0"/>
              <w:jc w:val="both"/>
              <w:rPr>
                <w:rFonts w:ascii="Arial" w:hAnsi="Arial" w:cs="Arial"/>
                <w:snapToGrid w:val="0"/>
                <w:sz w:val="18"/>
                <w:szCs w:val="18"/>
                <w:lang w:eastAsia="en-US"/>
              </w:rPr>
            </w:pPr>
            <w:r w:rsidRPr="00971C42">
              <w:rPr>
                <w:rFonts w:ascii="Arial" w:hAnsi="Arial" w:cs="Arial"/>
                <w:snapToGrid w:val="0"/>
                <w:sz w:val="18"/>
                <w:szCs w:val="18"/>
                <w:lang w:eastAsia="en-US"/>
              </w:rPr>
              <w:t>175/269 (65%)</w:t>
            </w:r>
          </w:p>
        </w:tc>
        <w:tc>
          <w:tcPr>
            <w:tcW w:w="708" w:type="dxa"/>
            <w:vAlign w:val="center"/>
          </w:tcPr>
          <w:p w:rsidR="006C4EC2" w:rsidRPr="00971C42" w:rsidRDefault="006C4EC2" w:rsidP="006C4EC2">
            <w:pPr>
              <w:widowControl w:val="0"/>
              <w:jc w:val="both"/>
              <w:rPr>
                <w:rFonts w:ascii="Arial" w:hAnsi="Arial" w:cs="Arial"/>
                <w:snapToGrid w:val="0"/>
                <w:sz w:val="18"/>
                <w:szCs w:val="18"/>
                <w:lang w:eastAsia="en-US"/>
              </w:rPr>
            </w:pPr>
            <w:r w:rsidRPr="00971C42">
              <w:rPr>
                <w:rFonts w:ascii="Arial" w:hAnsi="Arial" w:cs="Arial"/>
                <w:snapToGrid w:val="0"/>
                <w:sz w:val="18"/>
                <w:szCs w:val="18"/>
                <w:lang w:eastAsia="en-US"/>
              </w:rPr>
              <w:t>60/268 (22%)</w:t>
            </w:r>
          </w:p>
        </w:tc>
        <w:tc>
          <w:tcPr>
            <w:tcW w:w="1559" w:type="dxa"/>
            <w:shd w:val="clear" w:color="auto" w:fill="DBE5F1"/>
            <w:vAlign w:val="center"/>
          </w:tcPr>
          <w:p w:rsidR="006C4EC2" w:rsidRPr="00971C42" w:rsidRDefault="006C4EC2" w:rsidP="006C4EC2">
            <w:pPr>
              <w:widowControl w:val="0"/>
              <w:jc w:val="both"/>
              <w:rPr>
                <w:rFonts w:ascii="Arial" w:hAnsi="Arial" w:cs="Arial"/>
                <w:b/>
                <w:snapToGrid w:val="0"/>
                <w:sz w:val="18"/>
                <w:szCs w:val="18"/>
                <w:lang w:eastAsia="en-US"/>
              </w:rPr>
            </w:pPr>
            <w:r w:rsidRPr="00971C42">
              <w:rPr>
                <w:rFonts w:ascii="Arial" w:hAnsi="Arial" w:cs="Arial"/>
                <w:b/>
                <w:snapToGrid w:val="0"/>
                <w:sz w:val="18"/>
                <w:szCs w:val="18"/>
                <w:lang w:eastAsia="en-US"/>
              </w:rPr>
              <w:t>26% (17%, 35%)*</w:t>
            </w:r>
          </w:p>
          <w:p w:rsidR="006C4EC2" w:rsidRPr="00971C42" w:rsidRDefault="006C4EC2" w:rsidP="006C4EC2">
            <w:pPr>
              <w:widowControl w:val="0"/>
              <w:jc w:val="both"/>
              <w:rPr>
                <w:rFonts w:ascii="Arial" w:hAnsi="Arial" w:cs="Arial"/>
                <w:b/>
                <w:snapToGrid w:val="0"/>
                <w:sz w:val="18"/>
                <w:szCs w:val="18"/>
                <w:lang w:eastAsia="en-US"/>
              </w:rPr>
            </w:pPr>
            <w:r w:rsidRPr="00971C42">
              <w:rPr>
                <w:rFonts w:ascii="Arial" w:hAnsi="Arial" w:cs="Arial"/>
                <w:b/>
                <w:snapToGrid w:val="0"/>
                <w:sz w:val="18"/>
                <w:szCs w:val="18"/>
                <w:lang w:eastAsia="en-US"/>
              </w:rPr>
              <w:t>4[3, 6]</w:t>
            </w:r>
          </w:p>
        </w:tc>
        <w:tc>
          <w:tcPr>
            <w:tcW w:w="993" w:type="dxa"/>
            <w:shd w:val="clear" w:color="auto" w:fill="DBE5F1"/>
            <w:vAlign w:val="center"/>
          </w:tcPr>
          <w:p w:rsidR="006C4EC2" w:rsidRPr="00971C42" w:rsidRDefault="006C4EC2" w:rsidP="006C4EC2">
            <w:pPr>
              <w:widowControl w:val="0"/>
              <w:jc w:val="both"/>
              <w:rPr>
                <w:rFonts w:ascii="Arial" w:hAnsi="Arial" w:cs="Arial"/>
                <w:b/>
                <w:i/>
                <w:snapToGrid w:val="0"/>
                <w:sz w:val="18"/>
                <w:szCs w:val="18"/>
                <w:lang w:eastAsia="en-US"/>
              </w:rPr>
            </w:pPr>
            <w:r w:rsidRPr="00971C42">
              <w:rPr>
                <w:rFonts w:ascii="Arial" w:hAnsi="Arial" w:cs="Arial"/>
                <w:b/>
                <w:i/>
                <w:snapToGrid w:val="0"/>
                <w:sz w:val="18"/>
                <w:szCs w:val="18"/>
                <w:lang w:eastAsia="en-US"/>
              </w:rPr>
              <w:t>2.15</w:t>
            </w:r>
          </w:p>
          <w:p w:rsidR="006C4EC2" w:rsidRPr="00971C42" w:rsidRDefault="006C4EC2" w:rsidP="006C4EC2">
            <w:pPr>
              <w:widowControl w:val="0"/>
              <w:jc w:val="both"/>
              <w:rPr>
                <w:rFonts w:ascii="Arial" w:hAnsi="Arial" w:cs="Arial"/>
                <w:b/>
                <w:i/>
                <w:snapToGrid w:val="0"/>
                <w:sz w:val="18"/>
                <w:szCs w:val="18"/>
                <w:lang w:eastAsia="en-US"/>
              </w:rPr>
            </w:pPr>
            <w:r w:rsidRPr="00971C42">
              <w:rPr>
                <w:rFonts w:ascii="Arial" w:hAnsi="Arial" w:cs="Arial"/>
                <w:b/>
                <w:i/>
                <w:snapToGrid w:val="0"/>
                <w:sz w:val="18"/>
                <w:szCs w:val="18"/>
                <w:lang w:eastAsia="en-US"/>
              </w:rPr>
              <w:t>(1.67, 2.78)</w:t>
            </w:r>
          </w:p>
        </w:tc>
        <w:tc>
          <w:tcPr>
            <w:tcW w:w="1559" w:type="dxa"/>
            <w:shd w:val="clear" w:color="auto" w:fill="DBE5F1"/>
            <w:vAlign w:val="center"/>
          </w:tcPr>
          <w:p w:rsidR="006C4EC2" w:rsidRPr="00971C42" w:rsidRDefault="006C4EC2" w:rsidP="006C4EC2">
            <w:pPr>
              <w:widowControl w:val="0"/>
              <w:jc w:val="both"/>
              <w:rPr>
                <w:rFonts w:ascii="Arial" w:hAnsi="Arial" w:cs="Arial"/>
                <w:b/>
                <w:snapToGrid w:val="0"/>
                <w:sz w:val="18"/>
                <w:szCs w:val="18"/>
                <w:lang w:eastAsia="en-US"/>
              </w:rPr>
            </w:pPr>
            <w:r w:rsidRPr="00971C42">
              <w:rPr>
                <w:rFonts w:ascii="Arial" w:hAnsi="Arial" w:cs="Arial"/>
                <w:b/>
                <w:snapToGrid w:val="0"/>
                <w:sz w:val="18"/>
                <w:szCs w:val="18"/>
                <w:lang w:eastAsia="en-US"/>
              </w:rPr>
              <w:t>43% (34%, 51.3%)</w:t>
            </w:r>
          </w:p>
          <w:p w:rsidR="006C4EC2" w:rsidRPr="00971C42" w:rsidRDefault="006C4EC2" w:rsidP="006C4EC2">
            <w:pPr>
              <w:widowControl w:val="0"/>
              <w:jc w:val="both"/>
              <w:rPr>
                <w:rFonts w:ascii="Arial" w:hAnsi="Arial" w:cs="Arial"/>
                <w:b/>
                <w:snapToGrid w:val="0"/>
                <w:sz w:val="18"/>
                <w:szCs w:val="18"/>
                <w:lang w:eastAsia="en-US"/>
              </w:rPr>
            </w:pPr>
            <w:r w:rsidRPr="00971C42">
              <w:rPr>
                <w:rFonts w:ascii="Arial" w:hAnsi="Arial" w:cs="Arial"/>
                <w:b/>
                <w:snapToGrid w:val="0"/>
                <w:sz w:val="18"/>
                <w:szCs w:val="18"/>
                <w:lang w:eastAsia="en-US"/>
              </w:rPr>
              <w:t>2 [2,3]</w:t>
            </w:r>
          </w:p>
        </w:tc>
        <w:tc>
          <w:tcPr>
            <w:tcW w:w="992" w:type="dxa"/>
            <w:shd w:val="clear" w:color="auto" w:fill="DBE5F1"/>
            <w:vAlign w:val="center"/>
          </w:tcPr>
          <w:p w:rsidR="006C4EC2" w:rsidRPr="00971C42" w:rsidRDefault="006C4EC2" w:rsidP="006C4EC2">
            <w:pPr>
              <w:widowControl w:val="0"/>
              <w:jc w:val="both"/>
              <w:rPr>
                <w:rFonts w:ascii="Arial" w:hAnsi="Arial" w:cs="Arial"/>
                <w:b/>
                <w:i/>
                <w:snapToGrid w:val="0"/>
                <w:sz w:val="18"/>
                <w:szCs w:val="18"/>
                <w:lang w:eastAsia="en-US"/>
              </w:rPr>
            </w:pPr>
            <w:r w:rsidRPr="00971C42">
              <w:rPr>
                <w:rFonts w:ascii="Arial" w:hAnsi="Arial" w:cs="Arial"/>
                <w:b/>
                <w:i/>
                <w:snapToGrid w:val="0"/>
                <w:sz w:val="18"/>
                <w:szCs w:val="18"/>
                <w:lang w:eastAsia="en-US"/>
              </w:rPr>
              <w:t>2.91</w:t>
            </w:r>
          </w:p>
          <w:p w:rsidR="006C4EC2" w:rsidRPr="00971C42" w:rsidRDefault="006C4EC2" w:rsidP="006C4EC2">
            <w:pPr>
              <w:widowControl w:val="0"/>
              <w:jc w:val="both"/>
              <w:rPr>
                <w:rFonts w:ascii="Arial" w:hAnsi="Arial" w:cs="Arial"/>
                <w:b/>
                <w:i/>
                <w:snapToGrid w:val="0"/>
                <w:sz w:val="18"/>
                <w:szCs w:val="18"/>
                <w:lang w:eastAsia="en-US"/>
              </w:rPr>
            </w:pPr>
            <w:r w:rsidRPr="00971C42">
              <w:rPr>
                <w:rFonts w:ascii="Arial" w:hAnsi="Arial" w:cs="Arial"/>
                <w:b/>
                <w:i/>
                <w:snapToGrid w:val="0"/>
                <w:sz w:val="18"/>
                <w:szCs w:val="18"/>
                <w:lang w:eastAsia="en-US"/>
              </w:rPr>
              <w:t>(2.30, 3.71)</w:t>
            </w:r>
          </w:p>
        </w:tc>
      </w:tr>
      <w:tr w:rsidR="006C4EC2" w:rsidRPr="00971C42" w:rsidTr="006C4EC2">
        <w:tc>
          <w:tcPr>
            <w:tcW w:w="1134" w:type="dxa"/>
            <w:vAlign w:val="center"/>
          </w:tcPr>
          <w:p w:rsidR="006C4EC2" w:rsidRPr="00971C42" w:rsidRDefault="006C4EC2" w:rsidP="006C4EC2">
            <w:pPr>
              <w:widowControl w:val="0"/>
              <w:jc w:val="both"/>
              <w:rPr>
                <w:rFonts w:ascii="Arial" w:hAnsi="Arial" w:cs="Arial"/>
                <w:snapToGrid w:val="0"/>
                <w:sz w:val="18"/>
                <w:szCs w:val="18"/>
                <w:lang w:eastAsia="en-US"/>
              </w:rPr>
            </w:pPr>
            <w:r w:rsidRPr="00971C42">
              <w:rPr>
                <w:rFonts w:ascii="Arial" w:hAnsi="Arial" w:cs="Arial"/>
                <w:snapToGrid w:val="0"/>
                <w:sz w:val="18"/>
                <w:szCs w:val="18"/>
                <w:lang w:eastAsia="en-US"/>
              </w:rPr>
              <w:t>FACT^</w:t>
            </w:r>
          </w:p>
        </w:tc>
        <w:tc>
          <w:tcPr>
            <w:tcW w:w="737" w:type="dxa"/>
            <w:vAlign w:val="center"/>
          </w:tcPr>
          <w:p w:rsidR="006C4EC2" w:rsidRPr="00971C42" w:rsidRDefault="006C4EC2" w:rsidP="006C4EC2">
            <w:pPr>
              <w:widowControl w:val="0"/>
              <w:jc w:val="both"/>
              <w:rPr>
                <w:rFonts w:ascii="Arial" w:hAnsi="Arial" w:cs="Arial"/>
                <w:snapToGrid w:val="0"/>
                <w:sz w:val="18"/>
                <w:szCs w:val="18"/>
                <w:lang w:eastAsia="en-US"/>
              </w:rPr>
            </w:pPr>
            <w:r w:rsidRPr="00971C42">
              <w:rPr>
                <w:rFonts w:ascii="Arial" w:hAnsi="Arial" w:cs="Arial"/>
                <w:snapToGrid w:val="0"/>
                <w:sz w:val="18"/>
                <w:szCs w:val="18"/>
                <w:lang w:eastAsia="en-US"/>
              </w:rPr>
              <w:t>136/255 (53%)</w:t>
            </w:r>
          </w:p>
        </w:tc>
        <w:tc>
          <w:tcPr>
            <w:tcW w:w="823" w:type="dxa"/>
            <w:vAlign w:val="center"/>
          </w:tcPr>
          <w:p w:rsidR="006C4EC2" w:rsidRPr="00971C42" w:rsidRDefault="006C4EC2" w:rsidP="006C4EC2">
            <w:pPr>
              <w:widowControl w:val="0"/>
              <w:jc w:val="both"/>
              <w:rPr>
                <w:rFonts w:ascii="Arial" w:hAnsi="Arial" w:cs="Arial"/>
                <w:snapToGrid w:val="0"/>
                <w:sz w:val="18"/>
                <w:szCs w:val="18"/>
                <w:lang w:eastAsia="en-US"/>
              </w:rPr>
            </w:pPr>
            <w:r w:rsidRPr="00971C42">
              <w:rPr>
                <w:rFonts w:ascii="Arial" w:hAnsi="Arial" w:cs="Arial"/>
                <w:snapToGrid w:val="0"/>
                <w:sz w:val="18"/>
                <w:szCs w:val="18"/>
                <w:lang w:eastAsia="en-US"/>
              </w:rPr>
              <w:t>154/250 (62%)</w:t>
            </w:r>
          </w:p>
        </w:tc>
        <w:tc>
          <w:tcPr>
            <w:tcW w:w="708" w:type="dxa"/>
            <w:vAlign w:val="center"/>
          </w:tcPr>
          <w:p w:rsidR="006C4EC2" w:rsidRPr="00971C42" w:rsidRDefault="006C4EC2" w:rsidP="006C4EC2">
            <w:pPr>
              <w:widowControl w:val="0"/>
              <w:jc w:val="both"/>
              <w:rPr>
                <w:rFonts w:ascii="Arial" w:hAnsi="Arial" w:cs="Arial"/>
                <w:snapToGrid w:val="0"/>
                <w:sz w:val="18"/>
                <w:szCs w:val="18"/>
                <w:lang w:eastAsia="en-US"/>
              </w:rPr>
            </w:pPr>
            <w:r w:rsidRPr="00971C42">
              <w:rPr>
                <w:rFonts w:ascii="Arial" w:hAnsi="Arial" w:cs="Arial"/>
                <w:snapToGrid w:val="0"/>
                <w:sz w:val="18"/>
                <w:szCs w:val="18"/>
                <w:lang w:eastAsia="en-US"/>
              </w:rPr>
              <w:t>53/251 (21%)</w:t>
            </w:r>
          </w:p>
        </w:tc>
        <w:tc>
          <w:tcPr>
            <w:tcW w:w="1559" w:type="dxa"/>
            <w:shd w:val="clear" w:color="auto" w:fill="DBE5F1"/>
            <w:vAlign w:val="center"/>
          </w:tcPr>
          <w:p w:rsidR="006C4EC2" w:rsidRPr="00971C42" w:rsidRDefault="006C4EC2" w:rsidP="006C4EC2">
            <w:pPr>
              <w:widowControl w:val="0"/>
              <w:jc w:val="both"/>
              <w:rPr>
                <w:rFonts w:ascii="Arial" w:hAnsi="Arial" w:cs="Arial"/>
                <w:b/>
                <w:snapToGrid w:val="0"/>
                <w:sz w:val="18"/>
                <w:szCs w:val="18"/>
                <w:lang w:eastAsia="en-US"/>
              </w:rPr>
            </w:pPr>
            <w:r w:rsidRPr="00971C42">
              <w:rPr>
                <w:rFonts w:ascii="Arial" w:hAnsi="Arial" w:cs="Arial"/>
                <w:b/>
                <w:snapToGrid w:val="0"/>
                <w:sz w:val="18"/>
                <w:szCs w:val="18"/>
                <w:lang w:eastAsia="en-US"/>
              </w:rPr>
              <w:t>32% (23%, 41%)*</w:t>
            </w:r>
          </w:p>
          <w:p w:rsidR="006C4EC2" w:rsidRPr="00971C42" w:rsidRDefault="006C4EC2" w:rsidP="006C4EC2">
            <w:pPr>
              <w:widowControl w:val="0"/>
              <w:jc w:val="both"/>
              <w:rPr>
                <w:rFonts w:ascii="Arial" w:hAnsi="Arial" w:cs="Arial"/>
                <w:b/>
                <w:snapToGrid w:val="0"/>
                <w:sz w:val="18"/>
                <w:szCs w:val="18"/>
                <w:lang w:eastAsia="en-US"/>
              </w:rPr>
            </w:pPr>
            <w:r w:rsidRPr="00971C42">
              <w:rPr>
                <w:rFonts w:ascii="Arial" w:hAnsi="Arial" w:cs="Arial"/>
                <w:b/>
                <w:snapToGrid w:val="0"/>
                <w:sz w:val="18"/>
                <w:szCs w:val="18"/>
                <w:lang w:eastAsia="en-US"/>
              </w:rPr>
              <w:t>3[2,15]</w:t>
            </w:r>
          </w:p>
        </w:tc>
        <w:tc>
          <w:tcPr>
            <w:tcW w:w="993" w:type="dxa"/>
            <w:shd w:val="clear" w:color="auto" w:fill="DBE5F1"/>
            <w:vAlign w:val="center"/>
          </w:tcPr>
          <w:p w:rsidR="006C4EC2" w:rsidRPr="00971C42" w:rsidRDefault="006C4EC2" w:rsidP="006C4EC2">
            <w:pPr>
              <w:widowControl w:val="0"/>
              <w:jc w:val="both"/>
              <w:rPr>
                <w:rFonts w:ascii="Arial" w:hAnsi="Arial" w:cs="Arial"/>
                <w:b/>
                <w:i/>
                <w:snapToGrid w:val="0"/>
                <w:sz w:val="18"/>
                <w:szCs w:val="18"/>
                <w:lang w:eastAsia="en-US"/>
              </w:rPr>
            </w:pPr>
            <w:r w:rsidRPr="00971C42">
              <w:rPr>
                <w:rFonts w:ascii="Arial" w:hAnsi="Arial" w:cs="Arial"/>
                <w:b/>
                <w:i/>
                <w:snapToGrid w:val="0"/>
                <w:sz w:val="18"/>
                <w:szCs w:val="18"/>
                <w:lang w:eastAsia="en-US"/>
              </w:rPr>
              <w:t xml:space="preserve">2.53 </w:t>
            </w:r>
          </w:p>
          <w:p w:rsidR="006C4EC2" w:rsidRPr="00971C42" w:rsidRDefault="006C4EC2" w:rsidP="006C4EC2">
            <w:pPr>
              <w:widowControl w:val="0"/>
              <w:jc w:val="both"/>
              <w:rPr>
                <w:rFonts w:ascii="Arial" w:hAnsi="Arial" w:cs="Arial"/>
                <w:b/>
                <w:i/>
                <w:snapToGrid w:val="0"/>
                <w:sz w:val="18"/>
                <w:szCs w:val="18"/>
                <w:lang w:eastAsia="en-US"/>
              </w:rPr>
            </w:pPr>
            <w:r w:rsidRPr="00971C42">
              <w:rPr>
                <w:rFonts w:ascii="Arial" w:hAnsi="Arial" w:cs="Arial"/>
                <w:b/>
                <w:i/>
                <w:snapToGrid w:val="0"/>
                <w:sz w:val="18"/>
                <w:szCs w:val="18"/>
                <w:lang w:eastAsia="en-US"/>
              </w:rPr>
              <w:t>(1.94, 3.29)</w:t>
            </w:r>
          </w:p>
        </w:tc>
        <w:tc>
          <w:tcPr>
            <w:tcW w:w="1559" w:type="dxa"/>
            <w:shd w:val="clear" w:color="auto" w:fill="DBE5F1"/>
            <w:vAlign w:val="center"/>
          </w:tcPr>
          <w:p w:rsidR="006C4EC2" w:rsidRPr="00971C42" w:rsidRDefault="006C4EC2" w:rsidP="006C4EC2">
            <w:pPr>
              <w:widowControl w:val="0"/>
              <w:jc w:val="both"/>
              <w:rPr>
                <w:rFonts w:ascii="Arial" w:hAnsi="Arial" w:cs="Arial"/>
                <w:b/>
                <w:snapToGrid w:val="0"/>
                <w:sz w:val="18"/>
                <w:szCs w:val="18"/>
                <w:lang w:eastAsia="en-US"/>
              </w:rPr>
            </w:pPr>
            <w:r w:rsidRPr="00971C42">
              <w:rPr>
                <w:rFonts w:ascii="Arial" w:hAnsi="Arial" w:cs="Arial"/>
                <w:b/>
                <w:snapToGrid w:val="0"/>
                <w:sz w:val="18"/>
                <w:szCs w:val="18"/>
                <w:lang w:eastAsia="en-US"/>
              </w:rPr>
              <w:t>41% (32%, 50%)*</w:t>
            </w:r>
          </w:p>
          <w:p w:rsidR="006C4EC2" w:rsidRPr="00971C42" w:rsidRDefault="006C4EC2" w:rsidP="006C4EC2">
            <w:pPr>
              <w:widowControl w:val="0"/>
              <w:jc w:val="both"/>
              <w:rPr>
                <w:rFonts w:ascii="Arial" w:hAnsi="Arial" w:cs="Arial"/>
                <w:b/>
                <w:snapToGrid w:val="0"/>
                <w:sz w:val="18"/>
                <w:szCs w:val="18"/>
                <w:lang w:eastAsia="en-US"/>
              </w:rPr>
            </w:pPr>
            <w:r w:rsidRPr="00971C42">
              <w:rPr>
                <w:rFonts w:ascii="Arial" w:hAnsi="Arial" w:cs="Arial"/>
                <w:b/>
                <w:snapToGrid w:val="0"/>
                <w:sz w:val="18"/>
                <w:szCs w:val="18"/>
                <w:lang w:eastAsia="en-US"/>
              </w:rPr>
              <w:t>2 [2, 3]</w:t>
            </w:r>
          </w:p>
        </w:tc>
        <w:tc>
          <w:tcPr>
            <w:tcW w:w="992" w:type="dxa"/>
            <w:shd w:val="clear" w:color="auto" w:fill="DBE5F1"/>
            <w:vAlign w:val="center"/>
          </w:tcPr>
          <w:p w:rsidR="006C4EC2" w:rsidRPr="00971C42" w:rsidRDefault="006C4EC2" w:rsidP="006C4EC2">
            <w:pPr>
              <w:widowControl w:val="0"/>
              <w:jc w:val="both"/>
              <w:rPr>
                <w:rFonts w:ascii="Arial" w:hAnsi="Arial" w:cs="Arial"/>
                <w:b/>
                <w:i/>
                <w:snapToGrid w:val="0"/>
                <w:sz w:val="18"/>
                <w:szCs w:val="18"/>
                <w:lang w:eastAsia="en-US"/>
              </w:rPr>
            </w:pPr>
            <w:r w:rsidRPr="00971C42">
              <w:rPr>
                <w:rFonts w:ascii="Arial" w:hAnsi="Arial" w:cs="Arial"/>
                <w:b/>
                <w:i/>
                <w:snapToGrid w:val="0"/>
                <w:sz w:val="18"/>
                <w:szCs w:val="18"/>
                <w:lang w:eastAsia="en-US"/>
              </w:rPr>
              <w:t>2.92</w:t>
            </w:r>
          </w:p>
          <w:p w:rsidR="006C4EC2" w:rsidRPr="00971C42" w:rsidRDefault="006C4EC2" w:rsidP="006C4EC2">
            <w:pPr>
              <w:widowControl w:val="0"/>
              <w:jc w:val="both"/>
              <w:rPr>
                <w:rFonts w:ascii="Arial" w:hAnsi="Arial" w:cs="Arial"/>
                <w:b/>
                <w:i/>
                <w:snapToGrid w:val="0"/>
                <w:sz w:val="18"/>
                <w:szCs w:val="18"/>
                <w:lang w:eastAsia="en-US"/>
              </w:rPr>
            </w:pPr>
            <w:r w:rsidRPr="00971C42">
              <w:rPr>
                <w:rFonts w:ascii="Arial" w:hAnsi="Arial" w:cs="Arial"/>
                <w:b/>
                <w:i/>
                <w:snapToGrid w:val="0"/>
                <w:sz w:val="18"/>
                <w:szCs w:val="18"/>
                <w:lang w:eastAsia="en-US"/>
              </w:rPr>
              <w:t>(2.27, 3.79</w:t>
            </w:r>
          </w:p>
        </w:tc>
      </w:tr>
      <w:tr w:rsidR="006C4EC2" w:rsidRPr="00971C42" w:rsidTr="006C4EC2">
        <w:tc>
          <w:tcPr>
            <w:tcW w:w="8505" w:type="dxa"/>
            <w:gridSpan w:val="8"/>
            <w:vAlign w:val="center"/>
          </w:tcPr>
          <w:p w:rsidR="006C4EC2" w:rsidRPr="00971C42" w:rsidRDefault="006C4EC2" w:rsidP="006C4EC2">
            <w:pPr>
              <w:widowControl w:val="0"/>
              <w:jc w:val="both"/>
              <w:rPr>
                <w:rFonts w:ascii="Arial" w:hAnsi="Arial" w:cs="Arial"/>
                <w:i/>
                <w:snapToGrid w:val="0"/>
                <w:sz w:val="18"/>
                <w:szCs w:val="18"/>
                <w:lang w:eastAsia="en-US"/>
              </w:rPr>
            </w:pPr>
            <w:r w:rsidRPr="00971C42">
              <w:rPr>
                <w:rFonts w:ascii="Arial" w:hAnsi="Arial" w:cs="Arial"/>
                <w:b/>
                <w:snapToGrid w:val="0"/>
                <w:sz w:val="18"/>
                <w:szCs w:val="18"/>
                <w:lang w:eastAsia="en-US"/>
              </w:rPr>
              <w:t>At final visit (patient’s last sUA on trial) (note for EXCEL this is based on initial treatment assignment, high degree of bias as large numbers of patients taking allopurinol crossed over to FBX treatment)</w:t>
            </w:r>
          </w:p>
        </w:tc>
      </w:tr>
      <w:tr w:rsidR="006C4EC2" w:rsidRPr="00971C42" w:rsidTr="006C4EC2">
        <w:tc>
          <w:tcPr>
            <w:tcW w:w="1134" w:type="dxa"/>
            <w:vAlign w:val="center"/>
          </w:tcPr>
          <w:p w:rsidR="006C4EC2" w:rsidRPr="00971C42" w:rsidRDefault="006C4EC2" w:rsidP="006C4EC2">
            <w:pPr>
              <w:widowControl w:val="0"/>
              <w:jc w:val="both"/>
              <w:rPr>
                <w:rFonts w:ascii="Arial" w:hAnsi="Arial" w:cs="Arial"/>
                <w:snapToGrid w:val="0"/>
                <w:sz w:val="18"/>
                <w:szCs w:val="18"/>
                <w:lang w:eastAsia="en-US"/>
              </w:rPr>
            </w:pPr>
            <w:r w:rsidRPr="00971C42">
              <w:rPr>
                <w:rFonts w:ascii="Arial" w:hAnsi="Arial" w:cs="Arial"/>
                <w:snapToGrid w:val="0"/>
                <w:sz w:val="18"/>
                <w:szCs w:val="18"/>
                <w:lang w:eastAsia="en-US"/>
              </w:rPr>
              <w:t>APEX</w:t>
            </w:r>
          </w:p>
        </w:tc>
        <w:tc>
          <w:tcPr>
            <w:tcW w:w="737" w:type="dxa"/>
            <w:vAlign w:val="center"/>
          </w:tcPr>
          <w:p w:rsidR="006C4EC2" w:rsidRPr="00971C42" w:rsidRDefault="006C4EC2" w:rsidP="006C4EC2">
            <w:pPr>
              <w:widowControl w:val="0"/>
              <w:jc w:val="both"/>
              <w:rPr>
                <w:rFonts w:ascii="Arial" w:hAnsi="Arial" w:cs="Arial"/>
                <w:snapToGrid w:val="0"/>
                <w:sz w:val="18"/>
                <w:szCs w:val="18"/>
                <w:lang w:eastAsia="en-US"/>
              </w:rPr>
            </w:pPr>
            <w:r w:rsidRPr="00971C42">
              <w:rPr>
                <w:rFonts w:ascii="Arial" w:hAnsi="Arial" w:cs="Arial"/>
                <w:snapToGrid w:val="0"/>
                <w:sz w:val="18"/>
                <w:szCs w:val="18"/>
                <w:lang w:eastAsia="en-US"/>
              </w:rPr>
              <w:t>183/253 (72%)</w:t>
            </w:r>
          </w:p>
        </w:tc>
        <w:tc>
          <w:tcPr>
            <w:tcW w:w="823" w:type="dxa"/>
            <w:vAlign w:val="center"/>
          </w:tcPr>
          <w:p w:rsidR="006C4EC2" w:rsidRPr="00971C42" w:rsidRDefault="006C4EC2" w:rsidP="006C4EC2">
            <w:pPr>
              <w:widowControl w:val="0"/>
              <w:jc w:val="both"/>
              <w:rPr>
                <w:rFonts w:ascii="Arial" w:hAnsi="Arial" w:cs="Arial"/>
                <w:snapToGrid w:val="0"/>
                <w:sz w:val="18"/>
                <w:szCs w:val="18"/>
                <w:lang w:eastAsia="en-US"/>
              </w:rPr>
            </w:pPr>
            <w:r w:rsidRPr="00971C42">
              <w:rPr>
                <w:rFonts w:ascii="Arial" w:hAnsi="Arial" w:cs="Arial"/>
                <w:snapToGrid w:val="0"/>
                <w:sz w:val="18"/>
                <w:szCs w:val="18"/>
                <w:lang w:eastAsia="en-US"/>
              </w:rPr>
              <w:t>209/265 (79%)</w:t>
            </w:r>
          </w:p>
        </w:tc>
        <w:tc>
          <w:tcPr>
            <w:tcW w:w="708" w:type="dxa"/>
            <w:vAlign w:val="center"/>
          </w:tcPr>
          <w:p w:rsidR="006C4EC2" w:rsidRPr="00971C42" w:rsidRDefault="006C4EC2" w:rsidP="006C4EC2">
            <w:pPr>
              <w:widowControl w:val="0"/>
              <w:jc w:val="both"/>
              <w:rPr>
                <w:rFonts w:ascii="Arial" w:hAnsi="Arial" w:cs="Arial"/>
                <w:snapToGrid w:val="0"/>
                <w:sz w:val="18"/>
                <w:szCs w:val="18"/>
                <w:lang w:eastAsia="en-US"/>
              </w:rPr>
            </w:pPr>
            <w:r w:rsidRPr="00971C42">
              <w:rPr>
                <w:rFonts w:ascii="Arial" w:hAnsi="Arial" w:cs="Arial"/>
                <w:snapToGrid w:val="0"/>
                <w:sz w:val="18"/>
                <w:szCs w:val="18"/>
                <w:lang w:eastAsia="en-US"/>
              </w:rPr>
              <w:t>102/263 (39%)</w:t>
            </w:r>
          </w:p>
        </w:tc>
        <w:tc>
          <w:tcPr>
            <w:tcW w:w="1559" w:type="dxa"/>
            <w:shd w:val="clear" w:color="auto" w:fill="DBE5F1"/>
            <w:vAlign w:val="center"/>
          </w:tcPr>
          <w:p w:rsidR="006C4EC2" w:rsidRPr="00971C42" w:rsidRDefault="006C4EC2" w:rsidP="006C4EC2">
            <w:pPr>
              <w:widowControl w:val="0"/>
              <w:jc w:val="both"/>
              <w:rPr>
                <w:rFonts w:ascii="Arial" w:hAnsi="Arial" w:cs="Arial"/>
                <w:b/>
                <w:i/>
                <w:snapToGrid w:val="0"/>
                <w:sz w:val="18"/>
                <w:szCs w:val="18"/>
                <w:lang w:eastAsia="en-US"/>
              </w:rPr>
            </w:pPr>
            <w:r w:rsidRPr="00971C42">
              <w:rPr>
                <w:rFonts w:ascii="Arial" w:hAnsi="Arial" w:cs="Arial"/>
                <w:b/>
                <w:i/>
                <w:snapToGrid w:val="0"/>
                <w:sz w:val="18"/>
                <w:szCs w:val="18"/>
                <w:lang w:eastAsia="en-US"/>
              </w:rPr>
              <w:t>34% (25%, 41%)</w:t>
            </w:r>
          </w:p>
          <w:p w:rsidR="006C4EC2" w:rsidRPr="00971C42" w:rsidRDefault="006C4EC2" w:rsidP="006C4EC2">
            <w:pPr>
              <w:widowControl w:val="0"/>
              <w:jc w:val="both"/>
              <w:rPr>
                <w:rFonts w:ascii="Arial" w:hAnsi="Arial" w:cs="Arial"/>
                <w:b/>
                <w:i/>
                <w:snapToGrid w:val="0"/>
                <w:sz w:val="18"/>
                <w:szCs w:val="18"/>
                <w:lang w:eastAsia="en-US"/>
              </w:rPr>
            </w:pPr>
            <w:r w:rsidRPr="00971C42">
              <w:rPr>
                <w:rFonts w:ascii="Arial" w:hAnsi="Arial" w:cs="Arial"/>
                <w:b/>
                <w:i/>
                <w:snapToGrid w:val="0"/>
                <w:sz w:val="18"/>
                <w:szCs w:val="18"/>
                <w:lang w:eastAsia="en-US"/>
              </w:rPr>
              <w:t>3[2, 4]</w:t>
            </w:r>
          </w:p>
        </w:tc>
        <w:tc>
          <w:tcPr>
            <w:tcW w:w="993" w:type="dxa"/>
            <w:shd w:val="clear" w:color="auto" w:fill="DBE5F1"/>
            <w:vAlign w:val="center"/>
          </w:tcPr>
          <w:p w:rsidR="006C4EC2" w:rsidRPr="00971C42" w:rsidRDefault="006C4EC2" w:rsidP="006C4EC2">
            <w:pPr>
              <w:widowControl w:val="0"/>
              <w:jc w:val="both"/>
              <w:rPr>
                <w:rFonts w:ascii="Arial" w:hAnsi="Arial" w:cs="Arial"/>
                <w:b/>
                <w:i/>
                <w:snapToGrid w:val="0"/>
                <w:sz w:val="18"/>
                <w:szCs w:val="18"/>
                <w:lang w:eastAsia="en-US"/>
              </w:rPr>
            </w:pPr>
            <w:r w:rsidRPr="00971C42">
              <w:rPr>
                <w:rFonts w:ascii="Arial" w:hAnsi="Arial" w:cs="Arial"/>
                <w:b/>
                <w:i/>
                <w:snapToGrid w:val="0"/>
                <w:sz w:val="18"/>
                <w:szCs w:val="18"/>
                <w:lang w:eastAsia="en-US"/>
              </w:rPr>
              <w:t>1.87</w:t>
            </w:r>
          </w:p>
          <w:p w:rsidR="006C4EC2" w:rsidRPr="00971C42" w:rsidRDefault="006C4EC2" w:rsidP="006C4EC2">
            <w:pPr>
              <w:widowControl w:val="0"/>
              <w:jc w:val="both"/>
              <w:rPr>
                <w:rFonts w:ascii="Arial" w:hAnsi="Arial" w:cs="Arial"/>
                <w:b/>
                <w:i/>
                <w:snapToGrid w:val="0"/>
                <w:sz w:val="18"/>
                <w:szCs w:val="18"/>
                <w:lang w:eastAsia="en-US"/>
              </w:rPr>
            </w:pPr>
            <w:r w:rsidRPr="00971C42">
              <w:rPr>
                <w:rFonts w:ascii="Arial" w:hAnsi="Arial" w:cs="Arial"/>
                <w:b/>
                <w:i/>
                <w:snapToGrid w:val="0"/>
                <w:sz w:val="18"/>
                <w:szCs w:val="18"/>
                <w:lang w:eastAsia="en-US"/>
              </w:rPr>
              <w:t>(1.58, 2.22)</w:t>
            </w:r>
          </w:p>
        </w:tc>
        <w:tc>
          <w:tcPr>
            <w:tcW w:w="1559" w:type="dxa"/>
            <w:shd w:val="clear" w:color="auto" w:fill="DBE5F1"/>
            <w:vAlign w:val="center"/>
          </w:tcPr>
          <w:p w:rsidR="006C4EC2" w:rsidRPr="00971C42" w:rsidRDefault="006C4EC2" w:rsidP="006C4EC2">
            <w:pPr>
              <w:widowControl w:val="0"/>
              <w:jc w:val="both"/>
              <w:rPr>
                <w:rFonts w:ascii="Arial" w:hAnsi="Arial" w:cs="Arial"/>
                <w:b/>
                <w:i/>
                <w:snapToGrid w:val="0"/>
                <w:sz w:val="18"/>
                <w:szCs w:val="18"/>
                <w:lang w:eastAsia="en-US"/>
              </w:rPr>
            </w:pPr>
            <w:r w:rsidRPr="00971C42">
              <w:rPr>
                <w:rFonts w:ascii="Arial" w:hAnsi="Arial" w:cs="Arial"/>
                <w:b/>
                <w:i/>
                <w:snapToGrid w:val="0"/>
                <w:sz w:val="18"/>
                <w:szCs w:val="18"/>
                <w:lang w:eastAsia="en-US"/>
              </w:rPr>
              <w:t>40% (32%, 47%)</w:t>
            </w:r>
          </w:p>
          <w:p w:rsidR="006C4EC2" w:rsidRPr="00971C42" w:rsidRDefault="006C4EC2" w:rsidP="006C4EC2">
            <w:pPr>
              <w:widowControl w:val="0"/>
              <w:jc w:val="both"/>
              <w:rPr>
                <w:rFonts w:ascii="Arial" w:hAnsi="Arial" w:cs="Arial"/>
                <w:b/>
                <w:i/>
                <w:snapToGrid w:val="0"/>
                <w:sz w:val="18"/>
                <w:szCs w:val="18"/>
                <w:lang w:eastAsia="en-US"/>
              </w:rPr>
            </w:pPr>
            <w:r w:rsidRPr="00971C42">
              <w:rPr>
                <w:rFonts w:ascii="Arial" w:hAnsi="Arial" w:cs="Arial"/>
                <w:b/>
                <w:i/>
                <w:snapToGrid w:val="0"/>
                <w:sz w:val="18"/>
                <w:szCs w:val="18"/>
                <w:lang w:eastAsia="en-US"/>
              </w:rPr>
              <w:t>3 [2, 3]</w:t>
            </w:r>
          </w:p>
        </w:tc>
        <w:tc>
          <w:tcPr>
            <w:tcW w:w="992" w:type="dxa"/>
            <w:shd w:val="clear" w:color="auto" w:fill="DBE5F1"/>
            <w:vAlign w:val="center"/>
          </w:tcPr>
          <w:p w:rsidR="006C4EC2" w:rsidRPr="00971C42" w:rsidRDefault="006C4EC2" w:rsidP="006C4EC2">
            <w:pPr>
              <w:widowControl w:val="0"/>
              <w:jc w:val="both"/>
              <w:rPr>
                <w:rFonts w:ascii="Arial" w:hAnsi="Arial" w:cs="Arial"/>
                <w:b/>
                <w:i/>
                <w:snapToGrid w:val="0"/>
                <w:sz w:val="18"/>
                <w:szCs w:val="18"/>
                <w:lang w:eastAsia="en-US"/>
              </w:rPr>
            </w:pPr>
            <w:r w:rsidRPr="00971C42">
              <w:rPr>
                <w:rFonts w:ascii="Arial" w:hAnsi="Arial" w:cs="Arial"/>
                <w:b/>
                <w:i/>
                <w:snapToGrid w:val="0"/>
                <w:sz w:val="18"/>
                <w:szCs w:val="18"/>
                <w:lang w:eastAsia="en-US"/>
              </w:rPr>
              <w:t>2.03</w:t>
            </w:r>
          </w:p>
          <w:p w:rsidR="006C4EC2" w:rsidRPr="00971C42" w:rsidRDefault="006C4EC2" w:rsidP="006C4EC2">
            <w:pPr>
              <w:widowControl w:val="0"/>
              <w:jc w:val="both"/>
              <w:rPr>
                <w:rFonts w:ascii="Arial" w:hAnsi="Arial" w:cs="Arial"/>
                <w:b/>
                <w:i/>
                <w:snapToGrid w:val="0"/>
                <w:sz w:val="18"/>
                <w:szCs w:val="18"/>
                <w:lang w:eastAsia="en-US"/>
              </w:rPr>
            </w:pPr>
            <w:r w:rsidRPr="00971C42">
              <w:rPr>
                <w:rFonts w:ascii="Arial" w:hAnsi="Arial" w:cs="Arial"/>
                <w:b/>
                <w:i/>
                <w:snapToGrid w:val="0"/>
                <w:sz w:val="18"/>
                <w:szCs w:val="18"/>
                <w:lang w:eastAsia="en-US"/>
              </w:rPr>
              <w:t>(1.73, 2.41)</w:t>
            </w:r>
          </w:p>
        </w:tc>
      </w:tr>
      <w:tr w:rsidR="006C4EC2" w:rsidRPr="00971C42" w:rsidTr="006C4EC2">
        <w:tc>
          <w:tcPr>
            <w:tcW w:w="1134" w:type="dxa"/>
            <w:vAlign w:val="center"/>
          </w:tcPr>
          <w:p w:rsidR="006C4EC2" w:rsidRPr="00971C42" w:rsidRDefault="006C4EC2" w:rsidP="006C4EC2">
            <w:pPr>
              <w:widowControl w:val="0"/>
              <w:jc w:val="both"/>
              <w:rPr>
                <w:rFonts w:ascii="Arial" w:hAnsi="Arial" w:cs="Arial"/>
                <w:snapToGrid w:val="0"/>
                <w:sz w:val="18"/>
                <w:szCs w:val="18"/>
                <w:lang w:eastAsia="en-US"/>
              </w:rPr>
            </w:pPr>
            <w:r w:rsidRPr="00971C42">
              <w:rPr>
                <w:rFonts w:ascii="Arial" w:hAnsi="Arial" w:cs="Arial"/>
                <w:snapToGrid w:val="0"/>
                <w:sz w:val="18"/>
                <w:szCs w:val="18"/>
                <w:lang w:eastAsia="en-US"/>
              </w:rPr>
              <w:t>FACT</w:t>
            </w:r>
          </w:p>
        </w:tc>
        <w:tc>
          <w:tcPr>
            <w:tcW w:w="737" w:type="dxa"/>
            <w:vAlign w:val="center"/>
          </w:tcPr>
          <w:p w:rsidR="006C4EC2" w:rsidRPr="00971C42" w:rsidRDefault="006C4EC2" w:rsidP="006C4EC2">
            <w:pPr>
              <w:spacing w:line="276" w:lineRule="auto"/>
              <w:jc w:val="both"/>
              <w:rPr>
                <w:rFonts w:ascii="Arial" w:eastAsia="SimSun" w:hAnsi="Arial" w:cs="Arial"/>
                <w:sz w:val="18"/>
                <w:szCs w:val="18"/>
                <w:lang w:eastAsia="en-US" w:bidi="en-US"/>
              </w:rPr>
            </w:pPr>
            <w:r w:rsidRPr="00971C42">
              <w:rPr>
                <w:rFonts w:ascii="Arial" w:eastAsia="SimSun" w:hAnsi="Arial" w:cs="Arial"/>
                <w:sz w:val="18"/>
                <w:szCs w:val="18"/>
                <w:lang w:eastAsia="en-US" w:bidi="en-US"/>
              </w:rPr>
              <w:t>185/249 (74%)</w:t>
            </w:r>
          </w:p>
        </w:tc>
        <w:tc>
          <w:tcPr>
            <w:tcW w:w="823" w:type="dxa"/>
            <w:vAlign w:val="center"/>
          </w:tcPr>
          <w:p w:rsidR="006C4EC2" w:rsidRPr="00971C42" w:rsidRDefault="006C4EC2" w:rsidP="006C4EC2">
            <w:pPr>
              <w:spacing w:line="276" w:lineRule="auto"/>
              <w:jc w:val="both"/>
              <w:rPr>
                <w:rFonts w:ascii="Arial" w:eastAsia="SimSun" w:hAnsi="Arial" w:cs="Arial"/>
                <w:sz w:val="18"/>
                <w:szCs w:val="18"/>
                <w:lang w:eastAsia="en-US" w:bidi="en-US"/>
              </w:rPr>
            </w:pPr>
            <w:r w:rsidRPr="00971C42">
              <w:rPr>
                <w:rFonts w:ascii="Arial" w:eastAsia="SimSun" w:hAnsi="Arial" w:cs="Arial"/>
                <w:sz w:val="18"/>
                <w:szCs w:val="18"/>
                <w:lang w:eastAsia="en-US" w:bidi="en-US"/>
              </w:rPr>
              <w:t>193/242 (80%)</w:t>
            </w:r>
          </w:p>
        </w:tc>
        <w:tc>
          <w:tcPr>
            <w:tcW w:w="708" w:type="dxa"/>
            <w:vAlign w:val="center"/>
          </w:tcPr>
          <w:p w:rsidR="006C4EC2" w:rsidRPr="00971C42" w:rsidRDefault="006C4EC2" w:rsidP="006C4EC2">
            <w:pPr>
              <w:spacing w:line="276" w:lineRule="auto"/>
              <w:jc w:val="both"/>
              <w:rPr>
                <w:rFonts w:ascii="Arial" w:eastAsia="SimSun" w:hAnsi="Arial" w:cs="Arial"/>
                <w:sz w:val="18"/>
                <w:szCs w:val="18"/>
                <w:lang w:eastAsia="en-US" w:bidi="en-US"/>
              </w:rPr>
            </w:pPr>
            <w:r w:rsidRPr="00971C42">
              <w:rPr>
                <w:rFonts w:ascii="Arial" w:eastAsia="SimSun" w:hAnsi="Arial" w:cs="Arial"/>
                <w:sz w:val="18"/>
                <w:szCs w:val="18"/>
                <w:lang w:eastAsia="en-US" w:bidi="en-US"/>
              </w:rPr>
              <w:t>88/242 (36%)</w:t>
            </w:r>
          </w:p>
        </w:tc>
        <w:tc>
          <w:tcPr>
            <w:tcW w:w="1559" w:type="dxa"/>
            <w:shd w:val="clear" w:color="auto" w:fill="DBE5F1"/>
            <w:vAlign w:val="center"/>
          </w:tcPr>
          <w:p w:rsidR="006C4EC2" w:rsidRPr="00971C42" w:rsidRDefault="006C4EC2" w:rsidP="006C4EC2">
            <w:pPr>
              <w:widowControl w:val="0"/>
              <w:jc w:val="both"/>
              <w:rPr>
                <w:rFonts w:ascii="Arial" w:hAnsi="Arial" w:cs="Arial"/>
                <w:b/>
                <w:i/>
                <w:snapToGrid w:val="0"/>
                <w:sz w:val="18"/>
                <w:szCs w:val="18"/>
                <w:lang w:eastAsia="en-US"/>
              </w:rPr>
            </w:pPr>
            <w:r w:rsidRPr="00971C42">
              <w:rPr>
                <w:rFonts w:ascii="Arial" w:hAnsi="Arial" w:cs="Arial"/>
                <w:b/>
                <w:i/>
                <w:snapToGrid w:val="0"/>
                <w:sz w:val="18"/>
                <w:szCs w:val="18"/>
                <w:lang w:eastAsia="en-US"/>
              </w:rPr>
              <w:t>38% (30%, 46%)</w:t>
            </w:r>
          </w:p>
          <w:p w:rsidR="006C4EC2" w:rsidRPr="00971C42" w:rsidRDefault="006C4EC2" w:rsidP="006C4EC2">
            <w:pPr>
              <w:widowControl w:val="0"/>
              <w:jc w:val="both"/>
              <w:rPr>
                <w:rFonts w:ascii="Arial" w:hAnsi="Arial" w:cs="Arial"/>
                <w:b/>
                <w:i/>
                <w:snapToGrid w:val="0"/>
                <w:sz w:val="18"/>
                <w:szCs w:val="18"/>
                <w:lang w:eastAsia="en-US"/>
              </w:rPr>
            </w:pPr>
            <w:r w:rsidRPr="00971C42">
              <w:rPr>
                <w:rFonts w:ascii="Arial" w:hAnsi="Arial" w:cs="Arial"/>
                <w:b/>
                <w:i/>
                <w:snapToGrid w:val="0"/>
                <w:sz w:val="18"/>
                <w:szCs w:val="18"/>
                <w:lang w:eastAsia="en-US"/>
              </w:rPr>
              <w:t>3[2, 3]</w:t>
            </w:r>
          </w:p>
        </w:tc>
        <w:tc>
          <w:tcPr>
            <w:tcW w:w="993" w:type="dxa"/>
            <w:shd w:val="clear" w:color="auto" w:fill="DBE5F1"/>
            <w:vAlign w:val="center"/>
          </w:tcPr>
          <w:p w:rsidR="006C4EC2" w:rsidRPr="00971C42" w:rsidRDefault="006C4EC2" w:rsidP="006C4EC2">
            <w:pPr>
              <w:widowControl w:val="0"/>
              <w:jc w:val="both"/>
              <w:rPr>
                <w:rFonts w:ascii="Arial" w:hAnsi="Arial" w:cs="Arial"/>
                <w:b/>
                <w:i/>
                <w:snapToGrid w:val="0"/>
                <w:sz w:val="18"/>
                <w:szCs w:val="18"/>
                <w:lang w:eastAsia="en-US"/>
              </w:rPr>
            </w:pPr>
            <w:r w:rsidRPr="00971C42">
              <w:rPr>
                <w:rFonts w:ascii="Arial" w:hAnsi="Arial" w:cs="Arial"/>
                <w:b/>
                <w:i/>
                <w:snapToGrid w:val="0"/>
                <w:sz w:val="18"/>
                <w:szCs w:val="18"/>
                <w:lang w:eastAsia="en-US"/>
              </w:rPr>
              <w:t xml:space="preserve">2.04 </w:t>
            </w:r>
          </w:p>
          <w:p w:rsidR="006C4EC2" w:rsidRPr="00971C42" w:rsidRDefault="006C4EC2" w:rsidP="006C4EC2">
            <w:pPr>
              <w:widowControl w:val="0"/>
              <w:jc w:val="both"/>
              <w:rPr>
                <w:rFonts w:ascii="Arial" w:hAnsi="Arial" w:cs="Arial"/>
                <w:b/>
                <w:i/>
                <w:snapToGrid w:val="0"/>
                <w:sz w:val="18"/>
                <w:szCs w:val="18"/>
                <w:lang w:eastAsia="en-US"/>
              </w:rPr>
            </w:pPr>
            <w:r w:rsidRPr="00971C42">
              <w:rPr>
                <w:rFonts w:ascii="Arial" w:hAnsi="Arial" w:cs="Arial"/>
                <w:b/>
                <w:i/>
                <w:snapToGrid w:val="0"/>
                <w:sz w:val="18"/>
                <w:szCs w:val="18"/>
                <w:lang w:eastAsia="en-US"/>
              </w:rPr>
              <w:t>(1.71, 2.46)</w:t>
            </w:r>
          </w:p>
        </w:tc>
        <w:tc>
          <w:tcPr>
            <w:tcW w:w="1559" w:type="dxa"/>
            <w:shd w:val="clear" w:color="auto" w:fill="DBE5F1"/>
            <w:vAlign w:val="center"/>
          </w:tcPr>
          <w:p w:rsidR="006C4EC2" w:rsidRPr="00971C42" w:rsidRDefault="006C4EC2" w:rsidP="006C4EC2">
            <w:pPr>
              <w:widowControl w:val="0"/>
              <w:jc w:val="both"/>
              <w:rPr>
                <w:rFonts w:ascii="Arial" w:hAnsi="Arial" w:cs="Arial"/>
                <w:b/>
                <w:i/>
                <w:snapToGrid w:val="0"/>
                <w:sz w:val="18"/>
                <w:szCs w:val="18"/>
                <w:lang w:eastAsia="en-US"/>
              </w:rPr>
            </w:pPr>
            <w:r w:rsidRPr="00971C42">
              <w:rPr>
                <w:rFonts w:ascii="Arial" w:hAnsi="Arial" w:cs="Arial"/>
                <w:b/>
                <w:i/>
                <w:snapToGrid w:val="0"/>
                <w:sz w:val="18"/>
                <w:szCs w:val="18"/>
                <w:lang w:eastAsia="en-US"/>
              </w:rPr>
              <w:t>44% (35%, 51%)</w:t>
            </w:r>
          </w:p>
          <w:p w:rsidR="006C4EC2" w:rsidRPr="00971C42" w:rsidRDefault="006C4EC2" w:rsidP="006C4EC2">
            <w:pPr>
              <w:widowControl w:val="0"/>
              <w:jc w:val="both"/>
              <w:rPr>
                <w:rFonts w:ascii="Arial" w:hAnsi="Arial" w:cs="Arial"/>
                <w:b/>
                <w:i/>
                <w:snapToGrid w:val="0"/>
                <w:sz w:val="18"/>
                <w:szCs w:val="18"/>
                <w:lang w:eastAsia="en-US"/>
              </w:rPr>
            </w:pPr>
            <w:r w:rsidRPr="00971C42">
              <w:rPr>
                <w:rFonts w:ascii="Arial" w:hAnsi="Arial" w:cs="Arial"/>
                <w:b/>
                <w:i/>
                <w:snapToGrid w:val="0"/>
                <w:sz w:val="18"/>
                <w:szCs w:val="18"/>
                <w:lang w:eastAsia="en-US"/>
              </w:rPr>
              <w:t>2 [2,3]</w:t>
            </w:r>
          </w:p>
        </w:tc>
        <w:tc>
          <w:tcPr>
            <w:tcW w:w="992" w:type="dxa"/>
            <w:shd w:val="clear" w:color="auto" w:fill="DBE5F1"/>
            <w:vAlign w:val="center"/>
          </w:tcPr>
          <w:p w:rsidR="006C4EC2" w:rsidRPr="00971C42" w:rsidRDefault="006C4EC2" w:rsidP="006C4EC2">
            <w:pPr>
              <w:widowControl w:val="0"/>
              <w:jc w:val="both"/>
              <w:rPr>
                <w:rFonts w:ascii="Arial" w:hAnsi="Arial" w:cs="Arial"/>
                <w:b/>
                <w:i/>
                <w:snapToGrid w:val="0"/>
                <w:sz w:val="18"/>
                <w:szCs w:val="18"/>
                <w:lang w:eastAsia="en-US"/>
              </w:rPr>
            </w:pPr>
            <w:r w:rsidRPr="00971C42">
              <w:rPr>
                <w:rFonts w:ascii="Arial" w:hAnsi="Arial" w:cs="Arial"/>
                <w:b/>
                <w:i/>
                <w:snapToGrid w:val="0"/>
                <w:sz w:val="18"/>
                <w:szCs w:val="18"/>
                <w:lang w:eastAsia="en-US"/>
              </w:rPr>
              <w:t>2.19</w:t>
            </w:r>
          </w:p>
          <w:p w:rsidR="006C4EC2" w:rsidRPr="00971C42" w:rsidRDefault="006C4EC2" w:rsidP="006C4EC2">
            <w:pPr>
              <w:widowControl w:val="0"/>
              <w:jc w:val="both"/>
              <w:rPr>
                <w:rFonts w:ascii="Arial" w:hAnsi="Arial" w:cs="Arial"/>
                <w:b/>
                <w:i/>
                <w:snapToGrid w:val="0"/>
                <w:sz w:val="18"/>
                <w:szCs w:val="18"/>
                <w:lang w:eastAsia="en-US"/>
              </w:rPr>
            </w:pPr>
            <w:r w:rsidRPr="00971C42">
              <w:rPr>
                <w:rFonts w:ascii="Arial" w:hAnsi="Arial" w:cs="Arial"/>
                <w:b/>
                <w:i/>
                <w:snapToGrid w:val="0"/>
                <w:sz w:val="18"/>
                <w:szCs w:val="18"/>
                <w:lang w:eastAsia="en-US"/>
              </w:rPr>
              <w:t>(1.85, 2.64)</w:t>
            </w:r>
          </w:p>
        </w:tc>
      </w:tr>
      <w:tr w:rsidR="006C4EC2" w:rsidRPr="00971C42" w:rsidTr="006C4EC2">
        <w:tc>
          <w:tcPr>
            <w:tcW w:w="1134" w:type="dxa"/>
            <w:vAlign w:val="center"/>
          </w:tcPr>
          <w:p w:rsidR="006C4EC2" w:rsidRPr="00971C42" w:rsidRDefault="006C4EC2" w:rsidP="006C4EC2">
            <w:pPr>
              <w:widowControl w:val="0"/>
              <w:jc w:val="both"/>
              <w:rPr>
                <w:rFonts w:ascii="Arial" w:hAnsi="Arial" w:cs="Arial"/>
                <w:snapToGrid w:val="0"/>
                <w:sz w:val="18"/>
                <w:szCs w:val="18"/>
                <w:vertAlign w:val="superscript"/>
                <w:lang w:eastAsia="en-US"/>
              </w:rPr>
            </w:pPr>
            <w:r w:rsidRPr="00971C42">
              <w:rPr>
                <w:rFonts w:ascii="Arial" w:hAnsi="Arial" w:cs="Arial"/>
                <w:snapToGrid w:val="0"/>
                <w:sz w:val="18"/>
                <w:szCs w:val="18"/>
                <w:lang w:eastAsia="en-US"/>
              </w:rPr>
              <w:t>EXCEL</w:t>
            </w:r>
            <w:r w:rsidRPr="00971C42">
              <w:rPr>
                <w:rFonts w:ascii="Arial" w:hAnsi="Arial" w:cs="Arial"/>
                <w:snapToGrid w:val="0"/>
                <w:sz w:val="18"/>
                <w:szCs w:val="18"/>
                <w:vertAlign w:val="superscript"/>
                <w:lang w:eastAsia="en-US"/>
              </w:rPr>
              <w:t>#</w:t>
            </w:r>
          </w:p>
        </w:tc>
        <w:tc>
          <w:tcPr>
            <w:tcW w:w="737" w:type="dxa"/>
            <w:vAlign w:val="center"/>
          </w:tcPr>
          <w:p w:rsidR="006C4EC2" w:rsidRPr="00971C42" w:rsidRDefault="006C4EC2" w:rsidP="006C4EC2">
            <w:pPr>
              <w:spacing w:line="276" w:lineRule="auto"/>
              <w:jc w:val="both"/>
              <w:rPr>
                <w:rFonts w:ascii="Arial" w:eastAsia="SimSun" w:hAnsi="Arial" w:cs="Arial"/>
                <w:sz w:val="18"/>
                <w:szCs w:val="18"/>
                <w:lang w:eastAsia="en-US" w:bidi="en-US"/>
              </w:rPr>
            </w:pPr>
            <w:r w:rsidRPr="00971C42">
              <w:rPr>
                <w:rFonts w:ascii="Arial" w:eastAsia="SimSun" w:hAnsi="Arial" w:cs="Arial"/>
                <w:sz w:val="18"/>
                <w:szCs w:val="18"/>
                <w:lang w:eastAsia="en-US" w:bidi="en-US"/>
              </w:rPr>
              <w:t>450/636 (71%)</w:t>
            </w:r>
          </w:p>
        </w:tc>
        <w:tc>
          <w:tcPr>
            <w:tcW w:w="823" w:type="dxa"/>
            <w:vAlign w:val="center"/>
          </w:tcPr>
          <w:p w:rsidR="006C4EC2" w:rsidRPr="00971C42" w:rsidRDefault="006C4EC2" w:rsidP="006C4EC2">
            <w:pPr>
              <w:spacing w:line="276" w:lineRule="auto"/>
              <w:jc w:val="both"/>
              <w:rPr>
                <w:rFonts w:ascii="Arial" w:eastAsia="SimSun" w:hAnsi="Arial" w:cs="Arial"/>
                <w:sz w:val="18"/>
                <w:szCs w:val="18"/>
                <w:lang w:eastAsia="en-US" w:bidi="en-US"/>
              </w:rPr>
            </w:pPr>
            <w:r w:rsidRPr="00971C42">
              <w:rPr>
                <w:rFonts w:ascii="Arial" w:eastAsia="SimSun" w:hAnsi="Arial" w:cs="Arial"/>
                <w:sz w:val="18"/>
                <w:szCs w:val="18"/>
                <w:lang w:eastAsia="en-US" w:bidi="en-US"/>
              </w:rPr>
              <w:t>232/283 (82%)</w:t>
            </w:r>
          </w:p>
        </w:tc>
        <w:tc>
          <w:tcPr>
            <w:tcW w:w="708" w:type="dxa"/>
            <w:vAlign w:val="center"/>
          </w:tcPr>
          <w:p w:rsidR="006C4EC2" w:rsidRPr="00971C42" w:rsidRDefault="006C4EC2" w:rsidP="006C4EC2">
            <w:pPr>
              <w:spacing w:line="276" w:lineRule="auto"/>
              <w:jc w:val="both"/>
              <w:rPr>
                <w:rFonts w:ascii="Arial" w:eastAsia="SimSun" w:hAnsi="Arial" w:cs="Arial"/>
                <w:sz w:val="18"/>
                <w:szCs w:val="18"/>
                <w:lang w:eastAsia="en-US" w:bidi="en-US"/>
              </w:rPr>
            </w:pPr>
            <w:r w:rsidRPr="00971C42">
              <w:rPr>
                <w:rFonts w:ascii="Arial" w:eastAsia="SimSun" w:hAnsi="Arial" w:cs="Arial"/>
                <w:sz w:val="18"/>
                <w:szCs w:val="18"/>
                <w:lang w:eastAsia="en-US" w:bidi="en-US"/>
              </w:rPr>
              <w:t>46/141 (33%)</w:t>
            </w:r>
          </w:p>
        </w:tc>
        <w:tc>
          <w:tcPr>
            <w:tcW w:w="1559" w:type="dxa"/>
            <w:shd w:val="clear" w:color="auto" w:fill="DBE5F1"/>
            <w:vAlign w:val="center"/>
          </w:tcPr>
          <w:p w:rsidR="006C4EC2" w:rsidRPr="00971C42" w:rsidRDefault="006C4EC2" w:rsidP="006C4EC2">
            <w:pPr>
              <w:widowControl w:val="0"/>
              <w:jc w:val="both"/>
              <w:rPr>
                <w:rFonts w:ascii="Arial" w:hAnsi="Arial" w:cs="Arial"/>
                <w:b/>
                <w:i/>
                <w:snapToGrid w:val="0"/>
                <w:sz w:val="18"/>
                <w:szCs w:val="18"/>
                <w:lang w:eastAsia="en-US"/>
              </w:rPr>
            </w:pPr>
            <w:r w:rsidRPr="00971C42">
              <w:rPr>
                <w:rFonts w:ascii="Arial" w:hAnsi="Arial" w:cs="Arial"/>
                <w:b/>
                <w:i/>
                <w:snapToGrid w:val="0"/>
                <w:sz w:val="18"/>
                <w:szCs w:val="18"/>
                <w:lang w:eastAsia="en-US"/>
              </w:rPr>
              <w:t>38% (30%, 46%)</w:t>
            </w:r>
          </w:p>
          <w:p w:rsidR="006C4EC2" w:rsidRPr="00971C42" w:rsidRDefault="006C4EC2" w:rsidP="006C4EC2">
            <w:pPr>
              <w:widowControl w:val="0"/>
              <w:jc w:val="both"/>
              <w:rPr>
                <w:rFonts w:ascii="Arial" w:hAnsi="Arial" w:cs="Arial"/>
                <w:b/>
                <w:i/>
                <w:snapToGrid w:val="0"/>
                <w:sz w:val="18"/>
                <w:szCs w:val="18"/>
                <w:lang w:eastAsia="en-US"/>
              </w:rPr>
            </w:pPr>
            <w:r w:rsidRPr="00971C42">
              <w:rPr>
                <w:rFonts w:ascii="Arial" w:hAnsi="Arial" w:cs="Arial"/>
                <w:b/>
                <w:i/>
                <w:snapToGrid w:val="0"/>
                <w:sz w:val="18"/>
                <w:szCs w:val="18"/>
                <w:lang w:eastAsia="en-US"/>
              </w:rPr>
              <w:t>3 [2, 3]</w:t>
            </w:r>
          </w:p>
        </w:tc>
        <w:tc>
          <w:tcPr>
            <w:tcW w:w="993" w:type="dxa"/>
            <w:shd w:val="clear" w:color="auto" w:fill="DBE5F1"/>
            <w:vAlign w:val="center"/>
          </w:tcPr>
          <w:p w:rsidR="006C4EC2" w:rsidRPr="00971C42" w:rsidRDefault="006C4EC2" w:rsidP="006C4EC2">
            <w:pPr>
              <w:widowControl w:val="0"/>
              <w:jc w:val="both"/>
              <w:rPr>
                <w:rFonts w:ascii="Arial" w:hAnsi="Arial" w:cs="Arial"/>
                <w:b/>
                <w:i/>
                <w:snapToGrid w:val="0"/>
                <w:sz w:val="18"/>
                <w:szCs w:val="18"/>
                <w:lang w:eastAsia="en-US"/>
              </w:rPr>
            </w:pPr>
            <w:r w:rsidRPr="00971C42">
              <w:rPr>
                <w:rFonts w:ascii="Arial" w:hAnsi="Arial" w:cs="Arial"/>
                <w:b/>
                <w:i/>
                <w:snapToGrid w:val="0"/>
                <w:sz w:val="18"/>
                <w:szCs w:val="18"/>
                <w:lang w:eastAsia="en-US"/>
              </w:rPr>
              <w:t>2.17</w:t>
            </w:r>
          </w:p>
          <w:p w:rsidR="006C4EC2" w:rsidRPr="00971C42" w:rsidRDefault="006C4EC2" w:rsidP="006C4EC2">
            <w:pPr>
              <w:widowControl w:val="0"/>
              <w:jc w:val="both"/>
              <w:rPr>
                <w:rFonts w:ascii="Arial" w:hAnsi="Arial" w:cs="Arial"/>
                <w:b/>
                <w:i/>
                <w:snapToGrid w:val="0"/>
                <w:sz w:val="18"/>
                <w:szCs w:val="18"/>
                <w:lang w:eastAsia="en-US"/>
              </w:rPr>
            </w:pPr>
            <w:r w:rsidRPr="00971C42">
              <w:rPr>
                <w:rFonts w:ascii="Arial" w:hAnsi="Arial" w:cs="Arial"/>
                <w:b/>
                <w:i/>
                <w:snapToGrid w:val="0"/>
                <w:sz w:val="18"/>
                <w:szCs w:val="18"/>
                <w:lang w:eastAsia="en-US"/>
              </w:rPr>
              <w:t>(1.73, 2.79)</w:t>
            </w:r>
          </w:p>
        </w:tc>
        <w:tc>
          <w:tcPr>
            <w:tcW w:w="1559" w:type="dxa"/>
            <w:shd w:val="clear" w:color="auto" w:fill="DBE5F1"/>
            <w:vAlign w:val="center"/>
          </w:tcPr>
          <w:p w:rsidR="006C4EC2" w:rsidRPr="00971C42" w:rsidRDefault="006C4EC2" w:rsidP="006C4EC2">
            <w:pPr>
              <w:widowControl w:val="0"/>
              <w:jc w:val="both"/>
              <w:rPr>
                <w:rFonts w:ascii="Arial" w:hAnsi="Arial" w:cs="Arial"/>
                <w:b/>
                <w:i/>
                <w:snapToGrid w:val="0"/>
                <w:sz w:val="18"/>
                <w:szCs w:val="18"/>
                <w:lang w:eastAsia="en-US"/>
              </w:rPr>
            </w:pPr>
            <w:r w:rsidRPr="00971C42">
              <w:rPr>
                <w:rFonts w:ascii="Arial" w:hAnsi="Arial" w:cs="Arial"/>
                <w:b/>
                <w:i/>
                <w:snapToGrid w:val="0"/>
                <w:sz w:val="18"/>
                <w:szCs w:val="18"/>
                <w:lang w:eastAsia="en-US"/>
              </w:rPr>
              <w:t>49% (40%, 58%)</w:t>
            </w:r>
          </w:p>
          <w:p w:rsidR="006C4EC2" w:rsidRPr="00971C42" w:rsidRDefault="006C4EC2" w:rsidP="006C4EC2">
            <w:pPr>
              <w:widowControl w:val="0"/>
              <w:jc w:val="both"/>
              <w:rPr>
                <w:rFonts w:ascii="Arial" w:hAnsi="Arial" w:cs="Arial"/>
                <w:b/>
                <w:i/>
                <w:snapToGrid w:val="0"/>
                <w:sz w:val="18"/>
                <w:szCs w:val="18"/>
                <w:lang w:eastAsia="en-US"/>
              </w:rPr>
            </w:pPr>
            <w:r w:rsidRPr="00971C42">
              <w:rPr>
                <w:rFonts w:ascii="Arial" w:hAnsi="Arial" w:cs="Arial"/>
                <w:b/>
                <w:i/>
                <w:snapToGrid w:val="0"/>
                <w:sz w:val="18"/>
                <w:szCs w:val="18"/>
                <w:lang w:eastAsia="en-US"/>
              </w:rPr>
              <w:t>2 [2, 3]</w:t>
            </w:r>
          </w:p>
        </w:tc>
        <w:tc>
          <w:tcPr>
            <w:tcW w:w="992" w:type="dxa"/>
            <w:shd w:val="clear" w:color="auto" w:fill="DBE5F1"/>
            <w:vAlign w:val="center"/>
          </w:tcPr>
          <w:p w:rsidR="006C4EC2" w:rsidRPr="00971C42" w:rsidRDefault="006C4EC2" w:rsidP="006C4EC2">
            <w:pPr>
              <w:widowControl w:val="0"/>
              <w:jc w:val="both"/>
              <w:rPr>
                <w:rFonts w:ascii="Arial" w:hAnsi="Arial" w:cs="Arial"/>
                <w:b/>
                <w:i/>
                <w:snapToGrid w:val="0"/>
                <w:sz w:val="18"/>
                <w:szCs w:val="18"/>
                <w:lang w:eastAsia="en-US"/>
              </w:rPr>
            </w:pPr>
            <w:r w:rsidRPr="00971C42">
              <w:rPr>
                <w:rFonts w:ascii="Arial" w:hAnsi="Arial" w:cs="Arial"/>
                <w:b/>
                <w:i/>
                <w:snapToGrid w:val="0"/>
                <w:sz w:val="18"/>
                <w:szCs w:val="18"/>
                <w:lang w:eastAsia="en-US"/>
              </w:rPr>
              <w:t xml:space="preserve">2.51 </w:t>
            </w:r>
          </w:p>
          <w:p w:rsidR="006C4EC2" w:rsidRPr="00971C42" w:rsidRDefault="006C4EC2" w:rsidP="006C4EC2">
            <w:pPr>
              <w:widowControl w:val="0"/>
              <w:jc w:val="both"/>
              <w:rPr>
                <w:rFonts w:ascii="Arial" w:hAnsi="Arial" w:cs="Arial"/>
                <w:b/>
                <w:i/>
                <w:snapToGrid w:val="0"/>
                <w:sz w:val="18"/>
                <w:szCs w:val="18"/>
                <w:lang w:eastAsia="en-US"/>
              </w:rPr>
            </w:pPr>
            <w:r w:rsidRPr="00971C42">
              <w:rPr>
                <w:rFonts w:ascii="Arial" w:hAnsi="Arial" w:cs="Arial"/>
                <w:b/>
                <w:i/>
                <w:snapToGrid w:val="0"/>
                <w:sz w:val="18"/>
                <w:szCs w:val="18"/>
                <w:lang w:eastAsia="en-US"/>
              </w:rPr>
              <w:t>(2, 3.24)</w:t>
            </w:r>
          </w:p>
        </w:tc>
      </w:tr>
      <w:tr w:rsidR="006C4EC2" w:rsidRPr="00971C42" w:rsidTr="006C4EC2">
        <w:tc>
          <w:tcPr>
            <w:tcW w:w="1134" w:type="dxa"/>
            <w:tcBorders>
              <w:bottom w:val="dotted" w:sz="4" w:space="0" w:color="auto"/>
            </w:tcBorders>
            <w:vAlign w:val="center"/>
          </w:tcPr>
          <w:p w:rsidR="006C4EC2" w:rsidRPr="00971C42" w:rsidRDefault="006C4EC2" w:rsidP="006C4EC2">
            <w:pPr>
              <w:widowControl w:val="0"/>
              <w:jc w:val="both"/>
              <w:rPr>
                <w:rFonts w:ascii="Arial" w:hAnsi="Arial" w:cs="Arial"/>
                <w:snapToGrid w:val="0"/>
                <w:sz w:val="18"/>
                <w:szCs w:val="18"/>
                <w:lang w:eastAsia="en-US"/>
              </w:rPr>
            </w:pPr>
            <w:r w:rsidRPr="00971C42">
              <w:rPr>
                <w:rFonts w:ascii="Arial" w:hAnsi="Arial" w:cs="Arial"/>
                <w:snapToGrid w:val="0"/>
                <w:sz w:val="18"/>
                <w:szCs w:val="18"/>
                <w:lang w:eastAsia="en-US"/>
              </w:rPr>
              <w:t>CONFIRMS</w:t>
            </w:r>
          </w:p>
          <w:p w:rsidR="006C4EC2" w:rsidRPr="00971C42" w:rsidRDefault="006C4EC2" w:rsidP="006C4EC2">
            <w:pPr>
              <w:widowControl w:val="0"/>
              <w:numPr>
                <w:ilvl w:val="0"/>
                <w:numId w:val="12"/>
              </w:numPr>
              <w:tabs>
                <w:tab w:val="left" w:pos="173"/>
              </w:tabs>
              <w:ind w:left="114" w:hanging="142"/>
              <w:jc w:val="both"/>
              <w:rPr>
                <w:rFonts w:ascii="Arial" w:hAnsi="Arial" w:cs="Arial"/>
                <w:snapToGrid w:val="0"/>
                <w:sz w:val="18"/>
                <w:szCs w:val="18"/>
                <w:lang w:eastAsia="en-US"/>
              </w:rPr>
            </w:pPr>
            <w:r w:rsidRPr="00971C42">
              <w:rPr>
                <w:rFonts w:ascii="Arial" w:hAnsi="Arial" w:cs="Arial"/>
                <w:snapToGrid w:val="0"/>
                <w:sz w:val="18"/>
                <w:szCs w:val="18"/>
                <w:lang w:eastAsia="en-US"/>
              </w:rPr>
              <w:t>All pts^</w:t>
            </w:r>
          </w:p>
        </w:tc>
        <w:tc>
          <w:tcPr>
            <w:tcW w:w="737" w:type="dxa"/>
            <w:tcBorders>
              <w:bottom w:val="dotted" w:sz="4" w:space="0" w:color="auto"/>
            </w:tcBorders>
            <w:vAlign w:val="bottom"/>
          </w:tcPr>
          <w:p w:rsidR="006C4EC2" w:rsidRPr="00971C42" w:rsidRDefault="006C4EC2" w:rsidP="006C4EC2">
            <w:pPr>
              <w:spacing w:line="276" w:lineRule="auto"/>
              <w:jc w:val="both"/>
              <w:rPr>
                <w:rFonts w:ascii="Arial" w:eastAsia="SimSun" w:hAnsi="Arial" w:cs="Arial"/>
                <w:sz w:val="18"/>
                <w:szCs w:val="18"/>
                <w:lang w:eastAsia="en-US" w:bidi="en-US"/>
              </w:rPr>
            </w:pPr>
            <w:r w:rsidRPr="00971C42">
              <w:rPr>
                <w:rFonts w:ascii="Arial" w:eastAsia="SimSun" w:hAnsi="Arial" w:cs="Arial"/>
                <w:sz w:val="18"/>
                <w:szCs w:val="18"/>
                <w:lang w:eastAsia="en-US" w:bidi="en-US"/>
              </w:rPr>
              <w:t>507/756 (67%)</w:t>
            </w:r>
          </w:p>
        </w:tc>
        <w:tc>
          <w:tcPr>
            <w:tcW w:w="823" w:type="dxa"/>
            <w:tcBorders>
              <w:bottom w:val="dotted" w:sz="4" w:space="0" w:color="auto"/>
            </w:tcBorders>
            <w:vAlign w:val="bottom"/>
          </w:tcPr>
          <w:p w:rsidR="006C4EC2" w:rsidRPr="00971C42" w:rsidRDefault="006C4EC2" w:rsidP="006C4EC2">
            <w:pPr>
              <w:spacing w:line="276" w:lineRule="auto"/>
              <w:jc w:val="both"/>
              <w:rPr>
                <w:rFonts w:ascii="Arial" w:eastAsia="SimSun" w:hAnsi="Arial" w:cs="Arial"/>
                <w:sz w:val="18"/>
                <w:szCs w:val="18"/>
                <w:lang w:eastAsia="en-US" w:bidi="en-US"/>
              </w:rPr>
            </w:pPr>
            <w:r w:rsidRPr="00971C42">
              <w:rPr>
                <w:rFonts w:ascii="Arial" w:eastAsia="SimSun" w:hAnsi="Arial" w:cs="Arial"/>
                <w:sz w:val="18"/>
                <w:szCs w:val="18"/>
                <w:lang w:eastAsia="en-US" w:bidi="en-US"/>
              </w:rPr>
              <w:t>-</w:t>
            </w:r>
          </w:p>
        </w:tc>
        <w:tc>
          <w:tcPr>
            <w:tcW w:w="708" w:type="dxa"/>
            <w:tcBorders>
              <w:bottom w:val="dotted" w:sz="4" w:space="0" w:color="auto"/>
            </w:tcBorders>
            <w:vAlign w:val="bottom"/>
          </w:tcPr>
          <w:p w:rsidR="006C4EC2" w:rsidRPr="00971C42" w:rsidRDefault="006C4EC2" w:rsidP="006C4EC2">
            <w:pPr>
              <w:widowControl w:val="0"/>
              <w:jc w:val="both"/>
              <w:rPr>
                <w:rFonts w:ascii="Arial" w:hAnsi="Arial" w:cs="Arial"/>
                <w:snapToGrid w:val="0"/>
                <w:sz w:val="18"/>
                <w:szCs w:val="18"/>
                <w:lang w:eastAsia="en-US"/>
              </w:rPr>
            </w:pPr>
            <w:r w:rsidRPr="00971C42">
              <w:rPr>
                <w:rFonts w:ascii="Arial" w:hAnsi="Arial" w:cs="Arial"/>
                <w:snapToGrid w:val="0"/>
                <w:sz w:val="18"/>
                <w:szCs w:val="18"/>
                <w:lang w:eastAsia="en-US"/>
              </w:rPr>
              <w:t>318/755 (42.1%)</w:t>
            </w:r>
          </w:p>
        </w:tc>
        <w:tc>
          <w:tcPr>
            <w:tcW w:w="1559" w:type="dxa"/>
            <w:tcBorders>
              <w:bottom w:val="dotted" w:sz="4" w:space="0" w:color="auto"/>
            </w:tcBorders>
            <w:shd w:val="clear" w:color="auto" w:fill="DBE5F1"/>
            <w:vAlign w:val="bottom"/>
          </w:tcPr>
          <w:p w:rsidR="006C4EC2" w:rsidRPr="00971C42" w:rsidRDefault="006C4EC2" w:rsidP="006C4EC2">
            <w:pPr>
              <w:widowControl w:val="0"/>
              <w:jc w:val="both"/>
              <w:rPr>
                <w:rFonts w:ascii="Arial" w:hAnsi="Arial" w:cs="Arial"/>
                <w:b/>
                <w:snapToGrid w:val="0"/>
                <w:sz w:val="18"/>
                <w:szCs w:val="18"/>
                <w:lang w:eastAsia="en-US"/>
              </w:rPr>
            </w:pPr>
            <w:r w:rsidRPr="00971C42">
              <w:rPr>
                <w:rFonts w:ascii="Arial" w:hAnsi="Arial" w:cs="Arial"/>
                <w:b/>
                <w:snapToGrid w:val="0"/>
                <w:sz w:val="18"/>
                <w:szCs w:val="18"/>
                <w:lang w:eastAsia="en-US"/>
              </w:rPr>
              <w:t>25% (20%, 30%)</w:t>
            </w:r>
          </w:p>
          <w:p w:rsidR="006C4EC2" w:rsidRPr="00971C42" w:rsidRDefault="006C4EC2" w:rsidP="006C4EC2">
            <w:pPr>
              <w:widowControl w:val="0"/>
              <w:jc w:val="both"/>
              <w:rPr>
                <w:rFonts w:ascii="Arial" w:hAnsi="Arial" w:cs="Arial"/>
                <w:b/>
                <w:i/>
                <w:snapToGrid w:val="0"/>
                <w:sz w:val="18"/>
                <w:szCs w:val="18"/>
                <w:lang w:eastAsia="en-US"/>
              </w:rPr>
            </w:pPr>
            <w:r w:rsidRPr="00971C42">
              <w:rPr>
                <w:rFonts w:ascii="Arial" w:hAnsi="Arial" w:cs="Arial"/>
                <w:b/>
                <w:i/>
                <w:snapToGrid w:val="0"/>
                <w:sz w:val="18"/>
                <w:szCs w:val="18"/>
                <w:lang w:eastAsia="en-US"/>
              </w:rPr>
              <w:t>4 [3, 5]</w:t>
            </w:r>
          </w:p>
        </w:tc>
        <w:tc>
          <w:tcPr>
            <w:tcW w:w="993" w:type="dxa"/>
            <w:tcBorders>
              <w:bottom w:val="dotted" w:sz="4" w:space="0" w:color="auto"/>
            </w:tcBorders>
            <w:shd w:val="clear" w:color="auto" w:fill="DBE5F1"/>
            <w:vAlign w:val="bottom"/>
          </w:tcPr>
          <w:p w:rsidR="006C4EC2" w:rsidRPr="00971C42" w:rsidRDefault="006C4EC2" w:rsidP="006C4EC2">
            <w:pPr>
              <w:widowControl w:val="0"/>
              <w:jc w:val="both"/>
              <w:rPr>
                <w:rFonts w:ascii="Arial" w:hAnsi="Arial" w:cs="Arial"/>
                <w:b/>
                <w:i/>
                <w:snapToGrid w:val="0"/>
                <w:sz w:val="18"/>
                <w:szCs w:val="18"/>
                <w:lang w:eastAsia="en-US"/>
              </w:rPr>
            </w:pPr>
            <w:r w:rsidRPr="00971C42">
              <w:rPr>
                <w:rFonts w:ascii="Arial" w:hAnsi="Arial" w:cs="Arial"/>
                <w:b/>
                <w:i/>
                <w:snapToGrid w:val="0"/>
                <w:sz w:val="18"/>
                <w:szCs w:val="18"/>
                <w:lang w:eastAsia="en-US"/>
              </w:rPr>
              <w:t>1.59</w:t>
            </w:r>
          </w:p>
          <w:p w:rsidR="006C4EC2" w:rsidRPr="00971C42" w:rsidRDefault="006C4EC2" w:rsidP="006C4EC2">
            <w:pPr>
              <w:widowControl w:val="0"/>
              <w:jc w:val="both"/>
              <w:rPr>
                <w:rFonts w:ascii="Arial" w:hAnsi="Arial" w:cs="Arial"/>
                <w:b/>
                <w:i/>
                <w:snapToGrid w:val="0"/>
                <w:sz w:val="18"/>
                <w:szCs w:val="18"/>
                <w:lang w:eastAsia="en-US"/>
              </w:rPr>
            </w:pPr>
            <w:r w:rsidRPr="00971C42">
              <w:rPr>
                <w:rFonts w:ascii="Arial" w:hAnsi="Arial" w:cs="Arial"/>
                <w:b/>
                <w:i/>
                <w:snapToGrid w:val="0"/>
                <w:sz w:val="18"/>
                <w:szCs w:val="18"/>
                <w:lang w:eastAsia="en-US"/>
              </w:rPr>
              <w:t>(1.45,1.76)</w:t>
            </w:r>
          </w:p>
        </w:tc>
        <w:tc>
          <w:tcPr>
            <w:tcW w:w="1559" w:type="dxa"/>
            <w:tcBorders>
              <w:bottom w:val="dotted" w:sz="4" w:space="0" w:color="auto"/>
            </w:tcBorders>
            <w:shd w:val="clear" w:color="auto" w:fill="DBE5F1"/>
            <w:vAlign w:val="bottom"/>
          </w:tcPr>
          <w:p w:rsidR="006C4EC2" w:rsidRPr="00971C42" w:rsidRDefault="006C4EC2" w:rsidP="006C4EC2">
            <w:pPr>
              <w:widowControl w:val="0"/>
              <w:jc w:val="both"/>
              <w:rPr>
                <w:rFonts w:ascii="Arial" w:hAnsi="Arial" w:cs="Arial"/>
                <w:i/>
                <w:snapToGrid w:val="0"/>
                <w:sz w:val="18"/>
                <w:szCs w:val="18"/>
                <w:lang w:eastAsia="en-US"/>
              </w:rPr>
            </w:pPr>
            <w:r w:rsidRPr="00971C42">
              <w:rPr>
                <w:rFonts w:ascii="Arial" w:hAnsi="Arial" w:cs="Arial"/>
                <w:i/>
                <w:snapToGrid w:val="0"/>
                <w:sz w:val="18"/>
                <w:szCs w:val="18"/>
                <w:lang w:eastAsia="en-US"/>
              </w:rPr>
              <w:t>-</w:t>
            </w:r>
          </w:p>
        </w:tc>
        <w:tc>
          <w:tcPr>
            <w:tcW w:w="992" w:type="dxa"/>
            <w:tcBorders>
              <w:bottom w:val="dotted" w:sz="4" w:space="0" w:color="auto"/>
            </w:tcBorders>
            <w:shd w:val="clear" w:color="auto" w:fill="DBE5F1"/>
            <w:vAlign w:val="bottom"/>
          </w:tcPr>
          <w:p w:rsidR="006C4EC2" w:rsidRPr="00971C42" w:rsidRDefault="006C4EC2" w:rsidP="006C4EC2">
            <w:pPr>
              <w:widowControl w:val="0"/>
              <w:jc w:val="both"/>
              <w:rPr>
                <w:rFonts w:ascii="Arial" w:hAnsi="Arial" w:cs="Arial"/>
                <w:i/>
                <w:snapToGrid w:val="0"/>
                <w:sz w:val="18"/>
                <w:szCs w:val="18"/>
                <w:lang w:eastAsia="en-US"/>
              </w:rPr>
            </w:pPr>
            <w:r w:rsidRPr="00971C42">
              <w:rPr>
                <w:rFonts w:ascii="Arial" w:hAnsi="Arial" w:cs="Arial"/>
                <w:i/>
                <w:snapToGrid w:val="0"/>
                <w:sz w:val="18"/>
                <w:szCs w:val="18"/>
                <w:lang w:eastAsia="en-US"/>
              </w:rPr>
              <w:t>-</w:t>
            </w:r>
          </w:p>
        </w:tc>
      </w:tr>
      <w:tr w:rsidR="006C4EC2" w:rsidRPr="00971C42" w:rsidTr="006C4EC2">
        <w:tc>
          <w:tcPr>
            <w:tcW w:w="1134" w:type="dxa"/>
            <w:tcBorders>
              <w:top w:val="dotted" w:sz="4" w:space="0" w:color="auto"/>
            </w:tcBorders>
            <w:vAlign w:val="center"/>
          </w:tcPr>
          <w:p w:rsidR="006C4EC2" w:rsidRPr="00971C42" w:rsidRDefault="006C4EC2" w:rsidP="006C4EC2">
            <w:pPr>
              <w:widowControl w:val="0"/>
              <w:numPr>
                <w:ilvl w:val="0"/>
                <w:numId w:val="12"/>
              </w:numPr>
              <w:tabs>
                <w:tab w:val="left" w:pos="173"/>
              </w:tabs>
              <w:ind w:left="114" w:hanging="142"/>
              <w:jc w:val="both"/>
              <w:rPr>
                <w:rFonts w:ascii="Arial" w:hAnsi="Arial" w:cs="Arial"/>
                <w:snapToGrid w:val="0"/>
                <w:sz w:val="18"/>
                <w:szCs w:val="18"/>
                <w:lang w:eastAsia="en-US"/>
              </w:rPr>
            </w:pPr>
            <w:r w:rsidRPr="00971C42">
              <w:rPr>
                <w:rFonts w:ascii="Arial" w:hAnsi="Arial" w:cs="Arial"/>
                <w:snapToGrid w:val="0"/>
                <w:sz w:val="18"/>
                <w:szCs w:val="18"/>
                <w:lang w:eastAsia="en-US"/>
              </w:rPr>
              <w:t>Renal impairment patients</w:t>
            </w:r>
          </w:p>
        </w:tc>
        <w:tc>
          <w:tcPr>
            <w:tcW w:w="737" w:type="dxa"/>
            <w:tcBorders>
              <w:top w:val="dotted" w:sz="4" w:space="0" w:color="auto"/>
            </w:tcBorders>
            <w:vAlign w:val="center"/>
          </w:tcPr>
          <w:p w:rsidR="006C4EC2" w:rsidRPr="00971C42" w:rsidRDefault="006C4EC2" w:rsidP="006C4EC2">
            <w:pPr>
              <w:spacing w:line="276" w:lineRule="auto"/>
              <w:jc w:val="both"/>
              <w:rPr>
                <w:rFonts w:ascii="Arial" w:eastAsia="SimSun" w:hAnsi="Arial" w:cs="Arial"/>
                <w:sz w:val="18"/>
                <w:szCs w:val="18"/>
                <w:lang w:eastAsia="en-US" w:bidi="en-US"/>
              </w:rPr>
            </w:pPr>
            <w:r w:rsidRPr="00971C42">
              <w:rPr>
                <w:rFonts w:ascii="Arial" w:eastAsia="SimSun" w:hAnsi="Arial" w:cs="Arial"/>
                <w:sz w:val="18"/>
                <w:szCs w:val="18"/>
                <w:lang w:eastAsia="en-US" w:bidi="en-US"/>
              </w:rPr>
              <w:t>360/503</w:t>
            </w:r>
          </w:p>
          <w:p w:rsidR="006C4EC2" w:rsidRPr="00971C42" w:rsidRDefault="006C4EC2" w:rsidP="006C4EC2">
            <w:pPr>
              <w:spacing w:line="276" w:lineRule="auto"/>
              <w:jc w:val="both"/>
              <w:rPr>
                <w:rFonts w:ascii="Arial" w:eastAsia="SimSun" w:hAnsi="Arial" w:cs="Arial"/>
                <w:sz w:val="18"/>
                <w:szCs w:val="18"/>
                <w:lang w:eastAsia="en-US" w:bidi="en-US"/>
              </w:rPr>
            </w:pPr>
            <w:r w:rsidRPr="00971C42">
              <w:rPr>
                <w:rFonts w:ascii="Arial" w:eastAsia="SimSun" w:hAnsi="Arial" w:cs="Arial"/>
                <w:sz w:val="18"/>
                <w:szCs w:val="18"/>
                <w:lang w:eastAsia="en-US" w:bidi="en-US"/>
              </w:rPr>
              <w:t>(71.6%)</w:t>
            </w:r>
          </w:p>
        </w:tc>
        <w:tc>
          <w:tcPr>
            <w:tcW w:w="823" w:type="dxa"/>
            <w:tcBorders>
              <w:top w:val="dotted" w:sz="4" w:space="0" w:color="auto"/>
            </w:tcBorders>
            <w:vAlign w:val="center"/>
          </w:tcPr>
          <w:p w:rsidR="006C4EC2" w:rsidRPr="00971C42" w:rsidRDefault="006C4EC2" w:rsidP="006C4EC2">
            <w:pPr>
              <w:spacing w:line="276" w:lineRule="auto"/>
              <w:jc w:val="both"/>
              <w:rPr>
                <w:rFonts w:ascii="Arial" w:eastAsia="SimSun" w:hAnsi="Arial" w:cs="Arial"/>
                <w:sz w:val="18"/>
                <w:szCs w:val="18"/>
                <w:lang w:eastAsia="en-US" w:bidi="en-US"/>
              </w:rPr>
            </w:pPr>
            <w:r w:rsidRPr="00971C42">
              <w:rPr>
                <w:rFonts w:ascii="Arial" w:eastAsia="SimSun" w:hAnsi="Arial" w:cs="Arial"/>
                <w:sz w:val="18"/>
                <w:szCs w:val="18"/>
                <w:lang w:eastAsia="en-US" w:bidi="en-US"/>
              </w:rPr>
              <w:t>-</w:t>
            </w:r>
          </w:p>
        </w:tc>
        <w:tc>
          <w:tcPr>
            <w:tcW w:w="708" w:type="dxa"/>
            <w:tcBorders>
              <w:top w:val="dotted" w:sz="4" w:space="0" w:color="auto"/>
            </w:tcBorders>
            <w:vAlign w:val="center"/>
          </w:tcPr>
          <w:p w:rsidR="006C4EC2" w:rsidRPr="00971C42" w:rsidRDefault="006C4EC2" w:rsidP="006C4EC2">
            <w:pPr>
              <w:widowControl w:val="0"/>
              <w:jc w:val="both"/>
              <w:rPr>
                <w:rFonts w:ascii="Arial" w:hAnsi="Arial" w:cs="Arial"/>
                <w:snapToGrid w:val="0"/>
                <w:sz w:val="18"/>
                <w:szCs w:val="18"/>
                <w:lang w:eastAsia="en-US"/>
              </w:rPr>
            </w:pPr>
            <w:r w:rsidRPr="00971C42">
              <w:rPr>
                <w:rFonts w:ascii="Arial" w:hAnsi="Arial" w:cs="Arial"/>
                <w:snapToGrid w:val="0"/>
                <w:sz w:val="18"/>
                <w:szCs w:val="18"/>
                <w:lang w:eastAsia="en-US"/>
              </w:rPr>
              <w:t>212/501</w:t>
            </w:r>
          </w:p>
          <w:p w:rsidR="006C4EC2" w:rsidRPr="00971C42" w:rsidRDefault="006C4EC2" w:rsidP="006C4EC2">
            <w:pPr>
              <w:widowControl w:val="0"/>
              <w:jc w:val="both"/>
              <w:rPr>
                <w:rFonts w:ascii="Arial" w:hAnsi="Arial" w:cs="Arial"/>
                <w:snapToGrid w:val="0"/>
                <w:sz w:val="18"/>
                <w:szCs w:val="18"/>
                <w:lang w:eastAsia="en-US"/>
              </w:rPr>
            </w:pPr>
            <w:r w:rsidRPr="00971C42">
              <w:rPr>
                <w:rFonts w:ascii="Arial" w:hAnsi="Arial" w:cs="Arial"/>
                <w:snapToGrid w:val="0"/>
                <w:sz w:val="18"/>
                <w:szCs w:val="18"/>
                <w:lang w:eastAsia="en-US"/>
              </w:rPr>
              <w:t>(42.3%)</w:t>
            </w:r>
          </w:p>
        </w:tc>
        <w:tc>
          <w:tcPr>
            <w:tcW w:w="1559" w:type="dxa"/>
            <w:tcBorders>
              <w:top w:val="dotted" w:sz="4" w:space="0" w:color="auto"/>
            </w:tcBorders>
            <w:shd w:val="clear" w:color="auto" w:fill="DBE5F1"/>
            <w:vAlign w:val="center"/>
          </w:tcPr>
          <w:p w:rsidR="006C4EC2" w:rsidRPr="00971C42" w:rsidRDefault="006C4EC2" w:rsidP="006C4EC2">
            <w:pPr>
              <w:widowControl w:val="0"/>
              <w:jc w:val="both"/>
              <w:rPr>
                <w:rFonts w:ascii="Arial" w:hAnsi="Arial" w:cs="Arial"/>
                <w:b/>
                <w:snapToGrid w:val="0"/>
                <w:sz w:val="18"/>
                <w:szCs w:val="18"/>
                <w:lang w:eastAsia="en-US"/>
              </w:rPr>
            </w:pPr>
            <w:r w:rsidRPr="00971C42">
              <w:rPr>
                <w:rFonts w:ascii="Arial" w:hAnsi="Arial" w:cs="Arial"/>
                <w:b/>
                <w:snapToGrid w:val="0"/>
                <w:sz w:val="18"/>
                <w:szCs w:val="18"/>
                <w:lang w:eastAsia="en-US"/>
              </w:rPr>
              <w:t>29% (23%, 35%)</w:t>
            </w:r>
          </w:p>
          <w:p w:rsidR="006C4EC2" w:rsidRPr="00971C42" w:rsidRDefault="006C4EC2" w:rsidP="006C4EC2">
            <w:pPr>
              <w:widowControl w:val="0"/>
              <w:jc w:val="both"/>
              <w:rPr>
                <w:rFonts w:ascii="Arial" w:hAnsi="Arial" w:cs="Arial"/>
                <w:b/>
                <w:snapToGrid w:val="0"/>
                <w:sz w:val="18"/>
                <w:szCs w:val="18"/>
                <w:lang w:eastAsia="en-US"/>
              </w:rPr>
            </w:pPr>
            <w:r w:rsidRPr="00971C42">
              <w:rPr>
                <w:rFonts w:ascii="Arial" w:hAnsi="Arial" w:cs="Arial"/>
                <w:b/>
                <w:snapToGrid w:val="0"/>
                <w:sz w:val="18"/>
                <w:szCs w:val="18"/>
                <w:lang w:eastAsia="en-US"/>
              </w:rPr>
              <w:t>3 [3, 4]</w:t>
            </w:r>
          </w:p>
        </w:tc>
        <w:tc>
          <w:tcPr>
            <w:tcW w:w="993" w:type="dxa"/>
            <w:tcBorders>
              <w:top w:val="dotted" w:sz="4" w:space="0" w:color="auto"/>
            </w:tcBorders>
            <w:shd w:val="clear" w:color="auto" w:fill="DBE5F1"/>
            <w:vAlign w:val="center"/>
          </w:tcPr>
          <w:p w:rsidR="006C4EC2" w:rsidRPr="00971C42" w:rsidRDefault="006C4EC2" w:rsidP="006C4EC2">
            <w:pPr>
              <w:widowControl w:val="0"/>
              <w:jc w:val="both"/>
              <w:rPr>
                <w:rFonts w:ascii="Arial" w:hAnsi="Arial" w:cs="Arial"/>
                <w:b/>
                <w:i/>
                <w:snapToGrid w:val="0"/>
                <w:sz w:val="18"/>
                <w:szCs w:val="18"/>
                <w:lang w:eastAsia="en-US"/>
              </w:rPr>
            </w:pPr>
            <w:r w:rsidRPr="00971C42">
              <w:rPr>
                <w:rFonts w:ascii="Arial" w:hAnsi="Arial" w:cs="Arial"/>
                <w:b/>
                <w:i/>
                <w:snapToGrid w:val="0"/>
                <w:sz w:val="18"/>
                <w:szCs w:val="18"/>
                <w:lang w:eastAsia="en-US"/>
              </w:rPr>
              <w:t>1.69</w:t>
            </w:r>
          </w:p>
          <w:p w:rsidR="006C4EC2" w:rsidRPr="00971C42" w:rsidRDefault="006C4EC2" w:rsidP="006C4EC2">
            <w:pPr>
              <w:widowControl w:val="0"/>
              <w:jc w:val="both"/>
              <w:rPr>
                <w:rFonts w:ascii="Arial" w:hAnsi="Arial" w:cs="Arial"/>
                <w:b/>
                <w:i/>
                <w:snapToGrid w:val="0"/>
                <w:sz w:val="18"/>
                <w:szCs w:val="18"/>
                <w:lang w:eastAsia="en-US"/>
              </w:rPr>
            </w:pPr>
            <w:r w:rsidRPr="00971C42">
              <w:rPr>
                <w:rFonts w:ascii="Arial" w:hAnsi="Arial" w:cs="Arial"/>
                <w:b/>
                <w:i/>
                <w:snapToGrid w:val="0"/>
                <w:sz w:val="18"/>
                <w:szCs w:val="18"/>
                <w:lang w:eastAsia="en-US"/>
              </w:rPr>
              <w:t>(1.51, 1.90)</w:t>
            </w:r>
          </w:p>
        </w:tc>
        <w:tc>
          <w:tcPr>
            <w:tcW w:w="1559" w:type="dxa"/>
            <w:tcBorders>
              <w:top w:val="dotted" w:sz="4" w:space="0" w:color="auto"/>
            </w:tcBorders>
            <w:shd w:val="clear" w:color="auto" w:fill="DBE5F1"/>
            <w:vAlign w:val="center"/>
          </w:tcPr>
          <w:p w:rsidR="006C4EC2" w:rsidRPr="00971C42" w:rsidRDefault="006C4EC2" w:rsidP="006C4EC2">
            <w:pPr>
              <w:widowControl w:val="0"/>
              <w:jc w:val="both"/>
              <w:rPr>
                <w:rFonts w:ascii="Arial" w:hAnsi="Arial" w:cs="Arial"/>
                <w:i/>
                <w:snapToGrid w:val="0"/>
                <w:sz w:val="18"/>
                <w:szCs w:val="18"/>
                <w:lang w:eastAsia="en-US"/>
              </w:rPr>
            </w:pPr>
            <w:r w:rsidRPr="00971C42">
              <w:rPr>
                <w:rFonts w:ascii="Arial" w:hAnsi="Arial" w:cs="Arial"/>
                <w:i/>
                <w:snapToGrid w:val="0"/>
                <w:sz w:val="18"/>
                <w:szCs w:val="18"/>
                <w:lang w:eastAsia="en-US"/>
              </w:rPr>
              <w:t>-</w:t>
            </w:r>
          </w:p>
        </w:tc>
        <w:tc>
          <w:tcPr>
            <w:tcW w:w="992" w:type="dxa"/>
            <w:tcBorders>
              <w:top w:val="dotted" w:sz="4" w:space="0" w:color="auto"/>
            </w:tcBorders>
            <w:shd w:val="clear" w:color="auto" w:fill="DBE5F1"/>
            <w:vAlign w:val="center"/>
          </w:tcPr>
          <w:p w:rsidR="006C4EC2" w:rsidRPr="00971C42" w:rsidRDefault="006C4EC2" w:rsidP="006C4EC2">
            <w:pPr>
              <w:widowControl w:val="0"/>
              <w:jc w:val="both"/>
              <w:rPr>
                <w:rFonts w:ascii="Arial" w:hAnsi="Arial" w:cs="Arial"/>
                <w:i/>
                <w:snapToGrid w:val="0"/>
                <w:sz w:val="18"/>
                <w:szCs w:val="18"/>
                <w:lang w:eastAsia="en-US"/>
              </w:rPr>
            </w:pPr>
            <w:r w:rsidRPr="00971C42">
              <w:rPr>
                <w:rFonts w:ascii="Arial" w:hAnsi="Arial" w:cs="Arial"/>
                <w:i/>
                <w:snapToGrid w:val="0"/>
                <w:sz w:val="18"/>
                <w:szCs w:val="18"/>
                <w:lang w:eastAsia="en-US"/>
              </w:rPr>
              <w:t>-</w:t>
            </w:r>
          </w:p>
        </w:tc>
      </w:tr>
      <w:tr w:rsidR="006C4EC2" w:rsidRPr="00971C42" w:rsidTr="006C4EC2">
        <w:tc>
          <w:tcPr>
            <w:tcW w:w="8505" w:type="dxa"/>
            <w:gridSpan w:val="8"/>
            <w:vAlign w:val="center"/>
          </w:tcPr>
          <w:p w:rsidR="006C4EC2" w:rsidRPr="00971C42" w:rsidRDefault="006C4EC2" w:rsidP="006C4EC2">
            <w:pPr>
              <w:widowControl w:val="0"/>
              <w:jc w:val="both"/>
              <w:rPr>
                <w:rFonts w:ascii="Arial" w:hAnsi="Arial" w:cs="Arial"/>
                <w:b/>
                <w:i/>
                <w:snapToGrid w:val="0"/>
                <w:sz w:val="18"/>
                <w:szCs w:val="18"/>
                <w:lang w:eastAsia="en-US"/>
              </w:rPr>
            </w:pPr>
            <w:r w:rsidRPr="00971C42">
              <w:rPr>
                <w:rFonts w:ascii="Arial" w:hAnsi="Arial" w:cs="Arial"/>
                <w:b/>
                <w:snapToGrid w:val="0"/>
                <w:sz w:val="18"/>
                <w:szCs w:val="18"/>
                <w:lang w:eastAsia="en-US"/>
              </w:rPr>
              <w:t>At week 28</w:t>
            </w:r>
          </w:p>
        </w:tc>
      </w:tr>
      <w:tr w:rsidR="006C4EC2" w:rsidRPr="00971C42" w:rsidTr="006C4EC2">
        <w:tc>
          <w:tcPr>
            <w:tcW w:w="1134" w:type="dxa"/>
            <w:vAlign w:val="center"/>
          </w:tcPr>
          <w:p w:rsidR="006C4EC2" w:rsidRPr="00971C42" w:rsidRDefault="006C4EC2" w:rsidP="006C4EC2">
            <w:pPr>
              <w:widowControl w:val="0"/>
              <w:jc w:val="both"/>
              <w:rPr>
                <w:rFonts w:ascii="Arial" w:hAnsi="Arial" w:cs="Arial"/>
                <w:snapToGrid w:val="0"/>
                <w:sz w:val="18"/>
                <w:szCs w:val="18"/>
                <w:lang w:eastAsia="en-US"/>
              </w:rPr>
            </w:pPr>
            <w:r w:rsidRPr="00971C42">
              <w:rPr>
                <w:rFonts w:ascii="Arial" w:hAnsi="Arial" w:cs="Arial"/>
                <w:snapToGrid w:val="0"/>
                <w:sz w:val="18"/>
                <w:szCs w:val="18"/>
                <w:lang w:eastAsia="en-US"/>
              </w:rPr>
              <w:t>APEX</w:t>
            </w:r>
          </w:p>
        </w:tc>
        <w:tc>
          <w:tcPr>
            <w:tcW w:w="737" w:type="dxa"/>
            <w:vAlign w:val="center"/>
          </w:tcPr>
          <w:p w:rsidR="006C4EC2" w:rsidRPr="00971C42" w:rsidRDefault="006C4EC2" w:rsidP="006C4EC2">
            <w:pPr>
              <w:spacing w:line="276" w:lineRule="auto"/>
              <w:jc w:val="both"/>
              <w:rPr>
                <w:rFonts w:ascii="Arial" w:eastAsia="SimSun" w:hAnsi="Arial" w:cs="Arial"/>
                <w:sz w:val="18"/>
                <w:szCs w:val="18"/>
                <w:lang w:eastAsia="en-US" w:bidi="en-US"/>
              </w:rPr>
            </w:pPr>
            <w:r w:rsidRPr="00971C42">
              <w:rPr>
                <w:rFonts w:ascii="Arial" w:eastAsia="SimSun" w:hAnsi="Arial" w:cs="Arial"/>
                <w:sz w:val="18"/>
                <w:szCs w:val="18"/>
                <w:lang w:eastAsia="en-US" w:bidi="en-US"/>
              </w:rPr>
              <w:t>122/161 (75.8%)</w:t>
            </w:r>
          </w:p>
        </w:tc>
        <w:tc>
          <w:tcPr>
            <w:tcW w:w="823" w:type="dxa"/>
            <w:vAlign w:val="center"/>
          </w:tcPr>
          <w:p w:rsidR="006C4EC2" w:rsidRPr="00971C42" w:rsidRDefault="006C4EC2" w:rsidP="006C4EC2">
            <w:pPr>
              <w:spacing w:line="276" w:lineRule="auto"/>
              <w:jc w:val="both"/>
              <w:rPr>
                <w:rFonts w:ascii="Arial" w:eastAsia="SimSun" w:hAnsi="Arial" w:cs="Arial"/>
                <w:sz w:val="18"/>
                <w:szCs w:val="18"/>
                <w:lang w:eastAsia="en-US" w:bidi="en-US"/>
              </w:rPr>
            </w:pPr>
            <w:r w:rsidRPr="00971C42">
              <w:rPr>
                <w:rFonts w:ascii="Arial" w:eastAsia="SimSun" w:hAnsi="Arial" w:cs="Arial"/>
                <w:sz w:val="18"/>
                <w:szCs w:val="18"/>
                <w:lang w:eastAsia="en-US" w:bidi="en-US"/>
              </w:rPr>
              <w:t>163/188 (86.7%)</w:t>
            </w:r>
          </w:p>
        </w:tc>
        <w:tc>
          <w:tcPr>
            <w:tcW w:w="708" w:type="dxa"/>
            <w:vAlign w:val="center"/>
          </w:tcPr>
          <w:p w:rsidR="006C4EC2" w:rsidRPr="00971C42" w:rsidRDefault="006C4EC2" w:rsidP="006C4EC2">
            <w:pPr>
              <w:widowControl w:val="0"/>
              <w:jc w:val="both"/>
              <w:rPr>
                <w:rFonts w:ascii="Arial" w:hAnsi="Arial" w:cs="Arial"/>
                <w:snapToGrid w:val="0"/>
                <w:sz w:val="18"/>
                <w:szCs w:val="18"/>
                <w:lang w:eastAsia="en-US"/>
              </w:rPr>
            </w:pPr>
            <w:r w:rsidRPr="00971C42">
              <w:rPr>
                <w:rFonts w:ascii="Arial" w:hAnsi="Arial" w:cs="Arial"/>
                <w:snapToGrid w:val="0"/>
                <w:sz w:val="18"/>
                <w:szCs w:val="18"/>
                <w:lang w:eastAsia="en-US"/>
              </w:rPr>
              <w:t>85/208</w:t>
            </w:r>
          </w:p>
          <w:p w:rsidR="006C4EC2" w:rsidRPr="00971C42" w:rsidRDefault="006C4EC2" w:rsidP="006C4EC2">
            <w:pPr>
              <w:widowControl w:val="0"/>
              <w:jc w:val="both"/>
              <w:rPr>
                <w:rFonts w:ascii="Arial" w:hAnsi="Arial" w:cs="Arial"/>
                <w:snapToGrid w:val="0"/>
                <w:sz w:val="18"/>
                <w:szCs w:val="18"/>
                <w:lang w:eastAsia="en-US"/>
              </w:rPr>
            </w:pPr>
            <w:r w:rsidRPr="00971C42">
              <w:rPr>
                <w:rFonts w:ascii="Arial" w:hAnsi="Arial" w:cs="Arial"/>
                <w:snapToGrid w:val="0"/>
                <w:sz w:val="18"/>
                <w:szCs w:val="18"/>
                <w:lang w:eastAsia="en-US"/>
              </w:rPr>
              <w:t>(41%)</w:t>
            </w:r>
          </w:p>
        </w:tc>
        <w:tc>
          <w:tcPr>
            <w:tcW w:w="1559" w:type="dxa"/>
            <w:shd w:val="clear" w:color="auto" w:fill="DBE5F1"/>
            <w:vAlign w:val="center"/>
          </w:tcPr>
          <w:p w:rsidR="006C4EC2" w:rsidRPr="00971C42" w:rsidRDefault="006C4EC2" w:rsidP="006C4EC2">
            <w:pPr>
              <w:widowControl w:val="0"/>
              <w:jc w:val="both"/>
              <w:rPr>
                <w:rFonts w:ascii="Arial" w:hAnsi="Arial" w:cs="Arial"/>
                <w:b/>
                <w:snapToGrid w:val="0"/>
                <w:sz w:val="18"/>
                <w:szCs w:val="18"/>
                <w:lang w:eastAsia="en-US"/>
              </w:rPr>
            </w:pPr>
            <w:r w:rsidRPr="00971C42">
              <w:rPr>
                <w:rFonts w:ascii="Arial" w:hAnsi="Arial" w:cs="Arial"/>
                <w:b/>
                <w:snapToGrid w:val="0"/>
                <w:sz w:val="18"/>
                <w:szCs w:val="18"/>
                <w:lang w:eastAsia="en-US"/>
              </w:rPr>
              <w:t>35% (25%, 44%)</w:t>
            </w:r>
          </w:p>
          <w:p w:rsidR="006C4EC2" w:rsidRPr="00971C42" w:rsidRDefault="006C4EC2" w:rsidP="006C4EC2">
            <w:pPr>
              <w:widowControl w:val="0"/>
              <w:jc w:val="both"/>
              <w:rPr>
                <w:rFonts w:ascii="Arial" w:hAnsi="Arial" w:cs="Arial"/>
                <w:b/>
                <w:snapToGrid w:val="0"/>
                <w:sz w:val="18"/>
                <w:szCs w:val="18"/>
                <w:highlight w:val="yellow"/>
                <w:lang w:eastAsia="en-US"/>
              </w:rPr>
            </w:pPr>
            <w:r w:rsidRPr="00971C42">
              <w:rPr>
                <w:rFonts w:ascii="Arial" w:hAnsi="Arial" w:cs="Arial"/>
                <w:b/>
                <w:snapToGrid w:val="0"/>
                <w:sz w:val="18"/>
                <w:szCs w:val="18"/>
                <w:lang w:eastAsia="en-US"/>
              </w:rPr>
              <w:t>3 [2, 4]</w:t>
            </w:r>
          </w:p>
        </w:tc>
        <w:tc>
          <w:tcPr>
            <w:tcW w:w="993" w:type="dxa"/>
            <w:shd w:val="clear" w:color="auto" w:fill="DBE5F1"/>
            <w:vAlign w:val="center"/>
          </w:tcPr>
          <w:p w:rsidR="006C4EC2" w:rsidRPr="00971C42" w:rsidRDefault="006C4EC2" w:rsidP="006C4EC2">
            <w:pPr>
              <w:widowControl w:val="0"/>
              <w:jc w:val="both"/>
              <w:rPr>
                <w:rFonts w:ascii="Arial" w:hAnsi="Arial" w:cs="Arial"/>
                <w:b/>
                <w:i/>
                <w:snapToGrid w:val="0"/>
                <w:sz w:val="18"/>
                <w:szCs w:val="18"/>
                <w:lang w:eastAsia="en-US"/>
              </w:rPr>
            </w:pPr>
            <w:r w:rsidRPr="00971C42">
              <w:rPr>
                <w:rFonts w:ascii="Arial" w:hAnsi="Arial" w:cs="Arial"/>
                <w:b/>
                <w:i/>
                <w:snapToGrid w:val="0"/>
                <w:sz w:val="18"/>
                <w:szCs w:val="18"/>
                <w:lang w:eastAsia="en-US"/>
              </w:rPr>
              <w:t>1.85</w:t>
            </w:r>
          </w:p>
          <w:p w:rsidR="006C4EC2" w:rsidRPr="00971C42" w:rsidRDefault="006C4EC2" w:rsidP="006C4EC2">
            <w:pPr>
              <w:widowControl w:val="0"/>
              <w:jc w:val="both"/>
              <w:rPr>
                <w:rFonts w:ascii="Arial" w:hAnsi="Arial" w:cs="Arial"/>
                <w:b/>
                <w:i/>
                <w:snapToGrid w:val="0"/>
                <w:sz w:val="18"/>
                <w:szCs w:val="18"/>
                <w:lang w:eastAsia="en-US"/>
              </w:rPr>
            </w:pPr>
            <w:r w:rsidRPr="00971C42">
              <w:rPr>
                <w:rFonts w:ascii="Arial" w:hAnsi="Arial" w:cs="Arial"/>
                <w:b/>
                <w:i/>
                <w:snapToGrid w:val="0"/>
                <w:sz w:val="18"/>
                <w:szCs w:val="18"/>
                <w:lang w:eastAsia="en-US"/>
              </w:rPr>
              <w:t>(1.55, 2.24)</w:t>
            </w:r>
          </w:p>
        </w:tc>
        <w:tc>
          <w:tcPr>
            <w:tcW w:w="1559" w:type="dxa"/>
            <w:shd w:val="clear" w:color="auto" w:fill="DBE5F1"/>
            <w:vAlign w:val="center"/>
          </w:tcPr>
          <w:p w:rsidR="006C4EC2" w:rsidRPr="00971C42" w:rsidRDefault="006C4EC2" w:rsidP="006C4EC2">
            <w:pPr>
              <w:widowControl w:val="0"/>
              <w:jc w:val="both"/>
              <w:rPr>
                <w:rFonts w:ascii="Arial" w:hAnsi="Arial" w:cs="Arial"/>
                <w:b/>
                <w:i/>
                <w:snapToGrid w:val="0"/>
                <w:sz w:val="18"/>
                <w:szCs w:val="18"/>
                <w:lang w:eastAsia="en-US"/>
              </w:rPr>
            </w:pPr>
            <w:r w:rsidRPr="00971C42">
              <w:rPr>
                <w:rFonts w:ascii="Arial" w:hAnsi="Arial" w:cs="Arial"/>
                <w:b/>
                <w:i/>
                <w:snapToGrid w:val="0"/>
                <w:sz w:val="18"/>
                <w:szCs w:val="18"/>
                <w:lang w:eastAsia="en-US"/>
              </w:rPr>
              <w:t>46% (37%, 54%)</w:t>
            </w:r>
          </w:p>
          <w:p w:rsidR="006C4EC2" w:rsidRPr="00971C42" w:rsidRDefault="006C4EC2" w:rsidP="006C4EC2">
            <w:pPr>
              <w:widowControl w:val="0"/>
              <w:jc w:val="both"/>
              <w:rPr>
                <w:rFonts w:ascii="Arial" w:hAnsi="Arial" w:cs="Arial"/>
                <w:b/>
                <w:i/>
                <w:snapToGrid w:val="0"/>
                <w:sz w:val="18"/>
                <w:szCs w:val="18"/>
                <w:lang w:eastAsia="en-US"/>
              </w:rPr>
            </w:pPr>
            <w:r w:rsidRPr="00971C42">
              <w:rPr>
                <w:rFonts w:ascii="Arial" w:hAnsi="Arial" w:cs="Arial"/>
                <w:b/>
                <w:i/>
                <w:snapToGrid w:val="0"/>
                <w:sz w:val="18"/>
                <w:szCs w:val="18"/>
                <w:lang w:eastAsia="en-US"/>
              </w:rPr>
              <w:t>2 [2, 3]</w:t>
            </w:r>
          </w:p>
        </w:tc>
        <w:tc>
          <w:tcPr>
            <w:tcW w:w="992" w:type="dxa"/>
            <w:shd w:val="clear" w:color="auto" w:fill="DBE5F1"/>
            <w:vAlign w:val="center"/>
          </w:tcPr>
          <w:p w:rsidR="006C4EC2" w:rsidRPr="00971C42" w:rsidRDefault="006C4EC2" w:rsidP="006C4EC2">
            <w:pPr>
              <w:widowControl w:val="0"/>
              <w:jc w:val="both"/>
              <w:rPr>
                <w:rFonts w:ascii="Arial" w:hAnsi="Arial" w:cs="Arial"/>
                <w:b/>
                <w:i/>
                <w:snapToGrid w:val="0"/>
                <w:sz w:val="18"/>
                <w:szCs w:val="18"/>
                <w:lang w:eastAsia="en-US"/>
              </w:rPr>
            </w:pPr>
            <w:r w:rsidRPr="00971C42">
              <w:rPr>
                <w:rFonts w:ascii="Arial" w:hAnsi="Arial" w:cs="Arial"/>
                <w:b/>
                <w:i/>
                <w:snapToGrid w:val="0"/>
                <w:sz w:val="18"/>
                <w:szCs w:val="18"/>
                <w:lang w:eastAsia="en-US"/>
              </w:rPr>
              <w:t>2.12</w:t>
            </w:r>
          </w:p>
          <w:p w:rsidR="006C4EC2" w:rsidRPr="00971C42" w:rsidRDefault="006C4EC2" w:rsidP="006C4EC2">
            <w:pPr>
              <w:widowControl w:val="0"/>
              <w:jc w:val="both"/>
              <w:rPr>
                <w:rFonts w:ascii="Arial" w:hAnsi="Arial" w:cs="Arial"/>
                <w:b/>
                <w:i/>
                <w:snapToGrid w:val="0"/>
                <w:sz w:val="18"/>
                <w:szCs w:val="18"/>
                <w:lang w:eastAsia="en-US"/>
              </w:rPr>
            </w:pPr>
            <w:r w:rsidRPr="00971C42">
              <w:rPr>
                <w:rFonts w:ascii="Arial" w:hAnsi="Arial" w:cs="Arial"/>
                <w:b/>
                <w:i/>
                <w:snapToGrid w:val="0"/>
                <w:sz w:val="18"/>
                <w:szCs w:val="18"/>
                <w:lang w:eastAsia="en-US"/>
              </w:rPr>
              <w:t>(1.8, 2.54)</w:t>
            </w:r>
          </w:p>
        </w:tc>
      </w:tr>
      <w:tr w:rsidR="006C4EC2" w:rsidRPr="00971C42" w:rsidTr="006C4EC2">
        <w:tc>
          <w:tcPr>
            <w:tcW w:w="1134" w:type="dxa"/>
            <w:vAlign w:val="center"/>
          </w:tcPr>
          <w:p w:rsidR="006C4EC2" w:rsidRPr="00971C42" w:rsidRDefault="006C4EC2" w:rsidP="006C4EC2">
            <w:pPr>
              <w:widowControl w:val="0"/>
              <w:jc w:val="both"/>
              <w:rPr>
                <w:rFonts w:ascii="Arial" w:hAnsi="Arial" w:cs="Arial"/>
                <w:snapToGrid w:val="0"/>
                <w:sz w:val="18"/>
                <w:szCs w:val="18"/>
                <w:lang w:eastAsia="en-US"/>
              </w:rPr>
            </w:pPr>
            <w:r w:rsidRPr="00971C42">
              <w:rPr>
                <w:rFonts w:ascii="Arial" w:hAnsi="Arial" w:cs="Arial"/>
                <w:snapToGrid w:val="0"/>
                <w:sz w:val="18"/>
                <w:szCs w:val="18"/>
                <w:lang w:eastAsia="en-US"/>
              </w:rPr>
              <w:t>FACT</w:t>
            </w:r>
          </w:p>
        </w:tc>
        <w:tc>
          <w:tcPr>
            <w:tcW w:w="737" w:type="dxa"/>
            <w:vAlign w:val="center"/>
          </w:tcPr>
          <w:p w:rsidR="006C4EC2" w:rsidRPr="00971C42" w:rsidRDefault="006C4EC2" w:rsidP="006C4EC2">
            <w:pPr>
              <w:spacing w:line="276" w:lineRule="auto"/>
              <w:jc w:val="both"/>
              <w:rPr>
                <w:rFonts w:ascii="Arial" w:eastAsia="SimSun" w:hAnsi="Arial" w:cs="Arial"/>
                <w:sz w:val="18"/>
                <w:szCs w:val="18"/>
                <w:lang w:eastAsia="en-US" w:bidi="en-US"/>
              </w:rPr>
            </w:pPr>
            <w:r w:rsidRPr="00971C42">
              <w:rPr>
                <w:rFonts w:ascii="Arial" w:eastAsia="SimSun" w:hAnsi="Arial" w:cs="Arial"/>
                <w:sz w:val="18"/>
                <w:szCs w:val="18"/>
                <w:lang w:eastAsia="en-US" w:bidi="en-US"/>
              </w:rPr>
              <w:t>133/186 (72%)</w:t>
            </w:r>
          </w:p>
        </w:tc>
        <w:tc>
          <w:tcPr>
            <w:tcW w:w="823" w:type="dxa"/>
            <w:vAlign w:val="center"/>
          </w:tcPr>
          <w:p w:rsidR="006C4EC2" w:rsidRPr="00971C42" w:rsidRDefault="006C4EC2" w:rsidP="006C4EC2">
            <w:pPr>
              <w:spacing w:line="276" w:lineRule="auto"/>
              <w:jc w:val="both"/>
              <w:rPr>
                <w:rFonts w:ascii="Arial" w:eastAsia="SimSun" w:hAnsi="Arial" w:cs="Arial"/>
                <w:sz w:val="18"/>
                <w:szCs w:val="18"/>
                <w:lang w:eastAsia="en-US" w:bidi="en-US"/>
              </w:rPr>
            </w:pPr>
            <w:r w:rsidRPr="00971C42">
              <w:rPr>
                <w:rFonts w:ascii="Arial" w:eastAsia="SimSun" w:hAnsi="Arial" w:cs="Arial"/>
                <w:sz w:val="18"/>
                <w:szCs w:val="18"/>
                <w:lang w:eastAsia="en-US" w:bidi="en-US"/>
              </w:rPr>
              <w:t>130/159 (82%)</w:t>
            </w:r>
          </w:p>
        </w:tc>
        <w:tc>
          <w:tcPr>
            <w:tcW w:w="708" w:type="dxa"/>
            <w:vAlign w:val="center"/>
          </w:tcPr>
          <w:p w:rsidR="006C4EC2" w:rsidRPr="00971C42" w:rsidRDefault="006C4EC2" w:rsidP="006C4EC2">
            <w:pPr>
              <w:widowControl w:val="0"/>
              <w:jc w:val="both"/>
              <w:rPr>
                <w:rFonts w:ascii="Arial" w:hAnsi="Arial" w:cs="Arial"/>
                <w:snapToGrid w:val="0"/>
                <w:sz w:val="18"/>
                <w:szCs w:val="18"/>
                <w:lang w:eastAsia="en-US"/>
              </w:rPr>
            </w:pPr>
            <w:r w:rsidRPr="00971C42">
              <w:rPr>
                <w:rFonts w:ascii="Arial" w:hAnsi="Arial" w:cs="Arial"/>
                <w:snapToGrid w:val="0"/>
                <w:sz w:val="18"/>
                <w:szCs w:val="18"/>
                <w:lang w:eastAsia="en-US"/>
              </w:rPr>
              <w:t>84/199 (42%)</w:t>
            </w:r>
          </w:p>
        </w:tc>
        <w:tc>
          <w:tcPr>
            <w:tcW w:w="1559" w:type="dxa"/>
            <w:shd w:val="clear" w:color="auto" w:fill="DBE5F1"/>
            <w:vAlign w:val="center"/>
          </w:tcPr>
          <w:p w:rsidR="006C4EC2" w:rsidRPr="00971C42" w:rsidRDefault="006C4EC2" w:rsidP="006C4EC2">
            <w:pPr>
              <w:widowControl w:val="0"/>
              <w:jc w:val="both"/>
              <w:rPr>
                <w:rFonts w:ascii="Arial" w:hAnsi="Arial" w:cs="Arial"/>
                <w:b/>
                <w:snapToGrid w:val="0"/>
                <w:sz w:val="18"/>
                <w:szCs w:val="18"/>
                <w:lang w:eastAsia="en-US"/>
              </w:rPr>
            </w:pPr>
            <w:r w:rsidRPr="00971C42">
              <w:rPr>
                <w:rFonts w:ascii="Arial" w:hAnsi="Arial" w:cs="Arial"/>
                <w:b/>
                <w:snapToGrid w:val="0"/>
                <w:sz w:val="18"/>
                <w:szCs w:val="18"/>
                <w:lang w:eastAsia="en-US"/>
              </w:rPr>
              <w:t>29% (20%, 38%)</w:t>
            </w:r>
          </w:p>
          <w:p w:rsidR="006C4EC2" w:rsidRPr="00971C42" w:rsidRDefault="006C4EC2" w:rsidP="006C4EC2">
            <w:pPr>
              <w:widowControl w:val="0"/>
              <w:jc w:val="both"/>
              <w:rPr>
                <w:rFonts w:ascii="Arial" w:hAnsi="Arial" w:cs="Arial"/>
                <w:b/>
                <w:snapToGrid w:val="0"/>
                <w:sz w:val="18"/>
                <w:szCs w:val="18"/>
                <w:lang w:eastAsia="en-US"/>
              </w:rPr>
            </w:pPr>
            <w:r w:rsidRPr="00971C42">
              <w:rPr>
                <w:rFonts w:ascii="Arial" w:hAnsi="Arial" w:cs="Arial"/>
                <w:b/>
                <w:snapToGrid w:val="0"/>
                <w:sz w:val="18"/>
                <w:szCs w:val="18"/>
                <w:lang w:eastAsia="en-US"/>
              </w:rPr>
              <w:t>3 [3, 5]</w:t>
            </w:r>
          </w:p>
        </w:tc>
        <w:tc>
          <w:tcPr>
            <w:tcW w:w="993" w:type="dxa"/>
            <w:shd w:val="clear" w:color="auto" w:fill="DBE5F1"/>
            <w:vAlign w:val="center"/>
          </w:tcPr>
          <w:p w:rsidR="006C4EC2" w:rsidRPr="00971C42" w:rsidRDefault="006C4EC2" w:rsidP="006C4EC2">
            <w:pPr>
              <w:widowControl w:val="0"/>
              <w:jc w:val="both"/>
              <w:rPr>
                <w:rFonts w:ascii="Arial" w:hAnsi="Arial" w:cs="Arial"/>
                <w:b/>
                <w:i/>
                <w:snapToGrid w:val="0"/>
                <w:sz w:val="18"/>
                <w:szCs w:val="18"/>
                <w:lang w:eastAsia="en-US"/>
              </w:rPr>
            </w:pPr>
            <w:r w:rsidRPr="00971C42">
              <w:rPr>
                <w:rFonts w:ascii="Arial" w:hAnsi="Arial" w:cs="Arial"/>
                <w:b/>
                <w:i/>
                <w:snapToGrid w:val="0"/>
                <w:sz w:val="18"/>
                <w:szCs w:val="18"/>
                <w:lang w:eastAsia="en-US"/>
              </w:rPr>
              <w:t>1.69</w:t>
            </w:r>
          </w:p>
          <w:p w:rsidR="006C4EC2" w:rsidRPr="00971C42" w:rsidRDefault="006C4EC2" w:rsidP="006C4EC2">
            <w:pPr>
              <w:widowControl w:val="0"/>
              <w:jc w:val="both"/>
              <w:rPr>
                <w:rFonts w:ascii="Arial" w:hAnsi="Arial" w:cs="Arial"/>
                <w:b/>
                <w:i/>
                <w:snapToGrid w:val="0"/>
                <w:sz w:val="18"/>
                <w:szCs w:val="18"/>
                <w:lang w:eastAsia="en-US"/>
              </w:rPr>
            </w:pPr>
            <w:r w:rsidRPr="00971C42">
              <w:rPr>
                <w:rFonts w:ascii="Arial" w:hAnsi="Arial" w:cs="Arial"/>
                <w:b/>
                <w:i/>
                <w:snapToGrid w:val="0"/>
                <w:sz w:val="18"/>
                <w:szCs w:val="18"/>
                <w:lang w:eastAsia="en-US"/>
              </w:rPr>
              <w:t>(1.41, 2.05</w:t>
            </w:r>
          </w:p>
        </w:tc>
        <w:tc>
          <w:tcPr>
            <w:tcW w:w="1559" w:type="dxa"/>
            <w:shd w:val="clear" w:color="auto" w:fill="DBE5F1"/>
            <w:vAlign w:val="center"/>
          </w:tcPr>
          <w:p w:rsidR="006C4EC2" w:rsidRPr="00971C42" w:rsidRDefault="006C4EC2" w:rsidP="006C4EC2">
            <w:pPr>
              <w:widowControl w:val="0"/>
              <w:jc w:val="both"/>
              <w:rPr>
                <w:rFonts w:ascii="Arial" w:hAnsi="Arial" w:cs="Arial"/>
                <w:b/>
                <w:i/>
                <w:snapToGrid w:val="0"/>
                <w:sz w:val="18"/>
                <w:szCs w:val="18"/>
                <w:lang w:eastAsia="en-US"/>
              </w:rPr>
            </w:pPr>
            <w:r w:rsidRPr="00971C42">
              <w:rPr>
                <w:rFonts w:ascii="Arial" w:hAnsi="Arial" w:cs="Arial"/>
                <w:b/>
                <w:i/>
                <w:snapToGrid w:val="0"/>
                <w:sz w:val="18"/>
                <w:szCs w:val="18"/>
                <w:lang w:eastAsia="en-US"/>
              </w:rPr>
              <w:t>40% (30%, 48%)</w:t>
            </w:r>
          </w:p>
          <w:p w:rsidR="006C4EC2" w:rsidRPr="00971C42" w:rsidRDefault="006C4EC2" w:rsidP="006C4EC2">
            <w:pPr>
              <w:widowControl w:val="0"/>
              <w:jc w:val="both"/>
              <w:rPr>
                <w:rFonts w:ascii="Arial" w:hAnsi="Arial" w:cs="Arial"/>
                <w:b/>
                <w:i/>
                <w:snapToGrid w:val="0"/>
                <w:sz w:val="18"/>
                <w:szCs w:val="18"/>
                <w:lang w:eastAsia="en-US"/>
              </w:rPr>
            </w:pPr>
            <w:r w:rsidRPr="00971C42">
              <w:rPr>
                <w:rFonts w:ascii="Arial" w:hAnsi="Arial" w:cs="Arial"/>
                <w:b/>
                <w:i/>
                <w:snapToGrid w:val="0"/>
                <w:sz w:val="18"/>
                <w:szCs w:val="18"/>
                <w:lang w:eastAsia="en-US"/>
              </w:rPr>
              <w:t>3 [2, 3]</w:t>
            </w:r>
          </w:p>
        </w:tc>
        <w:tc>
          <w:tcPr>
            <w:tcW w:w="992" w:type="dxa"/>
            <w:shd w:val="clear" w:color="auto" w:fill="DBE5F1"/>
            <w:vAlign w:val="center"/>
          </w:tcPr>
          <w:p w:rsidR="006C4EC2" w:rsidRPr="00971C42" w:rsidRDefault="006C4EC2" w:rsidP="006C4EC2">
            <w:pPr>
              <w:widowControl w:val="0"/>
              <w:jc w:val="both"/>
              <w:rPr>
                <w:rFonts w:ascii="Arial" w:hAnsi="Arial" w:cs="Arial"/>
                <w:b/>
                <w:i/>
                <w:snapToGrid w:val="0"/>
                <w:sz w:val="18"/>
                <w:szCs w:val="18"/>
                <w:lang w:eastAsia="en-US"/>
              </w:rPr>
            </w:pPr>
            <w:r w:rsidRPr="00971C42">
              <w:rPr>
                <w:rFonts w:ascii="Arial" w:hAnsi="Arial" w:cs="Arial"/>
                <w:b/>
                <w:i/>
                <w:snapToGrid w:val="0"/>
                <w:sz w:val="18"/>
                <w:szCs w:val="18"/>
                <w:lang w:eastAsia="en-US"/>
              </w:rPr>
              <w:t>1.94</w:t>
            </w:r>
          </w:p>
          <w:p w:rsidR="006C4EC2" w:rsidRPr="00971C42" w:rsidRDefault="006C4EC2" w:rsidP="006C4EC2">
            <w:pPr>
              <w:widowControl w:val="0"/>
              <w:jc w:val="both"/>
              <w:rPr>
                <w:rFonts w:ascii="Arial" w:hAnsi="Arial" w:cs="Arial"/>
                <w:b/>
                <w:i/>
                <w:snapToGrid w:val="0"/>
                <w:sz w:val="18"/>
                <w:szCs w:val="18"/>
                <w:lang w:eastAsia="en-US"/>
              </w:rPr>
            </w:pPr>
            <w:r w:rsidRPr="00971C42">
              <w:rPr>
                <w:rFonts w:ascii="Arial" w:hAnsi="Arial" w:cs="Arial"/>
                <w:b/>
                <w:i/>
                <w:snapToGrid w:val="0"/>
                <w:sz w:val="18"/>
                <w:szCs w:val="18"/>
                <w:lang w:eastAsia="en-US"/>
              </w:rPr>
              <w:t>(1.63, 2.33)</w:t>
            </w:r>
          </w:p>
        </w:tc>
      </w:tr>
      <w:tr w:rsidR="006C4EC2" w:rsidRPr="00971C42" w:rsidTr="006C4EC2">
        <w:tc>
          <w:tcPr>
            <w:tcW w:w="1134" w:type="dxa"/>
            <w:vAlign w:val="center"/>
          </w:tcPr>
          <w:p w:rsidR="006C4EC2" w:rsidRPr="00971C42" w:rsidRDefault="006C4EC2" w:rsidP="006C4EC2">
            <w:pPr>
              <w:widowControl w:val="0"/>
              <w:jc w:val="both"/>
              <w:rPr>
                <w:rFonts w:ascii="Arial" w:hAnsi="Arial" w:cs="Arial"/>
                <w:snapToGrid w:val="0"/>
                <w:sz w:val="18"/>
                <w:szCs w:val="18"/>
                <w:lang w:eastAsia="en-US"/>
              </w:rPr>
            </w:pPr>
            <w:r w:rsidRPr="00971C42">
              <w:rPr>
                <w:rFonts w:ascii="Arial" w:hAnsi="Arial" w:cs="Arial"/>
                <w:snapToGrid w:val="0"/>
                <w:sz w:val="18"/>
                <w:szCs w:val="18"/>
                <w:lang w:eastAsia="en-US"/>
              </w:rPr>
              <w:t>CONFIRMS</w:t>
            </w:r>
          </w:p>
          <w:p w:rsidR="006C4EC2" w:rsidRPr="00971C42" w:rsidRDefault="006C4EC2" w:rsidP="006C4EC2">
            <w:pPr>
              <w:widowControl w:val="0"/>
              <w:jc w:val="both"/>
              <w:rPr>
                <w:rFonts w:ascii="Arial" w:hAnsi="Arial" w:cs="Arial"/>
                <w:snapToGrid w:val="0"/>
                <w:sz w:val="18"/>
                <w:szCs w:val="18"/>
                <w:lang w:eastAsia="en-US"/>
              </w:rPr>
            </w:pPr>
            <w:r w:rsidRPr="00971C42">
              <w:rPr>
                <w:rFonts w:ascii="Arial" w:hAnsi="Arial" w:cs="Arial"/>
                <w:snapToGrid w:val="0"/>
                <w:sz w:val="18"/>
                <w:szCs w:val="18"/>
                <w:lang w:eastAsia="en-US"/>
              </w:rPr>
              <w:t>(26 weeks)</w:t>
            </w:r>
          </w:p>
        </w:tc>
        <w:tc>
          <w:tcPr>
            <w:tcW w:w="737" w:type="dxa"/>
            <w:vAlign w:val="center"/>
          </w:tcPr>
          <w:p w:rsidR="006C4EC2" w:rsidRPr="00971C42" w:rsidRDefault="006C4EC2" w:rsidP="006C4EC2">
            <w:pPr>
              <w:spacing w:line="276" w:lineRule="auto"/>
              <w:jc w:val="both"/>
              <w:rPr>
                <w:rFonts w:ascii="Arial" w:eastAsia="SimSun" w:hAnsi="Arial" w:cs="Arial"/>
                <w:sz w:val="18"/>
                <w:szCs w:val="18"/>
                <w:lang w:eastAsia="en-US" w:bidi="en-US"/>
              </w:rPr>
            </w:pPr>
            <w:r w:rsidRPr="00971C42">
              <w:rPr>
                <w:rFonts w:ascii="Arial" w:eastAsia="SimSun" w:hAnsi="Arial" w:cs="Arial"/>
                <w:sz w:val="18"/>
                <w:szCs w:val="18"/>
                <w:lang w:eastAsia="en-US" w:bidi="en-US"/>
              </w:rPr>
              <w:t>449/596</w:t>
            </w:r>
          </w:p>
          <w:p w:rsidR="006C4EC2" w:rsidRPr="00971C42" w:rsidRDefault="006C4EC2" w:rsidP="006C4EC2">
            <w:pPr>
              <w:spacing w:line="276" w:lineRule="auto"/>
              <w:jc w:val="both"/>
              <w:rPr>
                <w:rFonts w:ascii="Arial" w:eastAsia="SimSun" w:hAnsi="Arial" w:cs="Arial"/>
                <w:sz w:val="18"/>
                <w:szCs w:val="18"/>
                <w:lang w:eastAsia="en-US" w:bidi="en-US"/>
              </w:rPr>
            </w:pPr>
            <w:r w:rsidRPr="00971C42">
              <w:rPr>
                <w:rFonts w:ascii="Arial" w:eastAsia="SimSun" w:hAnsi="Arial" w:cs="Arial"/>
                <w:sz w:val="18"/>
                <w:szCs w:val="18"/>
                <w:lang w:eastAsia="en-US" w:bidi="en-US"/>
              </w:rPr>
              <w:t>(75.3%)</w:t>
            </w:r>
          </w:p>
        </w:tc>
        <w:tc>
          <w:tcPr>
            <w:tcW w:w="823" w:type="dxa"/>
            <w:vAlign w:val="center"/>
          </w:tcPr>
          <w:p w:rsidR="006C4EC2" w:rsidRPr="00971C42" w:rsidRDefault="006C4EC2" w:rsidP="006C4EC2">
            <w:pPr>
              <w:spacing w:line="276" w:lineRule="auto"/>
              <w:jc w:val="both"/>
              <w:rPr>
                <w:rFonts w:ascii="Arial" w:eastAsia="SimSun" w:hAnsi="Arial" w:cs="Arial"/>
                <w:sz w:val="18"/>
                <w:szCs w:val="18"/>
                <w:lang w:eastAsia="en-US" w:bidi="en-US"/>
              </w:rPr>
            </w:pPr>
            <w:r w:rsidRPr="00971C42">
              <w:rPr>
                <w:rFonts w:ascii="Arial" w:eastAsia="SimSun" w:hAnsi="Arial" w:cs="Arial"/>
                <w:sz w:val="18"/>
                <w:szCs w:val="18"/>
                <w:lang w:eastAsia="en-US" w:bidi="en-US"/>
              </w:rPr>
              <w:t>-</w:t>
            </w:r>
          </w:p>
        </w:tc>
        <w:tc>
          <w:tcPr>
            <w:tcW w:w="708" w:type="dxa"/>
            <w:vAlign w:val="center"/>
          </w:tcPr>
          <w:p w:rsidR="006C4EC2" w:rsidRPr="00971C42" w:rsidRDefault="006C4EC2" w:rsidP="006C4EC2">
            <w:pPr>
              <w:widowControl w:val="0"/>
              <w:jc w:val="both"/>
              <w:rPr>
                <w:rFonts w:ascii="Arial" w:hAnsi="Arial" w:cs="Arial"/>
                <w:snapToGrid w:val="0"/>
                <w:sz w:val="18"/>
                <w:szCs w:val="18"/>
                <w:lang w:eastAsia="en-US"/>
              </w:rPr>
            </w:pPr>
            <w:r w:rsidRPr="00971C42">
              <w:rPr>
                <w:rFonts w:ascii="Arial" w:hAnsi="Arial" w:cs="Arial"/>
                <w:snapToGrid w:val="0"/>
                <w:sz w:val="18"/>
                <w:szCs w:val="18"/>
                <w:lang w:eastAsia="en-US"/>
              </w:rPr>
              <w:t>287/616</w:t>
            </w:r>
          </w:p>
          <w:p w:rsidR="006C4EC2" w:rsidRPr="00971C42" w:rsidRDefault="006C4EC2" w:rsidP="006C4EC2">
            <w:pPr>
              <w:widowControl w:val="0"/>
              <w:jc w:val="both"/>
              <w:rPr>
                <w:rFonts w:ascii="Arial" w:hAnsi="Arial" w:cs="Arial"/>
                <w:snapToGrid w:val="0"/>
                <w:sz w:val="18"/>
                <w:szCs w:val="18"/>
                <w:lang w:eastAsia="en-US"/>
              </w:rPr>
            </w:pPr>
            <w:r w:rsidRPr="00971C42">
              <w:rPr>
                <w:rFonts w:ascii="Arial" w:hAnsi="Arial" w:cs="Arial"/>
                <w:snapToGrid w:val="0"/>
                <w:sz w:val="18"/>
                <w:szCs w:val="18"/>
                <w:lang w:eastAsia="en-US"/>
              </w:rPr>
              <w:t>(46.6%)</w:t>
            </w:r>
          </w:p>
        </w:tc>
        <w:tc>
          <w:tcPr>
            <w:tcW w:w="1559" w:type="dxa"/>
            <w:shd w:val="clear" w:color="auto" w:fill="DBE5F1"/>
            <w:vAlign w:val="center"/>
          </w:tcPr>
          <w:p w:rsidR="006C4EC2" w:rsidRPr="00971C42" w:rsidRDefault="006C4EC2" w:rsidP="006C4EC2">
            <w:pPr>
              <w:widowControl w:val="0"/>
              <w:jc w:val="both"/>
              <w:rPr>
                <w:rFonts w:ascii="Arial" w:hAnsi="Arial" w:cs="Arial"/>
                <w:b/>
                <w:snapToGrid w:val="0"/>
                <w:sz w:val="18"/>
                <w:szCs w:val="18"/>
                <w:lang w:eastAsia="en-US"/>
              </w:rPr>
            </w:pPr>
            <w:r w:rsidRPr="00971C42">
              <w:rPr>
                <w:rFonts w:ascii="Arial" w:hAnsi="Arial" w:cs="Arial"/>
                <w:b/>
                <w:snapToGrid w:val="0"/>
                <w:sz w:val="18"/>
                <w:szCs w:val="18"/>
                <w:lang w:eastAsia="en-US"/>
              </w:rPr>
              <w:t>29% (23%, 34%)</w:t>
            </w:r>
          </w:p>
          <w:p w:rsidR="006C4EC2" w:rsidRPr="00971C42" w:rsidRDefault="006C4EC2" w:rsidP="006C4EC2">
            <w:pPr>
              <w:widowControl w:val="0"/>
              <w:jc w:val="both"/>
              <w:rPr>
                <w:rFonts w:ascii="Arial" w:hAnsi="Arial" w:cs="Arial"/>
                <w:b/>
                <w:snapToGrid w:val="0"/>
                <w:sz w:val="18"/>
                <w:szCs w:val="18"/>
                <w:lang w:eastAsia="en-US"/>
              </w:rPr>
            </w:pPr>
            <w:r w:rsidRPr="00971C42">
              <w:rPr>
                <w:rFonts w:ascii="Arial" w:hAnsi="Arial" w:cs="Arial"/>
                <w:b/>
                <w:snapToGrid w:val="0"/>
                <w:sz w:val="18"/>
                <w:szCs w:val="18"/>
                <w:lang w:eastAsia="en-US"/>
              </w:rPr>
              <w:t>3 [3, 4]</w:t>
            </w:r>
          </w:p>
        </w:tc>
        <w:tc>
          <w:tcPr>
            <w:tcW w:w="993" w:type="dxa"/>
            <w:shd w:val="clear" w:color="auto" w:fill="DBE5F1"/>
            <w:vAlign w:val="center"/>
          </w:tcPr>
          <w:p w:rsidR="006C4EC2" w:rsidRPr="00971C42" w:rsidRDefault="006C4EC2" w:rsidP="006C4EC2">
            <w:pPr>
              <w:widowControl w:val="0"/>
              <w:jc w:val="both"/>
              <w:rPr>
                <w:rFonts w:ascii="Arial" w:hAnsi="Arial" w:cs="Arial"/>
                <w:b/>
                <w:i/>
                <w:snapToGrid w:val="0"/>
                <w:sz w:val="18"/>
                <w:szCs w:val="18"/>
                <w:lang w:eastAsia="en-US"/>
              </w:rPr>
            </w:pPr>
            <w:r w:rsidRPr="00971C42">
              <w:rPr>
                <w:rFonts w:ascii="Arial" w:hAnsi="Arial" w:cs="Arial"/>
                <w:b/>
                <w:i/>
                <w:snapToGrid w:val="0"/>
                <w:sz w:val="18"/>
                <w:szCs w:val="18"/>
                <w:lang w:eastAsia="en-US"/>
              </w:rPr>
              <w:t>1.62</w:t>
            </w:r>
          </w:p>
          <w:p w:rsidR="006C4EC2" w:rsidRPr="00971C42" w:rsidRDefault="006C4EC2" w:rsidP="006C4EC2">
            <w:pPr>
              <w:widowControl w:val="0"/>
              <w:jc w:val="both"/>
              <w:rPr>
                <w:rFonts w:ascii="Arial" w:hAnsi="Arial" w:cs="Arial"/>
                <w:b/>
                <w:i/>
                <w:snapToGrid w:val="0"/>
                <w:sz w:val="18"/>
                <w:szCs w:val="18"/>
                <w:lang w:eastAsia="en-US"/>
              </w:rPr>
            </w:pPr>
            <w:r w:rsidRPr="00971C42">
              <w:rPr>
                <w:rFonts w:ascii="Arial" w:hAnsi="Arial" w:cs="Arial"/>
                <w:b/>
                <w:i/>
                <w:snapToGrid w:val="0"/>
                <w:sz w:val="18"/>
                <w:szCs w:val="18"/>
                <w:lang w:eastAsia="en-US"/>
              </w:rPr>
              <w:t>(1.47, 1.78)</w:t>
            </w:r>
          </w:p>
        </w:tc>
        <w:tc>
          <w:tcPr>
            <w:tcW w:w="1559" w:type="dxa"/>
            <w:shd w:val="clear" w:color="auto" w:fill="DBE5F1"/>
            <w:vAlign w:val="center"/>
          </w:tcPr>
          <w:p w:rsidR="006C4EC2" w:rsidRPr="00971C42" w:rsidRDefault="006C4EC2" w:rsidP="006C4EC2">
            <w:pPr>
              <w:widowControl w:val="0"/>
              <w:jc w:val="both"/>
              <w:rPr>
                <w:rFonts w:ascii="Arial" w:hAnsi="Arial" w:cs="Arial"/>
                <w:i/>
                <w:snapToGrid w:val="0"/>
                <w:sz w:val="18"/>
                <w:szCs w:val="18"/>
                <w:lang w:eastAsia="en-US"/>
              </w:rPr>
            </w:pPr>
            <w:r w:rsidRPr="00971C42">
              <w:rPr>
                <w:rFonts w:ascii="Arial" w:hAnsi="Arial" w:cs="Arial"/>
                <w:i/>
                <w:snapToGrid w:val="0"/>
                <w:sz w:val="18"/>
                <w:szCs w:val="18"/>
                <w:lang w:eastAsia="en-US"/>
              </w:rPr>
              <w:t>-</w:t>
            </w:r>
          </w:p>
        </w:tc>
        <w:tc>
          <w:tcPr>
            <w:tcW w:w="992" w:type="dxa"/>
            <w:shd w:val="clear" w:color="auto" w:fill="DBE5F1"/>
            <w:vAlign w:val="center"/>
          </w:tcPr>
          <w:p w:rsidR="006C4EC2" w:rsidRPr="00971C42" w:rsidRDefault="006C4EC2" w:rsidP="006C4EC2">
            <w:pPr>
              <w:widowControl w:val="0"/>
              <w:jc w:val="both"/>
              <w:rPr>
                <w:rFonts w:ascii="Arial" w:hAnsi="Arial" w:cs="Arial"/>
                <w:i/>
                <w:snapToGrid w:val="0"/>
                <w:sz w:val="18"/>
                <w:szCs w:val="18"/>
                <w:lang w:eastAsia="en-US"/>
              </w:rPr>
            </w:pPr>
            <w:r w:rsidRPr="00971C42">
              <w:rPr>
                <w:rFonts w:ascii="Arial" w:hAnsi="Arial" w:cs="Arial"/>
                <w:i/>
                <w:snapToGrid w:val="0"/>
                <w:sz w:val="18"/>
                <w:szCs w:val="18"/>
                <w:lang w:eastAsia="en-US"/>
              </w:rPr>
              <w:t>-</w:t>
            </w:r>
          </w:p>
        </w:tc>
      </w:tr>
      <w:tr w:rsidR="006C4EC2" w:rsidRPr="00971C42" w:rsidTr="006C4EC2">
        <w:trPr>
          <w:trHeight w:val="109"/>
        </w:trPr>
        <w:tc>
          <w:tcPr>
            <w:tcW w:w="3402" w:type="dxa"/>
            <w:gridSpan w:val="4"/>
          </w:tcPr>
          <w:p w:rsidR="006C4EC2" w:rsidRPr="00971C42" w:rsidRDefault="006C4EC2" w:rsidP="006C4EC2">
            <w:pPr>
              <w:widowControl w:val="0"/>
              <w:ind w:right="-28"/>
              <w:jc w:val="both"/>
              <w:rPr>
                <w:rFonts w:ascii="Arial" w:hAnsi="Arial"/>
                <w:b/>
                <w:snapToGrid w:val="0"/>
                <w:sz w:val="18"/>
                <w:szCs w:val="18"/>
                <w:lang w:eastAsia="en-US"/>
              </w:rPr>
            </w:pPr>
            <w:r w:rsidRPr="00971C42">
              <w:rPr>
                <w:rFonts w:ascii="Arial" w:hAnsi="Arial"/>
                <w:b/>
                <w:snapToGrid w:val="0"/>
                <w:sz w:val="18"/>
                <w:szCs w:val="18"/>
                <w:lang w:eastAsia="en-US"/>
              </w:rPr>
              <w:t>Pooled</w:t>
            </w:r>
          </w:p>
          <w:p w:rsidR="006C4EC2" w:rsidRPr="00971C42" w:rsidRDefault="006C4EC2" w:rsidP="006C4EC2">
            <w:pPr>
              <w:widowControl w:val="0"/>
              <w:ind w:right="-28"/>
              <w:jc w:val="both"/>
              <w:rPr>
                <w:rFonts w:ascii="Arial" w:hAnsi="Arial"/>
                <w:snapToGrid w:val="0"/>
                <w:sz w:val="18"/>
                <w:szCs w:val="18"/>
                <w:lang w:eastAsia="en-US"/>
              </w:rPr>
            </w:pPr>
            <w:r w:rsidRPr="00971C42">
              <w:rPr>
                <w:rFonts w:ascii="Arial" w:hAnsi="Arial"/>
                <w:snapToGrid w:val="0"/>
                <w:sz w:val="18"/>
                <w:szCs w:val="18"/>
                <w:lang w:eastAsia="en-US"/>
              </w:rPr>
              <w:t>MH random effects</w:t>
            </w:r>
          </w:p>
        </w:tc>
        <w:tc>
          <w:tcPr>
            <w:tcW w:w="1559" w:type="dxa"/>
            <w:shd w:val="clear" w:color="auto" w:fill="DBE5F1"/>
            <w:vAlign w:val="center"/>
          </w:tcPr>
          <w:p w:rsidR="006C4EC2" w:rsidRPr="00971C42" w:rsidRDefault="006C4EC2" w:rsidP="006C4EC2">
            <w:pPr>
              <w:widowControl w:val="0"/>
              <w:jc w:val="both"/>
              <w:rPr>
                <w:rFonts w:ascii="Arial" w:hAnsi="Arial" w:cs="Arial"/>
                <w:b/>
                <w:snapToGrid w:val="0"/>
                <w:sz w:val="18"/>
                <w:szCs w:val="18"/>
                <w:lang w:eastAsia="en-US"/>
              </w:rPr>
            </w:pPr>
            <w:r w:rsidRPr="00971C42">
              <w:rPr>
                <w:rFonts w:ascii="Arial" w:hAnsi="Arial" w:cs="Arial"/>
                <w:b/>
                <w:snapToGrid w:val="0"/>
                <w:sz w:val="18"/>
                <w:szCs w:val="18"/>
                <w:lang w:eastAsia="en-US"/>
              </w:rPr>
              <w:t xml:space="preserve">30% </w:t>
            </w:r>
            <w:r w:rsidRPr="00971C42">
              <w:rPr>
                <w:rFonts w:ascii="Arial" w:hAnsi="Arial" w:cs="Arial"/>
                <w:b/>
                <w:snapToGrid w:val="0"/>
                <w:sz w:val="18"/>
                <w:szCs w:val="18"/>
                <w:vertAlign w:val="superscript"/>
                <w:lang w:eastAsia="en-US"/>
              </w:rPr>
              <w:t xml:space="preserve">b </w:t>
            </w:r>
            <w:r w:rsidRPr="00971C42">
              <w:rPr>
                <w:rFonts w:ascii="Arial" w:hAnsi="Arial" w:cs="Arial"/>
                <w:b/>
                <w:snapToGrid w:val="0"/>
                <w:sz w:val="18"/>
                <w:szCs w:val="18"/>
                <w:lang w:eastAsia="en-US"/>
              </w:rPr>
              <w:t>(26%, 34%)</w:t>
            </w:r>
          </w:p>
          <w:p w:rsidR="006C4EC2" w:rsidRPr="00971C42" w:rsidRDefault="006C4EC2" w:rsidP="006C4EC2">
            <w:pPr>
              <w:widowControl w:val="0"/>
              <w:jc w:val="both"/>
              <w:rPr>
                <w:rFonts w:ascii="Arial" w:hAnsi="Arial" w:cs="Arial"/>
                <w:b/>
                <w:snapToGrid w:val="0"/>
                <w:sz w:val="18"/>
                <w:szCs w:val="18"/>
                <w:lang w:eastAsia="en-US"/>
              </w:rPr>
            </w:pPr>
            <w:r w:rsidRPr="00971C42">
              <w:rPr>
                <w:rFonts w:ascii="Arial" w:hAnsi="Arial" w:cs="Arial"/>
                <w:b/>
                <w:snapToGrid w:val="0"/>
                <w:sz w:val="18"/>
                <w:szCs w:val="18"/>
                <w:lang w:eastAsia="en-US"/>
              </w:rPr>
              <w:t>3 [3, 4]</w:t>
            </w:r>
          </w:p>
        </w:tc>
        <w:tc>
          <w:tcPr>
            <w:tcW w:w="993" w:type="dxa"/>
            <w:shd w:val="clear" w:color="auto" w:fill="DBE5F1"/>
            <w:vAlign w:val="center"/>
          </w:tcPr>
          <w:p w:rsidR="006C4EC2" w:rsidRPr="00971C42" w:rsidRDefault="006C4EC2" w:rsidP="006C4EC2">
            <w:pPr>
              <w:widowControl w:val="0"/>
              <w:jc w:val="both"/>
              <w:rPr>
                <w:rFonts w:ascii="Arial" w:hAnsi="Arial" w:cs="Arial"/>
                <w:b/>
                <w:i/>
                <w:snapToGrid w:val="0"/>
                <w:sz w:val="18"/>
                <w:szCs w:val="18"/>
                <w:lang w:eastAsia="en-US"/>
              </w:rPr>
            </w:pPr>
            <w:r w:rsidRPr="00971C42">
              <w:rPr>
                <w:rFonts w:ascii="Arial" w:hAnsi="Arial" w:cs="Arial"/>
                <w:b/>
                <w:i/>
                <w:snapToGrid w:val="0"/>
                <w:sz w:val="18"/>
                <w:szCs w:val="18"/>
                <w:lang w:eastAsia="en-US"/>
              </w:rPr>
              <w:t xml:space="preserve">1.67 </w:t>
            </w:r>
            <w:r w:rsidRPr="00971C42">
              <w:rPr>
                <w:rFonts w:ascii="Arial" w:hAnsi="Arial" w:cs="Arial"/>
                <w:b/>
                <w:i/>
                <w:snapToGrid w:val="0"/>
                <w:sz w:val="18"/>
                <w:szCs w:val="18"/>
                <w:vertAlign w:val="superscript"/>
                <w:lang w:eastAsia="en-US"/>
              </w:rPr>
              <w:t>b</w:t>
            </w:r>
          </w:p>
          <w:p w:rsidR="006C4EC2" w:rsidRPr="00971C42" w:rsidRDefault="006C4EC2" w:rsidP="006C4EC2">
            <w:pPr>
              <w:widowControl w:val="0"/>
              <w:jc w:val="both"/>
              <w:rPr>
                <w:rFonts w:ascii="Arial" w:hAnsi="Arial" w:cs="Arial"/>
                <w:b/>
                <w:i/>
                <w:snapToGrid w:val="0"/>
                <w:sz w:val="18"/>
                <w:szCs w:val="18"/>
                <w:lang w:eastAsia="en-US"/>
              </w:rPr>
            </w:pPr>
            <w:r w:rsidRPr="00971C42">
              <w:rPr>
                <w:rFonts w:ascii="Arial" w:hAnsi="Arial" w:cs="Arial"/>
                <w:b/>
                <w:i/>
                <w:snapToGrid w:val="0"/>
                <w:sz w:val="18"/>
                <w:szCs w:val="18"/>
                <w:lang w:eastAsia="en-US"/>
              </w:rPr>
              <w:t>(1.55, 1.81)</w:t>
            </w:r>
          </w:p>
        </w:tc>
        <w:tc>
          <w:tcPr>
            <w:tcW w:w="1559" w:type="dxa"/>
            <w:shd w:val="clear" w:color="auto" w:fill="DBE5F1"/>
            <w:vAlign w:val="center"/>
          </w:tcPr>
          <w:p w:rsidR="006C4EC2" w:rsidRPr="00971C42" w:rsidRDefault="006C4EC2" w:rsidP="006C4EC2">
            <w:pPr>
              <w:widowControl w:val="0"/>
              <w:jc w:val="both"/>
              <w:rPr>
                <w:rFonts w:ascii="Arial" w:hAnsi="Arial" w:cs="Arial"/>
                <w:b/>
                <w:i/>
                <w:snapToGrid w:val="0"/>
                <w:sz w:val="18"/>
                <w:szCs w:val="18"/>
                <w:lang w:eastAsia="en-US"/>
              </w:rPr>
            </w:pPr>
            <w:r w:rsidRPr="00971C42">
              <w:rPr>
                <w:rFonts w:ascii="Arial" w:hAnsi="Arial" w:cs="Arial"/>
                <w:b/>
                <w:i/>
                <w:snapToGrid w:val="0"/>
                <w:sz w:val="18"/>
                <w:szCs w:val="18"/>
                <w:lang w:eastAsia="en-US"/>
              </w:rPr>
              <w:t>43%</w:t>
            </w:r>
            <w:r w:rsidRPr="00971C42">
              <w:rPr>
                <w:rFonts w:ascii="Arial" w:hAnsi="Arial" w:cs="Arial"/>
                <w:b/>
                <w:i/>
                <w:snapToGrid w:val="0"/>
                <w:sz w:val="18"/>
                <w:szCs w:val="18"/>
                <w:vertAlign w:val="superscript"/>
                <w:lang w:eastAsia="en-US"/>
              </w:rPr>
              <w:t xml:space="preserve">c </w:t>
            </w:r>
            <w:r w:rsidRPr="00971C42">
              <w:rPr>
                <w:rFonts w:ascii="Arial" w:hAnsi="Arial" w:cs="Arial"/>
                <w:b/>
                <w:i/>
                <w:snapToGrid w:val="0"/>
                <w:sz w:val="18"/>
                <w:szCs w:val="18"/>
                <w:lang w:eastAsia="en-US"/>
              </w:rPr>
              <w:t>(37%, 49%)</w:t>
            </w:r>
          </w:p>
          <w:p w:rsidR="006C4EC2" w:rsidRPr="00971C42" w:rsidRDefault="006C4EC2" w:rsidP="006C4EC2">
            <w:pPr>
              <w:widowControl w:val="0"/>
              <w:jc w:val="both"/>
              <w:rPr>
                <w:rFonts w:ascii="Arial" w:hAnsi="Arial" w:cs="Arial"/>
                <w:b/>
                <w:i/>
                <w:snapToGrid w:val="0"/>
                <w:sz w:val="18"/>
                <w:szCs w:val="18"/>
                <w:lang w:eastAsia="en-US"/>
              </w:rPr>
            </w:pPr>
            <w:r w:rsidRPr="00971C42">
              <w:rPr>
                <w:rFonts w:ascii="Arial" w:hAnsi="Arial" w:cs="Arial"/>
                <w:b/>
                <w:i/>
                <w:snapToGrid w:val="0"/>
                <w:sz w:val="18"/>
                <w:szCs w:val="18"/>
                <w:lang w:eastAsia="en-US"/>
              </w:rPr>
              <w:t>3 [2, 5]</w:t>
            </w:r>
          </w:p>
        </w:tc>
        <w:tc>
          <w:tcPr>
            <w:tcW w:w="992" w:type="dxa"/>
            <w:shd w:val="clear" w:color="auto" w:fill="DBE5F1"/>
            <w:vAlign w:val="center"/>
          </w:tcPr>
          <w:p w:rsidR="006C4EC2" w:rsidRPr="00971C42" w:rsidRDefault="006C4EC2" w:rsidP="006C4EC2">
            <w:pPr>
              <w:widowControl w:val="0"/>
              <w:jc w:val="both"/>
              <w:rPr>
                <w:rFonts w:ascii="Arial" w:hAnsi="Arial" w:cs="Arial"/>
                <w:b/>
                <w:i/>
                <w:snapToGrid w:val="0"/>
                <w:sz w:val="18"/>
                <w:szCs w:val="18"/>
                <w:vertAlign w:val="superscript"/>
                <w:lang w:eastAsia="en-US"/>
              </w:rPr>
            </w:pPr>
            <w:r w:rsidRPr="00971C42">
              <w:rPr>
                <w:rFonts w:ascii="Arial" w:hAnsi="Arial" w:cs="Arial"/>
                <w:b/>
                <w:i/>
                <w:snapToGrid w:val="0"/>
                <w:sz w:val="18"/>
                <w:szCs w:val="18"/>
                <w:lang w:eastAsia="en-US"/>
              </w:rPr>
              <w:t>2.03</w:t>
            </w:r>
            <w:r w:rsidRPr="00971C42">
              <w:rPr>
                <w:rFonts w:ascii="Arial" w:hAnsi="Arial" w:cs="Arial"/>
                <w:b/>
                <w:i/>
                <w:snapToGrid w:val="0"/>
                <w:sz w:val="18"/>
                <w:szCs w:val="18"/>
                <w:vertAlign w:val="superscript"/>
                <w:lang w:eastAsia="en-US"/>
              </w:rPr>
              <w:t>c</w:t>
            </w:r>
          </w:p>
          <w:p w:rsidR="006C4EC2" w:rsidRPr="00971C42" w:rsidRDefault="006C4EC2" w:rsidP="006C4EC2">
            <w:pPr>
              <w:widowControl w:val="0"/>
              <w:jc w:val="both"/>
              <w:rPr>
                <w:rFonts w:ascii="Arial" w:hAnsi="Arial" w:cs="Arial"/>
                <w:b/>
                <w:i/>
                <w:snapToGrid w:val="0"/>
                <w:sz w:val="18"/>
                <w:szCs w:val="18"/>
                <w:lang w:eastAsia="en-US"/>
              </w:rPr>
            </w:pPr>
            <w:r w:rsidRPr="00971C42">
              <w:rPr>
                <w:rFonts w:ascii="Arial" w:hAnsi="Arial" w:cs="Arial"/>
                <w:b/>
                <w:i/>
                <w:snapToGrid w:val="0"/>
                <w:sz w:val="18"/>
                <w:szCs w:val="18"/>
                <w:lang w:eastAsia="en-US"/>
              </w:rPr>
              <w:t>(1.79, 2.30)</w:t>
            </w:r>
          </w:p>
        </w:tc>
      </w:tr>
      <w:tr w:rsidR="006C4EC2" w:rsidRPr="00971C42" w:rsidTr="006C4EC2">
        <w:tc>
          <w:tcPr>
            <w:tcW w:w="8505" w:type="dxa"/>
            <w:gridSpan w:val="8"/>
            <w:vAlign w:val="center"/>
          </w:tcPr>
          <w:p w:rsidR="006C4EC2" w:rsidRPr="00971C42" w:rsidRDefault="006C4EC2" w:rsidP="006C4EC2">
            <w:pPr>
              <w:widowControl w:val="0"/>
              <w:jc w:val="both"/>
              <w:rPr>
                <w:rFonts w:ascii="Arial" w:hAnsi="Arial" w:cs="Arial"/>
                <w:b/>
                <w:i/>
                <w:snapToGrid w:val="0"/>
                <w:sz w:val="18"/>
                <w:szCs w:val="18"/>
                <w:lang w:eastAsia="en-US"/>
              </w:rPr>
            </w:pPr>
            <w:r w:rsidRPr="00971C42">
              <w:rPr>
                <w:rFonts w:ascii="Arial" w:hAnsi="Arial" w:cs="Arial"/>
                <w:b/>
                <w:snapToGrid w:val="0"/>
                <w:sz w:val="18"/>
                <w:szCs w:val="18"/>
                <w:lang w:eastAsia="en-US"/>
              </w:rPr>
              <w:t>At Week 52</w:t>
            </w:r>
          </w:p>
        </w:tc>
      </w:tr>
      <w:tr w:rsidR="006C4EC2" w:rsidRPr="00971C42" w:rsidTr="006C4EC2">
        <w:tc>
          <w:tcPr>
            <w:tcW w:w="1134" w:type="dxa"/>
            <w:vAlign w:val="center"/>
          </w:tcPr>
          <w:p w:rsidR="006C4EC2" w:rsidRPr="00971C42" w:rsidRDefault="006C4EC2" w:rsidP="006C4EC2">
            <w:pPr>
              <w:widowControl w:val="0"/>
              <w:jc w:val="both"/>
              <w:rPr>
                <w:rFonts w:ascii="Arial" w:hAnsi="Arial" w:cs="Arial"/>
                <w:snapToGrid w:val="0"/>
                <w:sz w:val="18"/>
                <w:szCs w:val="18"/>
                <w:lang w:eastAsia="en-US"/>
              </w:rPr>
            </w:pPr>
            <w:r w:rsidRPr="00971C42">
              <w:rPr>
                <w:rFonts w:ascii="Arial" w:hAnsi="Arial" w:cs="Arial"/>
                <w:snapToGrid w:val="0"/>
                <w:sz w:val="18"/>
                <w:szCs w:val="18"/>
                <w:lang w:eastAsia="en-US"/>
              </w:rPr>
              <w:t>FACT</w:t>
            </w:r>
          </w:p>
        </w:tc>
        <w:tc>
          <w:tcPr>
            <w:tcW w:w="737" w:type="dxa"/>
            <w:vAlign w:val="center"/>
          </w:tcPr>
          <w:p w:rsidR="006C4EC2" w:rsidRPr="00971C42" w:rsidRDefault="006C4EC2" w:rsidP="006C4EC2">
            <w:pPr>
              <w:spacing w:line="276" w:lineRule="auto"/>
              <w:jc w:val="both"/>
              <w:rPr>
                <w:rFonts w:ascii="Arial" w:eastAsia="SimSun" w:hAnsi="Arial" w:cs="Arial"/>
                <w:sz w:val="18"/>
                <w:szCs w:val="18"/>
                <w:lang w:eastAsia="en-US" w:bidi="en-US"/>
              </w:rPr>
            </w:pPr>
            <w:r w:rsidRPr="00971C42">
              <w:rPr>
                <w:rFonts w:ascii="Arial" w:eastAsia="SimSun" w:hAnsi="Arial" w:cs="Arial"/>
                <w:sz w:val="18"/>
                <w:szCs w:val="18"/>
                <w:lang w:eastAsia="en-US" w:bidi="en-US"/>
              </w:rPr>
              <w:t>129/159 (81.1%</w:t>
            </w:r>
          </w:p>
        </w:tc>
        <w:tc>
          <w:tcPr>
            <w:tcW w:w="823" w:type="dxa"/>
            <w:vAlign w:val="center"/>
          </w:tcPr>
          <w:p w:rsidR="006C4EC2" w:rsidRPr="00971C42" w:rsidRDefault="006C4EC2" w:rsidP="006C4EC2">
            <w:pPr>
              <w:spacing w:line="276" w:lineRule="auto"/>
              <w:jc w:val="both"/>
              <w:rPr>
                <w:rFonts w:ascii="Arial" w:eastAsia="SimSun" w:hAnsi="Arial" w:cs="Arial"/>
                <w:sz w:val="18"/>
                <w:szCs w:val="18"/>
                <w:lang w:eastAsia="en-US" w:bidi="en-US"/>
              </w:rPr>
            </w:pPr>
            <w:r w:rsidRPr="00971C42">
              <w:rPr>
                <w:rFonts w:ascii="Arial" w:eastAsia="SimSun" w:hAnsi="Arial" w:cs="Arial"/>
                <w:sz w:val="18"/>
                <w:szCs w:val="18"/>
                <w:lang w:eastAsia="en-US" w:bidi="en-US"/>
              </w:rPr>
              <w:t>119/145 (82.1%)</w:t>
            </w:r>
          </w:p>
        </w:tc>
        <w:tc>
          <w:tcPr>
            <w:tcW w:w="708" w:type="dxa"/>
            <w:vAlign w:val="center"/>
          </w:tcPr>
          <w:p w:rsidR="006C4EC2" w:rsidRPr="00971C42" w:rsidRDefault="006C4EC2" w:rsidP="006C4EC2">
            <w:pPr>
              <w:widowControl w:val="0"/>
              <w:jc w:val="both"/>
              <w:rPr>
                <w:rFonts w:ascii="Arial" w:hAnsi="Arial" w:cs="Arial"/>
                <w:snapToGrid w:val="0"/>
                <w:sz w:val="18"/>
                <w:szCs w:val="18"/>
                <w:lang w:eastAsia="en-US"/>
              </w:rPr>
            </w:pPr>
            <w:r w:rsidRPr="00971C42">
              <w:rPr>
                <w:rFonts w:ascii="Arial" w:hAnsi="Arial" w:cs="Arial"/>
                <w:snapToGrid w:val="0"/>
                <w:sz w:val="18"/>
                <w:szCs w:val="18"/>
                <w:lang w:eastAsia="en-US"/>
              </w:rPr>
              <w:t>70/178</w:t>
            </w:r>
          </w:p>
          <w:p w:rsidR="006C4EC2" w:rsidRPr="00971C42" w:rsidRDefault="006C4EC2" w:rsidP="006C4EC2">
            <w:pPr>
              <w:widowControl w:val="0"/>
              <w:jc w:val="both"/>
              <w:rPr>
                <w:rFonts w:ascii="Arial" w:hAnsi="Arial" w:cs="Arial"/>
                <w:snapToGrid w:val="0"/>
                <w:sz w:val="18"/>
                <w:szCs w:val="18"/>
                <w:highlight w:val="yellow"/>
                <w:lang w:eastAsia="en-US"/>
              </w:rPr>
            </w:pPr>
            <w:r w:rsidRPr="00971C42">
              <w:rPr>
                <w:rFonts w:ascii="Arial" w:hAnsi="Arial" w:cs="Arial"/>
                <w:snapToGrid w:val="0"/>
                <w:sz w:val="18"/>
                <w:szCs w:val="18"/>
                <w:lang w:eastAsia="en-US"/>
              </w:rPr>
              <w:t>(39%)</w:t>
            </w:r>
          </w:p>
        </w:tc>
        <w:tc>
          <w:tcPr>
            <w:tcW w:w="1559" w:type="dxa"/>
            <w:shd w:val="clear" w:color="auto" w:fill="DBE5F1"/>
            <w:vAlign w:val="center"/>
          </w:tcPr>
          <w:p w:rsidR="006C4EC2" w:rsidRPr="00971C42" w:rsidRDefault="006C4EC2" w:rsidP="006C4EC2">
            <w:pPr>
              <w:widowControl w:val="0"/>
              <w:jc w:val="both"/>
              <w:rPr>
                <w:rFonts w:ascii="Arial" w:hAnsi="Arial" w:cs="Arial"/>
                <w:b/>
                <w:snapToGrid w:val="0"/>
                <w:sz w:val="18"/>
                <w:szCs w:val="18"/>
                <w:lang w:eastAsia="en-US"/>
              </w:rPr>
            </w:pPr>
            <w:r w:rsidRPr="00971C42">
              <w:rPr>
                <w:rFonts w:ascii="Arial" w:hAnsi="Arial" w:cs="Arial"/>
                <w:b/>
                <w:snapToGrid w:val="0"/>
                <w:sz w:val="18"/>
                <w:szCs w:val="18"/>
                <w:lang w:eastAsia="en-US"/>
              </w:rPr>
              <w:t>42% (32%, 51%)</w:t>
            </w:r>
          </w:p>
          <w:p w:rsidR="006C4EC2" w:rsidRPr="00971C42" w:rsidRDefault="006C4EC2" w:rsidP="006C4EC2">
            <w:pPr>
              <w:widowControl w:val="0"/>
              <w:jc w:val="both"/>
              <w:rPr>
                <w:rFonts w:ascii="Arial" w:hAnsi="Arial" w:cs="Arial"/>
                <w:b/>
                <w:snapToGrid w:val="0"/>
                <w:sz w:val="18"/>
                <w:szCs w:val="18"/>
                <w:highlight w:val="yellow"/>
                <w:lang w:eastAsia="en-US"/>
              </w:rPr>
            </w:pPr>
            <w:r w:rsidRPr="00971C42">
              <w:rPr>
                <w:rFonts w:ascii="Arial" w:hAnsi="Arial" w:cs="Arial"/>
                <w:b/>
                <w:snapToGrid w:val="0"/>
                <w:sz w:val="18"/>
                <w:szCs w:val="18"/>
                <w:lang w:eastAsia="en-US"/>
              </w:rPr>
              <w:t>2 [2, 3]</w:t>
            </w:r>
          </w:p>
        </w:tc>
        <w:tc>
          <w:tcPr>
            <w:tcW w:w="993" w:type="dxa"/>
            <w:shd w:val="clear" w:color="auto" w:fill="DBE5F1"/>
            <w:vAlign w:val="center"/>
          </w:tcPr>
          <w:p w:rsidR="006C4EC2" w:rsidRPr="00971C42" w:rsidRDefault="006C4EC2" w:rsidP="006C4EC2">
            <w:pPr>
              <w:widowControl w:val="0"/>
              <w:jc w:val="both"/>
              <w:rPr>
                <w:rFonts w:ascii="Arial" w:hAnsi="Arial" w:cs="Arial"/>
                <w:b/>
                <w:i/>
                <w:snapToGrid w:val="0"/>
                <w:sz w:val="18"/>
                <w:szCs w:val="18"/>
                <w:lang w:eastAsia="en-US"/>
              </w:rPr>
            </w:pPr>
            <w:r w:rsidRPr="00971C42">
              <w:rPr>
                <w:rFonts w:ascii="Arial" w:hAnsi="Arial" w:cs="Arial"/>
                <w:b/>
                <w:i/>
                <w:snapToGrid w:val="0"/>
                <w:sz w:val="18"/>
                <w:szCs w:val="18"/>
                <w:lang w:eastAsia="en-US"/>
              </w:rPr>
              <w:t>2.06</w:t>
            </w:r>
          </w:p>
          <w:p w:rsidR="006C4EC2" w:rsidRPr="00971C42" w:rsidRDefault="006C4EC2" w:rsidP="006C4EC2">
            <w:pPr>
              <w:widowControl w:val="0"/>
              <w:jc w:val="both"/>
              <w:rPr>
                <w:rFonts w:ascii="Arial" w:hAnsi="Arial" w:cs="Arial"/>
                <w:b/>
                <w:i/>
                <w:snapToGrid w:val="0"/>
                <w:sz w:val="18"/>
                <w:szCs w:val="18"/>
                <w:highlight w:val="yellow"/>
                <w:lang w:eastAsia="en-US"/>
              </w:rPr>
            </w:pPr>
            <w:r w:rsidRPr="00971C42">
              <w:rPr>
                <w:rFonts w:ascii="Arial" w:hAnsi="Arial" w:cs="Arial"/>
                <w:b/>
                <w:i/>
                <w:snapToGrid w:val="0"/>
                <w:sz w:val="18"/>
                <w:szCs w:val="18"/>
                <w:lang w:eastAsia="en-US"/>
              </w:rPr>
              <w:t>(1.69, 2.51)</w:t>
            </w:r>
          </w:p>
        </w:tc>
        <w:tc>
          <w:tcPr>
            <w:tcW w:w="1559" w:type="dxa"/>
            <w:shd w:val="clear" w:color="auto" w:fill="DBE5F1"/>
            <w:vAlign w:val="center"/>
          </w:tcPr>
          <w:p w:rsidR="006C4EC2" w:rsidRPr="00971C42" w:rsidRDefault="006C4EC2" w:rsidP="006C4EC2">
            <w:pPr>
              <w:widowControl w:val="0"/>
              <w:jc w:val="both"/>
              <w:rPr>
                <w:rFonts w:ascii="Arial" w:hAnsi="Arial" w:cs="Arial"/>
                <w:b/>
                <w:i/>
                <w:snapToGrid w:val="0"/>
                <w:sz w:val="18"/>
                <w:szCs w:val="18"/>
                <w:lang w:eastAsia="en-US"/>
              </w:rPr>
            </w:pPr>
            <w:r w:rsidRPr="00971C42">
              <w:rPr>
                <w:rFonts w:ascii="Arial" w:hAnsi="Arial" w:cs="Arial"/>
                <w:b/>
                <w:i/>
                <w:snapToGrid w:val="0"/>
                <w:sz w:val="18"/>
                <w:szCs w:val="18"/>
                <w:lang w:eastAsia="en-US"/>
              </w:rPr>
              <w:t>43% (33%, 52%)</w:t>
            </w:r>
          </w:p>
          <w:p w:rsidR="006C4EC2" w:rsidRPr="00971C42" w:rsidRDefault="006C4EC2" w:rsidP="006C4EC2">
            <w:pPr>
              <w:widowControl w:val="0"/>
              <w:jc w:val="both"/>
              <w:rPr>
                <w:rFonts w:ascii="Arial" w:hAnsi="Arial" w:cs="Arial"/>
                <w:i/>
                <w:snapToGrid w:val="0"/>
                <w:sz w:val="18"/>
                <w:szCs w:val="18"/>
                <w:highlight w:val="yellow"/>
                <w:lang w:eastAsia="en-US"/>
              </w:rPr>
            </w:pPr>
            <w:r w:rsidRPr="00971C42">
              <w:rPr>
                <w:rFonts w:ascii="Arial" w:hAnsi="Arial" w:cs="Arial"/>
                <w:b/>
                <w:i/>
                <w:snapToGrid w:val="0"/>
                <w:sz w:val="18"/>
                <w:szCs w:val="18"/>
                <w:lang w:eastAsia="en-US"/>
              </w:rPr>
              <w:t>2 [2, 3]</w:t>
            </w:r>
          </w:p>
        </w:tc>
        <w:tc>
          <w:tcPr>
            <w:tcW w:w="992" w:type="dxa"/>
            <w:shd w:val="clear" w:color="auto" w:fill="DBE5F1"/>
            <w:vAlign w:val="center"/>
          </w:tcPr>
          <w:p w:rsidR="006C4EC2" w:rsidRPr="00971C42" w:rsidRDefault="006C4EC2" w:rsidP="006C4EC2">
            <w:pPr>
              <w:widowControl w:val="0"/>
              <w:jc w:val="both"/>
              <w:rPr>
                <w:rFonts w:ascii="Arial" w:hAnsi="Arial" w:cs="Arial"/>
                <w:b/>
                <w:i/>
                <w:snapToGrid w:val="0"/>
                <w:sz w:val="18"/>
                <w:szCs w:val="18"/>
                <w:lang w:eastAsia="en-US"/>
              </w:rPr>
            </w:pPr>
            <w:r w:rsidRPr="00971C42">
              <w:rPr>
                <w:rFonts w:ascii="Arial" w:hAnsi="Arial" w:cs="Arial"/>
                <w:b/>
                <w:i/>
                <w:snapToGrid w:val="0"/>
                <w:sz w:val="18"/>
                <w:szCs w:val="18"/>
                <w:lang w:eastAsia="en-US"/>
              </w:rPr>
              <w:t>2.09</w:t>
            </w:r>
          </w:p>
          <w:p w:rsidR="006C4EC2" w:rsidRPr="00971C42" w:rsidRDefault="006C4EC2" w:rsidP="006C4EC2">
            <w:pPr>
              <w:widowControl w:val="0"/>
              <w:jc w:val="both"/>
              <w:rPr>
                <w:rFonts w:ascii="Arial" w:hAnsi="Arial" w:cs="Arial"/>
                <w:i/>
                <w:snapToGrid w:val="0"/>
                <w:sz w:val="18"/>
                <w:szCs w:val="18"/>
                <w:lang w:eastAsia="en-US"/>
              </w:rPr>
            </w:pPr>
            <w:r w:rsidRPr="00971C42">
              <w:rPr>
                <w:rFonts w:ascii="Arial" w:hAnsi="Arial" w:cs="Arial"/>
                <w:b/>
                <w:i/>
                <w:snapToGrid w:val="0"/>
                <w:sz w:val="18"/>
                <w:szCs w:val="18"/>
                <w:lang w:eastAsia="en-US"/>
              </w:rPr>
              <w:t>(1.71, 2.54)</w:t>
            </w:r>
          </w:p>
        </w:tc>
      </w:tr>
      <w:tr w:rsidR="006C4EC2" w:rsidRPr="00971C42" w:rsidTr="006C4EC2">
        <w:tc>
          <w:tcPr>
            <w:tcW w:w="8505" w:type="dxa"/>
            <w:gridSpan w:val="8"/>
            <w:vAlign w:val="center"/>
          </w:tcPr>
          <w:p w:rsidR="006C4EC2" w:rsidRPr="00971C42" w:rsidRDefault="006C4EC2" w:rsidP="006C4EC2">
            <w:pPr>
              <w:widowControl w:val="0"/>
              <w:jc w:val="both"/>
              <w:rPr>
                <w:rFonts w:ascii="Arial" w:hAnsi="Arial" w:cs="Arial"/>
                <w:b/>
                <w:i/>
                <w:snapToGrid w:val="0"/>
                <w:sz w:val="18"/>
                <w:szCs w:val="18"/>
                <w:lang w:eastAsia="en-US"/>
              </w:rPr>
            </w:pPr>
            <w:r w:rsidRPr="00971C42">
              <w:rPr>
                <w:rFonts w:ascii="Arial" w:hAnsi="Arial" w:cs="Arial"/>
                <w:b/>
                <w:snapToGrid w:val="0"/>
                <w:sz w:val="18"/>
                <w:szCs w:val="18"/>
                <w:lang w:eastAsia="en-US"/>
              </w:rPr>
              <w:t>At 3 years</w:t>
            </w:r>
          </w:p>
        </w:tc>
      </w:tr>
      <w:tr w:rsidR="006C4EC2" w:rsidRPr="00971C42" w:rsidTr="006C4EC2">
        <w:tc>
          <w:tcPr>
            <w:tcW w:w="1134" w:type="dxa"/>
            <w:vAlign w:val="center"/>
          </w:tcPr>
          <w:p w:rsidR="006C4EC2" w:rsidRPr="00971C42" w:rsidRDefault="006C4EC2" w:rsidP="006C4EC2">
            <w:pPr>
              <w:widowControl w:val="0"/>
              <w:jc w:val="both"/>
              <w:rPr>
                <w:rFonts w:ascii="Arial" w:hAnsi="Arial" w:cs="Arial"/>
                <w:snapToGrid w:val="0"/>
                <w:sz w:val="18"/>
                <w:szCs w:val="18"/>
                <w:vertAlign w:val="superscript"/>
                <w:lang w:eastAsia="en-US"/>
              </w:rPr>
            </w:pPr>
            <w:r w:rsidRPr="00971C42">
              <w:rPr>
                <w:rFonts w:ascii="Arial" w:hAnsi="Arial" w:cs="Arial"/>
                <w:snapToGrid w:val="0"/>
                <w:sz w:val="18"/>
                <w:szCs w:val="18"/>
                <w:lang w:eastAsia="en-US"/>
              </w:rPr>
              <w:t xml:space="preserve">EXCEL </w:t>
            </w:r>
            <w:r w:rsidRPr="00971C42">
              <w:rPr>
                <w:rFonts w:ascii="Arial" w:hAnsi="Arial" w:cs="Arial"/>
                <w:snapToGrid w:val="0"/>
                <w:sz w:val="18"/>
                <w:szCs w:val="18"/>
                <w:vertAlign w:val="superscript"/>
                <w:lang w:eastAsia="en-US"/>
              </w:rPr>
              <w:t>#</w:t>
            </w:r>
          </w:p>
        </w:tc>
        <w:tc>
          <w:tcPr>
            <w:tcW w:w="737" w:type="dxa"/>
            <w:vAlign w:val="center"/>
          </w:tcPr>
          <w:p w:rsidR="006C4EC2" w:rsidRPr="00971C42" w:rsidRDefault="006C4EC2" w:rsidP="006C4EC2">
            <w:pPr>
              <w:spacing w:line="276" w:lineRule="auto"/>
              <w:jc w:val="both"/>
              <w:rPr>
                <w:rFonts w:ascii="Arial" w:eastAsia="SimSun" w:hAnsi="Arial" w:cs="Arial"/>
                <w:sz w:val="18"/>
                <w:szCs w:val="18"/>
                <w:lang w:eastAsia="en-US" w:bidi="en-US"/>
              </w:rPr>
            </w:pPr>
            <w:r w:rsidRPr="00971C42">
              <w:rPr>
                <w:rFonts w:ascii="Arial" w:eastAsia="SimSun" w:hAnsi="Arial" w:cs="Arial"/>
                <w:sz w:val="18"/>
                <w:szCs w:val="18"/>
                <w:lang w:eastAsia="en-US" w:bidi="en-US"/>
              </w:rPr>
              <w:t>109/120</w:t>
            </w:r>
          </w:p>
          <w:p w:rsidR="006C4EC2" w:rsidRPr="00971C42" w:rsidRDefault="006C4EC2" w:rsidP="006C4EC2">
            <w:pPr>
              <w:spacing w:line="276" w:lineRule="auto"/>
              <w:jc w:val="both"/>
              <w:rPr>
                <w:rFonts w:ascii="Arial" w:eastAsia="SimSun" w:hAnsi="Arial" w:cs="Arial"/>
                <w:sz w:val="18"/>
                <w:szCs w:val="18"/>
                <w:lang w:eastAsia="en-US" w:bidi="en-US"/>
              </w:rPr>
            </w:pPr>
            <w:r w:rsidRPr="00971C42">
              <w:rPr>
                <w:rFonts w:ascii="Arial" w:eastAsia="SimSun" w:hAnsi="Arial" w:cs="Arial"/>
                <w:sz w:val="18"/>
                <w:szCs w:val="18"/>
                <w:lang w:eastAsia="en-US" w:bidi="en-US"/>
              </w:rPr>
              <w:t>(91%)</w:t>
            </w:r>
          </w:p>
        </w:tc>
        <w:tc>
          <w:tcPr>
            <w:tcW w:w="823" w:type="dxa"/>
            <w:vAlign w:val="center"/>
          </w:tcPr>
          <w:p w:rsidR="006C4EC2" w:rsidRPr="00971C42" w:rsidRDefault="006C4EC2" w:rsidP="006C4EC2">
            <w:pPr>
              <w:spacing w:line="276" w:lineRule="auto"/>
              <w:jc w:val="both"/>
              <w:rPr>
                <w:rFonts w:ascii="Arial" w:eastAsia="SimSun" w:hAnsi="Arial" w:cs="Arial"/>
                <w:sz w:val="18"/>
                <w:szCs w:val="18"/>
                <w:lang w:eastAsia="en-US" w:bidi="en-US"/>
              </w:rPr>
            </w:pPr>
            <w:r w:rsidRPr="00971C42">
              <w:rPr>
                <w:rFonts w:ascii="Arial" w:eastAsia="SimSun" w:hAnsi="Arial" w:cs="Arial"/>
                <w:sz w:val="18"/>
                <w:szCs w:val="18"/>
                <w:lang w:eastAsia="en-US" w:bidi="en-US"/>
              </w:rPr>
              <w:t>43/47 (92%)</w:t>
            </w:r>
          </w:p>
        </w:tc>
        <w:tc>
          <w:tcPr>
            <w:tcW w:w="708" w:type="dxa"/>
            <w:vAlign w:val="center"/>
          </w:tcPr>
          <w:p w:rsidR="006C4EC2" w:rsidRPr="00971C42" w:rsidRDefault="006C4EC2" w:rsidP="006C4EC2">
            <w:pPr>
              <w:widowControl w:val="0"/>
              <w:jc w:val="both"/>
              <w:rPr>
                <w:rFonts w:ascii="Arial" w:hAnsi="Arial" w:cs="Arial"/>
                <w:snapToGrid w:val="0"/>
                <w:sz w:val="18"/>
                <w:szCs w:val="18"/>
                <w:lang w:eastAsia="en-US"/>
              </w:rPr>
            </w:pPr>
            <w:r w:rsidRPr="00971C42">
              <w:rPr>
                <w:rFonts w:ascii="Arial" w:hAnsi="Arial" w:cs="Arial"/>
                <w:snapToGrid w:val="0"/>
                <w:sz w:val="18"/>
                <w:szCs w:val="18"/>
                <w:lang w:eastAsia="en-US"/>
              </w:rPr>
              <w:t>9/10</w:t>
            </w:r>
          </w:p>
          <w:p w:rsidR="006C4EC2" w:rsidRPr="00971C42" w:rsidRDefault="006C4EC2" w:rsidP="006C4EC2">
            <w:pPr>
              <w:widowControl w:val="0"/>
              <w:jc w:val="both"/>
              <w:rPr>
                <w:rFonts w:ascii="Arial" w:hAnsi="Arial" w:cs="Arial"/>
                <w:snapToGrid w:val="0"/>
                <w:sz w:val="18"/>
                <w:szCs w:val="18"/>
                <w:lang w:eastAsia="en-US"/>
              </w:rPr>
            </w:pPr>
            <w:r w:rsidRPr="00971C42">
              <w:rPr>
                <w:rFonts w:ascii="Arial" w:hAnsi="Arial" w:cs="Arial"/>
                <w:snapToGrid w:val="0"/>
                <w:sz w:val="18"/>
                <w:szCs w:val="18"/>
                <w:lang w:eastAsia="en-US"/>
              </w:rPr>
              <w:t>(90%)</w:t>
            </w:r>
          </w:p>
        </w:tc>
        <w:tc>
          <w:tcPr>
            <w:tcW w:w="1559" w:type="dxa"/>
            <w:shd w:val="clear" w:color="auto" w:fill="DBE5F1"/>
            <w:vAlign w:val="center"/>
          </w:tcPr>
          <w:p w:rsidR="006C4EC2" w:rsidRPr="00971C42" w:rsidRDefault="006C4EC2" w:rsidP="006C4EC2">
            <w:pPr>
              <w:widowControl w:val="0"/>
              <w:jc w:val="both"/>
              <w:rPr>
                <w:rFonts w:ascii="Arial" w:hAnsi="Arial" w:cs="Arial"/>
                <w:b/>
                <w:snapToGrid w:val="0"/>
                <w:sz w:val="18"/>
                <w:szCs w:val="18"/>
                <w:lang w:eastAsia="en-US"/>
              </w:rPr>
            </w:pPr>
            <w:r w:rsidRPr="00971C42">
              <w:rPr>
                <w:rFonts w:ascii="Arial" w:hAnsi="Arial" w:cs="Arial"/>
                <w:i/>
                <w:snapToGrid w:val="0"/>
                <w:sz w:val="18"/>
                <w:szCs w:val="18"/>
                <w:lang w:eastAsia="en-US"/>
              </w:rPr>
              <w:t>0% (-19%, 19%)</w:t>
            </w:r>
          </w:p>
        </w:tc>
        <w:tc>
          <w:tcPr>
            <w:tcW w:w="993" w:type="dxa"/>
            <w:shd w:val="clear" w:color="auto" w:fill="DBE5F1"/>
            <w:vAlign w:val="center"/>
          </w:tcPr>
          <w:p w:rsidR="006C4EC2" w:rsidRPr="00971C42" w:rsidRDefault="006C4EC2" w:rsidP="006C4EC2">
            <w:pPr>
              <w:widowControl w:val="0"/>
              <w:jc w:val="both"/>
              <w:rPr>
                <w:rFonts w:ascii="Arial" w:hAnsi="Arial" w:cs="Arial"/>
                <w:i/>
                <w:snapToGrid w:val="0"/>
                <w:sz w:val="18"/>
                <w:szCs w:val="18"/>
                <w:lang w:eastAsia="en-US"/>
              </w:rPr>
            </w:pPr>
            <w:r w:rsidRPr="00971C42">
              <w:rPr>
                <w:rFonts w:ascii="Arial" w:hAnsi="Arial" w:cs="Arial"/>
                <w:i/>
                <w:snapToGrid w:val="0"/>
                <w:sz w:val="18"/>
                <w:szCs w:val="18"/>
                <w:lang w:eastAsia="en-US"/>
              </w:rPr>
              <w:t xml:space="preserve">1.01 </w:t>
            </w:r>
          </w:p>
          <w:p w:rsidR="006C4EC2" w:rsidRPr="00971C42" w:rsidRDefault="006C4EC2" w:rsidP="006C4EC2">
            <w:pPr>
              <w:widowControl w:val="0"/>
              <w:jc w:val="both"/>
              <w:rPr>
                <w:rFonts w:ascii="Arial" w:hAnsi="Arial" w:cs="Arial"/>
                <w:b/>
                <w:i/>
                <w:snapToGrid w:val="0"/>
                <w:sz w:val="18"/>
                <w:szCs w:val="18"/>
                <w:lang w:eastAsia="en-US"/>
              </w:rPr>
            </w:pPr>
            <w:r w:rsidRPr="00971C42">
              <w:rPr>
                <w:rFonts w:ascii="Arial" w:hAnsi="Arial" w:cs="Arial"/>
                <w:i/>
                <w:snapToGrid w:val="0"/>
                <w:sz w:val="18"/>
                <w:szCs w:val="18"/>
                <w:lang w:eastAsia="en-US"/>
              </w:rPr>
              <w:t>(0.81, 1.25)</w:t>
            </w:r>
          </w:p>
        </w:tc>
        <w:tc>
          <w:tcPr>
            <w:tcW w:w="1559" w:type="dxa"/>
            <w:shd w:val="clear" w:color="auto" w:fill="DBE5F1"/>
            <w:vAlign w:val="center"/>
          </w:tcPr>
          <w:p w:rsidR="006C4EC2" w:rsidRPr="00971C42" w:rsidRDefault="006C4EC2" w:rsidP="006C4EC2">
            <w:pPr>
              <w:widowControl w:val="0"/>
              <w:jc w:val="both"/>
              <w:rPr>
                <w:rFonts w:ascii="Arial" w:hAnsi="Arial" w:cs="Arial"/>
                <w:i/>
                <w:snapToGrid w:val="0"/>
                <w:sz w:val="18"/>
                <w:szCs w:val="18"/>
                <w:lang w:eastAsia="en-US"/>
              </w:rPr>
            </w:pPr>
            <w:r w:rsidRPr="00971C42">
              <w:rPr>
                <w:rFonts w:ascii="Arial" w:hAnsi="Arial" w:cs="Arial"/>
                <w:i/>
                <w:snapToGrid w:val="0"/>
                <w:sz w:val="18"/>
                <w:szCs w:val="18"/>
                <w:lang w:eastAsia="en-US"/>
              </w:rPr>
              <w:t>1% (-18%, 20%)</w:t>
            </w:r>
          </w:p>
        </w:tc>
        <w:tc>
          <w:tcPr>
            <w:tcW w:w="992" w:type="dxa"/>
            <w:shd w:val="clear" w:color="auto" w:fill="DBE5F1"/>
            <w:vAlign w:val="center"/>
          </w:tcPr>
          <w:p w:rsidR="006C4EC2" w:rsidRPr="00971C42" w:rsidRDefault="006C4EC2" w:rsidP="006C4EC2">
            <w:pPr>
              <w:widowControl w:val="0"/>
              <w:jc w:val="both"/>
              <w:rPr>
                <w:rFonts w:ascii="Arial" w:hAnsi="Arial" w:cs="Arial"/>
                <w:i/>
                <w:snapToGrid w:val="0"/>
                <w:sz w:val="18"/>
                <w:szCs w:val="18"/>
                <w:lang w:eastAsia="en-US"/>
              </w:rPr>
            </w:pPr>
            <w:r w:rsidRPr="00971C42">
              <w:rPr>
                <w:rFonts w:ascii="Arial" w:hAnsi="Arial" w:cs="Arial"/>
                <w:i/>
                <w:snapToGrid w:val="0"/>
                <w:sz w:val="18"/>
                <w:szCs w:val="18"/>
                <w:lang w:eastAsia="en-US"/>
              </w:rPr>
              <w:t xml:space="preserve">1.02 </w:t>
            </w:r>
          </w:p>
          <w:p w:rsidR="006C4EC2" w:rsidRPr="00971C42" w:rsidRDefault="006C4EC2" w:rsidP="006C4EC2">
            <w:pPr>
              <w:widowControl w:val="0"/>
              <w:jc w:val="both"/>
              <w:rPr>
                <w:rFonts w:ascii="Arial" w:hAnsi="Arial" w:cs="Arial"/>
                <w:i/>
                <w:snapToGrid w:val="0"/>
                <w:sz w:val="18"/>
                <w:szCs w:val="18"/>
                <w:lang w:eastAsia="en-US"/>
              </w:rPr>
            </w:pPr>
            <w:r w:rsidRPr="00971C42">
              <w:rPr>
                <w:rFonts w:ascii="Arial" w:hAnsi="Arial" w:cs="Arial"/>
                <w:i/>
                <w:snapToGrid w:val="0"/>
                <w:sz w:val="18"/>
                <w:szCs w:val="18"/>
                <w:lang w:eastAsia="en-US"/>
              </w:rPr>
              <w:t>(0.81, 1.27)</w:t>
            </w:r>
          </w:p>
        </w:tc>
      </w:tr>
    </w:tbl>
    <w:p w:rsidR="006C4EC2" w:rsidRPr="00971C42" w:rsidRDefault="006C4EC2" w:rsidP="006C4EC2">
      <w:pPr>
        <w:widowControl w:val="0"/>
        <w:jc w:val="both"/>
        <w:rPr>
          <w:rFonts w:ascii="Arial" w:hAnsi="Arial" w:cs="Arial"/>
          <w:snapToGrid w:val="0"/>
          <w:sz w:val="16"/>
          <w:szCs w:val="16"/>
          <w:lang w:eastAsia="en-US"/>
        </w:rPr>
      </w:pPr>
      <w:r w:rsidRPr="00971C42">
        <w:rPr>
          <w:rFonts w:ascii="Arial" w:hAnsi="Arial" w:cs="Arial"/>
          <w:snapToGrid w:val="0"/>
          <w:sz w:val="16"/>
          <w:szCs w:val="16"/>
          <w:lang w:eastAsia="en-US"/>
        </w:rPr>
        <w:t>Abbreviations: ALO 300 = allopurinol 300 mg; FBX 80 = febuxostat 80 mg; FBX 120 = febuxostat 120 mg; pts=patients</w:t>
      </w:r>
    </w:p>
    <w:p w:rsidR="006C4EC2" w:rsidRPr="00971C42" w:rsidRDefault="006C4EC2" w:rsidP="006C4EC2">
      <w:pPr>
        <w:widowControl w:val="0"/>
        <w:jc w:val="both"/>
        <w:rPr>
          <w:rFonts w:ascii="Arial" w:hAnsi="Arial" w:cs="Arial"/>
          <w:i/>
          <w:snapToGrid w:val="0"/>
          <w:sz w:val="16"/>
          <w:szCs w:val="16"/>
          <w:lang w:eastAsia="en-US"/>
        </w:rPr>
      </w:pPr>
      <w:r w:rsidRPr="00971C42">
        <w:rPr>
          <w:rFonts w:ascii="Arial" w:hAnsi="Arial" w:cs="Arial"/>
          <w:i/>
          <w:snapToGrid w:val="0"/>
          <w:sz w:val="16"/>
          <w:szCs w:val="16"/>
          <w:lang w:eastAsia="en-US"/>
        </w:rPr>
        <w:t xml:space="preserve">Italics represent results calculated during the evaluation using </w:t>
      </w:r>
      <w:proofErr w:type="spellStart"/>
      <w:r w:rsidRPr="00971C42">
        <w:rPr>
          <w:rFonts w:ascii="Arial" w:hAnsi="Arial" w:cs="Arial"/>
          <w:i/>
          <w:snapToGrid w:val="0"/>
          <w:sz w:val="16"/>
          <w:szCs w:val="16"/>
          <w:lang w:eastAsia="en-US"/>
        </w:rPr>
        <w:t>StatsDirect</w:t>
      </w:r>
      <w:proofErr w:type="spellEnd"/>
      <w:r w:rsidRPr="00971C42">
        <w:rPr>
          <w:rFonts w:ascii="Arial" w:hAnsi="Arial" w:cs="Arial"/>
          <w:i/>
          <w:snapToGrid w:val="0"/>
          <w:sz w:val="16"/>
          <w:szCs w:val="16"/>
          <w:lang w:eastAsia="en-US"/>
        </w:rPr>
        <w:t xml:space="preserve"> (Version 2.8.0)</w:t>
      </w:r>
    </w:p>
    <w:p w:rsidR="006C4EC2" w:rsidRPr="00971C42" w:rsidRDefault="006C4EC2" w:rsidP="006C4EC2">
      <w:pPr>
        <w:widowControl w:val="0"/>
        <w:jc w:val="both"/>
        <w:rPr>
          <w:rFonts w:ascii="Arial" w:hAnsi="Arial" w:cs="Arial"/>
          <w:snapToGrid w:val="0"/>
          <w:sz w:val="16"/>
          <w:szCs w:val="16"/>
          <w:lang w:eastAsia="en-US"/>
        </w:rPr>
      </w:pPr>
      <w:r w:rsidRPr="00971C42">
        <w:rPr>
          <w:rFonts w:ascii="Arial" w:hAnsi="Arial" w:cs="Arial"/>
          <w:i/>
          <w:snapToGrid w:val="0"/>
          <w:sz w:val="16"/>
          <w:szCs w:val="16"/>
          <w:lang w:eastAsia="en-US"/>
        </w:rPr>
        <w:t>Bold typography indicates statistically significant results.</w:t>
      </w:r>
    </w:p>
    <w:p w:rsidR="006C4EC2" w:rsidRPr="00971C42" w:rsidRDefault="006C4EC2" w:rsidP="006C4EC2">
      <w:pPr>
        <w:widowControl w:val="0"/>
        <w:jc w:val="both"/>
        <w:rPr>
          <w:rFonts w:ascii="Arial" w:hAnsi="Arial" w:cs="Arial"/>
          <w:snapToGrid w:val="0"/>
          <w:sz w:val="16"/>
          <w:szCs w:val="16"/>
          <w:lang w:eastAsia="en-US"/>
        </w:rPr>
      </w:pPr>
      <w:r w:rsidRPr="00971C42">
        <w:rPr>
          <w:rFonts w:ascii="Arial" w:hAnsi="Arial" w:cs="Arial"/>
          <w:snapToGrid w:val="0"/>
          <w:sz w:val="16"/>
          <w:szCs w:val="16"/>
          <w:vertAlign w:val="superscript"/>
          <w:lang w:eastAsia="en-US"/>
        </w:rPr>
        <w:t>$</w:t>
      </w:r>
      <w:r w:rsidRPr="00971C42">
        <w:rPr>
          <w:rFonts w:ascii="Arial" w:hAnsi="Arial" w:cs="Arial"/>
          <w:snapToGrid w:val="0"/>
          <w:sz w:val="16"/>
          <w:szCs w:val="16"/>
          <w:vertAlign w:val="superscript"/>
          <w:lang w:eastAsia="en-US"/>
        </w:rPr>
        <w:tab/>
      </w:r>
      <w:r w:rsidRPr="00971C42">
        <w:rPr>
          <w:rFonts w:ascii="Arial" w:hAnsi="Arial" w:cs="Arial"/>
          <w:snapToGrid w:val="0"/>
          <w:sz w:val="16"/>
          <w:szCs w:val="16"/>
          <w:lang w:eastAsia="en-US"/>
        </w:rPr>
        <w:t>NNT only estimated when the difference is statistically significant</w:t>
      </w:r>
    </w:p>
    <w:p w:rsidR="006C4EC2" w:rsidRPr="00971C42" w:rsidRDefault="006C4EC2" w:rsidP="006C4EC2">
      <w:pPr>
        <w:widowControl w:val="0"/>
        <w:ind w:left="165" w:hanging="165"/>
        <w:jc w:val="both"/>
        <w:rPr>
          <w:rFonts w:ascii="Arial" w:hAnsi="Arial" w:cs="Arial"/>
          <w:snapToGrid w:val="0"/>
          <w:sz w:val="16"/>
          <w:szCs w:val="16"/>
          <w:lang w:eastAsia="en-US"/>
        </w:rPr>
      </w:pPr>
      <w:r w:rsidRPr="00971C42">
        <w:rPr>
          <w:rFonts w:ascii="Arial" w:hAnsi="Arial" w:cs="Arial"/>
          <w:snapToGrid w:val="0"/>
          <w:sz w:val="16"/>
          <w:szCs w:val="16"/>
          <w:lang w:eastAsia="en-US"/>
        </w:rPr>
        <w:t>^</w:t>
      </w:r>
      <w:r w:rsidRPr="00971C42">
        <w:rPr>
          <w:rFonts w:ascii="Arial" w:hAnsi="Arial" w:cs="Arial"/>
          <w:snapToGrid w:val="0"/>
          <w:sz w:val="16"/>
          <w:szCs w:val="16"/>
          <w:lang w:eastAsia="en-US"/>
        </w:rPr>
        <w:tab/>
        <w:t>indicates this is a primary outcome from the trial</w:t>
      </w:r>
    </w:p>
    <w:p w:rsidR="006C4EC2" w:rsidRPr="00971C42" w:rsidRDefault="006C4EC2" w:rsidP="006C4EC2">
      <w:pPr>
        <w:widowControl w:val="0"/>
        <w:ind w:left="165" w:hanging="165"/>
        <w:jc w:val="both"/>
        <w:rPr>
          <w:rFonts w:ascii="Arial" w:hAnsi="Arial" w:cs="Arial"/>
          <w:snapToGrid w:val="0"/>
          <w:sz w:val="16"/>
          <w:szCs w:val="16"/>
          <w:lang w:eastAsia="en-US"/>
        </w:rPr>
      </w:pPr>
      <w:r w:rsidRPr="00971C42">
        <w:rPr>
          <w:rFonts w:ascii="Arial" w:hAnsi="Arial" w:cs="Arial"/>
          <w:snapToGrid w:val="0"/>
          <w:sz w:val="16"/>
          <w:szCs w:val="16"/>
          <w:lang w:eastAsia="en-US"/>
        </w:rPr>
        <w:t>+</w:t>
      </w:r>
      <w:r w:rsidRPr="00971C42">
        <w:rPr>
          <w:rFonts w:ascii="Arial" w:hAnsi="Arial" w:cs="Arial"/>
          <w:snapToGrid w:val="0"/>
          <w:sz w:val="16"/>
          <w:szCs w:val="16"/>
          <w:lang w:eastAsia="en-US"/>
        </w:rPr>
        <w:tab/>
        <w:t xml:space="preserve">Reduced dose of allopurinol </w:t>
      </w:r>
      <w:proofErr w:type="gramStart"/>
      <w:r w:rsidRPr="00971C42">
        <w:rPr>
          <w:rFonts w:ascii="Arial" w:hAnsi="Arial" w:cs="Arial"/>
          <w:snapToGrid w:val="0"/>
          <w:sz w:val="16"/>
          <w:szCs w:val="16"/>
          <w:lang w:eastAsia="en-US"/>
        </w:rPr>
        <w:t>was administered</w:t>
      </w:r>
      <w:proofErr w:type="gramEnd"/>
      <w:r w:rsidRPr="00971C42">
        <w:rPr>
          <w:rFonts w:ascii="Arial" w:hAnsi="Arial" w:cs="Arial"/>
          <w:snapToGrid w:val="0"/>
          <w:sz w:val="16"/>
          <w:szCs w:val="16"/>
          <w:lang w:eastAsia="en-US"/>
        </w:rPr>
        <w:t xml:space="preserve"> to patients with renal insufficiency at baseline</w:t>
      </w:r>
    </w:p>
    <w:p w:rsidR="006C4EC2" w:rsidRPr="00971C42" w:rsidRDefault="006C4EC2" w:rsidP="006C4EC2">
      <w:pPr>
        <w:widowControl w:val="0"/>
        <w:jc w:val="both"/>
        <w:rPr>
          <w:rFonts w:ascii="Arial" w:hAnsi="Arial" w:cs="Arial"/>
          <w:snapToGrid w:val="0"/>
          <w:sz w:val="16"/>
          <w:szCs w:val="16"/>
          <w:lang w:eastAsia="en-US"/>
        </w:rPr>
      </w:pPr>
      <w:r w:rsidRPr="00971C42">
        <w:rPr>
          <w:rFonts w:ascii="Arial" w:hAnsi="Arial" w:cs="Arial"/>
          <w:snapToGrid w:val="0"/>
          <w:sz w:val="16"/>
          <w:szCs w:val="16"/>
          <w:lang w:eastAsia="en-US"/>
        </w:rPr>
        <w:t>*</w:t>
      </w:r>
      <w:r w:rsidRPr="00971C42">
        <w:rPr>
          <w:rFonts w:ascii="Arial" w:hAnsi="Arial" w:cs="Arial"/>
          <w:snapToGrid w:val="0"/>
          <w:sz w:val="16"/>
          <w:szCs w:val="16"/>
          <w:lang w:eastAsia="en-US"/>
        </w:rPr>
        <w:tab/>
        <w:t>97.5% CI</w:t>
      </w:r>
    </w:p>
    <w:p w:rsidR="006C4EC2" w:rsidRPr="00971C42" w:rsidRDefault="006C4EC2" w:rsidP="006C4EC2">
      <w:pPr>
        <w:widowControl w:val="0"/>
        <w:ind w:left="170" w:hanging="170"/>
        <w:jc w:val="both"/>
        <w:rPr>
          <w:rFonts w:ascii="Arial" w:hAnsi="Arial" w:cs="Arial"/>
          <w:snapToGrid w:val="0"/>
          <w:sz w:val="16"/>
          <w:szCs w:val="16"/>
          <w:lang w:eastAsia="en-US"/>
        </w:rPr>
      </w:pPr>
      <w:r w:rsidRPr="00971C42">
        <w:rPr>
          <w:rFonts w:ascii="Arial" w:hAnsi="Arial" w:cs="Arial"/>
          <w:snapToGrid w:val="0"/>
          <w:sz w:val="16"/>
          <w:szCs w:val="16"/>
          <w:vertAlign w:val="superscript"/>
          <w:lang w:eastAsia="en-US"/>
        </w:rPr>
        <w:t>#</w:t>
      </w:r>
      <w:r w:rsidRPr="00971C42">
        <w:rPr>
          <w:rFonts w:ascii="Arial" w:hAnsi="Arial" w:cs="Arial"/>
          <w:snapToGrid w:val="0"/>
          <w:sz w:val="16"/>
          <w:szCs w:val="16"/>
          <w:vertAlign w:val="superscript"/>
          <w:lang w:eastAsia="en-US"/>
        </w:rPr>
        <w:tab/>
      </w:r>
      <w:r w:rsidRPr="00971C42">
        <w:rPr>
          <w:rFonts w:ascii="Arial" w:hAnsi="Arial" w:cs="Arial"/>
          <w:snapToGrid w:val="0"/>
          <w:sz w:val="16"/>
          <w:szCs w:val="16"/>
          <w:lang w:eastAsia="en-US"/>
        </w:rPr>
        <w:t xml:space="preserve"> </w:t>
      </w:r>
      <w:proofErr w:type="gramStart"/>
      <w:r w:rsidRPr="00971C42">
        <w:rPr>
          <w:rFonts w:ascii="Arial" w:hAnsi="Arial" w:cs="Arial"/>
          <w:snapToGrid w:val="0"/>
          <w:sz w:val="16"/>
          <w:szCs w:val="16"/>
          <w:lang w:eastAsia="en-US"/>
        </w:rPr>
        <w:t>this</w:t>
      </w:r>
      <w:proofErr w:type="gramEnd"/>
      <w:r w:rsidRPr="00971C42">
        <w:rPr>
          <w:rFonts w:ascii="Arial" w:hAnsi="Arial" w:cs="Arial"/>
          <w:snapToGrid w:val="0"/>
          <w:sz w:val="16"/>
          <w:szCs w:val="16"/>
          <w:lang w:eastAsia="en-US"/>
        </w:rPr>
        <w:t xml:space="preserve"> is based on initial treatment assignment, high degree of bias as large numbers of patients taking allopurinol crossed over to FBX treatment</w:t>
      </w:r>
    </w:p>
    <w:p w:rsidR="006C4EC2" w:rsidRPr="00971C42" w:rsidRDefault="006C4EC2" w:rsidP="006C4EC2">
      <w:pPr>
        <w:widowControl w:val="0"/>
        <w:jc w:val="both"/>
        <w:rPr>
          <w:rFonts w:ascii="Arial" w:hAnsi="Arial" w:cs="Arial"/>
          <w:snapToGrid w:val="0"/>
          <w:sz w:val="16"/>
          <w:szCs w:val="16"/>
          <w:lang w:eastAsia="en-US"/>
        </w:rPr>
      </w:pPr>
      <w:proofErr w:type="gramStart"/>
      <w:r w:rsidRPr="00971C42">
        <w:rPr>
          <w:rFonts w:ascii="Arial" w:hAnsi="Arial" w:cs="Arial"/>
          <w:snapToGrid w:val="0"/>
          <w:sz w:val="16"/>
          <w:szCs w:val="16"/>
          <w:vertAlign w:val="superscript"/>
          <w:lang w:eastAsia="en-US"/>
        </w:rPr>
        <w:t>a</w:t>
      </w:r>
      <w:proofErr w:type="gramEnd"/>
      <w:r w:rsidRPr="00971C42">
        <w:rPr>
          <w:rFonts w:ascii="Arial" w:hAnsi="Arial" w:cs="Arial"/>
          <w:snapToGrid w:val="0"/>
          <w:sz w:val="16"/>
          <w:szCs w:val="16"/>
          <w:lang w:eastAsia="en-US"/>
        </w:rPr>
        <w:t xml:space="preserve"> last value from the previous study (APEX or FACT)</w:t>
      </w:r>
    </w:p>
    <w:p w:rsidR="006C4EC2" w:rsidRPr="00971C42" w:rsidRDefault="006C4EC2" w:rsidP="006C4EC2">
      <w:pPr>
        <w:widowControl w:val="0"/>
        <w:jc w:val="both"/>
        <w:rPr>
          <w:rFonts w:ascii="Arial" w:hAnsi="Arial"/>
          <w:snapToGrid w:val="0"/>
          <w:sz w:val="16"/>
          <w:szCs w:val="16"/>
          <w:lang w:val="it-IT" w:eastAsia="en-US"/>
        </w:rPr>
      </w:pPr>
      <w:r w:rsidRPr="00971C42">
        <w:rPr>
          <w:rFonts w:ascii="Arial" w:hAnsi="Arial" w:cs="Arial"/>
          <w:snapToGrid w:val="0"/>
          <w:sz w:val="16"/>
          <w:szCs w:val="16"/>
          <w:vertAlign w:val="superscript"/>
          <w:lang w:val="it-IT" w:eastAsia="en-US"/>
        </w:rPr>
        <w:t>b</w:t>
      </w:r>
      <w:r w:rsidRPr="00971C42">
        <w:rPr>
          <w:rFonts w:ascii="Arial" w:hAnsi="Arial" w:cs="Arial"/>
          <w:snapToGrid w:val="0"/>
          <w:sz w:val="16"/>
          <w:szCs w:val="16"/>
          <w:vertAlign w:val="superscript"/>
          <w:lang w:val="it-IT" w:eastAsia="en-US"/>
        </w:rPr>
        <w:tab/>
      </w:r>
      <w:r w:rsidRPr="00971C42">
        <w:rPr>
          <w:rFonts w:ascii="Arial" w:hAnsi="Arial"/>
          <w:snapToGrid w:val="0"/>
          <w:sz w:val="16"/>
          <w:szCs w:val="16"/>
          <w:lang w:val="it-IT" w:eastAsia="en-US"/>
        </w:rPr>
        <w:t>Heterogeneity: Tau² = 0.00; Chi² = 1.29, df = 2 (P = 0.52); I² = 0%</w:t>
      </w:r>
    </w:p>
    <w:p w:rsidR="006C4EC2" w:rsidRPr="00971C42" w:rsidRDefault="006C4EC2" w:rsidP="006C4EC2">
      <w:pPr>
        <w:widowControl w:val="0"/>
        <w:jc w:val="both"/>
        <w:rPr>
          <w:rFonts w:ascii="Arial" w:hAnsi="Arial"/>
          <w:snapToGrid w:val="0"/>
          <w:sz w:val="16"/>
          <w:szCs w:val="16"/>
          <w:lang w:val="it-IT" w:eastAsia="en-US"/>
        </w:rPr>
      </w:pPr>
      <w:r w:rsidRPr="00971C42">
        <w:rPr>
          <w:rFonts w:ascii="Arial" w:hAnsi="Arial"/>
          <w:snapToGrid w:val="0"/>
          <w:sz w:val="16"/>
          <w:szCs w:val="16"/>
          <w:vertAlign w:val="superscript"/>
          <w:lang w:val="it-IT" w:eastAsia="en-US"/>
        </w:rPr>
        <w:t>c</w:t>
      </w:r>
      <w:r w:rsidRPr="00971C42">
        <w:rPr>
          <w:rFonts w:ascii="Arial" w:hAnsi="Arial"/>
          <w:snapToGrid w:val="0"/>
          <w:sz w:val="16"/>
          <w:szCs w:val="16"/>
          <w:vertAlign w:val="superscript"/>
          <w:lang w:val="it-IT" w:eastAsia="en-US"/>
        </w:rPr>
        <w:tab/>
      </w:r>
      <w:r w:rsidRPr="00971C42">
        <w:rPr>
          <w:rFonts w:ascii="Arial" w:hAnsi="Arial"/>
          <w:snapToGrid w:val="0"/>
          <w:sz w:val="16"/>
          <w:szCs w:val="16"/>
          <w:lang w:val="it-IT" w:eastAsia="en-US"/>
        </w:rPr>
        <w:t>Heterogeneity: Tau² = 0.00; Chi² = 0.52, df = 1 (P = 0.47); I² = 0%</w:t>
      </w:r>
    </w:p>
    <w:p w:rsidR="006C4EC2" w:rsidRPr="00971C42" w:rsidRDefault="006C4EC2" w:rsidP="006C4EC2">
      <w:pPr>
        <w:widowControl w:val="0"/>
        <w:jc w:val="both"/>
        <w:rPr>
          <w:rFonts w:ascii="Arial" w:hAnsi="Arial" w:cs="Arial"/>
          <w:snapToGrid w:val="0"/>
          <w:sz w:val="16"/>
          <w:szCs w:val="16"/>
          <w:lang w:eastAsia="en-US"/>
        </w:rPr>
      </w:pPr>
      <w:r>
        <w:rPr>
          <w:rFonts w:ascii="Arial" w:hAnsi="Arial" w:cs="Arial"/>
          <w:snapToGrid w:val="0"/>
          <w:sz w:val="16"/>
          <w:szCs w:val="16"/>
          <w:lang w:eastAsia="en-US"/>
        </w:rPr>
        <w:t xml:space="preserve"> </w:t>
      </w:r>
    </w:p>
    <w:p w:rsidR="004C0E3F" w:rsidRPr="003161B0" w:rsidRDefault="004C0E3F" w:rsidP="005C0B92">
      <w:pPr>
        <w:jc w:val="both"/>
      </w:pPr>
      <w:r w:rsidRPr="003161B0">
        <w:t>The PBAC considered that the advantage of a fast reduction in sUA did not translate into benefits over allopurinol for more clinically meaningful outcomes such as flare reduction, tophi resolution or health-related quality of life (</w:t>
      </w:r>
      <w:proofErr w:type="spellStart"/>
      <w:r w:rsidRPr="003161B0">
        <w:t>HRQoL</w:t>
      </w:r>
      <w:proofErr w:type="spellEnd"/>
      <w:r w:rsidRPr="003161B0">
        <w:t>). Therefore the PBAC did not agree with the submission’s assumption that attaining the biological sUA target (&lt;6mg/</w:t>
      </w:r>
      <w:proofErr w:type="spellStart"/>
      <w:r w:rsidRPr="003161B0">
        <w:t>dL</w:t>
      </w:r>
      <w:proofErr w:type="spellEnd"/>
      <w:r w:rsidRPr="003161B0">
        <w:t>) would lead to clinically meaningful outcomes.</w:t>
      </w:r>
    </w:p>
    <w:p w:rsidR="004C0E3F" w:rsidRPr="003161B0" w:rsidRDefault="004C0E3F" w:rsidP="00866872">
      <w:pPr>
        <w:jc w:val="both"/>
      </w:pPr>
    </w:p>
    <w:p w:rsidR="004C0E3F" w:rsidRPr="003161B0" w:rsidRDefault="004C0E3F" w:rsidP="00637A81">
      <w:pPr>
        <w:pStyle w:val="ListParagraph"/>
        <w:tabs>
          <w:tab w:val="left" w:pos="6300"/>
        </w:tabs>
        <w:ind w:left="0"/>
        <w:jc w:val="both"/>
      </w:pPr>
      <w:r w:rsidRPr="003161B0">
        <w:lastRenderedPageBreak/>
        <w:t xml:space="preserve">The PBAC observed that with </w:t>
      </w:r>
      <w:proofErr w:type="gramStart"/>
      <w:r w:rsidRPr="003161B0">
        <w:t>long term</w:t>
      </w:r>
      <w:proofErr w:type="gramEnd"/>
      <w:r w:rsidRPr="003161B0">
        <w:t xml:space="preserve"> treatment, febuxostat appeared to lose its advantage over allopurinol in sUA reduction in the EXCEL trial and that there was a lack of evidence comparing febuxostat and dose escalated allopurinol (which can be administered up to 900mg/day). The PBAC noted that all included trials used a fixed dose of allopurinol of 300mg/day unless the subject had renal impairment.</w:t>
      </w:r>
    </w:p>
    <w:p w:rsidR="004C0E3F" w:rsidRPr="003161B0" w:rsidRDefault="004C0E3F" w:rsidP="004C0E3F">
      <w:pPr>
        <w:pStyle w:val="ListParagraph"/>
        <w:jc w:val="both"/>
        <w:rPr>
          <w:i/>
        </w:rPr>
      </w:pPr>
    </w:p>
    <w:p w:rsidR="004C0E3F" w:rsidRPr="003161B0" w:rsidRDefault="004C0E3F" w:rsidP="00637A81">
      <w:pPr>
        <w:pStyle w:val="ListParagraph"/>
        <w:tabs>
          <w:tab w:val="left" w:pos="6300"/>
        </w:tabs>
        <w:ind w:left="0"/>
        <w:jc w:val="both"/>
      </w:pPr>
      <w:r w:rsidRPr="003161B0">
        <w:t>The PBAC considered that the trials (APEX, FACT, EXCEL, and CONFIRM) presented in the submission for febuxostat versus allopurinol and placebo controls did not support the link between sUA, flares and tophi burden.  Although a significantly greater proportion of patients achieved the target sUA level of below 6mg/</w:t>
      </w:r>
      <w:proofErr w:type="spellStart"/>
      <w:r w:rsidRPr="003161B0">
        <w:t>dL</w:t>
      </w:r>
      <w:proofErr w:type="spellEnd"/>
      <w:r w:rsidRPr="003161B0">
        <w:t xml:space="preserve"> in the febuxostat treatment arms, this difference in sUA level, did not translate into a benefit in flares prevention or tophi burden reduction after 52 weeks.  Patients treated with febuxostat 120mg (the dosage producing the biggest sUA level reductions) by contrast also reported a worse quality of life than allopurinol.</w:t>
      </w:r>
    </w:p>
    <w:p w:rsidR="004C0E3F" w:rsidRPr="003161B0" w:rsidRDefault="004C0E3F" w:rsidP="004C0E3F">
      <w:pPr>
        <w:tabs>
          <w:tab w:val="left" w:pos="6300"/>
        </w:tabs>
        <w:jc w:val="both"/>
      </w:pPr>
    </w:p>
    <w:p w:rsidR="004C0E3F" w:rsidRDefault="004C0E3F" w:rsidP="00637A81">
      <w:pPr>
        <w:pStyle w:val="ListParagraph"/>
        <w:ind w:left="0"/>
        <w:jc w:val="both"/>
      </w:pPr>
      <w:r w:rsidRPr="003161B0">
        <w:t xml:space="preserve">The PBAC considered that the trials presented in the submission did not demonstrate any reduction in acute gout attacks or tophi, </w:t>
      </w:r>
      <w:proofErr w:type="gramStart"/>
      <w:r w:rsidRPr="003161B0">
        <w:t>nor</w:t>
      </w:r>
      <w:proofErr w:type="gramEnd"/>
      <w:r w:rsidRPr="003161B0">
        <w:t xml:space="preserve"> an improvement in quality of life (QoL). The PBAC considered that the clinical data did not show superior effectiveness to allopurinol for patient relevant outcomes.</w:t>
      </w:r>
    </w:p>
    <w:p w:rsidR="00E23C26" w:rsidRPr="00E23C26" w:rsidRDefault="00E23C26" w:rsidP="00637A81">
      <w:pPr>
        <w:pStyle w:val="ListParagraph"/>
        <w:ind w:left="0"/>
        <w:jc w:val="both"/>
      </w:pPr>
    </w:p>
    <w:p w:rsidR="00E23C26" w:rsidRPr="00E23C26" w:rsidRDefault="00E23C26" w:rsidP="00E23C26">
      <w:pPr>
        <w:pStyle w:val="ListParagraph"/>
        <w:ind w:left="0"/>
        <w:jc w:val="both"/>
      </w:pPr>
      <w:r w:rsidRPr="00E23C26">
        <w:t>The PBAC noted in a pooled safety analysis of trials with up to one year follow up, fewer total adverse events were reported by patients treated with febuxostat (80mg or 120mg) compared to patients treated with allopurinol (pooled RR (95%CI): 0.94 (0.89, 0.99) and 0.90 (0.84, 0.96) respectively.</w:t>
      </w:r>
      <w:r w:rsidRPr="00E23C26">
        <w:rPr>
          <w:b/>
          <w:color w:val="00B050"/>
        </w:rPr>
        <w:t xml:space="preserve"> </w:t>
      </w:r>
      <w:proofErr w:type="gramStart"/>
      <w:r w:rsidRPr="00E23C26">
        <w:t>There were greater numbers of patients treated with febuxostat 120mg who discontinued treatment due to flares and adverse events compared to allopurinol (RR (95%CI): 3.42 (1.72, 6.81)) and greater number of patients treated with febuxostat 80mg experienced hypertension compared to allopurinol (RR (95%CI) 4.35 (1.25, 15.09) however, this was only evident at 28 weeks and not at 52 weeks.</w:t>
      </w:r>
      <w:proofErr w:type="gramEnd"/>
    </w:p>
    <w:p w:rsidR="00E23C26" w:rsidRPr="00E23C26" w:rsidRDefault="00E23C26" w:rsidP="00866872">
      <w:pPr>
        <w:jc w:val="both"/>
      </w:pPr>
    </w:p>
    <w:p w:rsidR="00E23C26" w:rsidRPr="00E23C26" w:rsidRDefault="00E23C26" w:rsidP="00E23C26">
      <w:pPr>
        <w:pStyle w:val="ListParagraph"/>
        <w:ind w:left="0"/>
        <w:jc w:val="both"/>
      </w:pPr>
      <w:r w:rsidRPr="00E23C26">
        <w:t>In regards to longer term safety (up to 3 years EXCEL trial), after adjusting for duration of exposure, which differed dramatically between the treatments arms of the EXCEL trial, adverse events were similar across the febuxostat and allopurinol groups.  The total adverse events were 227, 216 and 245 per 100 person years of exposure for patients receiving febuxostat 80mg, 120mg and allopurinol respectively.</w:t>
      </w:r>
    </w:p>
    <w:p w:rsidR="00E23C26" w:rsidRPr="00E23C26" w:rsidRDefault="00E23C26" w:rsidP="00E23C26">
      <w:pPr>
        <w:jc w:val="both"/>
      </w:pPr>
    </w:p>
    <w:p w:rsidR="00E23C26" w:rsidRDefault="00E23C26" w:rsidP="00E23C26">
      <w:pPr>
        <w:pStyle w:val="ListParagraph"/>
        <w:ind w:left="0"/>
        <w:jc w:val="both"/>
      </w:pPr>
      <w:r w:rsidRPr="00E23C26">
        <w:t>The PBAC noted that there were similar incidence of adverse events (such as headache, diarrhoea)</w:t>
      </w:r>
      <w:r w:rsidRPr="00E23C26">
        <w:rPr>
          <w:lang w:val="en-US"/>
        </w:rPr>
        <w:t xml:space="preserve"> and life-threatening idiosyncratic reaction reported with both febuxostat and allopurinol. It </w:t>
      </w:r>
      <w:proofErr w:type="gramStart"/>
      <w:r w:rsidRPr="00E23C26">
        <w:rPr>
          <w:lang w:val="en-US"/>
        </w:rPr>
        <w:t>was observed</w:t>
      </w:r>
      <w:proofErr w:type="gramEnd"/>
      <w:r w:rsidRPr="00E23C26">
        <w:rPr>
          <w:lang w:val="en-US"/>
        </w:rPr>
        <w:t xml:space="preserve"> that there were a greater number of cardiovascular events with febuxostat treatment but these were not statistically significant. No dose reduction of febuxostat was required in patients with renal impairment, and </w:t>
      </w:r>
      <w:r w:rsidRPr="00E23C26">
        <w:t xml:space="preserve">hypersensitivity syndrome </w:t>
      </w:r>
      <w:proofErr w:type="gramStart"/>
      <w:r w:rsidRPr="00E23C26">
        <w:t>was not observed</w:t>
      </w:r>
      <w:proofErr w:type="gramEnd"/>
      <w:r w:rsidRPr="00E23C26">
        <w:t xml:space="preserve"> with febuxostat treatment.</w:t>
      </w:r>
    </w:p>
    <w:p w:rsidR="006C4EC2" w:rsidRDefault="006C4EC2" w:rsidP="00E23C26">
      <w:pPr>
        <w:pStyle w:val="ListParagraph"/>
        <w:ind w:left="0"/>
        <w:jc w:val="both"/>
      </w:pPr>
    </w:p>
    <w:p w:rsidR="006C4EC2" w:rsidRPr="007A750C" w:rsidRDefault="00F047AD" w:rsidP="007A750C">
      <w:pPr>
        <w:pStyle w:val="ListParagraph"/>
        <w:ind w:left="0"/>
        <w:jc w:val="both"/>
        <w:rPr>
          <w:szCs w:val="22"/>
        </w:rPr>
      </w:pPr>
      <w:r>
        <w:rPr>
          <w:szCs w:val="22"/>
        </w:rPr>
        <w:br w:type="page"/>
      </w:r>
      <w:r w:rsidR="006C4EC2" w:rsidRPr="007A750C">
        <w:rPr>
          <w:szCs w:val="22"/>
        </w:rPr>
        <w:lastRenderedPageBreak/>
        <w:t xml:space="preserve">A summary of the comparative benefits and harms for febuxostat versus allopurinol </w:t>
      </w:r>
      <w:proofErr w:type="gramStart"/>
      <w:r w:rsidR="006C4EC2" w:rsidRPr="007A750C">
        <w:rPr>
          <w:szCs w:val="22"/>
        </w:rPr>
        <w:t>are presented</w:t>
      </w:r>
      <w:proofErr w:type="gramEnd"/>
      <w:r w:rsidR="006C4EC2" w:rsidRPr="007A750C">
        <w:rPr>
          <w:szCs w:val="22"/>
        </w:rPr>
        <w:t xml:space="preserve"> in the table below.</w:t>
      </w:r>
    </w:p>
    <w:p w:rsidR="006C4EC2" w:rsidRPr="00124932" w:rsidRDefault="006C4EC2" w:rsidP="006C4EC2">
      <w:pPr>
        <w:pStyle w:val="ListParagraph"/>
        <w:jc w:val="both"/>
        <w:rPr>
          <w:rFonts w:ascii="Arial" w:hAnsi="Arial" w:cs="Arial"/>
          <w:sz w:val="20"/>
          <w:szCs w:val="20"/>
        </w:rPr>
      </w:pPr>
    </w:p>
    <w:p w:rsidR="006C4EC2" w:rsidRPr="00124932" w:rsidRDefault="006C4EC2" w:rsidP="006C4EC2">
      <w:pPr>
        <w:jc w:val="both"/>
        <w:rPr>
          <w:rFonts w:ascii="Arial" w:hAnsi="Arial" w:cs="Arial"/>
          <w:b/>
          <w:sz w:val="20"/>
          <w:szCs w:val="20"/>
        </w:rPr>
      </w:pPr>
      <w:r w:rsidRPr="00124932">
        <w:rPr>
          <w:rFonts w:ascii="Arial" w:hAnsi="Arial" w:cs="Arial"/>
          <w:b/>
          <w:sz w:val="20"/>
          <w:szCs w:val="20"/>
        </w:rPr>
        <w:t>Benefit/harm summary</w:t>
      </w:r>
    </w:p>
    <w:tbl>
      <w:tblPr>
        <w:tblW w:w="5000" w:type="pct"/>
        <w:tblInd w:w="28" w:type="dxa"/>
        <w:tblLayout w:type="fixed"/>
        <w:tblCellMar>
          <w:left w:w="28" w:type="dxa"/>
          <w:right w:w="28" w:type="dxa"/>
        </w:tblCellMar>
        <w:tblLook w:val="04A0" w:firstRow="1" w:lastRow="0" w:firstColumn="1" w:lastColumn="0" w:noHBand="0" w:noVBand="1"/>
      </w:tblPr>
      <w:tblGrid>
        <w:gridCol w:w="1693"/>
        <w:gridCol w:w="616"/>
        <w:gridCol w:w="817"/>
        <w:gridCol w:w="1836"/>
        <w:gridCol w:w="1417"/>
        <w:gridCol w:w="1279"/>
        <w:gridCol w:w="1424"/>
      </w:tblGrid>
      <w:tr w:rsidR="006C4EC2" w:rsidRPr="00124932" w:rsidTr="00F047AD">
        <w:tc>
          <w:tcPr>
            <w:tcW w:w="1271" w:type="pct"/>
            <w:gridSpan w:val="2"/>
            <w:vMerge w:val="restart"/>
            <w:tcBorders>
              <w:top w:val="single" w:sz="4" w:space="0" w:color="auto"/>
              <w:left w:val="single" w:sz="4" w:space="0" w:color="auto"/>
              <w:right w:val="single" w:sz="4" w:space="0" w:color="auto"/>
            </w:tcBorders>
            <w:shd w:val="clear" w:color="auto" w:fill="auto"/>
            <w:vAlign w:val="center"/>
          </w:tcPr>
          <w:p w:rsidR="006C4EC2" w:rsidRPr="00124932" w:rsidRDefault="006C4EC2" w:rsidP="006C4EC2">
            <w:pPr>
              <w:jc w:val="both"/>
              <w:rPr>
                <w:rFonts w:ascii="Arial" w:hAnsi="Arial" w:cs="Arial"/>
                <w:b/>
                <w:sz w:val="20"/>
                <w:szCs w:val="20"/>
              </w:rPr>
            </w:pPr>
            <w:r w:rsidRPr="00124932">
              <w:rPr>
                <w:rFonts w:ascii="Arial" w:hAnsi="Arial" w:cs="Arial"/>
                <w:b/>
                <w:sz w:val="20"/>
                <w:szCs w:val="20"/>
              </w:rPr>
              <w:t>Outcome</w:t>
            </w:r>
          </w:p>
        </w:tc>
        <w:tc>
          <w:tcPr>
            <w:tcW w:w="450" w:type="pct"/>
            <w:vMerge w:val="restart"/>
            <w:tcBorders>
              <w:top w:val="single" w:sz="4" w:space="0" w:color="auto"/>
              <w:left w:val="single" w:sz="4" w:space="0" w:color="auto"/>
              <w:right w:val="single" w:sz="4" w:space="0" w:color="auto"/>
            </w:tcBorders>
            <w:shd w:val="clear" w:color="auto" w:fill="auto"/>
            <w:vAlign w:val="center"/>
          </w:tcPr>
          <w:p w:rsidR="006C4EC2" w:rsidRPr="00124932" w:rsidRDefault="006C4EC2" w:rsidP="006C4EC2">
            <w:pPr>
              <w:jc w:val="both"/>
              <w:rPr>
                <w:rFonts w:ascii="Arial" w:hAnsi="Arial" w:cs="Arial"/>
                <w:b/>
                <w:sz w:val="20"/>
                <w:szCs w:val="20"/>
              </w:rPr>
            </w:pPr>
            <w:r w:rsidRPr="00124932">
              <w:rPr>
                <w:rFonts w:ascii="Arial" w:hAnsi="Arial" w:cs="Arial"/>
                <w:b/>
                <w:sz w:val="20"/>
                <w:szCs w:val="20"/>
              </w:rPr>
              <w:t>N (4)</w:t>
            </w:r>
          </w:p>
        </w:tc>
        <w:tc>
          <w:tcPr>
            <w:tcW w:w="1011" w:type="pct"/>
            <w:vMerge w:val="restart"/>
            <w:tcBorders>
              <w:top w:val="single" w:sz="4" w:space="0" w:color="auto"/>
              <w:left w:val="single" w:sz="4" w:space="0" w:color="auto"/>
              <w:right w:val="single" w:sz="4" w:space="0" w:color="auto"/>
            </w:tcBorders>
            <w:shd w:val="clear" w:color="auto" w:fill="auto"/>
            <w:vAlign w:val="center"/>
          </w:tcPr>
          <w:p w:rsidR="006C4EC2" w:rsidRPr="00124932" w:rsidRDefault="006C4EC2" w:rsidP="006C4EC2">
            <w:pPr>
              <w:jc w:val="both"/>
              <w:rPr>
                <w:rFonts w:ascii="Arial" w:hAnsi="Arial" w:cs="Arial"/>
                <w:b/>
                <w:sz w:val="20"/>
                <w:szCs w:val="20"/>
              </w:rPr>
            </w:pPr>
            <w:r w:rsidRPr="00124932">
              <w:rPr>
                <w:rFonts w:ascii="Arial" w:hAnsi="Arial" w:cs="Arial"/>
                <w:b/>
                <w:sz w:val="20"/>
                <w:szCs w:val="20"/>
              </w:rPr>
              <w:t>RR (95%CI)</w:t>
            </w:r>
          </w:p>
        </w:tc>
        <w:tc>
          <w:tcPr>
            <w:tcW w:w="148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C4EC2" w:rsidRPr="00124932" w:rsidRDefault="006C4EC2" w:rsidP="006C4EC2">
            <w:pPr>
              <w:jc w:val="both"/>
              <w:rPr>
                <w:rFonts w:ascii="Arial" w:hAnsi="Arial" w:cs="Arial"/>
                <w:b/>
                <w:sz w:val="20"/>
                <w:szCs w:val="20"/>
              </w:rPr>
            </w:pPr>
            <w:r w:rsidRPr="00124932">
              <w:rPr>
                <w:rFonts w:ascii="Arial" w:hAnsi="Arial" w:cs="Arial"/>
                <w:b/>
                <w:sz w:val="20"/>
                <w:szCs w:val="20"/>
              </w:rPr>
              <w:t>Event rate/100 patients/year</w:t>
            </w:r>
          </w:p>
        </w:tc>
        <w:tc>
          <w:tcPr>
            <w:tcW w:w="784" w:type="pct"/>
            <w:vMerge w:val="restart"/>
            <w:tcBorders>
              <w:top w:val="single" w:sz="4" w:space="0" w:color="auto"/>
              <w:left w:val="single" w:sz="4" w:space="0" w:color="auto"/>
              <w:right w:val="single" w:sz="4" w:space="0" w:color="auto"/>
            </w:tcBorders>
            <w:shd w:val="clear" w:color="auto" w:fill="auto"/>
            <w:vAlign w:val="center"/>
          </w:tcPr>
          <w:p w:rsidR="006C4EC2" w:rsidRPr="00124932" w:rsidRDefault="006C4EC2" w:rsidP="006C4EC2">
            <w:pPr>
              <w:jc w:val="both"/>
              <w:rPr>
                <w:rFonts w:ascii="Arial" w:hAnsi="Arial" w:cs="Arial"/>
                <w:b/>
                <w:sz w:val="20"/>
                <w:szCs w:val="20"/>
              </w:rPr>
            </w:pPr>
            <w:r w:rsidRPr="00124932">
              <w:rPr>
                <w:rFonts w:ascii="Arial" w:hAnsi="Arial" w:cs="Arial"/>
                <w:b/>
                <w:sz w:val="20"/>
                <w:szCs w:val="20"/>
              </w:rPr>
              <w:t>Increment</w:t>
            </w:r>
          </w:p>
        </w:tc>
      </w:tr>
      <w:tr w:rsidR="006C4EC2" w:rsidRPr="00124932" w:rsidTr="00F047AD">
        <w:tc>
          <w:tcPr>
            <w:tcW w:w="1271" w:type="pct"/>
            <w:gridSpan w:val="2"/>
            <w:vMerge/>
            <w:tcBorders>
              <w:left w:val="single" w:sz="4" w:space="0" w:color="auto"/>
              <w:bottom w:val="single" w:sz="4" w:space="0" w:color="auto"/>
              <w:right w:val="single" w:sz="4" w:space="0" w:color="auto"/>
            </w:tcBorders>
            <w:shd w:val="clear" w:color="auto" w:fill="auto"/>
            <w:hideMark/>
          </w:tcPr>
          <w:p w:rsidR="006C4EC2" w:rsidRPr="00124932" w:rsidRDefault="006C4EC2" w:rsidP="006C4EC2">
            <w:pPr>
              <w:spacing w:after="200" w:line="276" w:lineRule="auto"/>
              <w:jc w:val="both"/>
              <w:rPr>
                <w:rFonts w:ascii="Arial" w:hAnsi="Arial" w:cs="Arial"/>
                <w:b/>
                <w:sz w:val="20"/>
                <w:szCs w:val="20"/>
                <w:vertAlign w:val="superscript"/>
              </w:rPr>
            </w:pPr>
          </w:p>
        </w:tc>
        <w:tc>
          <w:tcPr>
            <w:tcW w:w="450" w:type="pct"/>
            <w:vMerge/>
            <w:tcBorders>
              <w:left w:val="single" w:sz="4" w:space="0" w:color="auto"/>
              <w:bottom w:val="single" w:sz="4" w:space="0" w:color="auto"/>
              <w:right w:val="single" w:sz="4" w:space="0" w:color="auto"/>
            </w:tcBorders>
            <w:shd w:val="clear" w:color="auto" w:fill="auto"/>
            <w:hideMark/>
          </w:tcPr>
          <w:p w:rsidR="006C4EC2" w:rsidRPr="00124932" w:rsidRDefault="006C4EC2" w:rsidP="006C4EC2">
            <w:pPr>
              <w:spacing w:after="200" w:line="276" w:lineRule="auto"/>
              <w:jc w:val="both"/>
              <w:rPr>
                <w:rFonts w:ascii="Arial" w:hAnsi="Arial" w:cs="Arial"/>
                <w:b/>
                <w:sz w:val="20"/>
                <w:szCs w:val="20"/>
                <w:vertAlign w:val="superscript"/>
              </w:rPr>
            </w:pPr>
          </w:p>
        </w:tc>
        <w:tc>
          <w:tcPr>
            <w:tcW w:w="1011" w:type="pct"/>
            <w:vMerge/>
            <w:tcBorders>
              <w:left w:val="single" w:sz="4" w:space="0" w:color="auto"/>
              <w:bottom w:val="single" w:sz="4" w:space="0" w:color="auto"/>
              <w:right w:val="single" w:sz="4" w:space="0" w:color="auto"/>
            </w:tcBorders>
            <w:shd w:val="clear" w:color="auto" w:fill="auto"/>
            <w:hideMark/>
          </w:tcPr>
          <w:p w:rsidR="006C4EC2" w:rsidRPr="00124932" w:rsidRDefault="006C4EC2" w:rsidP="006C4EC2">
            <w:pPr>
              <w:spacing w:after="200" w:line="276" w:lineRule="auto"/>
              <w:jc w:val="both"/>
              <w:rPr>
                <w:rFonts w:ascii="Arial" w:hAnsi="Arial" w:cs="Arial"/>
                <w:b/>
                <w:sz w:val="20"/>
                <w:szCs w:val="20"/>
                <w:vertAlign w:val="superscript"/>
              </w:rPr>
            </w:pP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C4EC2" w:rsidRPr="00124932" w:rsidRDefault="006C4EC2" w:rsidP="006C4EC2">
            <w:pPr>
              <w:jc w:val="both"/>
              <w:rPr>
                <w:rFonts w:ascii="Arial" w:hAnsi="Arial" w:cs="Arial"/>
                <w:b/>
                <w:sz w:val="20"/>
                <w:szCs w:val="20"/>
                <w:vertAlign w:val="superscript"/>
              </w:rPr>
            </w:pPr>
            <w:r w:rsidRPr="00124932">
              <w:rPr>
                <w:rFonts w:ascii="Arial" w:hAnsi="Arial" w:cs="Arial"/>
                <w:b/>
                <w:sz w:val="20"/>
                <w:szCs w:val="20"/>
              </w:rPr>
              <w:t>FBX80</w:t>
            </w:r>
            <w:r w:rsidRPr="00124932">
              <w:rPr>
                <w:rFonts w:ascii="Arial" w:hAnsi="Arial" w:cs="Arial"/>
                <w:b/>
                <w:sz w:val="20"/>
                <w:szCs w:val="20"/>
                <w:vertAlign w:val="superscript"/>
              </w:rPr>
              <w:t>/</w:t>
            </w:r>
            <w:r w:rsidRPr="00124932">
              <w:rPr>
                <w:rFonts w:ascii="Arial" w:hAnsi="Arial" w:cs="Arial"/>
                <w:b/>
                <w:sz w:val="20"/>
                <w:szCs w:val="20"/>
              </w:rPr>
              <w:t>120</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C4EC2" w:rsidRPr="00124932" w:rsidRDefault="006C4EC2" w:rsidP="006C4EC2">
            <w:pPr>
              <w:jc w:val="both"/>
              <w:rPr>
                <w:rFonts w:ascii="Arial" w:hAnsi="Arial" w:cs="Arial"/>
                <w:b/>
                <w:sz w:val="20"/>
                <w:szCs w:val="20"/>
                <w:vertAlign w:val="superscript"/>
              </w:rPr>
            </w:pPr>
            <w:r w:rsidRPr="00124932">
              <w:rPr>
                <w:rFonts w:ascii="Arial" w:hAnsi="Arial" w:cs="Arial"/>
                <w:b/>
                <w:sz w:val="20"/>
                <w:szCs w:val="20"/>
              </w:rPr>
              <w:t>ALO 300</w:t>
            </w:r>
            <w:r w:rsidRPr="00124932">
              <w:rPr>
                <w:rFonts w:ascii="Arial" w:hAnsi="Arial" w:cs="Arial"/>
                <w:b/>
                <w:sz w:val="20"/>
                <w:szCs w:val="20"/>
                <w:vertAlign w:val="superscript"/>
              </w:rPr>
              <w:t>a</w:t>
            </w:r>
          </w:p>
        </w:tc>
        <w:tc>
          <w:tcPr>
            <w:tcW w:w="784" w:type="pct"/>
            <w:vMerge/>
            <w:tcBorders>
              <w:left w:val="single" w:sz="4" w:space="0" w:color="auto"/>
              <w:bottom w:val="single" w:sz="4" w:space="0" w:color="auto"/>
              <w:right w:val="single" w:sz="4" w:space="0" w:color="auto"/>
            </w:tcBorders>
            <w:shd w:val="clear" w:color="auto" w:fill="auto"/>
          </w:tcPr>
          <w:p w:rsidR="006C4EC2" w:rsidRPr="00124932" w:rsidRDefault="006C4EC2" w:rsidP="006C4EC2">
            <w:pPr>
              <w:jc w:val="both"/>
              <w:rPr>
                <w:rFonts w:ascii="Arial" w:hAnsi="Arial" w:cs="Arial"/>
                <w:b/>
                <w:sz w:val="20"/>
                <w:szCs w:val="20"/>
              </w:rPr>
            </w:pPr>
          </w:p>
        </w:tc>
      </w:tr>
      <w:tr w:rsidR="006C4EC2" w:rsidRPr="00124932" w:rsidTr="006C4EC2">
        <w:tc>
          <w:tcPr>
            <w:tcW w:w="5000" w:type="pct"/>
            <w:gridSpan w:val="7"/>
            <w:tcBorders>
              <w:top w:val="single" w:sz="4" w:space="0" w:color="auto"/>
              <w:left w:val="single" w:sz="4" w:space="0" w:color="auto"/>
              <w:bottom w:val="single" w:sz="4" w:space="0" w:color="auto"/>
              <w:right w:val="single" w:sz="4" w:space="0" w:color="auto"/>
            </w:tcBorders>
            <w:shd w:val="clear" w:color="auto" w:fill="auto"/>
            <w:hideMark/>
          </w:tcPr>
          <w:p w:rsidR="006C4EC2" w:rsidRPr="00124932" w:rsidRDefault="006C4EC2" w:rsidP="006C4EC2">
            <w:pPr>
              <w:jc w:val="both"/>
              <w:rPr>
                <w:rFonts w:ascii="Arial" w:hAnsi="Arial" w:cs="Arial"/>
                <w:b/>
                <w:sz w:val="20"/>
                <w:szCs w:val="20"/>
              </w:rPr>
            </w:pPr>
            <w:r w:rsidRPr="00124932">
              <w:rPr>
                <w:rFonts w:ascii="Arial" w:hAnsi="Arial" w:cs="Arial"/>
                <w:b/>
                <w:sz w:val="20"/>
                <w:szCs w:val="20"/>
              </w:rPr>
              <w:t>Benefits</w:t>
            </w:r>
          </w:p>
        </w:tc>
      </w:tr>
      <w:tr w:rsidR="006C4EC2" w:rsidRPr="00124932" w:rsidTr="006C4EC2">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rsidR="006C4EC2" w:rsidRPr="00124932" w:rsidRDefault="006C4EC2" w:rsidP="006C4EC2">
            <w:pPr>
              <w:jc w:val="both"/>
              <w:rPr>
                <w:rFonts w:ascii="Arial" w:hAnsi="Arial" w:cs="Arial"/>
                <w:sz w:val="20"/>
                <w:szCs w:val="20"/>
              </w:rPr>
            </w:pPr>
            <w:r w:rsidRPr="00124932">
              <w:rPr>
                <w:rFonts w:ascii="Arial" w:hAnsi="Arial" w:cs="Arial"/>
                <w:b/>
                <w:sz w:val="20"/>
                <w:szCs w:val="20"/>
              </w:rPr>
              <w:t>Incidence of Gout flares (during trial follow up)</w:t>
            </w:r>
          </w:p>
        </w:tc>
      </w:tr>
      <w:tr w:rsidR="006C4EC2" w:rsidRPr="00124932" w:rsidTr="00F047AD">
        <w:trPr>
          <w:trHeight w:val="349"/>
        </w:trPr>
        <w:tc>
          <w:tcPr>
            <w:tcW w:w="932" w:type="pct"/>
            <w:tcBorders>
              <w:top w:val="single" w:sz="4" w:space="0" w:color="auto"/>
              <w:left w:val="single" w:sz="4" w:space="0" w:color="auto"/>
              <w:right w:val="single" w:sz="4" w:space="0" w:color="auto"/>
            </w:tcBorders>
            <w:shd w:val="clear" w:color="auto" w:fill="auto"/>
          </w:tcPr>
          <w:p w:rsidR="006C4EC2" w:rsidRPr="00124932" w:rsidRDefault="006C4EC2" w:rsidP="006C4EC2">
            <w:pPr>
              <w:jc w:val="both"/>
              <w:rPr>
                <w:rFonts w:ascii="Arial" w:hAnsi="Arial" w:cs="Arial"/>
                <w:sz w:val="20"/>
                <w:szCs w:val="20"/>
              </w:rPr>
            </w:pPr>
            <w:r w:rsidRPr="00124932">
              <w:rPr>
                <w:rFonts w:ascii="Arial" w:hAnsi="Arial" w:cs="Arial"/>
                <w:sz w:val="20"/>
                <w:szCs w:val="20"/>
              </w:rPr>
              <w:t xml:space="preserve">Week 26 </w:t>
            </w:r>
            <w:r w:rsidRPr="00124932">
              <w:rPr>
                <w:rFonts w:ascii="Arial" w:hAnsi="Arial" w:cs="Arial"/>
                <w:color w:val="595959"/>
                <w:sz w:val="20"/>
                <w:szCs w:val="20"/>
              </w:rPr>
              <w:t>CONFIRMS</w:t>
            </w:r>
          </w:p>
        </w:tc>
        <w:tc>
          <w:tcPr>
            <w:tcW w:w="339" w:type="pct"/>
            <w:tcBorders>
              <w:top w:val="single" w:sz="4" w:space="0" w:color="auto"/>
              <w:left w:val="single" w:sz="4" w:space="0" w:color="auto"/>
              <w:right w:val="single" w:sz="4" w:space="0" w:color="auto"/>
            </w:tcBorders>
            <w:shd w:val="clear" w:color="auto" w:fill="auto"/>
            <w:vAlign w:val="center"/>
          </w:tcPr>
          <w:p w:rsidR="006C4EC2" w:rsidRPr="00124932" w:rsidRDefault="006C4EC2" w:rsidP="006C4EC2">
            <w:pPr>
              <w:jc w:val="both"/>
              <w:rPr>
                <w:rFonts w:ascii="Arial" w:hAnsi="Arial" w:cs="Arial"/>
                <w:sz w:val="20"/>
                <w:szCs w:val="20"/>
              </w:rPr>
            </w:pPr>
            <w:r w:rsidRPr="00124932">
              <w:rPr>
                <w:rFonts w:ascii="Arial" w:hAnsi="Arial" w:cs="Arial"/>
                <w:sz w:val="20"/>
                <w:szCs w:val="20"/>
              </w:rPr>
              <w:t>80</w:t>
            </w:r>
          </w:p>
        </w:tc>
        <w:tc>
          <w:tcPr>
            <w:tcW w:w="450" w:type="pct"/>
            <w:tcBorders>
              <w:top w:val="single" w:sz="4" w:space="0" w:color="auto"/>
              <w:left w:val="single" w:sz="4" w:space="0" w:color="auto"/>
              <w:right w:val="single" w:sz="4" w:space="0" w:color="auto"/>
            </w:tcBorders>
            <w:shd w:val="clear" w:color="auto" w:fill="auto"/>
            <w:vAlign w:val="center"/>
          </w:tcPr>
          <w:p w:rsidR="006C4EC2" w:rsidRPr="00124932" w:rsidRDefault="006C4EC2" w:rsidP="006C4EC2">
            <w:pPr>
              <w:jc w:val="both"/>
              <w:rPr>
                <w:rFonts w:ascii="Arial" w:hAnsi="Arial" w:cs="Arial"/>
                <w:sz w:val="20"/>
                <w:szCs w:val="20"/>
              </w:rPr>
            </w:pPr>
            <w:r w:rsidRPr="00124932">
              <w:rPr>
                <w:rFonts w:ascii="Arial" w:hAnsi="Arial" w:cs="Arial"/>
                <w:sz w:val="20"/>
                <w:szCs w:val="20"/>
              </w:rPr>
              <w:t>1511</w:t>
            </w:r>
          </w:p>
        </w:tc>
        <w:tc>
          <w:tcPr>
            <w:tcW w:w="1011" w:type="pct"/>
            <w:tcBorders>
              <w:top w:val="single" w:sz="4" w:space="0" w:color="auto"/>
              <w:left w:val="single" w:sz="4" w:space="0" w:color="auto"/>
              <w:right w:val="single" w:sz="4" w:space="0" w:color="auto"/>
            </w:tcBorders>
            <w:shd w:val="clear" w:color="auto" w:fill="auto"/>
            <w:vAlign w:val="center"/>
          </w:tcPr>
          <w:p w:rsidR="006C4EC2" w:rsidRPr="00124932" w:rsidRDefault="006C4EC2" w:rsidP="006C4EC2">
            <w:pPr>
              <w:jc w:val="both"/>
              <w:rPr>
                <w:rFonts w:ascii="Arial" w:hAnsi="Arial" w:cs="Arial"/>
                <w:sz w:val="20"/>
                <w:szCs w:val="20"/>
              </w:rPr>
            </w:pPr>
            <w:r w:rsidRPr="00124932">
              <w:rPr>
                <w:rFonts w:ascii="Arial" w:hAnsi="Arial" w:cs="Arial"/>
                <w:b/>
                <w:sz w:val="20"/>
                <w:szCs w:val="20"/>
              </w:rPr>
              <w:t>1.26 (1.07,1.49)</w:t>
            </w:r>
          </w:p>
        </w:tc>
        <w:tc>
          <w:tcPr>
            <w:tcW w:w="780" w:type="pct"/>
            <w:tcBorders>
              <w:top w:val="single" w:sz="4" w:space="0" w:color="auto"/>
              <w:left w:val="single" w:sz="4" w:space="0" w:color="auto"/>
              <w:right w:val="single" w:sz="4" w:space="0" w:color="auto"/>
            </w:tcBorders>
            <w:shd w:val="clear" w:color="auto" w:fill="auto"/>
            <w:vAlign w:val="center"/>
          </w:tcPr>
          <w:p w:rsidR="006C4EC2" w:rsidRPr="00124932" w:rsidRDefault="006C4EC2" w:rsidP="006C4EC2">
            <w:pPr>
              <w:jc w:val="both"/>
              <w:rPr>
                <w:rFonts w:ascii="Arial" w:hAnsi="Arial" w:cs="Arial"/>
                <w:sz w:val="20"/>
                <w:szCs w:val="20"/>
              </w:rPr>
            </w:pPr>
            <w:r w:rsidRPr="00124932">
              <w:rPr>
                <w:rFonts w:ascii="Arial" w:hAnsi="Arial" w:cs="Arial"/>
                <w:sz w:val="20"/>
                <w:szCs w:val="20"/>
              </w:rPr>
              <w:t>31 (26 to 37)</w:t>
            </w:r>
          </w:p>
        </w:tc>
        <w:tc>
          <w:tcPr>
            <w:tcW w:w="704" w:type="pct"/>
            <w:tcBorders>
              <w:top w:val="single" w:sz="4" w:space="0" w:color="auto"/>
              <w:left w:val="single" w:sz="4" w:space="0" w:color="auto"/>
              <w:right w:val="single" w:sz="4" w:space="0" w:color="auto"/>
            </w:tcBorders>
            <w:shd w:val="clear" w:color="auto" w:fill="auto"/>
            <w:vAlign w:val="center"/>
          </w:tcPr>
          <w:p w:rsidR="006C4EC2" w:rsidRPr="00124932" w:rsidRDefault="006C4EC2" w:rsidP="006C4EC2">
            <w:pPr>
              <w:jc w:val="both"/>
              <w:rPr>
                <w:rFonts w:ascii="Arial" w:hAnsi="Arial" w:cs="Arial"/>
                <w:sz w:val="20"/>
                <w:szCs w:val="20"/>
              </w:rPr>
            </w:pPr>
            <w:r w:rsidRPr="00124932">
              <w:rPr>
                <w:rFonts w:ascii="Arial" w:hAnsi="Arial" w:cs="Arial"/>
                <w:sz w:val="20"/>
                <w:szCs w:val="20"/>
              </w:rPr>
              <w:t>25</w:t>
            </w:r>
          </w:p>
        </w:tc>
        <w:tc>
          <w:tcPr>
            <w:tcW w:w="784" w:type="pct"/>
            <w:tcBorders>
              <w:top w:val="single" w:sz="4" w:space="0" w:color="auto"/>
              <w:left w:val="single" w:sz="4" w:space="0" w:color="auto"/>
              <w:right w:val="single" w:sz="4" w:space="0" w:color="auto"/>
            </w:tcBorders>
            <w:shd w:val="clear" w:color="auto" w:fill="auto"/>
            <w:vAlign w:val="center"/>
          </w:tcPr>
          <w:p w:rsidR="006C4EC2" w:rsidRPr="00124932" w:rsidRDefault="006C4EC2" w:rsidP="006C4EC2">
            <w:pPr>
              <w:jc w:val="both"/>
              <w:rPr>
                <w:rFonts w:ascii="Arial" w:hAnsi="Arial" w:cs="Arial"/>
                <w:sz w:val="20"/>
                <w:szCs w:val="20"/>
              </w:rPr>
            </w:pPr>
            <w:r w:rsidRPr="00124932">
              <w:rPr>
                <w:rFonts w:ascii="Arial" w:hAnsi="Arial" w:cs="Arial"/>
                <w:sz w:val="20"/>
                <w:szCs w:val="20"/>
              </w:rPr>
              <w:t>6(1 to 12)</w:t>
            </w:r>
          </w:p>
        </w:tc>
      </w:tr>
      <w:tr w:rsidR="006C4EC2" w:rsidRPr="00124932" w:rsidTr="00F047AD">
        <w:trPr>
          <w:trHeight w:val="204"/>
        </w:trPr>
        <w:tc>
          <w:tcPr>
            <w:tcW w:w="932" w:type="pct"/>
            <w:vMerge w:val="restart"/>
            <w:tcBorders>
              <w:top w:val="single" w:sz="4" w:space="0" w:color="auto"/>
              <w:left w:val="single" w:sz="4" w:space="0" w:color="auto"/>
              <w:right w:val="single" w:sz="4" w:space="0" w:color="auto"/>
            </w:tcBorders>
            <w:shd w:val="clear" w:color="auto" w:fill="auto"/>
          </w:tcPr>
          <w:p w:rsidR="006C4EC2" w:rsidRPr="00124932" w:rsidRDefault="006C4EC2" w:rsidP="006C4EC2">
            <w:pPr>
              <w:jc w:val="both"/>
              <w:rPr>
                <w:rFonts w:ascii="Arial" w:hAnsi="Arial" w:cs="Arial"/>
                <w:sz w:val="20"/>
                <w:szCs w:val="20"/>
              </w:rPr>
            </w:pPr>
            <w:r w:rsidRPr="00124932">
              <w:rPr>
                <w:rFonts w:ascii="Arial" w:hAnsi="Arial" w:cs="Arial"/>
                <w:sz w:val="20"/>
                <w:szCs w:val="20"/>
              </w:rPr>
              <w:t>Week 28</w:t>
            </w:r>
          </w:p>
          <w:p w:rsidR="006C4EC2" w:rsidRPr="00124932" w:rsidRDefault="006C4EC2" w:rsidP="006C4EC2">
            <w:pPr>
              <w:jc w:val="both"/>
              <w:rPr>
                <w:rFonts w:ascii="Arial" w:hAnsi="Arial" w:cs="Arial"/>
                <w:color w:val="595959"/>
                <w:sz w:val="20"/>
                <w:szCs w:val="20"/>
              </w:rPr>
            </w:pPr>
            <w:r w:rsidRPr="00124932">
              <w:rPr>
                <w:rFonts w:ascii="Arial" w:hAnsi="Arial" w:cs="Arial"/>
                <w:color w:val="595959"/>
                <w:sz w:val="20"/>
                <w:szCs w:val="20"/>
              </w:rPr>
              <w:t>APEX</w:t>
            </w:r>
          </w:p>
        </w:tc>
        <w:tc>
          <w:tcPr>
            <w:tcW w:w="339" w:type="pct"/>
            <w:tcBorders>
              <w:top w:val="single" w:sz="4" w:space="0" w:color="auto"/>
              <w:left w:val="single" w:sz="4" w:space="0" w:color="auto"/>
              <w:bottom w:val="dotted" w:sz="4" w:space="0" w:color="auto"/>
              <w:right w:val="single" w:sz="4" w:space="0" w:color="auto"/>
            </w:tcBorders>
            <w:shd w:val="clear" w:color="auto" w:fill="auto"/>
            <w:vAlign w:val="center"/>
          </w:tcPr>
          <w:p w:rsidR="006C4EC2" w:rsidRPr="00124932" w:rsidRDefault="006C4EC2" w:rsidP="006C4EC2">
            <w:pPr>
              <w:jc w:val="both"/>
              <w:rPr>
                <w:rFonts w:ascii="Arial" w:hAnsi="Arial" w:cs="Arial"/>
                <w:sz w:val="20"/>
                <w:szCs w:val="20"/>
              </w:rPr>
            </w:pPr>
            <w:r w:rsidRPr="00124932">
              <w:rPr>
                <w:rFonts w:ascii="Arial" w:hAnsi="Arial" w:cs="Arial"/>
                <w:sz w:val="20"/>
                <w:szCs w:val="20"/>
              </w:rPr>
              <w:t>80</w:t>
            </w:r>
          </w:p>
        </w:tc>
        <w:tc>
          <w:tcPr>
            <w:tcW w:w="450" w:type="pct"/>
            <w:tcBorders>
              <w:top w:val="single" w:sz="4" w:space="0" w:color="auto"/>
              <w:left w:val="single" w:sz="4" w:space="0" w:color="auto"/>
              <w:bottom w:val="dotted" w:sz="4" w:space="0" w:color="auto"/>
              <w:right w:val="single" w:sz="4" w:space="0" w:color="auto"/>
            </w:tcBorders>
            <w:shd w:val="clear" w:color="auto" w:fill="auto"/>
            <w:vAlign w:val="center"/>
          </w:tcPr>
          <w:p w:rsidR="006C4EC2" w:rsidRPr="00124932" w:rsidRDefault="006C4EC2" w:rsidP="006C4EC2">
            <w:pPr>
              <w:jc w:val="both"/>
              <w:rPr>
                <w:rFonts w:ascii="Arial" w:hAnsi="Arial" w:cs="Arial"/>
                <w:sz w:val="20"/>
                <w:szCs w:val="20"/>
              </w:rPr>
            </w:pPr>
            <w:r w:rsidRPr="00124932">
              <w:rPr>
                <w:rFonts w:ascii="Arial" w:hAnsi="Arial" w:cs="Arial"/>
                <w:sz w:val="20"/>
                <w:szCs w:val="20"/>
              </w:rPr>
              <w:t>530</w:t>
            </w:r>
          </w:p>
        </w:tc>
        <w:tc>
          <w:tcPr>
            <w:tcW w:w="1011" w:type="pct"/>
            <w:tcBorders>
              <w:top w:val="single" w:sz="4" w:space="0" w:color="auto"/>
              <w:left w:val="single" w:sz="4" w:space="0" w:color="auto"/>
              <w:bottom w:val="dotted" w:sz="4" w:space="0" w:color="auto"/>
              <w:right w:val="single" w:sz="4" w:space="0" w:color="auto"/>
            </w:tcBorders>
            <w:shd w:val="clear" w:color="auto" w:fill="auto"/>
            <w:vAlign w:val="center"/>
          </w:tcPr>
          <w:p w:rsidR="006C4EC2" w:rsidRPr="00124932" w:rsidRDefault="006C4EC2" w:rsidP="006C4EC2">
            <w:pPr>
              <w:jc w:val="both"/>
              <w:rPr>
                <w:rFonts w:ascii="Arial" w:hAnsi="Arial" w:cs="Arial"/>
                <w:sz w:val="20"/>
                <w:szCs w:val="20"/>
              </w:rPr>
            </w:pPr>
            <w:r w:rsidRPr="00124932">
              <w:rPr>
                <w:rFonts w:ascii="Arial" w:hAnsi="Arial" w:cs="Arial"/>
                <w:sz w:val="20"/>
                <w:szCs w:val="20"/>
              </w:rPr>
              <w:t>1.12 (0.96,1.31)</w:t>
            </w:r>
          </w:p>
        </w:tc>
        <w:tc>
          <w:tcPr>
            <w:tcW w:w="780" w:type="pct"/>
            <w:tcBorders>
              <w:top w:val="single" w:sz="4" w:space="0" w:color="auto"/>
              <w:left w:val="single" w:sz="4" w:space="0" w:color="auto"/>
              <w:bottom w:val="dotted" w:sz="4" w:space="0" w:color="auto"/>
              <w:right w:val="single" w:sz="4" w:space="0" w:color="auto"/>
            </w:tcBorders>
            <w:shd w:val="clear" w:color="auto" w:fill="auto"/>
            <w:vAlign w:val="center"/>
          </w:tcPr>
          <w:p w:rsidR="006C4EC2" w:rsidRPr="00124932" w:rsidRDefault="006C4EC2" w:rsidP="006C4EC2">
            <w:pPr>
              <w:jc w:val="both"/>
              <w:rPr>
                <w:rFonts w:ascii="Arial" w:hAnsi="Arial" w:cs="Arial"/>
                <w:sz w:val="20"/>
                <w:szCs w:val="20"/>
              </w:rPr>
            </w:pPr>
            <w:r w:rsidRPr="00124932">
              <w:rPr>
                <w:rFonts w:ascii="Arial" w:hAnsi="Arial" w:cs="Arial"/>
                <w:sz w:val="20"/>
                <w:szCs w:val="20"/>
              </w:rPr>
              <w:t>57 (49 to 67)</w:t>
            </w:r>
          </w:p>
        </w:tc>
        <w:tc>
          <w:tcPr>
            <w:tcW w:w="704" w:type="pct"/>
            <w:tcBorders>
              <w:top w:val="single" w:sz="4" w:space="0" w:color="auto"/>
              <w:left w:val="single" w:sz="4" w:space="0" w:color="auto"/>
              <w:bottom w:val="dotted" w:sz="4" w:space="0" w:color="auto"/>
              <w:right w:val="single" w:sz="4" w:space="0" w:color="auto"/>
            </w:tcBorders>
            <w:shd w:val="clear" w:color="auto" w:fill="auto"/>
            <w:vAlign w:val="center"/>
          </w:tcPr>
          <w:p w:rsidR="006C4EC2" w:rsidRPr="00124932" w:rsidRDefault="006C4EC2" w:rsidP="006C4EC2">
            <w:pPr>
              <w:jc w:val="both"/>
              <w:rPr>
                <w:rFonts w:ascii="Arial" w:hAnsi="Arial" w:cs="Arial"/>
                <w:sz w:val="20"/>
                <w:szCs w:val="20"/>
              </w:rPr>
            </w:pPr>
            <w:r w:rsidRPr="00124932">
              <w:rPr>
                <w:rFonts w:ascii="Arial" w:hAnsi="Arial" w:cs="Arial"/>
                <w:sz w:val="20"/>
                <w:szCs w:val="20"/>
              </w:rPr>
              <w:t>51</w:t>
            </w:r>
          </w:p>
        </w:tc>
        <w:tc>
          <w:tcPr>
            <w:tcW w:w="784" w:type="pct"/>
            <w:tcBorders>
              <w:top w:val="single" w:sz="4" w:space="0" w:color="auto"/>
              <w:left w:val="single" w:sz="4" w:space="0" w:color="auto"/>
              <w:bottom w:val="dotted" w:sz="4" w:space="0" w:color="auto"/>
              <w:right w:val="single" w:sz="4" w:space="0" w:color="auto"/>
            </w:tcBorders>
            <w:shd w:val="clear" w:color="auto" w:fill="auto"/>
            <w:vAlign w:val="center"/>
          </w:tcPr>
          <w:p w:rsidR="006C4EC2" w:rsidRPr="00124932" w:rsidRDefault="006C4EC2" w:rsidP="006C4EC2">
            <w:pPr>
              <w:jc w:val="both"/>
              <w:rPr>
                <w:rFonts w:ascii="Arial" w:hAnsi="Arial" w:cs="Arial"/>
                <w:sz w:val="20"/>
                <w:szCs w:val="20"/>
              </w:rPr>
            </w:pPr>
            <w:r w:rsidRPr="00124932">
              <w:rPr>
                <w:rFonts w:ascii="Arial" w:hAnsi="Arial" w:cs="Arial"/>
                <w:sz w:val="20"/>
                <w:szCs w:val="20"/>
              </w:rPr>
              <w:t>Not significant</w:t>
            </w:r>
          </w:p>
        </w:tc>
      </w:tr>
      <w:tr w:rsidR="006C4EC2" w:rsidRPr="00124932" w:rsidTr="00F047AD">
        <w:trPr>
          <w:trHeight w:val="217"/>
        </w:trPr>
        <w:tc>
          <w:tcPr>
            <w:tcW w:w="932" w:type="pct"/>
            <w:vMerge/>
            <w:tcBorders>
              <w:left w:val="single" w:sz="4" w:space="0" w:color="auto"/>
              <w:bottom w:val="single" w:sz="4" w:space="0" w:color="auto"/>
              <w:right w:val="single" w:sz="4" w:space="0" w:color="auto"/>
            </w:tcBorders>
            <w:shd w:val="clear" w:color="auto" w:fill="auto"/>
          </w:tcPr>
          <w:p w:rsidR="006C4EC2" w:rsidRPr="00124932" w:rsidRDefault="006C4EC2" w:rsidP="006C4EC2">
            <w:pPr>
              <w:jc w:val="both"/>
              <w:rPr>
                <w:rFonts w:ascii="Arial" w:hAnsi="Arial" w:cs="Arial"/>
                <w:sz w:val="20"/>
                <w:szCs w:val="20"/>
              </w:rPr>
            </w:pPr>
          </w:p>
        </w:tc>
        <w:tc>
          <w:tcPr>
            <w:tcW w:w="339" w:type="pct"/>
            <w:tcBorders>
              <w:top w:val="dotted" w:sz="4" w:space="0" w:color="auto"/>
              <w:left w:val="single" w:sz="4" w:space="0" w:color="auto"/>
              <w:bottom w:val="single" w:sz="4" w:space="0" w:color="auto"/>
              <w:right w:val="single" w:sz="4" w:space="0" w:color="auto"/>
            </w:tcBorders>
            <w:shd w:val="clear" w:color="auto" w:fill="auto"/>
            <w:vAlign w:val="center"/>
          </w:tcPr>
          <w:p w:rsidR="006C4EC2" w:rsidRPr="00124932" w:rsidRDefault="006C4EC2" w:rsidP="006C4EC2">
            <w:pPr>
              <w:jc w:val="both"/>
              <w:rPr>
                <w:rFonts w:ascii="Arial" w:hAnsi="Arial" w:cs="Arial"/>
                <w:sz w:val="20"/>
                <w:szCs w:val="20"/>
              </w:rPr>
            </w:pPr>
            <w:r w:rsidRPr="00124932">
              <w:rPr>
                <w:rFonts w:ascii="Arial" w:hAnsi="Arial" w:cs="Arial"/>
                <w:sz w:val="20"/>
                <w:szCs w:val="20"/>
              </w:rPr>
              <w:t>120</w:t>
            </w:r>
          </w:p>
        </w:tc>
        <w:tc>
          <w:tcPr>
            <w:tcW w:w="450" w:type="pct"/>
            <w:tcBorders>
              <w:top w:val="dotted" w:sz="4" w:space="0" w:color="auto"/>
              <w:left w:val="single" w:sz="4" w:space="0" w:color="auto"/>
              <w:bottom w:val="single" w:sz="4" w:space="0" w:color="auto"/>
              <w:right w:val="single" w:sz="4" w:space="0" w:color="auto"/>
            </w:tcBorders>
            <w:shd w:val="clear" w:color="auto" w:fill="auto"/>
            <w:vAlign w:val="center"/>
          </w:tcPr>
          <w:p w:rsidR="006C4EC2" w:rsidRPr="00124932" w:rsidRDefault="006C4EC2" w:rsidP="006C4EC2">
            <w:pPr>
              <w:jc w:val="both"/>
              <w:rPr>
                <w:rFonts w:ascii="Arial" w:hAnsi="Arial" w:cs="Arial"/>
                <w:sz w:val="20"/>
                <w:szCs w:val="20"/>
              </w:rPr>
            </w:pPr>
            <w:r w:rsidRPr="00124932">
              <w:rPr>
                <w:rFonts w:ascii="Arial" w:hAnsi="Arial" w:cs="Arial"/>
                <w:sz w:val="20"/>
                <w:szCs w:val="20"/>
              </w:rPr>
              <w:t>537</w:t>
            </w:r>
          </w:p>
        </w:tc>
        <w:tc>
          <w:tcPr>
            <w:tcW w:w="1011" w:type="pct"/>
            <w:tcBorders>
              <w:top w:val="dotted" w:sz="4" w:space="0" w:color="auto"/>
              <w:left w:val="single" w:sz="4" w:space="0" w:color="auto"/>
              <w:bottom w:val="single" w:sz="4" w:space="0" w:color="auto"/>
              <w:right w:val="single" w:sz="4" w:space="0" w:color="auto"/>
            </w:tcBorders>
            <w:shd w:val="clear" w:color="auto" w:fill="auto"/>
            <w:vAlign w:val="center"/>
          </w:tcPr>
          <w:p w:rsidR="006C4EC2" w:rsidRPr="00124932" w:rsidRDefault="006C4EC2" w:rsidP="007A750C">
            <w:pPr>
              <w:rPr>
                <w:rFonts w:ascii="Arial" w:hAnsi="Arial" w:cs="Arial"/>
                <w:b/>
                <w:sz w:val="20"/>
                <w:szCs w:val="20"/>
              </w:rPr>
            </w:pPr>
            <w:r w:rsidRPr="00124932">
              <w:rPr>
                <w:rFonts w:ascii="Arial" w:hAnsi="Arial" w:cs="Arial"/>
                <w:b/>
                <w:sz w:val="20"/>
                <w:szCs w:val="20"/>
              </w:rPr>
              <w:t>1.23 (1.05, 1.42)</w:t>
            </w:r>
          </w:p>
        </w:tc>
        <w:tc>
          <w:tcPr>
            <w:tcW w:w="780" w:type="pct"/>
            <w:tcBorders>
              <w:top w:val="dotted" w:sz="4" w:space="0" w:color="auto"/>
              <w:left w:val="single" w:sz="4" w:space="0" w:color="auto"/>
              <w:bottom w:val="single" w:sz="4" w:space="0" w:color="auto"/>
              <w:right w:val="single" w:sz="4" w:space="0" w:color="auto"/>
            </w:tcBorders>
            <w:shd w:val="clear" w:color="auto" w:fill="auto"/>
            <w:vAlign w:val="center"/>
          </w:tcPr>
          <w:p w:rsidR="006C4EC2" w:rsidRPr="00124932" w:rsidRDefault="006C4EC2" w:rsidP="006C4EC2">
            <w:pPr>
              <w:jc w:val="both"/>
              <w:rPr>
                <w:rFonts w:ascii="Arial" w:hAnsi="Arial" w:cs="Arial"/>
                <w:sz w:val="20"/>
                <w:szCs w:val="20"/>
              </w:rPr>
            </w:pPr>
            <w:r w:rsidRPr="00124932">
              <w:rPr>
                <w:rFonts w:ascii="Arial" w:hAnsi="Arial" w:cs="Arial"/>
                <w:sz w:val="20"/>
                <w:szCs w:val="20"/>
              </w:rPr>
              <w:t>62 (54 to73)</w:t>
            </w:r>
          </w:p>
        </w:tc>
        <w:tc>
          <w:tcPr>
            <w:tcW w:w="704" w:type="pct"/>
            <w:tcBorders>
              <w:top w:val="dotted" w:sz="4" w:space="0" w:color="auto"/>
              <w:left w:val="single" w:sz="4" w:space="0" w:color="auto"/>
              <w:bottom w:val="single" w:sz="4" w:space="0" w:color="auto"/>
              <w:right w:val="single" w:sz="4" w:space="0" w:color="auto"/>
            </w:tcBorders>
            <w:shd w:val="clear" w:color="auto" w:fill="auto"/>
            <w:vAlign w:val="center"/>
          </w:tcPr>
          <w:p w:rsidR="006C4EC2" w:rsidRPr="00124932" w:rsidRDefault="006C4EC2" w:rsidP="006C4EC2">
            <w:pPr>
              <w:jc w:val="both"/>
              <w:rPr>
                <w:rFonts w:ascii="Arial" w:hAnsi="Arial" w:cs="Arial"/>
                <w:sz w:val="20"/>
                <w:szCs w:val="20"/>
              </w:rPr>
            </w:pPr>
            <w:r w:rsidRPr="00124932">
              <w:rPr>
                <w:rFonts w:ascii="Arial" w:hAnsi="Arial" w:cs="Arial"/>
                <w:sz w:val="20"/>
                <w:szCs w:val="20"/>
              </w:rPr>
              <w:t>51</w:t>
            </w:r>
          </w:p>
        </w:tc>
        <w:tc>
          <w:tcPr>
            <w:tcW w:w="784" w:type="pct"/>
            <w:tcBorders>
              <w:top w:val="dotted" w:sz="4" w:space="0" w:color="auto"/>
              <w:left w:val="single" w:sz="4" w:space="0" w:color="auto"/>
              <w:bottom w:val="single" w:sz="4" w:space="0" w:color="auto"/>
              <w:right w:val="single" w:sz="4" w:space="0" w:color="auto"/>
            </w:tcBorders>
            <w:shd w:val="clear" w:color="auto" w:fill="auto"/>
            <w:vAlign w:val="center"/>
          </w:tcPr>
          <w:p w:rsidR="006C4EC2" w:rsidRPr="00124932" w:rsidRDefault="006C4EC2" w:rsidP="006C4EC2">
            <w:pPr>
              <w:jc w:val="both"/>
              <w:rPr>
                <w:rFonts w:ascii="Arial" w:hAnsi="Arial" w:cs="Arial"/>
                <w:sz w:val="20"/>
                <w:szCs w:val="20"/>
              </w:rPr>
            </w:pPr>
            <w:r w:rsidRPr="00124932">
              <w:rPr>
                <w:rFonts w:ascii="Arial" w:hAnsi="Arial" w:cs="Arial"/>
                <w:sz w:val="20"/>
                <w:szCs w:val="20"/>
              </w:rPr>
              <w:t>11 (3 to 22)</w:t>
            </w:r>
          </w:p>
        </w:tc>
      </w:tr>
      <w:tr w:rsidR="006C4EC2" w:rsidRPr="00124932" w:rsidTr="00F047AD">
        <w:trPr>
          <w:trHeight w:val="231"/>
        </w:trPr>
        <w:tc>
          <w:tcPr>
            <w:tcW w:w="932" w:type="pct"/>
            <w:vMerge w:val="restart"/>
            <w:tcBorders>
              <w:top w:val="single" w:sz="4" w:space="0" w:color="auto"/>
              <w:left w:val="single" w:sz="4" w:space="0" w:color="auto"/>
              <w:right w:val="single" w:sz="4" w:space="0" w:color="auto"/>
            </w:tcBorders>
            <w:shd w:val="clear" w:color="auto" w:fill="auto"/>
          </w:tcPr>
          <w:p w:rsidR="006C4EC2" w:rsidRPr="00124932" w:rsidRDefault="006C4EC2" w:rsidP="006C4EC2">
            <w:pPr>
              <w:jc w:val="both"/>
              <w:rPr>
                <w:rFonts w:ascii="Arial" w:hAnsi="Arial" w:cs="Arial"/>
                <w:sz w:val="20"/>
                <w:szCs w:val="20"/>
              </w:rPr>
            </w:pPr>
            <w:r w:rsidRPr="00124932">
              <w:rPr>
                <w:rFonts w:ascii="Arial" w:hAnsi="Arial" w:cs="Arial"/>
                <w:sz w:val="20"/>
                <w:szCs w:val="20"/>
              </w:rPr>
              <w:t>Week 52</w:t>
            </w:r>
          </w:p>
          <w:p w:rsidR="006C4EC2" w:rsidRPr="00124932" w:rsidRDefault="006C4EC2" w:rsidP="006C4EC2">
            <w:pPr>
              <w:jc w:val="both"/>
              <w:rPr>
                <w:rFonts w:ascii="Arial" w:hAnsi="Arial" w:cs="Arial"/>
                <w:color w:val="595959"/>
                <w:sz w:val="20"/>
                <w:szCs w:val="20"/>
              </w:rPr>
            </w:pPr>
            <w:r w:rsidRPr="00124932">
              <w:rPr>
                <w:rFonts w:ascii="Arial" w:hAnsi="Arial" w:cs="Arial"/>
                <w:color w:val="595959"/>
                <w:sz w:val="20"/>
                <w:szCs w:val="20"/>
              </w:rPr>
              <w:t>FACT</w:t>
            </w:r>
          </w:p>
        </w:tc>
        <w:tc>
          <w:tcPr>
            <w:tcW w:w="339" w:type="pct"/>
            <w:vMerge w:val="restart"/>
            <w:tcBorders>
              <w:top w:val="single" w:sz="4" w:space="0" w:color="auto"/>
              <w:left w:val="single" w:sz="4" w:space="0" w:color="auto"/>
              <w:right w:val="single" w:sz="4" w:space="0" w:color="auto"/>
            </w:tcBorders>
            <w:shd w:val="clear" w:color="auto" w:fill="auto"/>
            <w:vAlign w:val="center"/>
          </w:tcPr>
          <w:p w:rsidR="006C4EC2" w:rsidRPr="00124932" w:rsidRDefault="006C4EC2" w:rsidP="006C4EC2">
            <w:pPr>
              <w:jc w:val="both"/>
              <w:rPr>
                <w:rFonts w:ascii="Arial" w:hAnsi="Arial" w:cs="Arial"/>
                <w:sz w:val="20"/>
                <w:szCs w:val="20"/>
              </w:rPr>
            </w:pPr>
            <w:r w:rsidRPr="00124932">
              <w:rPr>
                <w:rFonts w:ascii="Arial" w:hAnsi="Arial" w:cs="Arial"/>
                <w:sz w:val="20"/>
                <w:szCs w:val="20"/>
              </w:rPr>
              <w:t>80</w:t>
            </w:r>
          </w:p>
          <w:p w:rsidR="006C4EC2" w:rsidRPr="00124932" w:rsidRDefault="006C4EC2" w:rsidP="006C4EC2">
            <w:pPr>
              <w:jc w:val="both"/>
              <w:rPr>
                <w:rFonts w:ascii="Arial" w:hAnsi="Arial" w:cs="Arial"/>
                <w:sz w:val="20"/>
                <w:szCs w:val="20"/>
              </w:rPr>
            </w:pPr>
            <w:r w:rsidRPr="00124932">
              <w:rPr>
                <w:rFonts w:ascii="Arial" w:hAnsi="Arial" w:cs="Arial"/>
                <w:sz w:val="20"/>
                <w:szCs w:val="20"/>
              </w:rPr>
              <w:t>120</w:t>
            </w:r>
          </w:p>
        </w:tc>
        <w:tc>
          <w:tcPr>
            <w:tcW w:w="450" w:type="pct"/>
            <w:tcBorders>
              <w:top w:val="single" w:sz="4" w:space="0" w:color="auto"/>
              <w:left w:val="single" w:sz="4" w:space="0" w:color="auto"/>
              <w:bottom w:val="dotted" w:sz="4" w:space="0" w:color="auto"/>
              <w:right w:val="single" w:sz="4" w:space="0" w:color="auto"/>
            </w:tcBorders>
            <w:shd w:val="clear" w:color="auto" w:fill="auto"/>
            <w:vAlign w:val="center"/>
          </w:tcPr>
          <w:p w:rsidR="006C4EC2" w:rsidRPr="00124932" w:rsidRDefault="006C4EC2" w:rsidP="006C4EC2">
            <w:pPr>
              <w:jc w:val="both"/>
              <w:rPr>
                <w:rFonts w:ascii="Arial" w:hAnsi="Arial" w:cs="Arial"/>
                <w:sz w:val="20"/>
                <w:szCs w:val="20"/>
              </w:rPr>
            </w:pPr>
            <w:r w:rsidRPr="00124932">
              <w:rPr>
                <w:rFonts w:ascii="Arial" w:hAnsi="Arial" w:cs="Arial"/>
                <w:sz w:val="20"/>
                <w:szCs w:val="20"/>
              </w:rPr>
              <w:t>506</w:t>
            </w:r>
          </w:p>
        </w:tc>
        <w:tc>
          <w:tcPr>
            <w:tcW w:w="1011" w:type="pct"/>
            <w:tcBorders>
              <w:top w:val="single" w:sz="4" w:space="0" w:color="auto"/>
              <w:left w:val="single" w:sz="4" w:space="0" w:color="auto"/>
              <w:bottom w:val="dotted" w:sz="4" w:space="0" w:color="auto"/>
              <w:right w:val="single" w:sz="4" w:space="0" w:color="auto"/>
            </w:tcBorders>
            <w:shd w:val="clear" w:color="auto" w:fill="auto"/>
          </w:tcPr>
          <w:p w:rsidR="006C4EC2" w:rsidRPr="00124932" w:rsidRDefault="006C4EC2" w:rsidP="006C4EC2">
            <w:pPr>
              <w:jc w:val="both"/>
              <w:rPr>
                <w:rFonts w:ascii="Arial" w:hAnsi="Arial" w:cs="Arial"/>
                <w:sz w:val="20"/>
                <w:szCs w:val="20"/>
              </w:rPr>
            </w:pPr>
            <w:r w:rsidRPr="00124932">
              <w:rPr>
                <w:rFonts w:ascii="Arial" w:hAnsi="Arial" w:cs="Arial"/>
                <w:sz w:val="20"/>
                <w:szCs w:val="20"/>
              </w:rPr>
              <w:t>0.98 (0.86,1.12)</w:t>
            </w:r>
          </w:p>
        </w:tc>
        <w:tc>
          <w:tcPr>
            <w:tcW w:w="780" w:type="pct"/>
            <w:tcBorders>
              <w:top w:val="single" w:sz="4" w:space="0" w:color="auto"/>
              <w:left w:val="single" w:sz="4" w:space="0" w:color="auto"/>
              <w:bottom w:val="dotted" w:sz="4" w:space="0" w:color="auto"/>
              <w:right w:val="single" w:sz="4" w:space="0" w:color="auto"/>
            </w:tcBorders>
            <w:shd w:val="clear" w:color="auto" w:fill="auto"/>
            <w:vAlign w:val="center"/>
          </w:tcPr>
          <w:p w:rsidR="006C4EC2" w:rsidRPr="00124932" w:rsidRDefault="006C4EC2" w:rsidP="006C4EC2">
            <w:pPr>
              <w:jc w:val="both"/>
              <w:rPr>
                <w:rFonts w:ascii="Arial" w:hAnsi="Arial" w:cs="Arial"/>
                <w:sz w:val="20"/>
                <w:szCs w:val="20"/>
              </w:rPr>
            </w:pPr>
            <w:r w:rsidRPr="00124932">
              <w:rPr>
                <w:rFonts w:ascii="Arial" w:hAnsi="Arial" w:cs="Arial"/>
                <w:sz w:val="20"/>
                <w:szCs w:val="20"/>
              </w:rPr>
              <w:t>65 (55 to 72)</w:t>
            </w:r>
          </w:p>
        </w:tc>
        <w:tc>
          <w:tcPr>
            <w:tcW w:w="704" w:type="pct"/>
            <w:tcBorders>
              <w:top w:val="single" w:sz="4" w:space="0" w:color="auto"/>
              <w:left w:val="single" w:sz="4" w:space="0" w:color="auto"/>
              <w:bottom w:val="dotted" w:sz="4" w:space="0" w:color="auto"/>
              <w:right w:val="single" w:sz="4" w:space="0" w:color="auto"/>
            </w:tcBorders>
            <w:shd w:val="clear" w:color="auto" w:fill="auto"/>
            <w:vAlign w:val="center"/>
          </w:tcPr>
          <w:p w:rsidR="006C4EC2" w:rsidRPr="00124932" w:rsidRDefault="006C4EC2" w:rsidP="006C4EC2">
            <w:pPr>
              <w:jc w:val="both"/>
              <w:rPr>
                <w:rFonts w:ascii="Arial" w:hAnsi="Arial" w:cs="Arial"/>
                <w:sz w:val="20"/>
                <w:szCs w:val="20"/>
              </w:rPr>
            </w:pPr>
            <w:r w:rsidRPr="00124932">
              <w:rPr>
                <w:rFonts w:ascii="Arial" w:hAnsi="Arial" w:cs="Arial"/>
                <w:sz w:val="20"/>
                <w:szCs w:val="20"/>
              </w:rPr>
              <w:t>65</w:t>
            </w:r>
          </w:p>
        </w:tc>
        <w:tc>
          <w:tcPr>
            <w:tcW w:w="784" w:type="pct"/>
            <w:tcBorders>
              <w:top w:val="single" w:sz="4" w:space="0" w:color="auto"/>
              <w:left w:val="single" w:sz="4" w:space="0" w:color="auto"/>
              <w:bottom w:val="dotted" w:sz="4" w:space="0" w:color="auto"/>
              <w:right w:val="single" w:sz="4" w:space="0" w:color="auto"/>
            </w:tcBorders>
            <w:shd w:val="clear" w:color="auto" w:fill="auto"/>
            <w:vAlign w:val="center"/>
          </w:tcPr>
          <w:p w:rsidR="006C4EC2" w:rsidRPr="00124932" w:rsidRDefault="006C4EC2" w:rsidP="006C4EC2">
            <w:pPr>
              <w:jc w:val="both"/>
              <w:rPr>
                <w:rFonts w:ascii="Arial" w:hAnsi="Arial" w:cs="Arial"/>
                <w:sz w:val="20"/>
                <w:szCs w:val="20"/>
              </w:rPr>
            </w:pPr>
            <w:r w:rsidRPr="00124932">
              <w:rPr>
                <w:rFonts w:ascii="Arial" w:hAnsi="Arial" w:cs="Arial"/>
                <w:sz w:val="20"/>
                <w:szCs w:val="20"/>
              </w:rPr>
              <w:t>Not significant</w:t>
            </w:r>
          </w:p>
        </w:tc>
      </w:tr>
      <w:tr w:rsidR="006C4EC2" w:rsidRPr="00124932" w:rsidTr="00F047AD">
        <w:trPr>
          <w:trHeight w:val="190"/>
        </w:trPr>
        <w:tc>
          <w:tcPr>
            <w:tcW w:w="932" w:type="pct"/>
            <w:vMerge/>
            <w:tcBorders>
              <w:left w:val="single" w:sz="4" w:space="0" w:color="auto"/>
              <w:bottom w:val="single" w:sz="4" w:space="0" w:color="auto"/>
              <w:right w:val="single" w:sz="4" w:space="0" w:color="auto"/>
            </w:tcBorders>
            <w:shd w:val="clear" w:color="auto" w:fill="auto"/>
          </w:tcPr>
          <w:p w:rsidR="006C4EC2" w:rsidRPr="00124932" w:rsidRDefault="006C4EC2" w:rsidP="006C4EC2">
            <w:pPr>
              <w:jc w:val="both"/>
              <w:rPr>
                <w:rFonts w:ascii="Arial" w:hAnsi="Arial" w:cs="Arial"/>
                <w:sz w:val="20"/>
                <w:szCs w:val="20"/>
              </w:rPr>
            </w:pPr>
          </w:p>
        </w:tc>
        <w:tc>
          <w:tcPr>
            <w:tcW w:w="339" w:type="pct"/>
            <w:vMerge/>
            <w:tcBorders>
              <w:left w:val="single" w:sz="4" w:space="0" w:color="auto"/>
              <w:bottom w:val="single" w:sz="4" w:space="0" w:color="auto"/>
              <w:right w:val="single" w:sz="4" w:space="0" w:color="auto"/>
            </w:tcBorders>
            <w:shd w:val="clear" w:color="auto" w:fill="auto"/>
            <w:vAlign w:val="center"/>
          </w:tcPr>
          <w:p w:rsidR="006C4EC2" w:rsidRPr="00124932" w:rsidRDefault="006C4EC2" w:rsidP="006C4EC2">
            <w:pPr>
              <w:jc w:val="both"/>
              <w:rPr>
                <w:rFonts w:ascii="Arial" w:hAnsi="Arial" w:cs="Arial"/>
                <w:sz w:val="20"/>
                <w:szCs w:val="20"/>
              </w:rPr>
            </w:pPr>
          </w:p>
        </w:tc>
        <w:tc>
          <w:tcPr>
            <w:tcW w:w="450" w:type="pct"/>
            <w:tcBorders>
              <w:top w:val="dotted" w:sz="4" w:space="0" w:color="auto"/>
              <w:left w:val="single" w:sz="4" w:space="0" w:color="auto"/>
              <w:bottom w:val="single" w:sz="4" w:space="0" w:color="auto"/>
              <w:right w:val="single" w:sz="4" w:space="0" w:color="auto"/>
            </w:tcBorders>
            <w:shd w:val="clear" w:color="auto" w:fill="auto"/>
            <w:vAlign w:val="center"/>
          </w:tcPr>
          <w:p w:rsidR="006C4EC2" w:rsidRPr="00124932" w:rsidRDefault="006C4EC2" w:rsidP="006C4EC2">
            <w:pPr>
              <w:jc w:val="both"/>
              <w:rPr>
                <w:rFonts w:ascii="Arial" w:hAnsi="Arial" w:cs="Arial"/>
                <w:sz w:val="20"/>
                <w:szCs w:val="20"/>
              </w:rPr>
            </w:pPr>
            <w:r w:rsidRPr="00124932">
              <w:rPr>
                <w:rFonts w:ascii="Arial" w:hAnsi="Arial" w:cs="Arial"/>
                <w:sz w:val="20"/>
                <w:szCs w:val="20"/>
              </w:rPr>
              <w:t>501</w:t>
            </w:r>
          </w:p>
        </w:tc>
        <w:tc>
          <w:tcPr>
            <w:tcW w:w="1011" w:type="pct"/>
            <w:tcBorders>
              <w:top w:val="dotted" w:sz="4" w:space="0" w:color="auto"/>
              <w:left w:val="single" w:sz="4" w:space="0" w:color="auto"/>
              <w:bottom w:val="single" w:sz="4" w:space="0" w:color="auto"/>
              <w:right w:val="single" w:sz="4" w:space="0" w:color="auto"/>
            </w:tcBorders>
            <w:shd w:val="clear" w:color="auto" w:fill="auto"/>
          </w:tcPr>
          <w:p w:rsidR="006C4EC2" w:rsidRPr="00124932" w:rsidRDefault="006C4EC2" w:rsidP="007A750C">
            <w:pPr>
              <w:rPr>
                <w:rFonts w:ascii="Arial" w:hAnsi="Arial" w:cs="Arial"/>
                <w:sz w:val="20"/>
                <w:szCs w:val="20"/>
              </w:rPr>
            </w:pPr>
            <w:r w:rsidRPr="00124932">
              <w:rPr>
                <w:rFonts w:ascii="Arial" w:hAnsi="Arial" w:cs="Arial"/>
                <w:sz w:val="20"/>
                <w:szCs w:val="20"/>
              </w:rPr>
              <w:t>1.10 (0.98, 1.25)</w:t>
            </w:r>
          </w:p>
        </w:tc>
        <w:tc>
          <w:tcPr>
            <w:tcW w:w="780" w:type="pct"/>
            <w:tcBorders>
              <w:top w:val="dotted" w:sz="4" w:space="0" w:color="auto"/>
              <w:left w:val="single" w:sz="4" w:space="0" w:color="auto"/>
              <w:bottom w:val="single" w:sz="4" w:space="0" w:color="auto"/>
              <w:right w:val="single" w:sz="4" w:space="0" w:color="auto"/>
            </w:tcBorders>
            <w:shd w:val="clear" w:color="auto" w:fill="auto"/>
            <w:vAlign w:val="center"/>
          </w:tcPr>
          <w:p w:rsidR="006C4EC2" w:rsidRPr="00124932" w:rsidRDefault="006C4EC2" w:rsidP="006C4EC2">
            <w:pPr>
              <w:jc w:val="both"/>
              <w:rPr>
                <w:rFonts w:ascii="Arial" w:hAnsi="Arial" w:cs="Arial"/>
                <w:sz w:val="20"/>
                <w:szCs w:val="20"/>
              </w:rPr>
            </w:pPr>
            <w:r w:rsidRPr="00124932">
              <w:rPr>
                <w:rFonts w:ascii="Arial" w:hAnsi="Arial" w:cs="Arial"/>
                <w:sz w:val="20"/>
                <w:szCs w:val="20"/>
              </w:rPr>
              <w:t>72 (64 to 81)</w:t>
            </w:r>
          </w:p>
        </w:tc>
        <w:tc>
          <w:tcPr>
            <w:tcW w:w="704" w:type="pct"/>
            <w:tcBorders>
              <w:top w:val="dotted" w:sz="4" w:space="0" w:color="auto"/>
              <w:left w:val="single" w:sz="4" w:space="0" w:color="auto"/>
              <w:bottom w:val="single" w:sz="4" w:space="0" w:color="auto"/>
              <w:right w:val="single" w:sz="4" w:space="0" w:color="auto"/>
            </w:tcBorders>
            <w:shd w:val="clear" w:color="auto" w:fill="auto"/>
            <w:vAlign w:val="center"/>
          </w:tcPr>
          <w:p w:rsidR="006C4EC2" w:rsidRPr="00124932" w:rsidRDefault="006C4EC2" w:rsidP="006C4EC2">
            <w:pPr>
              <w:jc w:val="both"/>
              <w:rPr>
                <w:rFonts w:ascii="Arial" w:hAnsi="Arial" w:cs="Arial"/>
                <w:sz w:val="20"/>
                <w:szCs w:val="20"/>
              </w:rPr>
            </w:pPr>
            <w:r w:rsidRPr="00124932">
              <w:rPr>
                <w:rFonts w:ascii="Arial" w:hAnsi="Arial" w:cs="Arial"/>
                <w:sz w:val="20"/>
                <w:szCs w:val="20"/>
              </w:rPr>
              <w:t>65</w:t>
            </w:r>
          </w:p>
        </w:tc>
        <w:tc>
          <w:tcPr>
            <w:tcW w:w="784" w:type="pct"/>
            <w:tcBorders>
              <w:top w:val="dotted" w:sz="4" w:space="0" w:color="auto"/>
              <w:left w:val="single" w:sz="4" w:space="0" w:color="auto"/>
              <w:bottom w:val="single" w:sz="4" w:space="0" w:color="auto"/>
              <w:right w:val="single" w:sz="4" w:space="0" w:color="auto"/>
            </w:tcBorders>
            <w:shd w:val="clear" w:color="auto" w:fill="auto"/>
            <w:vAlign w:val="center"/>
          </w:tcPr>
          <w:p w:rsidR="006C4EC2" w:rsidRPr="00124932" w:rsidRDefault="006C4EC2" w:rsidP="006C4EC2">
            <w:pPr>
              <w:jc w:val="both"/>
              <w:rPr>
                <w:rFonts w:ascii="Arial" w:hAnsi="Arial" w:cs="Arial"/>
                <w:sz w:val="20"/>
                <w:szCs w:val="20"/>
              </w:rPr>
            </w:pPr>
            <w:r w:rsidRPr="00124932">
              <w:rPr>
                <w:rFonts w:ascii="Arial" w:hAnsi="Arial" w:cs="Arial"/>
                <w:sz w:val="20"/>
                <w:szCs w:val="20"/>
              </w:rPr>
              <w:t>Not significant</w:t>
            </w:r>
          </w:p>
        </w:tc>
      </w:tr>
      <w:tr w:rsidR="006C4EC2" w:rsidRPr="00124932" w:rsidTr="00F047AD">
        <w:trPr>
          <w:trHeight w:val="204"/>
        </w:trPr>
        <w:tc>
          <w:tcPr>
            <w:tcW w:w="932" w:type="pct"/>
            <w:vMerge w:val="restart"/>
            <w:tcBorders>
              <w:top w:val="single" w:sz="4" w:space="0" w:color="auto"/>
              <w:left w:val="single" w:sz="4" w:space="0" w:color="auto"/>
              <w:right w:val="single" w:sz="4" w:space="0" w:color="auto"/>
            </w:tcBorders>
            <w:shd w:val="clear" w:color="auto" w:fill="auto"/>
            <w:vAlign w:val="center"/>
          </w:tcPr>
          <w:p w:rsidR="006C4EC2" w:rsidRPr="00124932" w:rsidRDefault="006C4EC2" w:rsidP="006C4EC2">
            <w:pPr>
              <w:tabs>
                <w:tab w:val="left" w:pos="1195"/>
              </w:tabs>
              <w:jc w:val="both"/>
              <w:rPr>
                <w:rFonts w:ascii="Arial" w:hAnsi="Arial" w:cs="Arial"/>
                <w:sz w:val="20"/>
                <w:szCs w:val="20"/>
              </w:rPr>
            </w:pPr>
            <w:r w:rsidRPr="00124932">
              <w:rPr>
                <w:rFonts w:ascii="Arial" w:hAnsi="Arial" w:cs="Arial"/>
                <w:sz w:val="20"/>
                <w:szCs w:val="20"/>
              </w:rPr>
              <w:t>Over 36mths</w:t>
            </w:r>
          </w:p>
          <w:p w:rsidR="006C4EC2" w:rsidRPr="00124932" w:rsidRDefault="006C4EC2" w:rsidP="006C4EC2">
            <w:pPr>
              <w:tabs>
                <w:tab w:val="left" w:pos="1195"/>
              </w:tabs>
              <w:jc w:val="both"/>
              <w:rPr>
                <w:rFonts w:ascii="Arial" w:hAnsi="Arial" w:cs="Arial"/>
                <w:color w:val="595959"/>
                <w:sz w:val="20"/>
                <w:szCs w:val="20"/>
              </w:rPr>
            </w:pPr>
            <w:r w:rsidRPr="00124932">
              <w:rPr>
                <w:rFonts w:ascii="Arial" w:hAnsi="Arial" w:cs="Arial"/>
                <w:color w:val="595959"/>
                <w:sz w:val="20"/>
                <w:szCs w:val="20"/>
              </w:rPr>
              <w:t>EXCEL</w:t>
            </w:r>
          </w:p>
        </w:tc>
        <w:tc>
          <w:tcPr>
            <w:tcW w:w="339" w:type="pct"/>
            <w:tcBorders>
              <w:top w:val="single" w:sz="4" w:space="0" w:color="auto"/>
              <w:left w:val="single" w:sz="4" w:space="0" w:color="auto"/>
              <w:bottom w:val="dotted" w:sz="4" w:space="0" w:color="auto"/>
              <w:right w:val="single" w:sz="4" w:space="0" w:color="auto"/>
            </w:tcBorders>
            <w:shd w:val="clear" w:color="auto" w:fill="auto"/>
            <w:vAlign w:val="center"/>
          </w:tcPr>
          <w:p w:rsidR="006C4EC2" w:rsidRPr="00124932" w:rsidRDefault="006C4EC2" w:rsidP="006C4EC2">
            <w:pPr>
              <w:tabs>
                <w:tab w:val="left" w:pos="1195"/>
              </w:tabs>
              <w:jc w:val="both"/>
              <w:rPr>
                <w:rFonts w:ascii="Arial" w:hAnsi="Arial" w:cs="Arial"/>
                <w:sz w:val="20"/>
                <w:szCs w:val="20"/>
              </w:rPr>
            </w:pPr>
            <w:r w:rsidRPr="00124932">
              <w:rPr>
                <w:rFonts w:ascii="Arial" w:hAnsi="Arial" w:cs="Arial"/>
                <w:sz w:val="20"/>
                <w:szCs w:val="20"/>
              </w:rPr>
              <w:t>80</w:t>
            </w:r>
          </w:p>
        </w:tc>
        <w:tc>
          <w:tcPr>
            <w:tcW w:w="450" w:type="pct"/>
            <w:tcBorders>
              <w:top w:val="single" w:sz="4" w:space="0" w:color="auto"/>
              <w:left w:val="single" w:sz="4" w:space="0" w:color="auto"/>
              <w:bottom w:val="dotted" w:sz="4" w:space="0" w:color="auto"/>
              <w:right w:val="single" w:sz="4" w:space="0" w:color="auto"/>
            </w:tcBorders>
            <w:shd w:val="clear" w:color="auto" w:fill="auto"/>
            <w:vAlign w:val="center"/>
          </w:tcPr>
          <w:p w:rsidR="006C4EC2" w:rsidRPr="00124932" w:rsidRDefault="006C4EC2" w:rsidP="006C4EC2">
            <w:pPr>
              <w:jc w:val="both"/>
              <w:rPr>
                <w:rFonts w:ascii="Arial" w:hAnsi="Arial" w:cs="Arial"/>
                <w:sz w:val="20"/>
                <w:szCs w:val="20"/>
              </w:rPr>
            </w:pPr>
            <w:r w:rsidRPr="00124932">
              <w:rPr>
                <w:rFonts w:ascii="Arial" w:hAnsi="Arial" w:cs="Arial"/>
                <w:sz w:val="20"/>
                <w:szCs w:val="20"/>
              </w:rPr>
              <w:t>794</w:t>
            </w:r>
          </w:p>
        </w:tc>
        <w:tc>
          <w:tcPr>
            <w:tcW w:w="1011" w:type="pct"/>
            <w:tcBorders>
              <w:top w:val="single" w:sz="4" w:space="0" w:color="auto"/>
              <w:left w:val="single" w:sz="4" w:space="0" w:color="auto"/>
              <w:bottom w:val="dotted" w:sz="4" w:space="0" w:color="auto"/>
              <w:right w:val="single" w:sz="4" w:space="0" w:color="auto"/>
            </w:tcBorders>
            <w:shd w:val="clear" w:color="auto" w:fill="auto"/>
            <w:vAlign w:val="center"/>
          </w:tcPr>
          <w:p w:rsidR="006C4EC2" w:rsidRPr="00124932" w:rsidRDefault="006C4EC2" w:rsidP="006C4EC2">
            <w:pPr>
              <w:jc w:val="both"/>
              <w:rPr>
                <w:rFonts w:ascii="Arial" w:hAnsi="Arial" w:cs="Arial"/>
                <w:sz w:val="20"/>
                <w:szCs w:val="20"/>
              </w:rPr>
            </w:pPr>
            <w:r w:rsidRPr="00124932">
              <w:rPr>
                <w:rFonts w:ascii="Arial" w:hAnsi="Arial" w:cs="Arial"/>
                <w:b/>
                <w:sz w:val="20"/>
                <w:szCs w:val="20"/>
              </w:rPr>
              <w:t>1.41 (1.05,1.94)</w:t>
            </w:r>
          </w:p>
        </w:tc>
        <w:tc>
          <w:tcPr>
            <w:tcW w:w="780" w:type="pct"/>
            <w:tcBorders>
              <w:top w:val="single" w:sz="4" w:space="0" w:color="auto"/>
              <w:left w:val="single" w:sz="4" w:space="0" w:color="auto"/>
              <w:bottom w:val="dotted" w:sz="4" w:space="0" w:color="auto"/>
              <w:right w:val="single" w:sz="4" w:space="0" w:color="auto"/>
            </w:tcBorders>
            <w:shd w:val="clear" w:color="auto" w:fill="auto"/>
            <w:vAlign w:val="center"/>
          </w:tcPr>
          <w:p w:rsidR="006C4EC2" w:rsidRPr="00124932" w:rsidRDefault="006C4EC2" w:rsidP="006C4EC2">
            <w:pPr>
              <w:jc w:val="both"/>
              <w:rPr>
                <w:rFonts w:ascii="Arial" w:hAnsi="Arial" w:cs="Arial"/>
                <w:sz w:val="20"/>
                <w:szCs w:val="20"/>
              </w:rPr>
            </w:pPr>
            <w:r w:rsidRPr="00124932">
              <w:rPr>
                <w:rFonts w:ascii="Arial" w:hAnsi="Arial" w:cs="Arial"/>
                <w:sz w:val="20"/>
                <w:szCs w:val="20"/>
              </w:rPr>
              <w:t>34 (25 to 47)</w:t>
            </w:r>
          </w:p>
        </w:tc>
        <w:tc>
          <w:tcPr>
            <w:tcW w:w="704" w:type="pct"/>
            <w:tcBorders>
              <w:top w:val="single" w:sz="4" w:space="0" w:color="auto"/>
              <w:left w:val="single" w:sz="4" w:space="0" w:color="auto"/>
              <w:bottom w:val="dotted" w:sz="4" w:space="0" w:color="auto"/>
              <w:right w:val="single" w:sz="4" w:space="0" w:color="auto"/>
            </w:tcBorders>
            <w:shd w:val="clear" w:color="auto" w:fill="auto"/>
            <w:vAlign w:val="center"/>
          </w:tcPr>
          <w:p w:rsidR="006C4EC2" w:rsidRPr="00124932" w:rsidRDefault="006C4EC2" w:rsidP="006C4EC2">
            <w:pPr>
              <w:jc w:val="both"/>
              <w:rPr>
                <w:rFonts w:ascii="Arial" w:hAnsi="Arial" w:cs="Arial"/>
                <w:sz w:val="20"/>
                <w:szCs w:val="20"/>
              </w:rPr>
            </w:pPr>
            <w:r w:rsidRPr="00124932">
              <w:rPr>
                <w:rFonts w:ascii="Arial" w:hAnsi="Arial" w:cs="Arial"/>
                <w:sz w:val="20"/>
                <w:szCs w:val="20"/>
              </w:rPr>
              <w:t>24</w:t>
            </w:r>
          </w:p>
        </w:tc>
        <w:tc>
          <w:tcPr>
            <w:tcW w:w="784" w:type="pct"/>
            <w:tcBorders>
              <w:top w:val="single" w:sz="4" w:space="0" w:color="auto"/>
              <w:left w:val="single" w:sz="4" w:space="0" w:color="auto"/>
              <w:bottom w:val="dotted" w:sz="4" w:space="0" w:color="auto"/>
              <w:right w:val="single" w:sz="4" w:space="0" w:color="auto"/>
            </w:tcBorders>
            <w:shd w:val="clear" w:color="auto" w:fill="auto"/>
            <w:vAlign w:val="center"/>
          </w:tcPr>
          <w:p w:rsidR="006C4EC2" w:rsidRPr="00124932" w:rsidRDefault="006C4EC2" w:rsidP="006C4EC2">
            <w:pPr>
              <w:jc w:val="both"/>
              <w:rPr>
                <w:rFonts w:ascii="Arial" w:hAnsi="Arial" w:cs="Arial"/>
                <w:sz w:val="20"/>
                <w:szCs w:val="20"/>
              </w:rPr>
            </w:pPr>
            <w:r w:rsidRPr="00124932">
              <w:rPr>
                <w:rFonts w:ascii="Arial" w:hAnsi="Arial" w:cs="Arial"/>
                <w:sz w:val="20"/>
                <w:szCs w:val="20"/>
              </w:rPr>
              <w:t>10 (1 to 23)</w:t>
            </w:r>
          </w:p>
        </w:tc>
      </w:tr>
      <w:tr w:rsidR="006C4EC2" w:rsidRPr="00124932" w:rsidTr="00F047AD">
        <w:trPr>
          <w:trHeight w:val="204"/>
        </w:trPr>
        <w:tc>
          <w:tcPr>
            <w:tcW w:w="932" w:type="pct"/>
            <w:vMerge/>
            <w:tcBorders>
              <w:left w:val="single" w:sz="4" w:space="0" w:color="auto"/>
              <w:bottom w:val="single" w:sz="4" w:space="0" w:color="auto"/>
              <w:right w:val="single" w:sz="4" w:space="0" w:color="auto"/>
            </w:tcBorders>
            <w:shd w:val="clear" w:color="auto" w:fill="auto"/>
            <w:vAlign w:val="center"/>
          </w:tcPr>
          <w:p w:rsidR="006C4EC2" w:rsidRPr="00124932" w:rsidRDefault="006C4EC2" w:rsidP="006C4EC2">
            <w:pPr>
              <w:tabs>
                <w:tab w:val="left" w:pos="1195"/>
              </w:tabs>
              <w:jc w:val="both"/>
              <w:rPr>
                <w:rFonts w:ascii="Arial" w:hAnsi="Arial" w:cs="Arial"/>
                <w:sz w:val="20"/>
                <w:szCs w:val="20"/>
              </w:rPr>
            </w:pPr>
          </w:p>
        </w:tc>
        <w:tc>
          <w:tcPr>
            <w:tcW w:w="339" w:type="pct"/>
            <w:tcBorders>
              <w:top w:val="dotted" w:sz="4" w:space="0" w:color="auto"/>
              <w:left w:val="single" w:sz="4" w:space="0" w:color="auto"/>
              <w:bottom w:val="single" w:sz="4" w:space="0" w:color="auto"/>
              <w:right w:val="single" w:sz="4" w:space="0" w:color="auto"/>
            </w:tcBorders>
            <w:shd w:val="clear" w:color="auto" w:fill="auto"/>
            <w:vAlign w:val="center"/>
          </w:tcPr>
          <w:p w:rsidR="006C4EC2" w:rsidRPr="00124932" w:rsidRDefault="006C4EC2" w:rsidP="006C4EC2">
            <w:pPr>
              <w:tabs>
                <w:tab w:val="left" w:pos="1195"/>
              </w:tabs>
              <w:jc w:val="both"/>
              <w:rPr>
                <w:rFonts w:ascii="Arial" w:hAnsi="Arial" w:cs="Arial"/>
                <w:sz w:val="20"/>
                <w:szCs w:val="20"/>
              </w:rPr>
            </w:pPr>
            <w:r w:rsidRPr="00124932">
              <w:rPr>
                <w:rFonts w:ascii="Arial" w:hAnsi="Arial" w:cs="Arial"/>
                <w:sz w:val="20"/>
                <w:szCs w:val="20"/>
              </w:rPr>
              <w:t>120</w:t>
            </w:r>
          </w:p>
        </w:tc>
        <w:tc>
          <w:tcPr>
            <w:tcW w:w="450" w:type="pct"/>
            <w:tcBorders>
              <w:top w:val="dotted" w:sz="4" w:space="0" w:color="auto"/>
              <w:left w:val="single" w:sz="4" w:space="0" w:color="auto"/>
              <w:bottom w:val="single" w:sz="4" w:space="0" w:color="auto"/>
              <w:right w:val="single" w:sz="4" w:space="0" w:color="auto"/>
            </w:tcBorders>
            <w:shd w:val="clear" w:color="auto" w:fill="auto"/>
            <w:vAlign w:val="center"/>
          </w:tcPr>
          <w:p w:rsidR="006C4EC2" w:rsidRPr="00124932" w:rsidRDefault="006C4EC2" w:rsidP="006C4EC2">
            <w:pPr>
              <w:jc w:val="both"/>
              <w:rPr>
                <w:rFonts w:ascii="Arial" w:hAnsi="Arial" w:cs="Arial"/>
                <w:sz w:val="20"/>
                <w:szCs w:val="20"/>
              </w:rPr>
            </w:pPr>
            <w:r w:rsidRPr="00124932">
              <w:rPr>
                <w:rFonts w:ascii="Arial" w:hAnsi="Arial" w:cs="Arial"/>
                <w:sz w:val="20"/>
                <w:szCs w:val="20"/>
              </w:rPr>
              <w:t>437</w:t>
            </w:r>
          </w:p>
        </w:tc>
        <w:tc>
          <w:tcPr>
            <w:tcW w:w="1011" w:type="pct"/>
            <w:tcBorders>
              <w:top w:val="dotted" w:sz="4" w:space="0" w:color="auto"/>
              <w:left w:val="single" w:sz="4" w:space="0" w:color="auto"/>
              <w:bottom w:val="single" w:sz="4" w:space="0" w:color="auto"/>
              <w:right w:val="single" w:sz="4" w:space="0" w:color="auto"/>
            </w:tcBorders>
            <w:shd w:val="clear" w:color="auto" w:fill="auto"/>
            <w:vAlign w:val="center"/>
          </w:tcPr>
          <w:p w:rsidR="006C4EC2" w:rsidRPr="00124932" w:rsidRDefault="006C4EC2" w:rsidP="007A750C">
            <w:pPr>
              <w:rPr>
                <w:rFonts w:ascii="Arial" w:hAnsi="Arial" w:cs="Arial"/>
                <w:b/>
                <w:sz w:val="20"/>
                <w:szCs w:val="20"/>
              </w:rPr>
            </w:pPr>
            <w:r w:rsidRPr="00124932">
              <w:rPr>
                <w:rFonts w:ascii="Arial" w:hAnsi="Arial" w:cs="Arial"/>
                <w:b/>
                <w:sz w:val="20"/>
                <w:szCs w:val="20"/>
              </w:rPr>
              <w:t>1.73 (1.27, 2.40)</w:t>
            </w:r>
          </w:p>
        </w:tc>
        <w:tc>
          <w:tcPr>
            <w:tcW w:w="780" w:type="pct"/>
            <w:tcBorders>
              <w:top w:val="dotted" w:sz="4" w:space="0" w:color="auto"/>
              <w:left w:val="single" w:sz="4" w:space="0" w:color="auto"/>
              <w:bottom w:val="single" w:sz="4" w:space="0" w:color="auto"/>
              <w:right w:val="single" w:sz="4" w:space="0" w:color="auto"/>
            </w:tcBorders>
            <w:shd w:val="clear" w:color="auto" w:fill="auto"/>
            <w:vAlign w:val="center"/>
          </w:tcPr>
          <w:p w:rsidR="006C4EC2" w:rsidRPr="00124932" w:rsidRDefault="006C4EC2" w:rsidP="006C4EC2">
            <w:pPr>
              <w:jc w:val="both"/>
              <w:rPr>
                <w:rFonts w:ascii="Arial" w:hAnsi="Arial" w:cs="Arial"/>
                <w:sz w:val="20"/>
                <w:szCs w:val="20"/>
              </w:rPr>
            </w:pPr>
            <w:r w:rsidRPr="00124932">
              <w:rPr>
                <w:rFonts w:ascii="Arial" w:hAnsi="Arial" w:cs="Arial"/>
                <w:sz w:val="20"/>
                <w:szCs w:val="20"/>
              </w:rPr>
              <w:t>42 (30 to 58)</w:t>
            </w:r>
          </w:p>
        </w:tc>
        <w:tc>
          <w:tcPr>
            <w:tcW w:w="704" w:type="pct"/>
            <w:tcBorders>
              <w:top w:val="dotted" w:sz="4" w:space="0" w:color="auto"/>
              <w:left w:val="single" w:sz="4" w:space="0" w:color="auto"/>
              <w:bottom w:val="single" w:sz="4" w:space="0" w:color="auto"/>
              <w:right w:val="single" w:sz="4" w:space="0" w:color="auto"/>
            </w:tcBorders>
            <w:shd w:val="clear" w:color="auto" w:fill="auto"/>
            <w:vAlign w:val="center"/>
          </w:tcPr>
          <w:p w:rsidR="006C4EC2" w:rsidRPr="00124932" w:rsidRDefault="006C4EC2" w:rsidP="006C4EC2">
            <w:pPr>
              <w:jc w:val="both"/>
              <w:rPr>
                <w:rFonts w:ascii="Arial" w:hAnsi="Arial" w:cs="Arial"/>
                <w:sz w:val="20"/>
                <w:szCs w:val="20"/>
              </w:rPr>
            </w:pPr>
            <w:r w:rsidRPr="00124932">
              <w:rPr>
                <w:rFonts w:ascii="Arial" w:hAnsi="Arial" w:cs="Arial"/>
                <w:sz w:val="20"/>
                <w:szCs w:val="20"/>
              </w:rPr>
              <w:t>24</w:t>
            </w:r>
          </w:p>
        </w:tc>
        <w:tc>
          <w:tcPr>
            <w:tcW w:w="784" w:type="pct"/>
            <w:tcBorders>
              <w:top w:val="dotted" w:sz="4" w:space="0" w:color="auto"/>
              <w:left w:val="single" w:sz="4" w:space="0" w:color="auto"/>
              <w:bottom w:val="single" w:sz="4" w:space="0" w:color="auto"/>
              <w:right w:val="single" w:sz="4" w:space="0" w:color="auto"/>
            </w:tcBorders>
            <w:shd w:val="clear" w:color="auto" w:fill="auto"/>
            <w:vAlign w:val="center"/>
          </w:tcPr>
          <w:p w:rsidR="006C4EC2" w:rsidRPr="00124932" w:rsidRDefault="006C4EC2" w:rsidP="006C4EC2">
            <w:pPr>
              <w:jc w:val="both"/>
              <w:rPr>
                <w:rFonts w:ascii="Arial" w:hAnsi="Arial" w:cs="Arial"/>
                <w:sz w:val="20"/>
                <w:szCs w:val="20"/>
              </w:rPr>
            </w:pPr>
            <w:r w:rsidRPr="00124932">
              <w:rPr>
                <w:rFonts w:ascii="Arial" w:hAnsi="Arial" w:cs="Arial"/>
                <w:sz w:val="20"/>
                <w:szCs w:val="20"/>
              </w:rPr>
              <w:t>18 (6 to 34)</w:t>
            </w:r>
          </w:p>
        </w:tc>
      </w:tr>
      <w:tr w:rsidR="006C4EC2" w:rsidRPr="00124932" w:rsidTr="006C4EC2">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rsidR="006C4EC2" w:rsidRPr="00124932" w:rsidRDefault="006C4EC2" w:rsidP="006C4EC2">
            <w:pPr>
              <w:jc w:val="both"/>
              <w:rPr>
                <w:rFonts w:ascii="Arial" w:hAnsi="Arial" w:cs="Arial"/>
                <w:b/>
                <w:sz w:val="20"/>
                <w:szCs w:val="20"/>
              </w:rPr>
            </w:pPr>
            <w:r w:rsidRPr="00124932">
              <w:rPr>
                <w:rFonts w:ascii="Arial" w:hAnsi="Arial" w:cs="Arial"/>
                <w:b/>
                <w:sz w:val="20"/>
                <w:szCs w:val="20"/>
              </w:rPr>
              <w:t>sUA &lt;6mg/</w:t>
            </w:r>
            <w:proofErr w:type="spellStart"/>
            <w:r w:rsidRPr="00124932">
              <w:rPr>
                <w:rFonts w:ascii="Arial" w:hAnsi="Arial" w:cs="Arial"/>
                <w:b/>
                <w:sz w:val="20"/>
                <w:szCs w:val="20"/>
              </w:rPr>
              <w:t>dL</w:t>
            </w:r>
            <w:proofErr w:type="spellEnd"/>
            <w:r w:rsidRPr="00124932">
              <w:rPr>
                <w:rFonts w:ascii="Arial" w:hAnsi="Arial" w:cs="Arial"/>
                <w:b/>
                <w:sz w:val="20"/>
                <w:szCs w:val="20"/>
              </w:rPr>
              <w:t xml:space="preserve"> at final visit</w:t>
            </w:r>
          </w:p>
        </w:tc>
      </w:tr>
      <w:tr w:rsidR="006C4EC2" w:rsidRPr="00124932" w:rsidTr="00F047AD">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6C4EC2" w:rsidRPr="00124932" w:rsidRDefault="006C4EC2" w:rsidP="006C4EC2">
            <w:pPr>
              <w:jc w:val="both"/>
              <w:rPr>
                <w:rFonts w:ascii="Arial" w:hAnsi="Arial" w:cs="Arial"/>
                <w:sz w:val="20"/>
                <w:szCs w:val="20"/>
              </w:rPr>
            </w:pPr>
            <w:r w:rsidRPr="00124932">
              <w:rPr>
                <w:rFonts w:ascii="Arial" w:hAnsi="Arial" w:cs="Arial"/>
                <w:sz w:val="20"/>
                <w:szCs w:val="20"/>
              </w:rPr>
              <w:t xml:space="preserve">Week 26 </w:t>
            </w:r>
            <w:r w:rsidRPr="00124932">
              <w:rPr>
                <w:rFonts w:ascii="Arial" w:hAnsi="Arial" w:cs="Arial"/>
                <w:color w:val="595959"/>
                <w:sz w:val="20"/>
                <w:szCs w:val="20"/>
              </w:rPr>
              <w:t>CONFIRMS</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6C4EC2" w:rsidRPr="00124932" w:rsidRDefault="006C4EC2" w:rsidP="006C4EC2">
            <w:pPr>
              <w:jc w:val="both"/>
              <w:rPr>
                <w:rFonts w:ascii="Arial" w:hAnsi="Arial" w:cs="Arial"/>
                <w:sz w:val="20"/>
                <w:szCs w:val="20"/>
              </w:rPr>
            </w:pPr>
            <w:r w:rsidRPr="00124932">
              <w:rPr>
                <w:rFonts w:ascii="Arial" w:hAnsi="Arial" w:cs="Arial"/>
                <w:sz w:val="20"/>
                <w:szCs w:val="20"/>
              </w:rPr>
              <w:t>80</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6C4EC2" w:rsidRPr="00124932" w:rsidRDefault="006C4EC2" w:rsidP="006C4EC2">
            <w:pPr>
              <w:jc w:val="both"/>
              <w:rPr>
                <w:rFonts w:ascii="Arial" w:hAnsi="Arial" w:cs="Arial"/>
                <w:sz w:val="20"/>
                <w:szCs w:val="20"/>
              </w:rPr>
            </w:pPr>
            <w:r w:rsidRPr="00124932">
              <w:rPr>
                <w:rFonts w:ascii="Arial" w:hAnsi="Arial" w:cs="Arial"/>
                <w:sz w:val="20"/>
                <w:szCs w:val="20"/>
              </w:rPr>
              <w:t>1212</w:t>
            </w:r>
          </w:p>
        </w:tc>
        <w:tc>
          <w:tcPr>
            <w:tcW w:w="1011" w:type="pct"/>
            <w:tcBorders>
              <w:top w:val="single" w:sz="4" w:space="0" w:color="auto"/>
              <w:left w:val="single" w:sz="4" w:space="0" w:color="auto"/>
              <w:bottom w:val="single" w:sz="4" w:space="0" w:color="auto"/>
              <w:right w:val="single" w:sz="4" w:space="0" w:color="auto"/>
            </w:tcBorders>
            <w:shd w:val="clear" w:color="auto" w:fill="auto"/>
            <w:vAlign w:val="center"/>
          </w:tcPr>
          <w:p w:rsidR="006C4EC2" w:rsidRPr="00124932" w:rsidRDefault="006C4EC2" w:rsidP="007A750C">
            <w:pPr>
              <w:rPr>
                <w:rFonts w:ascii="Arial" w:hAnsi="Arial" w:cs="Arial"/>
                <w:sz w:val="20"/>
                <w:szCs w:val="20"/>
              </w:rPr>
            </w:pPr>
            <w:r w:rsidRPr="00124932">
              <w:rPr>
                <w:rFonts w:ascii="Arial" w:hAnsi="Arial" w:cs="Arial"/>
                <w:b/>
                <w:sz w:val="20"/>
                <w:szCs w:val="20"/>
              </w:rPr>
              <w:t>1.62 (1.47, 1.78)</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rsidR="006C4EC2" w:rsidRPr="00124932" w:rsidRDefault="006C4EC2" w:rsidP="006C4EC2">
            <w:pPr>
              <w:jc w:val="both"/>
              <w:rPr>
                <w:rFonts w:ascii="Arial" w:hAnsi="Arial" w:cs="Arial"/>
                <w:sz w:val="20"/>
                <w:szCs w:val="20"/>
              </w:rPr>
            </w:pPr>
            <w:r w:rsidRPr="00124932">
              <w:rPr>
                <w:rFonts w:ascii="Arial" w:hAnsi="Arial" w:cs="Arial"/>
                <w:sz w:val="20"/>
                <w:szCs w:val="20"/>
              </w:rPr>
              <w:t>75 (69 to 84)</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rsidR="006C4EC2" w:rsidRPr="00124932" w:rsidRDefault="006C4EC2" w:rsidP="006C4EC2">
            <w:pPr>
              <w:jc w:val="both"/>
              <w:rPr>
                <w:rFonts w:ascii="Arial" w:hAnsi="Arial" w:cs="Arial"/>
                <w:sz w:val="20"/>
                <w:szCs w:val="20"/>
              </w:rPr>
            </w:pPr>
            <w:r w:rsidRPr="00124932">
              <w:rPr>
                <w:rFonts w:ascii="Arial" w:hAnsi="Arial" w:cs="Arial"/>
                <w:sz w:val="20"/>
                <w:szCs w:val="20"/>
              </w:rPr>
              <w:t>47</w:t>
            </w:r>
          </w:p>
        </w:tc>
        <w:tc>
          <w:tcPr>
            <w:tcW w:w="784" w:type="pct"/>
            <w:tcBorders>
              <w:top w:val="single" w:sz="4" w:space="0" w:color="auto"/>
              <w:left w:val="single" w:sz="4" w:space="0" w:color="auto"/>
              <w:bottom w:val="single" w:sz="4" w:space="0" w:color="auto"/>
              <w:right w:val="single" w:sz="4" w:space="0" w:color="auto"/>
            </w:tcBorders>
            <w:shd w:val="clear" w:color="auto" w:fill="auto"/>
            <w:vAlign w:val="center"/>
          </w:tcPr>
          <w:p w:rsidR="006C4EC2" w:rsidRPr="00124932" w:rsidRDefault="006C4EC2" w:rsidP="006C4EC2">
            <w:pPr>
              <w:jc w:val="both"/>
              <w:rPr>
                <w:rFonts w:ascii="Arial" w:hAnsi="Arial" w:cs="Arial"/>
                <w:sz w:val="20"/>
                <w:szCs w:val="20"/>
              </w:rPr>
            </w:pPr>
            <w:r w:rsidRPr="00124932">
              <w:rPr>
                <w:rFonts w:ascii="Arial" w:hAnsi="Arial" w:cs="Arial"/>
                <w:sz w:val="20"/>
                <w:szCs w:val="20"/>
              </w:rPr>
              <w:t>28 (22 to 37)</w:t>
            </w:r>
          </w:p>
        </w:tc>
      </w:tr>
      <w:tr w:rsidR="006C4EC2" w:rsidRPr="00124932" w:rsidTr="00F047AD">
        <w:trPr>
          <w:trHeight w:val="218"/>
        </w:trPr>
        <w:tc>
          <w:tcPr>
            <w:tcW w:w="932" w:type="pct"/>
            <w:vMerge w:val="restart"/>
            <w:tcBorders>
              <w:top w:val="single" w:sz="4" w:space="0" w:color="auto"/>
              <w:left w:val="single" w:sz="4" w:space="0" w:color="auto"/>
              <w:right w:val="single" w:sz="4" w:space="0" w:color="auto"/>
            </w:tcBorders>
            <w:shd w:val="clear" w:color="auto" w:fill="auto"/>
            <w:vAlign w:val="center"/>
          </w:tcPr>
          <w:p w:rsidR="006C4EC2" w:rsidRPr="00124932" w:rsidRDefault="006C4EC2" w:rsidP="006C4EC2">
            <w:pPr>
              <w:jc w:val="both"/>
              <w:rPr>
                <w:rFonts w:ascii="Arial" w:hAnsi="Arial" w:cs="Arial"/>
                <w:sz w:val="20"/>
                <w:szCs w:val="20"/>
              </w:rPr>
            </w:pPr>
            <w:r w:rsidRPr="00124932">
              <w:rPr>
                <w:rFonts w:ascii="Arial" w:hAnsi="Arial" w:cs="Arial"/>
                <w:sz w:val="20"/>
                <w:szCs w:val="20"/>
              </w:rPr>
              <w:t>Week 28</w:t>
            </w:r>
          </w:p>
          <w:p w:rsidR="006C4EC2" w:rsidRPr="00124932" w:rsidRDefault="006C4EC2" w:rsidP="006C4EC2">
            <w:pPr>
              <w:jc w:val="both"/>
              <w:rPr>
                <w:rFonts w:ascii="Arial" w:hAnsi="Arial" w:cs="Arial"/>
                <w:sz w:val="20"/>
                <w:szCs w:val="20"/>
              </w:rPr>
            </w:pPr>
            <w:r w:rsidRPr="00124932">
              <w:rPr>
                <w:rFonts w:ascii="Arial" w:hAnsi="Arial" w:cs="Arial"/>
                <w:color w:val="595959"/>
                <w:sz w:val="20"/>
                <w:szCs w:val="20"/>
              </w:rPr>
              <w:t>APEX</w:t>
            </w:r>
          </w:p>
        </w:tc>
        <w:tc>
          <w:tcPr>
            <w:tcW w:w="339" w:type="pct"/>
            <w:tcBorders>
              <w:top w:val="single" w:sz="4" w:space="0" w:color="auto"/>
              <w:left w:val="single" w:sz="4" w:space="0" w:color="auto"/>
              <w:bottom w:val="dotted" w:sz="4" w:space="0" w:color="auto"/>
              <w:right w:val="single" w:sz="4" w:space="0" w:color="auto"/>
            </w:tcBorders>
            <w:shd w:val="clear" w:color="auto" w:fill="auto"/>
            <w:vAlign w:val="center"/>
          </w:tcPr>
          <w:p w:rsidR="006C4EC2" w:rsidRPr="00124932" w:rsidRDefault="006C4EC2" w:rsidP="006C4EC2">
            <w:pPr>
              <w:jc w:val="both"/>
              <w:rPr>
                <w:rFonts w:ascii="Arial" w:hAnsi="Arial" w:cs="Arial"/>
                <w:sz w:val="20"/>
                <w:szCs w:val="20"/>
              </w:rPr>
            </w:pPr>
            <w:r w:rsidRPr="00124932">
              <w:rPr>
                <w:rFonts w:ascii="Arial" w:hAnsi="Arial" w:cs="Arial"/>
                <w:sz w:val="20"/>
                <w:szCs w:val="20"/>
              </w:rPr>
              <w:t>80</w:t>
            </w:r>
          </w:p>
        </w:tc>
        <w:tc>
          <w:tcPr>
            <w:tcW w:w="450" w:type="pct"/>
            <w:tcBorders>
              <w:top w:val="single" w:sz="4" w:space="0" w:color="auto"/>
              <w:left w:val="single" w:sz="4" w:space="0" w:color="auto"/>
              <w:bottom w:val="dotted" w:sz="4" w:space="0" w:color="auto"/>
              <w:right w:val="single" w:sz="4" w:space="0" w:color="auto"/>
            </w:tcBorders>
            <w:shd w:val="clear" w:color="auto" w:fill="auto"/>
            <w:vAlign w:val="center"/>
          </w:tcPr>
          <w:p w:rsidR="006C4EC2" w:rsidRPr="00124932" w:rsidRDefault="006C4EC2" w:rsidP="006C4EC2">
            <w:pPr>
              <w:jc w:val="both"/>
              <w:rPr>
                <w:rFonts w:ascii="Arial" w:hAnsi="Arial" w:cs="Arial"/>
                <w:sz w:val="20"/>
                <w:szCs w:val="20"/>
              </w:rPr>
            </w:pPr>
            <w:r w:rsidRPr="00124932">
              <w:rPr>
                <w:rFonts w:ascii="Arial" w:hAnsi="Arial" w:cs="Arial"/>
                <w:sz w:val="20"/>
                <w:szCs w:val="20"/>
              </w:rPr>
              <w:t>369</w:t>
            </w:r>
          </w:p>
        </w:tc>
        <w:tc>
          <w:tcPr>
            <w:tcW w:w="1011" w:type="pct"/>
            <w:tcBorders>
              <w:top w:val="single" w:sz="4" w:space="0" w:color="auto"/>
              <w:left w:val="single" w:sz="4" w:space="0" w:color="auto"/>
              <w:bottom w:val="dotted" w:sz="4" w:space="0" w:color="auto"/>
              <w:right w:val="single" w:sz="4" w:space="0" w:color="auto"/>
            </w:tcBorders>
            <w:shd w:val="clear" w:color="auto" w:fill="auto"/>
          </w:tcPr>
          <w:p w:rsidR="006C4EC2" w:rsidRPr="00124932" w:rsidRDefault="006C4EC2" w:rsidP="007A750C">
            <w:pPr>
              <w:rPr>
                <w:rFonts w:ascii="Arial" w:hAnsi="Arial" w:cs="Arial"/>
                <w:sz w:val="20"/>
                <w:szCs w:val="20"/>
              </w:rPr>
            </w:pPr>
            <w:r w:rsidRPr="00124932">
              <w:rPr>
                <w:rFonts w:ascii="Arial" w:hAnsi="Arial" w:cs="Arial"/>
                <w:b/>
                <w:sz w:val="20"/>
                <w:szCs w:val="20"/>
              </w:rPr>
              <w:t>1.85 (1.55, 2.24)</w:t>
            </w:r>
          </w:p>
        </w:tc>
        <w:tc>
          <w:tcPr>
            <w:tcW w:w="780" w:type="pct"/>
            <w:tcBorders>
              <w:top w:val="single" w:sz="4" w:space="0" w:color="auto"/>
              <w:left w:val="single" w:sz="4" w:space="0" w:color="auto"/>
              <w:bottom w:val="dotted" w:sz="4" w:space="0" w:color="auto"/>
              <w:right w:val="single" w:sz="4" w:space="0" w:color="auto"/>
            </w:tcBorders>
            <w:shd w:val="clear" w:color="auto" w:fill="auto"/>
          </w:tcPr>
          <w:p w:rsidR="006C4EC2" w:rsidRPr="00124932" w:rsidRDefault="006C4EC2" w:rsidP="006C4EC2">
            <w:pPr>
              <w:jc w:val="both"/>
              <w:rPr>
                <w:rFonts w:ascii="Arial" w:hAnsi="Arial" w:cs="Arial"/>
                <w:sz w:val="20"/>
                <w:szCs w:val="20"/>
              </w:rPr>
            </w:pPr>
            <w:r w:rsidRPr="00124932">
              <w:rPr>
                <w:rFonts w:ascii="Arial" w:hAnsi="Arial" w:cs="Arial"/>
                <w:sz w:val="20"/>
                <w:szCs w:val="20"/>
              </w:rPr>
              <w:t>76 (64 to 92)</w:t>
            </w:r>
          </w:p>
        </w:tc>
        <w:tc>
          <w:tcPr>
            <w:tcW w:w="704" w:type="pct"/>
            <w:tcBorders>
              <w:top w:val="single" w:sz="4" w:space="0" w:color="auto"/>
              <w:left w:val="single" w:sz="4" w:space="0" w:color="auto"/>
              <w:bottom w:val="dotted" w:sz="4" w:space="0" w:color="auto"/>
              <w:right w:val="single" w:sz="4" w:space="0" w:color="auto"/>
            </w:tcBorders>
            <w:shd w:val="clear" w:color="auto" w:fill="auto"/>
            <w:vAlign w:val="center"/>
          </w:tcPr>
          <w:p w:rsidR="006C4EC2" w:rsidRPr="00124932" w:rsidRDefault="006C4EC2" w:rsidP="006C4EC2">
            <w:pPr>
              <w:jc w:val="both"/>
              <w:rPr>
                <w:rFonts w:ascii="Arial" w:hAnsi="Arial" w:cs="Arial"/>
                <w:sz w:val="20"/>
                <w:szCs w:val="20"/>
              </w:rPr>
            </w:pPr>
            <w:r w:rsidRPr="00124932">
              <w:rPr>
                <w:rFonts w:ascii="Arial" w:hAnsi="Arial" w:cs="Arial"/>
                <w:sz w:val="20"/>
                <w:szCs w:val="20"/>
              </w:rPr>
              <w:t>41</w:t>
            </w:r>
          </w:p>
        </w:tc>
        <w:tc>
          <w:tcPr>
            <w:tcW w:w="784" w:type="pct"/>
            <w:tcBorders>
              <w:top w:val="single" w:sz="4" w:space="0" w:color="auto"/>
              <w:left w:val="single" w:sz="4" w:space="0" w:color="auto"/>
              <w:bottom w:val="dotted" w:sz="4" w:space="0" w:color="auto"/>
              <w:right w:val="single" w:sz="4" w:space="0" w:color="auto"/>
            </w:tcBorders>
            <w:shd w:val="clear" w:color="auto" w:fill="auto"/>
            <w:vAlign w:val="center"/>
          </w:tcPr>
          <w:p w:rsidR="006C4EC2" w:rsidRPr="00124932" w:rsidRDefault="006C4EC2" w:rsidP="006C4EC2">
            <w:pPr>
              <w:jc w:val="both"/>
              <w:rPr>
                <w:rFonts w:ascii="Arial" w:hAnsi="Arial" w:cs="Arial"/>
                <w:sz w:val="20"/>
                <w:szCs w:val="20"/>
              </w:rPr>
            </w:pPr>
            <w:r w:rsidRPr="00124932">
              <w:rPr>
                <w:rFonts w:ascii="Arial" w:hAnsi="Arial" w:cs="Arial"/>
                <w:sz w:val="20"/>
                <w:szCs w:val="20"/>
              </w:rPr>
              <w:t>35 (23 to 51)</w:t>
            </w:r>
          </w:p>
        </w:tc>
      </w:tr>
      <w:tr w:rsidR="006C4EC2" w:rsidRPr="00124932" w:rsidTr="00F047AD">
        <w:trPr>
          <w:trHeight w:val="190"/>
        </w:trPr>
        <w:tc>
          <w:tcPr>
            <w:tcW w:w="932" w:type="pct"/>
            <w:vMerge/>
            <w:tcBorders>
              <w:left w:val="single" w:sz="4" w:space="0" w:color="auto"/>
              <w:bottom w:val="single" w:sz="4" w:space="0" w:color="auto"/>
              <w:right w:val="single" w:sz="4" w:space="0" w:color="auto"/>
            </w:tcBorders>
            <w:shd w:val="clear" w:color="auto" w:fill="auto"/>
          </w:tcPr>
          <w:p w:rsidR="006C4EC2" w:rsidRPr="00124932" w:rsidRDefault="006C4EC2" w:rsidP="006C4EC2">
            <w:pPr>
              <w:jc w:val="both"/>
              <w:rPr>
                <w:rFonts w:ascii="Arial" w:hAnsi="Arial" w:cs="Arial"/>
                <w:sz w:val="20"/>
                <w:szCs w:val="20"/>
              </w:rPr>
            </w:pPr>
          </w:p>
        </w:tc>
        <w:tc>
          <w:tcPr>
            <w:tcW w:w="339" w:type="pct"/>
            <w:tcBorders>
              <w:top w:val="dotted" w:sz="4" w:space="0" w:color="auto"/>
              <w:left w:val="single" w:sz="4" w:space="0" w:color="auto"/>
              <w:bottom w:val="single" w:sz="4" w:space="0" w:color="auto"/>
              <w:right w:val="single" w:sz="4" w:space="0" w:color="auto"/>
            </w:tcBorders>
            <w:shd w:val="clear" w:color="auto" w:fill="auto"/>
            <w:vAlign w:val="center"/>
          </w:tcPr>
          <w:p w:rsidR="006C4EC2" w:rsidRPr="00124932" w:rsidRDefault="006C4EC2" w:rsidP="006C4EC2">
            <w:pPr>
              <w:jc w:val="both"/>
              <w:rPr>
                <w:rFonts w:ascii="Arial" w:hAnsi="Arial" w:cs="Arial"/>
                <w:sz w:val="20"/>
                <w:szCs w:val="20"/>
              </w:rPr>
            </w:pPr>
            <w:r w:rsidRPr="00124932">
              <w:rPr>
                <w:rFonts w:ascii="Arial" w:hAnsi="Arial" w:cs="Arial"/>
                <w:sz w:val="20"/>
                <w:szCs w:val="20"/>
              </w:rPr>
              <w:t>120</w:t>
            </w:r>
          </w:p>
        </w:tc>
        <w:tc>
          <w:tcPr>
            <w:tcW w:w="450" w:type="pct"/>
            <w:tcBorders>
              <w:top w:val="dotted" w:sz="4" w:space="0" w:color="auto"/>
              <w:left w:val="single" w:sz="4" w:space="0" w:color="auto"/>
              <w:bottom w:val="single" w:sz="4" w:space="0" w:color="auto"/>
              <w:right w:val="single" w:sz="4" w:space="0" w:color="auto"/>
            </w:tcBorders>
            <w:shd w:val="clear" w:color="auto" w:fill="auto"/>
          </w:tcPr>
          <w:p w:rsidR="006C4EC2" w:rsidRPr="00124932" w:rsidRDefault="006C4EC2" w:rsidP="006C4EC2">
            <w:pPr>
              <w:jc w:val="both"/>
              <w:rPr>
                <w:rFonts w:ascii="Arial" w:hAnsi="Arial" w:cs="Arial"/>
                <w:sz w:val="20"/>
                <w:szCs w:val="20"/>
              </w:rPr>
            </w:pPr>
            <w:r w:rsidRPr="00124932">
              <w:rPr>
                <w:rFonts w:ascii="Arial" w:hAnsi="Arial" w:cs="Arial"/>
                <w:sz w:val="20"/>
                <w:szCs w:val="20"/>
              </w:rPr>
              <w:t>396</w:t>
            </w:r>
          </w:p>
        </w:tc>
        <w:tc>
          <w:tcPr>
            <w:tcW w:w="1011" w:type="pct"/>
            <w:tcBorders>
              <w:top w:val="dotted" w:sz="4" w:space="0" w:color="auto"/>
              <w:left w:val="single" w:sz="4" w:space="0" w:color="auto"/>
              <w:bottom w:val="single" w:sz="4" w:space="0" w:color="auto"/>
              <w:right w:val="single" w:sz="4" w:space="0" w:color="auto"/>
            </w:tcBorders>
            <w:shd w:val="clear" w:color="auto" w:fill="auto"/>
          </w:tcPr>
          <w:p w:rsidR="006C4EC2" w:rsidRPr="00124932" w:rsidRDefault="006C4EC2" w:rsidP="006C4EC2">
            <w:pPr>
              <w:jc w:val="both"/>
              <w:rPr>
                <w:rFonts w:ascii="Arial" w:hAnsi="Arial" w:cs="Arial"/>
                <w:b/>
                <w:sz w:val="20"/>
                <w:szCs w:val="20"/>
              </w:rPr>
            </w:pPr>
            <w:r w:rsidRPr="00124932">
              <w:rPr>
                <w:rFonts w:ascii="Arial" w:hAnsi="Arial" w:cs="Arial"/>
                <w:b/>
                <w:sz w:val="20"/>
                <w:szCs w:val="20"/>
              </w:rPr>
              <w:t>2.12 (1.8, 2.54)</w:t>
            </w:r>
          </w:p>
        </w:tc>
        <w:tc>
          <w:tcPr>
            <w:tcW w:w="780" w:type="pct"/>
            <w:tcBorders>
              <w:top w:val="dotted" w:sz="4" w:space="0" w:color="auto"/>
              <w:left w:val="single" w:sz="4" w:space="0" w:color="auto"/>
              <w:bottom w:val="single" w:sz="4" w:space="0" w:color="auto"/>
              <w:right w:val="single" w:sz="4" w:space="0" w:color="auto"/>
            </w:tcBorders>
            <w:shd w:val="clear" w:color="auto" w:fill="auto"/>
          </w:tcPr>
          <w:p w:rsidR="006C4EC2" w:rsidRPr="00124932" w:rsidRDefault="006C4EC2" w:rsidP="006C4EC2">
            <w:pPr>
              <w:jc w:val="both"/>
              <w:rPr>
                <w:rFonts w:ascii="Arial" w:hAnsi="Arial" w:cs="Arial"/>
                <w:sz w:val="20"/>
                <w:szCs w:val="20"/>
              </w:rPr>
            </w:pPr>
            <w:r w:rsidRPr="00124932">
              <w:rPr>
                <w:rFonts w:ascii="Arial" w:hAnsi="Arial" w:cs="Arial"/>
                <w:sz w:val="20"/>
                <w:szCs w:val="20"/>
              </w:rPr>
              <w:t>87 (74 to 104)</w:t>
            </w:r>
          </w:p>
        </w:tc>
        <w:tc>
          <w:tcPr>
            <w:tcW w:w="704" w:type="pct"/>
            <w:tcBorders>
              <w:top w:val="dotted" w:sz="4" w:space="0" w:color="auto"/>
              <w:left w:val="single" w:sz="4" w:space="0" w:color="auto"/>
              <w:bottom w:val="single" w:sz="4" w:space="0" w:color="auto"/>
              <w:right w:val="single" w:sz="4" w:space="0" w:color="auto"/>
            </w:tcBorders>
            <w:shd w:val="clear" w:color="auto" w:fill="auto"/>
            <w:vAlign w:val="center"/>
          </w:tcPr>
          <w:p w:rsidR="006C4EC2" w:rsidRPr="00124932" w:rsidRDefault="006C4EC2" w:rsidP="006C4EC2">
            <w:pPr>
              <w:jc w:val="both"/>
              <w:rPr>
                <w:rFonts w:ascii="Arial" w:hAnsi="Arial" w:cs="Arial"/>
                <w:sz w:val="20"/>
                <w:szCs w:val="20"/>
              </w:rPr>
            </w:pPr>
            <w:r w:rsidRPr="00124932">
              <w:rPr>
                <w:rFonts w:ascii="Arial" w:hAnsi="Arial" w:cs="Arial"/>
                <w:sz w:val="20"/>
                <w:szCs w:val="20"/>
              </w:rPr>
              <w:t>41</w:t>
            </w:r>
          </w:p>
        </w:tc>
        <w:tc>
          <w:tcPr>
            <w:tcW w:w="784" w:type="pct"/>
            <w:tcBorders>
              <w:top w:val="dotted" w:sz="4" w:space="0" w:color="auto"/>
              <w:left w:val="single" w:sz="4" w:space="0" w:color="auto"/>
              <w:bottom w:val="single" w:sz="4" w:space="0" w:color="auto"/>
              <w:right w:val="single" w:sz="4" w:space="0" w:color="auto"/>
            </w:tcBorders>
            <w:shd w:val="clear" w:color="auto" w:fill="auto"/>
            <w:vAlign w:val="center"/>
          </w:tcPr>
          <w:p w:rsidR="006C4EC2" w:rsidRPr="00124932" w:rsidRDefault="006C4EC2" w:rsidP="006C4EC2">
            <w:pPr>
              <w:jc w:val="both"/>
              <w:rPr>
                <w:rFonts w:ascii="Arial" w:hAnsi="Arial" w:cs="Arial"/>
                <w:sz w:val="20"/>
                <w:szCs w:val="20"/>
              </w:rPr>
            </w:pPr>
            <w:r w:rsidRPr="00124932">
              <w:rPr>
                <w:rFonts w:ascii="Arial" w:hAnsi="Arial" w:cs="Arial"/>
                <w:sz w:val="20"/>
                <w:szCs w:val="20"/>
              </w:rPr>
              <w:t>46 (33 to 63)</w:t>
            </w:r>
          </w:p>
        </w:tc>
      </w:tr>
      <w:tr w:rsidR="006C4EC2" w:rsidRPr="00124932" w:rsidTr="00F047AD">
        <w:trPr>
          <w:trHeight w:val="231"/>
        </w:trPr>
        <w:tc>
          <w:tcPr>
            <w:tcW w:w="932" w:type="pct"/>
            <w:vMerge w:val="restart"/>
            <w:tcBorders>
              <w:top w:val="single" w:sz="4" w:space="0" w:color="auto"/>
              <w:left w:val="single" w:sz="4" w:space="0" w:color="auto"/>
              <w:right w:val="single" w:sz="4" w:space="0" w:color="auto"/>
            </w:tcBorders>
            <w:shd w:val="clear" w:color="auto" w:fill="auto"/>
          </w:tcPr>
          <w:p w:rsidR="006C4EC2" w:rsidRPr="00124932" w:rsidRDefault="006C4EC2" w:rsidP="006C4EC2">
            <w:pPr>
              <w:jc w:val="both"/>
              <w:rPr>
                <w:rFonts w:ascii="Arial" w:hAnsi="Arial" w:cs="Arial"/>
                <w:sz w:val="20"/>
                <w:szCs w:val="20"/>
              </w:rPr>
            </w:pPr>
            <w:r w:rsidRPr="00124932">
              <w:rPr>
                <w:rFonts w:ascii="Arial" w:hAnsi="Arial" w:cs="Arial"/>
                <w:sz w:val="20"/>
                <w:szCs w:val="20"/>
              </w:rPr>
              <w:t>Week 52</w:t>
            </w:r>
          </w:p>
          <w:p w:rsidR="006C4EC2" w:rsidRPr="00124932" w:rsidRDefault="006C4EC2" w:rsidP="006C4EC2">
            <w:pPr>
              <w:jc w:val="both"/>
              <w:rPr>
                <w:rFonts w:ascii="Arial" w:hAnsi="Arial" w:cs="Arial"/>
                <w:color w:val="595959"/>
                <w:sz w:val="20"/>
                <w:szCs w:val="20"/>
              </w:rPr>
            </w:pPr>
            <w:r w:rsidRPr="00124932">
              <w:rPr>
                <w:rFonts w:ascii="Arial" w:hAnsi="Arial" w:cs="Arial"/>
                <w:color w:val="595959"/>
                <w:sz w:val="20"/>
                <w:szCs w:val="20"/>
              </w:rPr>
              <w:t>FACT</w:t>
            </w:r>
          </w:p>
        </w:tc>
        <w:tc>
          <w:tcPr>
            <w:tcW w:w="339" w:type="pct"/>
            <w:tcBorders>
              <w:top w:val="single" w:sz="4" w:space="0" w:color="auto"/>
              <w:left w:val="single" w:sz="4" w:space="0" w:color="auto"/>
              <w:bottom w:val="dotted" w:sz="4" w:space="0" w:color="auto"/>
              <w:right w:val="single" w:sz="4" w:space="0" w:color="auto"/>
            </w:tcBorders>
            <w:shd w:val="clear" w:color="auto" w:fill="auto"/>
            <w:vAlign w:val="center"/>
          </w:tcPr>
          <w:p w:rsidR="006C4EC2" w:rsidRPr="00124932" w:rsidRDefault="006C4EC2" w:rsidP="006C4EC2">
            <w:pPr>
              <w:jc w:val="both"/>
              <w:rPr>
                <w:rFonts w:ascii="Arial" w:hAnsi="Arial" w:cs="Arial"/>
                <w:sz w:val="20"/>
                <w:szCs w:val="20"/>
              </w:rPr>
            </w:pPr>
            <w:r w:rsidRPr="00124932">
              <w:rPr>
                <w:rFonts w:ascii="Arial" w:hAnsi="Arial" w:cs="Arial"/>
                <w:sz w:val="20"/>
                <w:szCs w:val="20"/>
              </w:rPr>
              <w:t>80</w:t>
            </w:r>
          </w:p>
        </w:tc>
        <w:tc>
          <w:tcPr>
            <w:tcW w:w="450" w:type="pct"/>
            <w:tcBorders>
              <w:top w:val="single" w:sz="4" w:space="0" w:color="auto"/>
              <w:left w:val="single" w:sz="4" w:space="0" w:color="auto"/>
              <w:bottom w:val="dotted" w:sz="4" w:space="0" w:color="auto"/>
              <w:right w:val="single" w:sz="4" w:space="0" w:color="auto"/>
            </w:tcBorders>
            <w:shd w:val="clear" w:color="auto" w:fill="auto"/>
          </w:tcPr>
          <w:p w:rsidR="006C4EC2" w:rsidRPr="00124932" w:rsidRDefault="006C4EC2" w:rsidP="006C4EC2">
            <w:pPr>
              <w:jc w:val="both"/>
              <w:rPr>
                <w:rFonts w:ascii="Arial" w:hAnsi="Arial" w:cs="Arial"/>
                <w:sz w:val="20"/>
                <w:szCs w:val="20"/>
              </w:rPr>
            </w:pPr>
            <w:r w:rsidRPr="00124932">
              <w:rPr>
                <w:rFonts w:ascii="Arial" w:hAnsi="Arial" w:cs="Arial"/>
                <w:sz w:val="20"/>
                <w:szCs w:val="20"/>
              </w:rPr>
              <w:t>337</w:t>
            </w:r>
          </w:p>
        </w:tc>
        <w:tc>
          <w:tcPr>
            <w:tcW w:w="1011" w:type="pct"/>
            <w:tcBorders>
              <w:top w:val="single" w:sz="4" w:space="0" w:color="auto"/>
              <w:left w:val="single" w:sz="4" w:space="0" w:color="auto"/>
              <w:bottom w:val="dotted" w:sz="4" w:space="0" w:color="auto"/>
              <w:right w:val="single" w:sz="4" w:space="0" w:color="auto"/>
            </w:tcBorders>
            <w:shd w:val="clear" w:color="auto" w:fill="auto"/>
          </w:tcPr>
          <w:p w:rsidR="006C4EC2" w:rsidRPr="00124932" w:rsidRDefault="006C4EC2" w:rsidP="007A750C">
            <w:pPr>
              <w:rPr>
                <w:rFonts w:ascii="Arial" w:hAnsi="Arial" w:cs="Arial"/>
                <w:b/>
                <w:sz w:val="20"/>
                <w:szCs w:val="20"/>
              </w:rPr>
            </w:pPr>
            <w:r w:rsidRPr="00124932">
              <w:rPr>
                <w:rFonts w:ascii="Arial" w:hAnsi="Arial" w:cs="Arial"/>
                <w:b/>
                <w:sz w:val="20"/>
                <w:szCs w:val="20"/>
              </w:rPr>
              <w:t>2.06 (1.69, 2.51)</w:t>
            </w:r>
          </w:p>
        </w:tc>
        <w:tc>
          <w:tcPr>
            <w:tcW w:w="780" w:type="pct"/>
            <w:tcBorders>
              <w:top w:val="single" w:sz="4" w:space="0" w:color="auto"/>
              <w:left w:val="single" w:sz="4" w:space="0" w:color="auto"/>
              <w:bottom w:val="dotted" w:sz="4" w:space="0" w:color="auto"/>
              <w:right w:val="single" w:sz="4" w:space="0" w:color="auto"/>
            </w:tcBorders>
            <w:shd w:val="clear" w:color="auto" w:fill="auto"/>
          </w:tcPr>
          <w:p w:rsidR="006C4EC2" w:rsidRPr="00124932" w:rsidRDefault="006C4EC2" w:rsidP="006C4EC2">
            <w:pPr>
              <w:jc w:val="both"/>
              <w:rPr>
                <w:rFonts w:ascii="Arial" w:hAnsi="Arial" w:cs="Arial"/>
                <w:sz w:val="20"/>
                <w:szCs w:val="20"/>
              </w:rPr>
            </w:pPr>
            <w:r w:rsidRPr="00124932">
              <w:rPr>
                <w:rFonts w:ascii="Arial" w:hAnsi="Arial" w:cs="Arial"/>
                <w:sz w:val="20"/>
                <w:szCs w:val="20"/>
              </w:rPr>
              <w:t>81 (67 to 98)</w:t>
            </w:r>
          </w:p>
        </w:tc>
        <w:tc>
          <w:tcPr>
            <w:tcW w:w="704" w:type="pct"/>
            <w:tcBorders>
              <w:top w:val="single" w:sz="4" w:space="0" w:color="auto"/>
              <w:left w:val="single" w:sz="4" w:space="0" w:color="auto"/>
              <w:bottom w:val="dotted" w:sz="4" w:space="0" w:color="auto"/>
              <w:right w:val="single" w:sz="4" w:space="0" w:color="auto"/>
            </w:tcBorders>
            <w:shd w:val="clear" w:color="auto" w:fill="auto"/>
            <w:vAlign w:val="center"/>
          </w:tcPr>
          <w:p w:rsidR="006C4EC2" w:rsidRPr="00124932" w:rsidRDefault="006C4EC2" w:rsidP="006C4EC2">
            <w:pPr>
              <w:jc w:val="both"/>
              <w:rPr>
                <w:rFonts w:ascii="Arial" w:hAnsi="Arial" w:cs="Arial"/>
                <w:sz w:val="20"/>
                <w:szCs w:val="20"/>
              </w:rPr>
            </w:pPr>
            <w:r w:rsidRPr="00124932">
              <w:rPr>
                <w:rFonts w:ascii="Arial" w:hAnsi="Arial" w:cs="Arial"/>
                <w:sz w:val="20"/>
                <w:szCs w:val="20"/>
              </w:rPr>
              <w:t>39</w:t>
            </w:r>
          </w:p>
        </w:tc>
        <w:tc>
          <w:tcPr>
            <w:tcW w:w="784" w:type="pct"/>
            <w:tcBorders>
              <w:top w:val="single" w:sz="4" w:space="0" w:color="auto"/>
              <w:left w:val="single" w:sz="4" w:space="0" w:color="auto"/>
              <w:bottom w:val="dotted" w:sz="4" w:space="0" w:color="auto"/>
              <w:right w:val="single" w:sz="4" w:space="0" w:color="auto"/>
            </w:tcBorders>
            <w:shd w:val="clear" w:color="auto" w:fill="auto"/>
            <w:vAlign w:val="center"/>
          </w:tcPr>
          <w:p w:rsidR="006C4EC2" w:rsidRPr="00124932" w:rsidRDefault="006C4EC2" w:rsidP="006C4EC2">
            <w:pPr>
              <w:jc w:val="both"/>
              <w:rPr>
                <w:rFonts w:ascii="Arial" w:hAnsi="Arial" w:cs="Arial"/>
                <w:sz w:val="20"/>
                <w:szCs w:val="20"/>
              </w:rPr>
            </w:pPr>
            <w:r w:rsidRPr="00124932">
              <w:rPr>
                <w:rFonts w:ascii="Arial" w:hAnsi="Arial" w:cs="Arial"/>
                <w:sz w:val="20"/>
                <w:szCs w:val="20"/>
              </w:rPr>
              <w:t>42 (28 to 59)</w:t>
            </w:r>
          </w:p>
        </w:tc>
      </w:tr>
      <w:tr w:rsidR="006C4EC2" w:rsidRPr="00124932" w:rsidTr="00F047AD">
        <w:trPr>
          <w:trHeight w:val="177"/>
        </w:trPr>
        <w:tc>
          <w:tcPr>
            <w:tcW w:w="932" w:type="pct"/>
            <w:vMerge/>
            <w:tcBorders>
              <w:left w:val="single" w:sz="4" w:space="0" w:color="auto"/>
              <w:bottom w:val="single" w:sz="4" w:space="0" w:color="auto"/>
              <w:right w:val="single" w:sz="4" w:space="0" w:color="auto"/>
            </w:tcBorders>
            <w:shd w:val="clear" w:color="auto" w:fill="auto"/>
          </w:tcPr>
          <w:p w:rsidR="006C4EC2" w:rsidRPr="00124932" w:rsidRDefault="006C4EC2" w:rsidP="006C4EC2">
            <w:pPr>
              <w:jc w:val="both"/>
              <w:rPr>
                <w:rFonts w:ascii="Arial" w:hAnsi="Arial" w:cs="Arial"/>
                <w:sz w:val="20"/>
                <w:szCs w:val="20"/>
              </w:rPr>
            </w:pPr>
          </w:p>
        </w:tc>
        <w:tc>
          <w:tcPr>
            <w:tcW w:w="339" w:type="pct"/>
            <w:tcBorders>
              <w:top w:val="dotted" w:sz="4" w:space="0" w:color="auto"/>
              <w:left w:val="single" w:sz="4" w:space="0" w:color="auto"/>
              <w:bottom w:val="single" w:sz="4" w:space="0" w:color="auto"/>
              <w:right w:val="single" w:sz="4" w:space="0" w:color="auto"/>
            </w:tcBorders>
            <w:shd w:val="clear" w:color="auto" w:fill="auto"/>
            <w:vAlign w:val="center"/>
          </w:tcPr>
          <w:p w:rsidR="006C4EC2" w:rsidRPr="00124932" w:rsidRDefault="006C4EC2" w:rsidP="006C4EC2">
            <w:pPr>
              <w:jc w:val="both"/>
              <w:rPr>
                <w:rFonts w:ascii="Arial" w:hAnsi="Arial" w:cs="Arial"/>
                <w:sz w:val="20"/>
                <w:szCs w:val="20"/>
              </w:rPr>
            </w:pPr>
            <w:r w:rsidRPr="00124932">
              <w:rPr>
                <w:rFonts w:ascii="Arial" w:hAnsi="Arial" w:cs="Arial"/>
                <w:sz w:val="20"/>
                <w:szCs w:val="20"/>
              </w:rPr>
              <w:t>120</w:t>
            </w:r>
          </w:p>
        </w:tc>
        <w:tc>
          <w:tcPr>
            <w:tcW w:w="450" w:type="pct"/>
            <w:tcBorders>
              <w:top w:val="dotted" w:sz="4" w:space="0" w:color="auto"/>
              <w:left w:val="single" w:sz="4" w:space="0" w:color="auto"/>
              <w:bottom w:val="single" w:sz="4" w:space="0" w:color="auto"/>
              <w:right w:val="single" w:sz="4" w:space="0" w:color="auto"/>
            </w:tcBorders>
            <w:shd w:val="clear" w:color="auto" w:fill="auto"/>
          </w:tcPr>
          <w:p w:rsidR="006C4EC2" w:rsidRPr="00124932" w:rsidRDefault="006C4EC2" w:rsidP="006C4EC2">
            <w:pPr>
              <w:jc w:val="both"/>
              <w:rPr>
                <w:rFonts w:ascii="Arial" w:hAnsi="Arial" w:cs="Arial"/>
                <w:sz w:val="20"/>
                <w:szCs w:val="20"/>
              </w:rPr>
            </w:pPr>
            <w:r w:rsidRPr="00124932">
              <w:rPr>
                <w:rFonts w:ascii="Arial" w:hAnsi="Arial" w:cs="Arial"/>
                <w:sz w:val="20"/>
                <w:szCs w:val="20"/>
              </w:rPr>
              <w:t>323</w:t>
            </w:r>
          </w:p>
        </w:tc>
        <w:tc>
          <w:tcPr>
            <w:tcW w:w="1011" w:type="pct"/>
            <w:tcBorders>
              <w:top w:val="dotted" w:sz="4" w:space="0" w:color="auto"/>
              <w:left w:val="single" w:sz="4" w:space="0" w:color="auto"/>
              <w:bottom w:val="single" w:sz="4" w:space="0" w:color="auto"/>
              <w:right w:val="single" w:sz="4" w:space="0" w:color="auto"/>
            </w:tcBorders>
            <w:shd w:val="clear" w:color="auto" w:fill="auto"/>
          </w:tcPr>
          <w:p w:rsidR="006C4EC2" w:rsidRPr="00124932" w:rsidRDefault="006C4EC2" w:rsidP="007A750C">
            <w:pPr>
              <w:rPr>
                <w:rFonts w:ascii="Arial" w:hAnsi="Arial" w:cs="Arial"/>
                <w:b/>
                <w:sz w:val="20"/>
                <w:szCs w:val="20"/>
              </w:rPr>
            </w:pPr>
            <w:r w:rsidRPr="00124932">
              <w:rPr>
                <w:rFonts w:ascii="Arial" w:hAnsi="Arial" w:cs="Arial"/>
                <w:b/>
                <w:sz w:val="20"/>
                <w:szCs w:val="20"/>
              </w:rPr>
              <w:t>2.09 (1.71, 2.54)</w:t>
            </w:r>
          </w:p>
        </w:tc>
        <w:tc>
          <w:tcPr>
            <w:tcW w:w="780" w:type="pct"/>
            <w:tcBorders>
              <w:top w:val="dotted" w:sz="4" w:space="0" w:color="auto"/>
              <w:left w:val="single" w:sz="4" w:space="0" w:color="auto"/>
              <w:bottom w:val="single" w:sz="4" w:space="0" w:color="auto"/>
              <w:right w:val="single" w:sz="4" w:space="0" w:color="auto"/>
            </w:tcBorders>
            <w:shd w:val="clear" w:color="auto" w:fill="auto"/>
          </w:tcPr>
          <w:p w:rsidR="006C4EC2" w:rsidRPr="00124932" w:rsidRDefault="006C4EC2" w:rsidP="006C4EC2">
            <w:pPr>
              <w:jc w:val="both"/>
              <w:rPr>
                <w:rFonts w:ascii="Arial" w:hAnsi="Arial" w:cs="Arial"/>
                <w:sz w:val="20"/>
                <w:szCs w:val="20"/>
              </w:rPr>
            </w:pPr>
            <w:r w:rsidRPr="00124932">
              <w:rPr>
                <w:rFonts w:ascii="Arial" w:hAnsi="Arial" w:cs="Arial"/>
                <w:sz w:val="20"/>
                <w:szCs w:val="20"/>
              </w:rPr>
              <w:t>82 (67 to 99)</w:t>
            </w:r>
          </w:p>
        </w:tc>
        <w:tc>
          <w:tcPr>
            <w:tcW w:w="704" w:type="pct"/>
            <w:tcBorders>
              <w:top w:val="dotted" w:sz="4" w:space="0" w:color="auto"/>
              <w:left w:val="single" w:sz="4" w:space="0" w:color="auto"/>
              <w:bottom w:val="single" w:sz="4" w:space="0" w:color="auto"/>
              <w:right w:val="single" w:sz="4" w:space="0" w:color="auto"/>
            </w:tcBorders>
            <w:shd w:val="clear" w:color="auto" w:fill="auto"/>
            <w:vAlign w:val="center"/>
          </w:tcPr>
          <w:p w:rsidR="006C4EC2" w:rsidRPr="00124932" w:rsidRDefault="006C4EC2" w:rsidP="006C4EC2">
            <w:pPr>
              <w:jc w:val="both"/>
              <w:rPr>
                <w:rFonts w:ascii="Arial" w:hAnsi="Arial" w:cs="Arial"/>
                <w:sz w:val="20"/>
                <w:szCs w:val="20"/>
              </w:rPr>
            </w:pPr>
            <w:r w:rsidRPr="00124932">
              <w:rPr>
                <w:rFonts w:ascii="Arial" w:hAnsi="Arial" w:cs="Arial"/>
                <w:sz w:val="20"/>
                <w:szCs w:val="20"/>
              </w:rPr>
              <w:t>39</w:t>
            </w:r>
          </w:p>
        </w:tc>
        <w:tc>
          <w:tcPr>
            <w:tcW w:w="784" w:type="pct"/>
            <w:tcBorders>
              <w:top w:val="dotted" w:sz="4" w:space="0" w:color="auto"/>
              <w:left w:val="single" w:sz="4" w:space="0" w:color="auto"/>
              <w:bottom w:val="single" w:sz="4" w:space="0" w:color="auto"/>
              <w:right w:val="single" w:sz="4" w:space="0" w:color="auto"/>
            </w:tcBorders>
            <w:shd w:val="clear" w:color="auto" w:fill="auto"/>
            <w:vAlign w:val="center"/>
          </w:tcPr>
          <w:p w:rsidR="006C4EC2" w:rsidRPr="00124932" w:rsidRDefault="006C4EC2" w:rsidP="006C4EC2">
            <w:pPr>
              <w:jc w:val="both"/>
              <w:rPr>
                <w:rFonts w:ascii="Arial" w:hAnsi="Arial" w:cs="Arial"/>
                <w:sz w:val="20"/>
                <w:szCs w:val="20"/>
              </w:rPr>
            </w:pPr>
            <w:r w:rsidRPr="00124932">
              <w:rPr>
                <w:rFonts w:ascii="Arial" w:hAnsi="Arial" w:cs="Arial"/>
                <w:sz w:val="20"/>
                <w:szCs w:val="20"/>
              </w:rPr>
              <w:t>43 (28 to 60)</w:t>
            </w:r>
          </w:p>
        </w:tc>
      </w:tr>
      <w:tr w:rsidR="006C4EC2" w:rsidRPr="00124932" w:rsidTr="00F047AD">
        <w:trPr>
          <w:trHeight w:val="218"/>
        </w:trPr>
        <w:tc>
          <w:tcPr>
            <w:tcW w:w="932" w:type="pct"/>
            <w:vMerge w:val="restart"/>
            <w:tcBorders>
              <w:top w:val="single" w:sz="4" w:space="0" w:color="auto"/>
              <w:left w:val="single" w:sz="4" w:space="0" w:color="auto"/>
              <w:right w:val="single" w:sz="4" w:space="0" w:color="auto"/>
            </w:tcBorders>
            <w:shd w:val="clear" w:color="auto" w:fill="auto"/>
            <w:vAlign w:val="center"/>
          </w:tcPr>
          <w:p w:rsidR="006C4EC2" w:rsidRPr="00124932" w:rsidRDefault="006C4EC2" w:rsidP="006C4EC2">
            <w:pPr>
              <w:jc w:val="both"/>
              <w:rPr>
                <w:rFonts w:ascii="Arial" w:hAnsi="Arial" w:cs="Arial"/>
                <w:sz w:val="20"/>
                <w:szCs w:val="20"/>
              </w:rPr>
            </w:pPr>
            <w:r w:rsidRPr="00124932">
              <w:rPr>
                <w:rFonts w:ascii="Arial" w:hAnsi="Arial" w:cs="Arial"/>
                <w:sz w:val="20"/>
                <w:szCs w:val="20"/>
              </w:rPr>
              <w:t>36 months</w:t>
            </w:r>
          </w:p>
          <w:p w:rsidR="006C4EC2" w:rsidRPr="00124932" w:rsidRDefault="006C4EC2" w:rsidP="006C4EC2">
            <w:pPr>
              <w:jc w:val="both"/>
              <w:rPr>
                <w:rFonts w:ascii="Arial" w:hAnsi="Arial" w:cs="Arial"/>
                <w:sz w:val="20"/>
                <w:szCs w:val="20"/>
              </w:rPr>
            </w:pPr>
            <w:r w:rsidRPr="00124932">
              <w:rPr>
                <w:rFonts w:ascii="Arial" w:hAnsi="Arial" w:cs="Arial"/>
                <w:color w:val="595959"/>
                <w:sz w:val="20"/>
                <w:szCs w:val="20"/>
              </w:rPr>
              <w:t xml:space="preserve">EXCEL </w:t>
            </w:r>
          </w:p>
        </w:tc>
        <w:tc>
          <w:tcPr>
            <w:tcW w:w="339" w:type="pct"/>
            <w:vMerge w:val="restart"/>
            <w:tcBorders>
              <w:top w:val="single" w:sz="4" w:space="0" w:color="auto"/>
              <w:left w:val="single" w:sz="4" w:space="0" w:color="auto"/>
              <w:right w:val="single" w:sz="4" w:space="0" w:color="auto"/>
            </w:tcBorders>
            <w:shd w:val="clear" w:color="auto" w:fill="auto"/>
            <w:vAlign w:val="center"/>
          </w:tcPr>
          <w:p w:rsidR="006C4EC2" w:rsidRPr="00124932" w:rsidRDefault="006C4EC2" w:rsidP="006C4EC2">
            <w:pPr>
              <w:jc w:val="both"/>
              <w:rPr>
                <w:rFonts w:ascii="Arial" w:hAnsi="Arial" w:cs="Arial"/>
                <w:sz w:val="20"/>
                <w:szCs w:val="20"/>
              </w:rPr>
            </w:pPr>
            <w:r w:rsidRPr="00124932">
              <w:rPr>
                <w:rFonts w:ascii="Arial" w:hAnsi="Arial" w:cs="Arial"/>
                <w:sz w:val="20"/>
                <w:szCs w:val="20"/>
              </w:rPr>
              <w:t>80</w:t>
            </w:r>
          </w:p>
          <w:p w:rsidR="006C4EC2" w:rsidRPr="00124932" w:rsidRDefault="006C4EC2" w:rsidP="006C4EC2">
            <w:pPr>
              <w:jc w:val="both"/>
              <w:rPr>
                <w:rFonts w:ascii="Arial" w:hAnsi="Arial" w:cs="Arial"/>
                <w:sz w:val="20"/>
                <w:szCs w:val="20"/>
              </w:rPr>
            </w:pPr>
            <w:r w:rsidRPr="00124932">
              <w:rPr>
                <w:rFonts w:ascii="Arial" w:hAnsi="Arial" w:cs="Arial"/>
                <w:sz w:val="20"/>
                <w:szCs w:val="20"/>
              </w:rPr>
              <w:t>120</w:t>
            </w:r>
          </w:p>
        </w:tc>
        <w:tc>
          <w:tcPr>
            <w:tcW w:w="450" w:type="pct"/>
            <w:tcBorders>
              <w:top w:val="single" w:sz="4" w:space="0" w:color="auto"/>
              <w:left w:val="single" w:sz="4" w:space="0" w:color="auto"/>
              <w:bottom w:val="dotted" w:sz="4" w:space="0" w:color="auto"/>
              <w:right w:val="single" w:sz="4" w:space="0" w:color="auto"/>
            </w:tcBorders>
            <w:shd w:val="clear" w:color="auto" w:fill="auto"/>
            <w:vAlign w:val="center"/>
          </w:tcPr>
          <w:p w:rsidR="006C4EC2" w:rsidRPr="00124932" w:rsidRDefault="006C4EC2" w:rsidP="006C4EC2">
            <w:pPr>
              <w:jc w:val="both"/>
              <w:rPr>
                <w:rFonts w:ascii="Arial" w:hAnsi="Arial" w:cs="Arial"/>
                <w:sz w:val="20"/>
                <w:szCs w:val="20"/>
              </w:rPr>
            </w:pPr>
            <w:r w:rsidRPr="00124932">
              <w:rPr>
                <w:rFonts w:ascii="Arial" w:hAnsi="Arial" w:cs="Arial"/>
                <w:sz w:val="20"/>
                <w:szCs w:val="20"/>
              </w:rPr>
              <w:t>130</w:t>
            </w:r>
          </w:p>
        </w:tc>
        <w:tc>
          <w:tcPr>
            <w:tcW w:w="1011" w:type="pct"/>
            <w:tcBorders>
              <w:top w:val="single" w:sz="4" w:space="0" w:color="auto"/>
              <w:left w:val="single" w:sz="4" w:space="0" w:color="auto"/>
              <w:bottom w:val="dotted" w:sz="4" w:space="0" w:color="auto"/>
              <w:right w:val="single" w:sz="4" w:space="0" w:color="auto"/>
            </w:tcBorders>
            <w:shd w:val="clear" w:color="auto" w:fill="auto"/>
          </w:tcPr>
          <w:p w:rsidR="006C4EC2" w:rsidRPr="00124932" w:rsidRDefault="006C4EC2" w:rsidP="007A750C">
            <w:pPr>
              <w:rPr>
                <w:rFonts w:ascii="Arial" w:hAnsi="Arial" w:cs="Arial"/>
                <w:sz w:val="20"/>
                <w:szCs w:val="20"/>
              </w:rPr>
            </w:pPr>
            <w:r w:rsidRPr="00124932">
              <w:rPr>
                <w:rFonts w:ascii="Arial" w:hAnsi="Arial" w:cs="Arial"/>
                <w:sz w:val="20"/>
                <w:szCs w:val="20"/>
              </w:rPr>
              <w:t>1.01 (0.81, 1.25)</w:t>
            </w:r>
          </w:p>
        </w:tc>
        <w:tc>
          <w:tcPr>
            <w:tcW w:w="780" w:type="pct"/>
            <w:tcBorders>
              <w:top w:val="single" w:sz="4" w:space="0" w:color="auto"/>
              <w:left w:val="single" w:sz="4" w:space="0" w:color="auto"/>
              <w:bottom w:val="dotted" w:sz="4" w:space="0" w:color="auto"/>
              <w:right w:val="single" w:sz="4" w:space="0" w:color="auto"/>
            </w:tcBorders>
            <w:shd w:val="clear" w:color="auto" w:fill="auto"/>
            <w:vAlign w:val="center"/>
          </w:tcPr>
          <w:p w:rsidR="006C4EC2" w:rsidRPr="00124932" w:rsidRDefault="006C4EC2" w:rsidP="006C4EC2">
            <w:pPr>
              <w:jc w:val="both"/>
              <w:rPr>
                <w:rFonts w:ascii="Arial" w:hAnsi="Arial" w:cs="Arial"/>
                <w:sz w:val="20"/>
                <w:szCs w:val="20"/>
              </w:rPr>
            </w:pPr>
            <w:r w:rsidRPr="00124932">
              <w:rPr>
                <w:rFonts w:ascii="Arial" w:hAnsi="Arial" w:cs="Arial"/>
                <w:sz w:val="20"/>
                <w:szCs w:val="20"/>
              </w:rPr>
              <w:t>91 (73 to 113)</w:t>
            </w:r>
          </w:p>
        </w:tc>
        <w:tc>
          <w:tcPr>
            <w:tcW w:w="704" w:type="pct"/>
            <w:tcBorders>
              <w:top w:val="single" w:sz="4" w:space="0" w:color="auto"/>
              <w:left w:val="single" w:sz="4" w:space="0" w:color="auto"/>
              <w:bottom w:val="dotted" w:sz="4" w:space="0" w:color="auto"/>
              <w:right w:val="single" w:sz="4" w:space="0" w:color="auto"/>
            </w:tcBorders>
            <w:shd w:val="clear" w:color="auto" w:fill="auto"/>
            <w:vAlign w:val="center"/>
          </w:tcPr>
          <w:p w:rsidR="006C4EC2" w:rsidRPr="00124932" w:rsidRDefault="006C4EC2" w:rsidP="006C4EC2">
            <w:pPr>
              <w:jc w:val="both"/>
              <w:rPr>
                <w:rFonts w:ascii="Arial" w:hAnsi="Arial" w:cs="Arial"/>
                <w:sz w:val="20"/>
                <w:szCs w:val="20"/>
              </w:rPr>
            </w:pPr>
            <w:r w:rsidRPr="00124932">
              <w:rPr>
                <w:rFonts w:ascii="Arial" w:hAnsi="Arial" w:cs="Arial"/>
                <w:sz w:val="20"/>
                <w:szCs w:val="20"/>
              </w:rPr>
              <w:t>90</w:t>
            </w:r>
          </w:p>
        </w:tc>
        <w:tc>
          <w:tcPr>
            <w:tcW w:w="784" w:type="pct"/>
            <w:tcBorders>
              <w:top w:val="single" w:sz="4" w:space="0" w:color="auto"/>
              <w:left w:val="single" w:sz="4" w:space="0" w:color="auto"/>
              <w:bottom w:val="dotted" w:sz="4" w:space="0" w:color="auto"/>
              <w:right w:val="single" w:sz="4" w:space="0" w:color="auto"/>
            </w:tcBorders>
            <w:shd w:val="clear" w:color="auto" w:fill="auto"/>
            <w:vAlign w:val="center"/>
          </w:tcPr>
          <w:p w:rsidR="006C4EC2" w:rsidRPr="00124932" w:rsidRDefault="006C4EC2" w:rsidP="006C4EC2">
            <w:pPr>
              <w:jc w:val="both"/>
              <w:rPr>
                <w:rFonts w:ascii="Arial" w:hAnsi="Arial" w:cs="Arial"/>
                <w:sz w:val="20"/>
                <w:szCs w:val="20"/>
              </w:rPr>
            </w:pPr>
            <w:r w:rsidRPr="00124932">
              <w:rPr>
                <w:rFonts w:ascii="Arial" w:hAnsi="Arial" w:cs="Arial"/>
                <w:sz w:val="20"/>
                <w:szCs w:val="20"/>
              </w:rPr>
              <w:t>Not significant</w:t>
            </w:r>
          </w:p>
        </w:tc>
      </w:tr>
      <w:tr w:rsidR="006C4EC2" w:rsidRPr="00124932" w:rsidTr="00F047AD">
        <w:trPr>
          <w:trHeight w:val="190"/>
        </w:trPr>
        <w:tc>
          <w:tcPr>
            <w:tcW w:w="932" w:type="pct"/>
            <w:vMerge/>
            <w:tcBorders>
              <w:left w:val="single" w:sz="4" w:space="0" w:color="auto"/>
              <w:bottom w:val="single" w:sz="4" w:space="0" w:color="auto"/>
              <w:right w:val="single" w:sz="4" w:space="0" w:color="auto"/>
            </w:tcBorders>
            <w:shd w:val="clear" w:color="auto" w:fill="auto"/>
            <w:vAlign w:val="center"/>
          </w:tcPr>
          <w:p w:rsidR="006C4EC2" w:rsidRPr="00124932" w:rsidRDefault="006C4EC2" w:rsidP="006C4EC2">
            <w:pPr>
              <w:jc w:val="both"/>
              <w:rPr>
                <w:rFonts w:ascii="Arial" w:hAnsi="Arial" w:cs="Arial"/>
                <w:sz w:val="20"/>
                <w:szCs w:val="20"/>
              </w:rPr>
            </w:pPr>
          </w:p>
        </w:tc>
        <w:tc>
          <w:tcPr>
            <w:tcW w:w="339" w:type="pct"/>
            <w:vMerge/>
            <w:tcBorders>
              <w:left w:val="single" w:sz="4" w:space="0" w:color="auto"/>
              <w:bottom w:val="single" w:sz="4" w:space="0" w:color="auto"/>
              <w:right w:val="single" w:sz="4" w:space="0" w:color="auto"/>
            </w:tcBorders>
            <w:shd w:val="clear" w:color="auto" w:fill="auto"/>
            <w:vAlign w:val="center"/>
          </w:tcPr>
          <w:p w:rsidR="006C4EC2" w:rsidRPr="00124932" w:rsidRDefault="006C4EC2" w:rsidP="006C4EC2">
            <w:pPr>
              <w:jc w:val="both"/>
              <w:rPr>
                <w:rFonts w:ascii="Arial" w:hAnsi="Arial" w:cs="Arial"/>
                <w:sz w:val="20"/>
                <w:szCs w:val="20"/>
              </w:rPr>
            </w:pPr>
          </w:p>
        </w:tc>
        <w:tc>
          <w:tcPr>
            <w:tcW w:w="450" w:type="pct"/>
            <w:tcBorders>
              <w:top w:val="dotted" w:sz="4" w:space="0" w:color="auto"/>
              <w:left w:val="single" w:sz="4" w:space="0" w:color="auto"/>
              <w:bottom w:val="single" w:sz="4" w:space="0" w:color="auto"/>
              <w:right w:val="single" w:sz="4" w:space="0" w:color="auto"/>
            </w:tcBorders>
            <w:shd w:val="clear" w:color="auto" w:fill="auto"/>
            <w:vAlign w:val="center"/>
          </w:tcPr>
          <w:p w:rsidR="006C4EC2" w:rsidRPr="00124932" w:rsidRDefault="006C4EC2" w:rsidP="006C4EC2">
            <w:pPr>
              <w:jc w:val="both"/>
              <w:rPr>
                <w:rFonts w:ascii="Arial" w:hAnsi="Arial" w:cs="Arial"/>
                <w:sz w:val="20"/>
                <w:szCs w:val="20"/>
              </w:rPr>
            </w:pPr>
            <w:r w:rsidRPr="00124932">
              <w:rPr>
                <w:rFonts w:ascii="Arial" w:hAnsi="Arial" w:cs="Arial"/>
                <w:sz w:val="20"/>
                <w:szCs w:val="20"/>
              </w:rPr>
              <w:t>57</w:t>
            </w:r>
          </w:p>
        </w:tc>
        <w:tc>
          <w:tcPr>
            <w:tcW w:w="1011" w:type="pct"/>
            <w:tcBorders>
              <w:top w:val="dotted" w:sz="4" w:space="0" w:color="auto"/>
              <w:left w:val="single" w:sz="4" w:space="0" w:color="auto"/>
              <w:bottom w:val="single" w:sz="4" w:space="0" w:color="auto"/>
              <w:right w:val="single" w:sz="4" w:space="0" w:color="auto"/>
            </w:tcBorders>
            <w:shd w:val="clear" w:color="auto" w:fill="auto"/>
          </w:tcPr>
          <w:p w:rsidR="006C4EC2" w:rsidRPr="00124932" w:rsidRDefault="006C4EC2" w:rsidP="007A750C">
            <w:pPr>
              <w:rPr>
                <w:rFonts w:ascii="Arial" w:hAnsi="Arial" w:cs="Arial"/>
                <w:sz w:val="20"/>
                <w:szCs w:val="20"/>
              </w:rPr>
            </w:pPr>
            <w:r w:rsidRPr="00124932">
              <w:rPr>
                <w:rFonts w:ascii="Arial" w:hAnsi="Arial" w:cs="Arial"/>
                <w:sz w:val="20"/>
                <w:szCs w:val="20"/>
              </w:rPr>
              <w:t>1.02 (0.81, 1.27)</w:t>
            </w:r>
          </w:p>
        </w:tc>
        <w:tc>
          <w:tcPr>
            <w:tcW w:w="780" w:type="pct"/>
            <w:tcBorders>
              <w:top w:val="dotted" w:sz="4" w:space="0" w:color="auto"/>
              <w:left w:val="single" w:sz="4" w:space="0" w:color="auto"/>
              <w:bottom w:val="single" w:sz="4" w:space="0" w:color="auto"/>
              <w:right w:val="single" w:sz="4" w:space="0" w:color="auto"/>
            </w:tcBorders>
            <w:shd w:val="clear" w:color="auto" w:fill="auto"/>
            <w:vAlign w:val="center"/>
          </w:tcPr>
          <w:p w:rsidR="006C4EC2" w:rsidRPr="00124932" w:rsidRDefault="006C4EC2" w:rsidP="006C4EC2">
            <w:pPr>
              <w:jc w:val="both"/>
              <w:rPr>
                <w:rFonts w:ascii="Arial" w:hAnsi="Arial" w:cs="Arial"/>
                <w:sz w:val="20"/>
                <w:szCs w:val="20"/>
              </w:rPr>
            </w:pPr>
            <w:r w:rsidRPr="00124932">
              <w:rPr>
                <w:rFonts w:ascii="Arial" w:hAnsi="Arial" w:cs="Arial"/>
                <w:sz w:val="20"/>
                <w:szCs w:val="20"/>
              </w:rPr>
              <w:t>92 (73 to 114)</w:t>
            </w:r>
          </w:p>
        </w:tc>
        <w:tc>
          <w:tcPr>
            <w:tcW w:w="704" w:type="pct"/>
            <w:tcBorders>
              <w:top w:val="dotted" w:sz="4" w:space="0" w:color="auto"/>
              <w:left w:val="single" w:sz="4" w:space="0" w:color="auto"/>
              <w:bottom w:val="single" w:sz="4" w:space="0" w:color="auto"/>
              <w:right w:val="single" w:sz="4" w:space="0" w:color="auto"/>
            </w:tcBorders>
            <w:shd w:val="clear" w:color="auto" w:fill="auto"/>
            <w:vAlign w:val="center"/>
          </w:tcPr>
          <w:p w:rsidR="006C4EC2" w:rsidRPr="00124932" w:rsidRDefault="006C4EC2" w:rsidP="006C4EC2">
            <w:pPr>
              <w:jc w:val="both"/>
              <w:rPr>
                <w:rFonts w:ascii="Arial" w:hAnsi="Arial" w:cs="Arial"/>
                <w:sz w:val="20"/>
                <w:szCs w:val="20"/>
              </w:rPr>
            </w:pPr>
            <w:r w:rsidRPr="00124932">
              <w:rPr>
                <w:rFonts w:ascii="Arial" w:hAnsi="Arial" w:cs="Arial"/>
                <w:sz w:val="20"/>
                <w:szCs w:val="20"/>
              </w:rPr>
              <w:t>90</w:t>
            </w:r>
          </w:p>
        </w:tc>
        <w:tc>
          <w:tcPr>
            <w:tcW w:w="784" w:type="pct"/>
            <w:tcBorders>
              <w:top w:val="dotted" w:sz="4" w:space="0" w:color="auto"/>
              <w:left w:val="single" w:sz="4" w:space="0" w:color="auto"/>
              <w:bottom w:val="single" w:sz="4" w:space="0" w:color="auto"/>
              <w:right w:val="single" w:sz="4" w:space="0" w:color="auto"/>
            </w:tcBorders>
            <w:shd w:val="clear" w:color="auto" w:fill="auto"/>
            <w:vAlign w:val="center"/>
          </w:tcPr>
          <w:p w:rsidR="006C4EC2" w:rsidRPr="00124932" w:rsidRDefault="006C4EC2" w:rsidP="006C4EC2">
            <w:pPr>
              <w:jc w:val="both"/>
              <w:rPr>
                <w:rFonts w:ascii="Arial" w:hAnsi="Arial" w:cs="Arial"/>
                <w:sz w:val="20"/>
                <w:szCs w:val="20"/>
              </w:rPr>
            </w:pPr>
            <w:r w:rsidRPr="00124932">
              <w:rPr>
                <w:rFonts w:ascii="Arial" w:hAnsi="Arial" w:cs="Arial"/>
                <w:sz w:val="20"/>
                <w:szCs w:val="20"/>
              </w:rPr>
              <w:t>Not significant</w:t>
            </w:r>
          </w:p>
        </w:tc>
      </w:tr>
      <w:tr w:rsidR="006C4EC2" w:rsidRPr="00124932" w:rsidTr="006C4EC2">
        <w:tc>
          <w:tcPr>
            <w:tcW w:w="5000" w:type="pct"/>
            <w:gridSpan w:val="7"/>
            <w:tcBorders>
              <w:top w:val="single" w:sz="4" w:space="0" w:color="auto"/>
              <w:left w:val="single" w:sz="4" w:space="0" w:color="auto"/>
              <w:bottom w:val="single" w:sz="4" w:space="0" w:color="auto"/>
              <w:right w:val="single" w:sz="4" w:space="0" w:color="auto"/>
            </w:tcBorders>
            <w:shd w:val="clear" w:color="auto" w:fill="auto"/>
            <w:hideMark/>
          </w:tcPr>
          <w:p w:rsidR="006C4EC2" w:rsidRPr="00124932" w:rsidRDefault="006C4EC2" w:rsidP="006C4EC2">
            <w:pPr>
              <w:jc w:val="both"/>
              <w:rPr>
                <w:rFonts w:ascii="Arial" w:hAnsi="Arial" w:cs="Arial"/>
                <w:b/>
                <w:sz w:val="20"/>
                <w:szCs w:val="20"/>
                <w:vertAlign w:val="superscript"/>
              </w:rPr>
            </w:pPr>
            <w:r w:rsidRPr="00124932">
              <w:rPr>
                <w:rFonts w:ascii="Arial" w:hAnsi="Arial" w:cs="Arial"/>
                <w:b/>
                <w:sz w:val="20"/>
                <w:szCs w:val="20"/>
              </w:rPr>
              <w:t>Serous AEs (CONFIRMS, APEX, FACT)</w:t>
            </w:r>
          </w:p>
        </w:tc>
      </w:tr>
      <w:tr w:rsidR="006C4EC2" w:rsidRPr="00124932" w:rsidTr="00F047AD">
        <w:trPr>
          <w:trHeight w:val="204"/>
        </w:trPr>
        <w:tc>
          <w:tcPr>
            <w:tcW w:w="932" w:type="pct"/>
            <w:vMerge w:val="restart"/>
            <w:tcBorders>
              <w:top w:val="single" w:sz="4" w:space="0" w:color="auto"/>
              <w:left w:val="single" w:sz="4" w:space="0" w:color="auto"/>
              <w:right w:val="single" w:sz="4" w:space="0" w:color="auto"/>
            </w:tcBorders>
            <w:shd w:val="clear" w:color="auto" w:fill="auto"/>
            <w:vAlign w:val="center"/>
          </w:tcPr>
          <w:p w:rsidR="006C4EC2" w:rsidRPr="00124932" w:rsidRDefault="006C4EC2" w:rsidP="006C4EC2">
            <w:pPr>
              <w:jc w:val="both"/>
              <w:rPr>
                <w:rFonts w:ascii="Arial" w:hAnsi="Arial" w:cs="Arial"/>
                <w:sz w:val="20"/>
                <w:szCs w:val="20"/>
              </w:rPr>
            </w:pPr>
            <w:r w:rsidRPr="00124932">
              <w:rPr>
                <w:rFonts w:ascii="Arial" w:hAnsi="Arial" w:cs="Arial"/>
                <w:sz w:val="20"/>
                <w:szCs w:val="20"/>
              </w:rPr>
              <w:t xml:space="preserve">Pooled 26, 28 &amp; 52 weeks </w:t>
            </w:r>
          </w:p>
        </w:tc>
        <w:tc>
          <w:tcPr>
            <w:tcW w:w="339" w:type="pct"/>
            <w:tcBorders>
              <w:top w:val="single" w:sz="4" w:space="0" w:color="auto"/>
              <w:left w:val="single" w:sz="4" w:space="0" w:color="auto"/>
              <w:bottom w:val="dotted" w:sz="4" w:space="0" w:color="auto"/>
              <w:right w:val="single" w:sz="4" w:space="0" w:color="auto"/>
            </w:tcBorders>
            <w:shd w:val="clear" w:color="auto" w:fill="auto"/>
          </w:tcPr>
          <w:p w:rsidR="006C4EC2" w:rsidRPr="00124932" w:rsidRDefault="006C4EC2" w:rsidP="006C4EC2">
            <w:pPr>
              <w:jc w:val="both"/>
              <w:rPr>
                <w:rFonts w:ascii="Arial" w:hAnsi="Arial" w:cs="Arial"/>
                <w:sz w:val="20"/>
                <w:szCs w:val="20"/>
              </w:rPr>
            </w:pPr>
            <w:r w:rsidRPr="00124932">
              <w:rPr>
                <w:rFonts w:ascii="Arial" w:hAnsi="Arial" w:cs="Arial"/>
                <w:sz w:val="20"/>
                <w:szCs w:val="20"/>
              </w:rPr>
              <w:t>80</w:t>
            </w:r>
          </w:p>
        </w:tc>
        <w:tc>
          <w:tcPr>
            <w:tcW w:w="450" w:type="pct"/>
            <w:tcBorders>
              <w:top w:val="single" w:sz="4" w:space="0" w:color="auto"/>
              <w:left w:val="single" w:sz="4" w:space="0" w:color="auto"/>
              <w:bottom w:val="dotted" w:sz="4" w:space="0" w:color="auto"/>
              <w:right w:val="single" w:sz="4" w:space="0" w:color="auto"/>
            </w:tcBorders>
            <w:shd w:val="clear" w:color="auto" w:fill="auto"/>
          </w:tcPr>
          <w:p w:rsidR="006C4EC2" w:rsidRPr="00124932" w:rsidRDefault="006C4EC2" w:rsidP="006C4EC2">
            <w:pPr>
              <w:jc w:val="both"/>
              <w:rPr>
                <w:rFonts w:ascii="Arial" w:hAnsi="Arial" w:cs="Arial"/>
                <w:sz w:val="20"/>
                <w:szCs w:val="20"/>
              </w:rPr>
            </w:pPr>
            <w:r w:rsidRPr="00124932">
              <w:rPr>
                <w:rFonts w:ascii="Arial" w:hAnsi="Arial" w:cs="Arial"/>
                <w:sz w:val="20"/>
                <w:szCs w:val="20"/>
              </w:rPr>
              <w:t>2556</w:t>
            </w:r>
          </w:p>
        </w:tc>
        <w:tc>
          <w:tcPr>
            <w:tcW w:w="1011" w:type="pct"/>
            <w:tcBorders>
              <w:top w:val="single" w:sz="4" w:space="0" w:color="auto"/>
              <w:left w:val="single" w:sz="4" w:space="0" w:color="auto"/>
              <w:bottom w:val="dotted" w:sz="4" w:space="0" w:color="auto"/>
              <w:right w:val="single" w:sz="4" w:space="0" w:color="auto"/>
            </w:tcBorders>
            <w:shd w:val="clear" w:color="auto" w:fill="auto"/>
          </w:tcPr>
          <w:p w:rsidR="006C4EC2" w:rsidRPr="00124932" w:rsidRDefault="006C4EC2" w:rsidP="007A750C">
            <w:pPr>
              <w:rPr>
                <w:rFonts w:ascii="Arial" w:hAnsi="Arial" w:cs="Arial"/>
                <w:sz w:val="20"/>
                <w:szCs w:val="20"/>
              </w:rPr>
            </w:pPr>
            <w:r w:rsidRPr="00124932">
              <w:rPr>
                <w:rFonts w:ascii="Arial" w:hAnsi="Arial" w:cs="Arial"/>
                <w:sz w:val="20"/>
                <w:szCs w:val="20"/>
              </w:rPr>
              <w:t>0.88 (0.55, 1.42)</w:t>
            </w:r>
          </w:p>
        </w:tc>
        <w:tc>
          <w:tcPr>
            <w:tcW w:w="780" w:type="pct"/>
            <w:tcBorders>
              <w:top w:val="single" w:sz="4" w:space="0" w:color="auto"/>
              <w:left w:val="single" w:sz="4" w:space="0" w:color="auto"/>
              <w:bottom w:val="dotted" w:sz="4" w:space="0" w:color="auto"/>
              <w:right w:val="single" w:sz="4" w:space="0" w:color="auto"/>
            </w:tcBorders>
            <w:shd w:val="clear" w:color="auto" w:fill="auto"/>
          </w:tcPr>
          <w:p w:rsidR="006C4EC2" w:rsidRPr="00124932" w:rsidRDefault="006C4EC2" w:rsidP="006C4EC2">
            <w:pPr>
              <w:jc w:val="both"/>
              <w:rPr>
                <w:rFonts w:ascii="Arial" w:hAnsi="Arial" w:cs="Arial"/>
                <w:sz w:val="20"/>
                <w:szCs w:val="20"/>
              </w:rPr>
            </w:pPr>
            <w:r w:rsidRPr="00124932">
              <w:rPr>
                <w:rFonts w:ascii="Arial" w:hAnsi="Arial" w:cs="Arial"/>
                <w:sz w:val="20"/>
                <w:szCs w:val="20"/>
              </w:rPr>
              <w:t>4 (3 to 7)</w:t>
            </w:r>
          </w:p>
        </w:tc>
        <w:tc>
          <w:tcPr>
            <w:tcW w:w="704" w:type="pct"/>
            <w:tcBorders>
              <w:top w:val="single" w:sz="4" w:space="0" w:color="auto"/>
              <w:left w:val="single" w:sz="4" w:space="0" w:color="auto"/>
              <w:bottom w:val="dotted" w:sz="4" w:space="0" w:color="auto"/>
              <w:right w:val="single" w:sz="4" w:space="0" w:color="auto"/>
            </w:tcBorders>
            <w:shd w:val="clear" w:color="auto" w:fill="auto"/>
          </w:tcPr>
          <w:p w:rsidR="006C4EC2" w:rsidRPr="00124932" w:rsidRDefault="006C4EC2" w:rsidP="006C4EC2">
            <w:pPr>
              <w:jc w:val="both"/>
              <w:rPr>
                <w:rFonts w:ascii="Arial" w:hAnsi="Arial" w:cs="Arial"/>
                <w:sz w:val="20"/>
                <w:szCs w:val="20"/>
              </w:rPr>
            </w:pPr>
            <w:r w:rsidRPr="00124932">
              <w:rPr>
                <w:rFonts w:ascii="Arial" w:hAnsi="Arial" w:cs="Arial"/>
                <w:sz w:val="20"/>
                <w:szCs w:val="20"/>
              </w:rPr>
              <w:t>5</w:t>
            </w:r>
          </w:p>
        </w:tc>
        <w:tc>
          <w:tcPr>
            <w:tcW w:w="784" w:type="pct"/>
            <w:tcBorders>
              <w:top w:val="single" w:sz="4" w:space="0" w:color="auto"/>
              <w:left w:val="single" w:sz="4" w:space="0" w:color="auto"/>
              <w:bottom w:val="dotted" w:sz="4" w:space="0" w:color="auto"/>
              <w:right w:val="single" w:sz="4" w:space="0" w:color="auto"/>
            </w:tcBorders>
            <w:shd w:val="clear" w:color="auto" w:fill="auto"/>
          </w:tcPr>
          <w:p w:rsidR="006C4EC2" w:rsidRPr="00124932" w:rsidRDefault="006C4EC2" w:rsidP="006C4EC2">
            <w:pPr>
              <w:jc w:val="both"/>
              <w:rPr>
                <w:rFonts w:ascii="Arial" w:hAnsi="Arial" w:cs="Arial"/>
                <w:sz w:val="20"/>
                <w:szCs w:val="20"/>
              </w:rPr>
            </w:pPr>
            <w:r w:rsidRPr="00124932">
              <w:rPr>
                <w:rFonts w:ascii="Arial" w:hAnsi="Arial" w:cs="Arial"/>
                <w:sz w:val="20"/>
                <w:szCs w:val="20"/>
              </w:rPr>
              <w:t>Not significant</w:t>
            </w:r>
          </w:p>
        </w:tc>
      </w:tr>
      <w:tr w:rsidR="006C4EC2" w:rsidRPr="00124932" w:rsidTr="00F047AD">
        <w:trPr>
          <w:trHeight w:val="192"/>
        </w:trPr>
        <w:tc>
          <w:tcPr>
            <w:tcW w:w="932" w:type="pct"/>
            <w:vMerge/>
            <w:tcBorders>
              <w:left w:val="single" w:sz="4" w:space="0" w:color="auto"/>
              <w:bottom w:val="single" w:sz="4" w:space="0" w:color="auto"/>
              <w:right w:val="single" w:sz="4" w:space="0" w:color="auto"/>
            </w:tcBorders>
            <w:shd w:val="clear" w:color="auto" w:fill="auto"/>
          </w:tcPr>
          <w:p w:rsidR="006C4EC2" w:rsidRPr="00124932" w:rsidRDefault="006C4EC2" w:rsidP="006C4EC2">
            <w:pPr>
              <w:jc w:val="both"/>
              <w:rPr>
                <w:rFonts w:ascii="Arial" w:hAnsi="Arial" w:cs="Arial"/>
                <w:sz w:val="20"/>
                <w:szCs w:val="20"/>
              </w:rPr>
            </w:pPr>
          </w:p>
        </w:tc>
        <w:tc>
          <w:tcPr>
            <w:tcW w:w="339" w:type="pct"/>
            <w:tcBorders>
              <w:top w:val="dotted" w:sz="4" w:space="0" w:color="auto"/>
              <w:left w:val="single" w:sz="4" w:space="0" w:color="auto"/>
              <w:bottom w:val="single" w:sz="4" w:space="0" w:color="auto"/>
              <w:right w:val="single" w:sz="4" w:space="0" w:color="auto"/>
            </w:tcBorders>
            <w:shd w:val="clear" w:color="auto" w:fill="auto"/>
          </w:tcPr>
          <w:p w:rsidR="006C4EC2" w:rsidRPr="00124932" w:rsidRDefault="006C4EC2" w:rsidP="006C4EC2">
            <w:pPr>
              <w:jc w:val="both"/>
              <w:rPr>
                <w:rFonts w:ascii="Arial" w:hAnsi="Arial" w:cs="Arial"/>
                <w:sz w:val="20"/>
                <w:szCs w:val="20"/>
              </w:rPr>
            </w:pPr>
            <w:r w:rsidRPr="00124932">
              <w:rPr>
                <w:rFonts w:ascii="Arial" w:hAnsi="Arial" w:cs="Arial"/>
                <w:sz w:val="20"/>
                <w:szCs w:val="20"/>
              </w:rPr>
              <w:t>120</w:t>
            </w:r>
          </w:p>
        </w:tc>
        <w:tc>
          <w:tcPr>
            <w:tcW w:w="450" w:type="pct"/>
            <w:tcBorders>
              <w:top w:val="dotted" w:sz="4" w:space="0" w:color="auto"/>
              <w:left w:val="single" w:sz="4" w:space="0" w:color="auto"/>
              <w:bottom w:val="single" w:sz="4" w:space="0" w:color="auto"/>
              <w:right w:val="single" w:sz="4" w:space="0" w:color="auto"/>
            </w:tcBorders>
            <w:shd w:val="clear" w:color="auto" w:fill="auto"/>
          </w:tcPr>
          <w:p w:rsidR="006C4EC2" w:rsidRPr="00124932" w:rsidRDefault="006C4EC2" w:rsidP="006C4EC2">
            <w:pPr>
              <w:jc w:val="both"/>
              <w:rPr>
                <w:rFonts w:ascii="Arial" w:hAnsi="Arial" w:cs="Arial"/>
                <w:sz w:val="20"/>
                <w:szCs w:val="20"/>
              </w:rPr>
            </w:pPr>
            <w:r w:rsidRPr="00124932">
              <w:rPr>
                <w:rFonts w:ascii="Arial" w:hAnsi="Arial" w:cs="Arial"/>
                <w:sz w:val="20"/>
                <w:szCs w:val="20"/>
              </w:rPr>
              <w:t>1041</w:t>
            </w:r>
          </w:p>
        </w:tc>
        <w:tc>
          <w:tcPr>
            <w:tcW w:w="1011" w:type="pct"/>
            <w:tcBorders>
              <w:top w:val="dotted" w:sz="4" w:space="0" w:color="auto"/>
              <w:left w:val="single" w:sz="4" w:space="0" w:color="auto"/>
              <w:bottom w:val="single" w:sz="4" w:space="0" w:color="auto"/>
              <w:right w:val="single" w:sz="4" w:space="0" w:color="auto"/>
            </w:tcBorders>
            <w:shd w:val="clear" w:color="auto" w:fill="auto"/>
          </w:tcPr>
          <w:p w:rsidR="006C4EC2" w:rsidRPr="00124932" w:rsidRDefault="006C4EC2" w:rsidP="007A750C">
            <w:pPr>
              <w:rPr>
                <w:rFonts w:ascii="Arial" w:hAnsi="Arial" w:cs="Arial"/>
                <w:sz w:val="20"/>
                <w:szCs w:val="20"/>
              </w:rPr>
            </w:pPr>
            <w:r w:rsidRPr="00124932">
              <w:rPr>
                <w:rFonts w:ascii="Arial" w:hAnsi="Arial" w:cs="Arial"/>
                <w:sz w:val="20"/>
                <w:szCs w:val="20"/>
              </w:rPr>
              <w:t>1.16 (0.70, 1.93)</w:t>
            </w:r>
          </w:p>
        </w:tc>
        <w:tc>
          <w:tcPr>
            <w:tcW w:w="780" w:type="pct"/>
            <w:tcBorders>
              <w:top w:val="dotted" w:sz="4" w:space="0" w:color="auto"/>
              <w:left w:val="single" w:sz="4" w:space="0" w:color="auto"/>
              <w:bottom w:val="single" w:sz="4" w:space="0" w:color="auto"/>
              <w:right w:val="single" w:sz="4" w:space="0" w:color="auto"/>
            </w:tcBorders>
            <w:shd w:val="clear" w:color="auto" w:fill="auto"/>
          </w:tcPr>
          <w:p w:rsidR="006C4EC2" w:rsidRPr="00124932" w:rsidRDefault="006C4EC2" w:rsidP="006C4EC2">
            <w:pPr>
              <w:jc w:val="both"/>
              <w:rPr>
                <w:rFonts w:ascii="Arial" w:hAnsi="Arial" w:cs="Arial"/>
                <w:sz w:val="20"/>
                <w:szCs w:val="20"/>
              </w:rPr>
            </w:pPr>
            <w:r w:rsidRPr="00124932">
              <w:rPr>
                <w:rFonts w:ascii="Arial" w:hAnsi="Arial" w:cs="Arial"/>
                <w:sz w:val="20"/>
                <w:szCs w:val="20"/>
              </w:rPr>
              <w:t>6 (4 to 10)</w:t>
            </w:r>
          </w:p>
        </w:tc>
        <w:tc>
          <w:tcPr>
            <w:tcW w:w="704" w:type="pct"/>
            <w:tcBorders>
              <w:top w:val="dotted" w:sz="4" w:space="0" w:color="auto"/>
              <w:left w:val="single" w:sz="4" w:space="0" w:color="auto"/>
              <w:bottom w:val="single" w:sz="4" w:space="0" w:color="auto"/>
              <w:right w:val="single" w:sz="4" w:space="0" w:color="auto"/>
            </w:tcBorders>
            <w:shd w:val="clear" w:color="auto" w:fill="auto"/>
          </w:tcPr>
          <w:p w:rsidR="006C4EC2" w:rsidRPr="00124932" w:rsidRDefault="006C4EC2" w:rsidP="006C4EC2">
            <w:pPr>
              <w:jc w:val="both"/>
              <w:rPr>
                <w:rFonts w:ascii="Arial" w:hAnsi="Arial" w:cs="Arial"/>
                <w:sz w:val="20"/>
                <w:szCs w:val="20"/>
              </w:rPr>
            </w:pPr>
            <w:r w:rsidRPr="00124932">
              <w:rPr>
                <w:rFonts w:ascii="Arial" w:hAnsi="Arial" w:cs="Arial"/>
                <w:sz w:val="20"/>
                <w:szCs w:val="20"/>
              </w:rPr>
              <w:t>5</w:t>
            </w:r>
          </w:p>
        </w:tc>
        <w:tc>
          <w:tcPr>
            <w:tcW w:w="784" w:type="pct"/>
            <w:tcBorders>
              <w:top w:val="dotted" w:sz="4" w:space="0" w:color="auto"/>
              <w:left w:val="single" w:sz="4" w:space="0" w:color="auto"/>
              <w:bottom w:val="single" w:sz="4" w:space="0" w:color="auto"/>
              <w:right w:val="single" w:sz="4" w:space="0" w:color="auto"/>
            </w:tcBorders>
            <w:shd w:val="clear" w:color="auto" w:fill="auto"/>
          </w:tcPr>
          <w:p w:rsidR="006C4EC2" w:rsidRPr="00124932" w:rsidRDefault="006C4EC2" w:rsidP="006C4EC2">
            <w:pPr>
              <w:jc w:val="both"/>
              <w:rPr>
                <w:rFonts w:ascii="Arial" w:hAnsi="Arial" w:cs="Arial"/>
                <w:sz w:val="20"/>
                <w:szCs w:val="20"/>
              </w:rPr>
            </w:pPr>
            <w:r w:rsidRPr="00124932">
              <w:rPr>
                <w:rFonts w:ascii="Arial" w:hAnsi="Arial" w:cs="Arial"/>
                <w:sz w:val="20"/>
                <w:szCs w:val="20"/>
              </w:rPr>
              <w:t>Not significant</w:t>
            </w:r>
          </w:p>
        </w:tc>
      </w:tr>
      <w:tr w:rsidR="006C4EC2" w:rsidRPr="00124932" w:rsidTr="006C4EC2">
        <w:trPr>
          <w:trHeight w:val="64"/>
        </w:trPr>
        <w:tc>
          <w:tcPr>
            <w:tcW w:w="5000" w:type="pct"/>
            <w:gridSpan w:val="7"/>
            <w:tcBorders>
              <w:left w:val="single" w:sz="4" w:space="0" w:color="auto"/>
              <w:bottom w:val="single" w:sz="4" w:space="0" w:color="auto"/>
              <w:right w:val="single" w:sz="4" w:space="0" w:color="auto"/>
            </w:tcBorders>
            <w:shd w:val="clear" w:color="auto" w:fill="auto"/>
            <w:vAlign w:val="center"/>
          </w:tcPr>
          <w:p w:rsidR="006C4EC2" w:rsidRPr="00124932" w:rsidRDefault="006C4EC2" w:rsidP="006C4EC2">
            <w:pPr>
              <w:jc w:val="both"/>
              <w:rPr>
                <w:rFonts w:ascii="Arial" w:hAnsi="Arial" w:cs="Arial"/>
                <w:b/>
                <w:sz w:val="20"/>
                <w:szCs w:val="20"/>
              </w:rPr>
            </w:pPr>
            <w:r w:rsidRPr="00124932">
              <w:rPr>
                <w:rFonts w:ascii="Arial" w:hAnsi="Arial" w:cs="Arial"/>
                <w:b/>
                <w:sz w:val="20"/>
                <w:szCs w:val="20"/>
              </w:rPr>
              <w:t>Discontinuations due to AEs (CONFIRMS, APEX and FACT)</w:t>
            </w:r>
          </w:p>
        </w:tc>
      </w:tr>
      <w:tr w:rsidR="006C4EC2" w:rsidRPr="00124932" w:rsidTr="00F047AD">
        <w:trPr>
          <w:trHeight w:val="196"/>
        </w:trPr>
        <w:tc>
          <w:tcPr>
            <w:tcW w:w="932" w:type="pct"/>
            <w:vMerge w:val="restart"/>
            <w:tcBorders>
              <w:left w:val="single" w:sz="4" w:space="0" w:color="auto"/>
              <w:right w:val="single" w:sz="4" w:space="0" w:color="auto"/>
            </w:tcBorders>
            <w:shd w:val="clear" w:color="auto" w:fill="auto"/>
          </w:tcPr>
          <w:p w:rsidR="006C4EC2" w:rsidRPr="00124932" w:rsidRDefault="006C4EC2" w:rsidP="006C4EC2">
            <w:pPr>
              <w:jc w:val="both"/>
              <w:rPr>
                <w:rFonts w:ascii="Arial" w:hAnsi="Arial" w:cs="Arial"/>
                <w:sz w:val="20"/>
                <w:szCs w:val="20"/>
              </w:rPr>
            </w:pPr>
            <w:r w:rsidRPr="00124932">
              <w:rPr>
                <w:rFonts w:ascii="Arial" w:hAnsi="Arial" w:cs="Arial"/>
                <w:sz w:val="20"/>
                <w:szCs w:val="20"/>
              </w:rPr>
              <w:t xml:space="preserve">Pooled 26, 28 &amp; 52 weeks </w:t>
            </w:r>
          </w:p>
        </w:tc>
        <w:tc>
          <w:tcPr>
            <w:tcW w:w="339" w:type="pct"/>
            <w:tcBorders>
              <w:top w:val="dotted" w:sz="4" w:space="0" w:color="auto"/>
              <w:left w:val="single" w:sz="4" w:space="0" w:color="auto"/>
              <w:bottom w:val="dotted" w:sz="4" w:space="0" w:color="auto"/>
              <w:right w:val="single" w:sz="4" w:space="0" w:color="auto"/>
            </w:tcBorders>
            <w:shd w:val="clear" w:color="auto" w:fill="auto"/>
          </w:tcPr>
          <w:p w:rsidR="006C4EC2" w:rsidRPr="00124932" w:rsidRDefault="006C4EC2" w:rsidP="006C4EC2">
            <w:pPr>
              <w:jc w:val="both"/>
              <w:rPr>
                <w:rFonts w:ascii="Arial" w:hAnsi="Arial" w:cs="Arial"/>
                <w:sz w:val="20"/>
                <w:szCs w:val="20"/>
              </w:rPr>
            </w:pPr>
            <w:r w:rsidRPr="00124932">
              <w:rPr>
                <w:rFonts w:ascii="Arial" w:hAnsi="Arial" w:cs="Arial"/>
                <w:sz w:val="20"/>
                <w:szCs w:val="20"/>
              </w:rPr>
              <w:t>80</w:t>
            </w:r>
          </w:p>
        </w:tc>
        <w:tc>
          <w:tcPr>
            <w:tcW w:w="450" w:type="pct"/>
            <w:tcBorders>
              <w:top w:val="dotted" w:sz="4" w:space="0" w:color="auto"/>
              <w:left w:val="single" w:sz="4" w:space="0" w:color="auto"/>
              <w:bottom w:val="dotted" w:sz="4" w:space="0" w:color="auto"/>
              <w:right w:val="single" w:sz="4" w:space="0" w:color="auto"/>
            </w:tcBorders>
            <w:shd w:val="clear" w:color="auto" w:fill="auto"/>
          </w:tcPr>
          <w:p w:rsidR="006C4EC2" w:rsidRPr="00124932" w:rsidRDefault="006C4EC2" w:rsidP="006C4EC2">
            <w:pPr>
              <w:jc w:val="both"/>
              <w:rPr>
                <w:rFonts w:ascii="Arial" w:hAnsi="Arial" w:cs="Arial"/>
                <w:sz w:val="20"/>
                <w:szCs w:val="20"/>
              </w:rPr>
            </w:pPr>
            <w:r w:rsidRPr="00124932">
              <w:rPr>
                <w:rFonts w:ascii="Arial" w:hAnsi="Arial" w:cs="Arial"/>
                <w:sz w:val="20"/>
                <w:szCs w:val="20"/>
              </w:rPr>
              <w:t>2555</w:t>
            </w:r>
          </w:p>
        </w:tc>
        <w:tc>
          <w:tcPr>
            <w:tcW w:w="1011" w:type="pct"/>
            <w:tcBorders>
              <w:top w:val="dotted" w:sz="4" w:space="0" w:color="auto"/>
              <w:left w:val="single" w:sz="4" w:space="0" w:color="auto"/>
              <w:bottom w:val="dotted" w:sz="4" w:space="0" w:color="auto"/>
              <w:right w:val="single" w:sz="4" w:space="0" w:color="auto"/>
            </w:tcBorders>
            <w:shd w:val="clear" w:color="auto" w:fill="auto"/>
          </w:tcPr>
          <w:p w:rsidR="006C4EC2" w:rsidRPr="00124932" w:rsidRDefault="006C4EC2" w:rsidP="007A750C">
            <w:pPr>
              <w:rPr>
                <w:rFonts w:ascii="Arial" w:hAnsi="Arial" w:cs="Arial"/>
                <w:sz w:val="20"/>
                <w:szCs w:val="20"/>
              </w:rPr>
            </w:pPr>
            <w:r w:rsidRPr="00124932">
              <w:rPr>
                <w:rFonts w:ascii="Arial" w:hAnsi="Arial" w:cs="Arial"/>
                <w:sz w:val="20"/>
                <w:szCs w:val="20"/>
              </w:rPr>
              <w:t>1.05 (0.80, 1.39)</w:t>
            </w:r>
          </w:p>
        </w:tc>
        <w:tc>
          <w:tcPr>
            <w:tcW w:w="780" w:type="pct"/>
            <w:tcBorders>
              <w:top w:val="dotted" w:sz="4" w:space="0" w:color="auto"/>
              <w:left w:val="single" w:sz="4" w:space="0" w:color="auto"/>
              <w:bottom w:val="dotted" w:sz="4" w:space="0" w:color="auto"/>
              <w:right w:val="single" w:sz="4" w:space="0" w:color="auto"/>
            </w:tcBorders>
            <w:shd w:val="clear" w:color="auto" w:fill="auto"/>
          </w:tcPr>
          <w:p w:rsidR="006C4EC2" w:rsidRPr="00124932" w:rsidRDefault="006C4EC2" w:rsidP="006C4EC2">
            <w:pPr>
              <w:jc w:val="both"/>
              <w:rPr>
                <w:rFonts w:ascii="Arial" w:hAnsi="Arial" w:cs="Arial"/>
                <w:sz w:val="20"/>
                <w:szCs w:val="20"/>
              </w:rPr>
            </w:pPr>
            <w:r w:rsidRPr="00124932">
              <w:rPr>
                <w:rFonts w:ascii="Arial" w:hAnsi="Arial" w:cs="Arial"/>
                <w:sz w:val="20"/>
                <w:szCs w:val="20"/>
              </w:rPr>
              <w:t>7(6 to10)</w:t>
            </w:r>
          </w:p>
        </w:tc>
        <w:tc>
          <w:tcPr>
            <w:tcW w:w="704" w:type="pct"/>
            <w:tcBorders>
              <w:top w:val="dotted" w:sz="4" w:space="0" w:color="auto"/>
              <w:left w:val="single" w:sz="4" w:space="0" w:color="auto"/>
              <w:bottom w:val="dotted" w:sz="4" w:space="0" w:color="auto"/>
              <w:right w:val="single" w:sz="4" w:space="0" w:color="auto"/>
            </w:tcBorders>
            <w:shd w:val="clear" w:color="auto" w:fill="auto"/>
          </w:tcPr>
          <w:p w:rsidR="006C4EC2" w:rsidRPr="00124932" w:rsidRDefault="006C4EC2" w:rsidP="006C4EC2">
            <w:pPr>
              <w:jc w:val="both"/>
              <w:rPr>
                <w:rFonts w:ascii="Arial" w:hAnsi="Arial" w:cs="Arial"/>
                <w:sz w:val="20"/>
                <w:szCs w:val="20"/>
              </w:rPr>
            </w:pPr>
            <w:r w:rsidRPr="00124932">
              <w:rPr>
                <w:rFonts w:ascii="Arial" w:hAnsi="Arial" w:cs="Arial"/>
                <w:sz w:val="20"/>
                <w:szCs w:val="20"/>
              </w:rPr>
              <w:t>7</w:t>
            </w:r>
          </w:p>
        </w:tc>
        <w:tc>
          <w:tcPr>
            <w:tcW w:w="784" w:type="pct"/>
            <w:tcBorders>
              <w:top w:val="dotted" w:sz="4" w:space="0" w:color="auto"/>
              <w:left w:val="single" w:sz="4" w:space="0" w:color="auto"/>
              <w:bottom w:val="dotted" w:sz="4" w:space="0" w:color="auto"/>
              <w:right w:val="single" w:sz="4" w:space="0" w:color="auto"/>
            </w:tcBorders>
            <w:shd w:val="clear" w:color="auto" w:fill="auto"/>
          </w:tcPr>
          <w:p w:rsidR="006C4EC2" w:rsidRPr="00124932" w:rsidRDefault="006C4EC2" w:rsidP="006C4EC2">
            <w:pPr>
              <w:jc w:val="both"/>
              <w:rPr>
                <w:rFonts w:ascii="Arial" w:hAnsi="Arial" w:cs="Arial"/>
                <w:sz w:val="20"/>
                <w:szCs w:val="20"/>
              </w:rPr>
            </w:pPr>
            <w:r w:rsidRPr="00124932">
              <w:rPr>
                <w:rFonts w:ascii="Arial" w:hAnsi="Arial" w:cs="Arial"/>
                <w:sz w:val="20"/>
                <w:szCs w:val="20"/>
              </w:rPr>
              <w:t>Not significant</w:t>
            </w:r>
          </w:p>
        </w:tc>
      </w:tr>
      <w:tr w:rsidR="006C4EC2" w:rsidRPr="00124932" w:rsidTr="00F047AD">
        <w:trPr>
          <w:trHeight w:val="101"/>
        </w:trPr>
        <w:tc>
          <w:tcPr>
            <w:tcW w:w="932" w:type="pct"/>
            <w:vMerge/>
            <w:tcBorders>
              <w:left w:val="single" w:sz="4" w:space="0" w:color="auto"/>
              <w:bottom w:val="single" w:sz="4" w:space="0" w:color="auto"/>
              <w:right w:val="single" w:sz="4" w:space="0" w:color="auto"/>
            </w:tcBorders>
            <w:shd w:val="clear" w:color="auto" w:fill="auto"/>
          </w:tcPr>
          <w:p w:rsidR="006C4EC2" w:rsidRPr="00124932" w:rsidRDefault="006C4EC2" w:rsidP="006C4EC2">
            <w:pPr>
              <w:jc w:val="both"/>
              <w:rPr>
                <w:rFonts w:ascii="Arial" w:hAnsi="Arial" w:cs="Arial"/>
                <w:sz w:val="20"/>
                <w:szCs w:val="20"/>
              </w:rPr>
            </w:pPr>
          </w:p>
        </w:tc>
        <w:tc>
          <w:tcPr>
            <w:tcW w:w="339" w:type="pct"/>
            <w:tcBorders>
              <w:top w:val="dotted" w:sz="4" w:space="0" w:color="auto"/>
              <w:left w:val="single" w:sz="4" w:space="0" w:color="auto"/>
              <w:bottom w:val="single" w:sz="4" w:space="0" w:color="auto"/>
              <w:right w:val="single" w:sz="4" w:space="0" w:color="auto"/>
            </w:tcBorders>
            <w:shd w:val="clear" w:color="auto" w:fill="auto"/>
          </w:tcPr>
          <w:p w:rsidR="006C4EC2" w:rsidRPr="00124932" w:rsidRDefault="006C4EC2" w:rsidP="006C4EC2">
            <w:pPr>
              <w:jc w:val="both"/>
              <w:rPr>
                <w:rFonts w:ascii="Arial" w:hAnsi="Arial" w:cs="Arial"/>
                <w:sz w:val="20"/>
                <w:szCs w:val="20"/>
              </w:rPr>
            </w:pPr>
            <w:r w:rsidRPr="00124932">
              <w:rPr>
                <w:rFonts w:ascii="Arial" w:hAnsi="Arial" w:cs="Arial"/>
                <w:sz w:val="20"/>
                <w:szCs w:val="20"/>
              </w:rPr>
              <w:t>120</w:t>
            </w:r>
          </w:p>
        </w:tc>
        <w:tc>
          <w:tcPr>
            <w:tcW w:w="450" w:type="pct"/>
            <w:tcBorders>
              <w:top w:val="dotted" w:sz="4" w:space="0" w:color="auto"/>
              <w:left w:val="single" w:sz="4" w:space="0" w:color="auto"/>
              <w:bottom w:val="single" w:sz="4" w:space="0" w:color="auto"/>
              <w:right w:val="single" w:sz="4" w:space="0" w:color="auto"/>
            </w:tcBorders>
            <w:shd w:val="clear" w:color="auto" w:fill="auto"/>
          </w:tcPr>
          <w:p w:rsidR="006C4EC2" w:rsidRPr="00124932" w:rsidRDefault="006C4EC2" w:rsidP="006C4EC2">
            <w:pPr>
              <w:jc w:val="both"/>
              <w:rPr>
                <w:rFonts w:ascii="Arial" w:hAnsi="Arial" w:cs="Arial"/>
                <w:sz w:val="20"/>
                <w:szCs w:val="20"/>
              </w:rPr>
            </w:pPr>
            <w:r w:rsidRPr="00124932">
              <w:rPr>
                <w:rFonts w:ascii="Arial" w:hAnsi="Arial" w:cs="Arial"/>
                <w:sz w:val="20"/>
                <w:szCs w:val="20"/>
              </w:rPr>
              <w:t>1041</w:t>
            </w:r>
          </w:p>
        </w:tc>
        <w:tc>
          <w:tcPr>
            <w:tcW w:w="1011" w:type="pct"/>
            <w:tcBorders>
              <w:top w:val="dotted" w:sz="4" w:space="0" w:color="auto"/>
              <w:left w:val="single" w:sz="4" w:space="0" w:color="auto"/>
              <w:bottom w:val="single" w:sz="4" w:space="0" w:color="auto"/>
              <w:right w:val="single" w:sz="4" w:space="0" w:color="auto"/>
            </w:tcBorders>
            <w:shd w:val="clear" w:color="auto" w:fill="auto"/>
          </w:tcPr>
          <w:p w:rsidR="006C4EC2" w:rsidRPr="00124932" w:rsidRDefault="006C4EC2" w:rsidP="007A750C">
            <w:pPr>
              <w:rPr>
                <w:rFonts w:ascii="Arial" w:hAnsi="Arial" w:cs="Arial"/>
                <w:b/>
                <w:sz w:val="20"/>
                <w:szCs w:val="20"/>
              </w:rPr>
            </w:pPr>
            <w:r w:rsidRPr="00124932">
              <w:rPr>
                <w:rFonts w:ascii="Arial" w:hAnsi="Arial" w:cs="Arial"/>
                <w:b/>
                <w:sz w:val="20"/>
                <w:szCs w:val="20"/>
              </w:rPr>
              <w:t>3.42 (1.72, 6.81)</w:t>
            </w:r>
          </w:p>
        </w:tc>
        <w:tc>
          <w:tcPr>
            <w:tcW w:w="780" w:type="pct"/>
            <w:tcBorders>
              <w:top w:val="dotted" w:sz="4" w:space="0" w:color="auto"/>
              <w:left w:val="single" w:sz="4" w:space="0" w:color="auto"/>
              <w:bottom w:val="single" w:sz="4" w:space="0" w:color="auto"/>
              <w:right w:val="single" w:sz="4" w:space="0" w:color="auto"/>
            </w:tcBorders>
            <w:shd w:val="clear" w:color="auto" w:fill="auto"/>
          </w:tcPr>
          <w:p w:rsidR="006C4EC2" w:rsidRPr="00124932" w:rsidRDefault="006C4EC2" w:rsidP="006C4EC2">
            <w:pPr>
              <w:jc w:val="both"/>
              <w:rPr>
                <w:rFonts w:ascii="Arial" w:hAnsi="Arial" w:cs="Arial"/>
                <w:sz w:val="20"/>
                <w:szCs w:val="20"/>
              </w:rPr>
            </w:pPr>
            <w:r w:rsidRPr="00124932">
              <w:rPr>
                <w:rFonts w:ascii="Arial" w:hAnsi="Arial" w:cs="Arial"/>
                <w:sz w:val="20"/>
                <w:szCs w:val="20"/>
              </w:rPr>
              <w:t>7 (3 to 14)</w:t>
            </w:r>
          </w:p>
        </w:tc>
        <w:tc>
          <w:tcPr>
            <w:tcW w:w="704" w:type="pct"/>
            <w:tcBorders>
              <w:top w:val="dotted" w:sz="4" w:space="0" w:color="auto"/>
              <w:left w:val="single" w:sz="4" w:space="0" w:color="auto"/>
              <w:bottom w:val="single" w:sz="4" w:space="0" w:color="auto"/>
              <w:right w:val="single" w:sz="4" w:space="0" w:color="auto"/>
            </w:tcBorders>
            <w:shd w:val="clear" w:color="auto" w:fill="auto"/>
          </w:tcPr>
          <w:p w:rsidR="006C4EC2" w:rsidRPr="00124932" w:rsidRDefault="006C4EC2" w:rsidP="006C4EC2">
            <w:pPr>
              <w:jc w:val="both"/>
              <w:rPr>
                <w:rFonts w:ascii="Arial" w:hAnsi="Arial" w:cs="Arial"/>
                <w:sz w:val="20"/>
                <w:szCs w:val="20"/>
              </w:rPr>
            </w:pPr>
            <w:r w:rsidRPr="00124932">
              <w:rPr>
                <w:rFonts w:ascii="Arial" w:hAnsi="Arial" w:cs="Arial"/>
                <w:sz w:val="20"/>
                <w:szCs w:val="20"/>
              </w:rPr>
              <w:t>2</w:t>
            </w:r>
          </w:p>
        </w:tc>
        <w:tc>
          <w:tcPr>
            <w:tcW w:w="784" w:type="pct"/>
            <w:tcBorders>
              <w:top w:val="dotted" w:sz="4" w:space="0" w:color="auto"/>
              <w:left w:val="single" w:sz="4" w:space="0" w:color="auto"/>
              <w:bottom w:val="single" w:sz="4" w:space="0" w:color="auto"/>
              <w:right w:val="single" w:sz="4" w:space="0" w:color="auto"/>
            </w:tcBorders>
            <w:shd w:val="clear" w:color="auto" w:fill="auto"/>
          </w:tcPr>
          <w:p w:rsidR="006C4EC2" w:rsidRPr="00124932" w:rsidRDefault="006C4EC2" w:rsidP="006C4EC2">
            <w:pPr>
              <w:jc w:val="both"/>
              <w:rPr>
                <w:rFonts w:ascii="Arial" w:hAnsi="Arial" w:cs="Arial"/>
                <w:sz w:val="20"/>
                <w:szCs w:val="20"/>
              </w:rPr>
            </w:pPr>
            <w:r w:rsidRPr="00124932">
              <w:rPr>
                <w:rFonts w:ascii="Arial" w:hAnsi="Arial" w:cs="Arial"/>
                <w:sz w:val="20"/>
                <w:szCs w:val="20"/>
              </w:rPr>
              <w:t>5 (1 to 12)</w:t>
            </w:r>
          </w:p>
        </w:tc>
      </w:tr>
    </w:tbl>
    <w:p w:rsidR="006C4EC2" w:rsidRPr="00124932" w:rsidRDefault="006C4EC2" w:rsidP="006C4EC2">
      <w:pPr>
        <w:jc w:val="both"/>
        <w:rPr>
          <w:rFonts w:ascii="Arial" w:hAnsi="Arial" w:cs="Arial"/>
          <w:sz w:val="20"/>
          <w:szCs w:val="20"/>
        </w:rPr>
      </w:pPr>
      <w:r w:rsidRPr="00124932">
        <w:rPr>
          <w:rFonts w:ascii="Arial" w:hAnsi="Arial" w:cs="Arial"/>
          <w:sz w:val="20"/>
          <w:szCs w:val="20"/>
        </w:rPr>
        <w:t>Source: compiled during the evaluation</w:t>
      </w:r>
    </w:p>
    <w:p w:rsidR="006C4EC2" w:rsidRPr="00124932" w:rsidRDefault="006C4EC2" w:rsidP="006C4EC2">
      <w:pPr>
        <w:ind w:left="165" w:hanging="165"/>
        <w:jc w:val="both"/>
        <w:rPr>
          <w:rFonts w:ascii="Arial" w:hAnsi="Arial" w:cs="Arial"/>
          <w:sz w:val="20"/>
          <w:szCs w:val="20"/>
        </w:rPr>
      </w:pPr>
      <w:proofErr w:type="gramStart"/>
      <w:r w:rsidRPr="00124932">
        <w:rPr>
          <w:rFonts w:ascii="Arial" w:hAnsi="Arial" w:cs="Arial"/>
          <w:sz w:val="20"/>
          <w:szCs w:val="20"/>
          <w:vertAlign w:val="superscript"/>
        </w:rPr>
        <w:t>a</w:t>
      </w:r>
      <w:proofErr w:type="gramEnd"/>
      <w:r w:rsidRPr="00124932">
        <w:rPr>
          <w:rFonts w:ascii="Arial" w:hAnsi="Arial" w:cs="Arial"/>
          <w:sz w:val="20"/>
          <w:szCs w:val="20"/>
        </w:rPr>
        <w:tab/>
        <w:t xml:space="preserve">lower doses of allopurinol 100mg/d (APEX) and 200mg/d (CONFIRMS) were administered to patient with renal impairment </w:t>
      </w:r>
    </w:p>
    <w:p w:rsidR="006C4EC2" w:rsidRPr="007F0AF0" w:rsidRDefault="006C4EC2" w:rsidP="006C4EC2">
      <w:pPr>
        <w:jc w:val="both"/>
        <w:rPr>
          <w:rFonts w:ascii="Arial" w:hAnsi="Arial" w:cs="Arial"/>
          <w:sz w:val="22"/>
          <w:szCs w:val="22"/>
        </w:rPr>
      </w:pPr>
    </w:p>
    <w:p w:rsidR="00BB219E" w:rsidRPr="003161B0" w:rsidRDefault="0004080D" w:rsidP="00BB219E">
      <w:pPr>
        <w:pStyle w:val="Heading3"/>
        <w:rPr>
          <w:rFonts w:ascii="Times New Roman" w:hAnsi="Times New Roman"/>
          <w:sz w:val="24"/>
          <w:szCs w:val="24"/>
        </w:rPr>
      </w:pPr>
      <w:r w:rsidRPr="003161B0">
        <w:rPr>
          <w:rFonts w:ascii="Times New Roman" w:hAnsi="Times New Roman"/>
          <w:sz w:val="24"/>
          <w:szCs w:val="24"/>
        </w:rPr>
        <w:t xml:space="preserve">9. </w:t>
      </w:r>
      <w:r w:rsidR="002A57B9" w:rsidRPr="003161B0">
        <w:rPr>
          <w:rFonts w:ascii="Times New Roman" w:hAnsi="Times New Roman"/>
          <w:sz w:val="24"/>
          <w:szCs w:val="24"/>
        </w:rPr>
        <w:t>Clinical Claim</w:t>
      </w:r>
    </w:p>
    <w:p w:rsidR="00B004A4" w:rsidRPr="003161B0" w:rsidRDefault="00B004A4" w:rsidP="00DA5BD4">
      <w:r w:rsidRPr="003161B0">
        <w:t>The submission described febuxostat as superior in terms of comparative effectiveness and non-inferior in terms of comparative safety over allopurinol.</w:t>
      </w:r>
    </w:p>
    <w:p w:rsidR="00B004A4" w:rsidRPr="003161B0" w:rsidRDefault="00B004A4" w:rsidP="00866872">
      <w:pPr>
        <w:tabs>
          <w:tab w:val="left" w:pos="6300"/>
        </w:tabs>
        <w:jc w:val="both"/>
      </w:pPr>
    </w:p>
    <w:p w:rsidR="00B004A4" w:rsidRPr="003161B0" w:rsidRDefault="00B004A4" w:rsidP="00B004A4">
      <w:pPr>
        <w:pStyle w:val="ListParagraph"/>
        <w:tabs>
          <w:tab w:val="left" w:pos="6300"/>
        </w:tabs>
        <w:ind w:left="0"/>
        <w:jc w:val="both"/>
      </w:pPr>
      <w:r w:rsidRPr="003161B0">
        <w:t xml:space="preserve">The PBAC considered this claim was reasonable in terms of safety, but that the </w:t>
      </w:r>
      <w:proofErr w:type="gramStart"/>
      <w:r w:rsidRPr="003161B0">
        <w:t>claim of superior comparative effectiveness was not supported by the evidence presented in the submission</w:t>
      </w:r>
      <w:proofErr w:type="gramEnd"/>
      <w:r w:rsidRPr="003161B0">
        <w:t xml:space="preserve">.  </w:t>
      </w:r>
    </w:p>
    <w:p w:rsidR="00BB219E" w:rsidRPr="003161B0" w:rsidRDefault="0004080D" w:rsidP="00BB219E">
      <w:pPr>
        <w:pStyle w:val="Heading3"/>
        <w:rPr>
          <w:rFonts w:ascii="Times New Roman" w:hAnsi="Times New Roman"/>
          <w:sz w:val="24"/>
          <w:szCs w:val="24"/>
        </w:rPr>
      </w:pPr>
      <w:r w:rsidRPr="003161B0">
        <w:rPr>
          <w:rFonts w:ascii="Times New Roman" w:hAnsi="Times New Roman"/>
          <w:sz w:val="24"/>
          <w:szCs w:val="24"/>
        </w:rPr>
        <w:t xml:space="preserve">10. </w:t>
      </w:r>
      <w:r w:rsidR="002A57B9" w:rsidRPr="003161B0">
        <w:rPr>
          <w:rFonts w:ascii="Times New Roman" w:hAnsi="Times New Roman"/>
          <w:sz w:val="24"/>
          <w:szCs w:val="24"/>
        </w:rPr>
        <w:t>Economic Analysis</w:t>
      </w:r>
      <w:r w:rsidR="009102D9" w:rsidRPr="003161B0">
        <w:rPr>
          <w:rFonts w:ascii="Times New Roman" w:hAnsi="Times New Roman"/>
          <w:sz w:val="24"/>
          <w:szCs w:val="24"/>
        </w:rPr>
        <w:t xml:space="preserve"> </w:t>
      </w:r>
    </w:p>
    <w:p w:rsidR="00CB7C19" w:rsidRDefault="00CB7C19" w:rsidP="00113927">
      <w:pPr>
        <w:jc w:val="both"/>
      </w:pPr>
      <w:r>
        <w:t>The submission presented a cost utility consisting of stepped economic evaluation. The submission presented an</w:t>
      </w:r>
      <w:r w:rsidR="008811E6">
        <w:t xml:space="preserve"> incremental cost-effectiveness ratio (</w:t>
      </w:r>
      <w:r>
        <w:t>ICER</w:t>
      </w:r>
      <w:r w:rsidR="008811E6">
        <w:t>) for the 80 mg strength in</w:t>
      </w:r>
      <w:r>
        <w:t xml:space="preserve"> the range of $15,000-$45,000 per quality adjusted life year (QALY).</w:t>
      </w:r>
    </w:p>
    <w:p w:rsidR="00323798" w:rsidRDefault="00323798" w:rsidP="00113927">
      <w:pPr>
        <w:jc w:val="both"/>
      </w:pPr>
    </w:p>
    <w:p w:rsidR="00F647A4" w:rsidRPr="003161B0" w:rsidRDefault="00F647A4" w:rsidP="00F647A4">
      <w:pPr>
        <w:pStyle w:val="ListParagraph"/>
        <w:ind w:left="0"/>
        <w:jc w:val="both"/>
      </w:pPr>
      <w:r w:rsidRPr="003161B0">
        <w:t xml:space="preserve">The utility estimates </w:t>
      </w:r>
      <w:proofErr w:type="gramStart"/>
      <w:r w:rsidRPr="003161B0">
        <w:t>were driven</w:t>
      </w:r>
      <w:proofErr w:type="gramEnd"/>
      <w:r w:rsidRPr="003161B0">
        <w:t xml:space="preserve"> by sUA levels based on the IMS observation study, resulting in the utilities in the model being independent of flares or tophi. The PBAC noted that the range of utilities in both groups of patients was wide and covered worse than death to </w:t>
      </w:r>
      <w:r w:rsidRPr="003161B0">
        <w:lastRenderedPageBreak/>
        <w:t>full health, for example patients not experiencing a flare had a mean utility value 0.710 (0.683,0.736, range: -0.429 to 1)</w:t>
      </w:r>
      <w:r w:rsidR="00711D93">
        <w:t>.</w:t>
      </w:r>
      <w:r w:rsidRPr="003161B0">
        <w:t xml:space="preserve"> </w:t>
      </w:r>
    </w:p>
    <w:p w:rsidR="00F647A4" w:rsidRPr="003161B0" w:rsidRDefault="00F647A4" w:rsidP="00F647A4">
      <w:pPr>
        <w:pStyle w:val="ListParagraph"/>
        <w:jc w:val="both"/>
      </w:pPr>
    </w:p>
    <w:p w:rsidR="00F647A4" w:rsidRPr="003161B0" w:rsidRDefault="00F647A4" w:rsidP="00F647A4">
      <w:pPr>
        <w:pStyle w:val="ListParagraph"/>
        <w:ind w:left="0"/>
        <w:jc w:val="both"/>
      </w:pPr>
      <w:r w:rsidRPr="003161B0">
        <w:t xml:space="preserve">The economic evaluation </w:t>
      </w:r>
      <w:proofErr w:type="gramStart"/>
      <w:r w:rsidRPr="003161B0">
        <w:t>was structured</w:t>
      </w:r>
      <w:proofErr w:type="gramEnd"/>
      <w:r w:rsidRPr="003161B0">
        <w:t xml:space="preserve"> with four alternative fixed dose treatment groups: febuxostat 80 mg daily (FBX80), febuxostat 120 mg daily (FBX120), allopurinol 300 mg daily (ALO300) and placebo.  In the event of treatment discontinuation, patients in each of the three “active” treatment groups </w:t>
      </w:r>
      <w:proofErr w:type="gramStart"/>
      <w:r w:rsidRPr="003161B0">
        <w:t>were assumed</w:t>
      </w:r>
      <w:proofErr w:type="gramEnd"/>
      <w:r w:rsidRPr="003161B0">
        <w:t xml:space="preserve"> to revert to placebo/no treatment.  Similar to the trials, no dose escalation of treatment </w:t>
      </w:r>
      <w:proofErr w:type="gramStart"/>
      <w:r w:rsidRPr="003161B0">
        <w:t>wa</w:t>
      </w:r>
      <w:r w:rsidR="00133CFF" w:rsidRPr="003161B0">
        <w:t xml:space="preserve">s </w:t>
      </w:r>
      <w:r w:rsidRPr="003161B0">
        <w:t>permitted</w:t>
      </w:r>
      <w:proofErr w:type="gramEnd"/>
      <w:r w:rsidRPr="003161B0">
        <w:t xml:space="preserve"> for eit</w:t>
      </w:r>
      <w:r w:rsidR="00133CFF" w:rsidRPr="003161B0">
        <w:t xml:space="preserve">her febuxostat or allopurinol. </w:t>
      </w:r>
      <w:r w:rsidRPr="003161B0">
        <w:t>The PBAC considered that the model presented was not representative of clinical practice as there was no option for dose-escalation or trying alternative treatments.</w:t>
      </w:r>
    </w:p>
    <w:p w:rsidR="00F647A4" w:rsidRPr="003161B0" w:rsidRDefault="00F647A4" w:rsidP="00866872">
      <w:pPr>
        <w:jc w:val="both"/>
      </w:pPr>
    </w:p>
    <w:p w:rsidR="00F647A4" w:rsidRPr="003161B0" w:rsidRDefault="00F647A4" w:rsidP="00F647A4">
      <w:pPr>
        <w:pStyle w:val="ListParagraph"/>
        <w:ind w:left="0"/>
        <w:jc w:val="both"/>
      </w:pPr>
      <w:r w:rsidRPr="003161B0">
        <w:t xml:space="preserve">The PBAC noted that the model </w:t>
      </w:r>
      <w:proofErr w:type="gramStart"/>
      <w:r w:rsidRPr="003161B0">
        <w:t>was driven</w:t>
      </w:r>
      <w:proofErr w:type="gramEnd"/>
      <w:r w:rsidRPr="003161B0">
        <w:t xml:space="preserve"> by several assumptions, all of which favoured febuxostat:</w:t>
      </w:r>
    </w:p>
    <w:p w:rsidR="00711D93" w:rsidRDefault="00F647A4" w:rsidP="00711D93">
      <w:pPr>
        <w:pStyle w:val="ListParagraph"/>
        <w:numPr>
          <w:ilvl w:val="0"/>
          <w:numId w:val="15"/>
        </w:numPr>
        <w:ind w:left="567" w:hanging="283"/>
        <w:jc w:val="both"/>
      </w:pPr>
      <w:r w:rsidRPr="003161B0">
        <w:t xml:space="preserve">In the event of treatment discontinuation, patients in each of the three “active” treatment groups </w:t>
      </w:r>
      <w:proofErr w:type="gramStart"/>
      <w:r w:rsidRPr="003161B0">
        <w:t>were assumed</w:t>
      </w:r>
      <w:proofErr w:type="gramEnd"/>
      <w:r w:rsidRPr="003161B0">
        <w:t xml:space="preserve"> to revert to placebo/no treatment (i.e. there was no consideration of treatment sequencing). </w:t>
      </w:r>
    </w:p>
    <w:p w:rsidR="00711D93" w:rsidRDefault="00F647A4" w:rsidP="00711D93">
      <w:pPr>
        <w:pStyle w:val="ListParagraph"/>
        <w:numPr>
          <w:ilvl w:val="0"/>
          <w:numId w:val="15"/>
        </w:numPr>
        <w:ind w:left="567" w:hanging="283"/>
        <w:jc w:val="both"/>
      </w:pPr>
      <w:r w:rsidRPr="003161B0">
        <w:t xml:space="preserve">The dose of allopurinol </w:t>
      </w:r>
      <w:proofErr w:type="gramStart"/>
      <w:r w:rsidRPr="003161B0">
        <w:t>was fixed</w:t>
      </w:r>
      <w:proofErr w:type="gramEnd"/>
      <w:r w:rsidRPr="003161B0">
        <w:t xml:space="preserve"> at 300mg per day.  Although this was consistent with the trials, best clinical practice allows dose escalation to 900mg per day.</w:t>
      </w:r>
    </w:p>
    <w:p w:rsidR="00711D93" w:rsidRDefault="00F647A4" w:rsidP="00711D93">
      <w:pPr>
        <w:pStyle w:val="ListParagraph"/>
        <w:numPr>
          <w:ilvl w:val="0"/>
          <w:numId w:val="15"/>
        </w:numPr>
        <w:ind w:left="567" w:hanging="283"/>
        <w:jc w:val="both"/>
      </w:pPr>
      <w:r w:rsidRPr="003161B0">
        <w:t xml:space="preserve">Lowering of sUA </w:t>
      </w:r>
      <w:proofErr w:type="gramStart"/>
      <w:r w:rsidRPr="003161B0">
        <w:t>was assumed</w:t>
      </w:r>
      <w:proofErr w:type="gramEnd"/>
      <w:r w:rsidRPr="003161B0">
        <w:t xml:space="preserve"> to lead to utility improvements independently of flares, which were assigned their own disutility.  This was considered </w:t>
      </w:r>
      <w:proofErr w:type="gramStart"/>
      <w:r w:rsidRPr="003161B0">
        <w:t>inappropriate</w:t>
      </w:r>
      <w:proofErr w:type="gramEnd"/>
      <w:r w:rsidRPr="003161B0">
        <w:t xml:space="preserve"> as gout is generally asymptomatic in absence of flare or tophi.</w:t>
      </w:r>
    </w:p>
    <w:p w:rsidR="00711D93" w:rsidRDefault="00F647A4" w:rsidP="00711D93">
      <w:pPr>
        <w:pStyle w:val="ListParagraph"/>
        <w:numPr>
          <w:ilvl w:val="0"/>
          <w:numId w:val="15"/>
        </w:numPr>
        <w:ind w:left="567" w:hanging="283"/>
        <w:jc w:val="both"/>
      </w:pPr>
      <w:r w:rsidRPr="003161B0">
        <w:t xml:space="preserve">The probability of gout flares </w:t>
      </w:r>
      <w:proofErr w:type="gramStart"/>
      <w:r w:rsidRPr="003161B0">
        <w:t>was assumed</w:t>
      </w:r>
      <w:proofErr w:type="gramEnd"/>
      <w:r w:rsidRPr="003161B0">
        <w:t xml:space="preserve"> to increase for each additional sUA category.  The PBAC considered that this relationship is not robust or well established, and noted that none of the included trials demonstrated a benefit for flares, despite reduced sUA levels.</w:t>
      </w:r>
    </w:p>
    <w:p w:rsidR="00F647A4" w:rsidRPr="003161B0" w:rsidRDefault="00F647A4" w:rsidP="00711D93">
      <w:pPr>
        <w:pStyle w:val="ListParagraph"/>
        <w:numPr>
          <w:ilvl w:val="0"/>
          <w:numId w:val="15"/>
        </w:numPr>
        <w:ind w:left="567" w:hanging="283"/>
        <w:jc w:val="both"/>
      </w:pPr>
      <w:r w:rsidRPr="003161B0">
        <w:t>Last observation carried forward (LOCF) was used to extrapolate sUA response from the FACT and APEX trials.  The PBAC noted that the EXCEL trial (at 3 years) did not find any significant difference between febuxostat (both dosages) and allopurinol in sUA response or flares.</w:t>
      </w:r>
    </w:p>
    <w:p w:rsidR="00F647A4" w:rsidRPr="003161B0" w:rsidRDefault="00F647A4" w:rsidP="00F647A4">
      <w:pPr>
        <w:pStyle w:val="ListParagraph"/>
        <w:jc w:val="both"/>
        <w:rPr>
          <w:i/>
        </w:rPr>
      </w:pPr>
    </w:p>
    <w:p w:rsidR="00F647A4" w:rsidRPr="003161B0" w:rsidRDefault="00F647A4" w:rsidP="00F647A4">
      <w:pPr>
        <w:pStyle w:val="ListParagraph"/>
        <w:ind w:left="0"/>
        <w:jc w:val="both"/>
      </w:pPr>
      <w:r w:rsidRPr="003161B0">
        <w:t>The PBAC noted that in addition to the above issues, the ESC highlighted the following concerns:</w:t>
      </w:r>
    </w:p>
    <w:p w:rsidR="00711D93" w:rsidRDefault="00F647A4" w:rsidP="00711D93">
      <w:pPr>
        <w:pStyle w:val="ListParagraph"/>
        <w:numPr>
          <w:ilvl w:val="0"/>
          <w:numId w:val="18"/>
        </w:numPr>
        <w:ind w:left="567" w:hanging="207"/>
        <w:jc w:val="both"/>
      </w:pPr>
      <w:r w:rsidRPr="003161B0">
        <w:t>FACT (52 week trial) and APEX (28 week trial) were used in the model but only APEX has a placebo arm, which is used in the model;</w:t>
      </w:r>
    </w:p>
    <w:p w:rsidR="00F647A4" w:rsidRPr="003161B0" w:rsidRDefault="00F647A4" w:rsidP="00711D93">
      <w:pPr>
        <w:pStyle w:val="ListParagraph"/>
        <w:numPr>
          <w:ilvl w:val="0"/>
          <w:numId w:val="18"/>
        </w:numPr>
        <w:ind w:left="567" w:hanging="207"/>
        <w:jc w:val="both"/>
      </w:pPr>
      <w:r w:rsidRPr="003161B0">
        <w:t xml:space="preserve">The IMS cross-section retrospective observational cohort for utility values (EQ5D) </w:t>
      </w:r>
      <w:proofErr w:type="gramStart"/>
      <w:r w:rsidRPr="003161B0">
        <w:t>was used</w:t>
      </w:r>
      <w:proofErr w:type="gramEnd"/>
      <w:r w:rsidRPr="003161B0">
        <w:t xml:space="preserve"> despite no evidence of QoL gain in the trials</w:t>
      </w:r>
      <w:r w:rsidRPr="00711D93">
        <w:rPr>
          <w:i/>
        </w:rPr>
        <w:t>.</w:t>
      </w:r>
    </w:p>
    <w:p w:rsidR="00F647A4" w:rsidRPr="003161B0" w:rsidRDefault="00F647A4" w:rsidP="00F647A4">
      <w:pPr>
        <w:pStyle w:val="ListParagraph"/>
        <w:jc w:val="both"/>
      </w:pPr>
    </w:p>
    <w:p w:rsidR="00F647A4" w:rsidRPr="003161B0" w:rsidRDefault="00F647A4" w:rsidP="00F647A4">
      <w:pPr>
        <w:pStyle w:val="ListParagraph"/>
        <w:ind w:left="0"/>
        <w:jc w:val="both"/>
      </w:pPr>
      <w:r w:rsidRPr="003161B0">
        <w:t>Overall, the PBAC considered that the model presented in the submission was not a robust basis for making a subsidisation recommendation, and that the ICER was not reliable.</w:t>
      </w:r>
    </w:p>
    <w:p w:rsidR="00F647A4" w:rsidRPr="003161B0" w:rsidRDefault="00F647A4" w:rsidP="00F647A4">
      <w:pPr>
        <w:pStyle w:val="ListParagraph"/>
        <w:jc w:val="both"/>
      </w:pPr>
    </w:p>
    <w:p w:rsidR="00F647A4" w:rsidRPr="003161B0" w:rsidRDefault="00F647A4" w:rsidP="00F647A4">
      <w:pPr>
        <w:pStyle w:val="ListParagraph"/>
        <w:ind w:left="0"/>
        <w:jc w:val="both"/>
      </w:pPr>
      <w:r w:rsidRPr="003161B0">
        <w:t>The PBAC noted the cost minimisation analysis of febuxostat (80mg and 120mg/d) versus allopurinol (300mg/d), conducted during the evaluation and</w:t>
      </w:r>
      <w:r w:rsidRPr="003161B0">
        <w:rPr>
          <w:i/>
        </w:rPr>
        <w:t xml:space="preserve"> </w:t>
      </w:r>
      <w:r w:rsidRPr="003161B0">
        <w:t>corrected in the sponsor’s pre-sub-committee response (PSCR p4), resulted in a dispensed price for maximum quantity (DPMQ) that was less than one sixth of the requested price for the 80 mg strength.  The PBAC noted the sponsor’s advice that it was not realistic that febuxostat could be launched in Australia at the cost-minimised price.</w:t>
      </w:r>
    </w:p>
    <w:p w:rsidR="00F647A4" w:rsidRDefault="00AB1EA9" w:rsidP="00F647A4">
      <w:pPr>
        <w:pStyle w:val="ListParagraph"/>
        <w:ind w:left="0"/>
        <w:jc w:val="both"/>
      </w:pPr>
      <w:r w:rsidRPr="00AB1EA9">
        <w:t xml:space="preserve">The PBAC noted the submission estimated an ICER </w:t>
      </w:r>
      <w:r>
        <w:t>less than $15,000</w:t>
      </w:r>
      <w:r w:rsidRPr="00AB1EA9">
        <w:t xml:space="preserve"> per QALY when febuxostat 80mg </w:t>
      </w:r>
      <w:proofErr w:type="gramStart"/>
      <w:r w:rsidRPr="00AB1EA9">
        <w:t>was compared</w:t>
      </w:r>
      <w:proofErr w:type="gramEnd"/>
      <w:r w:rsidRPr="00AB1EA9">
        <w:t xml:space="preserve"> to placebo. The PBAC considered that febuxostat </w:t>
      </w:r>
      <w:proofErr w:type="gramStart"/>
      <w:r w:rsidRPr="00AB1EA9">
        <w:t>may</w:t>
      </w:r>
      <w:proofErr w:type="gramEnd"/>
      <w:r w:rsidRPr="00AB1EA9">
        <w:t xml:space="preserve"> potentially be a cost effective treatment of gout in patients unable to continue treatment with </w:t>
      </w:r>
      <w:r w:rsidRPr="00AB1EA9">
        <w:lastRenderedPageBreak/>
        <w:t>allopurinol due to intolerance (i.e., a second-line setting, in which placebo would be an appropriate comparator).  However</w:t>
      </w:r>
      <w:r>
        <w:t>,</w:t>
      </w:r>
      <w:r w:rsidRPr="00AB1EA9">
        <w:t xml:space="preserve"> the economic model presented in the submission did not allow PBAC to be confident of the value of febuxostat in this particular population.</w:t>
      </w:r>
    </w:p>
    <w:p w:rsidR="007A750C" w:rsidRPr="00AB1EA9" w:rsidRDefault="007A750C" w:rsidP="00F647A4">
      <w:pPr>
        <w:pStyle w:val="ListParagraph"/>
        <w:ind w:left="0"/>
        <w:jc w:val="both"/>
      </w:pPr>
    </w:p>
    <w:p w:rsidR="00BB219E" w:rsidRPr="003161B0" w:rsidRDefault="002A57B9" w:rsidP="00BB219E">
      <w:pPr>
        <w:pStyle w:val="Heading3"/>
        <w:rPr>
          <w:rFonts w:ascii="Times New Roman" w:hAnsi="Times New Roman"/>
          <w:sz w:val="24"/>
          <w:szCs w:val="24"/>
        </w:rPr>
      </w:pPr>
      <w:r w:rsidRPr="003161B0">
        <w:rPr>
          <w:rFonts w:ascii="Times New Roman" w:hAnsi="Times New Roman"/>
          <w:sz w:val="24"/>
          <w:szCs w:val="24"/>
        </w:rPr>
        <w:t>11.</w:t>
      </w:r>
      <w:r w:rsidRPr="003161B0">
        <w:rPr>
          <w:rFonts w:ascii="Times New Roman" w:hAnsi="Times New Roman"/>
          <w:sz w:val="24"/>
          <w:szCs w:val="24"/>
        </w:rPr>
        <w:tab/>
        <w:t>Estimated PBS Usage and Financial Implications</w:t>
      </w:r>
      <w:r w:rsidR="009102D9" w:rsidRPr="003161B0">
        <w:rPr>
          <w:rFonts w:ascii="Times New Roman" w:hAnsi="Times New Roman"/>
          <w:sz w:val="24"/>
          <w:szCs w:val="24"/>
        </w:rPr>
        <w:t xml:space="preserve"> </w:t>
      </w:r>
    </w:p>
    <w:p w:rsidR="00133CFF" w:rsidRPr="003161B0" w:rsidRDefault="00133CFF" w:rsidP="00133CFF">
      <w:pPr>
        <w:pStyle w:val="ListParagraph"/>
        <w:ind w:left="0"/>
        <w:jc w:val="both"/>
        <w:rPr>
          <w:b/>
          <w:color w:val="00B050"/>
        </w:rPr>
      </w:pPr>
      <w:r w:rsidRPr="003161B0">
        <w:rPr>
          <w:iCs/>
        </w:rPr>
        <w:t xml:space="preserve">The PBAC noted that the utilisation estimates for the requested population appeared low. The estimated proportion of allopurinol and probenecid use related to gout </w:t>
      </w:r>
      <w:proofErr w:type="gramStart"/>
      <w:r w:rsidRPr="003161B0">
        <w:rPr>
          <w:iCs/>
        </w:rPr>
        <w:t>was considered</w:t>
      </w:r>
      <w:proofErr w:type="gramEnd"/>
      <w:r w:rsidRPr="003161B0">
        <w:rPr>
          <w:iCs/>
        </w:rPr>
        <w:t xml:space="preserve"> low and the overall estimates were highly sensitive to this assumption. The PBAC considered that there </w:t>
      </w:r>
      <w:proofErr w:type="gramStart"/>
      <w:r w:rsidRPr="003161B0">
        <w:rPr>
          <w:iCs/>
        </w:rPr>
        <w:t>may</w:t>
      </w:r>
      <w:proofErr w:type="gramEnd"/>
      <w:r w:rsidRPr="003161B0">
        <w:rPr>
          <w:iCs/>
        </w:rPr>
        <w:t xml:space="preserve"> also be a large untreated pool, including patients who have not persisted with treatment and patients who are treating their symptoms with over the counter NSAIDs</w:t>
      </w:r>
      <w:r w:rsidRPr="003161B0">
        <w:rPr>
          <w:i/>
          <w:iCs/>
        </w:rPr>
        <w:t>.</w:t>
      </w:r>
    </w:p>
    <w:p w:rsidR="00133CFF" w:rsidRPr="003161B0" w:rsidRDefault="00133CFF" w:rsidP="00133CFF">
      <w:pPr>
        <w:jc w:val="both"/>
        <w:rPr>
          <w:b/>
          <w:color w:val="00B050"/>
        </w:rPr>
      </w:pPr>
    </w:p>
    <w:p w:rsidR="00133CFF" w:rsidRPr="003161B0" w:rsidRDefault="00133CFF" w:rsidP="00133CFF">
      <w:pPr>
        <w:pStyle w:val="ListParagraph"/>
        <w:ind w:left="0"/>
        <w:jc w:val="both"/>
        <w:rPr>
          <w:b/>
          <w:color w:val="00B050"/>
        </w:rPr>
      </w:pPr>
      <w:r w:rsidRPr="003161B0">
        <w:t xml:space="preserve">A sensitivity analysis conducted by the Drug Utilisation Sub-Committee (DUSC) showed </w:t>
      </w:r>
      <w:r w:rsidRPr="003161B0">
        <w:rPr>
          <w:iCs/>
        </w:rPr>
        <w:t xml:space="preserve">that the financial implications were most sensitive to the proportion of allopurinol and probenecid that </w:t>
      </w:r>
      <w:proofErr w:type="gramStart"/>
      <w:r w:rsidRPr="003161B0">
        <w:rPr>
          <w:iCs/>
        </w:rPr>
        <w:t>were assumed</w:t>
      </w:r>
      <w:proofErr w:type="gramEnd"/>
      <w:r w:rsidRPr="003161B0">
        <w:rPr>
          <w:iCs/>
        </w:rPr>
        <w:t xml:space="preserve"> to be for gout, and the assumed market uptake for febuxostat.  A sensitivity analysis assuming adherence of 75% and assuming 90% of allopurinol and probenecid utilisation for gout resulted in a total cost</w:t>
      </w:r>
      <w:r w:rsidR="00356CD0">
        <w:rPr>
          <w:iCs/>
        </w:rPr>
        <w:t xml:space="preserve"> in the range of 30-60 million </w:t>
      </w:r>
      <w:r w:rsidRPr="003161B0">
        <w:rPr>
          <w:iCs/>
        </w:rPr>
        <w:t>in year five of listing.</w:t>
      </w:r>
    </w:p>
    <w:p w:rsidR="00133CFF" w:rsidRPr="003161B0" w:rsidRDefault="00133CFF" w:rsidP="00133CFF">
      <w:pPr>
        <w:pStyle w:val="ListParagraph"/>
        <w:jc w:val="both"/>
      </w:pPr>
    </w:p>
    <w:p w:rsidR="00133CFF" w:rsidRPr="003161B0" w:rsidRDefault="00133CFF" w:rsidP="00133CFF">
      <w:pPr>
        <w:pStyle w:val="ListParagraph"/>
        <w:ind w:left="0"/>
        <w:jc w:val="both"/>
      </w:pPr>
      <w:r w:rsidRPr="003161B0">
        <w:t xml:space="preserve">The PBAC considered that both the epidemiological and the market share approaches underestimated the likely use (and therefore cost) for the first line restriction requested in the submission. </w:t>
      </w:r>
    </w:p>
    <w:p w:rsidR="00133CFF" w:rsidRPr="003161B0" w:rsidRDefault="00133CFF" w:rsidP="00133CFF">
      <w:pPr>
        <w:pStyle w:val="ListParagraph"/>
        <w:jc w:val="both"/>
      </w:pPr>
    </w:p>
    <w:p w:rsidR="00133CFF" w:rsidRPr="003161B0" w:rsidRDefault="00133CFF" w:rsidP="00133CFF">
      <w:pPr>
        <w:pStyle w:val="ListParagraph"/>
        <w:ind w:left="0"/>
        <w:jc w:val="both"/>
      </w:pPr>
      <w:r w:rsidRPr="003161B0">
        <w:t>The PBAC considered the DUSC advice in relation to defining the potential febuxostat second-line population of patients who are unable to tolerate allopurinol:</w:t>
      </w:r>
    </w:p>
    <w:p w:rsidR="00133CFF" w:rsidRPr="003161B0" w:rsidRDefault="00133CFF" w:rsidP="00133CFF">
      <w:pPr>
        <w:pStyle w:val="ListParagraph"/>
        <w:numPr>
          <w:ilvl w:val="0"/>
          <w:numId w:val="16"/>
        </w:numPr>
        <w:autoSpaceDE w:val="0"/>
        <w:autoSpaceDN w:val="0"/>
        <w:adjustRightInd w:val="0"/>
        <w:jc w:val="both"/>
        <w:rPr>
          <w:iCs/>
        </w:rPr>
      </w:pPr>
      <w:r w:rsidRPr="003161B0">
        <w:rPr>
          <w:iCs/>
        </w:rPr>
        <w:t xml:space="preserve">The incidence of allopurinol hypersensitivity is </w:t>
      </w:r>
      <w:r w:rsidRPr="003161B0">
        <w:t>unknown</w:t>
      </w:r>
      <w:proofErr w:type="gramStart"/>
      <w:r w:rsidRPr="003161B0">
        <w:t>;</w:t>
      </w:r>
      <w:proofErr w:type="gramEnd"/>
      <w:r w:rsidRPr="003161B0">
        <w:t xml:space="preserve"> although it is estimated to be approximately 0.1%.</w:t>
      </w:r>
      <w:r w:rsidRPr="003161B0">
        <w:rPr>
          <w:rStyle w:val="FootnoteReference"/>
        </w:rPr>
        <w:footnoteReference w:id="2"/>
      </w:r>
      <w:r w:rsidRPr="003161B0">
        <w:t xml:space="preserve">  </w:t>
      </w:r>
      <w:r w:rsidRPr="003161B0">
        <w:rPr>
          <w:iCs/>
        </w:rPr>
        <w:t xml:space="preserve">Allopurinol hypersensitivity can manifest in differing severity, with the most serious being severe cutaneous adverse reactions (i.e. </w:t>
      </w:r>
      <w:proofErr w:type="gramStart"/>
      <w:r w:rsidRPr="003161B0">
        <w:rPr>
          <w:iCs/>
        </w:rPr>
        <w:t>Stevens-Johnson Syndrome</w:t>
      </w:r>
      <w:proofErr w:type="gramEnd"/>
      <w:r w:rsidRPr="003161B0">
        <w:rPr>
          <w:iCs/>
        </w:rPr>
        <w:t xml:space="preserve"> and Toxic Epidermal </w:t>
      </w:r>
      <w:proofErr w:type="spellStart"/>
      <w:r w:rsidRPr="003161B0">
        <w:rPr>
          <w:iCs/>
        </w:rPr>
        <w:t>Necrolysis</w:t>
      </w:r>
      <w:proofErr w:type="spellEnd"/>
      <w:r w:rsidRPr="003161B0">
        <w:rPr>
          <w:iCs/>
        </w:rPr>
        <w:t>), occurring in about one person in 56,000 per year.</w:t>
      </w:r>
      <w:r w:rsidRPr="003161B0">
        <w:rPr>
          <w:rStyle w:val="FootnoteReference"/>
          <w:iCs/>
        </w:rPr>
        <w:footnoteReference w:id="3"/>
      </w:r>
    </w:p>
    <w:p w:rsidR="00133CFF" w:rsidRPr="003161B0" w:rsidRDefault="00133CFF" w:rsidP="00133CFF">
      <w:pPr>
        <w:pStyle w:val="ListParagraph"/>
        <w:widowControl w:val="0"/>
        <w:numPr>
          <w:ilvl w:val="0"/>
          <w:numId w:val="16"/>
        </w:numPr>
        <w:jc w:val="both"/>
        <w:rPr>
          <w:iCs/>
        </w:rPr>
      </w:pPr>
      <w:r w:rsidRPr="003161B0">
        <w:rPr>
          <w:iCs/>
        </w:rPr>
        <w:t xml:space="preserve">Given that probenecid is less effective at reducing uric acid levels than allopurinol, it </w:t>
      </w:r>
      <w:proofErr w:type="gramStart"/>
      <w:r w:rsidRPr="003161B0">
        <w:rPr>
          <w:iCs/>
        </w:rPr>
        <w:t>could be assumed</w:t>
      </w:r>
      <w:proofErr w:type="gramEnd"/>
      <w:r w:rsidRPr="003161B0">
        <w:rPr>
          <w:iCs/>
        </w:rPr>
        <w:t xml:space="preserve"> that patients take probenecid when they are contraindicated to allopurinol and this could be a proxy for allopurinol intolerance. 1,214,530 allopurinol prescriptions and 19,061 probenecid prescriptions were supplied on the R/PBS in 2012-13; </w:t>
      </w:r>
      <w:proofErr w:type="gramStart"/>
      <w:r w:rsidRPr="003161B0">
        <w:rPr>
          <w:iCs/>
        </w:rPr>
        <w:t>therefore</w:t>
      </w:r>
      <w:proofErr w:type="gramEnd"/>
      <w:r w:rsidRPr="003161B0">
        <w:rPr>
          <w:iCs/>
        </w:rPr>
        <w:t xml:space="preserve"> probenecid prescriptions accounted for 1.5% of the total gout prescriptions (allopurinol plus probenecid).  </w:t>
      </w:r>
    </w:p>
    <w:p w:rsidR="00133CFF" w:rsidRPr="003161B0" w:rsidRDefault="00133CFF" w:rsidP="00133CFF">
      <w:pPr>
        <w:pStyle w:val="ListParagraph"/>
        <w:widowControl w:val="0"/>
        <w:numPr>
          <w:ilvl w:val="0"/>
          <w:numId w:val="16"/>
        </w:numPr>
        <w:jc w:val="both"/>
        <w:rPr>
          <w:lang w:val="en-US"/>
        </w:rPr>
      </w:pPr>
      <w:r w:rsidRPr="003161B0">
        <w:rPr>
          <w:lang w:val="en-US"/>
        </w:rPr>
        <w:t xml:space="preserve">A review by </w:t>
      </w:r>
      <w:proofErr w:type="spellStart"/>
      <w:r w:rsidRPr="003161B0">
        <w:rPr>
          <w:lang w:val="en-US"/>
        </w:rPr>
        <w:t>Wortmann</w:t>
      </w:r>
      <w:proofErr w:type="spellEnd"/>
      <w:r w:rsidRPr="003161B0">
        <w:rPr>
          <w:rStyle w:val="FootnoteReference"/>
          <w:lang w:val="en-US"/>
        </w:rPr>
        <w:footnoteReference w:id="4"/>
      </w:r>
      <w:r w:rsidRPr="003161B0">
        <w:rPr>
          <w:lang w:val="en-US"/>
        </w:rPr>
        <w:t xml:space="preserve"> (2005) suggested approximately 5% of patients treated with allopurinol discontinue due to AEs. This paper may give an indication of the proportion of patients unable to continue to take allopurinol due to adverse effects (who could potentially use febuxostat second line). </w:t>
      </w:r>
    </w:p>
    <w:p w:rsidR="007A750C" w:rsidRDefault="007A750C" w:rsidP="00133CFF">
      <w:pPr>
        <w:pStyle w:val="ListParagraph"/>
        <w:ind w:left="0"/>
        <w:jc w:val="both"/>
      </w:pPr>
    </w:p>
    <w:p w:rsidR="00133CFF" w:rsidRDefault="00133CFF" w:rsidP="00133CFF">
      <w:pPr>
        <w:pStyle w:val="ListParagraph"/>
        <w:ind w:left="0"/>
        <w:jc w:val="both"/>
      </w:pPr>
      <w:r w:rsidRPr="003161B0">
        <w:t>The PBAC therefore considered that it was reasonable to estimate that between 0.1 and 5% of patients would be intolerant of allopurinol.</w:t>
      </w:r>
    </w:p>
    <w:p w:rsidR="007A750C" w:rsidRPr="003161B0" w:rsidRDefault="007A750C" w:rsidP="00133CFF">
      <w:pPr>
        <w:pStyle w:val="ListParagraph"/>
        <w:ind w:left="0"/>
        <w:jc w:val="both"/>
      </w:pPr>
    </w:p>
    <w:p w:rsidR="00BB219E" w:rsidRPr="003161B0" w:rsidRDefault="00BB219E" w:rsidP="00BB219E">
      <w:pPr>
        <w:pStyle w:val="Heading3"/>
        <w:rPr>
          <w:rFonts w:ascii="Times New Roman" w:hAnsi="Times New Roman"/>
          <w:sz w:val="24"/>
          <w:szCs w:val="24"/>
        </w:rPr>
      </w:pPr>
      <w:r w:rsidRPr="003161B0">
        <w:rPr>
          <w:rFonts w:ascii="Times New Roman" w:hAnsi="Times New Roman"/>
          <w:sz w:val="24"/>
          <w:szCs w:val="24"/>
        </w:rPr>
        <w:t xml:space="preserve">12. </w:t>
      </w:r>
      <w:r w:rsidR="007A750C">
        <w:rPr>
          <w:rFonts w:ascii="Times New Roman" w:hAnsi="Times New Roman"/>
          <w:sz w:val="24"/>
          <w:szCs w:val="24"/>
        </w:rPr>
        <w:t>PBAC Outcome</w:t>
      </w:r>
      <w:r w:rsidR="009102D9" w:rsidRPr="003161B0">
        <w:rPr>
          <w:rFonts w:ascii="Times New Roman" w:hAnsi="Times New Roman"/>
          <w:sz w:val="24"/>
          <w:szCs w:val="24"/>
        </w:rPr>
        <w:t xml:space="preserve"> </w:t>
      </w:r>
    </w:p>
    <w:p w:rsidR="003F1BD9" w:rsidRPr="003161B0" w:rsidRDefault="003F1BD9" w:rsidP="003F1BD9">
      <w:pPr>
        <w:pStyle w:val="ListParagraph"/>
        <w:ind w:left="0"/>
        <w:jc w:val="both"/>
      </w:pPr>
      <w:r w:rsidRPr="003161B0">
        <w:t xml:space="preserve">The PBAC did not recommend the listing of febuxostat. The PBAC considered the submission did not establish that febuxostat is superior in terms of comparative effectiveness over allopurinol. The PBAC considered that the trials presented in the submission overall did not demonstrate superior effectiveness to allopurinol for patient-relevant outcomes such as reduction in acute gout attacks or tophi, or improvement in </w:t>
      </w:r>
      <w:proofErr w:type="spellStart"/>
      <w:r w:rsidRPr="003161B0">
        <w:t>QoL</w:t>
      </w:r>
      <w:proofErr w:type="spellEnd"/>
      <w:r w:rsidRPr="003161B0">
        <w:t>.</w:t>
      </w:r>
    </w:p>
    <w:p w:rsidR="003F1BD9" w:rsidRPr="00866872" w:rsidRDefault="003F1BD9" w:rsidP="00866872">
      <w:pPr>
        <w:jc w:val="both"/>
        <w:rPr>
          <w:color w:val="00B050"/>
        </w:rPr>
      </w:pPr>
    </w:p>
    <w:p w:rsidR="003F1BD9" w:rsidRPr="003161B0" w:rsidRDefault="003F1BD9" w:rsidP="003F1BD9">
      <w:pPr>
        <w:pStyle w:val="ListParagraph"/>
        <w:tabs>
          <w:tab w:val="left" w:pos="6300"/>
        </w:tabs>
        <w:ind w:left="0"/>
        <w:jc w:val="both"/>
      </w:pPr>
      <w:r w:rsidRPr="003161B0">
        <w:t>The PBAC considered that the advantage of a faster reduction in sUA did not translate into benefits over allopurinol for more clinically meaningful outcomes such as flare reduction, tophi resolution or health-related quality of life (</w:t>
      </w:r>
      <w:proofErr w:type="spellStart"/>
      <w:r w:rsidRPr="003161B0">
        <w:t>HRQoL</w:t>
      </w:r>
      <w:proofErr w:type="spellEnd"/>
      <w:r w:rsidRPr="003161B0">
        <w:t>). Therefore</w:t>
      </w:r>
      <w:r w:rsidR="00711D93">
        <w:t>,</w:t>
      </w:r>
      <w:r w:rsidRPr="003161B0">
        <w:t xml:space="preserve"> the PBAC did not support the submission’s assumption that attaining the biological sUA target would lead to clinically meaningful outcomes.</w:t>
      </w:r>
    </w:p>
    <w:p w:rsidR="003F1BD9" w:rsidRPr="003161B0" w:rsidRDefault="003F1BD9" w:rsidP="00866872">
      <w:pPr>
        <w:jc w:val="both"/>
      </w:pPr>
    </w:p>
    <w:p w:rsidR="003F1BD9" w:rsidRPr="003161B0" w:rsidRDefault="003F1BD9" w:rsidP="003F1BD9">
      <w:pPr>
        <w:pStyle w:val="ListParagraph"/>
        <w:tabs>
          <w:tab w:val="left" w:pos="6300"/>
        </w:tabs>
        <w:ind w:left="0"/>
        <w:jc w:val="both"/>
      </w:pPr>
      <w:r w:rsidRPr="003161B0">
        <w:t xml:space="preserve">The PBAC observed that with </w:t>
      </w:r>
      <w:proofErr w:type="gramStart"/>
      <w:r w:rsidRPr="003161B0">
        <w:t>long term</w:t>
      </w:r>
      <w:proofErr w:type="gramEnd"/>
      <w:r w:rsidRPr="003161B0">
        <w:t xml:space="preserve"> treatment, febuxostat appeared to lose its advantage over allopurinol in sUA reduction in the EXCEL trial and that there was a lack of evidence comparing febuxostat and with allopurinol at doses likely to be used in clinical practice (up to 900mg/day).</w:t>
      </w:r>
    </w:p>
    <w:p w:rsidR="003F1BD9" w:rsidRPr="003161B0" w:rsidRDefault="003F1BD9" w:rsidP="003F1BD9">
      <w:pPr>
        <w:jc w:val="both"/>
        <w:rPr>
          <w:b/>
        </w:rPr>
      </w:pPr>
    </w:p>
    <w:p w:rsidR="003F1BD9" w:rsidRPr="003161B0" w:rsidRDefault="003F1BD9" w:rsidP="003F1BD9">
      <w:pPr>
        <w:pStyle w:val="ListParagraph"/>
        <w:ind w:left="0"/>
        <w:jc w:val="both"/>
        <w:rPr>
          <w:color w:val="00B050"/>
        </w:rPr>
      </w:pPr>
      <w:r w:rsidRPr="003161B0">
        <w:t xml:space="preserve">The PBAC considered the ICER was </w:t>
      </w:r>
      <w:proofErr w:type="gramStart"/>
      <w:r w:rsidRPr="003161B0">
        <w:t>not informative</w:t>
      </w:r>
      <w:proofErr w:type="gramEnd"/>
      <w:r w:rsidRPr="003161B0">
        <w:t xml:space="preserve"> for decision making for the first line treatment </w:t>
      </w:r>
      <w:r w:rsidR="007A750C">
        <w:t>with</w:t>
      </w:r>
      <w:r w:rsidR="007A750C" w:rsidRPr="003161B0">
        <w:t xml:space="preserve"> </w:t>
      </w:r>
      <w:r w:rsidRPr="003161B0">
        <w:t xml:space="preserve">febuxostat. The PBAC considered that the model was not valid as numerous assumptions </w:t>
      </w:r>
      <w:proofErr w:type="gramStart"/>
      <w:r w:rsidRPr="003161B0">
        <w:t>were not supported</w:t>
      </w:r>
      <w:proofErr w:type="gramEnd"/>
      <w:r w:rsidRPr="003161B0">
        <w:t xml:space="preserve"> by clinical evidence, and were highly favourable to febuxostat.</w:t>
      </w:r>
    </w:p>
    <w:p w:rsidR="003F1BD9" w:rsidRPr="003161B0" w:rsidRDefault="003F1BD9" w:rsidP="003F1BD9">
      <w:pPr>
        <w:pStyle w:val="ListParagraph"/>
        <w:jc w:val="both"/>
        <w:rPr>
          <w:color w:val="00B050"/>
        </w:rPr>
      </w:pPr>
    </w:p>
    <w:p w:rsidR="003F1BD9" w:rsidRPr="003161B0" w:rsidRDefault="003F1BD9" w:rsidP="003F1BD9">
      <w:pPr>
        <w:pStyle w:val="ListParagraph"/>
        <w:ind w:left="0"/>
        <w:jc w:val="both"/>
      </w:pPr>
      <w:r w:rsidRPr="003161B0">
        <w:t xml:space="preserve">The PBAC recognised that there is a clinical need for an alternative treatment for patients, who are intolerant of allopurinol. The PBAC considered that an allopurinol-intolerant population consistent with the definition used in the NICE guidance for </w:t>
      </w:r>
      <w:r w:rsidRPr="003161B0">
        <w:rPr>
          <w:i/>
        </w:rPr>
        <w:t>“Febuxostat for the management of hyperuricaemia in people with gout</w:t>
      </w:r>
      <w:proofErr w:type="gramStart"/>
      <w:r w:rsidRPr="003161B0">
        <w:rPr>
          <w:i/>
        </w:rPr>
        <w:t>”</w:t>
      </w:r>
      <w:r w:rsidR="000C2FB2">
        <w:rPr>
          <w:i/>
        </w:rPr>
        <w:t>,</w:t>
      </w:r>
      <w:proofErr w:type="gramEnd"/>
      <w:r w:rsidR="000C2FB2">
        <w:rPr>
          <w:i/>
        </w:rPr>
        <w:t xml:space="preserve"> </w:t>
      </w:r>
      <w:r w:rsidRPr="003161B0">
        <w:t>may be an appropriate basis for defining a second-line treatment setting for febuxostat.  However</w:t>
      </w:r>
      <w:r w:rsidR="000C2FB2">
        <w:t>,</w:t>
      </w:r>
      <w:r w:rsidRPr="003161B0">
        <w:t xml:space="preserve"> the PBAC noted that the submission did not present clinical evidence to support the use of febuxostat in a second-line setting. </w:t>
      </w:r>
    </w:p>
    <w:p w:rsidR="003F1BD9" w:rsidRPr="003161B0" w:rsidRDefault="003F1BD9" w:rsidP="003F1BD9">
      <w:pPr>
        <w:pStyle w:val="ListParagraph"/>
        <w:ind w:left="709"/>
        <w:jc w:val="both"/>
      </w:pPr>
    </w:p>
    <w:p w:rsidR="003F1BD9" w:rsidRPr="003161B0" w:rsidRDefault="003F1BD9" w:rsidP="003F1BD9">
      <w:pPr>
        <w:pStyle w:val="ListParagraph"/>
        <w:ind w:left="0"/>
        <w:jc w:val="both"/>
      </w:pPr>
      <w:r w:rsidRPr="003161B0">
        <w:t xml:space="preserve">The PBAC considered that it </w:t>
      </w:r>
      <w:proofErr w:type="gramStart"/>
      <w:r w:rsidRPr="003161B0">
        <w:t>may</w:t>
      </w:r>
      <w:proofErr w:type="gramEnd"/>
      <w:r w:rsidRPr="003161B0">
        <w:t xml:space="preserve"> be possible to demonstrate acceptable cost-effectiveness of febuxostat versus placebo in the second-line treatment setting for patients intolerant of allopurinol. </w:t>
      </w:r>
      <w:proofErr w:type="gramStart"/>
      <w:r w:rsidRPr="003161B0">
        <w:t>On the basis of</w:t>
      </w:r>
      <w:proofErr w:type="gramEnd"/>
      <w:r w:rsidRPr="003161B0">
        <w:t xml:space="preserve"> the DUSC advice, the PBAC considered that it was reasonable to estimate that between 0.1 and 5% of patients would be intolerant of allopurinol.</w:t>
      </w:r>
    </w:p>
    <w:p w:rsidR="003F1BD9" w:rsidRPr="003161B0" w:rsidRDefault="003F1BD9" w:rsidP="003F1BD9">
      <w:pPr>
        <w:pStyle w:val="ListParagraph"/>
        <w:jc w:val="both"/>
      </w:pPr>
    </w:p>
    <w:p w:rsidR="003F1BD9" w:rsidRPr="003161B0" w:rsidRDefault="003F1BD9" w:rsidP="003F1BD9">
      <w:pPr>
        <w:pStyle w:val="ListParagraph"/>
        <w:ind w:left="0"/>
        <w:jc w:val="both"/>
      </w:pPr>
      <w:r w:rsidRPr="003161B0">
        <w:t>The PBAC noted that this submission meets the criteria for an Independent Review.</w:t>
      </w:r>
    </w:p>
    <w:p w:rsidR="003F1BD9" w:rsidRPr="003161B0" w:rsidRDefault="003F1BD9" w:rsidP="003F1BD9">
      <w:pPr>
        <w:jc w:val="both"/>
        <w:rPr>
          <w:b/>
        </w:rPr>
      </w:pPr>
    </w:p>
    <w:p w:rsidR="00EE12C5" w:rsidRPr="003161B0" w:rsidRDefault="007A750C" w:rsidP="00EE12C5">
      <w:pPr>
        <w:rPr>
          <w:b/>
          <w:i/>
        </w:rPr>
      </w:pPr>
      <w:r>
        <w:rPr>
          <w:b/>
          <w:i/>
        </w:rPr>
        <w:t>Outcome:</w:t>
      </w:r>
      <w:r w:rsidR="00EE12C5" w:rsidRPr="003161B0">
        <w:t xml:space="preserve"> </w:t>
      </w:r>
    </w:p>
    <w:p w:rsidR="003F1BD9" w:rsidRPr="003161B0" w:rsidRDefault="003F1BD9" w:rsidP="003F1BD9">
      <w:pPr>
        <w:jc w:val="both"/>
      </w:pPr>
      <w:r w:rsidRPr="003161B0">
        <w:t>Rejected</w:t>
      </w:r>
    </w:p>
    <w:p w:rsidR="002A57B9" w:rsidRPr="003161B0" w:rsidRDefault="00BB219E" w:rsidP="00BB219E">
      <w:pPr>
        <w:pStyle w:val="Heading3"/>
        <w:rPr>
          <w:rFonts w:ascii="Times New Roman" w:hAnsi="Times New Roman"/>
          <w:sz w:val="24"/>
          <w:szCs w:val="24"/>
        </w:rPr>
      </w:pPr>
      <w:r w:rsidRPr="003161B0">
        <w:rPr>
          <w:rFonts w:ascii="Times New Roman" w:hAnsi="Times New Roman"/>
          <w:sz w:val="24"/>
          <w:szCs w:val="24"/>
        </w:rPr>
        <w:t xml:space="preserve">13. </w:t>
      </w:r>
      <w:r w:rsidR="002A57B9" w:rsidRPr="003161B0">
        <w:rPr>
          <w:rFonts w:ascii="Times New Roman" w:hAnsi="Times New Roman"/>
          <w:sz w:val="24"/>
          <w:szCs w:val="24"/>
        </w:rPr>
        <w:t>Context for Decision</w:t>
      </w:r>
    </w:p>
    <w:p w:rsidR="00621994" w:rsidRPr="003161B0" w:rsidRDefault="00772EC1" w:rsidP="005C0B92">
      <w:pPr>
        <w:adjustRightInd w:val="0"/>
        <w:jc w:val="both"/>
        <w:rPr>
          <w:b/>
          <w:bCs/>
        </w:rPr>
      </w:pPr>
      <w:r w:rsidRPr="003161B0">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2A57B9" w:rsidRPr="003161B0" w:rsidRDefault="00BB219E" w:rsidP="00BB219E">
      <w:pPr>
        <w:pStyle w:val="Heading3"/>
        <w:rPr>
          <w:rFonts w:ascii="Times New Roman" w:hAnsi="Times New Roman"/>
          <w:sz w:val="24"/>
          <w:szCs w:val="24"/>
        </w:rPr>
      </w:pPr>
      <w:r w:rsidRPr="003161B0">
        <w:rPr>
          <w:rFonts w:ascii="Times New Roman" w:hAnsi="Times New Roman"/>
          <w:sz w:val="24"/>
          <w:szCs w:val="24"/>
        </w:rPr>
        <w:lastRenderedPageBreak/>
        <w:t xml:space="preserve">14. </w:t>
      </w:r>
      <w:r w:rsidR="002A57B9" w:rsidRPr="003161B0">
        <w:rPr>
          <w:rFonts w:ascii="Times New Roman" w:hAnsi="Times New Roman"/>
          <w:sz w:val="24"/>
          <w:szCs w:val="24"/>
        </w:rPr>
        <w:t>Sponsor’s Comment</w:t>
      </w:r>
    </w:p>
    <w:p w:rsidR="00621994" w:rsidRPr="003161B0" w:rsidRDefault="00272D8D">
      <w:r>
        <w:t xml:space="preserve">While the sponsor is disappointed with the decision, Menarini will work with PBAC </w:t>
      </w:r>
      <w:r w:rsidR="00D3320D">
        <w:t xml:space="preserve">to </w:t>
      </w:r>
      <w:r>
        <w:t>achiev</w:t>
      </w:r>
      <w:r w:rsidR="00D3320D">
        <w:t>e</w:t>
      </w:r>
      <w:r>
        <w:t xml:space="preserve"> a PBS listing for febuxostat in a cost-effective population and will work towards </w:t>
      </w:r>
      <w:r w:rsidR="00D3320D">
        <w:t xml:space="preserve">best </w:t>
      </w:r>
      <w:r>
        <w:t>defining such a second-line population.</w:t>
      </w:r>
    </w:p>
    <w:p w:rsidR="00933DF3" w:rsidRPr="003161B0" w:rsidRDefault="00933DF3"/>
    <w:sectPr w:rsidR="00933DF3" w:rsidRPr="003161B0">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9F1" w:rsidRDefault="00D239F1">
      <w:r>
        <w:separator/>
      </w:r>
    </w:p>
  </w:endnote>
  <w:endnote w:type="continuationSeparator" w:id="0">
    <w:p w:rsidR="00D239F1" w:rsidRDefault="00D23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W1)">
    <w:altName w:val="Times New Roman"/>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97E" w:rsidRDefault="00CF19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EC2" w:rsidRPr="003D177A" w:rsidRDefault="006C4EC2" w:rsidP="009B4850">
    <w:pPr>
      <w:pStyle w:val="Footer"/>
      <w:jc w:val="center"/>
      <w:rPr>
        <w:rFonts w:ascii="Times New (W1)" w:hAnsi="Times New (W1)"/>
        <w:b/>
        <w:bCs/>
        <w:i/>
        <w:iCs/>
        <w:color w:val="999999"/>
        <w:sz w:val="20"/>
        <w:szCs w:val="20"/>
      </w:rPr>
    </w:pPr>
    <w:r w:rsidRPr="003D177A">
      <w:rPr>
        <w:rFonts w:ascii="Times New (W1)" w:hAnsi="Times New (W1)"/>
        <w:b/>
        <w:bCs/>
        <w:i/>
        <w:iCs/>
        <w:color w:val="999999"/>
        <w:sz w:val="20"/>
        <w:szCs w:val="20"/>
      </w:rPr>
      <w:t>Public Summary Document</w:t>
    </w:r>
  </w:p>
  <w:p w:rsidR="006C4EC2" w:rsidRPr="003D177A" w:rsidRDefault="006C4EC2" w:rsidP="00032082">
    <w:pPr>
      <w:pStyle w:val="Footer"/>
      <w:jc w:val="center"/>
      <w:rPr>
        <w:rFonts w:ascii="Times New (W1)" w:hAnsi="Times New (W1)"/>
        <w:b/>
        <w:bCs/>
        <w:i/>
        <w:iCs/>
        <w:color w:val="999999"/>
        <w:sz w:val="20"/>
        <w:szCs w:val="20"/>
      </w:rPr>
    </w:pPr>
    <w:r>
      <w:rPr>
        <w:rFonts w:ascii="Times New (W1)" w:hAnsi="Times New (W1)"/>
        <w:b/>
        <w:bCs/>
        <w:i/>
        <w:iCs/>
        <w:color w:val="999999"/>
        <w:sz w:val="20"/>
        <w:szCs w:val="20"/>
      </w:rPr>
      <w:t xml:space="preserve">March 2014 </w:t>
    </w:r>
    <w:r w:rsidRPr="003D177A">
      <w:rPr>
        <w:rFonts w:ascii="Times New (W1)" w:hAnsi="Times New (W1)"/>
        <w:b/>
        <w:bCs/>
        <w:i/>
        <w:iCs/>
        <w:color w:val="999999"/>
        <w:sz w:val="20"/>
        <w:szCs w:val="20"/>
      </w:rPr>
      <w:t>PBAC Meeting</w:t>
    </w:r>
  </w:p>
  <w:p w:rsidR="006C4EC2" w:rsidRPr="003D177A" w:rsidRDefault="006C4EC2" w:rsidP="009B4850">
    <w:pPr>
      <w:pStyle w:val="Footer"/>
      <w:jc w:val="center"/>
      <w:rPr>
        <w:rFonts w:ascii="Times New (W1)" w:hAnsi="Times New (W1)"/>
        <w:b/>
        <w:bCs/>
        <w:i/>
        <w:iCs/>
        <w:color w:val="999999"/>
        <w:sz w:val="20"/>
        <w:szCs w:val="20"/>
      </w:rPr>
    </w:pPr>
    <w:r w:rsidRPr="003D177A">
      <w:rPr>
        <w:rStyle w:val="PageNumber"/>
        <w:rFonts w:ascii="Times New (W1)" w:hAnsi="Times New (W1)"/>
        <w:b/>
        <w:i/>
        <w:color w:val="999999"/>
        <w:sz w:val="20"/>
        <w:szCs w:val="20"/>
      </w:rPr>
      <w:t xml:space="preserve">Page </w:t>
    </w:r>
    <w:r w:rsidRPr="003D177A">
      <w:rPr>
        <w:rStyle w:val="PageNumber"/>
        <w:rFonts w:ascii="Times New (W1)" w:hAnsi="Times New (W1)"/>
        <w:b/>
        <w:i/>
        <w:color w:val="999999"/>
        <w:sz w:val="20"/>
        <w:szCs w:val="20"/>
      </w:rPr>
      <w:fldChar w:fldCharType="begin"/>
    </w:r>
    <w:r w:rsidRPr="003D177A">
      <w:rPr>
        <w:rStyle w:val="PageNumber"/>
        <w:rFonts w:ascii="Times New (W1)" w:hAnsi="Times New (W1)"/>
        <w:b/>
        <w:i/>
        <w:color w:val="999999"/>
        <w:sz w:val="20"/>
        <w:szCs w:val="20"/>
      </w:rPr>
      <w:instrText xml:space="preserve"> PAGE </w:instrText>
    </w:r>
    <w:r w:rsidRPr="003D177A">
      <w:rPr>
        <w:rStyle w:val="PageNumber"/>
        <w:rFonts w:ascii="Times New (W1)" w:hAnsi="Times New (W1)"/>
        <w:b/>
        <w:i/>
        <w:color w:val="999999"/>
        <w:sz w:val="20"/>
        <w:szCs w:val="20"/>
      </w:rPr>
      <w:fldChar w:fldCharType="separate"/>
    </w:r>
    <w:r w:rsidR="00866872">
      <w:rPr>
        <w:rStyle w:val="PageNumber"/>
        <w:rFonts w:ascii="Times New (W1)" w:hAnsi="Times New (W1)"/>
        <w:b/>
        <w:i/>
        <w:noProof/>
        <w:color w:val="999999"/>
        <w:sz w:val="20"/>
        <w:szCs w:val="20"/>
      </w:rPr>
      <w:t>2</w:t>
    </w:r>
    <w:r w:rsidRPr="003D177A">
      <w:rPr>
        <w:rStyle w:val="PageNumber"/>
        <w:rFonts w:ascii="Times New (W1)" w:hAnsi="Times New (W1)"/>
        <w:b/>
        <w:i/>
        <w:color w:val="999999"/>
        <w:sz w:val="20"/>
        <w:szCs w:val="20"/>
      </w:rPr>
      <w:fldChar w:fldCharType="end"/>
    </w:r>
    <w:r w:rsidRPr="003D177A">
      <w:rPr>
        <w:rStyle w:val="PageNumber"/>
        <w:rFonts w:ascii="Times New (W1)" w:hAnsi="Times New (W1)"/>
        <w:b/>
        <w:i/>
        <w:color w:val="999999"/>
        <w:sz w:val="20"/>
        <w:szCs w:val="20"/>
      </w:rPr>
      <w:t xml:space="preserve"> of </w:t>
    </w:r>
    <w:r w:rsidRPr="003D177A">
      <w:rPr>
        <w:rStyle w:val="PageNumber"/>
        <w:rFonts w:ascii="Times New (W1)" w:hAnsi="Times New (W1)"/>
        <w:b/>
        <w:i/>
        <w:color w:val="999999"/>
        <w:sz w:val="20"/>
        <w:szCs w:val="20"/>
      </w:rPr>
      <w:fldChar w:fldCharType="begin"/>
    </w:r>
    <w:r w:rsidRPr="003D177A">
      <w:rPr>
        <w:rStyle w:val="PageNumber"/>
        <w:rFonts w:ascii="Times New (W1)" w:hAnsi="Times New (W1)"/>
        <w:b/>
        <w:i/>
        <w:color w:val="999999"/>
        <w:sz w:val="20"/>
        <w:szCs w:val="20"/>
      </w:rPr>
      <w:instrText xml:space="preserve"> NUMPAGES </w:instrText>
    </w:r>
    <w:r w:rsidRPr="003D177A">
      <w:rPr>
        <w:rStyle w:val="PageNumber"/>
        <w:rFonts w:ascii="Times New (W1)" w:hAnsi="Times New (W1)"/>
        <w:b/>
        <w:i/>
        <w:color w:val="999999"/>
        <w:sz w:val="20"/>
        <w:szCs w:val="20"/>
      </w:rPr>
      <w:fldChar w:fldCharType="separate"/>
    </w:r>
    <w:r w:rsidR="00866872">
      <w:rPr>
        <w:rStyle w:val="PageNumber"/>
        <w:rFonts w:ascii="Times New (W1)" w:hAnsi="Times New (W1)"/>
        <w:b/>
        <w:i/>
        <w:noProof/>
        <w:color w:val="999999"/>
        <w:sz w:val="20"/>
        <w:szCs w:val="20"/>
      </w:rPr>
      <w:t>13</w:t>
    </w:r>
    <w:r w:rsidRPr="003D177A">
      <w:rPr>
        <w:rStyle w:val="PageNumber"/>
        <w:rFonts w:ascii="Times New (W1)" w:hAnsi="Times New (W1)"/>
        <w:b/>
        <w:i/>
        <w:color w:val="999999"/>
        <w:sz w:val="20"/>
        <w:szCs w:val="20"/>
      </w:rPr>
      <w:fldChar w:fldCharType="end"/>
    </w:r>
  </w:p>
  <w:p w:rsidR="006C4EC2" w:rsidRPr="003D177A" w:rsidRDefault="006C4EC2">
    <w:pPr>
      <w:pStyle w:val="Footer"/>
      <w:rPr>
        <w:color w:val="999999"/>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97E" w:rsidRDefault="00CF19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9F1" w:rsidRDefault="00D239F1">
      <w:r>
        <w:separator/>
      </w:r>
    </w:p>
  </w:footnote>
  <w:footnote w:type="continuationSeparator" w:id="0">
    <w:p w:rsidR="00D239F1" w:rsidRDefault="00D239F1">
      <w:r>
        <w:continuationSeparator/>
      </w:r>
    </w:p>
  </w:footnote>
  <w:footnote w:id="1">
    <w:p w:rsidR="006C4EC2" w:rsidRPr="00D21330" w:rsidRDefault="006C4EC2" w:rsidP="004C0E3F">
      <w:pPr>
        <w:pStyle w:val="FootnoteText"/>
        <w:rPr>
          <w:rFonts w:ascii="Arial" w:hAnsi="Arial" w:cs="Arial"/>
        </w:rPr>
      </w:pPr>
      <w:r w:rsidRPr="00D21330">
        <w:rPr>
          <w:rStyle w:val="FootnoteReference"/>
          <w:rFonts w:ascii="Arial" w:hAnsi="Arial" w:cs="Arial"/>
        </w:rPr>
        <w:footnoteRef/>
      </w:r>
      <w:r w:rsidRPr="00D21330">
        <w:rPr>
          <w:rFonts w:ascii="Arial" w:hAnsi="Arial" w:cs="Arial"/>
        </w:rPr>
        <w:t xml:space="preserve"> http://publications.nice.org.uk/febuxostat-for-the-management-of-hyperuricaemia-in-people-with-gout-ta164/guidance</w:t>
      </w:r>
    </w:p>
  </w:footnote>
  <w:footnote w:id="2">
    <w:p w:rsidR="006C4EC2" w:rsidRPr="00E116F3" w:rsidRDefault="006C4EC2" w:rsidP="00133CFF">
      <w:pPr>
        <w:autoSpaceDE w:val="0"/>
        <w:autoSpaceDN w:val="0"/>
        <w:adjustRightInd w:val="0"/>
        <w:rPr>
          <w:rFonts w:ascii="Arial" w:hAnsi="Arial" w:cs="Arial"/>
          <w:sz w:val="18"/>
          <w:szCs w:val="18"/>
        </w:rPr>
      </w:pPr>
      <w:r w:rsidRPr="00E116F3">
        <w:rPr>
          <w:rStyle w:val="FootnoteReference"/>
          <w:rFonts w:ascii="Arial" w:hAnsi="Arial" w:cs="Arial"/>
          <w:sz w:val="18"/>
          <w:szCs w:val="18"/>
        </w:rPr>
        <w:footnoteRef/>
      </w:r>
      <w:r w:rsidRPr="00E116F3">
        <w:rPr>
          <w:rFonts w:ascii="Arial" w:hAnsi="Arial" w:cs="Arial"/>
          <w:sz w:val="18"/>
          <w:szCs w:val="18"/>
        </w:rPr>
        <w:t xml:space="preserve"> </w:t>
      </w:r>
      <w:proofErr w:type="spellStart"/>
      <w:r w:rsidRPr="00E116F3">
        <w:rPr>
          <w:rFonts w:ascii="Arial" w:hAnsi="Arial" w:cs="Arial"/>
          <w:sz w:val="18"/>
          <w:szCs w:val="18"/>
        </w:rPr>
        <w:t>Dalbeth</w:t>
      </w:r>
      <w:proofErr w:type="spellEnd"/>
      <w:r w:rsidRPr="00E116F3">
        <w:rPr>
          <w:rFonts w:ascii="Arial" w:hAnsi="Arial" w:cs="Arial"/>
          <w:sz w:val="18"/>
          <w:szCs w:val="18"/>
        </w:rPr>
        <w:t xml:space="preserve">, N. and Stamp, L. Allopurinol Dosing in Renal Impairment: Walking the Tightrope Between Adequate </w:t>
      </w:r>
      <w:proofErr w:type="spellStart"/>
      <w:r w:rsidRPr="00E116F3">
        <w:rPr>
          <w:rFonts w:ascii="Arial" w:hAnsi="Arial" w:cs="Arial"/>
          <w:sz w:val="18"/>
          <w:szCs w:val="18"/>
        </w:rPr>
        <w:t>Urate</w:t>
      </w:r>
      <w:proofErr w:type="spellEnd"/>
      <w:r w:rsidRPr="00E116F3">
        <w:rPr>
          <w:rFonts w:ascii="Arial" w:hAnsi="Arial" w:cs="Arial"/>
          <w:sz w:val="18"/>
          <w:szCs w:val="18"/>
        </w:rPr>
        <w:t xml:space="preserve"> Lowering and Adverse Events Seminars in Dialysis—Vol 20, No 5 (September–October) 2007 pp. 391–395.</w:t>
      </w:r>
    </w:p>
  </w:footnote>
  <w:footnote w:id="3">
    <w:p w:rsidR="006C4EC2" w:rsidRPr="00E116F3" w:rsidRDefault="006C4EC2" w:rsidP="00133CFF">
      <w:pPr>
        <w:pStyle w:val="FootnoteText"/>
        <w:rPr>
          <w:rFonts w:ascii="Arial" w:hAnsi="Arial" w:cs="Arial"/>
          <w:sz w:val="18"/>
          <w:szCs w:val="18"/>
        </w:rPr>
      </w:pPr>
      <w:r w:rsidRPr="00E116F3">
        <w:rPr>
          <w:rStyle w:val="FootnoteReference"/>
          <w:rFonts w:ascii="Arial" w:hAnsi="Arial" w:cs="Arial"/>
          <w:sz w:val="18"/>
          <w:szCs w:val="18"/>
        </w:rPr>
        <w:footnoteRef/>
      </w:r>
      <w:r w:rsidRPr="00E116F3">
        <w:rPr>
          <w:rFonts w:ascii="Arial" w:hAnsi="Arial" w:cs="Arial"/>
          <w:sz w:val="18"/>
          <w:szCs w:val="18"/>
        </w:rPr>
        <w:t xml:space="preserve"> </w:t>
      </w:r>
      <w:r w:rsidRPr="00014B69">
        <w:rPr>
          <w:rFonts w:ascii="Arial" w:hAnsi="Arial" w:cs="Arial"/>
          <w:iCs/>
          <w:sz w:val="18"/>
          <w:szCs w:val="18"/>
        </w:rPr>
        <w:t>http://www.nps.org.au/health-professionals/health-news-evidence/2013/allopurinol-hypersensitivity</w:t>
      </w:r>
    </w:p>
  </w:footnote>
  <w:footnote w:id="4">
    <w:p w:rsidR="006C4EC2" w:rsidRDefault="006C4EC2" w:rsidP="00133CFF">
      <w:pPr>
        <w:pStyle w:val="FootnoteText"/>
      </w:pPr>
      <w:r>
        <w:rPr>
          <w:rStyle w:val="FootnoteReference"/>
        </w:rPr>
        <w:footnoteRef/>
      </w:r>
      <w:r>
        <w:t xml:space="preserve"> </w:t>
      </w:r>
      <w:proofErr w:type="spellStart"/>
      <w:r w:rsidRPr="003D2AB3">
        <w:rPr>
          <w:rFonts w:ascii="Arial" w:hAnsi="Arial" w:cs="Arial"/>
          <w:sz w:val="18"/>
          <w:szCs w:val="18"/>
        </w:rPr>
        <w:t>Wortmann</w:t>
      </w:r>
      <w:proofErr w:type="spellEnd"/>
      <w:r w:rsidRPr="003D2AB3">
        <w:rPr>
          <w:rFonts w:ascii="Arial" w:hAnsi="Arial" w:cs="Arial"/>
          <w:sz w:val="18"/>
          <w:szCs w:val="18"/>
        </w:rPr>
        <w:t xml:space="preserve">, R. “Recent advances in the management of gout and </w:t>
      </w:r>
      <w:proofErr w:type="spellStart"/>
      <w:r w:rsidRPr="003D2AB3">
        <w:rPr>
          <w:rFonts w:ascii="Arial" w:hAnsi="Arial" w:cs="Arial"/>
          <w:sz w:val="18"/>
          <w:szCs w:val="18"/>
        </w:rPr>
        <w:t>hyperuricemia</w:t>
      </w:r>
      <w:proofErr w:type="spellEnd"/>
      <w:r w:rsidRPr="003D2AB3">
        <w:rPr>
          <w:rFonts w:ascii="Arial" w:hAnsi="Arial" w:cs="Arial"/>
          <w:sz w:val="18"/>
          <w:szCs w:val="18"/>
        </w:rPr>
        <w:t xml:space="preserve">.” </w:t>
      </w:r>
      <w:proofErr w:type="spellStart"/>
      <w:r w:rsidRPr="003D2AB3">
        <w:rPr>
          <w:rFonts w:ascii="Arial" w:hAnsi="Arial" w:cs="Arial"/>
          <w:sz w:val="18"/>
          <w:szCs w:val="18"/>
        </w:rPr>
        <w:t>Curr</w:t>
      </w:r>
      <w:proofErr w:type="spellEnd"/>
      <w:r w:rsidRPr="003D2AB3">
        <w:rPr>
          <w:rFonts w:ascii="Arial" w:hAnsi="Arial" w:cs="Arial"/>
          <w:sz w:val="18"/>
          <w:szCs w:val="18"/>
        </w:rPr>
        <w:t xml:space="preserve"> </w:t>
      </w:r>
      <w:proofErr w:type="spellStart"/>
      <w:r w:rsidRPr="003D2AB3">
        <w:rPr>
          <w:rFonts w:ascii="Arial" w:hAnsi="Arial" w:cs="Arial"/>
          <w:sz w:val="18"/>
          <w:szCs w:val="18"/>
        </w:rPr>
        <w:t>Opin</w:t>
      </w:r>
      <w:proofErr w:type="spellEnd"/>
      <w:r w:rsidRPr="003D2AB3">
        <w:rPr>
          <w:rFonts w:ascii="Arial" w:hAnsi="Arial" w:cs="Arial"/>
          <w:sz w:val="18"/>
          <w:szCs w:val="18"/>
        </w:rPr>
        <w:t xml:space="preserve"> </w:t>
      </w:r>
      <w:proofErr w:type="spellStart"/>
      <w:r w:rsidRPr="003D2AB3">
        <w:rPr>
          <w:rFonts w:ascii="Arial" w:hAnsi="Arial" w:cs="Arial"/>
          <w:sz w:val="18"/>
          <w:szCs w:val="18"/>
        </w:rPr>
        <w:t>Rheumatol</w:t>
      </w:r>
      <w:proofErr w:type="spellEnd"/>
      <w:r w:rsidRPr="003D2AB3">
        <w:rPr>
          <w:rFonts w:ascii="Arial" w:hAnsi="Arial" w:cs="Arial"/>
          <w:sz w:val="18"/>
          <w:szCs w:val="18"/>
        </w:rPr>
        <w:t>, 2005: 17:319–24.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97E" w:rsidRDefault="00CF19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97E" w:rsidRDefault="00CF19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97E" w:rsidRDefault="00CF19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47A2C"/>
    <w:multiLevelType w:val="hybridMultilevel"/>
    <w:tmpl w:val="664AB8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nsid w:val="0DD14C72"/>
    <w:multiLevelType w:val="hybridMultilevel"/>
    <w:tmpl w:val="04186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0040C9B"/>
    <w:multiLevelType w:val="hybridMultilevel"/>
    <w:tmpl w:val="8DE650F8"/>
    <w:lvl w:ilvl="0" w:tplc="56BA8BB0">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BFA7F0F"/>
    <w:multiLevelType w:val="hybridMultilevel"/>
    <w:tmpl w:val="8EFCFC5A"/>
    <w:lvl w:ilvl="0" w:tplc="778CB2EC">
      <w:start w:val="10"/>
      <w:numFmt w:val="bullet"/>
      <w:lvlText w:val="-"/>
      <w:lvlJc w:val="left"/>
      <w:pPr>
        <w:tabs>
          <w:tab w:val="num" w:pos="360"/>
        </w:tabs>
        <w:ind w:left="360" w:hanging="360"/>
      </w:pPr>
      <w:rPr>
        <w:rFonts w:ascii="Times New Roman" w:eastAsia="Times New Roman" w:hAnsi="Times New Roman" w:cs="Times New Roman" w:hint="default"/>
      </w:rPr>
    </w:lvl>
    <w:lvl w:ilvl="1" w:tplc="0C090003">
      <w:start w:val="1"/>
      <w:numFmt w:val="bullet"/>
      <w:lvlText w:val="o"/>
      <w:lvlJc w:val="left"/>
      <w:pPr>
        <w:tabs>
          <w:tab w:val="num" w:pos="873"/>
        </w:tabs>
        <w:ind w:left="873" w:hanging="360"/>
      </w:pPr>
      <w:rPr>
        <w:rFonts w:ascii="Courier New" w:hAnsi="Courier New" w:cs="Courier New" w:hint="default"/>
      </w:rPr>
    </w:lvl>
    <w:lvl w:ilvl="2" w:tplc="0C090005" w:tentative="1">
      <w:start w:val="1"/>
      <w:numFmt w:val="bullet"/>
      <w:lvlText w:val=""/>
      <w:lvlJc w:val="left"/>
      <w:pPr>
        <w:tabs>
          <w:tab w:val="num" w:pos="1593"/>
        </w:tabs>
        <w:ind w:left="1593" w:hanging="360"/>
      </w:pPr>
      <w:rPr>
        <w:rFonts w:ascii="Wingdings" w:hAnsi="Wingdings" w:hint="default"/>
      </w:rPr>
    </w:lvl>
    <w:lvl w:ilvl="3" w:tplc="0C090001" w:tentative="1">
      <w:start w:val="1"/>
      <w:numFmt w:val="bullet"/>
      <w:lvlText w:val=""/>
      <w:lvlJc w:val="left"/>
      <w:pPr>
        <w:tabs>
          <w:tab w:val="num" w:pos="2313"/>
        </w:tabs>
        <w:ind w:left="2313" w:hanging="360"/>
      </w:pPr>
      <w:rPr>
        <w:rFonts w:ascii="Symbol" w:hAnsi="Symbol" w:hint="default"/>
      </w:rPr>
    </w:lvl>
    <w:lvl w:ilvl="4" w:tplc="0C090003" w:tentative="1">
      <w:start w:val="1"/>
      <w:numFmt w:val="bullet"/>
      <w:lvlText w:val="o"/>
      <w:lvlJc w:val="left"/>
      <w:pPr>
        <w:tabs>
          <w:tab w:val="num" w:pos="3033"/>
        </w:tabs>
        <w:ind w:left="3033" w:hanging="360"/>
      </w:pPr>
      <w:rPr>
        <w:rFonts w:ascii="Courier New" w:hAnsi="Courier New" w:cs="Courier New" w:hint="default"/>
      </w:rPr>
    </w:lvl>
    <w:lvl w:ilvl="5" w:tplc="0C090005" w:tentative="1">
      <w:start w:val="1"/>
      <w:numFmt w:val="bullet"/>
      <w:lvlText w:val=""/>
      <w:lvlJc w:val="left"/>
      <w:pPr>
        <w:tabs>
          <w:tab w:val="num" w:pos="3753"/>
        </w:tabs>
        <w:ind w:left="3753" w:hanging="360"/>
      </w:pPr>
      <w:rPr>
        <w:rFonts w:ascii="Wingdings" w:hAnsi="Wingdings" w:hint="default"/>
      </w:rPr>
    </w:lvl>
    <w:lvl w:ilvl="6" w:tplc="0C090001" w:tentative="1">
      <w:start w:val="1"/>
      <w:numFmt w:val="bullet"/>
      <w:lvlText w:val=""/>
      <w:lvlJc w:val="left"/>
      <w:pPr>
        <w:tabs>
          <w:tab w:val="num" w:pos="4473"/>
        </w:tabs>
        <w:ind w:left="4473" w:hanging="360"/>
      </w:pPr>
      <w:rPr>
        <w:rFonts w:ascii="Symbol" w:hAnsi="Symbol" w:hint="default"/>
      </w:rPr>
    </w:lvl>
    <w:lvl w:ilvl="7" w:tplc="0C090003" w:tentative="1">
      <w:start w:val="1"/>
      <w:numFmt w:val="bullet"/>
      <w:lvlText w:val="o"/>
      <w:lvlJc w:val="left"/>
      <w:pPr>
        <w:tabs>
          <w:tab w:val="num" w:pos="5193"/>
        </w:tabs>
        <w:ind w:left="5193" w:hanging="360"/>
      </w:pPr>
      <w:rPr>
        <w:rFonts w:ascii="Courier New" w:hAnsi="Courier New" w:cs="Courier New" w:hint="default"/>
      </w:rPr>
    </w:lvl>
    <w:lvl w:ilvl="8" w:tplc="0C090005" w:tentative="1">
      <w:start w:val="1"/>
      <w:numFmt w:val="bullet"/>
      <w:lvlText w:val=""/>
      <w:lvlJc w:val="left"/>
      <w:pPr>
        <w:tabs>
          <w:tab w:val="num" w:pos="5913"/>
        </w:tabs>
        <w:ind w:left="5913" w:hanging="360"/>
      </w:pPr>
      <w:rPr>
        <w:rFonts w:ascii="Wingdings" w:hAnsi="Wingdings" w:hint="default"/>
      </w:rPr>
    </w:lvl>
  </w:abstractNum>
  <w:abstractNum w:abstractNumId="4">
    <w:nsid w:val="1E294F33"/>
    <w:multiLevelType w:val="multilevel"/>
    <w:tmpl w:val="16B4654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3173029"/>
    <w:multiLevelType w:val="hybridMultilevel"/>
    <w:tmpl w:val="92B4A7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EAB58A8"/>
    <w:multiLevelType w:val="hybridMultilevel"/>
    <w:tmpl w:val="D0109F7E"/>
    <w:lvl w:ilvl="0" w:tplc="F488CFD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B733650"/>
    <w:multiLevelType w:val="hybridMultilevel"/>
    <w:tmpl w:val="9238061A"/>
    <w:lvl w:ilvl="0" w:tplc="F488CFD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B7F16F4"/>
    <w:multiLevelType w:val="hybridMultilevel"/>
    <w:tmpl w:val="6810A9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525D0AD6"/>
    <w:multiLevelType w:val="hybridMultilevel"/>
    <w:tmpl w:val="8DFED350"/>
    <w:lvl w:ilvl="0" w:tplc="778CB2EC">
      <w:start w:val="10"/>
      <w:numFmt w:val="bullet"/>
      <w:lvlText w:val="-"/>
      <w:lvlJc w:val="left"/>
      <w:pPr>
        <w:tabs>
          <w:tab w:val="num" w:pos="927"/>
        </w:tabs>
        <w:ind w:left="927" w:hanging="360"/>
      </w:pPr>
      <w:rPr>
        <w:rFonts w:ascii="Times New Roman" w:eastAsia="Times New Roman" w:hAnsi="Times New Roman" w:cs="Times New Roman" w:hint="default"/>
      </w:rPr>
    </w:lvl>
    <w:lvl w:ilvl="1" w:tplc="0C090003" w:tentative="1">
      <w:start w:val="1"/>
      <w:numFmt w:val="bullet"/>
      <w:lvlText w:val="o"/>
      <w:lvlJc w:val="left"/>
      <w:pPr>
        <w:tabs>
          <w:tab w:val="num" w:pos="1647"/>
        </w:tabs>
        <w:ind w:left="1647" w:hanging="360"/>
      </w:pPr>
      <w:rPr>
        <w:rFonts w:ascii="Courier New" w:hAnsi="Courier New" w:cs="Courier New" w:hint="default"/>
      </w:rPr>
    </w:lvl>
    <w:lvl w:ilvl="2" w:tplc="0C090005" w:tentative="1">
      <w:start w:val="1"/>
      <w:numFmt w:val="bullet"/>
      <w:lvlText w:val=""/>
      <w:lvlJc w:val="left"/>
      <w:pPr>
        <w:tabs>
          <w:tab w:val="num" w:pos="2367"/>
        </w:tabs>
        <w:ind w:left="2367" w:hanging="360"/>
      </w:pPr>
      <w:rPr>
        <w:rFonts w:ascii="Wingdings" w:hAnsi="Wingdings" w:hint="default"/>
      </w:rPr>
    </w:lvl>
    <w:lvl w:ilvl="3" w:tplc="0C090001" w:tentative="1">
      <w:start w:val="1"/>
      <w:numFmt w:val="bullet"/>
      <w:lvlText w:val=""/>
      <w:lvlJc w:val="left"/>
      <w:pPr>
        <w:tabs>
          <w:tab w:val="num" w:pos="3087"/>
        </w:tabs>
        <w:ind w:left="3087" w:hanging="360"/>
      </w:pPr>
      <w:rPr>
        <w:rFonts w:ascii="Symbol" w:hAnsi="Symbol" w:hint="default"/>
      </w:rPr>
    </w:lvl>
    <w:lvl w:ilvl="4" w:tplc="0C090003" w:tentative="1">
      <w:start w:val="1"/>
      <w:numFmt w:val="bullet"/>
      <w:lvlText w:val="o"/>
      <w:lvlJc w:val="left"/>
      <w:pPr>
        <w:tabs>
          <w:tab w:val="num" w:pos="3807"/>
        </w:tabs>
        <w:ind w:left="3807" w:hanging="360"/>
      </w:pPr>
      <w:rPr>
        <w:rFonts w:ascii="Courier New" w:hAnsi="Courier New" w:cs="Courier New" w:hint="default"/>
      </w:rPr>
    </w:lvl>
    <w:lvl w:ilvl="5" w:tplc="0C090005" w:tentative="1">
      <w:start w:val="1"/>
      <w:numFmt w:val="bullet"/>
      <w:lvlText w:val=""/>
      <w:lvlJc w:val="left"/>
      <w:pPr>
        <w:tabs>
          <w:tab w:val="num" w:pos="4527"/>
        </w:tabs>
        <w:ind w:left="4527" w:hanging="360"/>
      </w:pPr>
      <w:rPr>
        <w:rFonts w:ascii="Wingdings" w:hAnsi="Wingdings" w:hint="default"/>
      </w:rPr>
    </w:lvl>
    <w:lvl w:ilvl="6" w:tplc="0C090001" w:tentative="1">
      <w:start w:val="1"/>
      <w:numFmt w:val="bullet"/>
      <w:lvlText w:val=""/>
      <w:lvlJc w:val="left"/>
      <w:pPr>
        <w:tabs>
          <w:tab w:val="num" w:pos="5247"/>
        </w:tabs>
        <w:ind w:left="5247" w:hanging="360"/>
      </w:pPr>
      <w:rPr>
        <w:rFonts w:ascii="Symbol" w:hAnsi="Symbol" w:hint="default"/>
      </w:rPr>
    </w:lvl>
    <w:lvl w:ilvl="7" w:tplc="0C090003" w:tentative="1">
      <w:start w:val="1"/>
      <w:numFmt w:val="bullet"/>
      <w:lvlText w:val="o"/>
      <w:lvlJc w:val="left"/>
      <w:pPr>
        <w:tabs>
          <w:tab w:val="num" w:pos="5967"/>
        </w:tabs>
        <w:ind w:left="5967" w:hanging="360"/>
      </w:pPr>
      <w:rPr>
        <w:rFonts w:ascii="Courier New" w:hAnsi="Courier New" w:cs="Courier New" w:hint="default"/>
      </w:rPr>
    </w:lvl>
    <w:lvl w:ilvl="8" w:tplc="0C090005" w:tentative="1">
      <w:start w:val="1"/>
      <w:numFmt w:val="bullet"/>
      <w:lvlText w:val=""/>
      <w:lvlJc w:val="left"/>
      <w:pPr>
        <w:tabs>
          <w:tab w:val="num" w:pos="6687"/>
        </w:tabs>
        <w:ind w:left="6687" w:hanging="360"/>
      </w:pPr>
      <w:rPr>
        <w:rFonts w:ascii="Wingdings" w:hAnsi="Wingdings" w:hint="default"/>
      </w:rPr>
    </w:lvl>
  </w:abstractNum>
  <w:abstractNum w:abstractNumId="10">
    <w:nsid w:val="53CC754B"/>
    <w:multiLevelType w:val="hybridMultilevel"/>
    <w:tmpl w:val="1BC49C46"/>
    <w:lvl w:ilvl="0" w:tplc="0C090001">
      <w:start w:val="1"/>
      <w:numFmt w:val="bullet"/>
      <w:lvlText w:val=""/>
      <w:lvlJc w:val="left"/>
      <w:pPr>
        <w:ind w:left="1353" w:hanging="360"/>
      </w:pPr>
      <w:rPr>
        <w:rFonts w:ascii="Symbol" w:hAnsi="Symbol" w:hint="default"/>
      </w:rPr>
    </w:lvl>
    <w:lvl w:ilvl="1" w:tplc="0C090003" w:tentative="1">
      <w:start w:val="1"/>
      <w:numFmt w:val="bullet"/>
      <w:lvlText w:val="o"/>
      <w:lvlJc w:val="left"/>
      <w:pPr>
        <w:ind w:left="2073" w:hanging="360"/>
      </w:pPr>
      <w:rPr>
        <w:rFonts w:ascii="Courier New" w:hAnsi="Courier New" w:cs="Courier New"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11">
    <w:nsid w:val="59BC5196"/>
    <w:multiLevelType w:val="multilevel"/>
    <w:tmpl w:val="586ECD3C"/>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5D624317"/>
    <w:multiLevelType w:val="hybridMultilevel"/>
    <w:tmpl w:val="1398F3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E314C11"/>
    <w:multiLevelType w:val="hybridMultilevel"/>
    <w:tmpl w:val="605643E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4">
    <w:nsid w:val="64D92284"/>
    <w:multiLevelType w:val="hybridMultilevel"/>
    <w:tmpl w:val="A5E6DD6E"/>
    <w:lvl w:ilvl="0" w:tplc="FFFFFFFF">
      <w:start w:val="1"/>
      <w:numFmt w:val="bullet"/>
      <w:lvlText w:val=""/>
      <w:lvlJc w:val="left"/>
      <w:pPr>
        <w:tabs>
          <w:tab w:val="num" w:pos="780"/>
        </w:tabs>
        <w:ind w:left="780" w:hanging="360"/>
      </w:pPr>
      <w:rPr>
        <w:rFonts w:ascii="Symbol" w:hAnsi="Symbol" w:cs="Symbol" w:hint="default"/>
      </w:rPr>
    </w:lvl>
    <w:lvl w:ilvl="1" w:tplc="FFFFFFFF">
      <w:start w:val="1"/>
      <w:numFmt w:val="bullet"/>
      <w:lvlText w:val="o"/>
      <w:lvlJc w:val="left"/>
      <w:pPr>
        <w:tabs>
          <w:tab w:val="num" w:pos="1500"/>
        </w:tabs>
        <w:ind w:left="1500" w:hanging="360"/>
      </w:pPr>
      <w:rPr>
        <w:rFonts w:ascii="Courier New" w:hAnsi="Courier New" w:cs="Courier New" w:hint="default"/>
      </w:rPr>
    </w:lvl>
    <w:lvl w:ilvl="2" w:tplc="FFFFFFFF">
      <w:start w:val="1"/>
      <w:numFmt w:val="bullet"/>
      <w:lvlText w:val=""/>
      <w:lvlJc w:val="left"/>
      <w:pPr>
        <w:tabs>
          <w:tab w:val="num" w:pos="2220"/>
        </w:tabs>
        <w:ind w:left="2220" w:hanging="360"/>
      </w:pPr>
      <w:rPr>
        <w:rFonts w:ascii="Wingdings" w:hAnsi="Wingdings" w:cs="Wingdings" w:hint="default"/>
      </w:rPr>
    </w:lvl>
    <w:lvl w:ilvl="3" w:tplc="FFFFFFFF">
      <w:start w:val="1"/>
      <w:numFmt w:val="bullet"/>
      <w:lvlText w:val=""/>
      <w:lvlJc w:val="left"/>
      <w:pPr>
        <w:tabs>
          <w:tab w:val="num" w:pos="2940"/>
        </w:tabs>
        <w:ind w:left="2940" w:hanging="360"/>
      </w:pPr>
      <w:rPr>
        <w:rFonts w:ascii="Symbol" w:hAnsi="Symbol" w:cs="Symbol" w:hint="default"/>
      </w:rPr>
    </w:lvl>
    <w:lvl w:ilvl="4" w:tplc="FFFFFFFF">
      <w:start w:val="1"/>
      <w:numFmt w:val="bullet"/>
      <w:lvlText w:val="o"/>
      <w:lvlJc w:val="left"/>
      <w:pPr>
        <w:tabs>
          <w:tab w:val="num" w:pos="3660"/>
        </w:tabs>
        <w:ind w:left="3660" w:hanging="360"/>
      </w:pPr>
      <w:rPr>
        <w:rFonts w:ascii="Courier New" w:hAnsi="Courier New" w:cs="Courier New" w:hint="default"/>
      </w:rPr>
    </w:lvl>
    <w:lvl w:ilvl="5" w:tplc="FFFFFFFF">
      <w:start w:val="1"/>
      <w:numFmt w:val="bullet"/>
      <w:lvlText w:val=""/>
      <w:lvlJc w:val="left"/>
      <w:pPr>
        <w:tabs>
          <w:tab w:val="num" w:pos="4380"/>
        </w:tabs>
        <w:ind w:left="4380" w:hanging="360"/>
      </w:pPr>
      <w:rPr>
        <w:rFonts w:ascii="Wingdings" w:hAnsi="Wingdings" w:cs="Wingdings" w:hint="default"/>
      </w:rPr>
    </w:lvl>
    <w:lvl w:ilvl="6" w:tplc="FFFFFFFF">
      <w:start w:val="1"/>
      <w:numFmt w:val="bullet"/>
      <w:lvlText w:val=""/>
      <w:lvlJc w:val="left"/>
      <w:pPr>
        <w:tabs>
          <w:tab w:val="num" w:pos="5100"/>
        </w:tabs>
        <w:ind w:left="5100" w:hanging="360"/>
      </w:pPr>
      <w:rPr>
        <w:rFonts w:ascii="Symbol" w:hAnsi="Symbol" w:cs="Symbol" w:hint="default"/>
      </w:rPr>
    </w:lvl>
    <w:lvl w:ilvl="7" w:tplc="FFFFFFFF">
      <w:start w:val="1"/>
      <w:numFmt w:val="bullet"/>
      <w:lvlText w:val="o"/>
      <w:lvlJc w:val="left"/>
      <w:pPr>
        <w:tabs>
          <w:tab w:val="num" w:pos="5820"/>
        </w:tabs>
        <w:ind w:left="5820" w:hanging="360"/>
      </w:pPr>
      <w:rPr>
        <w:rFonts w:ascii="Courier New" w:hAnsi="Courier New" w:cs="Courier New" w:hint="default"/>
      </w:rPr>
    </w:lvl>
    <w:lvl w:ilvl="8" w:tplc="FFFFFFFF">
      <w:start w:val="1"/>
      <w:numFmt w:val="bullet"/>
      <w:lvlText w:val=""/>
      <w:lvlJc w:val="left"/>
      <w:pPr>
        <w:tabs>
          <w:tab w:val="num" w:pos="6540"/>
        </w:tabs>
        <w:ind w:left="6540" w:hanging="360"/>
      </w:pPr>
      <w:rPr>
        <w:rFonts w:ascii="Wingdings" w:hAnsi="Wingdings" w:cs="Wingdings" w:hint="default"/>
      </w:rPr>
    </w:lvl>
  </w:abstractNum>
  <w:abstractNum w:abstractNumId="15">
    <w:nsid w:val="686819F4"/>
    <w:multiLevelType w:val="hybridMultilevel"/>
    <w:tmpl w:val="2B9665BC"/>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6">
    <w:nsid w:val="6F446245"/>
    <w:multiLevelType w:val="hybridMultilevel"/>
    <w:tmpl w:val="9754E9EE"/>
    <w:lvl w:ilvl="0" w:tplc="03088BEE">
      <w:start w:val="8"/>
      <w:numFmt w:val="decimal"/>
      <w:lvlText w:val="%1."/>
      <w:lvlJc w:val="left"/>
      <w:pPr>
        <w:tabs>
          <w:tab w:val="num" w:pos="930"/>
        </w:tabs>
        <w:ind w:left="930" w:hanging="57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nsid w:val="742C0B29"/>
    <w:multiLevelType w:val="hybridMultilevel"/>
    <w:tmpl w:val="ACE67FE4"/>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8">
    <w:nsid w:val="784D033C"/>
    <w:multiLevelType w:val="multilevel"/>
    <w:tmpl w:val="8336239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3"/>
  </w:num>
  <w:num w:numId="3">
    <w:abstractNumId w:val="9"/>
  </w:num>
  <w:num w:numId="4">
    <w:abstractNumId w:val="16"/>
  </w:num>
  <w:num w:numId="5">
    <w:abstractNumId w:val="3"/>
  </w:num>
  <w:num w:numId="6">
    <w:abstractNumId w:val="8"/>
  </w:num>
  <w:num w:numId="7">
    <w:abstractNumId w:val="1"/>
  </w:num>
  <w:num w:numId="8">
    <w:abstractNumId w:val="2"/>
  </w:num>
  <w:num w:numId="9">
    <w:abstractNumId w:val="5"/>
  </w:num>
  <w:num w:numId="10">
    <w:abstractNumId w:val="18"/>
  </w:num>
  <w:num w:numId="11">
    <w:abstractNumId w:val="11"/>
  </w:num>
  <w:num w:numId="12">
    <w:abstractNumId w:val="7"/>
  </w:num>
  <w:num w:numId="13">
    <w:abstractNumId w:val="0"/>
  </w:num>
  <w:num w:numId="14">
    <w:abstractNumId w:val="10"/>
  </w:num>
  <w:num w:numId="15">
    <w:abstractNumId w:val="17"/>
  </w:num>
  <w:num w:numId="16">
    <w:abstractNumId w:val="15"/>
  </w:num>
  <w:num w:numId="17">
    <w:abstractNumId w:val="4"/>
  </w:num>
  <w:num w:numId="18">
    <w:abstractNumId w:val="12"/>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activeWritingStyle w:appName="MSWord" w:lang="en-US" w:vendorID="64" w:dllVersion="131078" w:nlCheck="1" w:checkStyle="0"/>
  <w:activeWritingStyle w:appName="MSWord" w:lang="en-AU" w:vendorID="64" w:dllVersion="131078" w:nlCheck="1" w:checkStyle="0"/>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2AD"/>
    <w:rsid w:val="0000132B"/>
    <w:rsid w:val="000109FB"/>
    <w:rsid w:val="00016CF9"/>
    <w:rsid w:val="00021C2D"/>
    <w:rsid w:val="00032082"/>
    <w:rsid w:val="00033812"/>
    <w:rsid w:val="0004080D"/>
    <w:rsid w:val="00060256"/>
    <w:rsid w:val="000763A9"/>
    <w:rsid w:val="00076A57"/>
    <w:rsid w:val="000814B0"/>
    <w:rsid w:val="00082DA4"/>
    <w:rsid w:val="00097FBD"/>
    <w:rsid w:val="000B6582"/>
    <w:rsid w:val="000C0AE4"/>
    <w:rsid w:val="000C2FB2"/>
    <w:rsid w:val="000C771E"/>
    <w:rsid w:val="000D014B"/>
    <w:rsid w:val="000D03C6"/>
    <w:rsid w:val="000D253A"/>
    <w:rsid w:val="000D25E7"/>
    <w:rsid w:val="000D76B8"/>
    <w:rsid w:val="000D7EBE"/>
    <w:rsid w:val="000E2409"/>
    <w:rsid w:val="000E27B3"/>
    <w:rsid w:val="000F06E3"/>
    <w:rsid w:val="000F0B14"/>
    <w:rsid w:val="001004D2"/>
    <w:rsid w:val="001020BB"/>
    <w:rsid w:val="001051D9"/>
    <w:rsid w:val="001136FA"/>
    <w:rsid w:val="00113927"/>
    <w:rsid w:val="00114F85"/>
    <w:rsid w:val="00125833"/>
    <w:rsid w:val="00125EE4"/>
    <w:rsid w:val="00133C96"/>
    <w:rsid w:val="00133CFF"/>
    <w:rsid w:val="001349AF"/>
    <w:rsid w:val="00143FAD"/>
    <w:rsid w:val="00146942"/>
    <w:rsid w:val="001522CF"/>
    <w:rsid w:val="00177C76"/>
    <w:rsid w:val="00182736"/>
    <w:rsid w:val="00183DC5"/>
    <w:rsid w:val="001A42DC"/>
    <w:rsid w:val="001A4320"/>
    <w:rsid w:val="001A5E8B"/>
    <w:rsid w:val="001B086B"/>
    <w:rsid w:val="001B59F8"/>
    <w:rsid w:val="001C1287"/>
    <w:rsid w:val="001C26E9"/>
    <w:rsid w:val="001D0FE6"/>
    <w:rsid w:val="001D103E"/>
    <w:rsid w:val="001D3D9A"/>
    <w:rsid w:val="001D47B5"/>
    <w:rsid w:val="001E30B2"/>
    <w:rsid w:val="001E5FE1"/>
    <w:rsid w:val="001E7B0F"/>
    <w:rsid w:val="002010E0"/>
    <w:rsid w:val="0021661E"/>
    <w:rsid w:val="00221B4D"/>
    <w:rsid w:val="00230440"/>
    <w:rsid w:val="002371A8"/>
    <w:rsid w:val="0024100D"/>
    <w:rsid w:val="00253FC1"/>
    <w:rsid w:val="0026255B"/>
    <w:rsid w:val="00266910"/>
    <w:rsid w:val="00267568"/>
    <w:rsid w:val="00272D8D"/>
    <w:rsid w:val="0027686D"/>
    <w:rsid w:val="002A57B9"/>
    <w:rsid w:val="002B268D"/>
    <w:rsid w:val="002B776B"/>
    <w:rsid w:val="002B79BB"/>
    <w:rsid w:val="002B7E79"/>
    <w:rsid w:val="002C0C3A"/>
    <w:rsid w:val="002C2A44"/>
    <w:rsid w:val="002C3E5F"/>
    <w:rsid w:val="002C7CC3"/>
    <w:rsid w:val="002E2593"/>
    <w:rsid w:val="002E4E44"/>
    <w:rsid w:val="002E54B9"/>
    <w:rsid w:val="002E56DB"/>
    <w:rsid w:val="002F54C9"/>
    <w:rsid w:val="003036C3"/>
    <w:rsid w:val="00312CB5"/>
    <w:rsid w:val="00315802"/>
    <w:rsid w:val="00315A33"/>
    <w:rsid w:val="003161B0"/>
    <w:rsid w:val="0031628F"/>
    <w:rsid w:val="0031682E"/>
    <w:rsid w:val="00321524"/>
    <w:rsid w:val="00321783"/>
    <w:rsid w:val="003233AB"/>
    <w:rsid w:val="00323798"/>
    <w:rsid w:val="00323B18"/>
    <w:rsid w:val="00330E42"/>
    <w:rsid w:val="00335AA4"/>
    <w:rsid w:val="00350553"/>
    <w:rsid w:val="003515D7"/>
    <w:rsid w:val="00351867"/>
    <w:rsid w:val="003532D6"/>
    <w:rsid w:val="00353ECA"/>
    <w:rsid w:val="00354547"/>
    <w:rsid w:val="00355AA4"/>
    <w:rsid w:val="00356CD0"/>
    <w:rsid w:val="003579D2"/>
    <w:rsid w:val="00360409"/>
    <w:rsid w:val="00360A01"/>
    <w:rsid w:val="00372559"/>
    <w:rsid w:val="00375E7C"/>
    <w:rsid w:val="00375F2E"/>
    <w:rsid w:val="0038552C"/>
    <w:rsid w:val="0038700D"/>
    <w:rsid w:val="00391D28"/>
    <w:rsid w:val="00394B80"/>
    <w:rsid w:val="00397378"/>
    <w:rsid w:val="003A0AFD"/>
    <w:rsid w:val="003A26FB"/>
    <w:rsid w:val="003B61DA"/>
    <w:rsid w:val="003B6324"/>
    <w:rsid w:val="003C0DCA"/>
    <w:rsid w:val="003C24F2"/>
    <w:rsid w:val="003C512A"/>
    <w:rsid w:val="003D177A"/>
    <w:rsid w:val="003D43DE"/>
    <w:rsid w:val="003D791E"/>
    <w:rsid w:val="003F1BD9"/>
    <w:rsid w:val="003F70B8"/>
    <w:rsid w:val="0040567E"/>
    <w:rsid w:val="004219DF"/>
    <w:rsid w:val="0042345B"/>
    <w:rsid w:val="0042396D"/>
    <w:rsid w:val="00435502"/>
    <w:rsid w:val="004451D8"/>
    <w:rsid w:val="00446D91"/>
    <w:rsid w:val="004473AD"/>
    <w:rsid w:val="00450BD6"/>
    <w:rsid w:val="004601A2"/>
    <w:rsid w:val="00461B08"/>
    <w:rsid w:val="004649BB"/>
    <w:rsid w:val="00483F8A"/>
    <w:rsid w:val="00486E28"/>
    <w:rsid w:val="00493705"/>
    <w:rsid w:val="00493C53"/>
    <w:rsid w:val="004B058A"/>
    <w:rsid w:val="004B1085"/>
    <w:rsid w:val="004B4330"/>
    <w:rsid w:val="004B509F"/>
    <w:rsid w:val="004B5E5F"/>
    <w:rsid w:val="004C01E1"/>
    <w:rsid w:val="004C0E3F"/>
    <w:rsid w:val="004C49C0"/>
    <w:rsid w:val="004D314E"/>
    <w:rsid w:val="004E0561"/>
    <w:rsid w:val="004E2AFC"/>
    <w:rsid w:val="004E35D4"/>
    <w:rsid w:val="004E44A5"/>
    <w:rsid w:val="004E6890"/>
    <w:rsid w:val="005019E7"/>
    <w:rsid w:val="00507661"/>
    <w:rsid w:val="00514166"/>
    <w:rsid w:val="00517FC1"/>
    <w:rsid w:val="0052434C"/>
    <w:rsid w:val="00527109"/>
    <w:rsid w:val="00533900"/>
    <w:rsid w:val="00537BFB"/>
    <w:rsid w:val="00574842"/>
    <w:rsid w:val="00576E7B"/>
    <w:rsid w:val="00577906"/>
    <w:rsid w:val="00586DE6"/>
    <w:rsid w:val="00590D3B"/>
    <w:rsid w:val="00591E3D"/>
    <w:rsid w:val="0059265A"/>
    <w:rsid w:val="00592B11"/>
    <w:rsid w:val="005A2931"/>
    <w:rsid w:val="005A300C"/>
    <w:rsid w:val="005A40F0"/>
    <w:rsid w:val="005B0879"/>
    <w:rsid w:val="005B669B"/>
    <w:rsid w:val="005C0B92"/>
    <w:rsid w:val="005D0FAE"/>
    <w:rsid w:val="005D1634"/>
    <w:rsid w:val="005D246D"/>
    <w:rsid w:val="005D6FA9"/>
    <w:rsid w:val="005E3184"/>
    <w:rsid w:val="005F4EB2"/>
    <w:rsid w:val="00603B55"/>
    <w:rsid w:val="00605300"/>
    <w:rsid w:val="00606B5C"/>
    <w:rsid w:val="00621994"/>
    <w:rsid w:val="006276A2"/>
    <w:rsid w:val="00635A0B"/>
    <w:rsid w:val="00637A81"/>
    <w:rsid w:val="006429D3"/>
    <w:rsid w:val="006455C8"/>
    <w:rsid w:val="00654079"/>
    <w:rsid w:val="00655A07"/>
    <w:rsid w:val="006656B2"/>
    <w:rsid w:val="00665C08"/>
    <w:rsid w:val="006673BA"/>
    <w:rsid w:val="00671CB8"/>
    <w:rsid w:val="00684727"/>
    <w:rsid w:val="006937D9"/>
    <w:rsid w:val="00694684"/>
    <w:rsid w:val="006964F7"/>
    <w:rsid w:val="006A56C9"/>
    <w:rsid w:val="006B0607"/>
    <w:rsid w:val="006B1E7F"/>
    <w:rsid w:val="006B3E58"/>
    <w:rsid w:val="006B7BCE"/>
    <w:rsid w:val="006C2B33"/>
    <w:rsid w:val="006C4EC2"/>
    <w:rsid w:val="006C5BF5"/>
    <w:rsid w:val="006D5056"/>
    <w:rsid w:val="006E21FE"/>
    <w:rsid w:val="006E48EB"/>
    <w:rsid w:val="006E5C56"/>
    <w:rsid w:val="006F0DF2"/>
    <w:rsid w:val="0070763A"/>
    <w:rsid w:val="00707722"/>
    <w:rsid w:val="00711D93"/>
    <w:rsid w:val="00721B31"/>
    <w:rsid w:val="00725FCD"/>
    <w:rsid w:val="00737B82"/>
    <w:rsid w:val="007436C3"/>
    <w:rsid w:val="00746E3F"/>
    <w:rsid w:val="007602D8"/>
    <w:rsid w:val="00760748"/>
    <w:rsid w:val="007621B6"/>
    <w:rsid w:val="007658D7"/>
    <w:rsid w:val="00765A5E"/>
    <w:rsid w:val="00766B75"/>
    <w:rsid w:val="00772EC1"/>
    <w:rsid w:val="00775468"/>
    <w:rsid w:val="00776C72"/>
    <w:rsid w:val="00796061"/>
    <w:rsid w:val="00796356"/>
    <w:rsid w:val="007963B1"/>
    <w:rsid w:val="007A22F6"/>
    <w:rsid w:val="007A750C"/>
    <w:rsid w:val="007A7DA5"/>
    <w:rsid w:val="007B3A0A"/>
    <w:rsid w:val="007B69A1"/>
    <w:rsid w:val="007C5995"/>
    <w:rsid w:val="007D57E8"/>
    <w:rsid w:val="007E2805"/>
    <w:rsid w:val="007E6260"/>
    <w:rsid w:val="007F007B"/>
    <w:rsid w:val="008020A8"/>
    <w:rsid w:val="00805C49"/>
    <w:rsid w:val="00817E07"/>
    <w:rsid w:val="00822734"/>
    <w:rsid w:val="00826E03"/>
    <w:rsid w:val="008342BA"/>
    <w:rsid w:val="00835907"/>
    <w:rsid w:val="008417AB"/>
    <w:rsid w:val="00852F28"/>
    <w:rsid w:val="00866872"/>
    <w:rsid w:val="00871370"/>
    <w:rsid w:val="008811E6"/>
    <w:rsid w:val="00884EF8"/>
    <w:rsid w:val="008852BB"/>
    <w:rsid w:val="0088675E"/>
    <w:rsid w:val="008873E6"/>
    <w:rsid w:val="008A4A5F"/>
    <w:rsid w:val="008A7C29"/>
    <w:rsid w:val="008B230D"/>
    <w:rsid w:val="008B39A5"/>
    <w:rsid w:val="008B4A68"/>
    <w:rsid w:val="008C1282"/>
    <w:rsid w:val="008D0532"/>
    <w:rsid w:val="008D2B55"/>
    <w:rsid w:val="008D727E"/>
    <w:rsid w:val="008D7B92"/>
    <w:rsid w:val="008E3588"/>
    <w:rsid w:val="008E3661"/>
    <w:rsid w:val="008E4585"/>
    <w:rsid w:val="008F4BAB"/>
    <w:rsid w:val="008F7A5C"/>
    <w:rsid w:val="00900B99"/>
    <w:rsid w:val="00902081"/>
    <w:rsid w:val="009102D9"/>
    <w:rsid w:val="00910548"/>
    <w:rsid w:val="00915E18"/>
    <w:rsid w:val="009200F9"/>
    <w:rsid w:val="00920743"/>
    <w:rsid w:val="00925192"/>
    <w:rsid w:val="00933DB9"/>
    <w:rsid w:val="00933DF3"/>
    <w:rsid w:val="00934AB2"/>
    <w:rsid w:val="0094601C"/>
    <w:rsid w:val="00946426"/>
    <w:rsid w:val="009467CC"/>
    <w:rsid w:val="009568CB"/>
    <w:rsid w:val="00972AB8"/>
    <w:rsid w:val="00977D81"/>
    <w:rsid w:val="0098074F"/>
    <w:rsid w:val="009848B7"/>
    <w:rsid w:val="009962E5"/>
    <w:rsid w:val="009A7186"/>
    <w:rsid w:val="009B4850"/>
    <w:rsid w:val="009B72BF"/>
    <w:rsid w:val="009B7ECE"/>
    <w:rsid w:val="009C4188"/>
    <w:rsid w:val="009C5EE6"/>
    <w:rsid w:val="009D0343"/>
    <w:rsid w:val="009D2B56"/>
    <w:rsid w:val="009E2EA8"/>
    <w:rsid w:val="009E44CA"/>
    <w:rsid w:val="009F733B"/>
    <w:rsid w:val="00A003DC"/>
    <w:rsid w:val="00A102AD"/>
    <w:rsid w:val="00A11C2A"/>
    <w:rsid w:val="00A12E74"/>
    <w:rsid w:val="00A2167C"/>
    <w:rsid w:val="00A22286"/>
    <w:rsid w:val="00A33EF9"/>
    <w:rsid w:val="00A3649C"/>
    <w:rsid w:val="00A37F66"/>
    <w:rsid w:val="00A44819"/>
    <w:rsid w:val="00A46B7D"/>
    <w:rsid w:val="00A50D48"/>
    <w:rsid w:val="00A52958"/>
    <w:rsid w:val="00A63879"/>
    <w:rsid w:val="00A64C66"/>
    <w:rsid w:val="00A75C34"/>
    <w:rsid w:val="00A77897"/>
    <w:rsid w:val="00A81078"/>
    <w:rsid w:val="00A81750"/>
    <w:rsid w:val="00A90991"/>
    <w:rsid w:val="00A94401"/>
    <w:rsid w:val="00A958F0"/>
    <w:rsid w:val="00AA7AC5"/>
    <w:rsid w:val="00AB1BC3"/>
    <w:rsid w:val="00AB1EA9"/>
    <w:rsid w:val="00AB5208"/>
    <w:rsid w:val="00AB62A1"/>
    <w:rsid w:val="00AB7B92"/>
    <w:rsid w:val="00AC16AC"/>
    <w:rsid w:val="00AC6003"/>
    <w:rsid w:val="00AD43E0"/>
    <w:rsid w:val="00AE15FD"/>
    <w:rsid w:val="00AE4F7E"/>
    <w:rsid w:val="00AE5E75"/>
    <w:rsid w:val="00AF71DF"/>
    <w:rsid w:val="00B004A4"/>
    <w:rsid w:val="00B01D9C"/>
    <w:rsid w:val="00B02FD4"/>
    <w:rsid w:val="00B03B05"/>
    <w:rsid w:val="00B04925"/>
    <w:rsid w:val="00B059E5"/>
    <w:rsid w:val="00B12DA2"/>
    <w:rsid w:val="00B149E8"/>
    <w:rsid w:val="00B16C8B"/>
    <w:rsid w:val="00B1707F"/>
    <w:rsid w:val="00B17AC2"/>
    <w:rsid w:val="00B307B7"/>
    <w:rsid w:val="00B30FEE"/>
    <w:rsid w:val="00B345DF"/>
    <w:rsid w:val="00B37426"/>
    <w:rsid w:val="00B37ECA"/>
    <w:rsid w:val="00B42130"/>
    <w:rsid w:val="00B42F7C"/>
    <w:rsid w:val="00B47476"/>
    <w:rsid w:val="00B51940"/>
    <w:rsid w:val="00B5500F"/>
    <w:rsid w:val="00B6732F"/>
    <w:rsid w:val="00B7597F"/>
    <w:rsid w:val="00B80A12"/>
    <w:rsid w:val="00B9246A"/>
    <w:rsid w:val="00B9474C"/>
    <w:rsid w:val="00B97228"/>
    <w:rsid w:val="00B97C5A"/>
    <w:rsid w:val="00BA5A5E"/>
    <w:rsid w:val="00BB030C"/>
    <w:rsid w:val="00BB219E"/>
    <w:rsid w:val="00BB48B9"/>
    <w:rsid w:val="00BB4A7E"/>
    <w:rsid w:val="00BC0CA6"/>
    <w:rsid w:val="00BC4A53"/>
    <w:rsid w:val="00BC528F"/>
    <w:rsid w:val="00BC79D1"/>
    <w:rsid w:val="00BD1E47"/>
    <w:rsid w:val="00BD28BD"/>
    <w:rsid w:val="00BD4203"/>
    <w:rsid w:val="00BE1752"/>
    <w:rsid w:val="00BE225E"/>
    <w:rsid w:val="00BE7606"/>
    <w:rsid w:val="00C0136B"/>
    <w:rsid w:val="00C0313A"/>
    <w:rsid w:val="00C06F07"/>
    <w:rsid w:val="00C11E0F"/>
    <w:rsid w:val="00C24BF6"/>
    <w:rsid w:val="00C32C6F"/>
    <w:rsid w:val="00C35370"/>
    <w:rsid w:val="00C42A1E"/>
    <w:rsid w:val="00C523B2"/>
    <w:rsid w:val="00C55EA5"/>
    <w:rsid w:val="00C56D24"/>
    <w:rsid w:val="00C60000"/>
    <w:rsid w:val="00C60D88"/>
    <w:rsid w:val="00C635A8"/>
    <w:rsid w:val="00C81850"/>
    <w:rsid w:val="00C82924"/>
    <w:rsid w:val="00C844A9"/>
    <w:rsid w:val="00C87FBC"/>
    <w:rsid w:val="00CA02DA"/>
    <w:rsid w:val="00CA5DCC"/>
    <w:rsid w:val="00CA6A3B"/>
    <w:rsid w:val="00CB6CAE"/>
    <w:rsid w:val="00CB7C19"/>
    <w:rsid w:val="00CB7E4F"/>
    <w:rsid w:val="00CC4214"/>
    <w:rsid w:val="00CE6FB5"/>
    <w:rsid w:val="00CF197E"/>
    <w:rsid w:val="00D01B54"/>
    <w:rsid w:val="00D10FF2"/>
    <w:rsid w:val="00D126EB"/>
    <w:rsid w:val="00D154C8"/>
    <w:rsid w:val="00D15584"/>
    <w:rsid w:val="00D178E8"/>
    <w:rsid w:val="00D22299"/>
    <w:rsid w:val="00D2229A"/>
    <w:rsid w:val="00D239F1"/>
    <w:rsid w:val="00D2451D"/>
    <w:rsid w:val="00D2674F"/>
    <w:rsid w:val="00D31A0A"/>
    <w:rsid w:val="00D3320D"/>
    <w:rsid w:val="00D35199"/>
    <w:rsid w:val="00D4051A"/>
    <w:rsid w:val="00D45072"/>
    <w:rsid w:val="00D659F6"/>
    <w:rsid w:val="00D71C08"/>
    <w:rsid w:val="00D762DB"/>
    <w:rsid w:val="00D811C5"/>
    <w:rsid w:val="00D86644"/>
    <w:rsid w:val="00DA4A6D"/>
    <w:rsid w:val="00DA5BD4"/>
    <w:rsid w:val="00DB1796"/>
    <w:rsid w:val="00DB18DB"/>
    <w:rsid w:val="00DB5E17"/>
    <w:rsid w:val="00DB6945"/>
    <w:rsid w:val="00DD1019"/>
    <w:rsid w:val="00DD2D0F"/>
    <w:rsid w:val="00DD5597"/>
    <w:rsid w:val="00DD5646"/>
    <w:rsid w:val="00DD5AD5"/>
    <w:rsid w:val="00DE1EB2"/>
    <w:rsid w:val="00DE60AB"/>
    <w:rsid w:val="00DE6499"/>
    <w:rsid w:val="00DE65C7"/>
    <w:rsid w:val="00DF239C"/>
    <w:rsid w:val="00DF4CEB"/>
    <w:rsid w:val="00DF6AA2"/>
    <w:rsid w:val="00E05AB8"/>
    <w:rsid w:val="00E07320"/>
    <w:rsid w:val="00E123AB"/>
    <w:rsid w:val="00E161EB"/>
    <w:rsid w:val="00E23C26"/>
    <w:rsid w:val="00E3314A"/>
    <w:rsid w:val="00E3410D"/>
    <w:rsid w:val="00E45BA6"/>
    <w:rsid w:val="00E4711B"/>
    <w:rsid w:val="00E50351"/>
    <w:rsid w:val="00E50F49"/>
    <w:rsid w:val="00E670FA"/>
    <w:rsid w:val="00E73DF2"/>
    <w:rsid w:val="00E840D7"/>
    <w:rsid w:val="00E90524"/>
    <w:rsid w:val="00E90CB9"/>
    <w:rsid w:val="00E94C87"/>
    <w:rsid w:val="00E94EC2"/>
    <w:rsid w:val="00EC4620"/>
    <w:rsid w:val="00EC609D"/>
    <w:rsid w:val="00ED4BDA"/>
    <w:rsid w:val="00ED5AFB"/>
    <w:rsid w:val="00EE021C"/>
    <w:rsid w:val="00EE12C5"/>
    <w:rsid w:val="00EE6EAF"/>
    <w:rsid w:val="00EE7787"/>
    <w:rsid w:val="00EF0FBF"/>
    <w:rsid w:val="00EF32F5"/>
    <w:rsid w:val="00EF6E7B"/>
    <w:rsid w:val="00F012CC"/>
    <w:rsid w:val="00F02976"/>
    <w:rsid w:val="00F047AD"/>
    <w:rsid w:val="00F07659"/>
    <w:rsid w:val="00F10FFF"/>
    <w:rsid w:val="00F20818"/>
    <w:rsid w:val="00F22DD7"/>
    <w:rsid w:val="00F267E0"/>
    <w:rsid w:val="00F340F2"/>
    <w:rsid w:val="00F45213"/>
    <w:rsid w:val="00F458BE"/>
    <w:rsid w:val="00F52D66"/>
    <w:rsid w:val="00F560C3"/>
    <w:rsid w:val="00F628B6"/>
    <w:rsid w:val="00F647A4"/>
    <w:rsid w:val="00F7080A"/>
    <w:rsid w:val="00F770DC"/>
    <w:rsid w:val="00F83467"/>
    <w:rsid w:val="00F85402"/>
    <w:rsid w:val="00FA354E"/>
    <w:rsid w:val="00FA56FB"/>
    <w:rsid w:val="00FB6F4C"/>
    <w:rsid w:val="00FD4C68"/>
    <w:rsid w:val="00FE06AB"/>
    <w:rsid w:val="00FE2D1D"/>
    <w:rsid w:val="00FF015E"/>
    <w:rsid w:val="00FF2093"/>
    <w:rsid w:val="00FF2321"/>
    <w:rsid w:val="00FF5B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7B9"/>
    <w:rPr>
      <w:sz w:val="24"/>
      <w:szCs w:val="24"/>
    </w:rPr>
  </w:style>
  <w:style w:type="paragraph" w:styleId="Heading2">
    <w:name w:val="heading 2"/>
    <w:basedOn w:val="Normal"/>
    <w:next w:val="Normal"/>
    <w:link w:val="Heading2Char"/>
    <w:unhideWhenUsed/>
    <w:qFormat/>
    <w:rsid w:val="009102D9"/>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nhideWhenUsed/>
    <w:qFormat/>
    <w:rsid w:val="0004080D"/>
    <w:pPr>
      <w:keepNext/>
      <w:spacing w:before="240" w:after="60"/>
      <w:outlineLvl w:val="2"/>
    </w:pPr>
    <w:rPr>
      <w:rFonts w:ascii="Cambria" w:hAnsi="Cambria"/>
      <w:b/>
      <w:bCs/>
      <w:sz w:val="26"/>
      <w:szCs w:val="26"/>
      <w:lang w:val="x-none" w:eastAsia="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aliases w:val="Table Gridbeth"/>
    <w:basedOn w:val="TableNormal"/>
    <w:rsid w:val="002A57B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B4850"/>
    <w:rPr>
      <w:rFonts w:ascii="Tahoma" w:hAnsi="Tahoma" w:cs="Tahoma"/>
      <w:sz w:val="16"/>
      <w:szCs w:val="16"/>
    </w:rPr>
  </w:style>
  <w:style w:type="paragraph" w:styleId="Header">
    <w:name w:val="header"/>
    <w:aliases w:val="Page Header,Header title,he=header,cntr/bld"/>
    <w:basedOn w:val="Normal"/>
    <w:link w:val="HeaderChar"/>
    <w:uiPriority w:val="99"/>
    <w:rsid w:val="009B4850"/>
    <w:pPr>
      <w:tabs>
        <w:tab w:val="center" w:pos="4153"/>
        <w:tab w:val="right" w:pos="8306"/>
      </w:tabs>
    </w:pPr>
    <w:rPr>
      <w:lang w:val="x-none" w:eastAsia="x-none"/>
    </w:rPr>
  </w:style>
  <w:style w:type="paragraph" w:styleId="Footer">
    <w:name w:val="footer"/>
    <w:aliases w:val="Page Footer"/>
    <w:basedOn w:val="Normal"/>
    <w:rsid w:val="009B4850"/>
    <w:pPr>
      <w:tabs>
        <w:tab w:val="center" w:pos="4153"/>
        <w:tab w:val="right" w:pos="8306"/>
      </w:tabs>
    </w:pPr>
  </w:style>
  <w:style w:type="paragraph" w:customStyle="1" w:styleId="Default">
    <w:name w:val="Default"/>
    <w:rsid w:val="0000132B"/>
    <w:pPr>
      <w:widowControl w:val="0"/>
      <w:autoSpaceDE w:val="0"/>
      <w:autoSpaceDN w:val="0"/>
      <w:adjustRightInd w:val="0"/>
    </w:pPr>
    <w:rPr>
      <w:color w:val="000000"/>
      <w:sz w:val="24"/>
      <w:szCs w:val="24"/>
      <w:lang w:val="en-US" w:eastAsia="en-US"/>
    </w:rPr>
  </w:style>
  <w:style w:type="character" w:styleId="PageNumber">
    <w:name w:val="page number"/>
    <w:basedOn w:val="DefaultParagraphFont"/>
    <w:rsid w:val="003D177A"/>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8E3661"/>
    <w:pPr>
      <w:spacing w:after="160" w:line="240" w:lineRule="exact"/>
    </w:pPr>
    <w:rPr>
      <w:rFonts w:ascii="Verdana" w:eastAsia="MS Mincho" w:hAnsi="Verdana" w:cs="Verdana"/>
      <w:sz w:val="20"/>
      <w:szCs w:val="20"/>
      <w:lang w:val="en-US" w:eastAsia="en-US"/>
    </w:rPr>
  </w:style>
  <w:style w:type="character" w:customStyle="1" w:styleId="MathematicaFormatStandardForm">
    <w:name w:val="MathematicaFormatStandardForm"/>
    <w:rsid w:val="00B149E8"/>
    <w:rPr>
      <w:rFonts w:ascii="Courier" w:hAnsi="Courier" w:cs="Courier"/>
    </w:rPr>
  </w:style>
  <w:style w:type="paragraph" w:styleId="FootnoteText">
    <w:name w:val="footnote text"/>
    <w:basedOn w:val="Normal"/>
    <w:link w:val="FootnoteTextChar"/>
    <w:rsid w:val="00B149E8"/>
    <w:rPr>
      <w:sz w:val="20"/>
      <w:szCs w:val="20"/>
    </w:rPr>
  </w:style>
  <w:style w:type="character" w:styleId="FootnoteReference">
    <w:name w:val="footnote reference"/>
    <w:rsid w:val="00B149E8"/>
    <w:rPr>
      <w:vertAlign w:val="superscript"/>
    </w:rPr>
  </w:style>
  <w:style w:type="character" w:customStyle="1" w:styleId="HeaderChar">
    <w:name w:val="Header Char"/>
    <w:aliases w:val="Page Header Char,Header title Char,he=header Char,cntr/bld Char"/>
    <w:link w:val="Header"/>
    <w:uiPriority w:val="99"/>
    <w:rsid w:val="00EE12C5"/>
    <w:rPr>
      <w:sz w:val="24"/>
      <w:szCs w:val="24"/>
    </w:rPr>
  </w:style>
  <w:style w:type="paragraph" w:customStyle="1" w:styleId="Tabletext">
    <w:name w:val="Table text"/>
    <w:basedOn w:val="Normal"/>
    <w:link w:val="TabletextChar"/>
    <w:qFormat/>
    <w:rsid w:val="00EE12C5"/>
    <w:pPr>
      <w:spacing w:after="120"/>
    </w:pPr>
    <w:rPr>
      <w:rFonts w:ascii="Arial" w:hAnsi="Arial"/>
      <w:sz w:val="20"/>
      <w:szCs w:val="20"/>
      <w:lang w:val="x-none" w:eastAsia="en-US"/>
    </w:rPr>
  </w:style>
  <w:style w:type="character" w:customStyle="1" w:styleId="TabletextChar">
    <w:name w:val="Table text Char"/>
    <w:link w:val="Tabletext"/>
    <w:rsid w:val="00EE12C5"/>
    <w:rPr>
      <w:rFonts w:ascii="Arial" w:hAnsi="Arial"/>
      <w:lang w:eastAsia="en-US"/>
    </w:rPr>
  </w:style>
  <w:style w:type="character" w:customStyle="1" w:styleId="Heading2Char">
    <w:name w:val="Heading 2 Char"/>
    <w:link w:val="Heading2"/>
    <w:rsid w:val="009102D9"/>
    <w:rPr>
      <w:rFonts w:ascii="Cambria" w:eastAsia="Times New Roman" w:hAnsi="Cambria" w:cs="Times New Roman"/>
      <w:b/>
      <w:bCs/>
      <w:i/>
      <w:iCs/>
      <w:sz w:val="28"/>
      <w:szCs w:val="28"/>
    </w:rPr>
  </w:style>
  <w:style w:type="character" w:customStyle="1" w:styleId="Heading3Char">
    <w:name w:val="Heading 3 Char"/>
    <w:link w:val="Heading3"/>
    <w:rsid w:val="0004080D"/>
    <w:rPr>
      <w:rFonts w:ascii="Cambria" w:eastAsia="Times New Roman" w:hAnsi="Cambria" w:cs="Times New Roman"/>
      <w:b/>
      <w:bCs/>
      <w:sz w:val="26"/>
      <w:szCs w:val="26"/>
    </w:rPr>
  </w:style>
  <w:style w:type="character" w:styleId="Strong">
    <w:name w:val="Strong"/>
    <w:qFormat/>
    <w:rsid w:val="00BB219E"/>
    <w:rPr>
      <w:b/>
      <w:bCs/>
    </w:rPr>
  </w:style>
  <w:style w:type="paragraph" w:styleId="ListParagraph">
    <w:name w:val="List Paragraph"/>
    <w:basedOn w:val="Normal"/>
    <w:uiPriority w:val="34"/>
    <w:qFormat/>
    <w:rsid w:val="00350553"/>
    <w:pPr>
      <w:ind w:left="720"/>
      <w:contextualSpacing/>
    </w:pPr>
  </w:style>
  <w:style w:type="character" w:customStyle="1" w:styleId="FootnoteTextChar">
    <w:name w:val="Footnote Text Char"/>
    <w:link w:val="FootnoteText"/>
    <w:rsid w:val="004C0E3F"/>
  </w:style>
  <w:style w:type="paragraph" w:styleId="BodyText3">
    <w:name w:val="Body Text 3"/>
    <w:basedOn w:val="Normal"/>
    <w:link w:val="BodyText3Char"/>
    <w:rsid w:val="004C0E3F"/>
    <w:pPr>
      <w:spacing w:after="120"/>
    </w:pPr>
    <w:rPr>
      <w:sz w:val="16"/>
      <w:szCs w:val="16"/>
      <w:lang w:val="x-none" w:eastAsia="x-none"/>
    </w:rPr>
  </w:style>
  <w:style w:type="character" w:customStyle="1" w:styleId="BodyText3Char">
    <w:name w:val="Body Text 3 Char"/>
    <w:link w:val="BodyText3"/>
    <w:rsid w:val="004C0E3F"/>
    <w:rPr>
      <w:sz w:val="16"/>
      <w:szCs w:val="16"/>
    </w:rPr>
  </w:style>
  <w:style w:type="paragraph" w:styleId="Revision">
    <w:name w:val="Revision"/>
    <w:hidden/>
    <w:uiPriority w:val="99"/>
    <w:semiHidden/>
    <w:rsid w:val="00AD43E0"/>
    <w:rPr>
      <w:sz w:val="24"/>
      <w:szCs w:val="24"/>
    </w:rPr>
  </w:style>
  <w:style w:type="character" w:styleId="CommentReference">
    <w:name w:val="annotation reference"/>
    <w:uiPriority w:val="99"/>
    <w:rsid w:val="00A33EF9"/>
    <w:rPr>
      <w:sz w:val="16"/>
      <w:szCs w:val="16"/>
    </w:rPr>
  </w:style>
  <w:style w:type="paragraph" w:styleId="CommentText">
    <w:name w:val="annotation text"/>
    <w:basedOn w:val="Normal"/>
    <w:link w:val="CommentTextChar"/>
    <w:rsid w:val="00AB1EA9"/>
    <w:rPr>
      <w:sz w:val="20"/>
      <w:szCs w:val="20"/>
    </w:rPr>
  </w:style>
  <w:style w:type="character" w:customStyle="1" w:styleId="CommentTextChar">
    <w:name w:val="Comment Text Char"/>
    <w:basedOn w:val="DefaultParagraphFont"/>
    <w:link w:val="CommentText"/>
    <w:rsid w:val="00AB1EA9"/>
  </w:style>
  <w:style w:type="paragraph" w:styleId="CommentSubject">
    <w:name w:val="annotation subject"/>
    <w:basedOn w:val="CommentText"/>
    <w:next w:val="CommentText"/>
    <w:link w:val="CommentSubjectChar"/>
    <w:rsid w:val="00AB1EA9"/>
    <w:rPr>
      <w:b/>
      <w:bCs/>
      <w:lang w:val="x-none" w:eastAsia="x-none"/>
    </w:rPr>
  </w:style>
  <w:style w:type="character" w:customStyle="1" w:styleId="CommentSubjectChar">
    <w:name w:val="Comment Subject Char"/>
    <w:link w:val="CommentSubject"/>
    <w:rsid w:val="00AB1EA9"/>
    <w:rPr>
      <w:b/>
      <w:bCs/>
    </w:rPr>
  </w:style>
  <w:style w:type="character" w:customStyle="1" w:styleId="Font">
    <w:name w:val="Font"/>
    <w:uiPriority w:val="1"/>
    <w:qFormat/>
    <w:rsid w:val="00FF2321"/>
    <w:rPr>
      <w:rFonts w:ascii="Candara" w:hAnsi="Candara"/>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7B9"/>
    <w:rPr>
      <w:sz w:val="24"/>
      <w:szCs w:val="24"/>
    </w:rPr>
  </w:style>
  <w:style w:type="paragraph" w:styleId="Heading2">
    <w:name w:val="heading 2"/>
    <w:basedOn w:val="Normal"/>
    <w:next w:val="Normal"/>
    <w:link w:val="Heading2Char"/>
    <w:unhideWhenUsed/>
    <w:qFormat/>
    <w:rsid w:val="009102D9"/>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nhideWhenUsed/>
    <w:qFormat/>
    <w:rsid w:val="0004080D"/>
    <w:pPr>
      <w:keepNext/>
      <w:spacing w:before="240" w:after="60"/>
      <w:outlineLvl w:val="2"/>
    </w:pPr>
    <w:rPr>
      <w:rFonts w:ascii="Cambria" w:hAnsi="Cambria"/>
      <w:b/>
      <w:bCs/>
      <w:sz w:val="26"/>
      <w:szCs w:val="26"/>
      <w:lang w:val="x-none" w:eastAsia="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aliases w:val="Table Gridbeth"/>
    <w:basedOn w:val="TableNormal"/>
    <w:rsid w:val="002A57B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B4850"/>
    <w:rPr>
      <w:rFonts w:ascii="Tahoma" w:hAnsi="Tahoma" w:cs="Tahoma"/>
      <w:sz w:val="16"/>
      <w:szCs w:val="16"/>
    </w:rPr>
  </w:style>
  <w:style w:type="paragraph" w:styleId="Header">
    <w:name w:val="header"/>
    <w:aliases w:val="Page Header,Header title,he=header,cntr/bld"/>
    <w:basedOn w:val="Normal"/>
    <w:link w:val="HeaderChar"/>
    <w:uiPriority w:val="99"/>
    <w:rsid w:val="009B4850"/>
    <w:pPr>
      <w:tabs>
        <w:tab w:val="center" w:pos="4153"/>
        <w:tab w:val="right" w:pos="8306"/>
      </w:tabs>
    </w:pPr>
    <w:rPr>
      <w:lang w:val="x-none" w:eastAsia="x-none"/>
    </w:rPr>
  </w:style>
  <w:style w:type="paragraph" w:styleId="Footer">
    <w:name w:val="footer"/>
    <w:aliases w:val="Page Footer"/>
    <w:basedOn w:val="Normal"/>
    <w:rsid w:val="009B4850"/>
    <w:pPr>
      <w:tabs>
        <w:tab w:val="center" w:pos="4153"/>
        <w:tab w:val="right" w:pos="8306"/>
      </w:tabs>
    </w:pPr>
  </w:style>
  <w:style w:type="paragraph" w:customStyle="1" w:styleId="Default">
    <w:name w:val="Default"/>
    <w:rsid w:val="0000132B"/>
    <w:pPr>
      <w:widowControl w:val="0"/>
      <w:autoSpaceDE w:val="0"/>
      <w:autoSpaceDN w:val="0"/>
      <w:adjustRightInd w:val="0"/>
    </w:pPr>
    <w:rPr>
      <w:color w:val="000000"/>
      <w:sz w:val="24"/>
      <w:szCs w:val="24"/>
      <w:lang w:val="en-US" w:eastAsia="en-US"/>
    </w:rPr>
  </w:style>
  <w:style w:type="character" w:styleId="PageNumber">
    <w:name w:val="page number"/>
    <w:basedOn w:val="DefaultParagraphFont"/>
    <w:rsid w:val="003D177A"/>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8E3661"/>
    <w:pPr>
      <w:spacing w:after="160" w:line="240" w:lineRule="exact"/>
    </w:pPr>
    <w:rPr>
      <w:rFonts w:ascii="Verdana" w:eastAsia="MS Mincho" w:hAnsi="Verdana" w:cs="Verdana"/>
      <w:sz w:val="20"/>
      <w:szCs w:val="20"/>
      <w:lang w:val="en-US" w:eastAsia="en-US"/>
    </w:rPr>
  </w:style>
  <w:style w:type="character" w:customStyle="1" w:styleId="MathematicaFormatStandardForm">
    <w:name w:val="MathematicaFormatStandardForm"/>
    <w:rsid w:val="00B149E8"/>
    <w:rPr>
      <w:rFonts w:ascii="Courier" w:hAnsi="Courier" w:cs="Courier"/>
    </w:rPr>
  </w:style>
  <w:style w:type="paragraph" w:styleId="FootnoteText">
    <w:name w:val="footnote text"/>
    <w:basedOn w:val="Normal"/>
    <w:link w:val="FootnoteTextChar"/>
    <w:rsid w:val="00B149E8"/>
    <w:rPr>
      <w:sz w:val="20"/>
      <w:szCs w:val="20"/>
    </w:rPr>
  </w:style>
  <w:style w:type="character" w:styleId="FootnoteReference">
    <w:name w:val="footnote reference"/>
    <w:rsid w:val="00B149E8"/>
    <w:rPr>
      <w:vertAlign w:val="superscript"/>
    </w:rPr>
  </w:style>
  <w:style w:type="character" w:customStyle="1" w:styleId="HeaderChar">
    <w:name w:val="Header Char"/>
    <w:aliases w:val="Page Header Char,Header title Char,he=header Char,cntr/bld Char"/>
    <w:link w:val="Header"/>
    <w:uiPriority w:val="99"/>
    <w:rsid w:val="00EE12C5"/>
    <w:rPr>
      <w:sz w:val="24"/>
      <w:szCs w:val="24"/>
    </w:rPr>
  </w:style>
  <w:style w:type="paragraph" w:customStyle="1" w:styleId="Tabletext">
    <w:name w:val="Table text"/>
    <w:basedOn w:val="Normal"/>
    <w:link w:val="TabletextChar"/>
    <w:qFormat/>
    <w:rsid w:val="00EE12C5"/>
    <w:pPr>
      <w:spacing w:after="120"/>
    </w:pPr>
    <w:rPr>
      <w:rFonts w:ascii="Arial" w:hAnsi="Arial"/>
      <w:sz w:val="20"/>
      <w:szCs w:val="20"/>
      <w:lang w:val="x-none" w:eastAsia="en-US"/>
    </w:rPr>
  </w:style>
  <w:style w:type="character" w:customStyle="1" w:styleId="TabletextChar">
    <w:name w:val="Table text Char"/>
    <w:link w:val="Tabletext"/>
    <w:rsid w:val="00EE12C5"/>
    <w:rPr>
      <w:rFonts w:ascii="Arial" w:hAnsi="Arial"/>
      <w:lang w:eastAsia="en-US"/>
    </w:rPr>
  </w:style>
  <w:style w:type="character" w:customStyle="1" w:styleId="Heading2Char">
    <w:name w:val="Heading 2 Char"/>
    <w:link w:val="Heading2"/>
    <w:rsid w:val="009102D9"/>
    <w:rPr>
      <w:rFonts w:ascii="Cambria" w:eastAsia="Times New Roman" w:hAnsi="Cambria" w:cs="Times New Roman"/>
      <w:b/>
      <w:bCs/>
      <w:i/>
      <w:iCs/>
      <w:sz w:val="28"/>
      <w:szCs w:val="28"/>
    </w:rPr>
  </w:style>
  <w:style w:type="character" w:customStyle="1" w:styleId="Heading3Char">
    <w:name w:val="Heading 3 Char"/>
    <w:link w:val="Heading3"/>
    <w:rsid w:val="0004080D"/>
    <w:rPr>
      <w:rFonts w:ascii="Cambria" w:eastAsia="Times New Roman" w:hAnsi="Cambria" w:cs="Times New Roman"/>
      <w:b/>
      <w:bCs/>
      <w:sz w:val="26"/>
      <w:szCs w:val="26"/>
    </w:rPr>
  </w:style>
  <w:style w:type="character" w:styleId="Strong">
    <w:name w:val="Strong"/>
    <w:qFormat/>
    <w:rsid w:val="00BB219E"/>
    <w:rPr>
      <w:b/>
      <w:bCs/>
    </w:rPr>
  </w:style>
  <w:style w:type="paragraph" w:styleId="ListParagraph">
    <w:name w:val="List Paragraph"/>
    <w:basedOn w:val="Normal"/>
    <w:uiPriority w:val="34"/>
    <w:qFormat/>
    <w:rsid w:val="00350553"/>
    <w:pPr>
      <w:ind w:left="720"/>
      <w:contextualSpacing/>
    </w:pPr>
  </w:style>
  <w:style w:type="character" w:customStyle="1" w:styleId="FootnoteTextChar">
    <w:name w:val="Footnote Text Char"/>
    <w:link w:val="FootnoteText"/>
    <w:rsid w:val="004C0E3F"/>
  </w:style>
  <w:style w:type="paragraph" w:styleId="BodyText3">
    <w:name w:val="Body Text 3"/>
    <w:basedOn w:val="Normal"/>
    <w:link w:val="BodyText3Char"/>
    <w:rsid w:val="004C0E3F"/>
    <w:pPr>
      <w:spacing w:after="120"/>
    </w:pPr>
    <w:rPr>
      <w:sz w:val="16"/>
      <w:szCs w:val="16"/>
      <w:lang w:val="x-none" w:eastAsia="x-none"/>
    </w:rPr>
  </w:style>
  <w:style w:type="character" w:customStyle="1" w:styleId="BodyText3Char">
    <w:name w:val="Body Text 3 Char"/>
    <w:link w:val="BodyText3"/>
    <w:rsid w:val="004C0E3F"/>
    <w:rPr>
      <w:sz w:val="16"/>
      <w:szCs w:val="16"/>
    </w:rPr>
  </w:style>
  <w:style w:type="paragraph" w:styleId="Revision">
    <w:name w:val="Revision"/>
    <w:hidden/>
    <w:uiPriority w:val="99"/>
    <w:semiHidden/>
    <w:rsid w:val="00AD43E0"/>
    <w:rPr>
      <w:sz w:val="24"/>
      <w:szCs w:val="24"/>
    </w:rPr>
  </w:style>
  <w:style w:type="character" w:styleId="CommentReference">
    <w:name w:val="annotation reference"/>
    <w:uiPriority w:val="99"/>
    <w:rsid w:val="00A33EF9"/>
    <w:rPr>
      <w:sz w:val="16"/>
      <w:szCs w:val="16"/>
    </w:rPr>
  </w:style>
  <w:style w:type="paragraph" w:styleId="CommentText">
    <w:name w:val="annotation text"/>
    <w:basedOn w:val="Normal"/>
    <w:link w:val="CommentTextChar"/>
    <w:rsid w:val="00AB1EA9"/>
    <w:rPr>
      <w:sz w:val="20"/>
      <w:szCs w:val="20"/>
    </w:rPr>
  </w:style>
  <w:style w:type="character" w:customStyle="1" w:styleId="CommentTextChar">
    <w:name w:val="Comment Text Char"/>
    <w:basedOn w:val="DefaultParagraphFont"/>
    <w:link w:val="CommentText"/>
    <w:rsid w:val="00AB1EA9"/>
  </w:style>
  <w:style w:type="paragraph" w:styleId="CommentSubject">
    <w:name w:val="annotation subject"/>
    <w:basedOn w:val="CommentText"/>
    <w:next w:val="CommentText"/>
    <w:link w:val="CommentSubjectChar"/>
    <w:rsid w:val="00AB1EA9"/>
    <w:rPr>
      <w:b/>
      <w:bCs/>
      <w:lang w:val="x-none" w:eastAsia="x-none"/>
    </w:rPr>
  </w:style>
  <w:style w:type="character" w:customStyle="1" w:styleId="CommentSubjectChar">
    <w:name w:val="Comment Subject Char"/>
    <w:link w:val="CommentSubject"/>
    <w:rsid w:val="00AB1EA9"/>
    <w:rPr>
      <w:b/>
      <w:bCs/>
    </w:rPr>
  </w:style>
  <w:style w:type="character" w:customStyle="1" w:styleId="Font">
    <w:name w:val="Font"/>
    <w:uiPriority w:val="1"/>
    <w:qFormat/>
    <w:rsid w:val="00FF2321"/>
    <w:rPr>
      <w:rFonts w:ascii="Candara" w:hAnsi="Candar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D008D-EA7B-4361-8618-2276ABE53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5087</Words>
  <Characters>27466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2015-03-22T22:28:00Z</dcterms:created>
  <dcterms:modified xsi:type="dcterms:W3CDTF">2015-03-22T22:32:00Z</dcterms:modified>
</cp:coreProperties>
</file>