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DAC" w:rsidRPr="009E5D8D" w:rsidRDefault="00715DAC" w:rsidP="005766FB">
      <w:pPr>
        <w:rPr>
          <w:rFonts w:ascii="Arial" w:hAnsi="Arial" w:cs="Arial"/>
          <w:b/>
          <w:sz w:val="28"/>
          <w:szCs w:val="28"/>
        </w:rPr>
      </w:pPr>
      <w:r w:rsidRPr="009E5D8D">
        <w:rPr>
          <w:rFonts w:ascii="Arial" w:hAnsi="Arial" w:cs="Arial"/>
          <w:b/>
          <w:sz w:val="28"/>
          <w:szCs w:val="28"/>
        </w:rPr>
        <w:t>Item 3 – Testosterone</w:t>
      </w:r>
    </w:p>
    <w:p w:rsidR="00715DAC" w:rsidRPr="00D44461" w:rsidRDefault="00715DAC" w:rsidP="00715DAC">
      <w:pPr>
        <w:jc w:val="both"/>
        <w:rPr>
          <w:rFonts w:ascii="Arial" w:hAnsi="Arial" w:cs="Arial"/>
          <w:b/>
        </w:rPr>
      </w:pPr>
    </w:p>
    <w:p w:rsidR="00715DAC" w:rsidRPr="00A06E22" w:rsidRDefault="00715DAC" w:rsidP="00715DAC">
      <w:pPr>
        <w:jc w:val="both"/>
        <w:rPr>
          <w:rFonts w:ascii="Arial" w:hAnsi="Arial" w:cs="Arial"/>
          <w:b/>
          <w:sz w:val="22"/>
          <w:szCs w:val="22"/>
        </w:rPr>
      </w:pPr>
      <w:r w:rsidRPr="00A06E22">
        <w:rPr>
          <w:rFonts w:ascii="Arial" w:hAnsi="Arial" w:cs="Arial"/>
          <w:b/>
          <w:sz w:val="22"/>
          <w:szCs w:val="22"/>
        </w:rPr>
        <w:t>1</w:t>
      </w:r>
      <w:r w:rsidRPr="00A06E22">
        <w:rPr>
          <w:rFonts w:ascii="Arial" w:hAnsi="Arial" w:cs="Arial"/>
          <w:b/>
          <w:sz w:val="22"/>
          <w:szCs w:val="22"/>
        </w:rPr>
        <w:tab/>
        <w:t>Purpose of Item</w:t>
      </w:r>
    </w:p>
    <w:p w:rsidR="00715DAC" w:rsidRPr="00A06E22" w:rsidRDefault="00715DAC" w:rsidP="00715DAC">
      <w:pPr>
        <w:jc w:val="both"/>
        <w:rPr>
          <w:rFonts w:ascii="Arial" w:hAnsi="Arial" w:cs="Arial"/>
          <w:sz w:val="22"/>
          <w:szCs w:val="22"/>
        </w:rPr>
      </w:pPr>
    </w:p>
    <w:p w:rsidR="00715DAC" w:rsidRPr="00A06E22" w:rsidRDefault="00715DAC" w:rsidP="00013B7D">
      <w:pPr>
        <w:ind w:left="709" w:hanging="709"/>
        <w:jc w:val="both"/>
        <w:rPr>
          <w:rFonts w:ascii="Arial" w:hAnsi="Arial" w:cs="Arial"/>
          <w:sz w:val="22"/>
          <w:szCs w:val="22"/>
        </w:rPr>
      </w:pPr>
      <w:r w:rsidRPr="00A06E22">
        <w:rPr>
          <w:rFonts w:ascii="Arial" w:hAnsi="Arial" w:cs="Arial"/>
          <w:sz w:val="22"/>
          <w:szCs w:val="22"/>
        </w:rPr>
        <w:t>1.1</w:t>
      </w:r>
      <w:r w:rsidRPr="00A06E22">
        <w:rPr>
          <w:rFonts w:ascii="Arial" w:hAnsi="Arial" w:cs="Arial"/>
          <w:sz w:val="22"/>
          <w:szCs w:val="22"/>
        </w:rPr>
        <w:tab/>
        <w:t>To provide the PBAC with the findings of the DUSC analyses of utilisation of testosterone.</w:t>
      </w:r>
    </w:p>
    <w:p w:rsidR="00715DAC" w:rsidRPr="00A06E22" w:rsidRDefault="00715DAC" w:rsidP="00715DAC">
      <w:pPr>
        <w:ind w:left="851" w:hanging="851"/>
        <w:jc w:val="both"/>
        <w:rPr>
          <w:rFonts w:ascii="Arial" w:hAnsi="Arial" w:cs="Arial"/>
          <w:sz w:val="22"/>
          <w:szCs w:val="22"/>
        </w:rPr>
      </w:pPr>
    </w:p>
    <w:p w:rsidR="00715DAC" w:rsidRPr="00A06E22" w:rsidRDefault="00715DAC" w:rsidP="003649F5">
      <w:pPr>
        <w:ind w:left="709" w:hanging="709"/>
        <w:jc w:val="both"/>
        <w:rPr>
          <w:rFonts w:ascii="Arial" w:hAnsi="Arial" w:cs="Arial"/>
          <w:sz w:val="22"/>
          <w:szCs w:val="22"/>
        </w:rPr>
      </w:pPr>
      <w:r w:rsidRPr="00A06E22">
        <w:rPr>
          <w:rFonts w:ascii="Arial" w:hAnsi="Arial" w:cs="Arial"/>
          <w:sz w:val="22"/>
          <w:szCs w:val="22"/>
        </w:rPr>
        <w:t>1.2.</w:t>
      </w:r>
      <w:r w:rsidRPr="00A06E22">
        <w:rPr>
          <w:rFonts w:ascii="Arial" w:hAnsi="Arial" w:cs="Arial"/>
          <w:sz w:val="22"/>
          <w:szCs w:val="22"/>
        </w:rPr>
        <w:tab/>
        <w:t xml:space="preserve">For PBAC to consider if the PBS restrictions for testosterone products require revision. </w:t>
      </w:r>
    </w:p>
    <w:p w:rsidR="00715DAC" w:rsidRPr="00A06E22" w:rsidRDefault="00715DAC" w:rsidP="00715DAC">
      <w:pPr>
        <w:ind w:left="851" w:hanging="851"/>
        <w:jc w:val="both"/>
        <w:rPr>
          <w:rFonts w:ascii="Arial" w:hAnsi="Arial" w:cs="Arial"/>
          <w:sz w:val="22"/>
          <w:szCs w:val="22"/>
        </w:rPr>
      </w:pPr>
    </w:p>
    <w:p w:rsidR="00715DAC" w:rsidRPr="00A06E22" w:rsidRDefault="00A43B3C" w:rsidP="003649F5">
      <w:pPr>
        <w:ind w:left="709" w:hanging="709"/>
        <w:jc w:val="both"/>
        <w:rPr>
          <w:rFonts w:ascii="Arial" w:hAnsi="Arial" w:cs="Arial"/>
          <w:sz w:val="22"/>
          <w:szCs w:val="22"/>
        </w:rPr>
      </w:pPr>
      <w:r>
        <w:rPr>
          <w:rFonts w:ascii="Arial" w:hAnsi="Arial" w:cs="Arial"/>
          <w:sz w:val="22"/>
          <w:szCs w:val="22"/>
        </w:rPr>
        <w:t>1.3</w:t>
      </w:r>
      <w:r w:rsidR="00715DAC" w:rsidRPr="00A06E22">
        <w:rPr>
          <w:rFonts w:ascii="Arial" w:hAnsi="Arial" w:cs="Arial"/>
          <w:sz w:val="22"/>
          <w:szCs w:val="22"/>
        </w:rPr>
        <w:tab/>
        <w:t>For PBAC to consider if any revisions of the dose relativities for pricing purposes are required.</w:t>
      </w:r>
    </w:p>
    <w:p w:rsidR="00715DAC" w:rsidRPr="00A06E22" w:rsidRDefault="00715DAC" w:rsidP="00715DAC">
      <w:pPr>
        <w:jc w:val="both"/>
        <w:rPr>
          <w:rFonts w:ascii="Arial" w:hAnsi="Arial" w:cs="Arial"/>
          <w:b/>
          <w:sz w:val="22"/>
          <w:szCs w:val="22"/>
        </w:rPr>
      </w:pPr>
    </w:p>
    <w:p w:rsidR="00715DAC" w:rsidRPr="00A06E22" w:rsidRDefault="00715DAC" w:rsidP="00715DAC">
      <w:pPr>
        <w:jc w:val="both"/>
        <w:rPr>
          <w:rFonts w:ascii="Arial" w:hAnsi="Arial" w:cs="Arial"/>
          <w:sz w:val="22"/>
          <w:szCs w:val="22"/>
        </w:rPr>
      </w:pPr>
      <w:r w:rsidRPr="00A06E22">
        <w:rPr>
          <w:rFonts w:ascii="Arial" w:hAnsi="Arial" w:cs="Arial"/>
          <w:b/>
          <w:sz w:val="22"/>
          <w:szCs w:val="22"/>
        </w:rPr>
        <w:t>2</w:t>
      </w:r>
      <w:r w:rsidRPr="00A06E22">
        <w:rPr>
          <w:rFonts w:ascii="Arial" w:hAnsi="Arial" w:cs="Arial"/>
          <w:b/>
          <w:sz w:val="22"/>
          <w:szCs w:val="22"/>
        </w:rPr>
        <w:tab/>
        <w:t>Background</w:t>
      </w:r>
    </w:p>
    <w:p w:rsidR="00715DAC" w:rsidRPr="00A06E22" w:rsidRDefault="00715DAC" w:rsidP="00715DAC">
      <w:pPr>
        <w:jc w:val="both"/>
        <w:rPr>
          <w:rFonts w:ascii="Arial" w:hAnsi="Arial" w:cs="Arial"/>
          <w:sz w:val="22"/>
          <w:szCs w:val="22"/>
        </w:rPr>
      </w:pPr>
    </w:p>
    <w:p w:rsidR="00715DAC" w:rsidRPr="00A06E22" w:rsidRDefault="00715DAC" w:rsidP="00715DAC">
      <w:pPr>
        <w:ind w:left="720" w:hanging="720"/>
        <w:jc w:val="both"/>
        <w:rPr>
          <w:rFonts w:ascii="Arial" w:hAnsi="Arial" w:cs="Arial"/>
          <w:sz w:val="22"/>
          <w:szCs w:val="22"/>
        </w:rPr>
      </w:pPr>
      <w:r w:rsidRPr="00A06E22">
        <w:rPr>
          <w:rFonts w:ascii="Arial" w:hAnsi="Arial" w:cs="Arial"/>
          <w:sz w:val="22"/>
          <w:szCs w:val="22"/>
        </w:rPr>
        <w:t>2.1</w:t>
      </w:r>
      <w:r w:rsidRPr="00A06E22">
        <w:rPr>
          <w:rFonts w:ascii="Arial" w:hAnsi="Arial" w:cs="Arial"/>
          <w:sz w:val="22"/>
          <w:szCs w:val="22"/>
        </w:rPr>
        <w:tab/>
        <w:t xml:space="preserve">At its October 2012 meeting, </w:t>
      </w:r>
      <w:r w:rsidR="000650AE">
        <w:rPr>
          <w:rFonts w:ascii="Arial" w:hAnsi="Arial" w:cs="Arial"/>
          <w:sz w:val="22"/>
          <w:szCs w:val="22"/>
        </w:rPr>
        <w:t xml:space="preserve">the </w:t>
      </w:r>
      <w:r w:rsidRPr="00A06E22">
        <w:rPr>
          <w:rFonts w:ascii="Arial" w:hAnsi="Arial" w:cs="Arial"/>
          <w:sz w:val="22"/>
          <w:szCs w:val="22"/>
        </w:rPr>
        <w:t xml:space="preserve">DUSC reviewed the utilisation of PBS listed testosterone. The utilisation analysis was prompted by </w:t>
      </w:r>
      <w:r w:rsidR="001909B6">
        <w:rPr>
          <w:rFonts w:ascii="Arial" w:hAnsi="Arial" w:cs="Arial"/>
          <w:sz w:val="22"/>
          <w:szCs w:val="22"/>
        </w:rPr>
        <w:t>a</w:t>
      </w:r>
      <w:r w:rsidR="00FA4982">
        <w:rPr>
          <w:rFonts w:ascii="Arial" w:hAnsi="Arial" w:cs="Arial"/>
          <w:sz w:val="22"/>
          <w:szCs w:val="22"/>
        </w:rPr>
        <w:t xml:space="preserve"> research article highlighting </w:t>
      </w:r>
      <w:r w:rsidR="001909B6" w:rsidRPr="001909B6">
        <w:rPr>
          <w:rFonts w:ascii="Arial" w:hAnsi="Arial" w:cs="Arial"/>
          <w:sz w:val="22"/>
          <w:szCs w:val="22"/>
        </w:rPr>
        <w:t>an increase in Pharmaceutical Benefits Scheme (PBS)-subs</w:t>
      </w:r>
      <w:r w:rsidR="000213E9">
        <w:rPr>
          <w:rFonts w:ascii="Arial" w:hAnsi="Arial" w:cs="Arial"/>
          <w:sz w:val="22"/>
          <w:szCs w:val="22"/>
        </w:rPr>
        <w:t>idised testosterone prescribing</w:t>
      </w:r>
      <w:r w:rsidR="000213E9">
        <w:rPr>
          <w:rStyle w:val="FootnoteReference"/>
          <w:rFonts w:ascii="Arial" w:hAnsi="Arial" w:cs="Arial"/>
          <w:sz w:val="22"/>
          <w:szCs w:val="22"/>
        </w:rPr>
        <w:footnoteReference w:id="1"/>
      </w:r>
      <w:r w:rsidR="007B1ADD">
        <w:rPr>
          <w:rFonts w:ascii="Arial" w:hAnsi="Arial" w:cs="Arial"/>
          <w:sz w:val="22"/>
          <w:szCs w:val="22"/>
        </w:rPr>
        <w:t>.</w:t>
      </w:r>
    </w:p>
    <w:p w:rsidR="00715DAC" w:rsidRPr="00A06E22" w:rsidRDefault="00715DAC" w:rsidP="00715DAC">
      <w:pPr>
        <w:jc w:val="both"/>
        <w:rPr>
          <w:rFonts w:ascii="Arial" w:hAnsi="Arial" w:cs="Arial"/>
          <w:sz w:val="22"/>
          <w:szCs w:val="22"/>
        </w:rPr>
      </w:pPr>
    </w:p>
    <w:p w:rsidR="00715DAC" w:rsidRPr="00A06E22" w:rsidRDefault="00715DAC" w:rsidP="00715DAC">
      <w:pPr>
        <w:jc w:val="both"/>
        <w:rPr>
          <w:rFonts w:ascii="Arial" w:hAnsi="Arial" w:cs="Arial"/>
          <w:sz w:val="22"/>
          <w:szCs w:val="22"/>
        </w:rPr>
      </w:pPr>
      <w:r w:rsidRPr="00A06E22">
        <w:rPr>
          <w:rFonts w:ascii="Arial" w:hAnsi="Arial" w:cs="Arial"/>
          <w:sz w:val="22"/>
          <w:szCs w:val="22"/>
        </w:rPr>
        <w:t>2.2</w:t>
      </w:r>
      <w:r w:rsidRPr="00A06E22">
        <w:rPr>
          <w:rFonts w:ascii="Arial" w:hAnsi="Arial" w:cs="Arial"/>
          <w:sz w:val="22"/>
          <w:szCs w:val="22"/>
        </w:rPr>
        <w:tab/>
        <w:t>The utilisation analysis highlighted the following key points:</w:t>
      </w:r>
    </w:p>
    <w:p w:rsidR="00715DAC" w:rsidRPr="00A06E22" w:rsidRDefault="00715DAC" w:rsidP="00727724">
      <w:pPr>
        <w:pStyle w:val="ListParagraph"/>
        <w:numPr>
          <w:ilvl w:val="0"/>
          <w:numId w:val="4"/>
        </w:numPr>
        <w:ind w:left="1560" w:hanging="426"/>
        <w:jc w:val="both"/>
        <w:rPr>
          <w:rFonts w:ascii="Arial" w:hAnsi="Arial" w:cs="Arial"/>
          <w:sz w:val="22"/>
          <w:szCs w:val="22"/>
        </w:rPr>
      </w:pPr>
      <w:r w:rsidRPr="00A06E22">
        <w:rPr>
          <w:rFonts w:ascii="Arial" w:hAnsi="Arial" w:cs="Arial"/>
          <w:sz w:val="22"/>
          <w:szCs w:val="22"/>
        </w:rPr>
        <w:t xml:space="preserve">Utilisation of testosterone has doubled over the past 5 years. </w:t>
      </w:r>
    </w:p>
    <w:p w:rsidR="00715DAC" w:rsidRPr="00A06E22" w:rsidRDefault="00715DAC" w:rsidP="00727724">
      <w:pPr>
        <w:pStyle w:val="ListParagraph"/>
        <w:numPr>
          <w:ilvl w:val="0"/>
          <w:numId w:val="4"/>
        </w:numPr>
        <w:ind w:left="1560" w:hanging="426"/>
        <w:jc w:val="both"/>
        <w:rPr>
          <w:rFonts w:ascii="Arial" w:hAnsi="Arial" w:cs="Arial"/>
          <w:sz w:val="22"/>
          <w:szCs w:val="22"/>
        </w:rPr>
      </w:pPr>
      <w:r w:rsidRPr="00A06E22">
        <w:rPr>
          <w:rFonts w:ascii="Arial" w:hAnsi="Arial" w:cs="Arial"/>
          <w:sz w:val="22"/>
          <w:szCs w:val="22"/>
        </w:rPr>
        <w:t xml:space="preserve">Expenditure has increased more than the growth in utilisation. This suggests that therapeutic relativities may require review. </w:t>
      </w:r>
    </w:p>
    <w:p w:rsidR="00715DAC" w:rsidRPr="00A06E22" w:rsidRDefault="00715DAC" w:rsidP="00727724">
      <w:pPr>
        <w:pStyle w:val="ListParagraph"/>
        <w:numPr>
          <w:ilvl w:val="0"/>
          <w:numId w:val="4"/>
        </w:numPr>
        <w:ind w:left="1560" w:hanging="426"/>
        <w:rPr>
          <w:rFonts w:ascii="Arial" w:hAnsi="Arial" w:cs="Arial"/>
          <w:sz w:val="22"/>
          <w:szCs w:val="22"/>
        </w:rPr>
      </w:pPr>
      <w:r w:rsidRPr="00A06E22">
        <w:rPr>
          <w:rFonts w:ascii="Arial" w:hAnsi="Arial" w:cs="Arial"/>
          <w:sz w:val="22"/>
          <w:szCs w:val="22"/>
        </w:rPr>
        <w:t>The listing of two products, testosterone gel and intramuscular injection 1000mg, have driven the growth in the market.</w:t>
      </w:r>
    </w:p>
    <w:p w:rsidR="00715DAC" w:rsidRPr="00A06E22" w:rsidRDefault="00715DAC" w:rsidP="00727724">
      <w:pPr>
        <w:pStyle w:val="ListParagraph"/>
        <w:numPr>
          <w:ilvl w:val="0"/>
          <w:numId w:val="4"/>
        </w:numPr>
        <w:ind w:left="1560" w:hanging="426"/>
        <w:jc w:val="both"/>
        <w:rPr>
          <w:rFonts w:ascii="Arial" w:hAnsi="Arial" w:cs="Arial"/>
          <w:sz w:val="22"/>
          <w:szCs w:val="22"/>
        </w:rPr>
      </w:pPr>
      <w:r w:rsidRPr="00A06E22">
        <w:rPr>
          <w:rFonts w:ascii="Arial" w:hAnsi="Arial" w:cs="Arial"/>
          <w:sz w:val="22"/>
          <w:szCs w:val="22"/>
        </w:rPr>
        <w:t xml:space="preserve">There is a trend towards more GPs initiating therapy. </w:t>
      </w:r>
    </w:p>
    <w:p w:rsidR="00715DAC" w:rsidRPr="00A06E22" w:rsidRDefault="00715DAC" w:rsidP="00727724">
      <w:pPr>
        <w:pStyle w:val="ListParagraph"/>
        <w:numPr>
          <w:ilvl w:val="0"/>
          <w:numId w:val="4"/>
        </w:numPr>
        <w:ind w:left="1560" w:hanging="426"/>
        <w:jc w:val="both"/>
        <w:rPr>
          <w:rFonts w:ascii="Arial" w:hAnsi="Arial" w:cs="Arial"/>
          <w:sz w:val="22"/>
          <w:szCs w:val="22"/>
        </w:rPr>
      </w:pPr>
      <w:r w:rsidRPr="00A06E22">
        <w:rPr>
          <w:rFonts w:ascii="Arial" w:hAnsi="Arial" w:cs="Arial"/>
          <w:sz w:val="22"/>
          <w:szCs w:val="22"/>
        </w:rPr>
        <w:t>There may be some use of testosterone that is not within the PBS restriction.</w:t>
      </w:r>
    </w:p>
    <w:p w:rsidR="00715DAC" w:rsidRPr="00A06E22" w:rsidRDefault="00715DAC" w:rsidP="00727724">
      <w:pPr>
        <w:pStyle w:val="ListParagraph"/>
        <w:numPr>
          <w:ilvl w:val="0"/>
          <w:numId w:val="4"/>
        </w:numPr>
        <w:ind w:left="1560" w:hanging="426"/>
        <w:jc w:val="both"/>
        <w:rPr>
          <w:rFonts w:ascii="Arial" w:hAnsi="Arial" w:cs="Arial"/>
          <w:sz w:val="22"/>
          <w:szCs w:val="22"/>
        </w:rPr>
      </w:pPr>
      <w:r w:rsidRPr="00A06E22">
        <w:rPr>
          <w:rFonts w:ascii="Arial" w:hAnsi="Arial" w:cs="Arial"/>
          <w:sz w:val="22"/>
          <w:szCs w:val="22"/>
        </w:rPr>
        <w:t>There are some safety concerns with testosterone including possible increased cardiovascular risk in older men.</w:t>
      </w:r>
    </w:p>
    <w:p w:rsidR="00715DAC" w:rsidRPr="00A06E22" w:rsidRDefault="00715DAC" w:rsidP="00715DAC">
      <w:pPr>
        <w:jc w:val="both"/>
        <w:rPr>
          <w:rFonts w:ascii="Arial" w:hAnsi="Arial" w:cs="Arial"/>
          <w:sz w:val="22"/>
          <w:szCs w:val="22"/>
        </w:rPr>
      </w:pPr>
    </w:p>
    <w:p w:rsidR="00715DAC" w:rsidRPr="00A06E22" w:rsidRDefault="00715DAC" w:rsidP="00715DAC">
      <w:pPr>
        <w:ind w:left="851" w:hanging="851"/>
        <w:jc w:val="both"/>
        <w:rPr>
          <w:rFonts w:ascii="Arial" w:hAnsi="Arial" w:cs="Arial"/>
          <w:sz w:val="22"/>
          <w:szCs w:val="22"/>
        </w:rPr>
      </w:pPr>
      <w:r w:rsidRPr="00A06E22">
        <w:rPr>
          <w:rFonts w:ascii="Arial" w:hAnsi="Arial" w:cs="Arial"/>
          <w:sz w:val="22"/>
          <w:szCs w:val="22"/>
        </w:rPr>
        <w:t>2.3</w:t>
      </w:r>
      <w:r w:rsidRPr="00A06E22">
        <w:rPr>
          <w:rFonts w:ascii="Arial" w:hAnsi="Arial" w:cs="Arial"/>
          <w:sz w:val="22"/>
          <w:szCs w:val="22"/>
        </w:rPr>
        <w:tab/>
        <w:t xml:space="preserve">Sponsors of all PBS-listed testosterone </w:t>
      </w:r>
      <w:r w:rsidR="004459B2">
        <w:rPr>
          <w:rFonts w:ascii="Arial" w:hAnsi="Arial" w:cs="Arial"/>
          <w:sz w:val="22"/>
          <w:szCs w:val="22"/>
        </w:rPr>
        <w:t xml:space="preserve">products </w:t>
      </w:r>
      <w:r w:rsidRPr="00A06E22">
        <w:rPr>
          <w:rFonts w:ascii="Arial" w:hAnsi="Arial" w:cs="Arial"/>
          <w:sz w:val="22"/>
          <w:szCs w:val="22"/>
        </w:rPr>
        <w:t xml:space="preserve">and other stakeholders </w:t>
      </w:r>
      <w:r w:rsidR="00B209AE">
        <w:rPr>
          <w:rFonts w:ascii="Arial" w:hAnsi="Arial" w:cs="Arial"/>
          <w:sz w:val="22"/>
          <w:szCs w:val="22"/>
        </w:rPr>
        <w:t>including</w:t>
      </w:r>
      <w:r w:rsidR="00304955">
        <w:rPr>
          <w:rFonts w:ascii="Arial" w:hAnsi="Arial" w:cs="Arial"/>
          <w:sz w:val="22"/>
          <w:szCs w:val="22"/>
        </w:rPr>
        <w:t xml:space="preserve"> </w:t>
      </w:r>
      <w:r w:rsidRPr="00A06E22">
        <w:rPr>
          <w:rFonts w:ascii="Arial" w:hAnsi="Arial" w:cs="Arial"/>
          <w:sz w:val="22"/>
          <w:szCs w:val="22"/>
        </w:rPr>
        <w:t xml:space="preserve">Andrology Australia, </w:t>
      </w:r>
      <w:r w:rsidR="008E2260" w:rsidRPr="00A06E22">
        <w:rPr>
          <w:rFonts w:ascii="Arial" w:hAnsi="Arial" w:cs="Arial"/>
          <w:sz w:val="22"/>
          <w:szCs w:val="22"/>
        </w:rPr>
        <w:t>the ANZAC Research Institute</w:t>
      </w:r>
      <w:r w:rsidR="008E2260">
        <w:rPr>
          <w:rFonts w:ascii="Arial" w:hAnsi="Arial" w:cs="Arial"/>
          <w:sz w:val="22"/>
          <w:szCs w:val="22"/>
        </w:rPr>
        <w:t xml:space="preserve">, </w:t>
      </w:r>
      <w:r w:rsidRPr="00A06E22">
        <w:rPr>
          <w:rFonts w:ascii="Arial" w:hAnsi="Arial" w:cs="Arial"/>
          <w:sz w:val="22"/>
          <w:szCs w:val="22"/>
        </w:rPr>
        <w:t>the Endo</w:t>
      </w:r>
      <w:r w:rsidR="000442AA">
        <w:rPr>
          <w:rFonts w:ascii="Arial" w:hAnsi="Arial" w:cs="Arial"/>
          <w:sz w:val="22"/>
          <w:szCs w:val="22"/>
        </w:rPr>
        <w:t>crine Society of Australia, the</w:t>
      </w:r>
      <w:r w:rsidR="000442AA" w:rsidRPr="000442AA">
        <w:rPr>
          <w:rFonts w:ascii="Arial" w:hAnsi="Arial" w:cs="Arial"/>
          <w:sz w:val="22"/>
          <w:szCs w:val="22"/>
        </w:rPr>
        <w:t xml:space="preserve"> Royal Australian College of General Practitioners </w:t>
      </w:r>
      <w:r w:rsidR="000442AA">
        <w:rPr>
          <w:rFonts w:ascii="Arial" w:hAnsi="Arial" w:cs="Arial"/>
          <w:sz w:val="22"/>
          <w:szCs w:val="22"/>
        </w:rPr>
        <w:t>(</w:t>
      </w:r>
      <w:r w:rsidRPr="00A06E22">
        <w:rPr>
          <w:rFonts w:ascii="Arial" w:hAnsi="Arial" w:cs="Arial"/>
          <w:sz w:val="22"/>
          <w:szCs w:val="22"/>
        </w:rPr>
        <w:t>RACGP</w:t>
      </w:r>
      <w:r w:rsidR="000442AA">
        <w:rPr>
          <w:rFonts w:ascii="Arial" w:hAnsi="Arial" w:cs="Arial"/>
          <w:sz w:val="22"/>
          <w:szCs w:val="22"/>
        </w:rPr>
        <w:t>)</w:t>
      </w:r>
      <w:r w:rsidRPr="00A06E22">
        <w:rPr>
          <w:rFonts w:ascii="Arial" w:hAnsi="Arial" w:cs="Arial"/>
          <w:sz w:val="22"/>
          <w:szCs w:val="22"/>
        </w:rPr>
        <w:t xml:space="preserve"> and the </w:t>
      </w:r>
      <w:r w:rsidR="000442AA" w:rsidRPr="000442AA">
        <w:rPr>
          <w:rFonts w:ascii="Arial" w:hAnsi="Arial" w:cs="Arial"/>
          <w:sz w:val="22"/>
          <w:szCs w:val="22"/>
        </w:rPr>
        <w:t xml:space="preserve">Royal Australasian College of Physicians </w:t>
      </w:r>
      <w:r w:rsidR="000442AA">
        <w:rPr>
          <w:rFonts w:ascii="Arial" w:hAnsi="Arial" w:cs="Arial"/>
          <w:sz w:val="22"/>
          <w:szCs w:val="22"/>
        </w:rPr>
        <w:t>(</w:t>
      </w:r>
      <w:r w:rsidRPr="00A06E22">
        <w:rPr>
          <w:rFonts w:ascii="Arial" w:hAnsi="Arial" w:cs="Arial"/>
          <w:sz w:val="22"/>
          <w:szCs w:val="22"/>
        </w:rPr>
        <w:t>RACP</w:t>
      </w:r>
      <w:r w:rsidR="000442AA">
        <w:rPr>
          <w:rFonts w:ascii="Arial" w:hAnsi="Arial" w:cs="Arial"/>
          <w:sz w:val="22"/>
          <w:szCs w:val="22"/>
        </w:rPr>
        <w:t>)</w:t>
      </w:r>
      <w:r w:rsidRPr="00A06E22">
        <w:rPr>
          <w:rFonts w:ascii="Arial" w:hAnsi="Arial" w:cs="Arial"/>
          <w:sz w:val="22"/>
          <w:szCs w:val="22"/>
        </w:rPr>
        <w:t xml:space="preserve"> were provided with the DUSC report</w:t>
      </w:r>
      <w:r w:rsidR="00B209AE">
        <w:rPr>
          <w:rFonts w:ascii="Arial" w:hAnsi="Arial" w:cs="Arial"/>
          <w:sz w:val="22"/>
          <w:szCs w:val="22"/>
        </w:rPr>
        <w:t xml:space="preserve"> and an opportunity to comment.</w:t>
      </w:r>
    </w:p>
    <w:p w:rsidR="00715DAC" w:rsidRPr="00A06E22" w:rsidRDefault="00715DAC" w:rsidP="00715DAC">
      <w:pPr>
        <w:jc w:val="both"/>
        <w:rPr>
          <w:rFonts w:ascii="Arial" w:hAnsi="Arial" w:cs="Arial"/>
          <w:sz w:val="22"/>
          <w:szCs w:val="22"/>
        </w:rPr>
      </w:pPr>
    </w:p>
    <w:p w:rsidR="00715DAC" w:rsidRPr="00A06E22" w:rsidRDefault="00715DAC" w:rsidP="00715DAC">
      <w:pPr>
        <w:jc w:val="both"/>
        <w:rPr>
          <w:rFonts w:ascii="Arial" w:hAnsi="Arial" w:cs="Arial"/>
          <w:b/>
          <w:sz w:val="22"/>
          <w:szCs w:val="22"/>
        </w:rPr>
      </w:pPr>
      <w:r w:rsidRPr="00A06E22">
        <w:rPr>
          <w:rFonts w:ascii="Arial" w:hAnsi="Arial" w:cs="Arial"/>
          <w:b/>
          <w:sz w:val="22"/>
          <w:szCs w:val="22"/>
        </w:rPr>
        <w:t>3</w:t>
      </w:r>
      <w:r w:rsidRPr="00A06E22">
        <w:rPr>
          <w:rFonts w:ascii="Arial" w:hAnsi="Arial" w:cs="Arial"/>
          <w:b/>
          <w:sz w:val="22"/>
          <w:szCs w:val="22"/>
        </w:rPr>
        <w:tab/>
        <w:t>PBAC Discussion</w:t>
      </w:r>
    </w:p>
    <w:p w:rsidR="00715DAC" w:rsidRPr="00A06E22" w:rsidRDefault="00715DAC" w:rsidP="00715DAC">
      <w:pPr>
        <w:jc w:val="both"/>
        <w:rPr>
          <w:rFonts w:ascii="Arial" w:hAnsi="Arial" w:cs="Arial"/>
          <w:b/>
          <w:sz w:val="22"/>
          <w:szCs w:val="22"/>
        </w:rPr>
      </w:pPr>
    </w:p>
    <w:p w:rsidR="00715DAC" w:rsidRPr="00A06E22" w:rsidRDefault="00715DAC" w:rsidP="00715DAC">
      <w:pPr>
        <w:ind w:left="709" w:hanging="709"/>
        <w:jc w:val="both"/>
        <w:rPr>
          <w:rFonts w:ascii="Arial" w:hAnsi="Arial" w:cs="Arial"/>
          <w:sz w:val="22"/>
          <w:szCs w:val="22"/>
        </w:rPr>
      </w:pPr>
      <w:r w:rsidRPr="00A06E22">
        <w:rPr>
          <w:rFonts w:ascii="Arial" w:hAnsi="Arial" w:cs="Arial"/>
          <w:sz w:val="22"/>
          <w:szCs w:val="22"/>
        </w:rPr>
        <w:t>3.1</w:t>
      </w:r>
      <w:r w:rsidRPr="00A06E22">
        <w:rPr>
          <w:rFonts w:ascii="Arial" w:hAnsi="Arial" w:cs="Arial"/>
          <w:sz w:val="22"/>
          <w:szCs w:val="22"/>
        </w:rPr>
        <w:tab/>
        <w:t>The PBAC noted recent utilisation trends of testosterone products and the increased expenditure in the last five years coincided with the PBS-listing of the transdermal gel and the long-acting intramuscular injection 1000</w:t>
      </w:r>
      <w:r w:rsidR="005856BA">
        <w:rPr>
          <w:rFonts w:ascii="Arial" w:hAnsi="Arial" w:cs="Arial"/>
          <w:sz w:val="22"/>
          <w:szCs w:val="22"/>
        </w:rPr>
        <w:t xml:space="preserve"> </w:t>
      </w:r>
      <w:r w:rsidRPr="00A06E22">
        <w:rPr>
          <w:rFonts w:ascii="Arial" w:hAnsi="Arial" w:cs="Arial"/>
          <w:sz w:val="22"/>
          <w:szCs w:val="22"/>
        </w:rPr>
        <w:t xml:space="preserve">mg. </w:t>
      </w:r>
    </w:p>
    <w:p w:rsidR="00715DAC" w:rsidRPr="00A06E22" w:rsidRDefault="00715DAC" w:rsidP="00715DAC">
      <w:pPr>
        <w:pStyle w:val="Header"/>
        <w:tabs>
          <w:tab w:val="clear" w:pos="4153"/>
          <w:tab w:val="clear" w:pos="8306"/>
        </w:tabs>
        <w:ind w:left="851" w:hanging="851"/>
        <w:jc w:val="both"/>
        <w:rPr>
          <w:rFonts w:ascii="Arial" w:hAnsi="Arial" w:cs="Arial"/>
          <w:sz w:val="22"/>
          <w:szCs w:val="22"/>
        </w:rPr>
      </w:pPr>
    </w:p>
    <w:p w:rsidR="00715DAC" w:rsidRPr="00A06E22" w:rsidRDefault="00715DAC" w:rsidP="00715DAC">
      <w:pPr>
        <w:ind w:left="709" w:hanging="709"/>
        <w:jc w:val="both"/>
        <w:rPr>
          <w:rFonts w:ascii="Arial" w:hAnsi="Arial" w:cs="Arial"/>
          <w:sz w:val="22"/>
          <w:szCs w:val="22"/>
        </w:rPr>
      </w:pPr>
      <w:r w:rsidRPr="00A06E22">
        <w:rPr>
          <w:rFonts w:ascii="Arial" w:hAnsi="Arial" w:cs="Arial"/>
          <w:sz w:val="22"/>
          <w:szCs w:val="22"/>
        </w:rPr>
        <w:t>3.2</w:t>
      </w:r>
      <w:r w:rsidRPr="00A06E22">
        <w:rPr>
          <w:rFonts w:ascii="Arial" w:hAnsi="Arial" w:cs="Arial"/>
          <w:sz w:val="22"/>
          <w:szCs w:val="22"/>
        </w:rPr>
        <w:tab/>
        <w:t>The PBAC noted that the number of PBS/RPBS-prescriptions increased, while non-PBS prescriptions remained stable and low. Though the proportion of GPs writing the first testosterone prescription for a patient has increased only slightly (62</w:t>
      </w:r>
      <w:r w:rsidR="005856BA">
        <w:rPr>
          <w:rFonts w:ascii="Arial" w:hAnsi="Arial" w:cs="Arial"/>
          <w:sz w:val="22"/>
          <w:szCs w:val="22"/>
        </w:rPr>
        <w:t xml:space="preserve"> </w:t>
      </w:r>
      <w:r w:rsidRPr="00A06E22">
        <w:rPr>
          <w:rFonts w:ascii="Arial" w:hAnsi="Arial" w:cs="Arial"/>
          <w:sz w:val="22"/>
          <w:szCs w:val="22"/>
        </w:rPr>
        <w:t>% in 2005 to 68</w:t>
      </w:r>
      <w:r w:rsidR="005856BA">
        <w:rPr>
          <w:rFonts w:ascii="Arial" w:hAnsi="Arial" w:cs="Arial"/>
          <w:sz w:val="22"/>
          <w:szCs w:val="22"/>
        </w:rPr>
        <w:t xml:space="preserve"> </w:t>
      </w:r>
      <w:r w:rsidRPr="00A06E22">
        <w:rPr>
          <w:rFonts w:ascii="Arial" w:hAnsi="Arial" w:cs="Arial"/>
          <w:sz w:val="22"/>
          <w:szCs w:val="22"/>
        </w:rPr>
        <w:t xml:space="preserve">% in 2011), the PBAC noted that almost all of the growth in new patients treated in the most recent year of analysis (2011) was due to initiations by GPs (84%), rather than by specialists. </w:t>
      </w:r>
    </w:p>
    <w:p w:rsidR="00715DAC" w:rsidRPr="00A06E22" w:rsidRDefault="00715DAC" w:rsidP="00715DAC">
      <w:pPr>
        <w:ind w:left="851" w:hanging="851"/>
        <w:jc w:val="both"/>
        <w:rPr>
          <w:rFonts w:ascii="Arial" w:hAnsi="Arial" w:cs="Arial"/>
          <w:sz w:val="22"/>
          <w:szCs w:val="22"/>
        </w:rPr>
      </w:pPr>
    </w:p>
    <w:p w:rsidR="00715DAC" w:rsidRPr="00A06E22" w:rsidRDefault="00715DAC" w:rsidP="00715DAC">
      <w:pPr>
        <w:ind w:left="709" w:hanging="709"/>
        <w:jc w:val="both"/>
        <w:rPr>
          <w:rFonts w:ascii="Arial" w:hAnsi="Arial" w:cs="Arial"/>
          <w:sz w:val="22"/>
          <w:szCs w:val="22"/>
        </w:rPr>
      </w:pPr>
      <w:r w:rsidRPr="00A06E22">
        <w:rPr>
          <w:rFonts w:ascii="Arial" w:hAnsi="Arial" w:cs="Arial"/>
          <w:sz w:val="22"/>
          <w:szCs w:val="22"/>
        </w:rPr>
        <w:lastRenderedPageBreak/>
        <w:t>3.3</w:t>
      </w:r>
      <w:r w:rsidRPr="00A06E22">
        <w:rPr>
          <w:rFonts w:ascii="Arial" w:hAnsi="Arial" w:cs="Arial"/>
          <w:sz w:val="22"/>
          <w:szCs w:val="22"/>
        </w:rPr>
        <w:tab/>
        <w:t>The PBAC noted the utilisation in the younger age groups had remained constant, while initiations for patients aged 40-79 years had increased over time as shown below. The PBAC considered that the growth in initiations for patients in the 40-79 aged cohorts may be due to the increase in diagnosis and treatment of PBS listed indications, however may also include inappropriate use outside the PBS restrictions, such as patients without a pathologically-based androgen deficiency.</w:t>
      </w:r>
    </w:p>
    <w:p w:rsidR="00715DAC" w:rsidRPr="00A06E22" w:rsidRDefault="00715DAC" w:rsidP="00715DAC">
      <w:pPr>
        <w:ind w:left="851" w:hanging="851"/>
        <w:jc w:val="both"/>
        <w:rPr>
          <w:rFonts w:ascii="Arial" w:hAnsi="Arial" w:cs="Arial"/>
          <w:sz w:val="22"/>
          <w:szCs w:val="22"/>
        </w:rPr>
      </w:pPr>
    </w:p>
    <w:p w:rsidR="00715DAC" w:rsidRPr="00A06E22" w:rsidRDefault="00715DAC" w:rsidP="00237BB4">
      <w:pPr>
        <w:ind w:left="1560" w:hanging="851"/>
        <w:jc w:val="center"/>
        <w:rPr>
          <w:rFonts w:ascii="Arial" w:hAnsi="Arial" w:cs="Arial"/>
          <w:sz w:val="22"/>
          <w:szCs w:val="22"/>
        </w:rPr>
      </w:pPr>
      <w:r w:rsidRPr="00A06E22">
        <w:rPr>
          <w:rFonts w:ascii="Arial" w:hAnsi="Arial" w:cs="Arial"/>
          <w:noProof/>
          <w:sz w:val="22"/>
          <w:szCs w:val="22"/>
        </w:rPr>
        <w:drawing>
          <wp:inline distT="0" distB="0" distL="0" distR="0" wp14:anchorId="3ABEEA34" wp14:editId="492BB03F">
            <wp:extent cx="5293360" cy="3464560"/>
            <wp:effectExtent l="0" t="0" r="21590" b="21590"/>
            <wp:docPr id="10" name="Chart 10" title="Initations to testosterone by age and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15DAC" w:rsidRPr="00A06E22" w:rsidRDefault="00715DAC" w:rsidP="00715DAC">
      <w:pPr>
        <w:ind w:left="851" w:hanging="851"/>
        <w:jc w:val="both"/>
        <w:rPr>
          <w:rFonts w:ascii="Arial" w:hAnsi="Arial" w:cs="Arial"/>
          <w:sz w:val="22"/>
          <w:szCs w:val="22"/>
        </w:rPr>
      </w:pPr>
    </w:p>
    <w:p w:rsidR="00715DAC" w:rsidRPr="00A06E22" w:rsidRDefault="00715DAC" w:rsidP="00715DAC">
      <w:pPr>
        <w:ind w:left="709" w:hanging="709"/>
        <w:jc w:val="both"/>
        <w:rPr>
          <w:rFonts w:ascii="Arial" w:hAnsi="Arial" w:cs="Arial"/>
          <w:sz w:val="22"/>
          <w:szCs w:val="22"/>
        </w:rPr>
      </w:pPr>
      <w:r w:rsidRPr="00A06E22">
        <w:rPr>
          <w:rFonts w:ascii="Arial" w:hAnsi="Arial" w:cs="Arial"/>
          <w:sz w:val="22"/>
          <w:szCs w:val="22"/>
        </w:rPr>
        <w:t>3.4</w:t>
      </w:r>
      <w:r w:rsidRPr="00A06E22">
        <w:rPr>
          <w:rFonts w:ascii="Arial" w:hAnsi="Arial" w:cs="Arial"/>
          <w:sz w:val="22"/>
          <w:szCs w:val="22"/>
        </w:rPr>
        <w:tab/>
        <w:t>The PBAC noted that the expenditure for testosterone had increased compared to the utilisation and the PBAC did not consider that there was any basis to revise the dose relativities for pricing purposes at this time.</w:t>
      </w:r>
    </w:p>
    <w:p w:rsidR="00715DAC" w:rsidRPr="00A06E22" w:rsidRDefault="00715DAC" w:rsidP="00715DAC">
      <w:pPr>
        <w:ind w:left="851" w:hanging="851"/>
        <w:jc w:val="both"/>
        <w:rPr>
          <w:rFonts w:ascii="Arial" w:hAnsi="Arial" w:cs="Arial"/>
          <w:sz w:val="22"/>
          <w:szCs w:val="22"/>
        </w:rPr>
      </w:pPr>
    </w:p>
    <w:p w:rsidR="00715DAC" w:rsidRPr="00A06E22" w:rsidRDefault="00715DAC" w:rsidP="00715DAC">
      <w:pPr>
        <w:ind w:left="709" w:hanging="709"/>
        <w:jc w:val="both"/>
        <w:rPr>
          <w:rFonts w:ascii="Arial" w:hAnsi="Arial" w:cs="Arial"/>
          <w:sz w:val="22"/>
          <w:szCs w:val="22"/>
        </w:rPr>
      </w:pPr>
      <w:r w:rsidRPr="00A06E22">
        <w:rPr>
          <w:rFonts w:ascii="Arial" w:hAnsi="Arial" w:cs="Arial"/>
          <w:sz w:val="22"/>
          <w:szCs w:val="22"/>
        </w:rPr>
        <w:t>3.5</w:t>
      </w:r>
      <w:r w:rsidRPr="00A06E22">
        <w:rPr>
          <w:rFonts w:ascii="Arial" w:hAnsi="Arial" w:cs="Arial"/>
          <w:sz w:val="22"/>
          <w:szCs w:val="22"/>
        </w:rPr>
        <w:tab/>
        <w:t xml:space="preserve">The PBAC considered the safety concerns presented in the DUSC review and in the Basaria </w:t>
      </w:r>
      <w:r w:rsidRPr="00A06E22">
        <w:rPr>
          <w:rFonts w:ascii="Arial" w:hAnsi="Arial" w:cs="Arial"/>
          <w:i/>
          <w:sz w:val="22"/>
          <w:szCs w:val="22"/>
        </w:rPr>
        <w:t>et al</w:t>
      </w:r>
      <w:r w:rsidRPr="00A06E22">
        <w:rPr>
          <w:rFonts w:ascii="Arial" w:hAnsi="Arial" w:cs="Arial"/>
          <w:sz w:val="22"/>
          <w:szCs w:val="22"/>
        </w:rPr>
        <w:t xml:space="preserve"> 2010 study. The PBAC noted the study was primarily based on elderly men and that observations were unlikely to be of significant concern when extrapolated to the use of testosterone in Australia.</w:t>
      </w:r>
    </w:p>
    <w:p w:rsidR="00715DAC" w:rsidRPr="00A06E22" w:rsidRDefault="00715DAC" w:rsidP="00715DAC">
      <w:pPr>
        <w:ind w:left="851" w:hanging="851"/>
        <w:jc w:val="both"/>
        <w:rPr>
          <w:rFonts w:ascii="Arial" w:hAnsi="Arial" w:cs="Arial"/>
          <w:sz w:val="22"/>
          <w:szCs w:val="22"/>
        </w:rPr>
      </w:pPr>
    </w:p>
    <w:p w:rsidR="001C43D4" w:rsidRPr="00A06E22" w:rsidRDefault="00715DAC" w:rsidP="00087627">
      <w:pPr>
        <w:ind w:left="720" w:hanging="720"/>
        <w:jc w:val="both"/>
        <w:rPr>
          <w:rFonts w:ascii="Arial" w:hAnsi="Arial" w:cs="Arial"/>
          <w:sz w:val="22"/>
          <w:szCs w:val="22"/>
        </w:rPr>
      </w:pPr>
      <w:r w:rsidRPr="00A06E22">
        <w:rPr>
          <w:rFonts w:ascii="Arial" w:hAnsi="Arial" w:cs="Arial"/>
          <w:sz w:val="22"/>
          <w:szCs w:val="22"/>
        </w:rPr>
        <w:t>3.6</w:t>
      </w:r>
      <w:r w:rsidRPr="00A06E22">
        <w:rPr>
          <w:rFonts w:ascii="Arial" w:hAnsi="Arial" w:cs="Arial"/>
          <w:sz w:val="22"/>
          <w:szCs w:val="22"/>
        </w:rPr>
        <w:tab/>
        <w:t xml:space="preserve">The PBAC noted the original serum testosterone threshold </w:t>
      </w:r>
      <w:r w:rsidR="009D4823" w:rsidRPr="00A06E22">
        <w:rPr>
          <w:rFonts w:ascii="Arial" w:hAnsi="Arial" w:cs="Arial"/>
          <w:sz w:val="22"/>
          <w:szCs w:val="22"/>
        </w:rPr>
        <w:t xml:space="preserve">was </w:t>
      </w:r>
      <w:r w:rsidRPr="00A06E22">
        <w:rPr>
          <w:rFonts w:ascii="Arial" w:hAnsi="Arial" w:cs="Arial"/>
          <w:sz w:val="22"/>
          <w:szCs w:val="22"/>
        </w:rPr>
        <w:t>8.0</w:t>
      </w:r>
      <w:r w:rsidR="00525105">
        <w:rPr>
          <w:rFonts w:ascii="Arial" w:hAnsi="Arial" w:cs="Arial"/>
          <w:sz w:val="22"/>
          <w:szCs w:val="22"/>
        </w:rPr>
        <w:t xml:space="preserve"> </w:t>
      </w:r>
      <w:r w:rsidR="009D4823" w:rsidRPr="00A06E22">
        <w:rPr>
          <w:rFonts w:ascii="Arial" w:hAnsi="Arial" w:cs="Arial"/>
          <w:sz w:val="22"/>
          <w:szCs w:val="22"/>
        </w:rPr>
        <w:t>nmol/L</w:t>
      </w:r>
      <w:r w:rsidR="004B3DFD" w:rsidRPr="00A06E22">
        <w:rPr>
          <w:rFonts w:ascii="Arial" w:hAnsi="Arial" w:cs="Arial"/>
          <w:sz w:val="22"/>
          <w:szCs w:val="22"/>
        </w:rPr>
        <w:t xml:space="preserve"> and was</w:t>
      </w:r>
      <w:r w:rsidR="00087627" w:rsidRPr="00A06E22">
        <w:rPr>
          <w:rFonts w:ascii="Arial" w:hAnsi="Arial" w:cs="Arial"/>
          <w:sz w:val="22"/>
          <w:szCs w:val="22"/>
        </w:rPr>
        <w:t xml:space="preserve"> based </w:t>
      </w:r>
      <w:r w:rsidR="002D19F4" w:rsidRPr="00A06E22">
        <w:rPr>
          <w:rFonts w:ascii="Arial" w:hAnsi="Arial" w:cs="Arial"/>
          <w:sz w:val="22"/>
          <w:szCs w:val="22"/>
        </w:rPr>
        <w:t xml:space="preserve">on </w:t>
      </w:r>
      <w:r w:rsidR="006A012D" w:rsidRPr="00A06E22">
        <w:rPr>
          <w:rFonts w:ascii="Arial" w:hAnsi="Arial" w:cs="Arial"/>
          <w:sz w:val="22"/>
          <w:szCs w:val="22"/>
        </w:rPr>
        <w:t xml:space="preserve">informed judgement from </w:t>
      </w:r>
      <w:r w:rsidR="00B55A9A" w:rsidRPr="00A06E22">
        <w:rPr>
          <w:rFonts w:ascii="Arial" w:hAnsi="Arial" w:cs="Arial"/>
          <w:sz w:val="22"/>
          <w:szCs w:val="22"/>
        </w:rPr>
        <w:t>advice</w:t>
      </w:r>
      <w:r w:rsidR="00421620" w:rsidRPr="00A06E22">
        <w:rPr>
          <w:rFonts w:ascii="Arial" w:hAnsi="Arial" w:cs="Arial"/>
          <w:sz w:val="22"/>
          <w:szCs w:val="22"/>
        </w:rPr>
        <w:t xml:space="preserve"> and correspondence</w:t>
      </w:r>
      <w:r w:rsidR="00B55A9A" w:rsidRPr="00A06E22">
        <w:rPr>
          <w:rFonts w:ascii="Arial" w:hAnsi="Arial" w:cs="Arial"/>
          <w:sz w:val="22"/>
          <w:szCs w:val="22"/>
        </w:rPr>
        <w:t xml:space="preserve"> from the Endocrine Society</w:t>
      </w:r>
      <w:r w:rsidR="00421620" w:rsidRPr="00A06E22">
        <w:rPr>
          <w:rFonts w:ascii="Arial" w:hAnsi="Arial" w:cs="Arial"/>
          <w:sz w:val="22"/>
          <w:szCs w:val="22"/>
        </w:rPr>
        <w:t xml:space="preserve">, the Australasian Paediatric Endocrine Group, sponsors at the time (Schering, Organon) </w:t>
      </w:r>
      <w:r w:rsidR="00B55A9A" w:rsidRPr="00A06E22">
        <w:rPr>
          <w:rFonts w:ascii="Arial" w:hAnsi="Arial" w:cs="Arial"/>
          <w:sz w:val="22"/>
          <w:szCs w:val="22"/>
        </w:rPr>
        <w:t>and clinicians</w:t>
      </w:r>
      <w:r w:rsidR="00421620" w:rsidRPr="00A06E22">
        <w:rPr>
          <w:rFonts w:ascii="Arial" w:hAnsi="Arial" w:cs="Arial"/>
          <w:sz w:val="22"/>
          <w:szCs w:val="22"/>
        </w:rPr>
        <w:t xml:space="preserve"> during the December 1998 and March 1999 PBAC meeting</w:t>
      </w:r>
      <w:r w:rsidR="00B55A9A" w:rsidRPr="00A06E22">
        <w:rPr>
          <w:rFonts w:ascii="Arial" w:hAnsi="Arial" w:cs="Arial"/>
          <w:sz w:val="22"/>
          <w:szCs w:val="22"/>
        </w:rPr>
        <w:t xml:space="preserve">. </w:t>
      </w:r>
      <w:r w:rsidR="004B3DFD" w:rsidRPr="00A06E22">
        <w:rPr>
          <w:rFonts w:ascii="Arial" w:hAnsi="Arial" w:cs="Arial"/>
          <w:sz w:val="22"/>
          <w:szCs w:val="22"/>
        </w:rPr>
        <w:t xml:space="preserve">This threshold was </w:t>
      </w:r>
      <w:r w:rsidR="006A012D" w:rsidRPr="00A06E22">
        <w:rPr>
          <w:rFonts w:ascii="Arial" w:hAnsi="Arial" w:cs="Arial"/>
          <w:sz w:val="22"/>
          <w:szCs w:val="22"/>
        </w:rPr>
        <w:t>vindicated in recent studies (Sartorius et al 2012 Clin Endocrinol).</w:t>
      </w:r>
      <w:r w:rsidR="00087627" w:rsidRPr="00A06E22">
        <w:rPr>
          <w:rFonts w:ascii="Arial" w:hAnsi="Arial" w:cs="Arial"/>
          <w:sz w:val="22"/>
          <w:szCs w:val="22"/>
        </w:rPr>
        <w:t xml:space="preserve"> </w:t>
      </w:r>
    </w:p>
    <w:p w:rsidR="001C43D4" w:rsidRPr="00A06E22" w:rsidRDefault="001C43D4" w:rsidP="00087627">
      <w:pPr>
        <w:ind w:left="720" w:hanging="720"/>
        <w:jc w:val="both"/>
        <w:rPr>
          <w:rFonts w:ascii="Arial" w:hAnsi="Arial" w:cs="Arial"/>
          <w:sz w:val="22"/>
          <w:szCs w:val="22"/>
        </w:rPr>
      </w:pPr>
    </w:p>
    <w:p w:rsidR="00D264AE" w:rsidRPr="00A06E22" w:rsidRDefault="007A563B" w:rsidP="001C43D4">
      <w:pPr>
        <w:ind w:left="720" w:hanging="720"/>
        <w:jc w:val="both"/>
        <w:rPr>
          <w:rFonts w:ascii="Arial" w:hAnsi="Arial" w:cs="Arial"/>
          <w:sz w:val="22"/>
          <w:szCs w:val="22"/>
        </w:rPr>
      </w:pPr>
      <w:r w:rsidRPr="00A06E22">
        <w:rPr>
          <w:rFonts w:ascii="Arial" w:hAnsi="Arial" w:cs="Arial"/>
          <w:sz w:val="22"/>
          <w:szCs w:val="22"/>
        </w:rPr>
        <w:t xml:space="preserve">3.7 </w:t>
      </w:r>
      <w:r w:rsidRPr="00A06E22">
        <w:rPr>
          <w:rFonts w:ascii="Arial" w:hAnsi="Arial" w:cs="Arial"/>
          <w:sz w:val="22"/>
          <w:szCs w:val="22"/>
        </w:rPr>
        <w:tab/>
        <w:t>T</w:t>
      </w:r>
      <w:r w:rsidR="00715DAC" w:rsidRPr="00A06E22">
        <w:rPr>
          <w:rFonts w:ascii="Arial" w:hAnsi="Arial" w:cs="Arial"/>
          <w:sz w:val="22"/>
          <w:szCs w:val="22"/>
        </w:rPr>
        <w:t>he PBAC</w:t>
      </w:r>
      <w:r w:rsidR="006A012D" w:rsidRPr="00A06E22">
        <w:rPr>
          <w:rFonts w:ascii="Arial" w:hAnsi="Arial" w:cs="Arial"/>
          <w:sz w:val="22"/>
          <w:szCs w:val="22"/>
        </w:rPr>
        <w:t xml:space="preserve"> </w:t>
      </w:r>
      <w:r w:rsidRPr="00A06E22">
        <w:rPr>
          <w:rFonts w:ascii="Arial" w:hAnsi="Arial" w:cs="Arial"/>
          <w:sz w:val="22"/>
          <w:szCs w:val="22"/>
        </w:rPr>
        <w:t xml:space="preserve">noted </w:t>
      </w:r>
      <w:r w:rsidR="00715DAC" w:rsidRPr="00A06E22">
        <w:rPr>
          <w:rFonts w:ascii="Arial" w:hAnsi="Arial" w:cs="Arial"/>
          <w:sz w:val="22"/>
          <w:szCs w:val="22"/>
        </w:rPr>
        <w:t>recent Australian data that indicated a more appropriate serum testosterone threshold for prescribing</w:t>
      </w:r>
      <w:r w:rsidR="001C43D4" w:rsidRPr="00A06E22">
        <w:rPr>
          <w:rFonts w:ascii="Arial" w:hAnsi="Arial" w:cs="Arial"/>
          <w:sz w:val="22"/>
          <w:szCs w:val="22"/>
        </w:rPr>
        <w:t xml:space="preserve"> testosterone in</w:t>
      </w:r>
      <w:r w:rsidR="00715DAC" w:rsidRPr="00A06E22">
        <w:rPr>
          <w:rFonts w:ascii="Arial" w:hAnsi="Arial" w:cs="Arial"/>
          <w:sz w:val="22"/>
          <w:szCs w:val="22"/>
        </w:rPr>
        <w:t xml:space="preserve"> older men would be 6 nmol/L (Yeap et al 2012 J Clin Endocrinol Metab). </w:t>
      </w:r>
      <w:r w:rsidR="001C43D4" w:rsidRPr="00A06E22">
        <w:rPr>
          <w:rFonts w:ascii="Arial" w:hAnsi="Arial" w:cs="Arial"/>
          <w:sz w:val="22"/>
          <w:szCs w:val="22"/>
        </w:rPr>
        <w:t>This concentrat</w:t>
      </w:r>
      <w:r w:rsidR="00D766C1" w:rsidRPr="00A06E22">
        <w:rPr>
          <w:rFonts w:ascii="Arial" w:hAnsi="Arial" w:cs="Arial"/>
          <w:sz w:val="22"/>
          <w:szCs w:val="22"/>
        </w:rPr>
        <w:t>ion was</w:t>
      </w:r>
      <w:r w:rsidR="001C43D4" w:rsidRPr="00A06E22">
        <w:rPr>
          <w:rFonts w:ascii="Arial" w:hAnsi="Arial" w:cs="Arial"/>
          <w:sz w:val="22"/>
          <w:szCs w:val="22"/>
        </w:rPr>
        <w:t xml:space="preserve"> based on a</w:t>
      </w:r>
      <w:r w:rsidR="00D264AE" w:rsidRPr="00A06E22">
        <w:rPr>
          <w:rFonts w:ascii="Arial" w:hAnsi="Arial" w:cs="Arial"/>
          <w:sz w:val="22"/>
          <w:szCs w:val="22"/>
        </w:rPr>
        <w:t xml:space="preserve"> large population cohort of healthy older men who have no symptoms that could be attributable to testosterone deficiency. </w:t>
      </w:r>
    </w:p>
    <w:p w:rsidR="003D6668" w:rsidRPr="00A06E22" w:rsidRDefault="003D6668" w:rsidP="003D6668">
      <w:pPr>
        <w:pStyle w:val="Default"/>
        <w:rPr>
          <w:rFonts w:ascii="Arial" w:hAnsi="Arial" w:cs="Arial"/>
          <w:sz w:val="22"/>
          <w:szCs w:val="22"/>
        </w:rPr>
      </w:pPr>
    </w:p>
    <w:p w:rsidR="00715DAC" w:rsidRPr="00A06E22" w:rsidRDefault="001C43D4" w:rsidP="00715DAC">
      <w:pPr>
        <w:ind w:left="720" w:hanging="720"/>
        <w:jc w:val="both"/>
        <w:rPr>
          <w:rFonts w:ascii="Arial" w:hAnsi="Arial" w:cs="Arial"/>
          <w:sz w:val="22"/>
          <w:szCs w:val="22"/>
        </w:rPr>
      </w:pPr>
      <w:r w:rsidRPr="00A06E22">
        <w:rPr>
          <w:rFonts w:ascii="Arial" w:hAnsi="Arial" w:cs="Arial"/>
          <w:sz w:val="22"/>
          <w:szCs w:val="22"/>
        </w:rPr>
        <w:t>3.8</w:t>
      </w:r>
      <w:r w:rsidR="00715DAC" w:rsidRPr="00A06E22">
        <w:rPr>
          <w:rFonts w:ascii="Arial" w:hAnsi="Arial" w:cs="Arial"/>
          <w:sz w:val="22"/>
          <w:szCs w:val="22"/>
        </w:rPr>
        <w:tab/>
        <w:t xml:space="preserve">The PBAC acknowledged the concern raised by DUSC that a high degree of variability has been observed in the measurement of testosterone levels depending </w:t>
      </w:r>
      <w:r w:rsidR="00DB0469" w:rsidRPr="00A06E22">
        <w:rPr>
          <w:rFonts w:ascii="Arial" w:hAnsi="Arial" w:cs="Arial"/>
          <w:sz w:val="22"/>
          <w:szCs w:val="22"/>
        </w:rPr>
        <w:t>on the assay methodology used</w:t>
      </w:r>
      <w:r w:rsidR="00715DAC" w:rsidRPr="00A06E22">
        <w:rPr>
          <w:rFonts w:ascii="Arial" w:hAnsi="Arial" w:cs="Arial"/>
          <w:sz w:val="22"/>
          <w:szCs w:val="22"/>
        </w:rPr>
        <w:t xml:space="preserve">. The PBAC noted the challenges in clinical diagnosis </w:t>
      </w:r>
      <w:r w:rsidR="00715DAC" w:rsidRPr="00A06E22">
        <w:rPr>
          <w:rFonts w:ascii="Arial" w:hAnsi="Arial" w:cs="Arial"/>
          <w:sz w:val="22"/>
          <w:szCs w:val="22"/>
        </w:rPr>
        <w:lastRenderedPageBreak/>
        <w:t>of testosterone deficiency and the accuracy in establishing a definitive threshold. Therefore, the PBAC noted the testosterone range of 6-15 nmol/L</w:t>
      </w:r>
      <w:r w:rsidR="00A82A20" w:rsidRPr="00A06E22">
        <w:rPr>
          <w:rFonts w:ascii="Arial" w:hAnsi="Arial" w:cs="Arial"/>
          <w:sz w:val="22"/>
          <w:szCs w:val="22"/>
        </w:rPr>
        <w:t>, in combination with a</w:t>
      </w:r>
      <w:r w:rsidR="00715DAC" w:rsidRPr="00A06E22">
        <w:rPr>
          <w:rFonts w:ascii="Arial" w:hAnsi="Arial" w:cs="Arial"/>
          <w:sz w:val="22"/>
          <w:szCs w:val="22"/>
        </w:rPr>
        <w:t xml:space="preserve"> high LH and FSH</w:t>
      </w:r>
      <w:r w:rsidR="00AB36F9" w:rsidRPr="00A06E22">
        <w:rPr>
          <w:rFonts w:ascii="Arial" w:hAnsi="Arial" w:cs="Arial"/>
          <w:sz w:val="22"/>
          <w:szCs w:val="22"/>
        </w:rPr>
        <w:t xml:space="preserve"> concentrations</w:t>
      </w:r>
      <w:r w:rsidR="00715DAC" w:rsidRPr="00A06E22">
        <w:rPr>
          <w:rFonts w:ascii="Arial" w:hAnsi="Arial" w:cs="Arial"/>
          <w:sz w:val="22"/>
          <w:szCs w:val="22"/>
        </w:rPr>
        <w:t>, would address any issues of diagnostic variability, while still being consistent with current studies and international recommendations for</w:t>
      </w:r>
      <w:r w:rsidR="005B35C0" w:rsidRPr="00A06E22">
        <w:rPr>
          <w:rFonts w:ascii="Arial" w:hAnsi="Arial" w:cs="Arial"/>
          <w:sz w:val="22"/>
          <w:szCs w:val="22"/>
        </w:rPr>
        <w:t xml:space="preserve"> diagnosis of</w:t>
      </w:r>
      <w:r w:rsidR="00715DAC" w:rsidRPr="00A06E22">
        <w:rPr>
          <w:rFonts w:ascii="Arial" w:hAnsi="Arial" w:cs="Arial"/>
          <w:sz w:val="22"/>
          <w:szCs w:val="22"/>
        </w:rPr>
        <w:t xml:space="preserve"> androgen deficiency.</w:t>
      </w:r>
    </w:p>
    <w:p w:rsidR="00715DAC" w:rsidRPr="00A06E22" w:rsidRDefault="00715DAC" w:rsidP="00715DAC">
      <w:pPr>
        <w:ind w:left="720" w:hanging="720"/>
        <w:jc w:val="both"/>
        <w:rPr>
          <w:rFonts w:ascii="Arial" w:hAnsi="Arial" w:cs="Arial"/>
          <w:sz w:val="22"/>
          <w:szCs w:val="22"/>
        </w:rPr>
      </w:pPr>
    </w:p>
    <w:p w:rsidR="00715DAC" w:rsidRPr="00A06E22" w:rsidRDefault="00715DAC" w:rsidP="00715DAC">
      <w:pPr>
        <w:jc w:val="both"/>
        <w:rPr>
          <w:rFonts w:ascii="Arial" w:hAnsi="Arial" w:cs="Arial"/>
          <w:b/>
          <w:sz w:val="22"/>
          <w:szCs w:val="22"/>
        </w:rPr>
      </w:pPr>
      <w:r w:rsidRPr="00A06E22">
        <w:rPr>
          <w:rFonts w:ascii="Arial" w:hAnsi="Arial" w:cs="Arial"/>
          <w:b/>
          <w:sz w:val="22"/>
          <w:szCs w:val="22"/>
        </w:rPr>
        <w:t>4</w:t>
      </w:r>
      <w:r w:rsidRPr="00A06E22">
        <w:rPr>
          <w:rFonts w:ascii="Arial" w:hAnsi="Arial" w:cs="Arial"/>
          <w:b/>
          <w:sz w:val="22"/>
          <w:szCs w:val="22"/>
        </w:rPr>
        <w:tab/>
        <w:t xml:space="preserve">PBAC Outcomes </w:t>
      </w:r>
    </w:p>
    <w:p w:rsidR="00715DAC" w:rsidRPr="00A06E22" w:rsidRDefault="00715DAC" w:rsidP="00715DAC">
      <w:pPr>
        <w:ind w:left="720" w:hanging="720"/>
        <w:jc w:val="both"/>
        <w:rPr>
          <w:rFonts w:ascii="Arial" w:hAnsi="Arial" w:cs="Arial"/>
          <w:sz w:val="22"/>
          <w:szCs w:val="22"/>
        </w:rPr>
      </w:pPr>
    </w:p>
    <w:p w:rsidR="00715DAC" w:rsidRPr="00A06E22" w:rsidRDefault="00715DAC" w:rsidP="00715DAC">
      <w:pPr>
        <w:ind w:left="720" w:hanging="720"/>
        <w:jc w:val="both"/>
        <w:rPr>
          <w:rFonts w:ascii="Arial" w:hAnsi="Arial" w:cs="Arial"/>
          <w:sz w:val="22"/>
          <w:szCs w:val="22"/>
        </w:rPr>
      </w:pPr>
      <w:r w:rsidRPr="00A06E22">
        <w:rPr>
          <w:rFonts w:ascii="Arial" w:hAnsi="Arial" w:cs="Arial"/>
          <w:sz w:val="22"/>
          <w:szCs w:val="22"/>
        </w:rPr>
        <w:t>4.1</w:t>
      </w:r>
      <w:r w:rsidRPr="00A06E22">
        <w:rPr>
          <w:rFonts w:ascii="Arial" w:hAnsi="Arial" w:cs="Arial"/>
          <w:sz w:val="22"/>
          <w:szCs w:val="22"/>
        </w:rPr>
        <w:tab/>
        <w:t>The PBAC recommended amending the serum testosterone threshold in the PBS restriction for men aged 40 years or older who do not have established pituitary disorders to 6-15</w:t>
      </w:r>
      <w:r w:rsidR="0062716D">
        <w:rPr>
          <w:rFonts w:ascii="Arial" w:hAnsi="Arial" w:cs="Arial"/>
          <w:sz w:val="22"/>
          <w:szCs w:val="22"/>
        </w:rPr>
        <w:t xml:space="preserve"> </w:t>
      </w:r>
      <w:r w:rsidRPr="00A06E22">
        <w:rPr>
          <w:rFonts w:ascii="Arial" w:hAnsi="Arial" w:cs="Arial"/>
          <w:sz w:val="22"/>
          <w:szCs w:val="22"/>
        </w:rPr>
        <w:t xml:space="preserve">nmol/L </w:t>
      </w:r>
      <w:r w:rsidR="00C119DD" w:rsidRPr="00A06E22">
        <w:rPr>
          <w:rFonts w:ascii="Arial" w:hAnsi="Arial" w:cs="Arial"/>
          <w:sz w:val="22"/>
          <w:szCs w:val="22"/>
        </w:rPr>
        <w:t xml:space="preserve">in combination </w:t>
      </w:r>
      <w:r w:rsidRPr="00A06E22">
        <w:rPr>
          <w:rFonts w:ascii="Arial" w:hAnsi="Arial" w:cs="Arial"/>
          <w:sz w:val="22"/>
          <w:szCs w:val="22"/>
        </w:rPr>
        <w:t>with</w:t>
      </w:r>
      <w:r w:rsidR="00C119DD" w:rsidRPr="00A06E22">
        <w:rPr>
          <w:rFonts w:ascii="Arial" w:hAnsi="Arial" w:cs="Arial"/>
          <w:sz w:val="22"/>
          <w:szCs w:val="22"/>
        </w:rPr>
        <w:t xml:space="preserve"> a</w:t>
      </w:r>
      <w:r w:rsidRPr="00A06E22">
        <w:rPr>
          <w:rFonts w:ascii="Arial" w:hAnsi="Arial" w:cs="Arial"/>
          <w:sz w:val="22"/>
          <w:szCs w:val="22"/>
        </w:rPr>
        <w:t xml:space="preserve"> high LH (greater than 1.5 times the upper limit of the eugonadal reference range for young men, or greater than 14 IU/L, whichever is higher</w:t>
      </w:r>
      <w:r w:rsidR="0066371E" w:rsidRPr="00A06E22">
        <w:rPr>
          <w:rFonts w:ascii="Arial" w:hAnsi="Arial" w:cs="Arial"/>
          <w:sz w:val="22"/>
          <w:szCs w:val="22"/>
        </w:rPr>
        <w:t>)</w:t>
      </w:r>
      <w:r w:rsidRPr="00A06E22">
        <w:rPr>
          <w:rFonts w:ascii="Arial" w:hAnsi="Arial" w:cs="Arial"/>
          <w:sz w:val="22"/>
          <w:szCs w:val="22"/>
        </w:rPr>
        <w:t>. Confirmation of androgen deficiency should include measurement of serum testosterone, LH and FSH to allow for the appropriate diagnosis of primary androgen deficiency. The PBAC noted that testing of serum LH and FSH together with serum testosterone is not expected to increase the cost to the Commonwealth as the MBS item 66695 already covers up to 6 assays from a single sample.</w:t>
      </w:r>
    </w:p>
    <w:p w:rsidR="00715DAC" w:rsidRPr="00A06E22" w:rsidRDefault="00715DAC" w:rsidP="00715DAC">
      <w:pPr>
        <w:ind w:left="720" w:hanging="720"/>
        <w:jc w:val="both"/>
        <w:rPr>
          <w:rFonts w:ascii="Arial" w:hAnsi="Arial" w:cs="Arial"/>
          <w:sz w:val="22"/>
          <w:szCs w:val="22"/>
        </w:rPr>
      </w:pPr>
    </w:p>
    <w:p w:rsidR="00715DAC" w:rsidRPr="00A06E22" w:rsidRDefault="00715DAC" w:rsidP="00715DAC">
      <w:pPr>
        <w:ind w:left="720" w:hanging="720"/>
        <w:jc w:val="both"/>
        <w:rPr>
          <w:rFonts w:ascii="Arial" w:hAnsi="Arial" w:cs="Arial"/>
          <w:sz w:val="22"/>
          <w:szCs w:val="22"/>
        </w:rPr>
      </w:pPr>
      <w:r w:rsidRPr="00A06E22">
        <w:rPr>
          <w:rFonts w:ascii="Arial" w:hAnsi="Arial" w:cs="Arial"/>
          <w:sz w:val="22"/>
          <w:szCs w:val="22"/>
        </w:rPr>
        <w:t>4.2</w:t>
      </w:r>
      <w:r w:rsidRPr="00A06E22">
        <w:rPr>
          <w:rFonts w:ascii="Arial" w:hAnsi="Arial" w:cs="Arial"/>
          <w:sz w:val="22"/>
          <w:szCs w:val="22"/>
        </w:rPr>
        <w:tab/>
        <w:t>The PBAC recommended patients</w:t>
      </w:r>
      <w:r w:rsidR="003C1D9C" w:rsidRPr="00A06E22">
        <w:rPr>
          <w:rFonts w:ascii="Arial" w:hAnsi="Arial" w:cs="Arial"/>
          <w:sz w:val="22"/>
          <w:szCs w:val="22"/>
        </w:rPr>
        <w:t xml:space="preserve"> prescribed testosterone</w:t>
      </w:r>
      <w:r w:rsidRPr="00A06E22">
        <w:rPr>
          <w:rFonts w:ascii="Arial" w:hAnsi="Arial" w:cs="Arial"/>
          <w:sz w:val="22"/>
          <w:szCs w:val="22"/>
        </w:rPr>
        <w:t xml:space="preserve"> must be treated by a specialist paediatric endocrinologist, specialist paediatrician, specialist general paediatrician</w:t>
      </w:r>
      <w:r w:rsidR="00C65D11">
        <w:rPr>
          <w:rFonts w:ascii="Arial" w:hAnsi="Arial" w:cs="Arial"/>
          <w:sz w:val="22"/>
          <w:szCs w:val="22"/>
        </w:rPr>
        <w:t>,</w:t>
      </w:r>
      <w:r w:rsidRPr="00A06E22">
        <w:rPr>
          <w:rFonts w:ascii="Arial" w:hAnsi="Arial" w:cs="Arial"/>
          <w:sz w:val="22"/>
          <w:szCs w:val="22"/>
        </w:rPr>
        <w:t xml:space="preserve"> specialist endocrinologi</w:t>
      </w:r>
      <w:r w:rsidR="007F1BE7" w:rsidRPr="00A06E22">
        <w:rPr>
          <w:rFonts w:ascii="Arial" w:hAnsi="Arial" w:cs="Arial"/>
          <w:sz w:val="22"/>
          <w:szCs w:val="22"/>
        </w:rPr>
        <w:t xml:space="preserve">st, specialist urologist, or a </w:t>
      </w:r>
      <w:r w:rsidRPr="00A06E22">
        <w:rPr>
          <w:rFonts w:ascii="Arial" w:hAnsi="Arial" w:cs="Arial"/>
          <w:sz w:val="22"/>
          <w:szCs w:val="22"/>
        </w:rPr>
        <w:t>general practitioner in consultation with one of the above specialists listed or to have an appointment to be assessed by one of these specialists. The PBAC recommended that the Secretariat consult with the Australian Health Practitioner Regulation Agency (AHPRA) to ensure that the specialist prescribers nominated in the revised restriction are identified as such under national registration requirements, prior to implementing the revised restriction.</w:t>
      </w:r>
      <w:bookmarkStart w:id="0" w:name="_GoBack"/>
      <w:bookmarkEnd w:id="0"/>
    </w:p>
    <w:p w:rsidR="00715DAC" w:rsidRPr="00A06E22" w:rsidRDefault="00715DAC" w:rsidP="00715DAC">
      <w:pPr>
        <w:ind w:left="720"/>
        <w:jc w:val="both"/>
        <w:rPr>
          <w:rFonts w:ascii="Arial" w:hAnsi="Arial" w:cs="Arial"/>
          <w:sz w:val="22"/>
          <w:szCs w:val="22"/>
        </w:rPr>
      </w:pPr>
    </w:p>
    <w:p w:rsidR="00715DAC" w:rsidRPr="00A06E22" w:rsidRDefault="00715DAC" w:rsidP="00715DAC">
      <w:pPr>
        <w:ind w:left="720" w:hanging="720"/>
        <w:jc w:val="both"/>
        <w:rPr>
          <w:rFonts w:ascii="Arial" w:hAnsi="Arial" w:cs="Arial"/>
          <w:sz w:val="22"/>
          <w:szCs w:val="22"/>
        </w:rPr>
      </w:pPr>
      <w:r w:rsidRPr="00A06E22">
        <w:rPr>
          <w:rFonts w:ascii="Arial" w:hAnsi="Arial" w:cs="Arial"/>
          <w:sz w:val="22"/>
          <w:szCs w:val="22"/>
        </w:rPr>
        <w:t xml:space="preserve">4.3 </w:t>
      </w:r>
      <w:r w:rsidRPr="00A06E22">
        <w:rPr>
          <w:rFonts w:ascii="Arial" w:hAnsi="Arial" w:cs="Arial"/>
          <w:sz w:val="22"/>
          <w:szCs w:val="22"/>
        </w:rPr>
        <w:tab/>
        <w:t>The PBAC recommended excluding treatment for low serum testosterone due primarily to age, obesity, cardiovascular diseases, infertility or drugs. These indications have not been assessed for efficacy and cost-effectiveness by the PBAC.</w:t>
      </w:r>
    </w:p>
    <w:p w:rsidR="00715DAC" w:rsidRPr="00A06E22" w:rsidRDefault="00715DAC" w:rsidP="00715DAC">
      <w:pPr>
        <w:ind w:left="720" w:hanging="720"/>
        <w:jc w:val="both"/>
        <w:rPr>
          <w:rFonts w:ascii="Arial" w:hAnsi="Arial" w:cs="Arial"/>
          <w:sz w:val="22"/>
          <w:szCs w:val="22"/>
        </w:rPr>
      </w:pPr>
    </w:p>
    <w:p w:rsidR="00715DAC" w:rsidRPr="00A06E22" w:rsidRDefault="00715DAC" w:rsidP="00715DAC">
      <w:pPr>
        <w:ind w:left="720" w:hanging="720"/>
        <w:jc w:val="both"/>
        <w:rPr>
          <w:rFonts w:ascii="Arial" w:hAnsi="Arial" w:cs="Arial"/>
          <w:sz w:val="22"/>
          <w:szCs w:val="22"/>
        </w:rPr>
      </w:pPr>
      <w:r w:rsidRPr="00A06E22">
        <w:rPr>
          <w:rFonts w:ascii="Arial" w:hAnsi="Arial" w:cs="Arial"/>
          <w:sz w:val="22"/>
          <w:szCs w:val="22"/>
        </w:rPr>
        <w:t>4.4</w:t>
      </w:r>
      <w:r w:rsidRPr="00A06E22">
        <w:rPr>
          <w:rFonts w:ascii="Arial" w:hAnsi="Arial" w:cs="Arial"/>
          <w:sz w:val="22"/>
          <w:szCs w:val="22"/>
        </w:rPr>
        <w:tab/>
        <w:t xml:space="preserve">The PBAC recommended that a review of testosterone utilisation by DUSC to be undertaken twelve months after the PBS restriction has been finalised and implemented. </w:t>
      </w:r>
    </w:p>
    <w:p w:rsidR="00715DAC" w:rsidRPr="00A06E22" w:rsidRDefault="00715DAC" w:rsidP="00715DAC">
      <w:pPr>
        <w:jc w:val="both"/>
        <w:rPr>
          <w:rFonts w:ascii="Arial" w:hAnsi="Arial" w:cs="Arial"/>
          <w:sz w:val="22"/>
          <w:szCs w:val="22"/>
        </w:rPr>
      </w:pPr>
    </w:p>
    <w:p w:rsidR="00715DAC" w:rsidRPr="00A06E22" w:rsidRDefault="00715DAC" w:rsidP="00715DAC">
      <w:pPr>
        <w:ind w:left="720" w:hanging="720"/>
        <w:jc w:val="both"/>
        <w:rPr>
          <w:rFonts w:ascii="Arial" w:hAnsi="Arial" w:cs="Arial"/>
          <w:sz w:val="22"/>
          <w:szCs w:val="22"/>
        </w:rPr>
      </w:pPr>
      <w:r w:rsidRPr="00A06E22">
        <w:rPr>
          <w:rFonts w:ascii="Arial" w:hAnsi="Arial" w:cs="Arial"/>
          <w:sz w:val="22"/>
          <w:szCs w:val="22"/>
        </w:rPr>
        <w:t>4.5</w:t>
      </w:r>
      <w:r w:rsidRPr="00A06E22">
        <w:rPr>
          <w:rFonts w:ascii="Arial" w:hAnsi="Arial" w:cs="Arial"/>
          <w:sz w:val="22"/>
          <w:szCs w:val="22"/>
        </w:rPr>
        <w:tab/>
        <w:t xml:space="preserve">Noting the strong possibility of prescribing of testosterone outside the PBS restriction, the PBAC recommended that the Department refer this matter to the Compliance area of Department of Human Services for appropriate action. </w:t>
      </w:r>
    </w:p>
    <w:p w:rsidR="002156C8" w:rsidRPr="00A06E22" w:rsidRDefault="002156C8" w:rsidP="00715DAC">
      <w:pPr>
        <w:ind w:left="720" w:hanging="720"/>
        <w:jc w:val="both"/>
        <w:rPr>
          <w:rFonts w:ascii="Arial" w:hAnsi="Arial" w:cs="Arial"/>
          <w:sz w:val="22"/>
          <w:szCs w:val="22"/>
        </w:rPr>
      </w:pPr>
    </w:p>
    <w:p w:rsidR="002156C8" w:rsidRPr="00A06E22" w:rsidRDefault="002156C8" w:rsidP="00715DAC">
      <w:pPr>
        <w:ind w:left="720" w:hanging="720"/>
        <w:jc w:val="both"/>
        <w:rPr>
          <w:rFonts w:ascii="Arial" w:hAnsi="Arial" w:cs="Arial"/>
          <w:sz w:val="22"/>
          <w:szCs w:val="22"/>
        </w:rPr>
      </w:pPr>
      <w:r w:rsidRPr="00A06E22">
        <w:rPr>
          <w:rFonts w:ascii="Arial" w:hAnsi="Arial" w:cs="Arial"/>
          <w:sz w:val="22"/>
          <w:szCs w:val="22"/>
        </w:rPr>
        <w:t>4.6</w:t>
      </w:r>
      <w:r w:rsidRPr="00A06E22">
        <w:rPr>
          <w:rFonts w:ascii="Arial" w:hAnsi="Arial" w:cs="Arial"/>
          <w:sz w:val="22"/>
          <w:szCs w:val="22"/>
        </w:rPr>
        <w:tab/>
        <w:t>The recommended restriction is considered complicated and will be finalised out of session.</w:t>
      </w:r>
    </w:p>
    <w:p w:rsidR="00715DAC" w:rsidRPr="00A06E22" w:rsidRDefault="00715DAC" w:rsidP="00715DAC">
      <w:pPr>
        <w:ind w:left="720" w:hanging="720"/>
        <w:jc w:val="both"/>
        <w:rPr>
          <w:rFonts w:ascii="Arial" w:hAnsi="Arial" w:cs="Arial"/>
          <w:sz w:val="22"/>
          <w:szCs w:val="22"/>
        </w:rPr>
      </w:pPr>
    </w:p>
    <w:p w:rsidR="00B057E2" w:rsidRPr="00A06E22" w:rsidRDefault="00B057E2" w:rsidP="00B057E2">
      <w:pPr>
        <w:jc w:val="both"/>
        <w:rPr>
          <w:rFonts w:ascii="Arial" w:hAnsi="Arial" w:cs="Arial"/>
          <w:b/>
          <w:sz w:val="22"/>
          <w:szCs w:val="22"/>
        </w:rPr>
      </w:pPr>
      <w:r w:rsidRPr="00A06E22">
        <w:rPr>
          <w:rFonts w:ascii="Arial" w:hAnsi="Arial" w:cs="Arial"/>
          <w:b/>
          <w:sz w:val="22"/>
          <w:szCs w:val="22"/>
        </w:rPr>
        <w:t>5</w:t>
      </w:r>
      <w:r w:rsidRPr="00A06E22">
        <w:rPr>
          <w:rFonts w:ascii="Arial" w:hAnsi="Arial" w:cs="Arial"/>
          <w:b/>
          <w:sz w:val="22"/>
          <w:szCs w:val="22"/>
        </w:rPr>
        <w:tab/>
        <w:t>Context for Decision</w:t>
      </w:r>
    </w:p>
    <w:p w:rsidR="00B057E2" w:rsidRPr="00A06E22" w:rsidRDefault="00B057E2" w:rsidP="00B057E2">
      <w:pPr>
        <w:pStyle w:val="ListParagraph"/>
        <w:rPr>
          <w:rFonts w:ascii="Arial" w:hAnsi="Arial" w:cs="Arial"/>
          <w:b/>
          <w:sz w:val="22"/>
          <w:szCs w:val="22"/>
        </w:rPr>
      </w:pPr>
    </w:p>
    <w:p w:rsidR="00B057E2" w:rsidRPr="00A06E22" w:rsidRDefault="00B057E2" w:rsidP="00B057E2">
      <w:pPr>
        <w:ind w:left="720"/>
        <w:rPr>
          <w:rFonts w:ascii="Arial" w:hAnsi="Arial" w:cs="Arial"/>
          <w:sz w:val="22"/>
          <w:szCs w:val="22"/>
        </w:rPr>
      </w:pPr>
      <w:r w:rsidRPr="00A06E22">
        <w:rPr>
          <w:rFonts w:ascii="Arial" w:hAnsi="Arial" w:cs="Arial"/>
          <w:sz w:val="22"/>
          <w:szCs w:val="22"/>
        </w:rPr>
        <w:t>The PBAC helps decide whether and, if so, how medicines should be subsidised in Australia.</w:t>
      </w:r>
      <w:r w:rsidR="002F1855">
        <w:rPr>
          <w:rFonts w:ascii="Arial" w:hAnsi="Arial" w:cs="Arial"/>
          <w:sz w:val="22"/>
          <w:szCs w:val="22"/>
        </w:rPr>
        <w:t xml:space="preserve">  </w:t>
      </w:r>
      <w:r w:rsidRPr="00A06E22">
        <w:rPr>
          <w:rFonts w:ascii="Arial" w:hAnsi="Arial" w:cs="Arial"/>
          <w:sz w:val="22"/>
          <w:szCs w:val="22"/>
        </w:rPr>
        <w:t>It conside</w:t>
      </w:r>
      <w:r w:rsidR="002F1855">
        <w:rPr>
          <w:rFonts w:ascii="Arial" w:hAnsi="Arial" w:cs="Arial"/>
          <w:sz w:val="22"/>
          <w:szCs w:val="22"/>
        </w:rPr>
        <w:t xml:space="preserve">rs submissions in this context.  </w:t>
      </w:r>
      <w:r w:rsidRPr="00A06E22">
        <w:rPr>
          <w:rFonts w:ascii="Arial" w:hAnsi="Arial" w:cs="Arial"/>
          <w:sz w:val="22"/>
          <w:szCs w:val="22"/>
        </w:rPr>
        <w:t>A PBAC decision not to recommend listing or not to recommend changing a listing does not represent a final PBAC view about the merits of the medicine.</w:t>
      </w:r>
      <w:r w:rsidR="0008705C">
        <w:rPr>
          <w:rFonts w:ascii="Arial" w:hAnsi="Arial" w:cs="Arial"/>
          <w:sz w:val="22"/>
          <w:szCs w:val="22"/>
        </w:rPr>
        <w:t xml:space="preserve">  </w:t>
      </w:r>
      <w:r w:rsidRPr="00A06E22">
        <w:rPr>
          <w:rFonts w:ascii="Arial" w:hAnsi="Arial" w:cs="Arial"/>
          <w:sz w:val="22"/>
          <w:szCs w:val="22"/>
        </w:rPr>
        <w:t>A company can resubmit to the PBAC or seek independent review of the PBAC decision.</w:t>
      </w:r>
    </w:p>
    <w:p w:rsidR="00715DAC" w:rsidRPr="00A06E22" w:rsidRDefault="00715DAC" w:rsidP="00715DAC">
      <w:pPr>
        <w:jc w:val="both"/>
        <w:rPr>
          <w:rFonts w:ascii="Arial" w:hAnsi="Arial" w:cs="Arial"/>
          <w:b/>
          <w:sz w:val="22"/>
          <w:szCs w:val="22"/>
        </w:rPr>
      </w:pPr>
    </w:p>
    <w:p w:rsidR="007F4E20" w:rsidRDefault="005B6C52" w:rsidP="002156C8">
      <w:pPr>
        <w:jc w:val="both"/>
        <w:rPr>
          <w:rFonts w:ascii="Arial" w:hAnsi="Arial" w:cs="Arial"/>
          <w:b/>
          <w:sz w:val="22"/>
          <w:szCs w:val="22"/>
        </w:rPr>
      </w:pPr>
      <w:r>
        <w:rPr>
          <w:rFonts w:ascii="Arial" w:hAnsi="Arial" w:cs="Arial"/>
          <w:b/>
          <w:sz w:val="22"/>
          <w:szCs w:val="22"/>
        </w:rPr>
        <w:t>6</w:t>
      </w:r>
      <w:r>
        <w:rPr>
          <w:rFonts w:ascii="Arial" w:hAnsi="Arial" w:cs="Arial"/>
          <w:b/>
          <w:sz w:val="22"/>
          <w:szCs w:val="22"/>
        </w:rPr>
        <w:tab/>
        <w:t>Sponsors’ Comments</w:t>
      </w:r>
    </w:p>
    <w:p w:rsidR="005B6C52" w:rsidRDefault="005B6C52" w:rsidP="002156C8">
      <w:pPr>
        <w:jc w:val="both"/>
        <w:rPr>
          <w:rFonts w:ascii="Arial" w:hAnsi="Arial" w:cs="Arial"/>
          <w:sz w:val="22"/>
          <w:szCs w:val="22"/>
        </w:rPr>
      </w:pPr>
    </w:p>
    <w:p w:rsidR="00A30959" w:rsidRPr="00A30959" w:rsidRDefault="00A30959" w:rsidP="00920680">
      <w:pPr>
        <w:ind w:firstLine="720"/>
        <w:jc w:val="both"/>
        <w:rPr>
          <w:rFonts w:ascii="Arial" w:hAnsi="Arial" w:cs="Arial"/>
          <w:sz w:val="22"/>
          <w:szCs w:val="22"/>
        </w:rPr>
      </w:pPr>
      <w:r w:rsidRPr="00A30959">
        <w:rPr>
          <w:rFonts w:ascii="Arial" w:hAnsi="Arial" w:cs="Arial"/>
          <w:sz w:val="22"/>
          <w:szCs w:val="22"/>
        </w:rPr>
        <w:t>Actavis Pty Ltd:  The sponsor has no comment.</w:t>
      </w:r>
    </w:p>
    <w:p w:rsidR="00A30959" w:rsidRPr="00A30959" w:rsidRDefault="00A30959" w:rsidP="00920680">
      <w:pPr>
        <w:ind w:left="720"/>
        <w:jc w:val="both"/>
        <w:rPr>
          <w:rFonts w:ascii="Arial" w:hAnsi="Arial" w:cs="Arial"/>
          <w:sz w:val="22"/>
          <w:szCs w:val="22"/>
        </w:rPr>
      </w:pPr>
      <w:r w:rsidRPr="00A30959">
        <w:rPr>
          <w:rFonts w:ascii="Arial" w:hAnsi="Arial" w:cs="Arial"/>
          <w:sz w:val="22"/>
          <w:szCs w:val="22"/>
        </w:rPr>
        <w:lastRenderedPageBreak/>
        <w:t>Bayer Australia Limited*:  The sponsor has no comment.</w:t>
      </w:r>
    </w:p>
    <w:p w:rsidR="00D2605B" w:rsidRPr="00D2605B" w:rsidRDefault="00A30959" w:rsidP="00D2605B">
      <w:pPr>
        <w:ind w:left="720"/>
        <w:jc w:val="both"/>
        <w:rPr>
          <w:rFonts w:ascii="Arial" w:hAnsi="Arial" w:cs="Arial"/>
          <w:sz w:val="22"/>
          <w:szCs w:val="22"/>
        </w:rPr>
      </w:pPr>
      <w:r w:rsidRPr="00A30959">
        <w:rPr>
          <w:rFonts w:ascii="Arial" w:hAnsi="Arial" w:cs="Arial"/>
          <w:sz w:val="22"/>
          <w:szCs w:val="22"/>
        </w:rPr>
        <w:t xml:space="preserve">Besins Healthcare Australia Pty Ltd:  </w:t>
      </w:r>
      <w:r w:rsidR="00D2605B" w:rsidRPr="00D2605B">
        <w:rPr>
          <w:rFonts w:ascii="Arial" w:hAnsi="Arial" w:cs="Arial"/>
          <w:sz w:val="22"/>
          <w:szCs w:val="22"/>
        </w:rPr>
        <w:t>Besins Healthcare Australia supports evidence based medicine and clinical best practice. The sponsor notes that the PBAC re-affirmed that the serum testosterone threshold of 8.0 nmol/L was ’vindicated in recent studies’.  The sponsor notes that the new serum testosterone threshold for prescribing testosterone (6 nmol/L) reflects Australian data from older men (70-89 year old), while noting that it remains as 8.0 nmol/L in consensus guidelines for younger men at this time.</w:t>
      </w:r>
    </w:p>
    <w:p w:rsidR="00A30959" w:rsidRPr="00A30959" w:rsidRDefault="00D2605B" w:rsidP="00D2605B">
      <w:pPr>
        <w:ind w:left="720"/>
        <w:jc w:val="both"/>
        <w:rPr>
          <w:rFonts w:ascii="Arial" w:hAnsi="Arial" w:cs="Arial"/>
          <w:sz w:val="22"/>
          <w:szCs w:val="22"/>
        </w:rPr>
      </w:pPr>
      <w:r w:rsidRPr="00D2605B">
        <w:rPr>
          <w:rFonts w:ascii="Arial" w:hAnsi="Arial" w:cs="Arial"/>
          <w:sz w:val="22"/>
          <w:szCs w:val="22"/>
        </w:rPr>
        <w:t>The sponsor looks forward to the further review of testosterone utilisation by DUSC that the PBAC recommended be undertaken twelve months after the implementation of the new PBS restriction.</w:t>
      </w:r>
    </w:p>
    <w:p w:rsidR="00E63048" w:rsidRPr="00E63048" w:rsidRDefault="00A30959" w:rsidP="00E63048">
      <w:pPr>
        <w:ind w:left="720"/>
        <w:jc w:val="both"/>
        <w:rPr>
          <w:rFonts w:ascii="Arial" w:hAnsi="Arial" w:cs="Arial"/>
          <w:sz w:val="22"/>
          <w:szCs w:val="22"/>
        </w:rPr>
      </w:pPr>
      <w:r w:rsidRPr="00A30959">
        <w:rPr>
          <w:rFonts w:ascii="Arial" w:hAnsi="Arial" w:cs="Arial"/>
          <w:sz w:val="22"/>
          <w:szCs w:val="22"/>
        </w:rPr>
        <w:t xml:space="preserve">Eli </w:t>
      </w:r>
      <w:r w:rsidR="00043E73">
        <w:rPr>
          <w:rFonts w:ascii="Arial" w:hAnsi="Arial" w:cs="Arial"/>
          <w:sz w:val="22"/>
          <w:szCs w:val="22"/>
        </w:rPr>
        <w:t>Lilly Australia Pty Limited**:</w:t>
      </w:r>
      <w:r w:rsidR="00E63048">
        <w:rPr>
          <w:rFonts w:ascii="Arial" w:hAnsi="Arial" w:cs="Arial"/>
          <w:sz w:val="22"/>
          <w:szCs w:val="22"/>
        </w:rPr>
        <w:t xml:space="preserve">  </w:t>
      </w:r>
      <w:r w:rsidR="00E63048" w:rsidRPr="00E63048">
        <w:rPr>
          <w:rFonts w:ascii="Arial" w:hAnsi="Arial" w:cs="Arial"/>
          <w:sz w:val="22"/>
          <w:szCs w:val="22"/>
        </w:rPr>
        <w:t>Eli Lilly welcomes the removal of unnecessary initial and continuing treatment restrictions,</w:t>
      </w:r>
      <w:r w:rsidR="00162CF4">
        <w:rPr>
          <w:rFonts w:ascii="Arial" w:hAnsi="Arial" w:cs="Arial"/>
          <w:sz w:val="22"/>
          <w:szCs w:val="22"/>
        </w:rPr>
        <w:t xml:space="preserve"> </w:t>
      </w:r>
      <w:r w:rsidR="00E63048" w:rsidRPr="00E63048">
        <w:rPr>
          <w:rFonts w:ascii="Arial" w:hAnsi="Arial" w:cs="Arial"/>
          <w:sz w:val="22"/>
          <w:szCs w:val="22"/>
        </w:rPr>
        <w:t>and reference to serum and testosterone and LH thresholds for patients with</w:t>
      </w:r>
      <w:r w:rsidR="00162CF4">
        <w:rPr>
          <w:rFonts w:ascii="Arial" w:hAnsi="Arial" w:cs="Arial"/>
          <w:sz w:val="22"/>
          <w:szCs w:val="22"/>
        </w:rPr>
        <w:t xml:space="preserve"> </w:t>
      </w:r>
      <w:r w:rsidR="00E63048" w:rsidRPr="00E63048">
        <w:rPr>
          <w:rFonts w:ascii="Arial" w:hAnsi="Arial" w:cs="Arial"/>
          <w:sz w:val="22"/>
          <w:szCs w:val="22"/>
        </w:rPr>
        <w:t>established pituitary or testicular disorders.</w:t>
      </w:r>
    </w:p>
    <w:p w:rsidR="00A30959" w:rsidRPr="00A30959" w:rsidRDefault="00E63048" w:rsidP="00E63048">
      <w:pPr>
        <w:ind w:left="720"/>
        <w:jc w:val="both"/>
        <w:rPr>
          <w:rFonts w:ascii="Arial" w:hAnsi="Arial" w:cs="Arial"/>
          <w:sz w:val="22"/>
          <w:szCs w:val="22"/>
        </w:rPr>
      </w:pPr>
      <w:r w:rsidRPr="00E63048">
        <w:rPr>
          <w:rFonts w:ascii="Arial" w:hAnsi="Arial" w:cs="Arial"/>
          <w:sz w:val="22"/>
          <w:szCs w:val="22"/>
        </w:rPr>
        <w:t>We are concerned that patients accessing treatment could incur delays by linking</w:t>
      </w:r>
      <w:r w:rsidR="00C712B1">
        <w:rPr>
          <w:rFonts w:ascii="Arial" w:hAnsi="Arial" w:cs="Arial"/>
          <w:sz w:val="22"/>
          <w:szCs w:val="22"/>
        </w:rPr>
        <w:t xml:space="preserve"> </w:t>
      </w:r>
      <w:r w:rsidRPr="00E63048">
        <w:rPr>
          <w:rFonts w:ascii="Arial" w:hAnsi="Arial" w:cs="Arial"/>
          <w:sz w:val="22"/>
          <w:szCs w:val="22"/>
        </w:rPr>
        <w:t>prescribing to confirmation of a speciality consultation, it is therefore important that in</w:t>
      </w:r>
      <w:r w:rsidR="00535ED2">
        <w:rPr>
          <w:rFonts w:ascii="Arial" w:hAnsi="Arial" w:cs="Arial"/>
          <w:sz w:val="22"/>
          <w:szCs w:val="22"/>
        </w:rPr>
        <w:t xml:space="preserve"> </w:t>
      </w:r>
      <w:r w:rsidRPr="00E63048">
        <w:rPr>
          <w:rFonts w:ascii="Arial" w:hAnsi="Arial" w:cs="Arial"/>
          <w:sz w:val="22"/>
          <w:szCs w:val="22"/>
        </w:rPr>
        <w:t>implementing these new restrictions the guidance is clear to prescribers.</w:t>
      </w:r>
    </w:p>
    <w:p w:rsidR="00A30959" w:rsidRPr="00A30959" w:rsidRDefault="00A30959" w:rsidP="00920680">
      <w:pPr>
        <w:ind w:left="720"/>
        <w:jc w:val="both"/>
        <w:rPr>
          <w:rFonts w:ascii="Arial" w:hAnsi="Arial" w:cs="Arial"/>
          <w:sz w:val="22"/>
          <w:szCs w:val="22"/>
        </w:rPr>
      </w:pPr>
      <w:r w:rsidRPr="00A30959">
        <w:rPr>
          <w:rFonts w:ascii="Arial" w:hAnsi="Arial" w:cs="Arial"/>
          <w:sz w:val="22"/>
          <w:szCs w:val="22"/>
        </w:rPr>
        <w:t>Hospira Pty Ltd***:  The sponsor has no comment.</w:t>
      </w:r>
    </w:p>
    <w:p w:rsidR="00A30959" w:rsidRPr="00A30959" w:rsidRDefault="00A30959" w:rsidP="00920680">
      <w:pPr>
        <w:ind w:left="720"/>
        <w:jc w:val="both"/>
        <w:rPr>
          <w:rFonts w:ascii="Arial" w:hAnsi="Arial" w:cs="Arial"/>
          <w:sz w:val="22"/>
          <w:szCs w:val="22"/>
        </w:rPr>
      </w:pPr>
      <w:r w:rsidRPr="00A30959">
        <w:rPr>
          <w:rFonts w:ascii="Arial" w:hAnsi="Arial" w:cs="Arial"/>
          <w:sz w:val="22"/>
          <w:szCs w:val="22"/>
        </w:rPr>
        <w:t>Merck Sharp &amp; Dohme (Australia) Pty Ltd:  The sponsor has no comment.</w:t>
      </w:r>
    </w:p>
    <w:p w:rsidR="00A30959" w:rsidRPr="00A30959" w:rsidRDefault="00A30959" w:rsidP="00920680">
      <w:pPr>
        <w:ind w:left="720"/>
        <w:jc w:val="both"/>
        <w:rPr>
          <w:rFonts w:ascii="Arial" w:hAnsi="Arial" w:cs="Arial"/>
          <w:sz w:val="22"/>
          <w:szCs w:val="22"/>
        </w:rPr>
      </w:pPr>
    </w:p>
    <w:p w:rsidR="00A30959" w:rsidRPr="00A30959" w:rsidRDefault="00A30959" w:rsidP="00920680">
      <w:pPr>
        <w:ind w:left="720"/>
        <w:jc w:val="both"/>
        <w:rPr>
          <w:rFonts w:ascii="Arial" w:hAnsi="Arial" w:cs="Arial"/>
          <w:sz w:val="22"/>
          <w:szCs w:val="22"/>
        </w:rPr>
      </w:pPr>
      <w:r w:rsidRPr="00A30959">
        <w:rPr>
          <w:rFonts w:ascii="Arial" w:hAnsi="Arial" w:cs="Arial"/>
          <w:sz w:val="22"/>
          <w:szCs w:val="22"/>
        </w:rPr>
        <w:t>* Bayer Australia Pty Ltd was the sponsor of Testogel®</w:t>
      </w:r>
      <w:r w:rsidR="00762E1C">
        <w:rPr>
          <w:rFonts w:ascii="Arial" w:hAnsi="Arial" w:cs="Arial"/>
          <w:sz w:val="22"/>
          <w:szCs w:val="22"/>
        </w:rPr>
        <w:t xml:space="preserve"> at the time the utilisation analysis was considered by the DUSC in October 2012</w:t>
      </w:r>
      <w:r w:rsidRPr="00A30959">
        <w:rPr>
          <w:rFonts w:ascii="Arial" w:hAnsi="Arial" w:cs="Arial"/>
          <w:sz w:val="22"/>
          <w:szCs w:val="22"/>
        </w:rPr>
        <w:t>.  Besins Healthcare Australia Pty Ltd took over as sponsor of this product on 1 October 2014.</w:t>
      </w:r>
    </w:p>
    <w:p w:rsidR="00A30959" w:rsidRPr="00A30959" w:rsidRDefault="00A30959" w:rsidP="00920680">
      <w:pPr>
        <w:ind w:left="720"/>
        <w:jc w:val="both"/>
        <w:rPr>
          <w:rFonts w:ascii="Arial" w:hAnsi="Arial" w:cs="Arial"/>
          <w:sz w:val="22"/>
          <w:szCs w:val="22"/>
        </w:rPr>
      </w:pPr>
      <w:r w:rsidRPr="00A30959">
        <w:rPr>
          <w:rFonts w:ascii="Arial" w:hAnsi="Arial" w:cs="Arial"/>
          <w:sz w:val="22"/>
          <w:szCs w:val="22"/>
        </w:rPr>
        <w:t>** Eli Lilly Australia Pty Ltd did not have a testosterone product listed on the PBS</w:t>
      </w:r>
      <w:r w:rsidR="00F342F0">
        <w:rPr>
          <w:rFonts w:ascii="Arial" w:hAnsi="Arial" w:cs="Arial"/>
          <w:sz w:val="22"/>
          <w:szCs w:val="22"/>
        </w:rPr>
        <w:t xml:space="preserve"> at the time the utilisation analysis was considered by the DUSC in October 2012</w:t>
      </w:r>
      <w:r w:rsidR="00311563">
        <w:rPr>
          <w:rFonts w:ascii="Arial" w:hAnsi="Arial" w:cs="Arial"/>
          <w:sz w:val="22"/>
          <w:szCs w:val="22"/>
        </w:rPr>
        <w:t xml:space="preserve">, however </w:t>
      </w:r>
      <w:r w:rsidRPr="00A30959">
        <w:rPr>
          <w:rFonts w:ascii="Arial" w:hAnsi="Arial" w:cs="Arial"/>
          <w:sz w:val="22"/>
          <w:szCs w:val="22"/>
        </w:rPr>
        <w:t>Axiron® had received a positive recommendat</w:t>
      </w:r>
      <w:r w:rsidR="00F342F0">
        <w:rPr>
          <w:rFonts w:ascii="Arial" w:hAnsi="Arial" w:cs="Arial"/>
          <w:sz w:val="22"/>
          <w:szCs w:val="22"/>
        </w:rPr>
        <w:t>ion from the PBAC in March 2012 and was listed in March 2013.</w:t>
      </w:r>
    </w:p>
    <w:p w:rsidR="00A30959" w:rsidRPr="005B6C52" w:rsidRDefault="00A30959" w:rsidP="00920680">
      <w:pPr>
        <w:ind w:left="720"/>
        <w:jc w:val="both"/>
        <w:rPr>
          <w:rFonts w:ascii="Arial" w:hAnsi="Arial" w:cs="Arial"/>
          <w:sz w:val="22"/>
          <w:szCs w:val="22"/>
        </w:rPr>
      </w:pPr>
      <w:r w:rsidRPr="00A30959">
        <w:rPr>
          <w:rFonts w:ascii="Arial" w:hAnsi="Arial" w:cs="Arial"/>
          <w:sz w:val="22"/>
          <w:szCs w:val="22"/>
        </w:rPr>
        <w:t>*** Hospira Pty Ltd was the sponsor of Androderm® products</w:t>
      </w:r>
      <w:r w:rsidR="00311563">
        <w:rPr>
          <w:rFonts w:ascii="Arial" w:hAnsi="Arial" w:cs="Arial"/>
          <w:sz w:val="22"/>
          <w:szCs w:val="22"/>
        </w:rPr>
        <w:t xml:space="preserve"> at the time the utilisation analysis was considered by the DUSC in October 2012.  </w:t>
      </w:r>
      <w:r w:rsidRPr="00A30959">
        <w:rPr>
          <w:rFonts w:ascii="Arial" w:hAnsi="Arial" w:cs="Arial"/>
          <w:sz w:val="22"/>
          <w:szCs w:val="22"/>
        </w:rPr>
        <w:t>Ascent Pharma Pty Ltd took over as sponsor of these products on 1 February 2013, and then Actavis Pty Ltd on 1 October 2013.</w:t>
      </w:r>
    </w:p>
    <w:sectPr w:rsidR="00A30959" w:rsidRPr="005B6C52" w:rsidSect="00136445">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620" w:rsidRDefault="00421620">
      <w:r>
        <w:separator/>
      </w:r>
    </w:p>
  </w:endnote>
  <w:endnote w:type="continuationSeparator" w:id="0">
    <w:p w:rsidR="00421620" w:rsidRDefault="0042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21620" w:rsidTr="00136445">
      <w:trPr>
        <w:trHeight w:val="151"/>
      </w:trPr>
      <w:tc>
        <w:tcPr>
          <w:tcW w:w="2250" w:type="pct"/>
          <w:tcBorders>
            <w:top w:val="nil"/>
            <w:left w:val="nil"/>
            <w:bottom w:val="single" w:sz="4" w:space="0" w:color="4F81BD"/>
            <w:right w:val="nil"/>
          </w:tcBorders>
        </w:tcPr>
        <w:p w:rsidR="00421620" w:rsidRPr="005A3173" w:rsidRDefault="00421620" w:rsidP="00136445">
          <w:pPr>
            <w:pStyle w:val="Header"/>
            <w:spacing w:line="276" w:lineRule="auto"/>
            <w:rPr>
              <w:rFonts w:ascii="Calibri" w:eastAsia="MS Gothic" w:hAnsi="Calibri"/>
              <w:b/>
              <w:bCs/>
              <w:color w:val="4F81BD"/>
            </w:rPr>
          </w:pPr>
        </w:p>
      </w:tc>
      <w:tc>
        <w:tcPr>
          <w:tcW w:w="500" w:type="pct"/>
          <w:vMerge w:val="restart"/>
          <w:noWrap/>
          <w:vAlign w:val="center"/>
          <w:hideMark/>
        </w:tcPr>
        <w:p w:rsidR="00421620" w:rsidRPr="005A3173" w:rsidRDefault="00421620" w:rsidP="00136445">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21620" w:rsidRPr="005A3173" w:rsidRDefault="00421620" w:rsidP="00136445">
          <w:pPr>
            <w:pStyle w:val="Header"/>
            <w:spacing w:line="276" w:lineRule="auto"/>
            <w:rPr>
              <w:rFonts w:ascii="Calibri" w:eastAsia="MS Gothic" w:hAnsi="Calibri"/>
              <w:b/>
              <w:bCs/>
              <w:color w:val="4F81BD"/>
            </w:rPr>
          </w:pPr>
        </w:p>
      </w:tc>
    </w:tr>
    <w:tr w:rsidR="00421620" w:rsidTr="00136445">
      <w:trPr>
        <w:trHeight w:val="150"/>
      </w:trPr>
      <w:tc>
        <w:tcPr>
          <w:tcW w:w="2250" w:type="pct"/>
          <w:tcBorders>
            <w:top w:val="single" w:sz="4" w:space="0" w:color="4F81BD"/>
            <w:left w:val="nil"/>
            <w:bottom w:val="nil"/>
            <w:right w:val="nil"/>
          </w:tcBorders>
        </w:tcPr>
        <w:p w:rsidR="00421620" w:rsidRPr="005A3173" w:rsidRDefault="00421620" w:rsidP="00136445">
          <w:pPr>
            <w:pStyle w:val="Header"/>
            <w:spacing w:line="276" w:lineRule="auto"/>
            <w:rPr>
              <w:rFonts w:ascii="Calibri" w:eastAsia="MS Gothic" w:hAnsi="Calibri"/>
              <w:b/>
              <w:bCs/>
              <w:color w:val="4F81BD"/>
            </w:rPr>
          </w:pPr>
        </w:p>
      </w:tc>
      <w:tc>
        <w:tcPr>
          <w:tcW w:w="0" w:type="auto"/>
          <w:vMerge/>
          <w:vAlign w:val="center"/>
          <w:hideMark/>
        </w:tcPr>
        <w:p w:rsidR="00421620" w:rsidRPr="005A3173" w:rsidRDefault="00421620" w:rsidP="00136445">
          <w:pPr>
            <w:rPr>
              <w:rFonts w:ascii="Calibri" w:hAnsi="Calibri"/>
              <w:color w:val="365F91"/>
              <w:sz w:val="22"/>
              <w:szCs w:val="22"/>
            </w:rPr>
          </w:pPr>
        </w:p>
      </w:tc>
      <w:tc>
        <w:tcPr>
          <w:tcW w:w="2250" w:type="pct"/>
          <w:tcBorders>
            <w:top w:val="single" w:sz="4" w:space="0" w:color="4F81BD"/>
            <w:left w:val="nil"/>
            <w:bottom w:val="nil"/>
            <w:right w:val="nil"/>
          </w:tcBorders>
        </w:tcPr>
        <w:p w:rsidR="00421620" w:rsidRPr="005A3173" w:rsidRDefault="00421620" w:rsidP="00136445">
          <w:pPr>
            <w:pStyle w:val="Header"/>
            <w:spacing w:line="276" w:lineRule="auto"/>
            <w:rPr>
              <w:rFonts w:ascii="Calibri" w:eastAsia="MS Gothic" w:hAnsi="Calibri"/>
              <w:b/>
              <w:bCs/>
              <w:color w:val="4F81BD"/>
            </w:rPr>
          </w:pPr>
        </w:p>
      </w:tc>
    </w:tr>
  </w:tbl>
  <w:p w:rsidR="00421620" w:rsidRDefault="00421620" w:rsidP="00136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1620" w:rsidRDefault="00421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054761"/>
      <w:docPartObj>
        <w:docPartGallery w:val="Page Numbers (Bottom of Page)"/>
        <w:docPartUnique/>
      </w:docPartObj>
    </w:sdtPr>
    <w:sdtEndPr>
      <w:rPr>
        <w:rFonts w:ascii="Arial" w:hAnsi="Arial" w:cs="Arial"/>
        <w:noProof/>
        <w:sz w:val="22"/>
        <w:szCs w:val="22"/>
      </w:rPr>
    </w:sdtEndPr>
    <w:sdtContent>
      <w:p w:rsidR="00F24902" w:rsidRPr="00F24902" w:rsidRDefault="00F24902">
        <w:pPr>
          <w:pStyle w:val="Footer"/>
          <w:jc w:val="center"/>
          <w:rPr>
            <w:rFonts w:ascii="Arial" w:hAnsi="Arial" w:cs="Arial"/>
            <w:sz w:val="22"/>
            <w:szCs w:val="22"/>
          </w:rPr>
        </w:pPr>
        <w:r w:rsidRPr="00F24902">
          <w:rPr>
            <w:rFonts w:ascii="Arial" w:hAnsi="Arial" w:cs="Arial"/>
            <w:sz w:val="22"/>
            <w:szCs w:val="22"/>
          </w:rPr>
          <w:fldChar w:fldCharType="begin"/>
        </w:r>
        <w:r w:rsidRPr="00F24902">
          <w:rPr>
            <w:rFonts w:ascii="Arial" w:hAnsi="Arial" w:cs="Arial"/>
            <w:sz w:val="22"/>
            <w:szCs w:val="22"/>
          </w:rPr>
          <w:instrText xml:space="preserve"> PAGE   \* MERGEFORMAT </w:instrText>
        </w:r>
        <w:r w:rsidRPr="00F24902">
          <w:rPr>
            <w:rFonts w:ascii="Arial" w:hAnsi="Arial" w:cs="Arial"/>
            <w:sz w:val="22"/>
            <w:szCs w:val="22"/>
          </w:rPr>
          <w:fldChar w:fldCharType="separate"/>
        </w:r>
        <w:r w:rsidR="00AB6EB1">
          <w:rPr>
            <w:rFonts w:ascii="Arial" w:hAnsi="Arial" w:cs="Arial"/>
            <w:noProof/>
            <w:sz w:val="22"/>
            <w:szCs w:val="22"/>
          </w:rPr>
          <w:t>3</w:t>
        </w:r>
        <w:r w:rsidRPr="00F24902">
          <w:rPr>
            <w:rFonts w:ascii="Arial" w:hAnsi="Arial" w:cs="Arial"/>
            <w:noProof/>
            <w:sz w:val="22"/>
            <w:szCs w:val="22"/>
          </w:rPr>
          <w:fldChar w:fldCharType="end"/>
        </w:r>
      </w:p>
    </w:sdtContent>
  </w:sdt>
  <w:p w:rsidR="00421620" w:rsidRPr="001B017F" w:rsidRDefault="00421620">
    <w:pPr>
      <w:pStyle w:val="Footer"/>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421620" w:rsidTr="00136445">
      <w:trPr>
        <w:trHeight w:val="151"/>
      </w:trPr>
      <w:tc>
        <w:tcPr>
          <w:tcW w:w="2250" w:type="pct"/>
          <w:tcBorders>
            <w:top w:val="nil"/>
            <w:left w:val="nil"/>
            <w:bottom w:val="single" w:sz="4" w:space="0" w:color="4F81BD"/>
            <w:right w:val="nil"/>
          </w:tcBorders>
        </w:tcPr>
        <w:p w:rsidR="00421620" w:rsidRPr="005A3173" w:rsidRDefault="00421620" w:rsidP="00136445">
          <w:pPr>
            <w:pStyle w:val="Header"/>
            <w:spacing w:line="276" w:lineRule="auto"/>
            <w:rPr>
              <w:rFonts w:ascii="Calibri" w:eastAsia="MS Gothic" w:hAnsi="Calibri"/>
              <w:b/>
              <w:bCs/>
              <w:color w:val="4F81BD"/>
            </w:rPr>
          </w:pPr>
        </w:p>
      </w:tc>
      <w:tc>
        <w:tcPr>
          <w:tcW w:w="500" w:type="pct"/>
          <w:vMerge w:val="restart"/>
          <w:noWrap/>
          <w:vAlign w:val="center"/>
          <w:hideMark/>
        </w:tcPr>
        <w:p w:rsidR="00421620" w:rsidRPr="005A3173" w:rsidRDefault="00421620" w:rsidP="00136445">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21620" w:rsidRPr="005A3173" w:rsidRDefault="00421620" w:rsidP="00136445">
          <w:pPr>
            <w:pStyle w:val="Header"/>
            <w:spacing w:line="276" w:lineRule="auto"/>
            <w:rPr>
              <w:rFonts w:ascii="Calibri" w:eastAsia="MS Gothic" w:hAnsi="Calibri"/>
              <w:b/>
              <w:bCs/>
              <w:color w:val="4F81BD"/>
            </w:rPr>
          </w:pPr>
        </w:p>
      </w:tc>
    </w:tr>
    <w:tr w:rsidR="00421620" w:rsidTr="00136445">
      <w:trPr>
        <w:trHeight w:val="150"/>
      </w:trPr>
      <w:tc>
        <w:tcPr>
          <w:tcW w:w="2250" w:type="pct"/>
          <w:tcBorders>
            <w:top w:val="single" w:sz="4" w:space="0" w:color="4F81BD"/>
            <w:left w:val="nil"/>
            <w:bottom w:val="nil"/>
            <w:right w:val="nil"/>
          </w:tcBorders>
        </w:tcPr>
        <w:p w:rsidR="00421620" w:rsidRPr="005A3173" w:rsidRDefault="00421620" w:rsidP="00136445">
          <w:pPr>
            <w:pStyle w:val="Header"/>
            <w:spacing w:line="276" w:lineRule="auto"/>
            <w:rPr>
              <w:rFonts w:ascii="Calibri" w:eastAsia="MS Gothic" w:hAnsi="Calibri"/>
              <w:b/>
              <w:bCs/>
              <w:color w:val="4F81BD"/>
            </w:rPr>
          </w:pPr>
        </w:p>
      </w:tc>
      <w:tc>
        <w:tcPr>
          <w:tcW w:w="0" w:type="auto"/>
          <w:vMerge/>
          <w:vAlign w:val="center"/>
          <w:hideMark/>
        </w:tcPr>
        <w:p w:rsidR="00421620" w:rsidRPr="005A3173" w:rsidRDefault="00421620" w:rsidP="00136445">
          <w:pPr>
            <w:rPr>
              <w:rFonts w:ascii="Calibri" w:hAnsi="Calibri"/>
              <w:color w:val="365F91"/>
              <w:sz w:val="22"/>
              <w:szCs w:val="22"/>
            </w:rPr>
          </w:pPr>
        </w:p>
      </w:tc>
      <w:tc>
        <w:tcPr>
          <w:tcW w:w="2250" w:type="pct"/>
          <w:tcBorders>
            <w:top w:val="single" w:sz="4" w:space="0" w:color="4F81BD"/>
            <w:left w:val="nil"/>
            <w:bottom w:val="nil"/>
            <w:right w:val="nil"/>
          </w:tcBorders>
        </w:tcPr>
        <w:p w:rsidR="00421620" w:rsidRPr="005A3173" w:rsidRDefault="00421620" w:rsidP="00136445">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21620" w:rsidTr="00136445">
      <w:trPr>
        <w:trHeight w:val="151"/>
      </w:trPr>
      <w:tc>
        <w:tcPr>
          <w:tcW w:w="2250" w:type="pct"/>
          <w:tcBorders>
            <w:top w:val="nil"/>
            <w:left w:val="nil"/>
            <w:bottom w:val="single" w:sz="4" w:space="0" w:color="4F81BD"/>
            <w:right w:val="nil"/>
          </w:tcBorders>
        </w:tcPr>
        <w:p w:rsidR="00421620" w:rsidRPr="005A3173" w:rsidRDefault="00421620" w:rsidP="00136445">
          <w:pPr>
            <w:pStyle w:val="Header"/>
            <w:spacing w:line="276" w:lineRule="auto"/>
            <w:rPr>
              <w:rFonts w:ascii="Calibri" w:eastAsia="MS Gothic" w:hAnsi="Calibri"/>
              <w:b/>
              <w:bCs/>
              <w:color w:val="4F81BD"/>
            </w:rPr>
          </w:pPr>
        </w:p>
      </w:tc>
      <w:tc>
        <w:tcPr>
          <w:tcW w:w="500" w:type="pct"/>
          <w:vMerge w:val="restart"/>
          <w:noWrap/>
          <w:vAlign w:val="center"/>
          <w:hideMark/>
        </w:tcPr>
        <w:p w:rsidR="00421620" w:rsidRPr="005A3173" w:rsidRDefault="00421620" w:rsidP="00136445">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21620" w:rsidRPr="005A3173" w:rsidRDefault="00421620" w:rsidP="00136445">
          <w:pPr>
            <w:pStyle w:val="Header"/>
            <w:spacing w:line="276" w:lineRule="auto"/>
            <w:rPr>
              <w:rFonts w:ascii="Calibri" w:eastAsia="MS Gothic" w:hAnsi="Calibri"/>
              <w:b/>
              <w:bCs/>
              <w:color w:val="4F81BD"/>
            </w:rPr>
          </w:pPr>
        </w:p>
      </w:tc>
    </w:tr>
    <w:tr w:rsidR="00421620" w:rsidTr="00136445">
      <w:trPr>
        <w:trHeight w:val="150"/>
      </w:trPr>
      <w:tc>
        <w:tcPr>
          <w:tcW w:w="2250" w:type="pct"/>
          <w:tcBorders>
            <w:top w:val="single" w:sz="4" w:space="0" w:color="4F81BD"/>
            <w:left w:val="nil"/>
            <w:bottom w:val="nil"/>
            <w:right w:val="nil"/>
          </w:tcBorders>
        </w:tcPr>
        <w:p w:rsidR="00421620" w:rsidRPr="005A3173" w:rsidRDefault="00421620" w:rsidP="00136445">
          <w:pPr>
            <w:pStyle w:val="Header"/>
            <w:spacing w:line="276" w:lineRule="auto"/>
            <w:rPr>
              <w:rFonts w:ascii="Calibri" w:eastAsia="MS Gothic" w:hAnsi="Calibri"/>
              <w:b/>
              <w:bCs/>
              <w:color w:val="4F81BD"/>
            </w:rPr>
          </w:pPr>
        </w:p>
      </w:tc>
      <w:tc>
        <w:tcPr>
          <w:tcW w:w="0" w:type="auto"/>
          <w:vMerge/>
          <w:vAlign w:val="center"/>
          <w:hideMark/>
        </w:tcPr>
        <w:p w:rsidR="00421620" w:rsidRPr="005A3173" w:rsidRDefault="00421620" w:rsidP="00136445">
          <w:pPr>
            <w:rPr>
              <w:rFonts w:ascii="Calibri" w:hAnsi="Calibri"/>
              <w:color w:val="365F91"/>
              <w:sz w:val="22"/>
              <w:szCs w:val="22"/>
            </w:rPr>
          </w:pPr>
        </w:p>
      </w:tc>
      <w:tc>
        <w:tcPr>
          <w:tcW w:w="2250" w:type="pct"/>
          <w:tcBorders>
            <w:top w:val="single" w:sz="4" w:space="0" w:color="4F81BD"/>
            <w:left w:val="nil"/>
            <w:bottom w:val="nil"/>
            <w:right w:val="nil"/>
          </w:tcBorders>
        </w:tcPr>
        <w:p w:rsidR="00421620" w:rsidRPr="005A3173" w:rsidRDefault="00421620" w:rsidP="00136445">
          <w:pPr>
            <w:pStyle w:val="Header"/>
            <w:spacing w:line="276" w:lineRule="auto"/>
            <w:rPr>
              <w:rFonts w:ascii="Calibri" w:eastAsia="MS Gothic" w:hAnsi="Calibri"/>
              <w:b/>
              <w:bCs/>
              <w:color w:val="4F81BD"/>
            </w:rPr>
          </w:pPr>
        </w:p>
      </w:tc>
    </w:tr>
  </w:tbl>
  <w:p w:rsidR="00421620" w:rsidRPr="007C0F57" w:rsidRDefault="00421620" w:rsidP="00136445">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21620" w:rsidRPr="007C0F57" w:rsidRDefault="00421620" w:rsidP="00136445">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620" w:rsidRDefault="00421620">
      <w:r>
        <w:separator/>
      </w:r>
    </w:p>
  </w:footnote>
  <w:footnote w:type="continuationSeparator" w:id="0">
    <w:p w:rsidR="00421620" w:rsidRDefault="00421620">
      <w:r>
        <w:continuationSeparator/>
      </w:r>
    </w:p>
  </w:footnote>
  <w:footnote w:id="1">
    <w:p w:rsidR="000213E9" w:rsidRPr="000213E9" w:rsidRDefault="000213E9">
      <w:pPr>
        <w:pStyle w:val="FootnoteText"/>
        <w:rPr>
          <w:rFonts w:ascii="Arial" w:hAnsi="Arial" w:cs="Arial"/>
        </w:rPr>
      </w:pPr>
      <w:r w:rsidRPr="000213E9">
        <w:rPr>
          <w:rStyle w:val="FootnoteReference"/>
          <w:rFonts w:ascii="Arial" w:hAnsi="Arial" w:cs="Arial"/>
        </w:rPr>
        <w:footnoteRef/>
      </w:r>
      <w:r w:rsidRPr="000213E9">
        <w:rPr>
          <w:rFonts w:ascii="Arial" w:hAnsi="Arial" w:cs="Arial"/>
        </w:rPr>
        <w:t xml:space="preserve"> Handelsman DJ. Pharmacoepidemiology of testosterone prescribing in Australia, 1992–2010. Med J Aust 2012; 196 (10): 642-645. doi: 10.5694/mja11.11277.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21620" w:rsidRPr="008E0D90" w:rsidTr="00136445">
      <w:trPr>
        <w:trHeight w:val="151"/>
      </w:trPr>
      <w:tc>
        <w:tcPr>
          <w:tcW w:w="2389" w:type="pct"/>
          <w:tcBorders>
            <w:top w:val="nil"/>
            <w:left w:val="nil"/>
            <w:bottom w:val="single" w:sz="4" w:space="0" w:color="4F81BD"/>
            <w:right w:val="nil"/>
          </w:tcBorders>
        </w:tcPr>
        <w:p w:rsidR="00421620" w:rsidRPr="00A06225" w:rsidRDefault="00421620">
          <w:pPr>
            <w:pStyle w:val="Header"/>
            <w:spacing w:line="276" w:lineRule="auto"/>
            <w:rPr>
              <w:rFonts w:ascii="Cambria" w:eastAsia="MS Gothic" w:hAnsi="Cambria"/>
              <w:b/>
              <w:bCs/>
              <w:color w:val="4F81BD"/>
            </w:rPr>
          </w:pPr>
        </w:p>
      </w:tc>
      <w:tc>
        <w:tcPr>
          <w:tcW w:w="333" w:type="pct"/>
          <w:vMerge w:val="restart"/>
          <w:noWrap/>
          <w:vAlign w:val="center"/>
          <w:hideMark/>
        </w:tcPr>
        <w:p w:rsidR="00421620" w:rsidRPr="00A06225" w:rsidRDefault="00421620" w:rsidP="0013644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21620" w:rsidRPr="00A06225" w:rsidRDefault="00421620">
          <w:pPr>
            <w:pStyle w:val="Header"/>
            <w:spacing w:line="276" w:lineRule="auto"/>
            <w:rPr>
              <w:rFonts w:ascii="Cambria" w:eastAsia="MS Gothic" w:hAnsi="Cambria"/>
              <w:b/>
              <w:bCs/>
              <w:color w:val="4F81BD"/>
            </w:rPr>
          </w:pPr>
        </w:p>
      </w:tc>
    </w:tr>
    <w:tr w:rsidR="00421620" w:rsidRPr="008E0D90" w:rsidTr="00136445">
      <w:trPr>
        <w:trHeight w:val="150"/>
      </w:trPr>
      <w:tc>
        <w:tcPr>
          <w:tcW w:w="2389" w:type="pct"/>
          <w:tcBorders>
            <w:top w:val="single" w:sz="4" w:space="0" w:color="4F81BD"/>
            <w:left w:val="nil"/>
            <w:bottom w:val="nil"/>
            <w:right w:val="nil"/>
          </w:tcBorders>
        </w:tcPr>
        <w:p w:rsidR="00421620" w:rsidRPr="00A06225" w:rsidRDefault="00421620">
          <w:pPr>
            <w:pStyle w:val="Header"/>
            <w:spacing w:line="276" w:lineRule="auto"/>
            <w:rPr>
              <w:rFonts w:ascii="Cambria" w:eastAsia="MS Gothic" w:hAnsi="Cambria"/>
              <w:b/>
              <w:bCs/>
              <w:color w:val="4F81BD"/>
            </w:rPr>
          </w:pPr>
        </w:p>
      </w:tc>
      <w:tc>
        <w:tcPr>
          <w:tcW w:w="0" w:type="auto"/>
          <w:vMerge/>
          <w:vAlign w:val="center"/>
          <w:hideMark/>
        </w:tcPr>
        <w:p w:rsidR="00421620" w:rsidRPr="00A06225" w:rsidRDefault="00421620">
          <w:pPr>
            <w:rPr>
              <w:rFonts w:ascii="Cambria" w:hAnsi="Cambria"/>
              <w:color w:val="4F81BD"/>
              <w:sz w:val="22"/>
              <w:szCs w:val="22"/>
            </w:rPr>
          </w:pPr>
        </w:p>
      </w:tc>
      <w:tc>
        <w:tcPr>
          <w:tcW w:w="2278" w:type="pct"/>
          <w:tcBorders>
            <w:top w:val="single" w:sz="4" w:space="0" w:color="4F81BD"/>
            <w:left w:val="nil"/>
            <w:bottom w:val="nil"/>
            <w:right w:val="nil"/>
          </w:tcBorders>
        </w:tcPr>
        <w:p w:rsidR="00421620" w:rsidRPr="00A06225" w:rsidRDefault="00421620">
          <w:pPr>
            <w:pStyle w:val="Header"/>
            <w:spacing w:line="276" w:lineRule="auto"/>
            <w:rPr>
              <w:rFonts w:ascii="Cambria" w:eastAsia="MS Gothic" w:hAnsi="Cambria"/>
              <w:b/>
              <w:bCs/>
              <w:color w:val="4F81BD"/>
            </w:rPr>
          </w:pPr>
        </w:p>
      </w:tc>
    </w:tr>
  </w:tbl>
  <w:p w:rsidR="00421620" w:rsidRDefault="004216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C04" w:rsidRPr="00015C04" w:rsidRDefault="00015C04" w:rsidP="00015C04">
    <w:pPr>
      <w:pStyle w:val="Header"/>
      <w:jc w:val="center"/>
      <w:rPr>
        <w:rFonts w:ascii="Arial" w:hAnsi="Arial" w:cs="Arial"/>
        <w:i/>
        <w:sz w:val="22"/>
        <w:szCs w:val="22"/>
      </w:rPr>
    </w:pPr>
    <w:r w:rsidRPr="00015C04">
      <w:rPr>
        <w:rFonts w:ascii="Arial" w:hAnsi="Arial" w:cs="Arial"/>
        <w:i/>
        <w:sz w:val="22"/>
        <w:szCs w:val="22"/>
      </w:rPr>
      <w:t>Public Summary Document</w:t>
    </w:r>
    <w:r>
      <w:rPr>
        <w:rFonts w:ascii="Arial" w:hAnsi="Arial" w:cs="Arial"/>
        <w:i/>
        <w:sz w:val="22"/>
        <w:szCs w:val="22"/>
      </w:rPr>
      <w:t xml:space="preserve"> – August 2013</w:t>
    </w:r>
    <w:r w:rsidRPr="00015C04">
      <w:rPr>
        <w:rFonts w:ascii="Arial" w:hAnsi="Arial" w:cs="Arial"/>
        <w:i/>
        <w:sz w:val="22"/>
        <w:szCs w:val="22"/>
      </w:rPr>
      <w:t xml:space="preserve"> PBAC </w:t>
    </w:r>
    <w:r>
      <w:rPr>
        <w:rFonts w:ascii="Arial" w:hAnsi="Arial" w:cs="Arial"/>
        <w:i/>
        <w:sz w:val="22"/>
        <w:szCs w:val="22"/>
      </w:rPr>
      <w:t xml:space="preserve">Special </w:t>
    </w:r>
    <w:r w:rsidRPr="00015C04">
      <w:rPr>
        <w:rFonts w:ascii="Arial" w:hAnsi="Arial" w:cs="Arial"/>
        <w:i/>
        <w:sz w:val="22"/>
        <w:szCs w:val="22"/>
      </w:rPr>
      <w:t>Meeting</w:t>
    </w:r>
  </w:p>
  <w:p w:rsidR="00015C04" w:rsidRDefault="00015C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6A" w:rsidRDefault="00B153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218BE"/>
    <w:multiLevelType w:val="hybridMultilevel"/>
    <w:tmpl w:val="E098B282"/>
    <w:lvl w:ilvl="0" w:tplc="0C090005">
      <w:start w:val="1"/>
      <w:numFmt w:val="bullet"/>
      <w:lvlText w:val=""/>
      <w:lvlJc w:val="left"/>
      <w:pPr>
        <w:ind w:left="1495" w:hanging="360"/>
      </w:pPr>
      <w:rPr>
        <w:rFonts w:ascii="Wingdings" w:hAnsi="Wingdings"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1">
    <w:nsid w:val="4FCC15EB"/>
    <w:multiLevelType w:val="hybridMultilevel"/>
    <w:tmpl w:val="A9325130"/>
    <w:lvl w:ilvl="0" w:tplc="0C090005">
      <w:start w:val="1"/>
      <w:numFmt w:val="bullet"/>
      <w:lvlText w:val=""/>
      <w:lvlJc w:val="left"/>
      <w:pPr>
        <w:ind w:left="1495" w:hanging="360"/>
      </w:pPr>
      <w:rPr>
        <w:rFonts w:ascii="Wingdings" w:hAnsi="Wingdings" w:hint="default"/>
      </w:rPr>
    </w:lvl>
    <w:lvl w:ilvl="1" w:tplc="0C090003" w:tentative="1">
      <w:start w:val="1"/>
      <w:numFmt w:val="bullet"/>
      <w:lvlText w:val="o"/>
      <w:lvlJc w:val="left"/>
      <w:pPr>
        <w:ind w:left="3578" w:hanging="360"/>
      </w:pPr>
      <w:rPr>
        <w:rFonts w:ascii="Courier New" w:hAnsi="Courier New" w:cs="Courier New" w:hint="default"/>
      </w:rPr>
    </w:lvl>
    <w:lvl w:ilvl="2" w:tplc="0C090005" w:tentative="1">
      <w:start w:val="1"/>
      <w:numFmt w:val="bullet"/>
      <w:lvlText w:val=""/>
      <w:lvlJc w:val="left"/>
      <w:pPr>
        <w:ind w:left="4298" w:hanging="360"/>
      </w:pPr>
      <w:rPr>
        <w:rFonts w:ascii="Wingdings" w:hAnsi="Wingdings" w:hint="default"/>
      </w:rPr>
    </w:lvl>
    <w:lvl w:ilvl="3" w:tplc="0C090001" w:tentative="1">
      <w:start w:val="1"/>
      <w:numFmt w:val="bullet"/>
      <w:lvlText w:val=""/>
      <w:lvlJc w:val="left"/>
      <w:pPr>
        <w:ind w:left="5018" w:hanging="360"/>
      </w:pPr>
      <w:rPr>
        <w:rFonts w:ascii="Symbol" w:hAnsi="Symbol" w:hint="default"/>
      </w:rPr>
    </w:lvl>
    <w:lvl w:ilvl="4" w:tplc="0C090003" w:tentative="1">
      <w:start w:val="1"/>
      <w:numFmt w:val="bullet"/>
      <w:lvlText w:val="o"/>
      <w:lvlJc w:val="left"/>
      <w:pPr>
        <w:ind w:left="5738" w:hanging="360"/>
      </w:pPr>
      <w:rPr>
        <w:rFonts w:ascii="Courier New" w:hAnsi="Courier New" w:cs="Courier New" w:hint="default"/>
      </w:rPr>
    </w:lvl>
    <w:lvl w:ilvl="5" w:tplc="0C090005" w:tentative="1">
      <w:start w:val="1"/>
      <w:numFmt w:val="bullet"/>
      <w:lvlText w:val=""/>
      <w:lvlJc w:val="left"/>
      <w:pPr>
        <w:ind w:left="6458" w:hanging="360"/>
      </w:pPr>
      <w:rPr>
        <w:rFonts w:ascii="Wingdings" w:hAnsi="Wingdings" w:hint="default"/>
      </w:rPr>
    </w:lvl>
    <w:lvl w:ilvl="6" w:tplc="0C090001" w:tentative="1">
      <w:start w:val="1"/>
      <w:numFmt w:val="bullet"/>
      <w:lvlText w:val=""/>
      <w:lvlJc w:val="left"/>
      <w:pPr>
        <w:ind w:left="7178" w:hanging="360"/>
      </w:pPr>
      <w:rPr>
        <w:rFonts w:ascii="Symbol" w:hAnsi="Symbol" w:hint="default"/>
      </w:rPr>
    </w:lvl>
    <w:lvl w:ilvl="7" w:tplc="0C090003" w:tentative="1">
      <w:start w:val="1"/>
      <w:numFmt w:val="bullet"/>
      <w:lvlText w:val="o"/>
      <w:lvlJc w:val="left"/>
      <w:pPr>
        <w:ind w:left="7898" w:hanging="360"/>
      </w:pPr>
      <w:rPr>
        <w:rFonts w:ascii="Courier New" w:hAnsi="Courier New" w:cs="Courier New" w:hint="default"/>
      </w:rPr>
    </w:lvl>
    <w:lvl w:ilvl="8" w:tplc="0C090005" w:tentative="1">
      <w:start w:val="1"/>
      <w:numFmt w:val="bullet"/>
      <w:lvlText w:val=""/>
      <w:lvlJc w:val="left"/>
      <w:pPr>
        <w:ind w:left="8618" w:hanging="360"/>
      </w:pPr>
      <w:rPr>
        <w:rFonts w:ascii="Wingdings" w:hAnsi="Wingdings" w:hint="default"/>
      </w:rPr>
    </w:lvl>
  </w:abstractNum>
  <w:abstractNum w:abstractNumId="2">
    <w:nsid w:val="6180291D"/>
    <w:multiLevelType w:val="hybridMultilevel"/>
    <w:tmpl w:val="D9F0729C"/>
    <w:lvl w:ilvl="0" w:tplc="0C090001">
      <w:start w:val="1"/>
      <w:numFmt w:val="bullet"/>
      <w:lvlText w:val=""/>
      <w:lvlJc w:val="left"/>
      <w:pPr>
        <w:ind w:left="1855" w:hanging="360"/>
      </w:pPr>
      <w:rPr>
        <w:rFonts w:ascii="Symbol" w:hAnsi="Symbol" w:hint="default"/>
      </w:rPr>
    </w:lvl>
    <w:lvl w:ilvl="1" w:tplc="0C090003" w:tentative="1">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3">
    <w:nsid w:val="784D033C"/>
    <w:multiLevelType w:val="multilevel"/>
    <w:tmpl w:val="775477F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AC"/>
    <w:rsid w:val="00004E80"/>
    <w:rsid w:val="00013B7D"/>
    <w:rsid w:val="00015C04"/>
    <w:rsid w:val="000213E9"/>
    <w:rsid w:val="00043E73"/>
    <w:rsid w:val="000442AA"/>
    <w:rsid w:val="000650AE"/>
    <w:rsid w:val="0008705C"/>
    <w:rsid w:val="00087627"/>
    <w:rsid w:val="000E5BDB"/>
    <w:rsid w:val="00136445"/>
    <w:rsid w:val="00162CF4"/>
    <w:rsid w:val="001909B6"/>
    <w:rsid w:val="001C43D4"/>
    <w:rsid w:val="0020573A"/>
    <w:rsid w:val="002156C8"/>
    <w:rsid w:val="00237BB4"/>
    <w:rsid w:val="00255B9F"/>
    <w:rsid w:val="002575A2"/>
    <w:rsid w:val="00283A98"/>
    <w:rsid w:val="002A09C9"/>
    <w:rsid w:val="002A5F90"/>
    <w:rsid w:val="002D19F4"/>
    <w:rsid w:val="002D4848"/>
    <w:rsid w:val="002F1855"/>
    <w:rsid w:val="00304955"/>
    <w:rsid w:val="00311563"/>
    <w:rsid w:val="00331A8A"/>
    <w:rsid w:val="00342565"/>
    <w:rsid w:val="003649F5"/>
    <w:rsid w:val="00384FC8"/>
    <w:rsid w:val="003A3B21"/>
    <w:rsid w:val="003C1C10"/>
    <w:rsid w:val="003C1D9C"/>
    <w:rsid w:val="003D6668"/>
    <w:rsid w:val="00412F34"/>
    <w:rsid w:val="004138AA"/>
    <w:rsid w:val="00421620"/>
    <w:rsid w:val="004459B2"/>
    <w:rsid w:val="00472DB6"/>
    <w:rsid w:val="004B3DFD"/>
    <w:rsid w:val="004D6978"/>
    <w:rsid w:val="00515838"/>
    <w:rsid w:val="00525105"/>
    <w:rsid w:val="00535ED2"/>
    <w:rsid w:val="005766FB"/>
    <w:rsid w:val="005856BA"/>
    <w:rsid w:val="005B35C0"/>
    <w:rsid w:val="005B6C52"/>
    <w:rsid w:val="005C16A4"/>
    <w:rsid w:val="0062716D"/>
    <w:rsid w:val="00631624"/>
    <w:rsid w:val="00632416"/>
    <w:rsid w:val="00641974"/>
    <w:rsid w:val="0066371E"/>
    <w:rsid w:val="00694ED7"/>
    <w:rsid w:val="006A012D"/>
    <w:rsid w:val="006B598B"/>
    <w:rsid w:val="007152B1"/>
    <w:rsid w:val="00715DAC"/>
    <w:rsid w:val="00727724"/>
    <w:rsid w:val="00762E1C"/>
    <w:rsid w:val="007A563B"/>
    <w:rsid w:val="007B1ADD"/>
    <w:rsid w:val="007F08AC"/>
    <w:rsid w:val="007F1BE7"/>
    <w:rsid w:val="007F4E20"/>
    <w:rsid w:val="008A1B21"/>
    <w:rsid w:val="008E2260"/>
    <w:rsid w:val="0090485D"/>
    <w:rsid w:val="00920680"/>
    <w:rsid w:val="00953545"/>
    <w:rsid w:val="009D0188"/>
    <w:rsid w:val="009D4823"/>
    <w:rsid w:val="009E5D8D"/>
    <w:rsid w:val="009F1869"/>
    <w:rsid w:val="00A06E22"/>
    <w:rsid w:val="00A30959"/>
    <w:rsid w:val="00A37A00"/>
    <w:rsid w:val="00A43B3C"/>
    <w:rsid w:val="00A45828"/>
    <w:rsid w:val="00A740BE"/>
    <w:rsid w:val="00A82A20"/>
    <w:rsid w:val="00A90180"/>
    <w:rsid w:val="00AB36F9"/>
    <w:rsid w:val="00AB6EB1"/>
    <w:rsid w:val="00AF5483"/>
    <w:rsid w:val="00B057E2"/>
    <w:rsid w:val="00B1536A"/>
    <w:rsid w:val="00B209AE"/>
    <w:rsid w:val="00B55A9A"/>
    <w:rsid w:val="00B81A79"/>
    <w:rsid w:val="00B83BB8"/>
    <w:rsid w:val="00B866AA"/>
    <w:rsid w:val="00BA3BC8"/>
    <w:rsid w:val="00BB2888"/>
    <w:rsid w:val="00C0784F"/>
    <w:rsid w:val="00C119DD"/>
    <w:rsid w:val="00C65D11"/>
    <w:rsid w:val="00C712B1"/>
    <w:rsid w:val="00CA3BC2"/>
    <w:rsid w:val="00CB1540"/>
    <w:rsid w:val="00CC43BF"/>
    <w:rsid w:val="00D24A0A"/>
    <w:rsid w:val="00D2605B"/>
    <w:rsid w:val="00D264AE"/>
    <w:rsid w:val="00D372CD"/>
    <w:rsid w:val="00D766C1"/>
    <w:rsid w:val="00DB0469"/>
    <w:rsid w:val="00E63048"/>
    <w:rsid w:val="00E675E2"/>
    <w:rsid w:val="00E80978"/>
    <w:rsid w:val="00E90FD3"/>
    <w:rsid w:val="00EF3E6C"/>
    <w:rsid w:val="00F24902"/>
    <w:rsid w:val="00F342F0"/>
    <w:rsid w:val="00FA4982"/>
    <w:rsid w:val="00FF7F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DAC"/>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rsid w:val="00715DAC"/>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715DAC"/>
    <w:rPr>
      <w:rFonts w:eastAsia="Times New Roman" w:cs="Times New Roman"/>
      <w:szCs w:val="24"/>
      <w:lang w:eastAsia="en-AU"/>
    </w:rPr>
  </w:style>
  <w:style w:type="paragraph" w:styleId="Footer">
    <w:name w:val="footer"/>
    <w:basedOn w:val="Normal"/>
    <w:link w:val="FooterChar"/>
    <w:uiPriority w:val="99"/>
    <w:rsid w:val="00715DAC"/>
    <w:pPr>
      <w:tabs>
        <w:tab w:val="center" w:pos="4153"/>
        <w:tab w:val="right" w:pos="8306"/>
      </w:tabs>
    </w:pPr>
  </w:style>
  <w:style w:type="character" w:customStyle="1" w:styleId="FooterChar">
    <w:name w:val="Footer Char"/>
    <w:basedOn w:val="DefaultParagraphFont"/>
    <w:link w:val="Footer"/>
    <w:uiPriority w:val="99"/>
    <w:rsid w:val="00715DAC"/>
    <w:rPr>
      <w:rFonts w:eastAsia="Times New Roman" w:cs="Times New Roman"/>
      <w:szCs w:val="24"/>
      <w:lang w:eastAsia="en-AU"/>
    </w:rPr>
  </w:style>
  <w:style w:type="character" w:styleId="PageNumber">
    <w:name w:val="page number"/>
    <w:basedOn w:val="DefaultParagraphFont"/>
    <w:rsid w:val="00715DAC"/>
  </w:style>
  <w:style w:type="paragraph" w:customStyle="1" w:styleId="MediumGrid21">
    <w:name w:val="Medium Grid 21"/>
    <w:link w:val="MediumGrid2Char"/>
    <w:qFormat/>
    <w:rsid w:val="00715DAC"/>
    <w:pPr>
      <w:spacing w:after="0" w:line="240" w:lineRule="auto"/>
    </w:pPr>
    <w:rPr>
      <w:rFonts w:ascii="PMingLiU" w:eastAsia="MS Mincho" w:hAnsi="PMingLiU" w:cs="Times New Roman"/>
      <w:sz w:val="22"/>
      <w:lang w:val="en-US"/>
    </w:rPr>
  </w:style>
  <w:style w:type="character" w:customStyle="1" w:styleId="MediumGrid2Char">
    <w:name w:val="Medium Grid 2 Char"/>
    <w:link w:val="MediumGrid21"/>
    <w:rsid w:val="00715DAC"/>
    <w:rPr>
      <w:rFonts w:ascii="PMingLiU" w:eastAsia="MS Mincho" w:hAnsi="PMingLiU" w:cs="Times New Roman"/>
      <w:sz w:val="22"/>
      <w:lang w:val="en-US"/>
    </w:rPr>
  </w:style>
  <w:style w:type="paragraph" w:styleId="ListParagraph">
    <w:name w:val="List Paragraph"/>
    <w:basedOn w:val="Normal"/>
    <w:link w:val="ListParagraphChar"/>
    <w:uiPriority w:val="72"/>
    <w:qFormat/>
    <w:rsid w:val="00715DAC"/>
    <w:pPr>
      <w:ind w:left="720"/>
      <w:contextualSpacing/>
    </w:pPr>
  </w:style>
  <w:style w:type="paragraph" w:styleId="CommentText">
    <w:name w:val="annotation text"/>
    <w:basedOn w:val="Normal"/>
    <w:link w:val="CommentTextChar"/>
    <w:uiPriority w:val="99"/>
    <w:unhideWhenUsed/>
    <w:rsid w:val="00715DAC"/>
    <w:rPr>
      <w:sz w:val="20"/>
      <w:szCs w:val="20"/>
    </w:rPr>
  </w:style>
  <w:style w:type="character" w:customStyle="1" w:styleId="CommentTextChar">
    <w:name w:val="Comment Text Char"/>
    <w:basedOn w:val="DefaultParagraphFont"/>
    <w:link w:val="CommentText"/>
    <w:uiPriority w:val="99"/>
    <w:rsid w:val="00715DAC"/>
    <w:rPr>
      <w:rFonts w:eastAsia="Times New Roman" w:cs="Times New Roman"/>
      <w:sz w:val="20"/>
      <w:szCs w:val="20"/>
      <w:lang w:eastAsia="en-AU"/>
    </w:rPr>
  </w:style>
  <w:style w:type="character" w:styleId="CommentReference">
    <w:name w:val="annotation reference"/>
    <w:basedOn w:val="DefaultParagraphFont"/>
    <w:rsid w:val="00715DAC"/>
    <w:rPr>
      <w:sz w:val="16"/>
      <w:szCs w:val="16"/>
    </w:rPr>
  </w:style>
  <w:style w:type="paragraph" w:styleId="BalloonText">
    <w:name w:val="Balloon Text"/>
    <w:basedOn w:val="Normal"/>
    <w:link w:val="BalloonTextChar"/>
    <w:uiPriority w:val="99"/>
    <w:semiHidden/>
    <w:unhideWhenUsed/>
    <w:rsid w:val="00715DAC"/>
    <w:rPr>
      <w:rFonts w:ascii="Tahoma" w:hAnsi="Tahoma" w:cs="Tahoma"/>
      <w:sz w:val="16"/>
      <w:szCs w:val="16"/>
    </w:rPr>
  </w:style>
  <w:style w:type="character" w:customStyle="1" w:styleId="BalloonTextChar">
    <w:name w:val="Balloon Text Char"/>
    <w:basedOn w:val="DefaultParagraphFont"/>
    <w:link w:val="BalloonText"/>
    <w:uiPriority w:val="99"/>
    <w:semiHidden/>
    <w:rsid w:val="00715DAC"/>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641974"/>
    <w:rPr>
      <w:b/>
      <w:bCs/>
    </w:rPr>
  </w:style>
  <w:style w:type="character" w:customStyle="1" w:styleId="CommentSubjectChar">
    <w:name w:val="Comment Subject Char"/>
    <w:basedOn w:val="CommentTextChar"/>
    <w:link w:val="CommentSubject"/>
    <w:uiPriority w:val="99"/>
    <w:semiHidden/>
    <w:rsid w:val="00641974"/>
    <w:rPr>
      <w:rFonts w:eastAsia="Times New Roman" w:cs="Times New Roman"/>
      <w:b/>
      <w:bCs/>
      <w:sz w:val="20"/>
      <w:szCs w:val="20"/>
      <w:lang w:eastAsia="en-AU"/>
    </w:rPr>
  </w:style>
  <w:style w:type="paragraph" w:customStyle="1" w:styleId="Default">
    <w:name w:val="Default"/>
    <w:rsid w:val="003D6668"/>
    <w:pPr>
      <w:autoSpaceDE w:val="0"/>
      <w:autoSpaceDN w:val="0"/>
      <w:adjustRightInd w:val="0"/>
      <w:spacing w:after="0" w:line="240" w:lineRule="auto"/>
    </w:pPr>
    <w:rPr>
      <w:rFonts w:ascii="Trebuchet MS" w:hAnsi="Trebuchet MS" w:cs="Trebuchet MS"/>
      <w:color w:val="000000"/>
      <w:szCs w:val="24"/>
    </w:rPr>
  </w:style>
  <w:style w:type="table" w:styleId="TableGrid">
    <w:name w:val="Table Grid"/>
    <w:basedOn w:val="TableNormal"/>
    <w:uiPriority w:val="59"/>
    <w:rsid w:val="0020573A"/>
    <w:pPr>
      <w:spacing w:after="0" w:line="240" w:lineRule="auto"/>
    </w:pPr>
    <w:rPr>
      <w:rFonts w:asciiTheme="minorHAnsi" w:hAnsiTheme="minorHAnsi"/>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BACHeading1">
    <w:name w:val="PBAC Heading 1"/>
    <w:qFormat/>
    <w:rsid w:val="00B057E2"/>
    <w:pPr>
      <w:numPr>
        <w:numId w:val="3"/>
      </w:numPr>
      <w:spacing w:after="0" w:line="240" w:lineRule="auto"/>
    </w:pPr>
    <w:rPr>
      <w:rFonts w:ascii="Arial" w:eastAsia="Times New Roman" w:hAnsi="Arial" w:cs="Arial"/>
      <w:b/>
      <w:snapToGrid w:val="0"/>
      <w:sz w:val="22"/>
    </w:rPr>
  </w:style>
  <w:style w:type="character" w:customStyle="1" w:styleId="ListParagraphChar">
    <w:name w:val="List Paragraph Char"/>
    <w:link w:val="ListParagraph"/>
    <w:uiPriority w:val="72"/>
    <w:locked/>
    <w:rsid w:val="00B057E2"/>
    <w:rPr>
      <w:rFonts w:eastAsia="Times New Roman" w:cs="Times New Roman"/>
      <w:szCs w:val="24"/>
      <w:lang w:eastAsia="en-AU"/>
    </w:rPr>
  </w:style>
  <w:style w:type="paragraph" w:styleId="FootnoteText">
    <w:name w:val="footnote text"/>
    <w:basedOn w:val="Normal"/>
    <w:link w:val="FootnoteTextChar"/>
    <w:uiPriority w:val="99"/>
    <w:semiHidden/>
    <w:unhideWhenUsed/>
    <w:rsid w:val="000213E9"/>
    <w:rPr>
      <w:sz w:val="20"/>
      <w:szCs w:val="20"/>
    </w:rPr>
  </w:style>
  <w:style w:type="character" w:customStyle="1" w:styleId="FootnoteTextChar">
    <w:name w:val="Footnote Text Char"/>
    <w:basedOn w:val="DefaultParagraphFont"/>
    <w:link w:val="FootnoteText"/>
    <w:uiPriority w:val="99"/>
    <w:semiHidden/>
    <w:rsid w:val="000213E9"/>
    <w:rPr>
      <w:rFonts w:eastAsia="Times New Roman" w:cs="Times New Roman"/>
      <w:sz w:val="20"/>
      <w:szCs w:val="20"/>
      <w:lang w:eastAsia="en-AU"/>
    </w:rPr>
  </w:style>
  <w:style w:type="character" w:styleId="FootnoteReference">
    <w:name w:val="footnote reference"/>
    <w:basedOn w:val="DefaultParagraphFont"/>
    <w:uiPriority w:val="99"/>
    <w:semiHidden/>
    <w:unhideWhenUsed/>
    <w:rsid w:val="000213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DAC"/>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rsid w:val="00715DAC"/>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715DAC"/>
    <w:rPr>
      <w:rFonts w:eastAsia="Times New Roman" w:cs="Times New Roman"/>
      <w:szCs w:val="24"/>
      <w:lang w:eastAsia="en-AU"/>
    </w:rPr>
  </w:style>
  <w:style w:type="paragraph" w:styleId="Footer">
    <w:name w:val="footer"/>
    <w:basedOn w:val="Normal"/>
    <w:link w:val="FooterChar"/>
    <w:uiPriority w:val="99"/>
    <w:rsid w:val="00715DAC"/>
    <w:pPr>
      <w:tabs>
        <w:tab w:val="center" w:pos="4153"/>
        <w:tab w:val="right" w:pos="8306"/>
      </w:tabs>
    </w:pPr>
  </w:style>
  <w:style w:type="character" w:customStyle="1" w:styleId="FooterChar">
    <w:name w:val="Footer Char"/>
    <w:basedOn w:val="DefaultParagraphFont"/>
    <w:link w:val="Footer"/>
    <w:uiPriority w:val="99"/>
    <w:rsid w:val="00715DAC"/>
    <w:rPr>
      <w:rFonts w:eastAsia="Times New Roman" w:cs="Times New Roman"/>
      <w:szCs w:val="24"/>
      <w:lang w:eastAsia="en-AU"/>
    </w:rPr>
  </w:style>
  <w:style w:type="character" w:styleId="PageNumber">
    <w:name w:val="page number"/>
    <w:basedOn w:val="DefaultParagraphFont"/>
    <w:rsid w:val="00715DAC"/>
  </w:style>
  <w:style w:type="paragraph" w:customStyle="1" w:styleId="MediumGrid21">
    <w:name w:val="Medium Grid 21"/>
    <w:link w:val="MediumGrid2Char"/>
    <w:qFormat/>
    <w:rsid w:val="00715DAC"/>
    <w:pPr>
      <w:spacing w:after="0" w:line="240" w:lineRule="auto"/>
    </w:pPr>
    <w:rPr>
      <w:rFonts w:ascii="PMingLiU" w:eastAsia="MS Mincho" w:hAnsi="PMingLiU" w:cs="Times New Roman"/>
      <w:sz w:val="22"/>
      <w:lang w:val="en-US"/>
    </w:rPr>
  </w:style>
  <w:style w:type="character" w:customStyle="1" w:styleId="MediumGrid2Char">
    <w:name w:val="Medium Grid 2 Char"/>
    <w:link w:val="MediumGrid21"/>
    <w:rsid w:val="00715DAC"/>
    <w:rPr>
      <w:rFonts w:ascii="PMingLiU" w:eastAsia="MS Mincho" w:hAnsi="PMingLiU" w:cs="Times New Roman"/>
      <w:sz w:val="22"/>
      <w:lang w:val="en-US"/>
    </w:rPr>
  </w:style>
  <w:style w:type="paragraph" w:styleId="ListParagraph">
    <w:name w:val="List Paragraph"/>
    <w:basedOn w:val="Normal"/>
    <w:link w:val="ListParagraphChar"/>
    <w:uiPriority w:val="72"/>
    <w:qFormat/>
    <w:rsid w:val="00715DAC"/>
    <w:pPr>
      <w:ind w:left="720"/>
      <w:contextualSpacing/>
    </w:pPr>
  </w:style>
  <w:style w:type="paragraph" w:styleId="CommentText">
    <w:name w:val="annotation text"/>
    <w:basedOn w:val="Normal"/>
    <w:link w:val="CommentTextChar"/>
    <w:uiPriority w:val="99"/>
    <w:unhideWhenUsed/>
    <w:rsid w:val="00715DAC"/>
    <w:rPr>
      <w:sz w:val="20"/>
      <w:szCs w:val="20"/>
    </w:rPr>
  </w:style>
  <w:style w:type="character" w:customStyle="1" w:styleId="CommentTextChar">
    <w:name w:val="Comment Text Char"/>
    <w:basedOn w:val="DefaultParagraphFont"/>
    <w:link w:val="CommentText"/>
    <w:uiPriority w:val="99"/>
    <w:rsid w:val="00715DAC"/>
    <w:rPr>
      <w:rFonts w:eastAsia="Times New Roman" w:cs="Times New Roman"/>
      <w:sz w:val="20"/>
      <w:szCs w:val="20"/>
      <w:lang w:eastAsia="en-AU"/>
    </w:rPr>
  </w:style>
  <w:style w:type="character" w:styleId="CommentReference">
    <w:name w:val="annotation reference"/>
    <w:basedOn w:val="DefaultParagraphFont"/>
    <w:rsid w:val="00715DAC"/>
    <w:rPr>
      <w:sz w:val="16"/>
      <w:szCs w:val="16"/>
    </w:rPr>
  </w:style>
  <w:style w:type="paragraph" w:styleId="BalloonText">
    <w:name w:val="Balloon Text"/>
    <w:basedOn w:val="Normal"/>
    <w:link w:val="BalloonTextChar"/>
    <w:uiPriority w:val="99"/>
    <w:semiHidden/>
    <w:unhideWhenUsed/>
    <w:rsid w:val="00715DAC"/>
    <w:rPr>
      <w:rFonts w:ascii="Tahoma" w:hAnsi="Tahoma" w:cs="Tahoma"/>
      <w:sz w:val="16"/>
      <w:szCs w:val="16"/>
    </w:rPr>
  </w:style>
  <w:style w:type="character" w:customStyle="1" w:styleId="BalloonTextChar">
    <w:name w:val="Balloon Text Char"/>
    <w:basedOn w:val="DefaultParagraphFont"/>
    <w:link w:val="BalloonText"/>
    <w:uiPriority w:val="99"/>
    <w:semiHidden/>
    <w:rsid w:val="00715DAC"/>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641974"/>
    <w:rPr>
      <w:b/>
      <w:bCs/>
    </w:rPr>
  </w:style>
  <w:style w:type="character" w:customStyle="1" w:styleId="CommentSubjectChar">
    <w:name w:val="Comment Subject Char"/>
    <w:basedOn w:val="CommentTextChar"/>
    <w:link w:val="CommentSubject"/>
    <w:uiPriority w:val="99"/>
    <w:semiHidden/>
    <w:rsid w:val="00641974"/>
    <w:rPr>
      <w:rFonts w:eastAsia="Times New Roman" w:cs="Times New Roman"/>
      <w:b/>
      <w:bCs/>
      <w:sz w:val="20"/>
      <w:szCs w:val="20"/>
      <w:lang w:eastAsia="en-AU"/>
    </w:rPr>
  </w:style>
  <w:style w:type="paragraph" w:customStyle="1" w:styleId="Default">
    <w:name w:val="Default"/>
    <w:rsid w:val="003D6668"/>
    <w:pPr>
      <w:autoSpaceDE w:val="0"/>
      <w:autoSpaceDN w:val="0"/>
      <w:adjustRightInd w:val="0"/>
      <w:spacing w:after="0" w:line="240" w:lineRule="auto"/>
    </w:pPr>
    <w:rPr>
      <w:rFonts w:ascii="Trebuchet MS" w:hAnsi="Trebuchet MS" w:cs="Trebuchet MS"/>
      <w:color w:val="000000"/>
      <w:szCs w:val="24"/>
    </w:rPr>
  </w:style>
  <w:style w:type="table" w:styleId="TableGrid">
    <w:name w:val="Table Grid"/>
    <w:basedOn w:val="TableNormal"/>
    <w:uiPriority w:val="59"/>
    <w:rsid w:val="0020573A"/>
    <w:pPr>
      <w:spacing w:after="0" w:line="240" w:lineRule="auto"/>
    </w:pPr>
    <w:rPr>
      <w:rFonts w:asciiTheme="minorHAnsi" w:hAnsiTheme="minorHAnsi"/>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BACHeading1">
    <w:name w:val="PBAC Heading 1"/>
    <w:qFormat/>
    <w:rsid w:val="00B057E2"/>
    <w:pPr>
      <w:numPr>
        <w:numId w:val="3"/>
      </w:numPr>
      <w:spacing w:after="0" w:line="240" w:lineRule="auto"/>
    </w:pPr>
    <w:rPr>
      <w:rFonts w:ascii="Arial" w:eastAsia="Times New Roman" w:hAnsi="Arial" w:cs="Arial"/>
      <w:b/>
      <w:snapToGrid w:val="0"/>
      <w:sz w:val="22"/>
    </w:rPr>
  </w:style>
  <w:style w:type="character" w:customStyle="1" w:styleId="ListParagraphChar">
    <w:name w:val="List Paragraph Char"/>
    <w:link w:val="ListParagraph"/>
    <w:uiPriority w:val="72"/>
    <w:locked/>
    <w:rsid w:val="00B057E2"/>
    <w:rPr>
      <w:rFonts w:eastAsia="Times New Roman" w:cs="Times New Roman"/>
      <w:szCs w:val="24"/>
      <w:lang w:eastAsia="en-AU"/>
    </w:rPr>
  </w:style>
  <w:style w:type="paragraph" w:styleId="FootnoteText">
    <w:name w:val="footnote text"/>
    <w:basedOn w:val="Normal"/>
    <w:link w:val="FootnoteTextChar"/>
    <w:uiPriority w:val="99"/>
    <w:semiHidden/>
    <w:unhideWhenUsed/>
    <w:rsid w:val="000213E9"/>
    <w:rPr>
      <w:sz w:val="20"/>
      <w:szCs w:val="20"/>
    </w:rPr>
  </w:style>
  <w:style w:type="character" w:customStyle="1" w:styleId="FootnoteTextChar">
    <w:name w:val="Footnote Text Char"/>
    <w:basedOn w:val="DefaultParagraphFont"/>
    <w:link w:val="FootnoteText"/>
    <w:uiPriority w:val="99"/>
    <w:semiHidden/>
    <w:rsid w:val="000213E9"/>
    <w:rPr>
      <w:rFonts w:eastAsia="Times New Roman" w:cs="Times New Roman"/>
      <w:sz w:val="20"/>
      <w:szCs w:val="20"/>
      <w:lang w:eastAsia="en-AU"/>
    </w:rPr>
  </w:style>
  <w:style w:type="character" w:styleId="FootnoteReference">
    <w:name w:val="footnote reference"/>
    <w:basedOn w:val="DefaultParagraphFont"/>
    <w:uiPriority w:val="99"/>
    <w:semiHidden/>
    <w:unhideWhenUsed/>
    <w:rsid w:val="000213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2%20Oct\Testosterone\D717%20-%20initiations%20by%20age%20and%20prescriber%20typ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Initiations to Testosterone by age</a:t>
            </a:r>
            <a:r>
              <a:rPr lang="en-US" baseline="0"/>
              <a:t> and year</a:t>
            </a:r>
            <a:endParaRPr lang="en-US"/>
          </a:p>
        </c:rich>
      </c:tx>
      <c:layout/>
      <c:overlay val="0"/>
    </c:title>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
        <c:idx val="81"/>
        <c:marker>
          <c:symbol val="none"/>
        </c:marker>
      </c:pivotFmt>
      <c:pivotFmt>
        <c:idx val="82"/>
        <c:marker>
          <c:symbol val="none"/>
        </c:marker>
      </c:pivotFmt>
      <c:pivotFmt>
        <c:idx val="83"/>
        <c:marker>
          <c:symbol val="none"/>
        </c:marker>
      </c:pivotFmt>
      <c:pivotFmt>
        <c:idx val="84"/>
        <c:marker>
          <c:symbol val="none"/>
        </c:marker>
      </c:pivotFmt>
      <c:pivotFmt>
        <c:idx val="85"/>
        <c:marker>
          <c:symbol val="none"/>
        </c:marker>
      </c:pivotFmt>
      <c:pivotFmt>
        <c:idx val="86"/>
        <c:marker>
          <c:symbol val="none"/>
        </c:marker>
      </c:pivotFmt>
      <c:pivotFmt>
        <c:idx val="87"/>
        <c:marker>
          <c:symbol val="none"/>
        </c:marker>
      </c:pivotFmt>
      <c:pivotFmt>
        <c:idx val="88"/>
        <c:marker>
          <c:symbol val="none"/>
        </c:marker>
      </c:pivotFmt>
      <c:pivotFmt>
        <c:idx val="89"/>
        <c:marker>
          <c:symbol val="none"/>
        </c:marker>
      </c:pivotFmt>
      <c:pivotFmt>
        <c:idx val="90"/>
        <c:marker>
          <c:symbol val="none"/>
        </c:marker>
      </c:pivotFmt>
    </c:pivotFmts>
    <c:plotArea>
      <c:layout/>
      <c:barChart>
        <c:barDir val="col"/>
        <c:grouping val="clustered"/>
        <c:varyColors val="0"/>
        <c:ser>
          <c:idx val="0"/>
          <c:order val="0"/>
          <c:tx>
            <c:v>2004</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4</c:v>
              </c:pt>
              <c:pt idx="1">
                <c:v>5</c:v>
              </c:pt>
              <c:pt idx="2">
                <c:v>97</c:v>
              </c:pt>
              <c:pt idx="3">
                <c:v>90</c:v>
              </c:pt>
              <c:pt idx="4">
                <c:v>59</c:v>
              </c:pt>
              <c:pt idx="5">
                <c:v>70</c:v>
              </c:pt>
              <c:pt idx="6">
                <c:v>100</c:v>
              </c:pt>
              <c:pt idx="7">
                <c:v>166</c:v>
              </c:pt>
              <c:pt idx="8">
                <c:v>240</c:v>
              </c:pt>
              <c:pt idx="9">
                <c:v>307</c:v>
              </c:pt>
              <c:pt idx="10">
                <c:v>484</c:v>
              </c:pt>
              <c:pt idx="11">
                <c:v>540</c:v>
              </c:pt>
              <c:pt idx="12">
                <c:v>448</c:v>
              </c:pt>
              <c:pt idx="13">
                <c:v>316</c:v>
              </c:pt>
              <c:pt idx="14">
                <c:v>232</c:v>
              </c:pt>
              <c:pt idx="15">
                <c:v>132</c:v>
              </c:pt>
              <c:pt idx="16">
                <c:v>69</c:v>
              </c:pt>
              <c:pt idx="17">
                <c:v>28</c:v>
              </c:pt>
              <c:pt idx="18">
                <c:v>8</c:v>
              </c:pt>
              <c:pt idx="19">
                <c:v>0</c:v>
              </c:pt>
            </c:numLit>
          </c:val>
        </c:ser>
        <c:ser>
          <c:idx val="1"/>
          <c:order val="1"/>
          <c:tx>
            <c:v>2005</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10</c:v>
              </c:pt>
              <c:pt idx="1">
                <c:v>1</c:v>
              </c:pt>
              <c:pt idx="2">
                <c:v>86</c:v>
              </c:pt>
              <c:pt idx="3">
                <c:v>96</c:v>
              </c:pt>
              <c:pt idx="4">
                <c:v>64</c:v>
              </c:pt>
              <c:pt idx="5">
                <c:v>68</c:v>
              </c:pt>
              <c:pt idx="6">
                <c:v>104</c:v>
              </c:pt>
              <c:pt idx="7">
                <c:v>144</c:v>
              </c:pt>
              <c:pt idx="8">
                <c:v>281</c:v>
              </c:pt>
              <c:pt idx="9">
                <c:v>415</c:v>
              </c:pt>
              <c:pt idx="10">
                <c:v>548</c:v>
              </c:pt>
              <c:pt idx="11">
                <c:v>665</c:v>
              </c:pt>
              <c:pt idx="12">
                <c:v>540</c:v>
              </c:pt>
              <c:pt idx="13">
                <c:v>380</c:v>
              </c:pt>
              <c:pt idx="14">
                <c:v>250</c:v>
              </c:pt>
              <c:pt idx="15">
                <c:v>154</c:v>
              </c:pt>
              <c:pt idx="16">
                <c:v>106</c:v>
              </c:pt>
              <c:pt idx="17">
                <c:v>46</c:v>
              </c:pt>
              <c:pt idx="18">
                <c:v>10</c:v>
              </c:pt>
              <c:pt idx="19">
                <c:v>0</c:v>
              </c:pt>
            </c:numLit>
          </c:val>
        </c:ser>
        <c:ser>
          <c:idx val="2"/>
          <c:order val="2"/>
          <c:tx>
            <c:v>2006</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26</c:v>
              </c:pt>
              <c:pt idx="1">
                <c:v>6</c:v>
              </c:pt>
              <c:pt idx="2">
                <c:v>109</c:v>
              </c:pt>
              <c:pt idx="3">
                <c:v>94</c:v>
              </c:pt>
              <c:pt idx="4">
                <c:v>64</c:v>
              </c:pt>
              <c:pt idx="5">
                <c:v>104</c:v>
              </c:pt>
              <c:pt idx="6">
                <c:v>150</c:v>
              </c:pt>
              <c:pt idx="7">
                <c:v>213</c:v>
              </c:pt>
              <c:pt idx="8">
                <c:v>353</c:v>
              </c:pt>
              <c:pt idx="9">
                <c:v>484</c:v>
              </c:pt>
              <c:pt idx="10">
                <c:v>572</c:v>
              </c:pt>
              <c:pt idx="11">
                <c:v>725</c:v>
              </c:pt>
              <c:pt idx="12">
                <c:v>578</c:v>
              </c:pt>
              <c:pt idx="13">
                <c:v>474</c:v>
              </c:pt>
              <c:pt idx="14">
                <c:v>258</c:v>
              </c:pt>
              <c:pt idx="15">
                <c:v>177</c:v>
              </c:pt>
              <c:pt idx="16">
                <c:v>103</c:v>
              </c:pt>
              <c:pt idx="17">
                <c:v>43</c:v>
              </c:pt>
              <c:pt idx="18">
                <c:v>3</c:v>
              </c:pt>
              <c:pt idx="19">
                <c:v>0</c:v>
              </c:pt>
            </c:numLit>
          </c:val>
        </c:ser>
        <c:ser>
          <c:idx val="3"/>
          <c:order val="3"/>
          <c:tx>
            <c:v>2007</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11</c:v>
              </c:pt>
              <c:pt idx="1">
                <c:v>5</c:v>
              </c:pt>
              <c:pt idx="2">
                <c:v>95</c:v>
              </c:pt>
              <c:pt idx="3">
                <c:v>90</c:v>
              </c:pt>
              <c:pt idx="4">
                <c:v>90</c:v>
              </c:pt>
              <c:pt idx="5">
                <c:v>96</c:v>
              </c:pt>
              <c:pt idx="6">
                <c:v>141</c:v>
              </c:pt>
              <c:pt idx="7">
                <c:v>241</c:v>
              </c:pt>
              <c:pt idx="8">
                <c:v>371</c:v>
              </c:pt>
              <c:pt idx="9">
                <c:v>524</c:v>
              </c:pt>
              <c:pt idx="10">
                <c:v>650</c:v>
              </c:pt>
              <c:pt idx="11">
                <c:v>780</c:v>
              </c:pt>
              <c:pt idx="12">
                <c:v>719</c:v>
              </c:pt>
              <c:pt idx="13">
                <c:v>515</c:v>
              </c:pt>
              <c:pt idx="14">
                <c:v>336</c:v>
              </c:pt>
              <c:pt idx="15">
                <c:v>250</c:v>
              </c:pt>
              <c:pt idx="16">
                <c:v>108</c:v>
              </c:pt>
              <c:pt idx="17">
                <c:v>41</c:v>
              </c:pt>
              <c:pt idx="18">
                <c:v>7</c:v>
              </c:pt>
              <c:pt idx="19">
                <c:v>1</c:v>
              </c:pt>
            </c:numLit>
          </c:val>
        </c:ser>
        <c:ser>
          <c:idx val="4"/>
          <c:order val="4"/>
          <c:tx>
            <c:v>2008</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28</c:v>
              </c:pt>
              <c:pt idx="1">
                <c:v>3</c:v>
              </c:pt>
              <c:pt idx="2">
                <c:v>111</c:v>
              </c:pt>
              <c:pt idx="3">
                <c:v>94</c:v>
              </c:pt>
              <c:pt idx="4">
                <c:v>65</c:v>
              </c:pt>
              <c:pt idx="5">
                <c:v>114</c:v>
              </c:pt>
              <c:pt idx="6">
                <c:v>165</c:v>
              </c:pt>
              <c:pt idx="7">
                <c:v>246</c:v>
              </c:pt>
              <c:pt idx="8">
                <c:v>435</c:v>
              </c:pt>
              <c:pt idx="9">
                <c:v>590</c:v>
              </c:pt>
              <c:pt idx="10">
                <c:v>777</c:v>
              </c:pt>
              <c:pt idx="11">
                <c:v>958</c:v>
              </c:pt>
              <c:pt idx="12">
                <c:v>887</c:v>
              </c:pt>
              <c:pt idx="13">
                <c:v>623</c:v>
              </c:pt>
              <c:pt idx="14">
                <c:v>443</c:v>
              </c:pt>
              <c:pt idx="15">
                <c:v>244</c:v>
              </c:pt>
              <c:pt idx="16">
                <c:v>132</c:v>
              </c:pt>
              <c:pt idx="17">
                <c:v>71</c:v>
              </c:pt>
              <c:pt idx="18">
                <c:v>8</c:v>
              </c:pt>
              <c:pt idx="19">
                <c:v>2</c:v>
              </c:pt>
            </c:numLit>
          </c:val>
        </c:ser>
        <c:ser>
          <c:idx val="5"/>
          <c:order val="5"/>
          <c:tx>
            <c:v>2009</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15</c:v>
              </c:pt>
              <c:pt idx="1">
                <c:v>5</c:v>
              </c:pt>
              <c:pt idx="2">
                <c:v>73</c:v>
              </c:pt>
              <c:pt idx="3">
                <c:v>73</c:v>
              </c:pt>
              <c:pt idx="4">
                <c:v>63</c:v>
              </c:pt>
              <c:pt idx="5">
                <c:v>107</c:v>
              </c:pt>
              <c:pt idx="6">
                <c:v>167</c:v>
              </c:pt>
              <c:pt idx="7">
                <c:v>297</c:v>
              </c:pt>
              <c:pt idx="8">
                <c:v>494</c:v>
              </c:pt>
              <c:pt idx="9">
                <c:v>716</c:v>
              </c:pt>
              <c:pt idx="10">
                <c:v>803</c:v>
              </c:pt>
              <c:pt idx="11">
                <c:v>1014</c:v>
              </c:pt>
              <c:pt idx="12">
                <c:v>1025</c:v>
              </c:pt>
              <c:pt idx="13">
                <c:v>699</c:v>
              </c:pt>
              <c:pt idx="14">
                <c:v>429</c:v>
              </c:pt>
              <c:pt idx="15">
                <c:v>277</c:v>
              </c:pt>
              <c:pt idx="16">
                <c:v>151</c:v>
              </c:pt>
              <c:pt idx="17">
                <c:v>66</c:v>
              </c:pt>
              <c:pt idx="18">
                <c:v>17</c:v>
              </c:pt>
              <c:pt idx="19">
                <c:v>4</c:v>
              </c:pt>
            </c:numLit>
          </c:val>
        </c:ser>
        <c:ser>
          <c:idx val="6"/>
          <c:order val="6"/>
          <c:tx>
            <c:v>2010</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15</c:v>
              </c:pt>
              <c:pt idx="1">
                <c:v>1</c:v>
              </c:pt>
              <c:pt idx="2">
                <c:v>83</c:v>
              </c:pt>
              <c:pt idx="3">
                <c:v>107</c:v>
              </c:pt>
              <c:pt idx="4">
                <c:v>78</c:v>
              </c:pt>
              <c:pt idx="5">
                <c:v>117</c:v>
              </c:pt>
              <c:pt idx="6">
                <c:v>193</c:v>
              </c:pt>
              <c:pt idx="7">
                <c:v>275</c:v>
              </c:pt>
              <c:pt idx="8">
                <c:v>493</c:v>
              </c:pt>
              <c:pt idx="9">
                <c:v>698</c:v>
              </c:pt>
              <c:pt idx="10">
                <c:v>879</c:v>
              </c:pt>
              <c:pt idx="11">
                <c:v>947</c:v>
              </c:pt>
              <c:pt idx="12">
                <c:v>948</c:v>
              </c:pt>
              <c:pt idx="13">
                <c:v>697</c:v>
              </c:pt>
              <c:pt idx="14">
                <c:v>430</c:v>
              </c:pt>
              <c:pt idx="15">
                <c:v>275</c:v>
              </c:pt>
              <c:pt idx="16">
                <c:v>134</c:v>
              </c:pt>
              <c:pt idx="17">
                <c:v>61</c:v>
              </c:pt>
              <c:pt idx="18">
                <c:v>15</c:v>
              </c:pt>
              <c:pt idx="19">
                <c:v>4</c:v>
              </c:pt>
            </c:numLit>
          </c:val>
        </c:ser>
        <c:ser>
          <c:idx val="7"/>
          <c:order val="7"/>
          <c:tx>
            <c:v>2011</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11</c:v>
              </c:pt>
              <c:pt idx="1">
                <c:v>4</c:v>
              </c:pt>
              <c:pt idx="2">
                <c:v>102</c:v>
              </c:pt>
              <c:pt idx="3">
                <c:v>130</c:v>
              </c:pt>
              <c:pt idx="4">
                <c:v>89</c:v>
              </c:pt>
              <c:pt idx="5">
                <c:v>177</c:v>
              </c:pt>
              <c:pt idx="6">
                <c:v>249</c:v>
              </c:pt>
              <c:pt idx="7">
                <c:v>357</c:v>
              </c:pt>
              <c:pt idx="8">
                <c:v>638</c:v>
              </c:pt>
              <c:pt idx="9">
                <c:v>869</c:v>
              </c:pt>
              <c:pt idx="10">
                <c:v>1037</c:v>
              </c:pt>
              <c:pt idx="11">
                <c:v>1162</c:v>
              </c:pt>
              <c:pt idx="12">
                <c:v>1230</c:v>
              </c:pt>
              <c:pt idx="13">
                <c:v>963</c:v>
              </c:pt>
              <c:pt idx="14">
                <c:v>666</c:v>
              </c:pt>
              <c:pt idx="15">
                <c:v>412</c:v>
              </c:pt>
              <c:pt idx="16">
                <c:v>253</c:v>
              </c:pt>
              <c:pt idx="17">
                <c:v>101</c:v>
              </c:pt>
              <c:pt idx="18">
                <c:v>17</c:v>
              </c:pt>
              <c:pt idx="19">
                <c:v>4</c:v>
              </c:pt>
            </c:numLit>
          </c:val>
        </c:ser>
        <c:dLbls>
          <c:showLegendKey val="0"/>
          <c:showVal val="0"/>
          <c:showCatName val="0"/>
          <c:showSerName val="0"/>
          <c:showPercent val="0"/>
          <c:showBubbleSize val="0"/>
        </c:dLbls>
        <c:gapWidth val="150"/>
        <c:axId val="33420032"/>
        <c:axId val="33421568"/>
      </c:barChart>
      <c:catAx>
        <c:axId val="33420032"/>
        <c:scaling>
          <c:orientation val="minMax"/>
        </c:scaling>
        <c:delete val="0"/>
        <c:axPos val="b"/>
        <c:majorTickMark val="none"/>
        <c:minorTickMark val="none"/>
        <c:tickLblPos val="nextTo"/>
        <c:crossAx val="33421568"/>
        <c:crosses val="autoZero"/>
        <c:auto val="1"/>
        <c:lblAlgn val="ctr"/>
        <c:lblOffset val="100"/>
        <c:noMultiLvlLbl val="0"/>
      </c:catAx>
      <c:valAx>
        <c:axId val="33421568"/>
        <c:scaling>
          <c:orientation val="minMax"/>
        </c:scaling>
        <c:delete val="0"/>
        <c:axPos val="l"/>
        <c:majorGridlines/>
        <c:numFmt formatCode="General" sourceLinked="1"/>
        <c:majorTickMark val="none"/>
        <c:minorTickMark val="none"/>
        <c:tickLblPos val="nextTo"/>
        <c:crossAx val="33420032"/>
        <c:crosses val="autoZero"/>
        <c:crossBetween val="between"/>
      </c:valAx>
    </c:plotArea>
    <c:legend>
      <c:legendPos val="r"/>
      <c:layout/>
      <c:overlay val="0"/>
    </c:legend>
    <c:plotVisOnly val="1"/>
    <c:dispBlanksAs val="gap"/>
    <c:showDLblsOverMax val="0"/>
  </c:chart>
  <c:externalData r:id="rId1">
    <c:autoUpdate val="0"/>
  </c:externalData>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A0F64-C229-4880-BF42-E7E5C94C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2015-05-22T06:50:00Z</dcterms:created>
  <dcterms:modified xsi:type="dcterms:W3CDTF">2015-06-03T02:12:00Z</dcterms:modified>
</cp:coreProperties>
</file>