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2935B" w14:textId="77777777" w:rsidR="003D43DE" w:rsidRPr="00746E3F" w:rsidRDefault="003D43DE" w:rsidP="00444C96">
      <w:pPr>
        <w:rPr>
          <w:b/>
          <w:bCs/>
        </w:rPr>
      </w:pPr>
      <w:r w:rsidRPr="00746E3F">
        <w:rPr>
          <w:b/>
          <w:bCs/>
        </w:rPr>
        <w:t>PUBLIC SUMMARY DOCUMENT</w:t>
      </w:r>
    </w:p>
    <w:p w14:paraId="013BC0C3" w14:textId="7BA0BEC2" w:rsidR="003D43DE" w:rsidRPr="005811E9" w:rsidRDefault="003D43DE" w:rsidP="00444C96">
      <w:r w:rsidRPr="005811E9">
        <w:rPr>
          <w:b/>
        </w:rPr>
        <w:t>Product:</w:t>
      </w:r>
      <w:r w:rsidR="00467644">
        <w:t xml:space="preserve"> </w:t>
      </w:r>
      <w:r w:rsidR="00D4437C">
        <w:t xml:space="preserve"> </w:t>
      </w:r>
      <w:r w:rsidR="005811E9" w:rsidRPr="005811E9">
        <w:t xml:space="preserve">Insulin degludec, </w:t>
      </w:r>
      <w:r w:rsidR="001D713F">
        <w:t>i</w:t>
      </w:r>
      <w:r w:rsidR="001D713F" w:rsidRPr="005811E9">
        <w:t xml:space="preserve">njection </w:t>
      </w:r>
      <w:r w:rsidR="001D713F">
        <w:t>s</w:t>
      </w:r>
      <w:r w:rsidR="001D713F" w:rsidRPr="005811E9">
        <w:t>olution</w:t>
      </w:r>
      <w:r w:rsidR="005811E9" w:rsidRPr="005811E9">
        <w:t>, 100</w:t>
      </w:r>
      <w:r w:rsidR="00467644">
        <w:t xml:space="preserve"> </w:t>
      </w:r>
      <w:r w:rsidR="005811E9" w:rsidRPr="005811E9">
        <w:t>IU</w:t>
      </w:r>
      <w:r w:rsidR="00467644">
        <w:t>/mL</w:t>
      </w:r>
      <w:r w:rsidR="005811E9">
        <w:t xml:space="preserve"> a</w:t>
      </w:r>
      <w:r w:rsidR="005811E9" w:rsidRPr="005811E9">
        <w:t>nd 200</w:t>
      </w:r>
      <w:r w:rsidR="00467644">
        <w:t xml:space="preserve"> IU/mL</w:t>
      </w:r>
      <w:r w:rsidR="005811E9" w:rsidRPr="005811E9">
        <w:t xml:space="preserve">, </w:t>
      </w:r>
      <w:r w:rsidR="005811E9">
        <w:t>Tresiba</w:t>
      </w:r>
      <w:r w:rsidR="001D713F">
        <w:t xml:space="preserve"> </w:t>
      </w:r>
      <w:r w:rsidR="005811E9" w:rsidRPr="005811E9">
        <w:t>Flextouch®</w:t>
      </w:r>
      <w:r w:rsidR="005811E9">
        <w:t xml:space="preserve"> a</w:t>
      </w:r>
      <w:r w:rsidR="005811E9" w:rsidRPr="005811E9">
        <w:t>nd Tresiba Penfill®</w:t>
      </w:r>
    </w:p>
    <w:p w14:paraId="6C5E9CE1" w14:textId="77777777" w:rsidR="003D43DE" w:rsidRPr="008E3661" w:rsidRDefault="003D43DE" w:rsidP="00444C96">
      <w:pPr>
        <w:rPr>
          <w:bCs/>
        </w:rPr>
      </w:pPr>
      <w:r w:rsidRPr="00746E3F">
        <w:rPr>
          <w:b/>
          <w:bCs/>
        </w:rPr>
        <w:t>Sponsor:</w:t>
      </w:r>
      <w:r w:rsidR="008E3661">
        <w:rPr>
          <w:b/>
          <w:bCs/>
        </w:rPr>
        <w:t xml:space="preserve"> </w:t>
      </w:r>
      <w:r w:rsidR="00D4437C">
        <w:rPr>
          <w:b/>
          <w:bCs/>
        </w:rPr>
        <w:t xml:space="preserve"> </w:t>
      </w:r>
      <w:r w:rsidR="005811E9" w:rsidRPr="005811E9">
        <w:t>Novo Nordisk</w:t>
      </w:r>
      <w:r w:rsidR="00796356">
        <w:rPr>
          <w:bCs/>
        </w:rPr>
        <w:t xml:space="preserve"> </w:t>
      </w:r>
      <w:r w:rsidR="001D713F">
        <w:rPr>
          <w:bCs/>
        </w:rPr>
        <w:t>Pharmaceuticals Pty Ltd</w:t>
      </w:r>
    </w:p>
    <w:p w14:paraId="04B54BBE" w14:textId="77777777" w:rsidR="002A57B9" w:rsidRPr="00FE06AB" w:rsidRDefault="003D43DE" w:rsidP="00444C96">
      <w:pPr>
        <w:rPr>
          <w:bCs/>
        </w:rPr>
      </w:pPr>
      <w:r w:rsidRPr="00746E3F">
        <w:rPr>
          <w:b/>
          <w:bCs/>
        </w:rPr>
        <w:t>Date of PBAC Consideration:</w:t>
      </w:r>
      <w:r w:rsidR="008E3661">
        <w:rPr>
          <w:b/>
          <w:bCs/>
        </w:rPr>
        <w:t xml:space="preserve"> </w:t>
      </w:r>
      <w:r w:rsidR="009F02A4">
        <w:rPr>
          <w:bCs/>
        </w:rPr>
        <w:t>March 2013</w:t>
      </w:r>
    </w:p>
    <w:p w14:paraId="3A277B89" w14:textId="77777777" w:rsidR="003D43DE" w:rsidRPr="00746E3F" w:rsidRDefault="003D43DE" w:rsidP="00444C96">
      <w:pPr>
        <w:rPr>
          <w:b/>
          <w:bCs/>
        </w:rPr>
      </w:pPr>
    </w:p>
    <w:p w14:paraId="17BB0380" w14:textId="77777777" w:rsidR="002A57B9" w:rsidRDefault="002A57B9" w:rsidP="00444C96">
      <w:pPr>
        <w:rPr>
          <w:b/>
          <w:bCs/>
        </w:rPr>
      </w:pPr>
      <w:r w:rsidRPr="00746E3F">
        <w:rPr>
          <w:b/>
          <w:bCs/>
        </w:rPr>
        <w:t>1.</w:t>
      </w:r>
      <w:r w:rsidRPr="00746E3F">
        <w:rPr>
          <w:b/>
          <w:bCs/>
        </w:rPr>
        <w:tab/>
        <w:t>Purpose of Application</w:t>
      </w:r>
      <w:r w:rsidR="002C3E5F">
        <w:rPr>
          <w:b/>
          <w:bCs/>
        </w:rPr>
        <w:t xml:space="preserve"> </w:t>
      </w:r>
    </w:p>
    <w:p w14:paraId="7C81F8F9" w14:textId="77777777" w:rsidR="005811E9" w:rsidRPr="005811E9" w:rsidRDefault="005811E9" w:rsidP="00444C96">
      <w:r w:rsidRPr="005811E9">
        <w:t xml:space="preserve">The submission requested an unrestricted listing for use in the treatment of patients with type 1 or 2 diabetes mellitus. </w:t>
      </w:r>
    </w:p>
    <w:p w14:paraId="2139607F" w14:textId="77777777" w:rsidR="008E3661" w:rsidRDefault="008E3661" w:rsidP="00444C96">
      <w:pPr>
        <w:outlineLvl w:val="0"/>
      </w:pPr>
    </w:p>
    <w:p w14:paraId="31379B50" w14:textId="77777777" w:rsidR="005811E9" w:rsidRDefault="002A57B9" w:rsidP="00444C96">
      <w:pPr>
        <w:rPr>
          <w:b/>
          <w:bCs/>
        </w:rPr>
      </w:pPr>
      <w:r w:rsidRPr="00746E3F">
        <w:rPr>
          <w:b/>
          <w:bCs/>
        </w:rPr>
        <w:t>2.</w:t>
      </w:r>
      <w:r w:rsidRPr="00746E3F">
        <w:rPr>
          <w:b/>
          <w:bCs/>
        </w:rPr>
        <w:tab/>
        <w:t>Background</w:t>
      </w:r>
    </w:p>
    <w:p w14:paraId="3D4E283A" w14:textId="77777777" w:rsidR="008E3661" w:rsidRDefault="005811E9" w:rsidP="00444C96">
      <w:r w:rsidRPr="005811E9">
        <w:t xml:space="preserve">This product had not previously been considered by the PBAC. </w:t>
      </w:r>
    </w:p>
    <w:p w14:paraId="7A69FC94" w14:textId="77777777" w:rsidR="005811E9" w:rsidRDefault="005811E9" w:rsidP="00444C96"/>
    <w:p w14:paraId="4F0BACDB" w14:textId="77777777" w:rsidR="00606B5C" w:rsidRPr="002C3E5F" w:rsidRDefault="002A57B9" w:rsidP="00444C96">
      <w:pPr>
        <w:outlineLvl w:val="0"/>
        <w:rPr>
          <w:bCs/>
          <w:color w:val="FF00FF"/>
        </w:rPr>
      </w:pPr>
      <w:r w:rsidRPr="00746E3F">
        <w:rPr>
          <w:b/>
          <w:bCs/>
        </w:rPr>
        <w:t>3.</w:t>
      </w:r>
      <w:r w:rsidRPr="00746E3F">
        <w:rPr>
          <w:b/>
          <w:bCs/>
        </w:rPr>
        <w:tab/>
        <w:t>Registration Status</w:t>
      </w:r>
      <w:r w:rsidR="00A102AD">
        <w:rPr>
          <w:b/>
          <w:bCs/>
        </w:rPr>
        <w:t xml:space="preserve"> </w:t>
      </w:r>
    </w:p>
    <w:p w14:paraId="0DF32767" w14:textId="559AAE6A" w:rsidR="005811E9" w:rsidRPr="002C1A6A" w:rsidRDefault="00E42374" w:rsidP="00444C96">
      <w:r>
        <w:t>TGA status at time of PBAC consideration:</w:t>
      </w:r>
      <w:r>
        <w:t xml:space="preserve"> </w:t>
      </w:r>
      <w:r w:rsidR="001D713F">
        <w:t>The submission</w:t>
      </w:r>
      <w:r w:rsidR="001D713F" w:rsidRPr="003C5A9E">
        <w:t xml:space="preserve"> </w:t>
      </w:r>
      <w:r w:rsidR="001D713F" w:rsidRPr="001E2CDD">
        <w:t xml:space="preserve">was considered </w:t>
      </w:r>
      <w:r w:rsidR="001D713F" w:rsidRPr="003C5A9E">
        <w:t xml:space="preserve">under the TGA/PBAC parallel process. </w:t>
      </w:r>
      <w:r w:rsidR="001D713F">
        <w:t xml:space="preserve">At the time of PBAC consideration, only the Clinical Evaluation Report was available. </w:t>
      </w:r>
    </w:p>
    <w:p w14:paraId="443B45BA" w14:textId="77777777" w:rsidR="00B9246A" w:rsidRDefault="00B9246A" w:rsidP="00444C96"/>
    <w:p w14:paraId="2A21F56C" w14:textId="29A53F61" w:rsidR="00E42374" w:rsidRDefault="00E42374" w:rsidP="00444C96">
      <w:r>
        <w:t>Insulin degludec</w:t>
      </w:r>
      <w:r>
        <w:t xml:space="preserve"> </w:t>
      </w:r>
      <w:r>
        <w:t xml:space="preserve">was TGA registered in </w:t>
      </w:r>
      <w:r>
        <w:t>November 2017 to improve glycaemic control in adult patients with diabetes mellitus requiring insulin.</w:t>
      </w:r>
      <w:bookmarkStart w:id="0" w:name="_GoBack"/>
      <w:bookmarkEnd w:id="0"/>
    </w:p>
    <w:p w14:paraId="73D0ECB3" w14:textId="77777777" w:rsidR="00E42374" w:rsidRDefault="00E42374" w:rsidP="00444C96"/>
    <w:p w14:paraId="5892C135" w14:textId="1BB36795" w:rsidR="00793458" w:rsidRDefault="002A57B9" w:rsidP="00444C96">
      <w:r w:rsidRPr="00746E3F">
        <w:rPr>
          <w:b/>
          <w:bCs/>
        </w:rPr>
        <w:t>4.</w:t>
      </w:r>
      <w:r w:rsidRPr="00746E3F">
        <w:rPr>
          <w:b/>
          <w:bCs/>
        </w:rPr>
        <w:tab/>
        <w:t>Listing Requested and PBAC’s View</w:t>
      </w:r>
      <w:r w:rsidR="002C3E5F">
        <w:rPr>
          <w:b/>
          <w:bCs/>
        </w:rPr>
        <w:t xml:space="preserve"> </w:t>
      </w:r>
    </w:p>
    <w:p w14:paraId="110AE2C7" w14:textId="4C99814A" w:rsidR="00793458" w:rsidRDefault="00793458" w:rsidP="00444C96">
      <w:pPr>
        <w:rPr>
          <w:b/>
        </w:rPr>
      </w:pPr>
    </w:p>
    <w:p w14:paraId="442DE79F" w14:textId="77777777" w:rsidR="001D713F" w:rsidRPr="001E2CDD" w:rsidRDefault="001D713F" w:rsidP="00444C96">
      <w:pPr>
        <w:rPr>
          <w:bCs/>
          <w:color w:val="000000"/>
        </w:rPr>
      </w:pPr>
      <w:r>
        <w:rPr>
          <w:bCs/>
          <w:color w:val="000000"/>
        </w:rPr>
        <w:t>The submission requested an unrestricted Section 85 listing.</w:t>
      </w:r>
    </w:p>
    <w:p w14:paraId="301BA9FC" w14:textId="77777777" w:rsidR="001D713F" w:rsidRDefault="001D713F" w:rsidP="00444C96">
      <w:pPr>
        <w:rPr>
          <w:b/>
          <w:bCs/>
          <w:color w:val="000000"/>
        </w:rPr>
      </w:pPr>
    </w:p>
    <w:p w14:paraId="3054FF9D" w14:textId="77777777" w:rsidR="003D43DE" w:rsidRPr="009867C1" w:rsidRDefault="002A57B9" w:rsidP="00444C96">
      <w:pPr>
        <w:rPr>
          <w:b/>
          <w:bCs/>
          <w:color w:val="FF00FF"/>
        </w:rPr>
      </w:pPr>
      <w:r w:rsidRPr="00746E3F">
        <w:rPr>
          <w:b/>
          <w:bCs/>
          <w:color w:val="000000"/>
        </w:rPr>
        <w:t>5.</w:t>
      </w:r>
      <w:r w:rsidRPr="00746E3F">
        <w:rPr>
          <w:b/>
          <w:bCs/>
          <w:color w:val="000000"/>
        </w:rPr>
        <w:tab/>
        <w:t>Clinical Place for the Proposed Therapy</w:t>
      </w:r>
      <w:r w:rsidR="00B80A12">
        <w:rPr>
          <w:b/>
          <w:bCs/>
          <w:color w:val="FF00FF"/>
        </w:rPr>
        <w:t xml:space="preserve"> </w:t>
      </w:r>
    </w:p>
    <w:p w14:paraId="47DF066C" w14:textId="3801DCA2" w:rsidR="00793458" w:rsidRPr="00A61471" w:rsidRDefault="003563A7" w:rsidP="00444C96">
      <w:r>
        <w:t>Insulin degludec is</w:t>
      </w:r>
      <w:r w:rsidR="00793458">
        <w:t xml:space="preserve"> an u</w:t>
      </w:r>
      <w:r w:rsidR="00793458" w:rsidRPr="00A61471">
        <w:t>ltra-long acting basal insulin to be used in combination with short and/or rapid acting insulin in patients with type 1 diabetes and in combination with oral anti</w:t>
      </w:r>
      <w:r w:rsidR="00793458">
        <w:noBreakHyphen/>
      </w:r>
      <w:r w:rsidR="00793458" w:rsidRPr="00A61471">
        <w:t xml:space="preserve">diabetic medication and/or rapid acting insulin in </w:t>
      </w:r>
      <w:r w:rsidR="00793458">
        <w:t xml:space="preserve">patients with </w:t>
      </w:r>
      <w:r>
        <w:t>type 2.  Insulin d</w:t>
      </w:r>
      <w:r w:rsidR="00793458" w:rsidRPr="00A61471">
        <w:t xml:space="preserve">egludec </w:t>
      </w:r>
      <w:r w:rsidR="001D713F">
        <w:t>wa</w:t>
      </w:r>
      <w:r w:rsidR="001D713F" w:rsidRPr="00A61471">
        <w:t xml:space="preserve">s </w:t>
      </w:r>
      <w:r w:rsidR="00793458" w:rsidRPr="00A61471">
        <w:t>proposed as a replacement therapy for</w:t>
      </w:r>
      <w:r w:rsidR="00793458">
        <w:t xml:space="preserve"> other basal insulin’s: </w:t>
      </w:r>
      <w:r w:rsidR="00793458" w:rsidRPr="00A61471">
        <w:t>glargine, detemir and isophane in type 1 patients and glargine and isophane in type 2 patients.</w:t>
      </w:r>
    </w:p>
    <w:p w14:paraId="520635A6" w14:textId="77777777" w:rsidR="00467644" w:rsidRDefault="00467644" w:rsidP="00444C96">
      <w:pPr>
        <w:rPr>
          <w:rFonts w:ascii="Arial" w:hAnsi="Arial"/>
        </w:rPr>
      </w:pPr>
    </w:p>
    <w:p w14:paraId="53450808" w14:textId="49CD8B38" w:rsidR="00467644" w:rsidRPr="00467644" w:rsidRDefault="00467644" w:rsidP="00444C96">
      <w:r w:rsidRPr="00467644">
        <w:t xml:space="preserve">While the submission did not clearly describe the proposed treatment algorithm for type 1 diabetes, </w:t>
      </w:r>
      <w:r w:rsidR="001D713F">
        <w:t xml:space="preserve">the PBAC considered </w:t>
      </w:r>
      <w:r w:rsidRPr="00467644">
        <w:t xml:space="preserve">it </w:t>
      </w:r>
      <w:r w:rsidR="001D713F">
        <w:t>wa</w:t>
      </w:r>
      <w:r w:rsidR="001D713F" w:rsidRPr="00467644">
        <w:t xml:space="preserve">s </w:t>
      </w:r>
      <w:r w:rsidRPr="00467644">
        <w:t>likely to be used in patients transferring from other basal insulins, in combination with bolus insulin. In type 2 diabetes, the product wa</w:t>
      </w:r>
      <w:r>
        <w:t xml:space="preserve">s anticipated </w:t>
      </w:r>
      <w:r w:rsidR="00E72455">
        <w:t xml:space="preserve">to be used alongside currently listed insulins and after </w:t>
      </w:r>
      <w:r w:rsidRPr="00467644">
        <w:t xml:space="preserve">metformin and/or a sulfonylurea.  </w:t>
      </w:r>
    </w:p>
    <w:p w14:paraId="1A51F5DF" w14:textId="77777777" w:rsidR="00793458" w:rsidRDefault="00793458" w:rsidP="00444C96"/>
    <w:p w14:paraId="5552331E" w14:textId="77777777" w:rsidR="002A57B9" w:rsidRPr="00B80A12" w:rsidRDefault="002A57B9" w:rsidP="00444C96">
      <w:pPr>
        <w:rPr>
          <w:b/>
          <w:bCs/>
          <w:color w:val="FF00FF"/>
        </w:rPr>
      </w:pPr>
      <w:r w:rsidRPr="00746E3F">
        <w:rPr>
          <w:b/>
          <w:bCs/>
        </w:rPr>
        <w:t>6.</w:t>
      </w:r>
      <w:r w:rsidRPr="00746E3F">
        <w:rPr>
          <w:b/>
          <w:bCs/>
        </w:rPr>
        <w:tab/>
        <w:t>Comparator</w:t>
      </w:r>
      <w:r w:rsidR="00B80A12">
        <w:rPr>
          <w:b/>
          <w:bCs/>
        </w:rPr>
        <w:t xml:space="preserve"> </w:t>
      </w:r>
    </w:p>
    <w:p w14:paraId="4D7FEE33" w14:textId="77777777" w:rsidR="00793458" w:rsidRPr="00793458" w:rsidRDefault="00793458" w:rsidP="00444C96">
      <w:pPr>
        <w:rPr>
          <w:bCs/>
        </w:rPr>
      </w:pPr>
      <w:r w:rsidRPr="00793458">
        <w:rPr>
          <w:bCs/>
        </w:rPr>
        <w:t>The submission nominated insulin glargine as the main comparator as this is the most commonly used basal insulin. The PBAC considered that this was reasonable.</w:t>
      </w:r>
    </w:p>
    <w:p w14:paraId="3FE1EE5F" w14:textId="77777777" w:rsidR="00902081" w:rsidRDefault="00902081" w:rsidP="00444C96"/>
    <w:p w14:paraId="5982962A" w14:textId="77777777" w:rsidR="00FF2093" w:rsidRPr="009867C1" w:rsidRDefault="002A57B9" w:rsidP="00444C96">
      <w:pPr>
        <w:rPr>
          <w:b/>
          <w:bCs/>
          <w:color w:val="FF00FF"/>
        </w:rPr>
      </w:pPr>
      <w:r w:rsidRPr="00221B4D">
        <w:rPr>
          <w:b/>
          <w:bCs/>
        </w:rPr>
        <w:t>7.</w:t>
      </w:r>
      <w:r w:rsidRPr="00221B4D">
        <w:rPr>
          <w:b/>
          <w:bCs/>
        </w:rPr>
        <w:tab/>
        <w:t>Clinical Trials</w:t>
      </w:r>
      <w:r w:rsidR="009467CC">
        <w:rPr>
          <w:b/>
          <w:bCs/>
        </w:rPr>
        <w:t xml:space="preserve"> </w:t>
      </w:r>
    </w:p>
    <w:p w14:paraId="7878CAC1" w14:textId="77777777" w:rsidR="00546FD0" w:rsidRDefault="00467644" w:rsidP="00444C96">
      <w:r>
        <w:t xml:space="preserve">The submission presented seven </w:t>
      </w:r>
      <w:r w:rsidR="001D713F">
        <w:t xml:space="preserve">head-to-head </w:t>
      </w:r>
      <w:r>
        <w:t>randomised trials</w:t>
      </w:r>
      <w:r w:rsidR="001D713F">
        <w:t xml:space="preserve"> comparing insulin degludec and insulin glargine:  </w:t>
      </w:r>
      <w:r w:rsidR="001D713F" w:rsidRPr="001E2CDD">
        <w:t>NN1250-3583 and NN1250-3770 (Type 1 basal bolus), NN1250-3579, NN1250-3672, NN1250-3586</w:t>
      </w:r>
      <w:r w:rsidR="003B3D30" w:rsidRPr="001E2CDD">
        <w:t xml:space="preserve"> and NN1250-3668 </w:t>
      </w:r>
      <w:r w:rsidR="003B3D30">
        <w:t>(</w:t>
      </w:r>
      <w:r w:rsidR="003B3D30" w:rsidRPr="001E2CDD">
        <w:t>Type 2 basal oral) and NN1250-3582 (Type 2 basal bolus plus orals)</w:t>
      </w:r>
      <w:r w:rsidR="001D713F" w:rsidRPr="003B3D30">
        <w:t>.</w:t>
      </w:r>
      <w:r w:rsidR="001D713F">
        <w:t xml:space="preserve"> </w:t>
      </w:r>
    </w:p>
    <w:p w14:paraId="520541D1" w14:textId="77777777" w:rsidR="00546FD0" w:rsidRDefault="00546FD0" w:rsidP="00444C96"/>
    <w:p w14:paraId="46EF6684" w14:textId="4D0747DF" w:rsidR="00467644" w:rsidRDefault="001D713F" w:rsidP="00444C96">
      <w:r>
        <w:t xml:space="preserve"> </w:t>
      </w:r>
      <w:r w:rsidR="003B3D30">
        <w:t>Details are presented in t</w:t>
      </w:r>
      <w:r w:rsidR="009867C1">
        <w:t>he table below.</w:t>
      </w:r>
    </w:p>
    <w:p w14:paraId="693CB15D" w14:textId="77777777" w:rsidR="00417057" w:rsidRDefault="00417057" w:rsidP="00444C96"/>
    <w:p w14:paraId="2D2D24BF" w14:textId="77777777" w:rsidR="00546FD0" w:rsidRPr="00EE12C5" w:rsidRDefault="00546FD0" w:rsidP="00444C9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900"/>
        <w:gridCol w:w="4214"/>
        <w:gridCol w:w="3026"/>
      </w:tblGrid>
      <w:tr w:rsidR="00FF2093" w14:paraId="67AC2B40" w14:textId="77777777" w:rsidTr="00796356">
        <w:trPr>
          <w:cantSplit/>
          <w:tblHeader/>
        </w:trPr>
        <w:tc>
          <w:tcPr>
            <w:tcW w:w="1900" w:type="dxa"/>
          </w:tcPr>
          <w:p w14:paraId="586D2DB3" w14:textId="77777777" w:rsidR="00FF2093" w:rsidRDefault="00FF2093" w:rsidP="00444C96">
            <w:pPr>
              <w:rPr>
                <w:rFonts w:ascii="Arial" w:hAnsi="Arial"/>
                <w:b/>
                <w:sz w:val="20"/>
              </w:rPr>
            </w:pPr>
            <w:r>
              <w:rPr>
                <w:rFonts w:ascii="Arial" w:hAnsi="Arial"/>
                <w:b/>
                <w:sz w:val="20"/>
              </w:rPr>
              <w:t>Trial ID/ First author</w:t>
            </w:r>
          </w:p>
        </w:tc>
        <w:tc>
          <w:tcPr>
            <w:tcW w:w="4214" w:type="dxa"/>
          </w:tcPr>
          <w:p w14:paraId="6F7F21F6" w14:textId="77777777" w:rsidR="00FF2093" w:rsidRDefault="00FF2093" w:rsidP="00444C96">
            <w:pPr>
              <w:rPr>
                <w:rFonts w:ascii="Arial" w:hAnsi="Arial"/>
                <w:b/>
                <w:sz w:val="20"/>
              </w:rPr>
            </w:pPr>
            <w:r>
              <w:rPr>
                <w:rFonts w:ascii="Arial" w:hAnsi="Arial"/>
                <w:b/>
                <w:sz w:val="20"/>
              </w:rPr>
              <w:t>Protocol title/ Publication title</w:t>
            </w:r>
          </w:p>
        </w:tc>
        <w:tc>
          <w:tcPr>
            <w:tcW w:w="3026" w:type="dxa"/>
          </w:tcPr>
          <w:p w14:paraId="7B46D6D2" w14:textId="77777777" w:rsidR="00FF2093" w:rsidRDefault="00FF2093" w:rsidP="00444C96">
            <w:pPr>
              <w:rPr>
                <w:rFonts w:ascii="Arial" w:hAnsi="Arial"/>
                <w:b/>
                <w:sz w:val="20"/>
              </w:rPr>
            </w:pPr>
            <w:r>
              <w:rPr>
                <w:rFonts w:ascii="Arial" w:hAnsi="Arial"/>
                <w:b/>
                <w:sz w:val="20"/>
              </w:rPr>
              <w:t>Publication citation</w:t>
            </w:r>
          </w:p>
        </w:tc>
      </w:tr>
      <w:tr w:rsidR="003563A7" w14:paraId="6CC6F56E" w14:textId="77777777" w:rsidTr="00796356">
        <w:trPr>
          <w:cantSplit/>
          <w:trHeight w:val="199"/>
        </w:trPr>
        <w:tc>
          <w:tcPr>
            <w:tcW w:w="1900" w:type="dxa"/>
          </w:tcPr>
          <w:p w14:paraId="530424EB" w14:textId="77777777" w:rsidR="003563A7" w:rsidRDefault="003563A7" w:rsidP="00444C96">
            <w:pPr>
              <w:rPr>
                <w:rFonts w:ascii="Arial" w:hAnsi="Arial"/>
                <w:sz w:val="20"/>
              </w:rPr>
            </w:pPr>
            <w:r>
              <w:rPr>
                <w:rFonts w:ascii="Arial" w:hAnsi="Arial"/>
                <w:sz w:val="20"/>
              </w:rPr>
              <w:t>Trial NN1250-3583</w:t>
            </w:r>
            <w:r w:rsidR="009867C1">
              <w:rPr>
                <w:rFonts w:ascii="Arial" w:hAnsi="Arial"/>
                <w:sz w:val="20"/>
              </w:rPr>
              <w:t xml:space="preserve"> Heller et al.</w:t>
            </w:r>
          </w:p>
        </w:tc>
        <w:tc>
          <w:tcPr>
            <w:tcW w:w="4214" w:type="dxa"/>
          </w:tcPr>
          <w:p w14:paraId="61093013" w14:textId="77777777" w:rsidR="003563A7" w:rsidRDefault="003563A7" w:rsidP="00444C96">
            <w:pPr>
              <w:rPr>
                <w:rFonts w:ascii="Arial" w:hAnsi="Arial"/>
                <w:sz w:val="20"/>
              </w:rPr>
            </w:pPr>
          </w:p>
          <w:p w14:paraId="3886278A" w14:textId="77777777" w:rsidR="003563A7" w:rsidRPr="00932B3F" w:rsidRDefault="003563A7" w:rsidP="00444C96">
            <w:pPr>
              <w:rPr>
                <w:rFonts w:ascii="Arial" w:hAnsi="Arial"/>
                <w:sz w:val="20"/>
              </w:rPr>
            </w:pPr>
            <w:r w:rsidRPr="0088184A">
              <w:rPr>
                <w:rFonts w:ascii="Arial" w:hAnsi="Arial"/>
                <w:sz w:val="20"/>
              </w:rPr>
              <w:t xml:space="preserve">Insulin </w:t>
            </w:r>
            <w:r>
              <w:rPr>
                <w:rFonts w:ascii="Arial" w:hAnsi="Arial"/>
                <w:sz w:val="20"/>
              </w:rPr>
              <w:t>degludec</w:t>
            </w:r>
            <w:r w:rsidRPr="0088184A">
              <w:rPr>
                <w:rFonts w:ascii="Arial" w:hAnsi="Arial"/>
                <w:sz w:val="20"/>
              </w:rPr>
              <w:t>, an ultra-long</w:t>
            </w:r>
            <w:r>
              <w:rPr>
                <w:rFonts w:ascii="Arial" w:hAnsi="Arial"/>
                <w:sz w:val="20"/>
              </w:rPr>
              <w:t xml:space="preserve"> </w:t>
            </w:r>
            <w:r w:rsidRPr="0088184A">
              <w:rPr>
                <w:rFonts w:ascii="Arial" w:hAnsi="Arial"/>
                <w:sz w:val="20"/>
              </w:rPr>
              <w:t>acting basal insulin, versus insulin glargine in basal-bolus treatment with mealtime insulin aspart in type 1 diabetes (BEGIN Basal-Bolus Type 1): a phase 3, randomised, open-label, treat-to-target non-inferiority trial</w:t>
            </w:r>
          </w:p>
        </w:tc>
        <w:tc>
          <w:tcPr>
            <w:tcW w:w="3026" w:type="dxa"/>
          </w:tcPr>
          <w:p w14:paraId="0DA79C6C" w14:textId="77777777" w:rsidR="009867C1" w:rsidRDefault="009867C1" w:rsidP="00444C96">
            <w:pPr>
              <w:rPr>
                <w:rFonts w:ascii="Arial" w:hAnsi="Arial"/>
                <w:i/>
                <w:sz w:val="20"/>
              </w:rPr>
            </w:pPr>
          </w:p>
          <w:p w14:paraId="7228930E" w14:textId="77777777" w:rsidR="003563A7" w:rsidRPr="00E92CB5" w:rsidRDefault="003563A7" w:rsidP="00444C96">
            <w:pPr>
              <w:rPr>
                <w:rFonts w:ascii="Arial" w:hAnsi="Arial"/>
                <w:b/>
                <w:sz w:val="20"/>
              </w:rPr>
            </w:pPr>
            <w:r>
              <w:rPr>
                <w:rFonts w:ascii="Arial" w:hAnsi="Arial"/>
                <w:i/>
                <w:sz w:val="20"/>
              </w:rPr>
              <w:t xml:space="preserve">The Lancet; </w:t>
            </w:r>
            <w:r w:rsidRPr="00E92CB5">
              <w:rPr>
                <w:rFonts w:ascii="Arial" w:hAnsi="Arial"/>
                <w:sz w:val="20"/>
              </w:rPr>
              <w:t xml:space="preserve">2012, 379(9825): 1489-1497 </w:t>
            </w:r>
          </w:p>
          <w:p w14:paraId="199E664A" w14:textId="77777777" w:rsidR="003563A7" w:rsidRDefault="003563A7" w:rsidP="00444C96">
            <w:pPr>
              <w:rPr>
                <w:rFonts w:ascii="Arial" w:hAnsi="Arial"/>
                <w:b/>
                <w:sz w:val="20"/>
              </w:rPr>
            </w:pPr>
          </w:p>
        </w:tc>
      </w:tr>
      <w:tr w:rsidR="003563A7" w14:paraId="318B34C3" w14:textId="77777777" w:rsidTr="00B149E8">
        <w:trPr>
          <w:cantSplit/>
        </w:trPr>
        <w:tc>
          <w:tcPr>
            <w:tcW w:w="1900" w:type="dxa"/>
          </w:tcPr>
          <w:p w14:paraId="27C260EB" w14:textId="77777777" w:rsidR="003563A7" w:rsidRDefault="003563A7" w:rsidP="00444C96">
            <w:pPr>
              <w:rPr>
                <w:rFonts w:ascii="Arial" w:hAnsi="Arial"/>
                <w:sz w:val="20"/>
              </w:rPr>
            </w:pPr>
            <w:r>
              <w:rPr>
                <w:rFonts w:ascii="Arial" w:hAnsi="Arial"/>
                <w:sz w:val="20"/>
              </w:rPr>
              <w:t>Trial NN1250-3770</w:t>
            </w:r>
          </w:p>
        </w:tc>
        <w:tc>
          <w:tcPr>
            <w:tcW w:w="4214" w:type="dxa"/>
          </w:tcPr>
          <w:p w14:paraId="670CD6D5" w14:textId="77777777" w:rsidR="003563A7" w:rsidRPr="00F43FEB" w:rsidRDefault="003563A7" w:rsidP="00444C96">
            <w:pPr>
              <w:rPr>
                <w:rFonts w:ascii="Arial" w:hAnsi="Arial"/>
                <w:sz w:val="20"/>
              </w:rPr>
            </w:pPr>
            <w:r>
              <w:rPr>
                <w:rFonts w:ascii="Arial" w:hAnsi="Arial"/>
                <w:sz w:val="20"/>
              </w:rPr>
              <w:t>A 26-week trial investigating the dosing flexibility, efficacy and safety of NN1250 in subjects with type 1 Diabetes with a 26-week extension.</w:t>
            </w:r>
          </w:p>
        </w:tc>
        <w:tc>
          <w:tcPr>
            <w:tcW w:w="3026" w:type="dxa"/>
          </w:tcPr>
          <w:p w14:paraId="729AA3CF" w14:textId="77777777" w:rsidR="003563A7" w:rsidRDefault="003563A7" w:rsidP="00444C96">
            <w:pPr>
              <w:rPr>
                <w:rFonts w:ascii="Arial" w:hAnsi="Arial"/>
                <w:b/>
                <w:sz w:val="20"/>
              </w:rPr>
            </w:pPr>
            <w:r>
              <w:rPr>
                <w:rFonts w:ascii="Arial" w:hAnsi="Arial"/>
                <w:sz w:val="20"/>
              </w:rPr>
              <w:t xml:space="preserve">Clinical trials.gov ID: </w:t>
            </w:r>
            <w:r w:rsidRPr="008A5C91">
              <w:rPr>
                <w:rFonts w:ascii="Arial" w:hAnsi="Arial"/>
                <w:sz w:val="20"/>
              </w:rPr>
              <w:t>NCT01079234</w:t>
            </w:r>
          </w:p>
        </w:tc>
      </w:tr>
      <w:tr w:rsidR="003563A7" w14:paraId="57245174" w14:textId="77777777" w:rsidTr="00B149E8">
        <w:trPr>
          <w:cantSplit/>
        </w:trPr>
        <w:tc>
          <w:tcPr>
            <w:tcW w:w="1900" w:type="dxa"/>
          </w:tcPr>
          <w:p w14:paraId="4473DA5B" w14:textId="77777777" w:rsidR="003563A7" w:rsidRDefault="003563A7" w:rsidP="00444C96">
            <w:pPr>
              <w:rPr>
                <w:rFonts w:ascii="Arial" w:hAnsi="Arial"/>
                <w:sz w:val="20"/>
              </w:rPr>
            </w:pPr>
            <w:r>
              <w:rPr>
                <w:rFonts w:ascii="Arial" w:hAnsi="Arial"/>
                <w:sz w:val="20"/>
              </w:rPr>
              <w:t>Trial NN1250-3582</w:t>
            </w:r>
            <w:r w:rsidR="009867C1">
              <w:rPr>
                <w:rFonts w:ascii="Arial" w:hAnsi="Arial"/>
                <w:sz w:val="20"/>
              </w:rPr>
              <w:t xml:space="preserve"> Garber et al</w:t>
            </w:r>
          </w:p>
        </w:tc>
        <w:tc>
          <w:tcPr>
            <w:tcW w:w="4214" w:type="dxa"/>
          </w:tcPr>
          <w:p w14:paraId="2B8CB3C5" w14:textId="77777777" w:rsidR="003563A7" w:rsidRDefault="003563A7" w:rsidP="00444C96">
            <w:pPr>
              <w:rPr>
                <w:rFonts w:ascii="Arial" w:hAnsi="Arial"/>
                <w:sz w:val="20"/>
              </w:rPr>
            </w:pPr>
          </w:p>
          <w:p w14:paraId="4FD956D2" w14:textId="77777777" w:rsidR="003563A7" w:rsidRDefault="003563A7" w:rsidP="00444C96">
            <w:pPr>
              <w:rPr>
                <w:rFonts w:ascii="Arial" w:hAnsi="Arial"/>
                <w:sz w:val="20"/>
              </w:rPr>
            </w:pPr>
            <w:r w:rsidRPr="00314776">
              <w:rPr>
                <w:rFonts w:ascii="Arial" w:hAnsi="Arial"/>
                <w:sz w:val="20"/>
              </w:rPr>
              <w:t xml:space="preserve">Insulin </w:t>
            </w:r>
            <w:r>
              <w:rPr>
                <w:rFonts w:ascii="Arial" w:hAnsi="Arial"/>
                <w:sz w:val="20"/>
              </w:rPr>
              <w:t>degludec</w:t>
            </w:r>
            <w:r w:rsidRPr="00314776">
              <w:rPr>
                <w:rFonts w:ascii="Arial" w:hAnsi="Arial"/>
                <w:sz w:val="20"/>
              </w:rPr>
              <w:t xml:space="preserve"> versus insulin glargine in basal-bolus therapy with mealtime insulin aspart in type 2 diabetes: a 52-week, phase 3, randomised, parallel-group, multinational, treat-to-target trial (BEGIN™ BB T2)</w:t>
            </w:r>
          </w:p>
        </w:tc>
        <w:tc>
          <w:tcPr>
            <w:tcW w:w="3026" w:type="dxa"/>
          </w:tcPr>
          <w:p w14:paraId="5FE4905A" w14:textId="77777777" w:rsidR="009867C1" w:rsidRDefault="009867C1" w:rsidP="00444C96">
            <w:pPr>
              <w:rPr>
                <w:rFonts w:ascii="Arial" w:hAnsi="Arial"/>
                <w:i/>
                <w:sz w:val="20"/>
              </w:rPr>
            </w:pPr>
          </w:p>
          <w:p w14:paraId="5E82B345" w14:textId="77777777" w:rsidR="003563A7" w:rsidRDefault="003563A7" w:rsidP="00444C96">
            <w:pPr>
              <w:rPr>
                <w:rFonts w:ascii="Arial" w:hAnsi="Arial"/>
                <w:sz w:val="20"/>
              </w:rPr>
            </w:pPr>
            <w:r w:rsidRPr="00314776">
              <w:rPr>
                <w:rFonts w:ascii="Arial" w:hAnsi="Arial"/>
                <w:i/>
                <w:sz w:val="20"/>
              </w:rPr>
              <w:t>Lancet</w:t>
            </w:r>
            <w:r w:rsidRPr="00314776">
              <w:rPr>
                <w:rFonts w:ascii="Arial" w:hAnsi="Arial"/>
                <w:sz w:val="20"/>
              </w:rPr>
              <w:t xml:space="preserve"> 2012; 379, (9825): 1498 - 1507</w:t>
            </w:r>
          </w:p>
        </w:tc>
      </w:tr>
      <w:tr w:rsidR="003563A7" w14:paraId="46698635" w14:textId="77777777" w:rsidTr="00B149E8">
        <w:trPr>
          <w:cantSplit/>
        </w:trPr>
        <w:tc>
          <w:tcPr>
            <w:tcW w:w="1900" w:type="dxa"/>
          </w:tcPr>
          <w:p w14:paraId="2755C4DB" w14:textId="77777777" w:rsidR="003563A7" w:rsidRDefault="003563A7" w:rsidP="00444C96">
            <w:pPr>
              <w:rPr>
                <w:rFonts w:ascii="Arial" w:hAnsi="Arial"/>
                <w:sz w:val="20"/>
              </w:rPr>
            </w:pPr>
            <w:r>
              <w:rPr>
                <w:rFonts w:ascii="Arial" w:hAnsi="Arial"/>
                <w:sz w:val="20"/>
              </w:rPr>
              <w:t>Trial NN1250-3579</w:t>
            </w:r>
            <w:r w:rsidR="009867C1">
              <w:rPr>
                <w:rFonts w:ascii="Arial" w:hAnsi="Arial"/>
                <w:sz w:val="20"/>
              </w:rPr>
              <w:t xml:space="preserve"> Zinman et al.</w:t>
            </w:r>
          </w:p>
        </w:tc>
        <w:tc>
          <w:tcPr>
            <w:tcW w:w="4214" w:type="dxa"/>
          </w:tcPr>
          <w:p w14:paraId="206DC6C0" w14:textId="77777777" w:rsidR="003563A7" w:rsidRDefault="003563A7" w:rsidP="00444C96">
            <w:pPr>
              <w:rPr>
                <w:rFonts w:ascii="Arial" w:hAnsi="Arial"/>
                <w:sz w:val="20"/>
              </w:rPr>
            </w:pPr>
          </w:p>
          <w:p w14:paraId="2E6E6847" w14:textId="77777777" w:rsidR="003563A7" w:rsidRDefault="003563A7" w:rsidP="00444C96">
            <w:pPr>
              <w:rPr>
                <w:rFonts w:ascii="Arial" w:hAnsi="Arial"/>
                <w:sz w:val="20"/>
              </w:rPr>
            </w:pPr>
            <w:r w:rsidRPr="009F44C8">
              <w:rPr>
                <w:rFonts w:ascii="Arial" w:hAnsi="Arial"/>
                <w:sz w:val="20"/>
              </w:rPr>
              <w:t xml:space="preserve">Insulin </w:t>
            </w:r>
            <w:r>
              <w:rPr>
                <w:rFonts w:ascii="Arial" w:hAnsi="Arial"/>
                <w:sz w:val="20"/>
              </w:rPr>
              <w:t>Degludec</w:t>
            </w:r>
            <w:r w:rsidRPr="009F44C8">
              <w:rPr>
                <w:rFonts w:ascii="Arial" w:hAnsi="Arial"/>
                <w:sz w:val="20"/>
              </w:rPr>
              <w:t xml:space="preserve"> versus insulin glargine in insulin-naive patients with type 2. A 1-year, randomized, treat-to-target trial (BEGIN™ Once Long)</w:t>
            </w:r>
          </w:p>
        </w:tc>
        <w:tc>
          <w:tcPr>
            <w:tcW w:w="3026" w:type="dxa"/>
          </w:tcPr>
          <w:p w14:paraId="5CA32BEE" w14:textId="77777777" w:rsidR="009867C1" w:rsidRDefault="009867C1" w:rsidP="00444C96">
            <w:pPr>
              <w:rPr>
                <w:rFonts w:ascii="Arial" w:hAnsi="Arial"/>
                <w:i/>
                <w:sz w:val="20"/>
              </w:rPr>
            </w:pPr>
          </w:p>
          <w:p w14:paraId="7AD935E1" w14:textId="77777777" w:rsidR="003563A7" w:rsidRDefault="003563A7" w:rsidP="00444C96">
            <w:pPr>
              <w:rPr>
                <w:rFonts w:ascii="Arial" w:hAnsi="Arial"/>
                <w:sz w:val="20"/>
              </w:rPr>
            </w:pPr>
            <w:r w:rsidRPr="009F44C8">
              <w:rPr>
                <w:rFonts w:ascii="Arial" w:hAnsi="Arial"/>
                <w:i/>
                <w:sz w:val="20"/>
              </w:rPr>
              <w:t>Diabetes Care</w:t>
            </w:r>
            <w:r>
              <w:rPr>
                <w:rFonts w:ascii="Arial" w:hAnsi="Arial"/>
                <w:sz w:val="20"/>
              </w:rPr>
              <w:t xml:space="preserve"> 2012 Vol: In press</w:t>
            </w:r>
          </w:p>
          <w:p w14:paraId="79F4F292" w14:textId="77777777" w:rsidR="003563A7" w:rsidRDefault="003563A7" w:rsidP="00444C96">
            <w:pPr>
              <w:rPr>
                <w:rFonts w:ascii="Arial" w:hAnsi="Arial"/>
                <w:sz w:val="20"/>
              </w:rPr>
            </w:pPr>
          </w:p>
          <w:p w14:paraId="450AB25D" w14:textId="77777777" w:rsidR="003563A7" w:rsidRPr="009F44C8" w:rsidRDefault="003563A7" w:rsidP="00444C96">
            <w:pPr>
              <w:rPr>
                <w:rFonts w:ascii="Arial" w:hAnsi="Arial"/>
                <w:sz w:val="20"/>
              </w:rPr>
            </w:pPr>
          </w:p>
        </w:tc>
      </w:tr>
      <w:tr w:rsidR="003563A7" w14:paraId="39C1B7D6" w14:textId="77777777" w:rsidTr="00B149E8">
        <w:trPr>
          <w:cantSplit/>
        </w:trPr>
        <w:tc>
          <w:tcPr>
            <w:tcW w:w="1900" w:type="dxa"/>
          </w:tcPr>
          <w:p w14:paraId="594E72B9" w14:textId="77777777" w:rsidR="003563A7" w:rsidRDefault="003563A7" w:rsidP="00444C96">
            <w:pPr>
              <w:rPr>
                <w:rFonts w:ascii="Arial" w:hAnsi="Arial"/>
                <w:sz w:val="20"/>
              </w:rPr>
            </w:pPr>
            <w:r>
              <w:rPr>
                <w:rFonts w:ascii="Arial" w:hAnsi="Arial"/>
                <w:sz w:val="20"/>
              </w:rPr>
              <w:t>Trial NN1250-3586</w:t>
            </w:r>
          </w:p>
        </w:tc>
        <w:tc>
          <w:tcPr>
            <w:tcW w:w="4214" w:type="dxa"/>
          </w:tcPr>
          <w:p w14:paraId="31940A62" w14:textId="77777777" w:rsidR="003563A7" w:rsidRDefault="003563A7" w:rsidP="00444C96">
            <w:pPr>
              <w:rPr>
                <w:rFonts w:ascii="Arial" w:hAnsi="Arial"/>
                <w:sz w:val="20"/>
              </w:rPr>
            </w:pPr>
            <w:r>
              <w:rPr>
                <w:rFonts w:ascii="Arial" w:hAnsi="Arial"/>
                <w:sz w:val="20"/>
              </w:rPr>
              <w:t>A Pan-Asian Trial comparing efficacy and safety of NN1250 and insulin glargine as add on to OAD(s) in subjects with type 2 diabetes (BEGIN</w:t>
            </w:r>
            <w:r>
              <w:rPr>
                <w:rFonts w:ascii="Arial" w:hAnsi="Arial"/>
                <w:sz w:val="20"/>
                <w:vertAlign w:val="superscript"/>
              </w:rPr>
              <w:t>TM</w:t>
            </w:r>
            <w:r>
              <w:rPr>
                <w:rFonts w:ascii="Arial" w:hAnsi="Arial"/>
                <w:sz w:val="20"/>
              </w:rPr>
              <w:t>: ONCE ASIA)</w:t>
            </w:r>
          </w:p>
        </w:tc>
        <w:tc>
          <w:tcPr>
            <w:tcW w:w="3026" w:type="dxa"/>
          </w:tcPr>
          <w:p w14:paraId="175F3004" w14:textId="77777777" w:rsidR="003563A7" w:rsidRDefault="003563A7" w:rsidP="00444C96">
            <w:pPr>
              <w:rPr>
                <w:rFonts w:ascii="Arial" w:hAnsi="Arial"/>
                <w:sz w:val="20"/>
              </w:rPr>
            </w:pPr>
            <w:r>
              <w:rPr>
                <w:rFonts w:ascii="Arial" w:hAnsi="Arial"/>
                <w:sz w:val="20"/>
              </w:rPr>
              <w:t xml:space="preserve">Clinical Trials.gov ID: </w:t>
            </w:r>
            <w:r w:rsidRPr="00A41FE4">
              <w:rPr>
                <w:rFonts w:ascii="Arial" w:hAnsi="Arial"/>
                <w:sz w:val="20"/>
              </w:rPr>
              <w:t>NCT01059799</w:t>
            </w:r>
          </w:p>
        </w:tc>
      </w:tr>
      <w:tr w:rsidR="003563A7" w14:paraId="5C8A19E9" w14:textId="77777777" w:rsidTr="00B149E8">
        <w:trPr>
          <w:cantSplit/>
        </w:trPr>
        <w:tc>
          <w:tcPr>
            <w:tcW w:w="1900" w:type="dxa"/>
          </w:tcPr>
          <w:p w14:paraId="57B650ED" w14:textId="77777777" w:rsidR="003563A7" w:rsidRDefault="003563A7" w:rsidP="00444C96">
            <w:pPr>
              <w:rPr>
                <w:rFonts w:ascii="Arial" w:hAnsi="Arial"/>
                <w:sz w:val="20"/>
              </w:rPr>
            </w:pPr>
            <w:r>
              <w:rPr>
                <w:rFonts w:ascii="Arial" w:hAnsi="Arial"/>
                <w:sz w:val="20"/>
              </w:rPr>
              <w:t>Trial NN1250-3668</w:t>
            </w:r>
          </w:p>
        </w:tc>
        <w:tc>
          <w:tcPr>
            <w:tcW w:w="4214" w:type="dxa"/>
          </w:tcPr>
          <w:p w14:paraId="084B792E" w14:textId="77777777" w:rsidR="003563A7" w:rsidRDefault="003563A7" w:rsidP="00444C96">
            <w:pPr>
              <w:rPr>
                <w:rFonts w:ascii="Arial" w:hAnsi="Arial"/>
                <w:sz w:val="20"/>
              </w:rPr>
            </w:pPr>
            <w:r>
              <w:rPr>
                <w:rFonts w:ascii="Arial" w:hAnsi="Arial"/>
                <w:sz w:val="20"/>
              </w:rPr>
              <w:t>A 26-week Randomised, Controlled, open-label, Multi-centre, multi-national three-arm treat-to-target comparing efficacy and safety of three different dosing regimens of either NN1250 or Insulin glargine with or without combination  with OAD treatment, in subjects with type 2 Diabetes Mellitus (BEGIN</w:t>
            </w:r>
            <w:r>
              <w:rPr>
                <w:rFonts w:ascii="Arial" w:hAnsi="Arial"/>
                <w:sz w:val="20"/>
                <w:vertAlign w:val="superscript"/>
              </w:rPr>
              <w:t>TM</w:t>
            </w:r>
            <w:r>
              <w:rPr>
                <w:rFonts w:ascii="Arial" w:hAnsi="Arial"/>
                <w:sz w:val="20"/>
              </w:rPr>
              <w:t xml:space="preserve"> FLEX)</w:t>
            </w:r>
          </w:p>
        </w:tc>
        <w:tc>
          <w:tcPr>
            <w:tcW w:w="3026" w:type="dxa"/>
          </w:tcPr>
          <w:p w14:paraId="52748E76" w14:textId="77777777" w:rsidR="003563A7" w:rsidRDefault="003563A7" w:rsidP="00444C96">
            <w:pPr>
              <w:rPr>
                <w:rFonts w:ascii="Arial" w:hAnsi="Arial"/>
                <w:sz w:val="20"/>
              </w:rPr>
            </w:pPr>
            <w:r>
              <w:rPr>
                <w:rFonts w:ascii="Arial" w:hAnsi="Arial"/>
                <w:sz w:val="20"/>
              </w:rPr>
              <w:t>Clinical Trials.gov ID:NCT01006291</w:t>
            </w:r>
          </w:p>
        </w:tc>
      </w:tr>
      <w:tr w:rsidR="003563A7" w14:paraId="405C5BDA" w14:textId="77777777" w:rsidTr="00B149E8">
        <w:trPr>
          <w:cantSplit/>
        </w:trPr>
        <w:tc>
          <w:tcPr>
            <w:tcW w:w="1900" w:type="dxa"/>
          </w:tcPr>
          <w:p w14:paraId="3910DFB4" w14:textId="77777777" w:rsidR="003563A7" w:rsidRDefault="003563A7" w:rsidP="00444C96">
            <w:pPr>
              <w:rPr>
                <w:rFonts w:ascii="Arial" w:hAnsi="Arial"/>
                <w:sz w:val="20"/>
              </w:rPr>
            </w:pPr>
            <w:r>
              <w:rPr>
                <w:rFonts w:ascii="Arial" w:hAnsi="Arial"/>
                <w:sz w:val="20"/>
              </w:rPr>
              <w:t>Trial NN1250-3672</w:t>
            </w:r>
          </w:p>
        </w:tc>
        <w:tc>
          <w:tcPr>
            <w:tcW w:w="4214" w:type="dxa"/>
          </w:tcPr>
          <w:p w14:paraId="5762D0FC" w14:textId="77777777" w:rsidR="003563A7" w:rsidRDefault="003563A7" w:rsidP="00444C96">
            <w:pPr>
              <w:rPr>
                <w:rFonts w:ascii="Arial" w:hAnsi="Arial"/>
                <w:sz w:val="20"/>
              </w:rPr>
            </w:pPr>
            <w:r>
              <w:rPr>
                <w:rFonts w:ascii="Arial" w:hAnsi="Arial"/>
                <w:sz w:val="20"/>
              </w:rPr>
              <w:t>Comparison of NN1250 with insulin glargine in patients with type 2  Diabetes (BEGIN</w:t>
            </w:r>
            <w:r>
              <w:rPr>
                <w:rFonts w:ascii="Arial" w:hAnsi="Arial"/>
                <w:sz w:val="20"/>
                <w:vertAlign w:val="superscript"/>
              </w:rPr>
              <w:t>TM</w:t>
            </w:r>
            <w:r>
              <w:rPr>
                <w:rFonts w:ascii="Arial" w:hAnsi="Arial"/>
                <w:sz w:val="20"/>
              </w:rPr>
              <w:t>)</w:t>
            </w:r>
          </w:p>
        </w:tc>
        <w:tc>
          <w:tcPr>
            <w:tcW w:w="3026" w:type="dxa"/>
          </w:tcPr>
          <w:p w14:paraId="04F8302A" w14:textId="77777777" w:rsidR="003563A7" w:rsidRDefault="003563A7" w:rsidP="00444C96">
            <w:pPr>
              <w:rPr>
                <w:rFonts w:ascii="Arial" w:hAnsi="Arial"/>
                <w:sz w:val="20"/>
              </w:rPr>
            </w:pPr>
            <w:r>
              <w:rPr>
                <w:rFonts w:ascii="Arial" w:hAnsi="Arial"/>
                <w:sz w:val="20"/>
              </w:rPr>
              <w:t>Clinical Trials.gov ID:NCT01068665</w:t>
            </w:r>
          </w:p>
        </w:tc>
      </w:tr>
    </w:tbl>
    <w:p w14:paraId="323C948F" w14:textId="77777777" w:rsidR="00796356" w:rsidRDefault="00796356" w:rsidP="00444C96">
      <w:pPr>
        <w:tabs>
          <w:tab w:val="left" w:pos="567"/>
        </w:tabs>
        <w:rPr>
          <w:b/>
          <w:bCs/>
        </w:rPr>
      </w:pPr>
    </w:p>
    <w:p w14:paraId="591C0E09" w14:textId="77777777" w:rsidR="009102D9" w:rsidRDefault="003D177A" w:rsidP="00444C96">
      <w:pPr>
        <w:rPr>
          <w:b/>
          <w:color w:val="FF00FF"/>
          <w:lang w:val="en-GB"/>
        </w:rPr>
      </w:pPr>
      <w:r>
        <w:rPr>
          <w:b/>
          <w:bCs/>
        </w:rPr>
        <w:t>8.</w:t>
      </w:r>
      <w:r>
        <w:rPr>
          <w:b/>
          <w:bCs/>
        </w:rPr>
        <w:tab/>
      </w:r>
      <w:r w:rsidR="002A57B9" w:rsidRPr="00746E3F">
        <w:rPr>
          <w:b/>
          <w:bCs/>
        </w:rPr>
        <w:t>Results of Trials</w:t>
      </w:r>
      <w:r w:rsidR="009102D9">
        <w:rPr>
          <w:b/>
          <w:bCs/>
        </w:rPr>
        <w:t xml:space="preserve"> </w:t>
      </w:r>
    </w:p>
    <w:p w14:paraId="2453522D" w14:textId="77777777" w:rsidR="003563A7" w:rsidRDefault="003563A7" w:rsidP="00444C96">
      <w:pPr>
        <w:rPr>
          <w:bCs/>
        </w:rPr>
      </w:pPr>
      <w:r w:rsidRPr="003563A7">
        <w:rPr>
          <w:bCs/>
        </w:rPr>
        <w:t xml:space="preserve">The clinically relevant outcomes for benefits and harms were change in HbA1c and occurrence of hypoglycaemia.  </w:t>
      </w:r>
    </w:p>
    <w:p w14:paraId="2B845932" w14:textId="77777777" w:rsidR="003563A7" w:rsidRDefault="003563A7" w:rsidP="00444C96">
      <w:pPr>
        <w:rPr>
          <w:bCs/>
        </w:rPr>
      </w:pPr>
    </w:p>
    <w:p w14:paraId="0F5EACA2" w14:textId="77777777" w:rsidR="003B3D30" w:rsidRDefault="003B3D30" w:rsidP="00444C96">
      <w:pPr>
        <w:rPr>
          <w:bCs/>
        </w:rPr>
      </w:pPr>
      <w:r>
        <w:rPr>
          <w:bCs/>
        </w:rPr>
        <w:t>The results for change from baseline in HbA1c from the published trials (3583, 3582 and 3579) are presented in the table below.</w:t>
      </w:r>
    </w:p>
    <w:p w14:paraId="3E1171AF" w14:textId="77777777" w:rsidR="003B3D30" w:rsidRDefault="003B3D30" w:rsidP="00444C96">
      <w:pPr>
        <w:rPr>
          <w:bCs/>
        </w:rPr>
      </w:pPr>
    </w:p>
    <w:p w14:paraId="3E430E35" w14:textId="03AB37F2" w:rsidR="00467644" w:rsidRPr="00344CEE" w:rsidRDefault="00467644" w:rsidP="00444C96">
      <w:pPr>
        <w:pStyle w:val="Arial10"/>
        <w:rPr>
          <w:b/>
          <w:bCs/>
          <w:color w:val="000000"/>
        </w:rPr>
      </w:pPr>
      <w:r>
        <w:rPr>
          <w:b/>
          <w:bCs/>
          <w:color w:val="000000"/>
        </w:rPr>
        <w:t>Change from baseline in HbA1c across the trials</w:t>
      </w:r>
    </w:p>
    <w:tbl>
      <w:tblPr>
        <w:tblW w:w="51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301"/>
        <w:gridCol w:w="823"/>
        <w:gridCol w:w="528"/>
        <w:gridCol w:w="596"/>
        <w:gridCol w:w="755"/>
        <w:gridCol w:w="611"/>
        <w:gridCol w:w="740"/>
        <w:gridCol w:w="318"/>
        <w:gridCol w:w="1033"/>
        <w:gridCol w:w="93"/>
        <w:gridCol w:w="1259"/>
        <w:gridCol w:w="30"/>
        <w:gridCol w:w="1321"/>
        <w:gridCol w:w="6"/>
      </w:tblGrid>
      <w:tr w:rsidR="00467644" w:rsidRPr="00B8561E" w14:paraId="1B9167CA" w14:textId="77777777" w:rsidTr="000B2968">
        <w:trPr>
          <w:cantSplit/>
          <w:tblHeader/>
        </w:trPr>
        <w:tc>
          <w:tcPr>
            <w:tcW w:w="555" w:type="pct"/>
          </w:tcPr>
          <w:p w14:paraId="2D84D39B" w14:textId="77777777" w:rsidR="00467644" w:rsidRPr="00B8561E" w:rsidRDefault="00467644" w:rsidP="00444C96">
            <w:pPr>
              <w:rPr>
                <w:rFonts w:ascii="Arial" w:hAnsi="Arial" w:cs="Arial"/>
                <w:b/>
                <w:sz w:val="20"/>
              </w:rPr>
            </w:pPr>
            <w:r>
              <w:rPr>
                <w:rFonts w:ascii="Arial" w:hAnsi="Arial" w:cs="Arial"/>
                <w:b/>
                <w:sz w:val="20"/>
              </w:rPr>
              <w:t>Trial</w:t>
            </w:r>
          </w:p>
        </w:tc>
        <w:tc>
          <w:tcPr>
            <w:tcW w:w="1910" w:type="pct"/>
            <w:gridSpan w:val="6"/>
            <w:tcMar>
              <w:left w:w="57" w:type="dxa"/>
              <w:right w:w="57" w:type="dxa"/>
            </w:tcMar>
            <w:vAlign w:val="center"/>
          </w:tcPr>
          <w:p w14:paraId="5BB6BEAB" w14:textId="77777777" w:rsidR="00467644" w:rsidRPr="00B8561E" w:rsidRDefault="00467644" w:rsidP="00444C96">
            <w:pPr>
              <w:rPr>
                <w:rFonts w:ascii="Arial" w:hAnsi="Arial" w:cs="Arial"/>
                <w:b/>
                <w:sz w:val="20"/>
              </w:rPr>
            </w:pPr>
            <w:r>
              <w:rPr>
                <w:rFonts w:ascii="Arial" w:hAnsi="Arial" w:cs="Arial"/>
                <w:b/>
                <w:sz w:val="20"/>
              </w:rPr>
              <w:t>Degludec</w:t>
            </w:r>
          </w:p>
        </w:tc>
        <w:tc>
          <w:tcPr>
            <w:tcW w:w="1835" w:type="pct"/>
            <w:gridSpan w:val="6"/>
            <w:tcMar>
              <w:left w:w="57" w:type="dxa"/>
              <w:right w:w="57" w:type="dxa"/>
            </w:tcMar>
            <w:vAlign w:val="center"/>
          </w:tcPr>
          <w:p w14:paraId="0CBD8C67" w14:textId="77777777" w:rsidR="00467644" w:rsidRPr="00B8561E" w:rsidRDefault="00467644" w:rsidP="00444C96">
            <w:pPr>
              <w:rPr>
                <w:rFonts w:ascii="Arial" w:hAnsi="Arial" w:cs="Arial"/>
                <w:b/>
                <w:sz w:val="20"/>
              </w:rPr>
            </w:pPr>
            <w:r>
              <w:rPr>
                <w:rFonts w:ascii="Arial" w:hAnsi="Arial" w:cs="Arial"/>
                <w:b/>
                <w:sz w:val="20"/>
              </w:rPr>
              <w:t>Glargine</w:t>
            </w:r>
          </w:p>
        </w:tc>
        <w:tc>
          <w:tcPr>
            <w:tcW w:w="701" w:type="pct"/>
            <w:gridSpan w:val="2"/>
            <w:vMerge w:val="restart"/>
            <w:tcMar>
              <w:left w:w="57" w:type="dxa"/>
              <w:right w:w="57" w:type="dxa"/>
            </w:tcMar>
          </w:tcPr>
          <w:p w14:paraId="5EBFFC92" w14:textId="77777777" w:rsidR="00467644" w:rsidRDefault="00467644" w:rsidP="00444C96">
            <w:pPr>
              <w:rPr>
                <w:rFonts w:ascii="Arial" w:hAnsi="Arial" w:cs="Arial"/>
                <w:b/>
                <w:sz w:val="20"/>
              </w:rPr>
            </w:pPr>
          </w:p>
          <w:p w14:paraId="06494CE0" w14:textId="77777777" w:rsidR="00467644" w:rsidRPr="00B8561E" w:rsidRDefault="00467644" w:rsidP="00444C96">
            <w:pPr>
              <w:rPr>
                <w:rFonts w:ascii="Arial" w:hAnsi="Arial" w:cs="Arial"/>
                <w:b/>
                <w:sz w:val="20"/>
                <w:vertAlign w:val="superscript"/>
              </w:rPr>
            </w:pPr>
            <w:r>
              <w:rPr>
                <w:rFonts w:ascii="Arial" w:hAnsi="Arial" w:cs="Arial"/>
                <w:b/>
                <w:sz w:val="20"/>
              </w:rPr>
              <w:t>D</w:t>
            </w:r>
            <w:r w:rsidRPr="00B8561E">
              <w:rPr>
                <w:rFonts w:ascii="Arial" w:hAnsi="Arial" w:cs="Arial"/>
                <w:b/>
                <w:sz w:val="20"/>
              </w:rPr>
              <w:t>ifference</w:t>
            </w:r>
            <w:r w:rsidRPr="00B8561E">
              <w:rPr>
                <w:rFonts w:ascii="Arial" w:hAnsi="Arial" w:cs="Arial"/>
                <w:b/>
                <w:sz w:val="20"/>
                <w:vertAlign w:val="superscript"/>
              </w:rPr>
              <w:t>a</w:t>
            </w:r>
          </w:p>
          <w:p w14:paraId="4516ED10" w14:textId="77777777" w:rsidR="00467644" w:rsidRPr="00B8561E" w:rsidRDefault="00467644" w:rsidP="00444C96">
            <w:pPr>
              <w:rPr>
                <w:rFonts w:ascii="Arial" w:hAnsi="Arial" w:cs="Arial"/>
                <w:sz w:val="20"/>
              </w:rPr>
            </w:pPr>
            <w:r w:rsidRPr="00B8561E">
              <w:rPr>
                <w:rFonts w:ascii="Arial" w:hAnsi="Arial" w:cs="Arial"/>
                <w:b/>
                <w:sz w:val="20"/>
              </w:rPr>
              <w:t>(95% CI)</w:t>
            </w:r>
          </w:p>
        </w:tc>
      </w:tr>
      <w:tr w:rsidR="00467644" w:rsidRPr="00B8561E" w14:paraId="5D79AA7A" w14:textId="77777777" w:rsidTr="001E2CDD">
        <w:trPr>
          <w:cantSplit/>
          <w:tblHeader/>
        </w:trPr>
        <w:tc>
          <w:tcPr>
            <w:tcW w:w="555" w:type="pct"/>
          </w:tcPr>
          <w:p w14:paraId="34477638" w14:textId="77777777" w:rsidR="00467644" w:rsidRPr="00B8561E" w:rsidRDefault="00467644" w:rsidP="00444C96">
            <w:pPr>
              <w:rPr>
                <w:rFonts w:ascii="Arial" w:hAnsi="Arial" w:cs="Arial"/>
                <w:b/>
                <w:sz w:val="20"/>
              </w:rPr>
            </w:pPr>
          </w:p>
        </w:tc>
        <w:tc>
          <w:tcPr>
            <w:tcW w:w="594" w:type="pct"/>
            <w:gridSpan w:val="2"/>
            <w:tcMar>
              <w:left w:w="57" w:type="dxa"/>
              <w:right w:w="57" w:type="dxa"/>
            </w:tcMar>
          </w:tcPr>
          <w:p w14:paraId="348F00E9" w14:textId="77777777" w:rsidR="00467644" w:rsidRPr="00B8561E" w:rsidRDefault="00467644" w:rsidP="00444C96">
            <w:pPr>
              <w:rPr>
                <w:rFonts w:ascii="Arial" w:hAnsi="Arial" w:cs="Arial"/>
                <w:b/>
                <w:sz w:val="20"/>
              </w:rPr>
            </w:pPr>
            <w:r w:rsidRPr="00B8561E">
              <w:rPr>
                <w:rFonts w:ascii="Arial" w:hAnsi="Arial" w:cs="Arial"/>
                <w:b/>
                <w:sz w:val="20"/>
              </w:rPr>
              <w:t>Baseline Mean (SD)</w:t>
            </w:r>
          </w:p>
        </w:tc>
        <w:tc>
          <w:tcPr>
            <w:tcW w:w="594" w:type="pct"/>
            <w:gridSpan w:val="2"/>
            <w:tcMar>
              <w:left w:w="57" w:type="dxa"/>
              <w:right w:w="57" w:type="dxa"/>
            </w:tcMar>
          </w:tcPr>
          <w:p w14:paraId="6D22B7D1" w14:textId="77777777" w:rsidR="00467644" w:rsidRPr="00B8561E" w:rsidRDefault="00467644" w:rsidP="00444C96">
            <w:pPr>
              <w:rPr>
                <w:rFonts w:ascii="Arial" w:hAnsi="Arial" w:cs="Arial"/>
                <w:b/>
                <w:sz w:val="20"/>
              </w:rPr>
            </w:pPr>
            <w:r>
              <w:rPr>
                <w:rFonts w:ascii="Arial" w:hAnsi="Arial" w:cs="Arial"/>
                <w:b/>
                <w:sz w:val="20"/>
              </w:rPr>
              <w:t>Endpoint</w:t>
            </w:r>
          </w:p>
          <w:p w14:paraId="67F2D093" w14:textId="77777777" w:rsidR="00467644" w:rsidRPr="00B8561E" w:rsidRDefault="00467644" w:rsidP="00444C96">
            <w:pPr>
              <w:rPr>
                <w:rFonts w:ascii="Arial" w:hAnsi="Arial" w:cs="Arial"/>
                <w:b/>
                <w:sz w:val="20"/>
              </w:rPr>
            </w:pPr>
            <w:r w:rsidRPr="00B8561E">
              <w:rPr>
                <w:rFonts w:ascii="Arial" w:hAnsi="Arial" w:cs="Arial"/>
                <w:b/>
                <w:sz w:val="20"/>
              </w:rPr>
              <w:t>Mean (SD)</w:t>
            </w:r>
          </w:p>
        </w:tc>
        <w:tc>
          <w:tcPr>
            <w:tcW w:w="722" w:type="pct"/>
            <w:gridSpan w:val="2"/>
            <w:tcMar>
              <w:left w:w="57" w:type="dxa"/>
              <w:right w:w="57" w:type="dxa"/>
            </w:tcMar>
          </w:tcPr>
          <w:p w14:paraId="693876C9" w14:textId="77777777" w:rsidR="00467644" w:rsidRPr="00DA7CEB" w:rsidRDefault="00467644" w:rsidP="00444C96">
            <w:pPr>
              <w:rPr>
                <w:rFonts w:ascii="Arial" w:hAnsi="Arial" w:cs="Arial"/>
                <w:b/>
                <w:sz w:val="20"/>
                <w:vertAlign w:val="superscript"/>
              </w:rPr>
            </w:pPr>
            <w:r w:rsidRPr="00B8561E">
              <w:rPr>
                <w:rFonts w:ascii="Arial" w:hAnsi="Arial" w:cs="Arial"/>
                <w:b/>
                <w:sz w:val="20"/>
              </w:rPr>
              <w:t>LS Mean change</w:t>
            </w:r>
            <w:r w:rsidRPr="00B8561E">
              <w:rPr>
                <w:rFonts w:ascii="Arial" w:hAnsi="Arial" w:cs="Arial"/>
                <w:b/>
                <w:sz w:val="20"/>
                <w:vertAlign w:val="superscript"/>
              </w:rPr>
              <w:t>a</w:t>
            </w:r>
            <w:r>
              <w:rPr>
                <w:rFonts w:ascii="Arial" w:hAnsi="Arial" w:cs="Arial"/>
                <w:b/>
                <w:sz w:val="20"/>
                <w:vertAlign w:val="superscript"/>
              </w:rPr>
              <w:t xml:space="preserve"> </w:t>
            </w:r>
            <w:r w:rsidRPr="00B8561E">
              <w:rPr>
                <w:rFonts w:ascii="Arial" w:hAnsi="Arial" w:cs="Arial"/>
                <w:b/>
                <w:sz w:val="20"/>
              </w:rPr>
              <w:t>(SE)</w:t>
            </w:r>
          </w:p>
        </w:tc>
        <w:tc>
          <w:tcPr>
            <w:tcW w:w="559" w:type="pct"/>
            <w:gridSpan w:val="2"/>
            <w:tcMar>
              <w:left w:w="57" w:type="dxa"/>
              <w:right w:w="57" w:type="dxa"/>
            </w:tcMar>
          </w:tcPr>
          <w:p w14:paraId="3631DFA0" w14:textId="77777777" w:rsidR="00467644" w:rsidRPr="00B8561E" w:rsidRDefault="00467644" w:rsidP="00444C96">
            <w:pPr>
              <w:rPr>
                <w:rFonts w:ascii="Arial" w:hAnsi="Arial" w:cs="Arial"/>
                <w:b/>
                <w:sz w:val="20"/>
              </w:rPr>
            </w:pPr>
            <w:r w:rsidRPr="00B8561E">
              <w:rPr>
                <w:rFonts w:ascii="Arial" w:hAnsi="Arial" w:cs="Arial"/>
                <w:b/>
                <w:sz w:val="20"/>
              </w:rPr>
              <w:t>Baseline Mean (SD)</w:t>
            </w:r>
          </w:p>
        </w:tc>
        <w:tc>
          <w:tcPr>
            <w:tcW w:w="595" w:type="pct"/>
            <w:gridSpan w:val="2"/>
            <w:tcMar>
              <w:left w:w="57" w:type="dxa"/>
              <w:right w:w="57" w:type="dxa"/>
            </w:tcMar>
          </w:tcPr>
          <w:p w14:paraId="325CD877" w14:textId="77777777" w:rsidR="00467644" w:rsidRPr="00B8561E" w:rsidRDefault="00467644" w:rsidP="00444C96">
            <w:pPr>
              <w:rPr>
                <w:rFonts w:ascii="Arial" w:hAnsi="Arial" w:cs="Arial"/>
                <w:b/>
                <w:sz w:val="20"/>
              </w:rPr>
            </w:pPr>
            <w:r>
              <w:rPr>
                <w:rFonts w:ascii="Arial" w:hAnsi="Arial" w:cs="Arial"/>
                <w:b/>
                <w:sz w:val="20"/>
              </w:rPr>
              <w:t>Endpoint</w:t>
            </w:r>
            <w:r w:rsidRPr="00B8561E">
              <w:rPr>
                <w:rFonts w:ascii="Arial" w:hAnsi="Arial" w:cs="Arial"/>
                <w:b/>
                <w:sz w:val="20"/>
              </w:rPr>
              <w:t xml:space="preserve"> Mean (SD)</w:t>
            </w:r>
          </w:p>
        </w:tc>
        <w:tc>
          <w:tcPr>
            <w:tcW w:w="680" w:type="pct"/>
            <w:gridSpan w:val="2"/>
            <w:tcMar>
              <w:left w:w="57" w:type="dxa"/>
              <w:right w:w="57" w:type="dxa"/>
            </w:tcMar>
          </w:tcPr>
          <w:p w14:paraId="2EE910D1" w14:textId="77777777" w:rsidR="00467644" w:rsidRPr="00DA7CEB" w:rsidRDefault="00467644" w:rsidP="00444C96">
            <w:pPr>
              <w:rPr>
                <w:rFonts w:ascii="Arial" w:hAnsi="Arial" w:cs="Arial"/>
                <w:b/>
                <w:sz w:val="20"/>
                <w:vertAlign w:val="superscript"/>
              </w:rPr>
            </w:pPr>
            <w:r w:rsidRPr="00B8561E">
              <w:rPr>
                <w:rFonts w:ascii="Arial" w:hAnsi="Arial" w:cs="Arial"/>
                <w:b/>
                <w:sz w:val="20"/>
              </w:rPr>
              <w:t>LS Mean change</w:t>
            </w:r>
            <w:r w:rsidRPr="00B8561E">
              <w:rPr>
                <w:rFonts w:ascii="Arial" w:hAnsi="Arial" w:cs="Arial"/>
                <w:b/>
                <w:sz w:val="20"/>
                <w:vertAlign w:val="superscript"/>
              </w:rPr>
              <w:t>a</w:t>
            </w:r>
            <w:r>
              <w:rPr>
                <w:rFonts w:ascii="Arial" w:hAnsi="Arial" w:cs="Arial"/>
                <w:b/>
                <w:sz w:val="20"/>
                <w:vertAlign w:val="superscript"/>
              </w:rPr>
              <w:t xml:space="preserve"> </w:t>
            </w:r>
            <w:r w:rsidRPr="00B8561E">
              <w:rPr>
                <w:rFonts w:ascii="Arial" w:hAnsi="Arial" w:cs="Arial"/>
                <w:b/>
                <w:sz w:val="20"/>
              </w:rPr>
              <w:t>(SE)</w:t>
            </w:r>
          </w:p>
        </w:tc>
        <w:tc>
          <w:tcPr>
            <w:tcW w:w="701" w:type="pct"/>
            <w:gridSpan w:val="2"/>
            <w:vMerge/>
            <w:tcMar>
              <w:left w:w="57" w:type="dxa"/>
              <w:right w:w="57" w:type="dxa"/>
            </w:tcMar>
          </w:tcPr>
          <w:p w14:paraId="3E36F59F" w14:textId="77777777" w:rsidR="00467644" w:rsidRPr="00B8561E" w:rsidRDefault="00467644" w:rsidP="00444C96">
            <w:pPr>
              <w:rPr>
                <w:rFonts w:ascii="Arial" w:hAnsi="Arial" w:cs="Arial"/>
                <w:sz w:val="20"/>
              </w:rPr>
            </w:pPr>
          </w:p>
        </w:tc>
      </w:tr>
      <w:tr w:rsidR="000B2968" w:rsidRPr="00B8561E" w14:paraId="260B95CE" w14:textId="77777777" w:rsidTr="000B2968">
        <w:trPr>
          <w:gridAfter w:val="1"/>
          <w:wAfter w:w="4" w:type="pct"/>
          <w:cantSplit/>
        </w:trPr>
        <w:tc>
          <w:tcPr>
            <w:tcW w:w="714" w:type="pct"/>
            <w:gridSpan w:val="2"/>
            <w:tcBorders>
              <w:right w:val="nil"/>
            </w:tcBorders>
          </w:tcPr>
          <w:p w14:paraId="22E662A0" w14:textId="77777777" w:rsidR="000B2968" w:rsidRPr="00A426B7" w:rsidRDefault="000B2968" w:rsidP="00444C96">
            <w:pPr>
              <w:rPr>
                <w:rFonts w:ascii="Arial" w:hAnsi="Arial" w:cs="Arial"/>
                <w:b/>
                <w:sz w:val="20"/>
              </w:rPr>
            </w:pPr>
            <w:r>
              <w:rPr>
                <w:rFonts w:ascii="Arial" w:hAnsi="Arial" w:cs="Arial"/>
                <w:b/>
                <w:sz w:val="20"/>
              </w:rPr>
              <w:t>Type 1 basal bolus</w:t>
            </w:r>
          </w:p>
        </w:tc>
        <w:tc>
          <w:tcPr>
            <w:tcW w:w="714" w:type="pct"/>
            <w:gridSpan w:val="2"/>
            <w:tcBorders>
              <w:left w:val="nil"/>
              <w:right w:val="nil"/>
            </w:tcBorders>
          </w:tcPr>
          <w:p w14:paraId="7B626545" w14:textId="77777777" w:rsidR="000B2968" w:rsidRPr="00A426B7" w:rsidRDefault="000B2968" w:rsidP="00444C96">
            <w:pPr>
              <w:rPr>
                <w:rFonts w:ascii="Arial" w:hAnsi="Arial" w:cs="Arial"/>
                <w:b/>
                <w:sz w:val="20"/>
              </w:rPr>
            </w:pPr>
          </w:p>
        </w:tc>
        <w:tc>
          <w:tcPr>
            <w:tcW w:w="713" w:type="pct"/>
            <w:gridSpan w:val="2"/>
            <w:tcBorders>
              <w:left w:val="nil"/>
              <w:right w:val="nil"/>
            </w:tcBorders>
          </w:tcPr>
          <w:p w14:paraId="08D3FD68" w14:textId="77777777" w:rsidR="000B2968" w:rsidRPr="00A426B7" w:rsidRDefault="000B2968" w:rsidP="00444C96">
            <w:pPr>
              <w:rPr>
                <w:rFonts w:ascii="Arial" w:hAnsi="Arial" w:cs="Arial"/>
                <w:b/>
                <w:sz w:val="20"/>
              </w:rPr>
            </w:pPr>
          </w:p>
        </w:tc>
        <w:tc>
          <w:tcPr>
            <w:tcW w:w="714" w:type="pct"/>
            <w:gridSpan w:val="2"/>
            <w:tcBorders>
              <w:left w:val="nil"/>
              <w:right w:val="nil"/>
            </w:tcBorders>
          </w:tcPr>
          <w:p w14:paraId="47AD43A4" w14:textId="77777777" w:rsidR="000B2968" w:rsidRPr="00A426B7" w:rsidRDefault="000B2968" w:rsidP="00444C96">
            <w:pPr>
              <w:rPr>
                <w:rFonts w:ascii="Arial" w:hAnsi="Arial" w:cs="Arial"/>
                <w:b/>
                <w:sz w:val="20"/>
              </w:rPr>
            </w:pPr>
          </w:p>
        </w:tc>
        <w:tc>
          <w:tcPr>
            <w:tcW w:w="713" w:type="pct"/>
            <w:gridSpan w:val="2"/>
            <w:tcBorders>
              <w:left w:val="nil"/>
              <w:right w:val="nil"/>
            </w:tcBorders>
          </w:tcPr>
          <w:p w14:paraId="5D08C1A5" w14:textId="77777777" w:rsidR="000B2968" w:rsidRPr="00A426B7" w:rsidRDefault="000B2968" w:rsidP="00444C96">
            <w:pPr>
              <w:rPr>
                <w:rFonts w:ascii="Arial" w:hAnsi="Arial" w:cs="Arial"/>
                <w:b/>
                <w:sz w:val="20"/>
              </w:rPr>
            </w:pPr>
          </w:p>
        </w:tc>
        <w:tc>
          <w:tcPr>
            <w:tcW w:w="714" w:type="pct"/>
            <w:gridSpan w:val="2"/>
            <w:tcBorders>
              <w:left w:val="nil"/>
              <w:right w:val="nil"/>
            </w:tcBorders>
          </w:tcPr>
          <w:p w14:paraId="33F9B354" w14:textId="77777777" w:rsidR="000B2968" w:rsidRPr="00A426B7" w:rsidRDefault="000B2968" w:rsidP="00444C96">
            <w:pPr>
              <w:rPr>
                <w:rFonts w:ascii="Arial" w:hAnsi="Arial" w:cs="Arial"/>
                <w:b/>
                <w:sz w:val="20"/>
              </w:rPr>
            </w:pPr>
          </w:p>
        </w:tc>
        <w:tc>
          <w:tcPr>
            <w:tcW w:w="714" w:type="pct"/>
            <w:gridSpan w:val="2"/>
            <w:tcBorders>
              <w:left w:val="nil"/>
            </w:tcBorders>
          </w:tcPr>
          <w:p w14:paraId="1F8E02BB" w14:textId="7574F4F5" w:rsidR="000B2968" w:rsidRPr="00A426B7" w:rsidRDefault="000B2968" w:rsidP="00444C96">
            <w:pPr>
              <w:rPr>
                <w:rFonts w:ascii="Arial" w:hAnsi="Arial" w:cs="Arial"/>
                <w:b/>
                <w:sz w:val="20"/>
              </w:rPr>
            </w:pPr>
          </w:p>
        </w:tc>
      </w:tr>
      <w:tr w:rsidR="00467644" w:rsidRPr="00B8561E" w14:paraId="4584D300" w14:textId="77777777" w:rsidTr="001E2CDD">
        <w:trPr>
          <w:cantSplit/>
        </w:trPr>
        <w:tc>
          <w:tcPr>
            <w:tcW w:w="555" w:type="pct"/>
          </w:tcPr>
          <w:p w14:paraId="257EB975" w14:textId="77777777" w:rsidR="00467644" w:rsidRPr="00B8561E" w:rsidRDefault="00467644" w:rsidP="00444C96">
            <w:pPr>
              <w:rPr>
                <w:rFonts w:ascii="Arial" w:hAnsi="Arial" w:cs="Arial"/>
                <w:sz w:val="20"/>
              </w:rPr>
            </w:pPr>
            <w:r>
              <w:rPr>
                <w:rFonts w:ascii="Arial" w:hAnsi="Arial" w:cs="Arial"/>
                <w:sz w:val="20"/>
              </w:rPr>
              <w:t>3583</w:t>
            </w:r>
          </w:p>
        </w:tc>
        <w:tc>
          <w:tcPr>
            <w:tcW w:w="594" w:type="pct"/>
            <w:gridSpan w:val="2"/>
            <w:tcMar>
              <w:left w:w="57" w:type="dxa"/>
              <w:right w:w="57" w:type="dxa"/>
            </w:tcMar>
            <w:vAlign w:val="center"/>
          </w:tcPr>
          <w:p w14:paraId="099D8B22" w14:textId="77777777" w:rsidR="00467644" w:rsidRDefault="00467644" w:rsidP="00444C96">
            <w:pPr>
              <w:rPr>
                <w:rFonts w:ascii="Arial" w:hAnsi="Arial" w:cs="Arial"/>
                <w:sz w:val="20"/>
              </w:rPr>
            </w:pPr>
            <w:r>
              <w:rPr>
                <w:rFonts w:ascii="Arial" w:hAnsi="Arial" w:cs="Arial"/>
                <w:sz w:val="20"/>
              </w:rPr>
              <w:t>N=472</w:t>
            </w:r>
          </w:p>
          <w:p w14:paraId="7BEF51B8" w14:textId="77777777" w:rsidR="00467644" w:rsidRPr="00B8561E" w:rsidRDefault="00467644" w:rsidP="00444C96">
            <w:pPr>
              <w:rPr>
                <w:rFonts w:ascii="Arial" w:hAnsi="Arial" w:cs="Arial"/>
                <w:sz w:val="20"/>
              </w:rPr>
            </w:pPr>
            <w:r>
              <w:rPr>
                <w:rFonts w:ascii="Arial" w:hAnsi="Arial" w:cs="Arial"/>
                <w:sz w:val="20"/>
              </w:rPr>
              <w:t>7.7 (0.9)</w:t>
            </w:r>
          </w:p>
        </w:tc>
        <w:tc>
          <w:tcPr>
            <w:tcW w:w="594" w:type="pct"/>
            <w:gridSpan w:val="2"/>
            <w:tcMar>
              <w:left w:w="57" w:type="dxa"/>
              <w:right w:w="57" w:type="dxa"/>
            </w:tcMar>
            <w:vAlign w:val="center"/>
          </w:tcPr>
          <w:p w14:paraId="271EECCB" w14:textId="77777777" w:rsidR="00467644" w:rsidRPr="00B8561E" w:rsidRDefault="00467644" w:rsidP="00444C96">
            <w:pPr>
              <w:rPr>
                <w:rFonts w:ascii="Arial" w:hAnsi="Arial" w:cs="Arial"/>
                <w:sz w:val="20"/>
              </w:rPr>
            </w:pPr>
            <w:r>
              <w:rPr>
                <w:rFonts w:ascii="Arial" w:hAnsi="Arial" w:cs="Arial"/>
                <w:sz w:val="20"/>
              </w:rPr>
              <w:t>7.34 (0.05)</w:t>
            </w:r>
          </w:p>
        </w:tc>
        <w:tc>
          <w:tcPr>
            <w:tcW w:w="722" w:type="pct"/>
            <w:gridSpan w:val="2"/>
            <w:tcMar>
              <w:left w:w="57" w:type="dxa"/>
              <w:right w:w="57" w:type="dxa"/>
            </w:tcMar>
            <w:vAlign w:val="center"/>
          </w:tcPr>
          <w:p w14:paraId="686EDF6A" w14:textId="77777777" w:rsidR="00467644" w:rsidRPr="00B8561E" w:rsidRDefault="00467644" w:rsidP="00444C96">
            <w:pPr>
              <w:rPr>
                <w:rFonts w:ascii="Arial" w:hAnsi="Arial" w:cs="Arial"/>
                <w:sz w:val="20"/>
              </w:rPr>
            </w:pPr>
            <w:r>
              <w:rPr>
                <w:rFonts w:ascii="Arial" w:hAnsi="Arial" w:cs="Arial"/>
                <w:sz w:val="20"/>
              </w:rPr>
              <w:t>-0.36 (0.05)</w:t>
            </w:r>
          </w:p>
        </w:tc>
        <w:tc>
          <w:tcPr>
            <w:tcW w:w="559" w:type="pct"/>
            <w:gridSpan w:val="2"/>
            <w:tcMar>
              <w:left w:w="57" w:type="dxa"/>
              <w:right w:w="57" w:type="dxa"/>
            </w:tcMar>
          </w:tcPr>
          <w:p w14:paraId="007DE424" w14:textId="77777777" w:rsidR="00467644" w:rsidRDefault="00467644" w:rsidP="00444C96">
            <w:pPr>
              <w:rPr>
                <w:rFonts w:ascii="Arial" w:hAnsi="Arial" w:cs="Arial"/>
                <w:sz w:val="20"/>
              </w:rPr>
            </w:pPr>
            <w:r>
              <w:rPr>
                <w:rFonts w:ascii="Arial" w:hAnsi="Arial" w:cs="Arial"/>
                <w:sz w:val="20"/>
              </w:rPr>
              <w:t>N=157</w:t>
            </w:r>
          </w:p>
          <w:p w14:paraId="78A5EB80" w14:textId="77777777" w:rsidR="00467644" w:rsidRPr="00B8561E" w:rsidRDefault="00467644" w:rsidP="00444C96">
            <w:pPr>
              <w:rPr>
                <w:rFonts w:ascii="Arial" w:hAnsi="Arial" w:cs="Arial"/>
                <w:sz w:val="20"/>
              </w:rPr>
            </w:pPr>
            <w:r>
              <w:rPr>
                <w:rFonts w:ascii="Arial" w:hAnsi="Arial" w:cs="Arial"/>
                <w:sz w:val="20"/>
              </w:rPr>
              <w:t>7.7 (1.0)</w:t>
            </w:r>
          </w:p>
        </w:tc>
        <w:tc>
          <w:tcPr>
            <w:tcW w:w="595" w:type="pct"/>
            <w:gridSpan w:val="2"/>
            <w:tcMar>
              <w:left w:w="57" w:type="dxa"/>
              <w:right w:w="57" w:type="dxa"/>
            </w:tcMar>
            <w:vAlign w:val="center"/>
          </w:tcPr>
          <w:p w14:paraId="10489713" w14:textId="77777777" w:rsidR="00467644" w:rsidRPr="00B8561E" w:rsidRDefault="00467644" w:rsidP="00444C96">
            <w:pPr>
              <w:rPr>
                <w:rFonts w:ascii="Arial" w:hAnsi="Arial" w:cs="Arial"/>
                <w:sz w:val="20"/>
              </w:rPr>
            </w:pPr>
            <w:r>
              <w:rPr>
                <w:rFonts w:ascii="Arial" w:hAnsi="Arial" w:cs="Arial"/>
                <w:sz w:val="20"/>
              </w:rPr>
              <w:t>7.35 (0.07)</w:t>
            </w:r>
          </w:p>
        </w:tc>
        <w:tc>
          <w:tcPr>
            <w:tcW w:w="680" w:type="pct"/>
            <w:gridSpan w:val="2"/>
            <w:tcMar>
              <w:left w:w="57" w:type="dxa"/>
              <w:right w:w="57" w:type="dxa"/>
            </w:tcMar>
            <w:vAlign w:val="center"/>
          </w:tcPr>
          <w:p w14:paraId="4BD85F6F" w14:textId="77777777" w:rsidR="00467644" w:rsidRPr="00B8561E" w:rsidRDefault="00467644" w:rsidP="00444C96">
            <w:pPr>
              <w:rPr>
                <w:rFonts w:ascii="Arial" w:hAnsi="Arial" w:cs="Arial"/>
                <w:sz w:val="20"/>
              </w:rPr>
            </w:pPr>
            <w:r>
              <w:rPr>
                <w:rFonts w:ascii="Arial" w:hAnsi="Arial" w:cs="Arial"/>
                <w:sz w:val="20"/>
              </w:rPr>
              <w:t>-0.34 (0.07)</w:t>
            </w:r>
          </w:p>
        </w:tc>
        <w:tc>
          <w:tcPr>
            <w:tcW w:w="701" w:type="pct"/>
            <w:gridSpan w:val="2"/>
            <w:tcMar>
              <w:left w:w="57" w:type="dxa"/>
              <w:right w:w="57" w:type="dxa"/>
            </w:tcMar>
            <w:vAlign w:val="center"/>
          </w:tcPr>
          <w:p w14:paraId="46D2139E" w14:textId="77777777" w:rsidR="00467644" w:rsidRDefault="00467644" w:rsidP="00444C96">
            <w:pPr>
              <w:rPr>
                <w:rFonts w:ascii="Arial" w:hAnsi="Arial" w:cs="Arial"/>
                <w:sz w:val="20"/>
              </w:rPr>
            </w:pPr>
            <w:r>
              <w:rPr>
                <w:rFonts w:ascii="Arial" w:hAnsi="Arial" w:cs="Arial"/>
                <w:sz w:val="20"/>
              </w:rPr>
              <w:t xml:space="preserve">-0.01 </w:t>
            </w:r>
          </w:p>
          <w:p w14:paraId="04477CA1" w14:textId="77777777" w:rsidR="00467644" w:rsidRPr="00B8561E" w:rsidRDefault="00467644" w:rsidP="00444C96">
            <w:pPr>
              <w:ind w:left="-39" w:right="-31"/>
              <w:rPr>
                <w:rFonts w:ascii="Arial" w:hAnsi="Arial" w:cs="Arial"/>
                <w:sz w:val="20"/>
              </w:rPr>
            </w:pPr>
            <w:r>
              <w:rPr>
                <w:rFonts w:ascii="Arial" w:hAnsi="Arial" w:cs="Arial"/>
                <w:sz w:val="20"/>
              </w:rPr>
              <w:t>(-0.14, 0.11)</w:t>
            </w:r>
          </w:p>
        </w:tc>
      </w:tr>
      <w:tr w:rsidR="00467644" w:rsidRPr="00B8561E" w14:paraId="63DC03E4" w14:textId="77777777" w:rsidTr="000B2968">
        <w:trPr>
          <w:gridAfter w:val="1"/>
          <w:wAfter w:w="4" w:type="pct"/>
          <w:cantSplit/>
        </w:trPr>
        <w:tc>
          <w:tcPr>
            <w:tcW w:w="4996" w:type="pct"/>
            <w:gridSpan w:val="14"/>
            <w:tcBorders>
              <w:bottom w:val="single" w:sz="4" w:space="0" w:color="auto"/>
            </w:tcBorders>
          </w:tcPr>
          <w:p w14:paraId="387B36C6" w14:textId="77777777" w:rsidR="00467644" w:rsidRDefault="00467644" w:rsidP="00444C96">
            <w:pPr>
              <w:rPr>
                <w:rFonts w:ascii="Arial" w:hAnsi="Arial"/>
                <w:i/>
                <w:sz w:val="20"/>
              </w:rPr>
            </w:pPr>
            <w:r>
              <w:rPr>
                <w:rFonts w:ascii="Arial" w:hAnsi="Arial"/>
                <w:sz w:val="20"/>
              </w:rPr>
              <w:lastRenderedPageBreak/>
              <w:t xml:space="preserve">Chi-square for heterogeneity: </w:t>
            </w:r>
            <w:r w:rsidRPr="00CA3F6B">
              <w:rPr>
                <w:rFonts w:ascii="Arial" w:hAnsi="Arial"/>
                <w:sz w:val="20"/>
              </w:rPr>
              <w:t>P= not provided</w:t>
            </w:r>
          </w:p>
          <w:p w14:paraId="69F129C3" w14:textId="77777777" w:rsidR="00467644" w:rsidRPr="00B8561E" w:rsidRDefault="00467644" w:rsidP="00444C96">
            <w:pPr>
              <w:rPr>
                <w:rFonts w:ascii="Arial" w:hAnsi="Arial" w:cs="Arial"/>
                <w:sz w:val="20"/>
              </w:rPr>
            </w:pPr>
            <w:r w:rsidRPr="00CA3F6B">
              <w:rPr>
                <w:rFonts w:ascii="Arial" w:hAnsi="Arial"/>
                <w:sz w:val="20"/>
              </w:rPr>
              <w:t>I</w:t>
            </w:r>
            <w:r w:rsidRPr="00CA3F6B">
              <w:rPr>
                <w:rFonts w:ascii="Arial" w:hAnsi="Arial"/>
                <w:sz w:val="20"/>
                <w:vertAlign w:val="superscript"/>
              </w:rPr>
              <w:t>2</w:t>
            </w:r>
            <w:r w:rsidRPr="00CA3F6B">
              <w:rPr>
                <w:rFonts w:ascii="Arial" w:hAnsi="Arial"/>
                <w:sz w:val="20"/>
              </w:rPr>
              <w:t xml:space="preserve"> </w:t>
            </w:r>
            <w:r>
              <w:rPr>
                <w:rFonts w:ascii="Arial" w:hAnsi="Arial"/>
                <w:sz w:val="20"/>
              </w:rPr>
              <w:t xml:space="preserve">statistic with 95% uncertainty interval = </w:t>
            </w:r>
            <w:r w:rsidRPr="00CA3F6B">
              <w:rPr>
                <w:rFonts w:ascii="Arial" w:hAnsi="Arial"/>
                <w:sz w:val="20"/>
              </w:rPr>
              <w:t>not provided</w:t>
            </w:r>
          </w:p>
        </w:tc>
      </w:tr>
      <w:tr w:rsidR="000B2968" w:rsidRPr="00B8561E" w14:paraId="0B0CE6AC" w14:textId="77777777" w:rsidTr="000B2968">
        <w:trPr>
          <w:gridAfter w:val="1"/>
          <w:wAfter w:w="4" w:type="pct"/>
          <w:cantSplit/>
        </w:trPr>
        <w:tc>
          <w:tcPr>
            <w:tcW w:w="714" w:type="pct"/>
            <w:gridSpan w:val="2"/>
            <w:tcBorders>
              <w:right w:val="nil"/>
            </w:tcBorders>
          </w:tcPr>
          <w:p w14:paraId="45A83646" w14:textId="77777777" w:rsidR="000B2968" w:rsidRPr="00DA7CEB" w:rsidRDefault="000B2968" w:rsidP="00444C96">
            <w:pPr>
              <w:rPr>
                <w:rFonts w:ascii="Arial" w:hAnsi="Arial" w:cs="Arial"/>
                <w:b/>
                <w:sz w:val="20"/>
              </w:rPr>
            </w:pPr>
            <w:r>
              <w:rPr>
                <w:rFonts w:ascii="Arial" w:hAnsi="Arial" w:cs="Arial"/>
                <w:b/>
                <w:sz w:val="20"/>
              </w:rPr>
              <w:t>Type 2 basal oral</w:t>
            </w:r>
          </w:p>
        </w:tc>
        <w:tc>
          <w:tcPr>
            <w:tcW w:w="714" w:type="pct"/>
            <w:gridSpan w:val="2"/>
            <w:tcBorders>
              <w:left w:val="nil"/>
              <w:right w:val="nil"/>
            </w:tcBorders>
          </w:tcPr>
          <w:p w14:paraId="6136EBAD" w14:textId="77777777" w:rsidR="000B2968" w:rsidRPr="00DA7CEB" w:rsidRDefault="000B2968" w:rsidP="00444C96">
            <w:pPr>
              <w:rPr>
                <w:rFonts w:ascii="Arial" w:hAnsi="Arial" w:cs="Arial"/>
                <w:b/>
                <w:sz w:val="20"/>
              </w:rPr>
            </w:pPr>
          </w:p>
        </w:tc>
        <w:tc>
          <w:tcPr>
            <w:tcW w:w="713" w:type="pct"/>
            <w:gridSpan w:val="2"/>
            <w:tcBorders>
              <w:left w:val="nil"/>
              <w:right w:val="nil"/>
            </w:tcBorders>
          </w:tcPr>
          <w:p w14:paraId="12FC3A4C" w14:textId="77777777" w:rsidR="000B2968" w:rsidRPr="00DA7CEB" w:rsidRDefault="000B2968" w:rsidP="00444C96">
            <w:pPr>
              <w:rPr>
                <w:rFonts w:ascii="Arial" w:hAnsi="Arial" w:cs="Arial"/>
                <w:b/>
                <w:sz w:val="20"/>
              </w:rPr>
            </w:pPr>
          </w:p>
        </w:tc>
        <w:tc>
          <w:tcPr>
            <w:tcW w:w="714" w:type="pct"/>
            <w:gridSpan w:val="2"/>
            <w:tcBorders>
              <w:left w:val="nil"/>
              <w:right w:val="nil"/>
            </w:tcBorders>
          </w:tcPr>
          <w:p w14:paraId="71551F0B" w14:textId="77777777" w:rsidR="000B2968" w:rsidRPr="00DA7CEB" w:rsidRDefault="000B2968" w:rsidP="00444C96">
            <w:pPr>
              <w:rPr>
                <w:rFonts w:ascii="Arial" w:hAnsi="Arial" w:cs="Arial"/>
                <w:b/>
                <w:sz w:val="20"/>
              </w:rPr>
            </w:pPr>
          </w:p>
        </w:tc>
        <w:tc>
          <w:tcPr>
            <w:tcW w:w="713" w:type="pct"/>
            <w:gridSpan w:val="2"/>
            <w:tcBorders>
              <w:left w:val="nil"/>
              <w:right w:val="nil"/>
            </w:tcBorders>
          </w:tcPr>
          <w:p w14:paraId="6994D3FE" w14:textId="77777777" w:rsidR="000B2968" w:rsidRPr="00DA7CEB" w:rsidRDefault="000B2968" w:rsidP="00444C96">
            <w:pPr>
              <w:rPr>
                <w:rFonts w:ascii="Arial" w:hAnsi="Arial" w:cs="Arial"/>
                <w:b/>
                <w:sz w:val="20"/>
              </w:rPr>
            </w:pPr>
          </w:p>
        </w:tc>
        <w:tc>
          <w:tcPr>
            <w:tcW w:w="714" w:type="pct"/>
            <w:gridSpan w:val="2"/>
            <w:tcBorders>
              <w:left w:val="nil"/>
              <w:right w:val="nil"/>
            </w:tcBorders>
          </w:tcPr>
          <w:p w14:paraId="0D959FCD" w14:textId="77777777" w:rsidR="000B2968" w:rsidRPr="00DA7CEB" w:rsidRDefault="000B2968" w:rsidP="00444C96">
            <w:pPr>
              <w:rPr>
                <w:rFonts w:ascii="Arial" w:hAnsi="Arial" w:cs="Arial"/>
                <w:b/>
                <w:sz w:val="20"/>
              </w:rPr>
            </w:pPr>
          </w:p>
        </w:tc>
        <w:tc>
          <w:tcPr>
            <w:tcW w:w="714" w:type="pct"/>
            <w:gridSpan w:val="2"/>
            <w:tcBorders>
              <w:left w:val="nil"/>
            </w:tcBorders>
          </w:tcPr>
          <w:p w14:paraId="0A8E2ACE" w14:textId="03ED677F" w:rsidR="000B2968" w:rsidRPr="00DA7CEB" w:rsidRDefault="000B2968" w:rsidP="00444C96">
            <w:pPr>
              <w:rPr>
                <w:rFonts w:ascii="Arial" w:hAnsi="Arial" w:cs="Arial"/>
                <w:b/>
                <w:sz w:val="20"/>
              </w:rPr>
            </w:pPr>
          </w:p>
        </w:tc>
      </w:tr>
      <w:tr w:rsidR="00467644" w:rsidRPr="00B8561E" w14:paraId="643958E5" w14:textId="77777777" w:rsidTr="001E2CDD">
        <w:trPr>
          <w:cantSplit/>
        </w:trPr>
        <w:tc>
          <w:tcPr>
            <w:tcW w:w="555" w:type="pct"/>
          </w:tcPr>
          <w:p w14:paraId="08FA130E" w14:textId="77777777" w:rsidR="00467644" w:rsidRPr="00B8561E" w:rsidRDefault="00467644" w:rsidP="00444C96">
            <w:pPr>
              <w:rPr>
                <w:rFonts w:ascii="Arial" w:hAnsi="Arial" w:cs="Arial"/>
                <w:sz w:val="20"/>
              </w:rPr>
            </w:pPr>
            <w:r>
              <w:rPr>
                <w:rFonts w:ascii="Arial" w:hAnsi="Arial" w:cs="Arial"/>
                <w:sz w:val="20"/>
              </w:rPr>
              <w:t>3579</w:t>
            </w:r>
          </w:p>
        </w:tc>
        <w:tc>
          <w:tcPr>
            <w:tcW w:w="594" w:type="pct"/>
            <w:gridSpan w:val="2"/>
            <w:tcMar>
              <w:left w:w="57" w:type="dxa"/>
              <w:right w:w="57" w:type="dxa"/>
            </w:tcMar>
          </w:tcPr>
          <w:p w14:paraId="7CB9A6E5" w14:textId="77777777" w:rsidR="00467644" w:rsidRDefault="00467644" w:rsidP="00444C96">
            <w:pPr>
              <w:rPr>
                <w:rFonts w:ascii="Arial" w:hAnsi="Arial" w:cs="Arial"/>
                <w:sz w:val="20"/>
              </w:rPr>
            </w:pPr>
            <w:r>
              <w:rPr>
                <w:rFonts w:ascii="Arial" w:hAnsi="Arial" w:cs="Arial"/>
                <w:sz w:val="20"/>
              </w:rPr>
              <w:t>N=773</w:t>
            </w:r>
          </w:p>
          <w:p w14:paraId="7944A2D6" w14:textId="77777777" w:rsidR="00467644" w:rsidRPr="00B8561E" w:rsidRDefault="00467644" w:rsidP="00444C96">
            <w:pPr>
              <w:rPr>
                <w:rFonts w:ascii="Arial" w:hAnsi="Arial" w:cs="Arial"/>
                <w:sz w:val="20"/>
              </w:rPr>
            </w:pPr>
            <w:r>
              <w:rPr>
                <w:rFonts w:ascii="Arial" w:hAnsi="Arial" w:cs="Arial"/>
                <w:sz w:val="20"/>
              </w:rPr>
              <w:t>8.2 (0.8)</w:t>
            </w:r>
          </w:p>
        </w:tc>
        <w:tc>
          <w:tcPr>
            <w:tcW w:w="594" w:type="pct"/>
            <w:gridSpan w:val="2"/>
            <w:tcMar>
              <w:left w:w="57" w:type="dxa"/>
              <w:right w:w="57" w:type="dxa"/>
            </w:tcMar>
            <w:vAlign w:val="center"/>
          </w:tcPr>
          <w:p w14:paraId="5927F17D" w14:textId="77777777" w:rsidR="00467644" w:rsidRPr="00B8561E" w:rsidRDefault="00467644" w:rsidP="00444C96">
            <w:pPr>
              <w:rPr>
                <w:rFonts w:ascii="Arial" w:hAnsi="Arial" w:cs="Arial"/>
                <w:sz w:val="20"/>
              </w:rPr>
            </w:pPr>
            <w:r>
              <w:rPr>
                <w:rFonts w:ascii="Arial" w:hAnsi="Arial" w:cs="Arial"/>
                <w:sz w:val="20"/>
              </w:rPr>
              <w:t>7.11 (0.04)</w:t>
            </w:r>
          </w:p>
        </w:tc>
        <w:tc>
          <w:tcPr>
            <w:tcW w:w="722" w:type="pct"/>
            <w:gridSpan w:val="2"/>
            <w:tcMar>
              <w:left w:w="57" w:type="dxa"/>
              <w:right w:w="57" w:type="dxa"/>
            </w:tcMar>
            <w:vAlign w:val="center"/>
          </w:tcPr>
          <w:p w14:paraId="6C682B17" w14:textId="77777777" w:rsidR="00467644" w:rsidRPr="00B8561E" w:rsidRDefault="00467644" w:rsidP="00444C96">
            <w:pPr>
              <w:rPr>
                <w:rFonts w:ascii="Arial" w:hAnsi="Arial" w:cs="Arial"/>
                <w:sz w:val="20"/>
              </w:rPr>
            </w:pPr>
            <w:r>
              <w:rPr>
                <w:rFonts w:ascii="Arial" w:hAnsi="Arial" w:cs="Arial"/>
                <w:sz w:val="20"/>
              </w:rPr>
              <w:t>-1.06 (0.04)</w:t>
            </w:r>
          </w:p>
        </w:tc>
        <w:tc>
          <w:tcPr>
            <w:tcW w:w="559" w:type="pct"/>
            <w:gridSpan w:val="2"/>
            <w:tcMar>
              <w:left w:w="57" w:type="dxa"/>
              <w:right w:w="57" w:type="dxa"/>
            </w:tcMar>
          </w:tcPr>
          <w:p w14:paraId="7349F3A9" w14:textId="77777777" w:rsidR="00467644" w:rsidRDefault="00467644" w:rsidP="00444C96">
            <w:pPr>
              <w:rPr>
                <w:rFonts w:ascii="Arial" w:hAnsi="Arial" w:cs="Arial"/>
                <w:sz w:val="20"/>
              </w:rPr>
            </w:pPr>
            <w:r>
              <w:rPr>
                <w:rFonts w:ascii="Arial" w:hAnsi="Arial" w:cs="Arial"/>
                <w:sz w:val="20"/>
              </w:rPr>
              <w:t>N=257</w:t>
            </w:r>
          </w:p>
          <w:p w14:paraId="77158038" w14:textId="77777777" w:rsidR="00467644" w:rsidRPr="00B8561E" w:rsidRDefault="00467644" w:rsidP="00444C96">
            <w:pPr>
              <w:rPr>
                <w:rFonts w:ascii="Arial" w:hAnsi="Arial" w:cs="Arial"/>
                <w:sz w:val="20"/>
              </w:rPr>
            </w:pPr>
            <w:r>
              <w:rPr>
                <w:rFonts w:ascii="Arial" w:hAnsi="Arial" w:cs="Arial"/>
                <w:sz w:val="20"/>
              </w:rPr>
              <w:t>8.2 (0.8)</w:t>
            </w:r>
          </w:p>
        </w:tc>
        <w:tc>
          <w:tcPr>
            <w:tcW w:w="595" w:type="pct"/>
            <w:gridSpan w:val="2"/>
            <w:tcMar>
              <w:left w:w="57" w:type="dxa"/>
              <w:right w:w="57" w:type="dxa"/>
            </w:tcMar>
            <w:vAlign w:val="center"/>
          </w:tcPr>
          <w:p w14:paraId="0EE4DEDB" w14:textId="77777777" w:rsidR="00467644" w:rsidRPr="00B8561E" w:rsidRDefault="00467644" w:rsidP="00444C96">
            <w:pPr>
              <w:rPr>
                <w:rFonts w:ascii="Arial" w:hAnsi="Arial" w:cs="Arial"/>
                <w:sz w:val="20"/>
              </w:rPr>
            </w:pPr>
            <w:r>
              <w:rPr>
                <w:rFonts w:ascii="Arial" w:hAnsi="Arial" w:cs="Arial"/>
                <w:sz w:val="20"/>
              </w:rPr>
              <w:t>7.02 (0.06)</w:t>
            </w:r>
          </w:p>
        </w:tc>
        <w:tc>
          <w:tcPr>
            <w:tcW w:w="680" w:type="pct"/>
            <w:gridSpan w:val="2"/>
            <w:tcMar>
              <w:left w:w="57" w:type="dxa"/>
              <w:right w:w="57" w:type="dxa"/>
            </w:tcMar>
            <w:vAlign w:val="center"/>
          </w:tcPr>
          <w:p w14:paraId="7D462A6E" w14:textId="77777777" w:rsidR="00467644" w:rsidRPr="00B8561E" w:rsidRDefault="00467644" w:rsidP="00444C96">
            <w:pPr>
              <w:rPr>
                <w:rFonts w:ascii="Arial" w:hAnsi="Arial" w:cs="Arial"/>
                <w:sz w:val="20"/>
              </w:rPr>
            </w:pPr>
            <w:r>
              <w:rPr>
                <w:rFonts w:ascii="Arial" w:hAnsi="Arial" w:cs="Arial"/>
                <w:sz w:val="20"/>
              </w:rPr>
              <w:t>-1.15 (0.06)</w:t>
            </w:r>
          </w:p>
        </w:tc>
        <w:tc>
          <w:tcPr>
            <w:tcW w:w="701" w:type="pct"/>
            <w:gridSpan w:val="2"/>
            <w:tcMar>
              <w:left w:w="57" w:type="dxa"/>
              <w:right w:w="57" w:type="dxa"/>
            </w:tcMar>
            <w:vAlign w:val="center"/>
          </w:tcPr>
          <w:p w14:paraId="07D6CAFB" w14:textId="77777777" w:rsidR="00467644" w:rsidRDefault="00467644" w:rsidP="00444C96">
            <w:pPr>
              <w:ind w:left="-39" w:right="-31"/>
              <w:rPr>
                <w:rFonts w:ascii="Arial" w:hAnsi="Arial" w:cs="Arial"/>
                <w:sz w:val="20"/>
              </w:rPr>
            </w:pPr>
            <w:r>
              <w:rPr>
                <w:rFonts w:ascii="Arial" w:hAnsi="Arial" w:cs="Arial"/>
                <w:sz w:val="20"/>
              </w:rPr>
              <w:t xml:space="preserve">0.09 </w:t>
            </w:r>
          </w:p>
          <w:p w14:paraId="5635ACF7" w14:textId="77777777" w:rsidR="00467644" w:rsidRPr="00B8561E" w:rsidRDefault="00467644" w:rsidP="00444C96">
            <w:pPr>
              <w:ind w:left="-39" w:right="-31"/>
              <w:rPr>
                <w:rFonts w:ascii="Arial" w:hAnsi="Arial" w:cs="Arial"/>
                <w:sz w:val="20"/>
              </w:rPr>
            </w:pPr>
            <w:r>
              <w:rPr>
                <w:rFonts w:ascii="Arial" w:hAnsi="Arial" w:cs="Arial"/>
                <w:sz w:val="20"/>
              </w:rPr>
              <w:t>(-0.04, 0.22)</w:t>
            </w:r>
          </w:p>
        </w:tc>
      </w:tr>
      <w:tr w:rsidR="00467644" w:rsidRPr="00B8561E" w14:paraId="440CF206" w14:textId="77777777" w:rsidTr="000B2968">
        <w:trPr>
          <w:gridAfter w:val="1"/>
          <w:wAfter w:w="4" w:type="pct"/>
          <w:cantSplit/>
        </w:trPr>
        <w:tc>
          <w:tcPr>
            <w:tcW w:w="4996" w:type="pct"/>
            <w:gridSpan w:val="14"/>
            <w:tcBorders>
              <w:bottom w:val="single" w:sz="4" w:space="0" w:color="auto"/>
            </w:tcBorders>
          </w:tcPr>
          <w:p w14:paraId="0A42DDCF" w14:textId="77777777" w:rsidR="00467644" w:rsidRPr="00CA3F6B" w:rsidRDefault="00467644" w:rsidP="00444C96">
            <w:pPr>
              <w:rPr>
                <w:rFonts w:ascii="Arial" w:hAnsi="Arial"/>
                <w:sz w:val="20"/>
              </w:rPr>
            </w:pPr>
            <w:r>
              <w:rPr>
                <w:rFonts w:ascii="Arial" w:hAnsi="Arial"/>
                <w:sz w:val="20"/>
              </w:rPr>
              <w:t>Chi-</w:t>
            </w:r>
            <w:r w:rsidRPr="00CA3F6B">
              <w:rPr>
                <w:rFonts w:ascii="Arial" w:hAnsi="Arial"/>
                <w:sz w:val="20"/>
              </w:rPr>
              <w:t>square for heterogeneity: P= not provided</w:t>
            </w:r>
          </w:p>
          <w:p w14:paraId="4243F4A3" w14:textId="77777777" w:rsidR="00467644" w:rsidRPr="00B8561E" w:rsidRDefault="00467644" w:rsidP="00444C96">
            <w:pPr>
              <w:rPr>
                <w:rFonts w:ascii="Arial" w:hAnsi="Arial" w:cs="Arial"/>
                <w:sz w:val="20"/>
              </w:rPr>
            </w:pPr>
            <w:r w:rsidRPr="00CA3F6B">
              <w:rPr>
                <w:rFonts w:ascii="Arial" w:hAnsi="Arial"/>
                <w:sz w:val="20"/>
              </w:rPr>
              <w:t>I</w:t>
            </w:r>
            <w:r w:rsidRPr="00CA3F6B">
              <w:rPr>
                <w:rFonts w:ascii="Arial" w:hAnsi="Arial"/>
                <w:sz w:val="20"/>
                <w:vertAlign w:val="superscript"/>
              </w:rPr>
              <w:t>2</w:t>
            </w:r>
            <w:r w:rsidRPr="00CA3F6B">
              <w:rPr>
                <w:rFonts w:ascii="Arial" w:hAnsi="Arial"/>
                <w:sz w:val="20"/>
              </w:rPr>
              <w:t xml:space="preserve"> statistic with 95% uncertainty interval = not provided</w:t>
            </w:r>
          </w:p>
        </w:tc>
      </w:tr>
      <w:tr w:rsidR="000B2968" w:rsidRPr="00B8561E" w14:paraId="0288E8B4" w14:textId="77777777" w:rsidTr="000B2968">
        <w:trPr>
          <w:gridAfter w:val="1"/>
          <w:wAfter w:w="4" w:type="pct"/>
          <w:cantSplit/>
        </w:trPr>
        <w:tc>
          <w:tcPr>
            <w:tcW w:w="713" w:type="pct"/>
            <w:gridSpan w:val="2"/>
            <w:tcBorders>
              <w:right w:val="nil"/>
            </w:tcBorders>
          </w:tcPr>
          <w:p w14:paraId="414CC239" w14:textId="77777777" w:rsidR="000B2968" w:rsidRPr="00DA7CEB" w:rsidRDefault="000B2968" w:rsidP="00444C96">
            <w:pPr>
              <w:rPr>
                <w:rFonts w:ascii="Arial" w:hAnsi="Arial" w:cs="Arial"/>
                <w:b/>
                <w:sz w:val="20"/>
              </w:rPr>
            </w:pPr>
            <w:r>
              <w:rPr>
                <w:rFonts w:ascii="Arial" w:hAnsi="Arial" w:cs="Arial"/>
                <w:b/>
                <w:sz w:val="20"/>
              </w:rPr>
              <w:t>Type 2 basal bolus plus oral</w:t>
            </w:r>
          </w:p>
        </w:tc>
        <w:tc>
          <w:tcPr>
            <w:tcW w:w="714" w:type="pct"/>
            <w:gridSpan w:val="2"/>
            <w:tcBorders>
              <w:left w:val="nil"/>
              <w:right w:val="nil"/>
            </w:tcBorders>
          </w:tcPr>
          <w:p w14:paraId="38C3D69B" w14:textId="77777777" w:rsidR="000B2968" w:rsidRPr="00DA7CEB" w:rsidRDefault="000B2968" w:rsidP="00444C96">
            <w:pPr>
              <w:rPr>
                <w:rFonts w:ascii="Arial" w:hAnsi="Arial" w:cs="Arial"/>
                <w:b/>
                <w:sz w:val="20"/>
              </w:rPr>
            </w:pPr>
          </w:p>
        </w:tc>
        <w:tc>
          <w:tcPr>
            <w:tcW w:w="714" w:type="pct"/>
            <w:gridSpan w:val="2"/>
            <w:tcBorders>
              <w:left w:val="nil"/>
              <w:right w:val="nil"/>
            </w:tcBorders>
          </w:tcPr>
          <w:p w14:paraId="4C0CC03D" w14:textId="77777777" w:rsidR="000B2968" w:rsidRPr="00DA7CEB" w:rsidRDefault="000B2968" w:rsidP="00444C96">
            <w:pPr>
              <w:rPr>
                <w:rFonts w:ascii="Arial" w:hAnsi="Arial" w:cs="Arial"/>
                <w:b/>
                <w:sz w:val="20"/>
              </w:rPr>
            </w:pPr>
          </w:p>
        </w:tc>
        <w:tc>
          <w:tcPr>
            <w:tcW w:w="713" w:type="pct"/>
            <w:gridSpan w:val="2"/>
            <w:tcBorders>
              <w:left w:val="nil"/>
              <w:right w:val="nil"/>
            </w:tcBorders>
          </w:tcPr>
          <w:p w14:paraId="2037CC63" w14:textId="77777777" w:rsidR="000B2968" w:rsidRPr="00DA7CEB" w:rsidRDefault="000B2968" w:rsidP="00444C96">
            <w:pPr>
              <w:rPr>
                <w:rFonts w:ascii="Arial" w:hAnsi="Arial" w:cs="Arial"/>
                <w:b/>
                <w:sz w:val="20"/>
              </w:rPr>
            </w:pPr>
          </w:p>
        </w:tc>
        <w:tc>
          <w:tcPr>
            <w:tcW w:w="714" w:type="pct"/>
            <w:gridSpan w:val="2"/>
            <w:tcBorders>
              <w:left w:val="nil"/>
              <w:right w:val="nil"/>
            </w:tcBorders>
          </w:tcPr>
          <w:p w14:paraId="17A8BED8" w14:textId="77777777" w:rsidR="000B2968" w:rsidRPr="00DA7CEB" w:rsidRDefault="000B2968" w:rsidP="00444C96">
            <w:pPr>
              <w:rPr>
                <w:rFonts w:ascii="Arial" w:hAnsi="Arial" w:cs="Arial"/>
                <w:b/>
                <w:sz w:val="20"/>
              </w:rPr>
            </w:pPr>
          </w:p>
        </w:tc>
        <w:tc>
          <w:tcPr>
            <w:tcW w:w="714" w:type="pct"/>
            <w:gridSpan w:val="2"/>
            <w:tcBorders>
              <w:left w:val="nil"/>
              <w:right w:val="nil"/>
            </w:tcBorders>
          </w:tcPr>
          <w:p w14:paraId="3FAE25E2" w14:textId="77777777" w:rsidR="000B2968" w:rsidRPr="00DA7CEB" w:rsidRDefault="000B2968" w:rsidP="00444C96">
            <w:pPr>
              <w:rPr>
                <w:rFonts w:ascii="Arial" w:hAnsi="Arial" w:cs="Arial"/>
                <w:b/>
                <w:sz w:val="20"/>
              </w:rPr>
            </w:pPr>
          </w:p>
        </w:tc>
        <w:tc>
          <w:tcPr>
            <w:tcW w:w="714" w:type="pct"/>
            <w:gridSpan w:val="2"/>
            <w:tcBorders>
              <w:left w:val="nil"/>
            </w:tcBorders>
          </w:tcPr>
          <w:p w14:paraId="3FAD9DBB" w14:textId="3465D297" w:rsidR="000B2968" w:rsidRPr="00DA7CEB" w:rsidRDefault="000B2968" w:rsidP="00444C96">
            <w:pPr>
              <w:rPr>
                <w:rFonts w:ascii="Arial" w:hAnsi="Arial" w:cs="Arial"/>
                <w:b/>
                <w:sz w:val="20"/>
              </w:rPr>
            </w:pPr>
          </w:p>
        </w:tc>
      </w:tr>
      <w:tr w:rsidR="00467644" w:rsidRPr="00B8561E" w14:paraId="5865BCB1" w14:textId="77777777" w:rsidTr="001E2CDD">
        <w:trPr>
          <w:cantSplit/>
        </w:trPr>
        <w:tc>
          <w:tcPr>
            <w:tcW w:w="555" w:type="pct"/>
          </w:tcPr>
          <w:p w14:paraId="5953E5BB" w14:textId="77777777" w:rsidR="00467644" w:rsidRPr="00B8561E" w:rsidRDefault="00467644" w:rsidP="00444C96">
            <w:pPr>
              <w:rPr>
                <w:rFonts w:ascii="Arial" w:hAnsi="Arial" w:cs="Arial"/>
                <w:sz w:val="20"/>
              </w:rPr>
            </w:pPr>
            <w:r>
              <w:rPr>
                <w:rFonts w:ascii="Arial" w:hAnsi="Arial" w:cs="Arial"/>
                <w:sz w:val="20"/>
              </w:rPr>
              <w:t>3582</w:t>
            </w:r>
          </w:p>
        </w:tc>
        <w:tc>
          <w:tcPr>
            <w:tcW w:w="594" w:type="pct"/>
            <w:gridSpan w:val="2"/>
            <w:tcMar>
              <w:left w:w="57" w:type="dxa"/>
              <w:right w:w="57" w:type="dxa"/>
            </w:tcMar>
            <w:vAlign w:val="center"/>
          </w:tcPr>
          <w:p w14:paraId="02A11473" w14:textId="77777777" w:rsidR="00467644" w:rsidRDefault="00467644" w:rsidP="00444C96">
            <w:pPr>
              <w:rPr>
                <w:rFonts w:ascii="Arial" w:hAnsi="Arial" w:cs="Arial"/>
                <w:sz w:val="20"/>
              </w:rPr>
            </w:pPr>
            <w:r>
              <w:rPr>
                <w:rFonts w:ascii="Arial" w:hAnsi="Arial" w:cs="Arial"/>
                <w:sz w:val="20"/>
              </w:rPr>
              <w:t>N=744</w:t>
            </w:r>
          </w:p>
          <w:p w14:paraId="789A3E44" w14:textId="77777777" w:rsidR="00467644" w:rsidRPr="00B8561E" w:rsidRDefault="00467644" w:rsidP="00444C96">
            <w:pPr>
              <w:rPr>
                <w:rFonts w:ascii="Arial" w:hAnsi="Arial" w:cs="Arial"/>
                <w:sz w:val="20"/>
              </w:rPr>
            </w:pPr>
            <w:r>
              <w:rPr>
                <w:rFonts w:ascii="Arial" w:hAnsi="Arial" w:cs="Arial"/>
                <w:sz w:val="20"/>
              </w:rPr>
              <w:t>8.3 (0.8)</w:t>
            </w:r>
          </w:p>
        </w:tc>
        <w:tc>
          <w:tcPr>
            <w:tcW w:w="594" w:type="pct"/>
            <w:gridSpan w:val="2"/>
            <w:tcMar>
              <w:left w:w="57" w:type="dxa"/>
              <w:right w:w="57" w:type="dxa"/>
            </w:tcMar>
            <w:vAlign w:val="center"/>
          </w:tcPr>
          <w:p w14:paraId="5053A347" w14:textId="77777777" w:rsidR="00467644" w:rsidRPr="00B8561E" w:rsidRDefault="00467644" w:rsidP="00444C96">
            <w:pPr>
              <w:rPr>
                <w:rFonts w:ascii="Arial" w:hAnsi="Arial" w:cs="Arial"/>
                <w:sz w:val="20"/>
              </w:rPr>
            </w:pPr>
            <w:r>
              <w:rPr>
                <w:rFonts w:ascii="Arial" w:hAnsi="Arial" w:cs="Arial"/>
                <w:sz w:val="20"/>
              </w:rPr>
              <w:t>7.19 (0.06)</w:t>
            </w:r>
          </w:p>
        </w:tc>
        <w:tc>
          <w:tcPr>
            <w:tcW w:w="722" w:type="pct"/>
            <w:gridSpan w:val="2"/>
            <w:tcMar>
              <w:left w:w="57" w:type="dxa"/>
              <w:right w:w="57" w:type="dxa"/>
            </w:tcMar>
            <w:vAlign w:val="center"/>
          </w:tcPr>
          <w:p w14:paraId="33ABACD7" w14:textId="77777777" w:rsidR="00467644" w:rsidRPr="00B8561E" w:rsidRDefault="00467644" w:rsidP="00444C96">
            <w:pPr>
              <w:rPr>
                <w:rFonts w:ascii="Arial" w:hAnsi="Arial" w:cs="Arial"/>
                <w:sz w:val="20"/>
              </w:rPr>
            </w:pPr>
            <w:r>
              <w:rPr>
                <w:rFonts w:ascii="Arial" w:hAnsi="Arial" w:cs="Arial"/>
                <w:sz w:val="20"/>
              </w:rPr>
              <w:t>-1.10 (0.06)</w:t>
            </w:r>
          </w:p>
        </w:tc>
        <w:tc>
          <w:tcPr>
            <w:tcW w:w="559" w:type="pct"/>
            <w:gridSpan w:val="2"/>
            <w:tcMar>
              <w:left w:w="57" w:type="dxa"/>
              <w:right w:w="57" w:type="dxa"/>
            </w:tcMar>
          </w:tcPr>
          <w:p w14:paraId="5C1289F9" w14:textId="77777777" w:rsidR="00467644" w:rsidRDefault="00467644" w:rsidP="00444C96">
            <w:pPr>
              <w:rPr>
                <w:rFonts w:ascii="Arial" w:hAnsi="Arial" w:cs="Arial"/>
                <w:sz w:val="20"/>
              </w:rPr>
            </w:pPr>
            <w:r>
              <w:rPr>
                <w:rFonts w:ascii="Arial" w:hAnsi="Arial" w:cs="Arial"/>
                <w:sz w:val="20"/>
              </w:rPr>
              <w:t>N=248</w:t>
            </w:r>
          </w:p>
          <w:p w14:paraId="4E43F571" w14:textId="77777777" w:rsidR="00467644" w:rsidRPr="00B8561E" w:rsidRDefault="00467644" w:rsidP="00444C96">
            <w:pPr>
              <w:rPr>
                <w:rFonts w:ascii="Arial" w:hAnsi="Arial" w:cs="Arial"/>
                <w:sz w:val="20"/>
              </w:rPr>
            </w:pPr>
            <w:r>
              <w:rPr>
                <w:rFonts w:ascii="Arial" w:hAnsi="Arial" w:cs="Arial"/>
                <w:sz w:val="20"/>
              </w:rPr>
              <w:t>8.4 (0.9)</w:t>
            </w:r>
          </w:p>
        </w:tc>
        <w:tc>
          <w:tcPr>
            <w:tcW w:w="595" w:type="pct"/>
            <w:gridSpan w:val="2"/>
            <w:tcMar>
              <w:left w:w="57" w:type="dxa"/>
              <w:right w:w="57" w:type="dxa"/>
            </w:tcMar>
            <w:vAlign w:val="center"/>
          </w:tcPr>
          <w:p w14:paraId="202BBDAE" w14:textId="77777777" w:rsidR="00467644" w:rsidRPr="00B8561E" w:rsidRDefault="00467644" w:rsidP="00444C96">
            <w:pPr>
              <w:rPr>
                <w:rFonts w:ascii="Arial" w:hAnsi="Arial" w:cs="Arial"/>
                <w:sz w:val="20"/>
              </w:rPr>
            </w:pPr>
            <w:r>
              <w:rPr>
                <w:rFonts w:ascii="Arial" w:hAnsi="Arial" w:cs="Arial"/>
                <w:sz w:val="20"/>
              </w:rPr>
              <w:t>7.11 (0.08)</w:t>
            </w:r>
          </w:p>
        </w:tc>
        <w:tc>
          <w:tcPr>
            <w:tcW w:w="680" w:type="pct"/>
            <w:gridSpan w:val="2"/>
            <w:tcMar>
              <w:left w:w="57" w:type="dxa"/>
              <w:right w:w="57" w:type="dxa"/>
            </w:tcMar>
            <w:vAlign w:val="center"/>
          </w:tcPr>
          <w:p w14:paraId="49187694" w14:textId="77777777" w:rsidR="00467644" w:rsidRPr="00B8561E" w:rsidRDefault="00467644" w:rsidP="00444C96">
            <w:pPr>
              <w:rPr>
                <w:rFonts w:ascii="Arial" w:hAnsi="Arial" w:cs="Arial"/>
                <w:sz w:val="20"/>
              </w:rPr>
            </w:pPr>
            <w:r>
              <w:rPr>
                <w:rFonts w:ascii="Arial" w:hAnsi="Arial" w:cs="Arial"/>
                <w:sz w:val="20"/>
              </w:rPr>
              <w:t>-1.18 (0.08)</w:t>
            </w:r>
          </w:p>
        </w:tc>
        <w:tc>
          <w:tcPr>
            <w:tcW w:w="701" w:type="pct"/>
            <w:gridSpan w:val="2"/>
            <w:tcMar>
              <w:left w:w="57" w:type="dxa"/>
              <w:right w:w="57" w:type="dxa"/>
            </w:tcMar>
            <w:vAlign w:val="center"/>
          </w:tcPr>
          <w:p w14:paraId="4A89F8B6" w14:textId="77777777" w:rsidR="00467644" w:rsidRDefault="00467644" w:rsidP="00444C96">
            <w:pPr>
              <w:rPr>
                <w:rFonts w:ascii="Arial" w:hAnsi="Arial" w:cs="Arial"/>
                <w:sz w:val="20"/>
              </w:rPr>
            </w:pPr>
            <w:r>
              <w:rPr>
                <w:rFonts w:ascii="Arial" w:hAnsi="Arial" w:cs="Arial"/>
                <w:sz w:val="20"/>
              </w:rPr>
              <w:t xml:space="preserve">0.08 </w:t>
            </w:r>
          </w:p>
          <w:p w14:paraId="2A173C01" w14:textId="77777777" w:rsidR="00467644" w:rsidRPr="00B8561E" w:rsidRDefault="00467644" w:rsidP="00444C96">
            <w:pPr>
              <w:rPr>
                <w:rFonts w:ascii="Arial" w:hAnsi="Arial" w:cs="Arial"/>
                <w:sz w:val="20"/>
              </w:rPr>
            </w:pPr>
            <w:r>
              <w:rPr>
                <w:rFonts w:ascii="Arial" w:hAnsi="Arial" w:cs="Arial"/>
                <w:sz w:val="20"/>
              </w:rPr>
              <w:t>(-0.05, 0.21)</w:t>
            </w:r>
          </w:p>
        </w:tc>
      </w:tr>
    </w:tbl>
    <w:p w14:paraId="6A381783" w14:textId="77777777" w:rsidR="00467644" w:rsidRPr="003563A7" w:rsidRDefault="00467644" w:rsidP="00444C96">
      <w:pPr>
        <w:rPr>
          <w:bCs/>
        </w:rPr>
      </w:pPr>
    </w:p>
    <w:p w14:paraId="04EAD95B" w14:textId="77777777" w:rsidR="003563A7" w:rsidRPr="003563A7" w:rsidRDefault="003563A7" w:rsidP="00444C96">
      <w:pPr>
        <w:rPr>
          <w:bCs/>
        </w:rPr>
      </w:pPr>
      <w:r w:rsidRPr="003563A7">
        <w:rPr>
          <w:bCs/>
        </w:rPr>
        <w:t>In all trials the non-inferiority of degludec to glargine for change in HbA1c was demonstrated, with the upper limit of the 95% CI for treatment differences less than 0.4%.  The pooled analyses presented in the submission confirmed the non-inferiority of degludec and glargine.</w:t>
      </w:r>
    </w:p>
    <w:p w14:paraId="40A12697" w14:textId="77777777" w:rsidR="003563A7" w:rsidRPr="003563A7" w:rsidRDefault="003563A7" w:rsidP="00444C96">
      <w:pPr>
        <w:rPr>
          <w:bCs/>
        </w:rPr>
      </w:pPr>
    </w:p>
    <w:p w14:paraId="46794CCF" w14:textId="19D79088" w:rsidR="00847803" w:rsidRDefault="003563A7" w:rsidP="00513E52">
      <w:pPr>
        <w:rPr>
          <w:bCs/>
        </w:rPr>
      </w:pPr>
      <w:r w:rsidRPr="003563A7">
        <w:rPr>
          <w:bCs/>
        </w:rPr>
        <w:t xml:space="preserve">The submission presented results for occurrence of hypoglycaemic events (a safety outcome in the trials) as a secondary efficacy outcome.  </w:t>
      </w:r>
      <w:r w:rsidR="001D6A96">
        <w:rPr>
          <w:bCs/>
        </w:rPr>
        <w:t>The PBAC noted that the i</w:t>
      </w:r>
      <w:r w:rsidRPr="003563A7">
        <w:rPr>
          <w:bCs/>
        </w:rPr>
        <w:t>ndividual trial results showed few differences</w:t>
      </w:r>
      <w:r w:rsidR="00162CDB">
        <w:rPr>
          <w:bCs/>
        </w:rPr>
        <w:t xml:space="preserve"> between </w:t>
      </w:r>
      <w:r w:rsidR="00513E52">
        <w:rPr>
          <w:bCs/>
        </w:rPr>
        <w:t xml:space="preserve">insulin </w:t>
      </w:r>
      <w:r w:rsidR="00162CDB">
        <w:rPr>
          <w:bCs/>
        </w:rPr>
        <w:t>degludec and glargine</w:t>
      </w:r>
      <w:r w:rsidR="00513E52">
        <w:rPr>
          <w:bCs/>
        </w:rPr>
        <w:t xml:space="preserve">. Insulin degludec was statistically significant for </w:t>
      </w:r>
      <w:r w:rsidR="00764A27">
        <w:rPr>
          <w:bCs/>
        </w:rPr>
        <w:t>non-severe nocturnal hypoglycaemia</w:t>
      </w:r>
      <w:r w:rsidR="00513E52">
        <w:rPr>
          <w:bCs/>
        </w:rPr>
        <w:t>. T</w:t>
      </w:r>
      <w:r w:rsidRPr="003563A7">
        <w:rPr>
          <w:bCs/>
        </w:rPr>
        <w:t>he PBAC noted the</w:t>
      </w:r>
      <w:r w:rsidRPr="00A832B4">
        <w:rPr>
          <w:bCs/>
        </w:rPr>
        <w:t xml:space="preserve"> data</w:t>
      </w:r>
      <w:r w:rsidRPr="003563A7">
        <w:rPr>
          <w:bCs/>
        </w:rPr>
        <w:t xml:space="preserve"> suggested a small reduction in hypoglycaemia,</w:t>
      </w:r>
      <w:r w:rsidR="00513E52">
        <w:rPr>
          <w:bCs/>
        </w:rPr>
        <w:t xml:space="preserve"> </w:t>
      </w:r>
      <w:r w:rsidRPr="00A832B4">
        <w:rPr>
          <w:bCs/>
        </w:rPr>
        <w:t xml:space="preserve">but that </w:t>
      </w:r>
      <w:r w:rsidR="00D82FCE" w:rsidRPr="00A832B4">
        <w:rPr>
          <w:bCs/>
        </w:rPr>
        <w:t>it remained</w:t>
      </w:r>
      <w:r w:rsidR="00D82FCE">
        <w:rPr>
          <w:bCs/>
        </w:rPr>
        <w:t xml:space="preserve"> unclear whether this would </w:t>
      </w:r>
      <w:r w:rsidRPr="003563A7">
        <w:rPr>
          <w:bCs/>
        </w:rPr>
        <w:t>trans</w:t>
      </w:r>
      <w:r w:rsidR="00D82FCE">
        <w:rPr>
          <w:bCs/>
        </w:rPr>
        <w:t>late into clinically meaningful</w:t>
      </w:r>
      <w:r w:rsidRPr="003563A7">
        <w:rPr>
          <w:bCs/>
        </w:rPr>
        <w:t xml:space="preserve"> benefits</w:t>
      </w:r>
      <w:r w:rsidR="00D82FCE">
        <w:rPr>
          <w:bCs/>
        </w:rPr>
        <w:t>.</w:t>
      </w:r>
      <w:r w:rsidRPr="003563A7">
        <w:rPr>
          <w:bCs/>
        </w:rPr>
        <w:t xml:space="preserve"> </w:t>
      </w:r>
      <w:r w:rsidR="00513E52" w:rsidRPr="003563A7">
        <w:rPr>
          <w:bCs/>
        </w:rPr>
        <w:t>In particular</w:t>
      </w:r>
      <w:r w:rsidR="00513E52">
        <w:rPr>
          <w:bCs/>
        </w:rPr>
        <w:t>,</w:t>
      </w:r>
      <w:r w:rsidR="00513E52" w:rsidRPr="003563A7">
        <w:rPr>
          <w:bCs/>
        </w:rPr>
        <w:t xml:space="preserve"> the PBA</w:t>
      </w:r>
      <w:r w:rsidR="00513E52">
        <w:rPr>
          <w:bCs/>
        </w:rPr>
        <w:t xml:space="preserve">C noted </w:t>
      </w:r>
    </w:p>
    <w:p w14:paraId="1AE6FA77" w14:textId="73B3C7DB" w:rsidR="00847803" w:rsidRDefault="00513E52" w:rsidP="0007292D">
      <w:pPr>
        <w:pStyle w:val="ListParagraph"/>
        <w:numPr>
          <w:ilvl w:val="0"/>
          <w:numId w:val="18"/>
        </w:numPr>
        <w:rPr>
          <w:bCs/>
        </w:rPr>
      </w:pPr>
      <w:r w:rsidRPr="00847803">
        <w:rPr>
          <w:bCs/>
        </w:rPr>
        <w:t>that severe hypoglycaemic events were not reduced</w:t>
      </w:r>
      <w:r w:rsidR="00A07BCE">
        <w:rPr>
          <w:bCs/>
        </w:rPr>
        <w:t>;</w:t>
      </w:r>
    </w:p>
    <w:p w14:paraId="24FF131B" w14:textId="04E48129" w:rsidR="00847803" w:rsidRDefault="00847803" w:rsidP="0007292D">
      <w:pPr>
        <w:pStyle w:val="ListParagraph"/>
        <w:numPr>
          <w:ilvl w:val="0"/>
          <w:numId w:val="18"/>
        </w:numPr>
        <w:rPr>
          <w:bCs/>
        </w:rPr>
      </w:pPr>
      <w:r>
        <w:rPr>
          <w:bCs/>
        </w:rPr>
        <w:t xml:space="preserve">the </w:t>
      </w:r>
      <w:r w:rsidRPr="00847803">
        <w:rPr>
          <w:bCs/>
        </w:rPr>
        <w:t>results for change in HbA1c from baseline across the trials, indicated the point estimate of HbA1c reduction was slightly less for insulin degludec than for glargine in Type 1 basal bolus patients</w:t>
      </w:r>
      <w:r>
        <w:rPr>
          <w:bCs/>
        </w:rPr>
        <w:t>;</w:t>
      </w:r>
    </w:p>
    <w:p w14:paraId="34852FEF" w14:textId="62A4D767" w:rsidR="003563A7" w:rsidRPr="003563A7" w:rsidRDefault="00847803" w:rsidP="0007292D">
      <w:pPr>
        <w:pStyle w:val="ListParagraph"/>
        <w:numPr>
          <w:ilvl w:val="0"/>
          <w:numId w:val="18"/>
        </w:numPr>
        <w:rPr>
          <w:bCs/>
        </w:rPr>
      </w:pPr>
      <w:r>
        <w:rPr>
          <w:bCs/>
        </w:rPr>
        <w:t>t</w:t>
      </w:r>
      <w:r w:rsidR="003211CC">
        <w:rPr>
          <w:bCs/>
        </w:rPr>
        <w:t xml:space="preserve">he protocols used in the trials were </w:t>
      </w:r>
      <w:r w:rsidR="00CD21E7">
        <w:rPr>
          <w:bCs/>
        </w:rPr>
        <w:t xml:space="preserve">a </w:t>
      </w:r>
      <w:r w:rsidR="003563A7" w:rsidRPr="003563A7">
        <w:rPr>
          <w:bCs/>
        </w:rPr>
        <w:t xml:space="preserve">strict </w:t>
      </w:r>
      <w:r w:rsidR="00592869">
        <w:rPr>
          <w:bCs/>
        </w:rPr>
        <w:t>‘</w:t>
      </w:r>
      <w:r w:rsidR="003563A7" w:rsidRPr="003563A7">
        <w:rPr>
          <w:bCs/>
        </w:rPr>
        <w:t>treat to targe</w:t>
      </w:r>
      <w:r w:rsidR="003563A7">
        <w:rPr>
          <w:bCs/>
        </w:rPr>
        <w:t>t</w:t>
      </w:r>
      <w:r w:rsidR="00592869">
        <w:rPr>
          <w:bCs/>
        </w:rPr>
        <w:t>’</w:t>
      </w:r>
      <w:r w:rsidR="003563A7">
        <w:rPr>
          <w:bCs/>
        </w:rPr>
        <w:t xml:space="preserve"> </w:t>
      </w:r>
      <w:r w:rsidR="00CD21E7">
        <w:rPr>
          <w:bCs/>
        </w:rPr>
        <w:t>design</w:t>
      </w:r>
      <w:r w:rsidR="003563A7">
        <w:rPr>
          <w:bCs/>
        </w:rPr>
        <w:t xml:space="preserve"> </w:t>
      </w:r>
      <w:r w:rsidR="00CD21E7">
        <w:rPr>
          <w:bCs/>
        </w:rPr>
        <w:t>as required by the FDA and EMA regulatory authorities</w:t>
      </w:r>
      <w:r>
        <w:rPr>
          <w:bCs/>
        </w:rPr>
        <w:t xml:space="preserve"> but </w:t>
      </w:r>
      <w:r w:rsidR="00CD21E7">
        <w:rPr>
          <w:bCs/>
        </w:rPr>
        <w:t xml:space="preserve">that this may not be </w:t>
      </w:r>
      <w:r w:rsidR="003563A7" w:rsidRPr="003563A7">
        <w:rPr>
          <w:bCs/>
        </w:rPr>
        <w:t>representative of clinical practice</w:t>
      </w:r>
      <w:r w:rsidR="003563A7">
        <w:rPr>
          <w:bCs/>
        </w:rPr>
        <w:t xml:space="preserve">. </w:t>
      </w:r>
    </w:p>
    <w:p w14:paraId="748CC587" w14:textId="77777777" w:rsidR="003563A7" w:rsidRPr="003563A7" w:rsidRDefault="003563A7" w:rsidP="00444C96">
      <w:pPr>
        <w:rPr>
          <w:bCs/>
        </w:rPr>
      </w:pPr>
    </w:p>
    <w:p w14:paraId="4F1367F2" w14:textId="3666CA70" w:rsidR="003563A7" w:rsidRDefault="003563A7" w:rsidP="00634C3C">
      <w:pPr>
        <w:rPr>
          <w:rFonts w:ascii="Arial" w:hAnsi="Arial"/>
        </w:rPr>
      </w:pPr>
      <w:r w:rsidRPr="003563A7">
        <w:rPr>
          <w:bCs/>
        </w:rPr>
        <w:t>The submission claimed advantages for change in quality of life based on the SF-36 results</w:t>
      </w:r>
      <w:r w:rsidR="00EC221C">
        <w:rPr>
          <w:bCs/>
        </w:rPr>
        <w:t xml:space="preserve"> </w:t>
      </w:r>
      <w:r w:rsidR="00C01683">
        <w:rPr>
          <w:bCs/>
        </w:rPr>
        <w:t xml:space="preserve">derived from a pooled meta-analysis </w:t>
      </w:r>
      <w:r w:rsidR="00EC221C">
        <w:rPr>
          <w:bCs/>
        </w:rPr>
        <w:t xml:space="preserve">which demonstrated </w:t>
      </w:r>
      <w:r w:rsidR="00EC221C" w:rsidRPr="00634C3C">
        <w:rPr>
          <w:bCs/>
        </w:rPr>
        <w:t xml:space="preserve">a trend favouring </w:t>
      </w:r>
      <w:r w:rsidR="004B694D">
        <w:rPr>
          <w:bCs/>
        </w:rPr>
        <w:t>insulin degludec</w:t>
      </w:r>
      <w:r w:rsidR="00EC221C" w:rsidRPr="00634C3C">
        <w:rPr>
          <w:bCs/>
        </w:rPr>
        <w:t xml:space="preserve"> in all of the treatment groups</w:t>
      </w:r>
      <w:r w:rsidR="00B448AB">
        <w:rPr>
          <w:bCs/>
        </w:rPr>
        <w:t>.</w:t>
      </w:r>
      <w:r w:rsidRPr="003563A7">
        <w:rPr>
          <w:bCs/>
        </w:rPr>
        <w:t xml:space="preserve"> The PBAC did </w:t>
      </w:r>
      <w:r w:rsidR="00592869">
        <w:rPr>
          <w:bCs/>
        </w:rPr>
        <w:t>not consider</w:t>
      </w:r>
      <w:r w:rsidRPr="003563A7">
        <w:rPr>
          <w:bCs/>
        </w:rPr>
        <w:t xml:space="preserve"> this claim was appropriate given that significant advantages were only observed on 3 of 10 sub-components for type 2 diabetes patients on a basal oral regimen, 1 of 10 sub-components for type 2 patients on basal bolus + oral regimen and no differences for type 1 diabetes patients.</w:t>
      </w:r>
      <w:r w:rsidR="00CD29C6">
        <w:rPr>
          <w:bCs/>
        </w:rPr>
        <w:t xml:space="preserve"> </w:t>
      </w:r>
    </w:p>
    <w:p w14:paraId="3060F4EB" w14:textId="77777777" w:rsidR="00634C3C" w:rsidRDefault="00634C3C" w:rsidP="00634C3C">
      <w:pPr>
        <w:rPr>
          <w:rFonts w:ascii="Arial" w:hAnsi="Arial"/>
        </w:rPr>
      </w:pPr>
    </w:p>
    <w:p w14:paraId="6ACE17BA" w14:textId="538DEF16" w:rsidR="0090596D" w:rsidRPr="003563A7" w:rsidRDefault="003563A7" w:rsidP="00444C96">
      <w:pPr>
        <w:rPr>
          <w:bCs/>
        </w:rPr>
      </w:pPr>
      <w:r>
        <w:rPr>
          <w:bCs/>
        </w:rPr>
        <w:t xml:space="preserve">With </w:t>
      </w:r>
      <w:r w:rsidRPr="003563A7">
        <w:rPr>
          <w:bCs/>
        </w:rPr>
        <w:t>regard to safety</w:t>
      </w:r>
      <w:r w:rsidR="00D82FCE">
        <w:rPr>
          <w:bCs/>
        </w:rPr>
        <w:t xml:space="preserve"> (other than </w:t>
      </w:r>
      <w:r w:rsidR="00467644">
        <w:rPr>
          <w:bCs/>
        </w:rPr>
        <w:t>hypoglycaemic</w:t>
      </w:r>
      <w:r w:rsidR="008556B3">
        <w:rPr>
          <w:bCs/>
        </w:rPr>
        <w:t xml:space="preserve"> events)</w:t>
      </w:r>
      <w:r w:rsidRPr="003563A7">
        <w:rPr>
          <w:bCs/>
        </w:rPr>
        <w:t xml:space="preserve">, the trial data suggested little difference between </w:t>
      </w:r>
      <w:r>
        <w:rPr>
          <w:bCs/>
        </w:rPr>
        <w:t xml:space="preserve">insulin </w:t>
      </w:r>
      <w:r w:rsidR="008556B3">
        <w:rPr>
          <w:bCs/>
        </w:rPr>
        <w:t>degludec and glargine. N</w:t>
      </w:r>
      <w:r w:rsidRPr="003563A7">
        <w:rPr>
          <w:bCs/>
        </w:rPr>
        <w:t>o statistically significant difference</w:t>
      </w:r>
      <w:r w:rsidR="008556B3">
        <w:rPr>
          <w:bCs/>
        </w:rPr>
        <w:t xml:space="preserve"> was observed</w:t>
      </w:r>
      <w:r w:rsidRPr="003563A7">
        <w:rPr>
          <w:bCs/>
        </w:rPr>
        <w:t xml:space="preserve"> across the trials for most categories of adverse events. </w:t>
      </w:r>
      <w:r w:rsidR="00AD7009">
        <w:rPr>
          <w:bCs/>
        </w:rPr>
        <w:t xml:space="preserve">The PBAC noted concerns raised by the FDA </w:t>
      </w:r>
      <w:r w:rsidR="00C01683">
        <w:rPr>
          <w:bCs/>
        </w:rPr>
        <w:t xml:space="preserve">about the potential for an increase in </w:t>
      </w:r>
      <w:r w:rsidR="00AD7009">
        <w:rPr>
          <w:bCs/>
        </w:rPr>
        <w:t xml:space="preserve">cardiovascular </w:t>
      </w:r>
      <w:r w:rsidR="00C01683">
        <w:rPr>
          <w:bCs/>
        </w:rPr>
        <w:t xml:space="preserve">risk in subjects randomised to insulin degludec relative to the comparator. </w:t>
      </w:r>
      <w:r>
        <w:rPr>
          <w:bCs/>
        </w:rPr>
        <w:t>The PBAC noted that w</w:t>
      </w:r>
      <w:r w:rsidRPr="003563A7">
        <w:rPr>
          <w:bCs/>
        </w:rPr>
        <w:t xml:space="preserve">hile two years of collected data identified no concerning safety issues, the long-term safety of </w:t>
      </w:r>
      <w:r>
        <w:rPr>
          <w:bCs/>
        </w:rPr>
        <w:t xml:space="preserve">insulin </w:t>
      </w:r>
      <w:r w:rsidR="008556B3">
        <w:rPr>
          <w:bCs/>
        </w:rPr>
        <w:t>degludec remained unknown</w:t>
      </w:r>
      <w:r w:rsidR="0090596D">
        <w:rPr>
          <w:b/>
          <w:bCs/>
          <w:color w:val="FF00FF"/>
        </w:rPr>
        <w:t>.</w:t>
      </w:r>
      <w:r w:rsidR="001F69BE">
        <w:rPr>
          <w:b/>
          <w:bCs/>
          <w:color w:val="FF00FF"/>
        </w:rPr>
        <w:t xml:space="preserve"> </w:t>
      </w:r>
    </w:p>
    <w:p w14:paraId="08094C20" w14:textId="77777777" w:rsidR="00EE12C5" w:rsidRPr="009102D9" w:rsidRDefault="00EE12C5" w:rsidP="005F0D6A">
      <w:pPr>
        <w:rPr>
          <w:b/>
          <w:bCs/>
          <w:color w:val="FF00FF"/>
        </w:rPr>
      </w:pPr>
    </w:p>
    <w:p w14:paraId="59FDBCE5" w14:textId="77777777" w:rsidR="00E7266A" w:rsidRDefault="00E7266A" w:rsidP="00444C96">
      <w:pPr>
        <w:rPr>
          <w:b/>
          <w:bCs/>
        </w:rPr>
      </w:pPr>
    </w:p>
    <w:p w14:paraId="67BA24C4" w14:textId="77777777" w:rsidR="003563A7" w:rsidRPr="008556B3" w:rsidRDefault="002A57B9" w:rsidP="00444C96">
      <w:pPr>
        <w:rPr>
          <w:b/>
          <w:bCs/>
          <w:color w:val="FF00FF"/>
        </w:rPr>
      </w:pPr>
      <w:r w:rsidRPr="00746E3F">
        <w:rPr>
          <w:b/>
          <w:bCs/>
        </w:rPr>
        <w:t>9.</w:t>
      </w:r>
      <w:r w:rsidRPr="00746E3F">
        <w:rPr>
          <w:b/>
          <w:bCs/>
        </w:rPr>
        <w:tab/>
        <w:t>Clinical Claim</w:t>
      </w:r>
      <w:r w:rsidR="009102D9">
        <w:rPr>
          <w:b/>
          <w:bCs/>
        </w:rPr>
        <w:t xml:space="preserve"> </w:t>
      </w:r>
    </w:p>
    <w:p w14:paraId="6B21556F" w14:textId="4C641D52" w:rsidR="008556B3" w:rsidRDefault="003563A7" w:rsidP="00444C96">
      <w:pPr>
        <w:rPr>
          <w:bCs/>
        </w:rPr>
      </w:pPr>
      <w:r w:rsidRPr="003563A7">
        <w:rPr>
          <w:bCs/>
        </w:rPr>
        <w:t xml:space="preserve">The submission described </w:t>
      </w:r>
      <w:r w:rsidR="004B694D">
        <w:rPr>
          <w:bCs/>
        </w:rPr>
        <w:t xml:space="preserve">insulin </w:t>
      </w:r>
      <w:r w:rsidRPr="003563A7">
        <w:rPr>
          <w:bCs/>
        </w:rPr>
        <w:t xml:space="preserve">degludec as non-inferior to glargine in terms of HbA1c control and superior in terms of comparative safety, with the </w:t>
      </w:r>
      <w:r>
        <w:rPr>
          <w:bCs/>
        </w:rPr>
        <w:t xml:space="preserve">latter due to a reduced risk of </w:t>
      </w:r>
      <w:r w:rsidRPr="003563A7">
        <w:rPr>
          <w:bCs/>
        </w:rPr>
        <w:t xml:space="preserve">hypoglycaemia. </w:t>
      </w:r>
    </w:p>
    <w:p w14:paraId="78D7622E" w14:textId="77777777" w:rsidR="008556B3" w:rsidRDefault="008556B3" w:rsidP="00444C96">
      <w:pPr>
        <w:rPr>
          <w:bCs/>
        </w:rPr>
      </w:pPr>
    </w:p>
    <w:p w14:paraId="59F442FA" w14:textId="4DE5932B" w:rsidR="00114B61" w:rsidRPr="004B694D" w:rsidRDefault="003563A7" w:rsidP="00114B61">
      <w:pPr>
        <w:rPr>
          <w:bCs/>
          <w:strike/>
        </w:rPr>
      </w:pPr>
      <w:r w:rsidRPr="003563A7">
        <w:rPr>
          <w:bCs/>
        </w:rPr>
        <w:t>The PBAC accepted the submission’s claim of non-inferior effectiveness but did not consider that the claim of superior</w:t>
      </w:r>
      <w:r w:rsidR="00AB0D3F">
        <w:rPr>
          <w:bCs/>
        </w:rPr>
        <w:t xml:space="preserve"> safety was adequately supported</w:t>
      </w:r>
      <w:r w:rsidR="001D6A96">
        <w:rPr>
          <w:bCs/>
        </w:rPr>
        <w:t xml:space="preserve"> given that it remained unclear whether </w:t>
      </w:r>
      <w:r w:rsidRPr="003563A7">
        <w:rPr>
          <w:bCs/>
        </w:rPr>
        <w:t>the claimed reduction in hypoglycaemia will translate into clinical benefits</w:t>
      </w:r>
      <w:r w:rsidR="00B448AB">
        <w:rPr>
          <w:bCs/>
        </w:rPr>
        <w:t>.</w:t>
      </w:r>
    </w:p>
    <w:p w14:paraId="79DE7D69" w14:textId="5397965C" w:rsidR="00B5500F" w:rsidRPr="003563A7" w:rsidRDefault="00B5500F" w:rsidP="00444C96">
      <w:pPr>
        <w:rPr>
          <w:bCs/>
        </w:rPr>
      </w:pPr>
    </w:p>
    <w:p w14:paraId="677E2B57" w14:textId="77777777" w:rsidR="003D43DE" w:rsidRDefault="003D43DE" w:rsidP="00444C96"/>
    <w:p w14:paraId="49DD8BE0" w14:textId="562F1043" w:rsidR="00AB0D3F" w:rsidRPr="001E2CDD" w:rsidRDefault="002A57B9" w:rsidP="00444C96">
      <w:pPr>
        <w:rPr>
          <w:b/>
          <w:bCs/>
        </w:rPr>
      </w:pPr>
      <w:r w:rsidRPr="00746E3F">
        <w:rPr>
          <w:b/>
          <w:bCs/>
        </w:rPr>
        <w:t>10.</w:t>
      </w:r>
      <w:r w:rsidRPr="00746E3F">
        <w:rPr>
          <w:b/>
          <w:bCs/>
        </w:rPr>
        <w:tab/>
        <w:t>Economic Analysis</w:t>
      </w:r>
      <w:r w:rsidR="009102D9">
        <w:rPr>
          <w:b/>
          <w:bCs/>
        </w:rPr>
        <w:t xml:space="preserve"> </w:t>
      </w:r>
    </w:p>
    <w:p w14:paraId="534BF899" w14:textId="0F1482DA" w:rsidR="00AB0D3F" w:rsidRDefault="00AB0D3F" w:rsidP="00444C96">
      <w:r>
        <w:t xml:space="preserve">The submission presented </w:t>
      </w:r>
      <w:r w:rsidRPr="00612D3D">
        <w:t>a stepped economic evaluation, based on direct ra</w:t>
      </w:r>
      <w:r w:rsidR="00592869">
        <w:t>ndomised trials and using</w:t>
      </w:r>
      <w:r w:rsidRPr="00612D3D">
        <w:t xml:space="preserve"> a modelled evaluation</w:t>
      </w:r>
      <w:r>
        <w:t>.</w:t>
      </w:r>
      <w:r w:rsidRPr="00612D3D">
        <w:t xml:space="preserve"> The type of</w:t>
      </w:r>
      <w:r>
        <w:t xml:space="preserve"> economic evaluation presented wa</w:t>
      </w:r>
      <w:r w:rsidRPr="00612D3D">
        <w:t>s a cost</w:t>
      </w:r>
      <w:r>
        <w:t>-utility analysis.  Two models we</w:t>
      </w:r>
      <w:r w:rsidRPr="00612D3D">
        <w:t>re presented</w:t>
      </w:r>
      <w:r>
        <w:t xml:space="preserve">, </w:t>
      </w:r>
      <w:r w:rsidR="00D82FCE">
        <w:t>the first model was a</w:t>
      </w:r>
      <w:r>
        <w:t xml:space="preserve"> ‘</w:t>
      </w:r>
      <w:r w:rsidRPr="00612D3D">
        <w:t>trial-based</w:t>
      </w:r>
      <w:r>
        <w:t>’</w:t>
      </w:r>
      <w:r w:rsidRPr="00612D3D">
        <w:t xml:space="preserve"> model </w:t>
      </w:r>
      <w:r>
        <w:t>using</w:t>
      </w:r>
      <w:r w:rsidRPr="00612D3D">
        <w:t xml:space="preserve"> </w:t>
      </w:r>
      <w:r>
        <w:t>treatment utilities for deglude</w:t>
      </w:r>
      <w:r w:rsidRPr="00612D3D">
        <w:t>c</w:t>
      </w:r>
      <w:r w:rsidR="008556B3">
        <w:t>,</w:t>
      </w:r>
      <w:r w:rsidRPr="00612D3D">
        <w:t xml:space="preserve"> and glarg</w:t>
      </w:r>
      <w:r w:rsidR="00D82FCE">
        <w:t xml:space="preserve">ine along with literature sourced </w:t>
      </w:r>
      <w:r w:rsidRPr="00612D3D">
        <w:t xml:space="preserve">disutilities for </w:t>
      </w:r>
      <w:r w:rsidR="00F3403E" w:rsidRPr="00F3403E">
        <w:t>self-monitoring of blood glucose</w:t>
      </w:r>
      <w:r w:rsidR="00F3403E" w:rsidRPr="00612D3D">
        <w:t xml:space="preserve"> </w:t>
      </w:r>
      <w:r w:rsidR="00F3403E">
        <w:t>(</w:t>
      </w:r>
      <w:r w:rsidRPr="00612D3D">
        <w:t>SMBG</w:t>
      </w:r>
      <w:r w:rsidR="00F3403E">
        <w:t>)</w:t>
      </w:r>
      <w:r w:rsidRPr="00612D3D">
        <w:t xml:space="preserve"> testing and utilities for flex</w:t>
      </w:r>
      <w:r>
        <w:t>ible dosing.  The second model wa</w:t>
      </w:r>
      <w:r w:rsidRPr="00612D3D">
        <w:t xml:space="preserve">s </w:t>
      </w:r>
      <w:r>
        <w:t>described as ‘event-based’, and used</w:t>
      </w:r>
      <w:r w:rsidRPr="00612D3D">
        <w:t xml:space="preserve"> literature-sourced disutility values fo</w:t>
      </w:r>
      <w:r>
        <w:t>r</w:t>
      </w:r>
      <w:r w:rsidRPr="00612D3D">
        <w:t xml:space="preserve"> hypoglycaemic events, along with literature-sourced disutilit</w:t>
      </w:r>
      <w:r w:rsidR="00D82FCE">
        <w:t>ies for SMBG testing and utilities</w:t>
      </w:r>
      <w:r w:rsidRPr="00612D3D">
        <w:t xml:space="preserve"> for flexible dosing.  </w:t>
      </w:r>
    </w:p>
    <w:p w14:paraId="248CF8D3" w14:textId="77777777" w:rsidR="00AB0D3F" w:rsidRDefault="00AB0D3F" w:rsidP="00444C96">
      <w:pPr>
        <w:rPr>
          <w:i/>
        </w:rPr>
      </w:pPr>
    </w:p>
    <w:p w14:paraId="4F327810" w14:textId="11140CF8" w:rsidR="000E3A08" w:rsidRDefault="000E3A08" w:rsidP="00444C96">
      <w:r>
        <w:t>The time horizon used in the</w:t>
      </w:r>
      <w:r w:rsidR="00D82FCE">
        <w:t xml:space="preserve"> modelled evaluation was 1 year, which t</w:t>
      </w:r>
      <w:r w:rsidR="004360C9">
        <w:t xml:space="preserve">he PBAC did not </w:t>
      </w:r>
      <w:r w:rsidR="00D82FCE">
        <w:t xml:space="preserve">consider </w:t>
      </w:r>
      <w:r w:rsidR="004360C9">
        <w:t>to be appropriate given the chronic nature of diabetes.</w:t>
      </w:r>
    </w:p>
    <w:p w14:paraId="5E34ED9B" w14:textId="77777777" w:rsidR="000E3A08" w:rsidRDefault="000E3A08" w:rsidP="00444C96"/>
    <w:p w14:paraId="2F8C2D73" w14:textId="77777777" w:rsidR="000E3A08" w:rsidRDefault="000E3A08" w:rsidP="00444C96">
      <w:r>
        <w:t xml:space="preserve">The base case ICERs </w:t>
      </w:r>
      <w:r w:rsidR="00F42844">
        <w:t>were all</w:t>
      </w:r>
      <w:r>
        <w:t xml:space="preserve"> less than </w:t>
      </w:r>
      <w:r w:rsidR="00F42844">
        <w:t>$10,000 per quality adjusted life year (QALY) for type 1 basal bolus, type 2 basal oral, type 2 basal bolus, all type 2 weighted and type 1 and 2 weighted.</w:t>
      </w:r>
    </w:p>
    <w:p w14:paraId="2FB85BF6" w14:textId="77777777" w:rsidR="00F42844" w:rsidRDefault="00F42844" w:rsidP="00444C96"/>
    <w:p w14:paraId="4EACB546" w14:textId="27C790A2" w:rsidR="00F42844" w:rsidRDefault="00F42844" w:rsidP="00444C96">
      <w:r>
        <w:t>The models were most sensitive to frequency of SMBG testing, an advantage for degludec that may not be seen in clinical practice.</w:t>
      </w:r>
      <w:r w:rsidR="00846786">
        <w:t xml:space="preserve"> The PBAC did not consider that the assumption of lower SMBG use, the key driver in the model, was adequately justified.</w:t>
      </w:r>
    </w:p>
    <w:p w14:paraId="52B30E27" w14:textId="77777777" w:rsidR="00F42844" w:rsidRPr="001E2CDD" w:rsidRDefault="00F42844" w:rsidP="00444C96"/>
    <w:p w14:paraId="31ADFAEF" w14:textId="0635B5FA" w:rsidR="004360C9" w:rsidRPr="001E2CDD" w:rsidRDefault="00F42844" w:rsidP="00444C96">
      <w:r>
        <w:t>Assuming an equivalent frequency of SMBG for degludec and glargine, the ICERs ranged from less than $15,000 to between $75,000 and $105,000.</w:t>
      </w:r>
    </w:p>
    <w:p w14:paraId="7A807491" w14:textId="77777777" w:rsidR="00F3403E" w:rsidRDefault="00F3403E" w:rsidP="00444C96">
      <w:pPr>
        <w:pStyle w:val="NormalWeb"/>
      </w:pPr>
      <w:r>
        <w:rPr>
          <w:i/>
          <w:iCs/>
        </w:rPr>
        <w:t>For PBAC’s view, see Recommendation and Reasons.</w:t>
      </w:r>
    </w:p>
    <w:p w14:paraId="2D04E566" w14:textId="77777777" w:rsidR="00EE12C5" w:rsidRDefault="00EE12C5" w:rsidP="00444C96"/>
    <w:p w14:paraId="2FE1444F" w14:textId="77777777" w:rsidR="00C21AC8" w:rsidRDefault="002A57B9" w:rsidP="00444C96">
      <w:pPr>
        <w:rPr>
          <w:b/>
          <w:bCs/>
          <w:color w:val="FF00FF"/>
        </w:rPr>
      </w:pPr>
      <w:r w:rsidRPr="00746E3F">
        <w:rPr>
          <w:b/>
          <w:bCs/>
        </w:rPr>
        <w:t>11.</w:t>
      </w:r>
      <w:r w:rsidRPr="00746E3F">
        <w:rPr>
          <w:b/>
          <w:bCs/>
        </w:rPr>
        <w:tab/>
        <w:t>Estimated PBS Usage and Financial Implications</w:t>
      </w:r>
      <w:r w:rsidR="009102D9">
        <w:rPr>
          <w:b/>
          <w:bCs/>
        </w:rPr>
        <w:t xml:space="preserve"> </w:t>
      </w:r>
    </w:p>
    <w:p w14:paraId="700664C3" w14:textId="15B09959" w:rsidR="00125EE4" w:rsidRPr="00F3403E" w:rsidRDefault="00A5186E" w:rsidP="00444C96">
      <w:pPr>
        <w:rPr>
          <w:color w:val="000000"/>
        </w:rPr>
      </w:pPr>
      <w:r>
        <w:t>T</w:t>
      </w:r>
      <w:r w:rsidR="00AE2D63" w:rsidRPr="00CA3F6B">
        <w:t>he es</w:t>
      </w:r>
      <w:r w:rsidR="00AE2D63">
        <w:t>timated</w:t>
      </w:r>
      <w:r w:rsidR="00AE2D63" w:rsidRPr="00CA3F6B">
        <w:t xml:space="preserve"> net cost to the PBS </w:t>
      </w:r>
      <w:r w:rsidR="00C21AC8">
        <w:t xml:space="preserve">was between </w:t>
      </w:r>
      <w:r w:rsidR="00C21AC8" w:rsidRPr="00CA3F6B">
        <w:t>$</w:t>
      </w:r>
      <w:r w:rsidR="00C21AC8">
        <w:t>30-60 million</w:t>
      </w:r>
      <w:r w:rsidR="00C21AC8" w:rsidRPr="00CA3F6B">
        <w:t xml:space="preserve"> </w:t>
      </w:r>
      <w:r w:rsidR="00AE2D63" w:rsidRPr="00CA3F6B">
        <w:t>in Year 5</w:t>
      </w:r>
      <w:r>
        <w:t xml:space="preserve"> and a total cost over the first 5 years of listing of over $100 million</w:t>
      </w:r>
      <w:r w:rsidR="00C21AC8">
        <w:t>.</w:t>
      </w:r>
    </w:p>
    <w:p w14:paraId="4054736B" w14:textId="77777777" w:rsidR="00EE12C5" w:rsidRPr="00EE12C5" w:rsidRDefault="00EE12C5" w:rsidP="00444C96"/>
    <w:p w14:paraId="02DC9CFA" w14:textId="77777777" w:rsidR="008556B3" w:rsidRDefault="002A57B9" w:rsidP="00444C96">
      <w:pPr>
        <w:rPr>
          <w:b/>
          <w:bCs/>
        </w:rPr>
      </w:pPr>
      <w:r w:rsidRPr="00746E3F">
        <w:rPr>
          <w:b/>
          <w:bCs/>
        </w:rPr>
        <w:t>12.</w:t>
      </w:r>
      <w:r w:rsidRPr="00746E3F">
        <w:rPr>
          <w:b/>
          <w:bCs/>
        </w:rPr>
        <w:tab/>
        <w:t>Recommendation and Reasons</w:t>
      </w:r>
      <w:r w:rsidR="009102D9">
        <w:rPr>
          <w:b/>
          <w:bCs/>
        </w:rPr>
        <w:t xml:space="preserve"> </w:t>
      </w:r>
    </w:p>
    <w:p w14:paraId="7D2689EC" w14:textId="6F566177" w:rsidR="00F3403E" w:rsidRPr="00F3403E" w:rsidRDefault="002119C4" w:rsidP="00444C96">
      <w:r>
        <w:t>The PBAC noted that the submission was submitted under TGA/PBAC parallel process.</w:t>
      </w:r>
      <w:r w:rsidR="001E2CDD">
        <w:t xml:space="preserve"> The clinical evaluation report was available to the PBAC at the time of consideration. </w:t>
      </w:r>
    </w:p>
    <w:p w14:paraId="05BD29BF" w14:textId="77777777" w:rsidR="007C6E61" w:rsidRDefault="007C6E61" w:rsidP="00444C96"/>
    <w:p w14:paraId="2B6C9D6D" w14:textId="68B94CE3" w:rsidR="00114B61" w:rsidRDefault="004360C9" w:rsidP="00114B61">
      <w:r w:rsidRPr="00C21AC8">
        <w:t>The PBAC rejected the application to list insulin degludec on the basis that the claim of superior safety over insulin glargine was not adequately justified, and cost-effectiveness was therefore not supported. The modelling approach in the submission</w:t>
      </w:r>
      <w:r>
        <w:t xml:space="preserve"> was</w:t>
      </w:r>
      <w:r w:rsidR="00D870D0">
        <w:t xml:space="preserve"> not considered </w:t>
      </w:r>
      <w:r w:rsidR="00D870D0">
        <w:lastRenderedPageBreak/>
        <w:t>appropriate by</w:t>
      </w:r>
      <w:r w:rsidR="00977C22">
        <w:t xml:space="preserve"> the</w:t>
      </w:r>
      <w:r w:rsidR="00D870D0">
        <w:t xml:space="preserve"> PBAC </w:t>
      </w:r>
      <w:r w:rsidRPr="00C21AC8">
        <w:t xml:space="preserve">and the results were </w:t>
      </w:r>
      <w:r w:rsidR="00D870D0">
        <w:t xml:space="preserve">mainly </w:t>
      </w:r>
      <w:r w:rsidRPr="00C21AC8">
        <w:t>driven by</w:t>
      </w:r>
      <w:r w:rsidR="00D870D0">
        <w:t xml:space="preserve"> potential </w:t>
      </w:r>
      <w:r w:rsidRPr="00C21AC8">
        <w:t xml:space="preserve">differences in </w:t>
      </w:r>
      <w:r w:rsidR="00B448AB">
        <w:t>Self-Monitoring</w:t>
      </w:r>
      <w:r w:rsidR="00977C22">
        <w:t xml:space="preserve"> of Blood Glucose (</w:t>
      </w:r>
      <w:r w:rsidR="00D870D0">
        <w:t>SMBG</w:t>
      </w:r>
      <w:r w:rsidR="00977C22">
        <w:t>)</w:t>
      </w:r>
      <w:r w:rsidR="00D870D0">
        <w:t xml:space="preserve"> </w:t>
      </w:r>
      <w:r w:rsidR="00B448AB">
        <w:t>testing,</w:t>
      </w:r>
      <w:r w:rsidRPr="00C21AC8">
        <w:t xml:space="preserve"> rather th</w:t>
      </w:r>
      <w:r>
        <w:t xml:space="preserve">an trial based differences. The </w:t>
      </w:r>
      <w:r w:rsidRPr="00C21AC8">
        <w:t xml:space="preserve">ICERs generated </w:t>
      </w:r>
      <w:r>
        <w:t>showed a large variance in results across the type of diabetes and treatment regimen</w:t>
      </w:r>
      <w:r w:rsidR="00114B61" w:rsidRPr="00114B61">
        <w:t xml:space="preserve"> </w:t>
      </w:r>
      <w:r w:rsidR="00114B61">
        <w:t xml:space="preserve">and </w:t>
      </w:r>
      <w:r w:rsidR="00114B61" w:rsidRPr="00C21AC8">
        <w:t>were therefore</w:t>
      </w:r>
      <w:r w:rsidR="00114B61">
        <w:t xml:space="preserve"> considered</w:t>
      </w:r>
      <w:r w:rsidR="00114B61" w:rsidRPr="00C21AC8">
        <w:t xml:space="preserve"> unreliable.</w:t>
      </w:r>
    </w:p>
    <w:p w14:paraId="65720363" w14:textId="6B798A95" w:rsidR="00493DBB" w:rsidRDefault="004360C9" w:rsidP="00444C96">
      <w:r>
        <w:t xml:space="preserve"> </w:t>
      </w:r>
    </w:p>
    <w:p w14:paraId="4EE9B0FA" w14:textId="6B3DCD0D" w:rsidR="00F3403E" w:rsidRDefault="00F3403E" w:rsidP="00444C96">
      <w:r w:rsidRPr="00F3403E">
        <w:t xml:space="preserve">The submission argued that insulin degludec would lead to a lower use of </w:t>
      </w:r>
      <w:r>
        <w:t>SMBG</w:t>
      </w:r>
      <w:r w:rsidRPr="00F3403E">
        <w:t>. This reduction is a key driver of the model results</w:t>
      </w:r>
      <w:r w:rsidR="001065F0">
        <w:t>.</w:t>
      </w:r>
      <w:r w:rsidRPr="00F3403E">
        <w:t xml:space="preserve"> The PBAC did not consider that this assumption was adequately justified, and considered that these differences in cost should be excluded from the economic evaluation. </w:t>
      </w:r>
    </w:p>
    <w:p w14:paraId="76373D0F" w14:textId="77777777" w:rsidR="00DE1268" w:rsidRDefault="00DE1268" w:rsidP="00444C96">
      <w:pPr>
        <w:rPr>
          <w:i/>
        </w:rPr>
      </w:pPr>
    </w:p>
    <w:p w14:paraId="402E6B46" w14:textId="77777777" w:rsidR="00F3403E" w:rsidRPr="00DE1268" w:rsidRDefault="00F3403E" w:rsidP="00444C96">
      <w:pPr>
        <w:pStyle w:val="Header"/>
        <w:tabs>
          <w:tab w:val="clear" w:pos="4153"/>
          <w:tab w:val="clear" w:pos="8306"/>
        </w:tabs>
      </w:pPr>
      <w:r w:rsidRPr="00DE1268">
        <w:t>Overall, the PBAC considered there were a number of issues with the model:</w:t>
      </w:r>
    </w:p>
    <w:p w14:paraId="4FD63BF6" w14:textId="41CFFEC8" w:rsidR="00F3403E" w:rsidRPr="00DE1268" w:rsidRDefault="00F3403E" w:rsidP="00444C96">
      <w:pPr>
        <w:pStyle w:val="Header"/>
        <w:numPr>
          <w:ilvl w:val="0"/>
          <w:numId w:val="11"/>
        </w:numPr>
        <w:tabs>
          <w:tab w:val="clear" w:pos="4153"/>
          <w:tab w:val="clear" w:pos="8306"/>
        </w:tabs>
        <w:ind w:left="567" w:hanging="567"/>
      </w:pPr>
      <w:r w:rsidRPr="00DE1268">
        <w:t xml:space="preserve">Some </w:t>
      </w:r>
      <w:r w:rsidR="001065F0">
        <w:t>parameters</w:t>
      </w:r>
      <w:r w:rsidR="001065F0" w:rsidRPr="00DE1268">
        <w:t xml:space="preserve"> </w:t>
      </w:r>
      <w:r w:rsidRPr="00DE1268">
        <w:t>included in the model were sourced from lit</w:t>
      </w:r>
      <w:r w:rsidR="00DE1268">
        <w:t xml:space="preserve">erature which did not appear to </w:t>
      </w:r>
      <w:r w:rsidRPr="00DE1268">
        <w:t>be applicable to the proposed PBS population;</w:t>
      </w:r>
    </w:p>
    <w:p w14:paraId="3E7889BE" w14:textId="25E21955" w:rsidR="00F3403E" w:rsidRPr="00DE1268" w:rsidRDefault="00F3403E" w:rsidP="00573916">
      <w:pPr>
        <w:pStyle w:val="Header"/>
        <w:numPr>
          <w:ilvl w:val="0"/>
          <w:numId w:val="11"/>
        </w:numPr>
        <w:tabs>
          <w:tab w:val="clear" w:pos="4153"/>
          <w:tab w:val="clear" w:pos="8306"/>
        </w:tabs>
        <w:ind w:left="567" w:hanging="567"/>
      </w:pPr>
      <w:r w:rsidRPr="00DE1268">
        <w:t xml:space="preserve">The use of a one year time horizon was not </w:t>
      </w:r>
      <w:r w:rsidR="001532CA">
        <w:t xml:space="preserve">considered </w:t>
      </w:r>
      <w:r w:rsidRPr="00DE1268">
        <w:t xml:space="preserve">appropriate </w:t>
      </w:r>
      <w:r w:rsidR="001532CA">
        <w:t>for a chronic</w:t>
      </w:r>
      <w:r w:rsidR="00573916">
        <w:t xml:space="preserve"> disease</w:t>
      </w:r>
      <w:r w:rsidR="001532CA">
        <w:t xml:space="preserve"> </w:t>
      </w:r>
      <w:r w:rsidRPr="00DE1268">
        <w:t>The SF-36 results from the trial were mapped to the EQ-5D for modelling. The PBAC agreed with the ESC that it woul</w:t>
      </w:r>
      <w:r w:rsidR="00D82FCE">
        <w:t>d have been more appropriate to base utilities on the SF-</w:t>
      </w:r>
      <w:r w:rsidRPr="00DE1268">
        <w:t>6D</w:t>
      </w:r>
      <w:r w:rsidR="00D82FCE">
        <w:t xml:space="preserve"> algorithm ra</w:t>
      </w:r>
      <w:r w:rsidR="00494870">
        <w:t>t</w:t>
      </w:r>
      <w:r w:rsidR="00D82FCE">
        <w:t>her than a mapping approach</w:t>
      </w:r>
      <w:r w:rsidRPr="00DE1268">
        <w:t>; and</w:t>
      </w:r>
    </w:p>
    <w:p w14:paraId="3149025C" w14:textId="636E0490" w:rsidR="00DE1268" w:rsidRPr="00DE1268" w:rsidRDefault="00F3403E" w:rsidP="00444C96">
      <w:pPr>
        <w:pStyle w:val="Header"/>
        <w:numPr>
          <w:ilvl w:val="0"/>
          <w:numId w:val="11"/>
        </w:numPr>
        <w:tabs>
          <w:tab w:val="clear" w:pos="4153"/>
          <w:tab w:val="clear" w:pos="8306"/>
        </w:tabs>
        <w:ind w:left="567" w:hanging="567"/>
      </w:pPr>
      <w:r w:rsidRPr="00DE1268">
        <w:t xml:space="preserve">Differences in quality of life assumed in the model were </w:t>
      </w:r>
      <w:r w:rsidR="0013356C" w:rsidRPr="00DE1268">
        <w:t>not</w:t>
      </w:r>
      <w:r w:rsidR="0013356C">
        <w:t xml:space="preserve"> considered </w:t>
      </w:r>
      <w:r w:rsidRPr="00DE1268">
        <w:t xml:space="preserve">adequately supported by the trial results. </w:t>
      </w:r>
    </w:p>
    <w:p w14:paraId="58EC5013" w14:textId="77777777" w:rsidR="00F3403E" w:rsidRPr="002E3D24" w:rsidRDefault="00F3403E" w:rsidP="00444C96">
      <w:pPr>
        <w:pStyle w:val="Header"/>
        <w:tabs>
          <w:tab w:val="clear" w:pos="4153"/>
          <w:tab w:val="clear" w:pos="8306"/>
        </w:tabs>
        <w:ind w:left="720" w:firstLine="60"/>
        <w:rPr>
          <w:rFonts w:ascii="Arial" w:hAnsi="Arial"/>
        </w:rPr>
      </w:pPr>
    </w:p>
    <w:p w14:paraId="332489FB" w14:textId="77777777" w:rsidR="00643F67" w:rsidRPr="00DE1268" w:rsidRDefault="00F3403E" w:rsidP="00643F67">
      <w:r w:rsidRPr="00DE1268">
        <w:t>The PBAC considered that the results of the model were highly uncertain, given the issues noted above.</w:t>
      </w:r>
      <w:r w:rsidRPr="003718DB">
        <w:t xml:space="preserve"> </w:t>
      </w:r>
      <w:r w:rsidR="00643F67" w:rsidRPr="003718DB">
        <w:t xml:space="preserve">The PBAC was also concerned about the potential cardiovascular risks associated with </w:t>
      </w:r>
      <w:r w:rsidR="00643F67" w:rsidRPr="003718DB">
        <w:rPr>
          <w:bCs/>
        </w:rPr>
        <w:t>insulin degludec, in the absence of any TGA advice on this issue.</w:t>
      </w:r>
    </w:p>
    <w:p w14:paraId="3BD870B9" w14:textId="6D431667" w:rsidR="00F3403E" w:rsidRPr="00CA3F6B" w:rsidRDefault="00F3403E" w:rsidP="00444C96"/>
    <w:p w14:paraId="5B353A0C" w14:textId="16554119" w:rsidR="00EE12C5" w:rsidRDefault="00972EDD" w:rsidP="00444C96">
      <w:r>
        <w:t xml:space="preserve">The PBAC considered that </w:t>
      </w:r>
      <w:r w:rsidR="004360C9">
        <w:t>any re-submission should be a major submission</w:t>
      </w:r>
      <w:r w:rsidR="0013356C">
        <w:t>.</w:t>
      </w:r>
      <w:r w:rsidR="004360C9">
        <w:t xml:space="preserve"> B</w:t>
      </w:r>
      <w:r>
        <w:t>ased on the information available in the submission</w:t>
      </w:r>
      <w:r w:rsidR="004A4FE2">
        <w:t>,</w:t>
      </w:r>
      <w:r>
        <w:t xml:space="preserve"> a cost minimisation </w:t>
      </w:r>
      <w:r w:rsidR="004360C9">
        <w:t xml:space="preserve">approach against glargine </w:t>
      </w:r>
      <w:r>
        <w:t xml:space="preserve">may be more appropriate. However, if a cost effectiveness claim is presented, the PBAC </w:t>
      </w:r>
      <w:r w:rsidR="004360C9">
        <w:t xml:space="preserve">considered </w:t>
      </w:r>
      <w:r>
        <w:t xml:space="preserve">that </w:t>
      </w:r>
      <w:r w:rsidR="004360C9">
        <w:t>any re-s</w:t>
      </w:r>
      <w:r>
        <w:t>ubmission should address the issues raised about the duration of the model, the derivation of the utilities applied and the applicability of costs from literature to the proposed population.</w:t>
      </w:r>
    </w:p>
    <w:p w14:paraId="2400D2E0" w14:textId="77777777" w:rsidR="00972EDD" w:rsidRDefault="00972EDD" w:rsidP="00444C96"/>
    <w:p w14:paraId="18C9F1CA" w14:textId="77777777" w:rsidR="007E3E90" w:rsidRPr="007E3E90" w:rsidRDefault="007E3E90" w:rsidP="00444C96">
      <w:pPr>
        <w:rPr>
          <w:lang w:val="en-US"/>
        </w:rPr>
      </w:pPr>
      <w:r w:rsidRPr="007E3E90">
        <w:rPr>
          <w:lang w:val="en-US"/>
        </w:rPr>
        <w:t>The PBAC noted that the submission is eligible for an Independent Review.</w:t>
      </w:r>
    </w:p>
    <w:p w14:paraId="695B14FE" w14:textId="77777777" w:rsidR="00922704" w:rsidRDefault="00922704" w:rsidP="00444C96"/>
    <w:p w14:paraId="664134C7" w14:textId="77777777" w:rsidR="00EE12C5" w:rsidRDefault="00EE12C5" w:rsidP="00444C96">
      <w:pPr>
        <w:rPr>
          <w:b/>
          <w:i/>
        </w:rPr>
      </w:pPr>
      <w:r w:rsidRPr="007C0F57">
        <w:rPr>
          <w:b/>
          <w:i/>
        </w:rPr>
        <w:t>Recommendation</w:t>
      </w:r>
      <w:r>
        <w:t xml:space="preserve">: </w:t>
      </w:r>
    </w:p>
    <w:p w14:paraId="6E92B4B2" w14:textId="77777777" w:rsidR="009102D9" w:rsidRDefault="00F3403E" w:rsidP="00444C96">
      <w:r w:rsidRPr="00F3403E">
        <w:t>Rejected</w:t>
      </w:r>
    </w:p>
    <w:p w14:paraId="0D2AFAEA" w14:textId="77777777" w:rsidR="00F3403E" w:rsidRDefault="00F3403E" w:rsidP="00444C96">
      <w:pPr>
        <w:rPr>
          <w:b/>
          <w:bCs/>
        </w:rPr>
      </w:pPr>
    </w:p>
    <w:p w14:paraId="44E8AC5D" w14:textId="77777777" w:rsidR="002A57B9" w:rsidRPr="00746E3F" w:rsidRDefault="002A57B9" w:rsidP="00444C96">
      <w:pPr>
        <w:rPr>
          <w:b/>
          <w:bCs/>
        </w:rPr>
      </w:pPr>
      <w:r w:rsidRPr="00746E3F">
        <w:rPr>
          <w:b/>
          <w:bCs/>
        </w:rPr>
        <w:t>13.</w:t>
      </w:r>
      <w:r w:rsidRPr="00746E3F">
        <w:rPr>
          <w:b/>
          <w:bCs/>
        </w:rPr>
        <w:tab/>
        <w:t>Context for Decision</w:t>
      </w:r>
    </w:p>
    <w:p w14:paraId="2D293EF5" w14:textId="77777777" w:rsidR="00621994" w:rsidRDefault="00772EC1" w:rsidP="00444C96">
      <w:pPr>
        <w:adjustRightInd w:val="0"/>
        <w:rPr>
          <w:b/>
          <w:bCs/>
        </w:rPr>
      </w:pPr>
      <w: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14:paraId="2261084F" w14:textId="77777777" w:rsidR="00621994" w:rsidRPr="00746E3F" w:rsidRDefault="00621994" w:rsidP="00444C96">
      <w:pPr>
        <w:adjustRightInd w:val="0"/>
        <w:rPr>
          <w:b/>
          <w:bCs/>
        </w:rPr>
      </w:pPr>
    </w:p>
    <w:p w14:paraId="0EC0B316" w14:textId="5FAF151A" w:rsidR="00ED104A" w:rsidRPr="00746E3F" w:rsidRDefault="002A57B9" w:rsidP="00444C96">
      <w:pPr>
        <w:adjustRightInd w:val="0"/>
        <w:rPr>
          <w:b/>
          <w:bCs/>
        </w:rPr>
      </w:pPr>
      <w:r w:rsidRPr="00746E3F">
        <w:rPr>
          <w:b/>
          <w:bCs/>
        </w:rPr>
        <w:t>14.</w:t>
      </w:r>
      <w:r w:rsidRPr="00746E3F">
        <w:rPr>
          <w:b/>
          <w:bCs/>
        </w:rPr>
        <w:tab/>
        <w:t>Sponsor’s Comment</w:t>
      </w:r>
    </w:p>
    <w:p w14:paraId="5ACFC371" w14:textId="7644833E" w:rsidR="00C90ED3" w:rsidRDefault="001F2CC0" w:rsidP="007615B0">
      <w:pPr>
        <w:adjustRightInd w:val="0"/>
      </w:pPr>
      <w:r w:rsidRPr="00C90ED3">
        <w:t xml:space="preserve">Novo Nordisk does not agree with the PBAC determination regarding the clinical uncertainty </w:t>
      </w:r>
      <w:r>
        <w:t xml:space="preserve">of the hypoglycaemia benefit of insulin degludec, and believes that </w:t>
      </w:r>
      <w:r w:rsidRPr="00C90ED3">
        <w:t>any reduction in hypoglycaemia is of significant importance to the actual patient who experiences these events</w:t>
      </w:r>
      <w:r>
        <w:t xml:space="preserve">. </w:t>
      </w:r>
      <w:r w:rsidRPr="00C90ED3">
        <w:t xml:space="preserve">Novo Nordisk is disappointed with the PBAC’s recommendation but will continue to </w:t>
      </w:r>
      <w:r w:rsidRPr="00C90ED3">
        <w:lastRenderedPageBreak/>
        <w:t xml:space="preserve">work constructively with the PBAC to ensure that </w:t>
      </w:r>
      <w:r>
        <w:t>insulin degludec</w:t>
      </w:r>
      <w:r w:rsidRPr="00C90ED3">
        <w:t xml:space="preserve"> is made available for patients and physicians dealing with the burden of diabetes as soon as possible. </w:t>
      </w:r>
    </w:p>
    <w:sectPr w:rsidR="00C90ED3">
      <w:footerReference w:type="default" r:id="rId9"/>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84396" w14:textId="77777777" w:rsidR="00976065" w:rsidRDefault="00976065">
      <w:r>
        <w:separator/>
      </w:r>
    </w:p>
  </w:endnote>
  <w:endnote w:type="continuationSeparator" w:id="0">
    <w:p w14:paraId="69D5B6CE" w14:textId="77777777" w:rsidR="00976065" w:rsidRDefault="00976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A612E" w14:textId="7487A418" w:rsidR="00976065" w:rsidRPr="003D177A" w:rsidRDefault="00976065" w:rsidP="009B4850">
    <w:pPr>
      <w:pStyle w:val="Footer"/>
      <w:jc w:val="center"/>
      <w:rPr>
        <w:rFonts w:ascii="Times New (W1)" w:hAnsi="Times New (W1)"/>
        <w:b/>
        <w:bCs/>
        <w:i/>
        <w:iCs/>
        <w:color w:val="999999"/>
        <w:sz w:val="20"/>
        <w:szCs w:val="20"/>
      </w:rPr>
    </w:pPr>
    <w:r w:rsidRPr="003D177A">
      <w:rPr>
        <w:rFonts w:ascii="Times New (W1)" w:hAnsi="Times New (W1)"/>
        <w:b/>
        <w:bCs/>
        <w:i/>
        <w:iCs/>
        <w:color w:val="999999"/>
        <w:sz w:val="20"/>
        <w:szCs w:val="20"/>
      </w:rPr>
      <w:t>Public Summary Document</w:t>
    </w:r>
  </w:p>
  <w:p w14:paraId="012F06F1" w14:textId="77777777" w:rsidR="00976065" w:rsidRPr="003D177A" w:rsidRDefault="00976065" w:rsidP="00032082">
    <w:pPr>
      <w:pStyle w:val="Footer"/>
      <w:jc w:val="center"/>
      <w:rPr>
        <w:rFonts w:ascii="Times New (W1)" w:hAnsi="Times New (W1)"/>
        <w:b/>
        <w:bCs/>
        <w:i/>
        <w:iCs/>
        <w:color w:val="999999"/>
        <w:sz w:val="20"/>
        <w:szCs w:val="20"/>
      </w:rPr>
    </w:pPr>
    <w:r>
      <w:rPr>
        <w:rFonts w:ascii="Times New (W1)" w:hAnsi="Times New (W1)"/>
        <w:b/>
        <w:bCs/>
        <w:i/>
        <w:iCs/>
        <w:color w:val="999999"/>
        <w:sz w:val="20"/>
        <w:szCs w:val="20"/>
      </w:rPr>
      <w:t xml:space="preserve">March 2013 </w:t>
    </w:r>
    <w:r w:rsidRPr="003D177A">
      <w:rPr>
        <w:rFonts w:ascii="Times New (W1)" w:hAnsi="Times New (W1)"/>
        <w:b/>
        <w:bCs/>
        <w:i/>
        <w:iCs/>
        <w:color w:val="999999"/>
        <w:sz w:val="20"/>
        <w:szCs w:val="20"/>
      </w:rPr>
      <w:t>PBAC Meeting</w:t>
    </w:r>
  </w:p>
  <w:p w14:paraId="042A0E3E" w14:textId="77777777" w:rsidR="00976065" w:rsidRPr="003D177A" w:rsidRDefault="00976065" w:rsidP="009B4850">
    <w:pPr>
      <w:pStyle w:val="Footer"/>
      <w:jc w:val="center"/>
      <w:rPr>
        <w:rFonts w:ascii="Times New (W1)" w:hAnsi="Times New (W1)"/>
        <w:b/>
        <w:bCs/>
        <w:i/>
        <w:iCs/>
        <w:color w:val="999999"/>
        <w:sz w:val="20"/>
        <w:szCs w:val="20"/>
      </w:rPr>
    </w:pPr>
    <w:r w:rsidRPr="003D177A">
      <w:rPr>
        <w:rStyle w:val="PageNumber"/>
        <w:rFonts w:ascii="Times New (W1)" w:hAnsi="Times New (W1)"/>
        <w:b/>
        <w:i/>
        <w:color w:val="999999"/>
        <w:sz w:val="20"/>
        <w:szCs w:val="20"/>
      </w:rPr>
      <w:t xml:space="preserve">Page </w:t>
    </w:r>
    <w:r w:rsidRPr="003D177A">
      <w:rPr>
        <w:rStyle w:val="PageNumber"/>
        <w:rFonts w:ascii="Times New (W1)" w:hAnsi="Times New (W1)"/>
        <w:b/>
        <w:i/>
        <w:color w:val="999999"/>
        <w:sz w:val="20"/>
        <w:szCs w:val="20"/>
      </w:rPr>
      <w:fldChar w:fldCharType="begin"/>
    </w:r>
    <w:r w:rsidRPr="003D177A">
      <w:rPr>
        <w:rStyle w:val="PageNumber"/>
        <w:rFonts w:ascii="Times New (W1)" w:hAnsi="Times New (W1)"/>
        <w:b/>
        <w:i/>
        <w:color w:val="999999"/>
        <w:sz w:val="20"/>
        <w:szCs w:val="20"/>
      </w:rPr>
      <w:instrText xml:space="preserve"> PAGE </w:instrText>
    </w:r>
    <w:r w:rsidRPr="003D177A">
      <w:rPr>
        <w:rStyle w:val="PageNumber"/>
        <w:rFonts w:ascii="Times New (W1)" w:hAnsi="Times New (W1)"/>
        <w:b/>
        <w:i/>
        <w:color w:val="999999"/>
        <w:sz w:val="20"/>
        <w:szCs w:val="20"/>
      </w:rPr>
      <w:fldChar w:fldCharType="separate"/>
    </w:r>
    <w:r w:rsidR="00FD7AFB">
      <w:rPr>
        <w:rStyle w:val="PageNumber"/>
        <w:rFonts w:ascii="Times New (W1)" w:hAnsi="Times New (W1)"/>
        <w:b/>
        <w:i/>
        <w:noProof/>
        <w:color w:val="999999"/>
        <w:sz w:val="20"/>
        <w:szCs w:val="20"/>
      </w:rPr>
      <w:t>2</w:t>
    </w:r>
    <w:r w:rsidRPr="003D177A">
      <w:rPr>
        <w:rStyle w:val="PageNumber"/>
        <w:rFonts w:ascii="Times New (W1)" w:hAnsi="Times New (W1)"/>
        <w:b/>
        <w:i/>
        <w:color w:val="999999"/>
        <w:sz w:val="20"/>
        <w:szCs w:val="20"/>
      </w:rPr>
      <w:fldChar w:fldCharType="end"/>
    </w:r>
    <w:r w:rsidRPr="003D177A">
      <w:rPr>
        <w:rStyle w:val="PageNumber"/>
        <w:rFonts w:ascii="Times New (W1)" w:hAnsi="Times New (W1)"/>
        <w:b/>
        <w:i/>
        <w:color w:val="999999"/>
        <w:sz w:val="20"/>
        <w:szCs w:val="20"/>
      </w:rPr>
      <w:t xml:space="preserve"> of </w:t>
    </w:r>
    <w:r w:rsidRPr="003D177A">
      <w:rPr>
        <w:rStyle w:val="PageNumber"/>
        <w:rFonts w:ascii="Times New (W1)" w:hAnsi="Times New (W1)"/>
        <w:b/>
        <w:i/>
        <w:color w:val="999999"/>
        <w:sz w:val="20"/>
        <w:szCs w:val="20"/>
      </w:rPr>
      <w:fldChar w:fldCharType="begin"/>
    </w:r>
    <w:r w:rsidRPr="003D177A">
      <w:rPr>
        <w:rStyle w:val="PageNumber"/>
        <w:rFonts w:ascii="Times New (W1)" w:hAnsi="Times New (W1)"/>
        <w:b/>
        <w:i/>
        <w:color w:val="999999"/>
        <w:sz w:val="20"/>
        <w:szCs w:val="20"/>
      </w:rPr>
      <w:instrText xml:space="preserve"> NUMPAGES </w:instrText>
    </w:r>
    <w:r w:rsidRPr="003D177A">
      <w:rPr>
        <w:rStyle w:val="PageNumber"/>
        <w:rFonts w:ascii="Times New (W1)" w:hAnsi="Times New (W1)"/>
        <w:b/>
        <w:i/>
        <w:color w:val="999999"/>
        <w:sz w:val="20"/>
        <w:szCs w:val="20"/>
      </w:rPr>
      <w:fldChar w:fldCharType="separate"/>
    </w:r>
    <w:r w:rsidR="00FD7AFB">
      <w:rPr>
        <w:rStyle w:val="PageNumber"/>
        <w:rFonts w:ascii="Times New (W1)" w:hAnsi="Times New (W1)"/>
        <w:b/>
        <w:i/>
        <w:noProof/>
        <w:color w:val="999999"/>
        <w:sz w:val="20"/>
        <w:szCs w:val="20"/>
      </w:rPr>
      <w:t>6</w:t>
    </w:r>
    <w:r w:rsidRPr="003D177A">
      <w:rPr>
        <w:rStyle w:val="PageNumber"/>
        <w:rFonts w:ascii="Times New (W1)" w:hAnsi="Times New (W1)"/>
        <w:b/>
        <w:i/>
        <w:color w:val="999999"/>
        <w:sz w:val="20"/>
        <w:szCs w:val="20"/>
      </w:rPr>
      <w:fldChar w:fldCharType="end"/>
    </w:r>
  </w:p>
  <w:p w14:paraId="5C7106F6" w14:textId="77777777" w:rsidR="00976065" w:rsidRPr="003D177A" w:rsidRDefault="00976065">
    <w:pPr>
      <w:pStyle w:val="Footer"/>
      <w:rPr>
        <w:color w:val="99999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2D433" w14:textId="77777777" w:rsidR="00976065" w:rsidRDefault="00976065">
      <w:r>
        <w:separator/>
      </w:r>
    </w:p>
  </w:footnote>
  <w:footnote w:type="continuationSeparator" w:id="0">
    <w:p w14:paraId="45A68447" w14:textId="77777777" w:rsidR="00976065" w:rsidRDefault="009760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4BC3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FD6F01"/>
    <w:multiLevelType w:val="hybridMultilevel"/>
    <w:tmpl w:val="8808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14C72"/>
    <w:multiLevelType w:val="hybridMultilevel"/>
    <w:tmpl w:val="04186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040C9B"/>
    <w:multiLevelType w:val="hybridMultilevel"/>
    <w:tmpl w:val="8DE650F8"/>
    <w:lvl w:ilvl="0" w:tplc="56BA8BB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4C44599"/>
    <w:multiLevelType w:val="hybridMultilevel"/>
    <w:tmpl w:val="9A9AA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FA7F0F"/>
    <w:multiLevelType w:val="hybridMultilevel"/>
    <w:tmpl w:val="8EFCFC5A"/>
    <w:lvl w:ilvl="0" w:tplc="778CB2EC">
      <w:start w:val="10"/>
      <w:numFmt w:val="bullet"/>
      <w:lvlText w:val="-"/>
      <w:lvlJc w:val="left"/>
      <w:pPr>
        <w:tabs>
          <w:tab w:val="num" w:pos="360"/>
        </w:tabs>
        <w:ind w:left="360" w:hanging="360"/>
      </w:pPr>
      <w:rPr>
        <w:rFonts w:ascii="Times New Roman" w:eastAsia="Times New Roman" w:hAnsi="Times New Roman" w:cs="Times New Roman" w:hint="default"/>
      </w:rPr>
    </w:lvl>
    <w:lvl w:ilvl="1" w:tplc="0C090003">
      <w:start w:val="1"/>
      <w:numFmt w:val="bullet"/>
      <w:lvlText w:val="o"/>
      <w:lvlJc w:val="left"/>
      <w:pPr>
        <w:tabs>
          <w:tab w:val="num" w:pos="873"/>
        </w:tabs>
        <w:ind w:left="873" w:hanging="360"/>
      </w:pPr>
      <w:rPr>
        <w:rFonts w:ascii="Courier New" w:hAnsi="Courier New" w:cs="Courier New" w:hint="default"/>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6">
    <w:nsid w:val="2C6C54AF"/>
    <w:multiLevelType w:val="hybridMultilevel"/>
    <w:tmpl w:val="C11E25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F39478D"/>
    <w:multiLevelType w:val="hybridMultilevel"/>
    <w:tmpl w:val="3E7EB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3173029"/>
    <w:multiLevelType w:val="hybridMultilevel"/>
    <w:tmpl w:val="92B4A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39455F0"/>
    <w:multiLevelType w:val="hybridMultilevel"/>
    <w:tmpl w:val="39B2BA5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nsid w:val="4B7F16F4"/>
    <w:multiLevelType w:val="hybridMultilevel"/>
    <w:tmpl w:val="6810A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0535454"/>
    <w:multiLevelType w:val="hybridMultilevel"/>
    <w:tmpl w:val="D6285C18"/>
    <w:lvl w:ilvl="0" w:tplc="8DB62192">
      <w:start w:val="1"/>
      <w:numFmt w:val="bullet"/>
      <w:lvlText w:val="•"/>
      <w:lvlJc w:val="left"/>
      <w:pPr>
        <w:tabs>
          <w:tab w:val="num" w:pos="720"/>
        </w:tabs>
        <w:ind w:left="720" w:hanging="360"/>
      </w:pPr>
      <w:rPr>
        <w:rFonts w:ascii="Arial" w:hAnsi="Arial" w:hint="default"/>
      </w:rPr>
    </w:lvl>
    <w:lvl w:ilvl="1" w:tplc="302693A4" w:tentative="1">
      <w:start w:val="1"/>
      <w:numFmt w:val="bullet"/>
      <w:lvlText w:val="•"/>
      <w:lvlJc w:val="left"/>
      <w:pPr>
        <w:tabs>
          <w:tab w:val="num" w:pos="1440"/>
        </w:tabs>
        <w:ind w:left="1440" w:hanging="360"/>
      </w:pPr>
      <w:rPr>
        <w:rFonts w:ascii="Arial" w:hAnsi="Arial" w:hint="default"/>
      </w:rPr>
    </w:lvl>
    <w:lvl w:ilvl="2" w:tplc="9664E92A" w:tentative="1">
      <w:start w:val="1"/>
      <w:numFmt w:val="bullet"/>
      <w:lvlText w:val="•"/>
      <w:lvlJc w:val="left"/>
      <w:pPr>
        <w:tabs>
          <w:tab w:val="num" w:pos="2160"/>
        </w:tabs>
        <w:ind w:left="2160" w:hanging="360"/>
      </w:pPr>
      <w:rPr>
        <w:rFonts w:ascii="Arial" w:hAnsi="Arial" w:hint="default"/>
      </w:rPr>
    </w:lvl>
    <w:lvl w:ilvl="3" w:tplc="7B04B0D6" w:tentative="1">
      <w:start w:val="1"/>
      <w:numFmt w:val="bullet"/>
      <w:lvlText w:val="•"/>
      <w:lvlJc w:val="left"/>
      <w:pPr>
        <w:tabs>
          <w:tab w:val="num" w:pos="2880"/>
        </w:tabs>
        <w:ind w:left="2880" w:hanging="360"/>
      </w:pPr>
      <w:rPr>
        <w:rFonts w:ascii="Arial" w:hAnsi="Arial" w:hint="default"/>
      </w:rPr>
    </w:lvl>
    <w:lvl w:ilvl="4" w:tplc="78CCCB48" w:tentative="1">
      <w:start w:val="1"/>
      <w:numFmt w:val="bullet"/>
      <w:lvlText w:val="•"/>
      <w:lvlJc w:val="left"/>
      <w:pPr>
        <w:tabs>
          <w:tab w:val="num" w:pos="3600"/>
        </w:tabs>
        <w:ind w:left="3600" w:hanging="360"/>
      </w:pPr>
      <w:rPr>
        <w:rFonts w:ascii="Arial" w:hAnsi="Arial" w:hint="default"/>
      </w:rPr>
    </w:lvl>
    <w:lvl w:ilvl="5" w:tplc="3E28E066" w:tentative="1">
      <w:start w:val="1"/>
      <w:numFmt w:val="bullet"/>
      <w:lvlText w:val="•"/>
      <w:lvlJc w:val="left"/>
      <w:pPr>
        <w:tabs>
          <w:tab w:val="num" w:pos="4320"/>
        </w:tabs>
        <w:ind w:left="4320" w:hanging="360"/>
      </w:pPr>
      <w:rPr>
        <w:rFonts w:ascii="Arial" w:hAnsi="Arial" w:hint="default"/>
      </w:rPr>
    </w:lvl>
    <w:lvl w:ilvl="6" w:tplc="55C847FC" w:tentative="1">
      <w:start w:val="1"/>
      <w:numFmt w:val="bullet"/>
      <w:lvlText w:val="•"/>
      <w:lvlJc w:val="left"/>
      <w:pPr>
        <w:tabs>
          <w:tab w:val="num" w:pos="5040"/>
        </w:tabs>
        <w:ind w:left="5040" w:hanging="360"/>
      </w:pPr>
      <w:rPr>
        <w:rFonts w:ascii="Arial" w:hAnsi="Arial" w:hint="default"/>
      </w:rPr>
    </w:lvl>
    <w:lvl w:ilvl="7" w:tplc="FB1E4F56" w:tentative="1">
      <w:start w:val="1"/>
      <w:numFmt w:val="bullet"/>
      <w:lvlText w:val="•"/>
      <w:lvlJc w:val="left"/>
      <w:pPr>
        <w:tabs>
          <w:tab w:val="num" w:pos="5760"/>
        </w:tabs>
        <w:ind w:left="5760" w:hanging="360"/>
      </w:pPr>
      <w:rPr>
        <w:rFonts w:ascii="Arial" w:hAnsi="Arial" w:hint="default"/>
      </w:rPr>
    </w:lvl>
    <w:lvl w:ilvl="8" w:tplc="272AEF20" w:tentative="1">
      <w:start w:val="1"/>
      <w:numFmt w:val="bullet"/>
      <w:lvlText w:val="•"/>
      <w:lvlJc w:val="left"/>
      <w:pPr>
        <w:tabs>
          <w:tab w:val="num" w:pos="6480"/>
        </w:tabs>
        <w:ind w:left="6480" w:hanging="360"/>
      </w:pPr>
      <w:rPr>
        <w:rFonts w:ascii="Arial" w:hAnsi="Arial" w:hint="default"/>
      </w:rPr>
    </w:lvl>
  </w:abstractNum>
  <w:abstractNum w:abstractNumId="12">
    <w:nsid w:val="525D0AD6"/>
    <w:multiLevelType w:val="hybridMultilevel"/>
    <w:tmpl w:val="8DFED350"/>
    <w:lvl w:ilvl="0" w:tplc="778CB2EC">
      <w:start w:val="10"/>
      <w:numFmt w:val="bullet"/>
      <w:lvlText w:val="-"/>
      <w:lvlJc w:val="left"/>
      <w:pPr>
        <w:tabs>
          <w:tab w:val="num" w:pos="927"/>
        </w:tabs>
        <w:ind w:left="927" w:hanging="360"/>
      </w:pPr>
      <w:rPr>
        <w:rFonts w:ascii="Times New Roman" w:eastAsia="Times New Roman" w:hAnsi="Times New Roman" w:cs="Times New Roman" w:hint="default"/>
      </w:rPr>
    </w:lvl>
    <w:lvl w:ilvl="1" w:tplc="0C090003" w:tentative="1">
      <w:start w:val="1"/>
      <w:numFmt w:val="bullet"/>
      <w:lvlText w:val="o"/>
      <w:lvlJc w:val="left"/>
      <w:pPr>
        <w:tabs>
          <w:tab w:val="num" w:pos="1647"/>
        </w:tabs>
        <w:ind w:left="1647" w:hanging="360"/>
      </w:pPr>
      <w:rPr>
        <w:rFonts w:ascii="Courier New" w:hAnsi="Courier New" w:cs="Courier New" w:hint="default"/>
      </w:rPr>
    </w:lvl>
    <w:lvl w:ilvl="2" w:tplc="0C090005" w:tentative="1">
      <w:start w:val="1"/>
      <w:numFmt w:val="bullet"/>
      <w:lvlText w:val=""/>
      <w:lvlJc w:val="left"/>
      <w:pPr>
        <w:tabs>
          <w:tab w:val="num" w:pos="2367"/>
        </w:tabs>
        <w:ind w:left="2367" w:hanging="360"/>
      </w:pPr>
      <w:rPr>
        <w:rFonts w:ascii="Wingdings" w:hAnsi="Wingdings" w:hint="default"/>
      </w:rPr>
    </w:lvl>
    <w:lvl w:ilvl="3" w:tplc="0C090001" w:tentative="1">
      <w:start w:val="1"/>
      <w:numFmt w:val="bullet"/>
      <w:lvlText w:val=""/>
      <w:lvlJc w:val="left"/>
      <w:pPr>
        <w:tabs>
          <w:tab w:val="num" w:pos="3087"/>
        </w:tabs>
        <w:ind w:left="3087" w:hanging="360"/>
      </w:pPr>
      <w:rPr>
        <w:rFonts w:ascii="Symbol" w:hAnsi="Symbol" w:hint="default"/>
      </w:rPr>
    </w:lvl>
    <w:lvl w:ilvl="4" w:tplc="0C090003" w:tentative="1">
      <w:start w:val="1"/>
      <w:numFmt w:val="bullet"/>
      <w:lvlText w:val="o"/>
      <w:lvlJc w:val="left"/>
      <w:pPr>
        <w:tabs>
          <w:tab w:val="num" w:pos="3807"/>
        </w:tabs>
        <w:ind w:left="3807" w:hanging="360"/>
      </w:pPr>
      <w:rPr>
        <w:rFonts w:ascii="Courier New" w:hAnsi="Courier New" w:cs="Courier New" w:hint="default"/>
      </w:rPr>
    </w:lvl>
    <w:lvl w:ilvl="5" w:tplc="0C090005" w:tentative="1">
      <w:start w:val="1"/>
      <w:numFmt w:val="bullet"/>
      <w:lvlText w:val=""/>
      <w:lvlJc w:val="left"/>
      <w:pPr>
        <w:tabs>
          <w:tab w:val="num" w:pos="4527"/>
        </w:tabs>
        <w:ind w:left="4527" w:hanging="360"/>
      </w:pPr>
      <w:rPr>
        <w:rFonts w:ascii="Wingdings" w:hAnsi="Wingdings" w:hint="default"/>
      </w:rPr>
    </w:lvl>
    <w:lvl w:ilvl="6" w:tplc="0C090001" w:tentative="1">
      <w:start w:val="1"/>
      <w:numFmt w:val="bullet"/>
      <w:lvlText w:val=""/>
      <w:lvlJc w:val="left"/>
      <w:pPr>
        <w:tabs>
          <w:tab w:val="num" w:pos="5247"/>
        </w:tabs>
        <w:ind w:left="5247" w:hanging="360"/>
      </w:pPr>
      <w:rPr>
        <w:rFonts w:ascii="Symbol" w:hAnsi="Symbol" w:hint="default"/>
      </w:rPr>
    </w:lvl>
    <w:lvl w:ilvl="7" w:tplc="0C090003" w:tentative="1">
      <w:start w:val="1"/>
      <w:numFmt w:val="bullet"/>
      <w:lvlText w:val="o"/>
      <w:lvlJc w:val="left"/>
      <w:pPr>
        <w:tabs>
          <w:tab w:val="num" w:pos="5967"/>
        </w:tabs>
        <w:ind w:left="5967" w:hanging="360"/>
      </w:pPr>
      <w:rPr>
        <w:rFonts w:ascii="Courier New" w:hAnsi="Courier New" w:cs="Courier New" w:hint="default"/>
      </w:rPr>
    </w:lvl>
    <w:lvl w:ilvl="8" w:tplc="0C090005" w:tentative="1">
      <w:start w:val="1"/>
      <w:numFmt w:val="bullet"/>
      <w:lvlText w:val=""/>
      <w:lvlJc w:val="left"/>
      <w:pPr>
        <w:tabs>
          <w:tab w:val="num" w:pos="6687"/>
        </w:tabs>
        <w:ind w:left="6687" w:hanging="360"/>
      </w:pPr>
      <w:rPr>
        <w:rFonts w:ascii="Wingdings" w:hAnsi="Wingdings" w:hint="default"/>
      </w:rPr>
    </w:lvl>
  </w:abstractNum>
  <w:abstractNum w:abstractNumId="13">
    <w:nsid w:val="5B3B30D2"/>
    <w:multiLevelType w:val="hybridMultilevel"/>
    <w:tmpl w:val="5A90D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E314C11"/>
    <w:multiLevelType w:val="hybridMultilevel"/>
    <w:tmpl w:val="605643E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nsid w:val="64D92284"/>
    <w:multiLevelType w:val="hybridMultilevel"/>
    <w:tmpl w:val="A5E6DD6E"/>
    <w:lvl w:ilvl="0" w:tplc="FFFFFFFF">
      <w:start w:val="1"/>
      <w:numFmt w:val="bullet"/>
      <w:lvlText w:val=""/>
      <w:lvlJc w:val="left"/>
      <w:pPr>
        <w:tabs>
          <w:tab w:val="num" w:pos="780"/>
        </w:tabs>
        <w:ind w:left="780" w:hanging="360"/>
      </w:pPr>
      <w:rPr>
        <w:rFonts w:ascii="Symbol" w:hAnsi="Symbol" w:cs="Symbol" w:hint="default"/>
      </w:rPr>
    </w:lvl>
    <w:lvl w:ilvl="1" w:tplc="FFFFFFFF">
      <w:start w:val="1"/>
      <w:numFmt w:val="bullet"/>
      <w:lvlText w:val="o"/>
      <w:lvlJc w:val="left"/>
      <w:pPr>
        <w:tabs>
          <w:tab w:val="num" w:pos="1500"/>
        </w:tabs>
        <w:ind w:left="1500" w:hanging="360"/>
      </w:pPr>
      <w:rPr>
        <w:rFonts w:ascii="Courier New" w:hAnsi="Courier New" w:cs="Courier New" w:hint="default"/>
      </w:rPr>
    </w:lvl>
    <w:lvl w:ilvl="2" w:tplc="FFFFFFFF">
      <w:start w:val="1"/>
      <w:numFmt w:val="bullet"/>
      <w:lvlText w:val=""/>
      <w:lvlJc w:val="left"/>
      <w:pPr>
        <w:tabs>
          <w:tab w:val="num" w:pos="2220"/>
        </w:tabs>
        <w:ind w:left="2220" w:hanging="360"/>
      </w:pPr>
      <w:rPr>
        <w:rFonts w:ascii="Wingdings" w:hAnsi="Wingdings" w:cs="Wingdings" w:hint="default"/>
      </w:rPr>
    </w:lvl>
    <w:lvl w:ilvl="3" w:tplc="FFFFFFFF">
      <w:start w:val="1"/>
      <w:numFmt w:val="bullet"/>
      <w:lvlText w:val=""/>
      <w:lvlJc w:val="left"/>
      <w:pPr>
        <w:tabs>
          <w:tab w:val="num" w:pos="2940"/>
        </w:tabs>
        <w:ind w:left="2940" w:hanging="360"/>
      </w:pPr>
      <w:rPr>
        <w:rFonts w:ascii="Symbol" w:hAnsi="Symbol" w:cs="Symbol" w:hint="default"/>
      </w:rPr>
    </w:lvl>
    <w:lvl w:ilvl="4" w:tplc="FFFFFFFF">
      <w:start w:val="1"/>
      <w:numFmt w:val="bullet"/>
      <w:lvlText w:val="o"/>
      <w:lvlJc w:val="left"/>
      <w:pPr>
        <w:tabs>
          <w:tab w:val="num" w:pos="3660"/>
        </w:tabs>
        <w:ind w:left="3660" w:hanging="360"/>
      </w:pPr>
      <w:rPr>
        <w:rFonts w:ascii="Courier New" w:hAnsi="Courier New" w:cs="Courier New" w:hint="default"/>
      </w:rPr>
    </w:lvl>
    <w:lvl w:ilvl="5" w:tplc="FFFFFFFF">
      <w:start w:val="1"/>
      <w:numFmt w:val="bullet"/>
      <w:lvlText w:val=""/>
      <w:lvlJc w:val="left"/>
      <w:pPr>
        <w:tabs>
          <w:tab w:val="num" w:pos="4380"/>
        </w:tabs>
        <w:ind w:left="4380" w:hanging="360"/>
      </w:pPr>
      <w:rPr>
        <w:rFonts w:ascii="Wingdings" w:hAnsi="Wingdings" w:cs="Wingdings" w:hint="default"/>
      </w:rPr>
    </w:lvl>
    <w:lvl w:ilvl="6" w:tplc="FFFFFFFF">
      <w:start w:val="1"/>
      <w:numFmt w:val="bullet"/>
      <w:lvlText w:val=""/>
      <w:lvlJc w:val="left"/>
      <w:pPr>
        <w:tabs>
          <w:tab w:val="num" w:pos="5100"/>
        </w:tabs>
        <w:ind w:left="5100" w:hanging="360"/>
      </w:pPr>
      <w:rPr>
        <w:rFonts w:ascii="Symbol" w:hAnsi="Symbol" w:cs="Symbol" w:hint="default"/>
      </w:rPr>
    </w:lvl>
    <w:lvl w:ilvl="7" w:tplc="FFFFFFFF">
      <w:start w:val="1"/>
      <w:numFmt w:val="bullet"/>
      <w:lvlText w:val="o"/>
      <w:lvlJc w:val="left"/>
      <w:pPr>
        <w:tabs>
          <w:tab w:val="num" w:pos="5820"/>
        </w:tabs>
        <w:ind w:left="5820" w:hanging="360"/>
      </w:pPr>
      <w:rPr>
        <w:rFonts w:ascii="Courier New" w:hAnsi="Courier New" w:cs="Courier New" w:hint="default"/>
      </w:rPr>
    </w:lvl>
    <w:lvl w:ilvl="8" w:tplc="FFFFFFFF">
      <w:start w:val="1"/>
      <w:numFmt w:val="bullet"/>
      <w:lvlText w:val=""/>
      <w:lvlJc w:val="left"/>
      <w:pPr>
        <w:tabs>
          <w:tab w:val="num" w:pos="6540"/>
        </w:tabs>
        <w:ind w:left="6540" w:hanging="360"/>
      </w:pPr>
      <w:rPr>
        <w:rFonts w:ascii="Wingdings" w:hAnsi="Wingdings" w:cs="Wingdings" w:hint="default"/>
      </w:rPr>
    </w:lvl>
  </w:abstractNum>
  <w:abstractNum w:abstractNumId="16">
    <w:nsid w:val="685B3F60"/>
    <w:multiLevelType w:val="hybridMultilevel"/>
    <w:tmpl w:val="08B0BB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nsid w:val="6F446245"/>
    <w:multiLevelType w:val="hybridMultilevel"/>
    <w:tmpl w:val="9754E9EE"/>
    <w:lvl w:ilvl="0" w:tplc="03088BEE">
      <w:start w:val="8"/>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5"/>
  </w:num>
  <w:num w:numId="2">
    <w:abstractNumId w:val="14"/>
  </w:num>
  <w:num w:numId="3">
    <w:abstractNumId w:val="12"/>
  </w:num>
  <w:num w:numId="4">
    <w:abstractNumId w:val="17"/>
  </w:num>
  <w:num w:numId="5">
    <w:abstractNumId w:val="5"/>
  </w:num>
  <w:num w:numId="6">
    <w:abstractNumId w:val="10"/>
  </w:num>
  <w:num w:numId="7">
    <w:abstractNumId w:val="2"/>
  </w:num>
  <w:num w:numId="8">
    <w:abstractNumId w:val="3"/>
  </w:num>
  <w:num w:numId="9">
    <w:abstractNumId w:val="8"/>
  </w:num>
  <w:num w:numId="10">
    <w:abstractNumId w:val="16"/>
  </w:num>
  <w:num w:numId="11">
    <w:abstractNumId w:val="9"/>
  </w:num>
  <w:num w:numId="12">
    <w:abstractNumId w:val="0"/>
  </w:num>
  <w:num w:numId="13">
    <w:abstractNumId w:val="11"/>
  </w:num>
  <w:num w:numId="14">
    <w:abstractNumId w:val="1"/>
  </w:num>
  <w:num w:numId="15">
    <w:abstractNumId w:val="7"/>
  </w:num>
  <w:num w:numId="16">
    <w:abstractNumId w:val="4"/>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0"/>
  <w:activeWritingStyle w:appName="MSWord" w:lang="en-AU"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2AD"/>
    <w:rsid w:val="0000132B"/>
    <w:rsid w:val="000109FB"/>
    <w:rsid w:val="00016CF9"/>
    <w:rsid w:val="00020563"/>
    <w:rsid w:val="00021C2D"/>
    <w:rsid w:val="00032082"/>
    <w:rsid w:val="00042A9C"/>
    <w:rsid w:val="00060256"/>
    <w:rsid w:val="0007292D"/>
    <w:rsid w:val="000763A9"/>
    <w:rsid w:val="00076A57"/>
    <w:rsid w:val="00077799"/>
    <w:rsid w:val="000814B0"/>
    <w:rsid w:val="00082DA4"/>
    <w:rsid w:val="00093B96"/>
    <w:rsid w:val="00097FBD"/>
    <w:rsid w:val="000B2968"/>
    <w:rsid w:val="000B6582"/>
    <w:rsid w:val="000C0AE4"/>
    <w:rsid w:val="000C771E"/>
    <w:rsid w:val="000D014B"/>
    <w:rsid w:val="000D03C6"/>
    <w:rsid w:val="000D253A"/>
    <w:rsid w:val="000D76B8"/>
    <w:rsid w:val="000D7EBE"/>
    <w:rsid w:val="000E2409"/>
    <w:rsid w:val="000E27B3"/>
    <w:rsid w:val="000E3A08"/>
    <w:rsid w:val="000F06E3"/>
    <w:rsid w:val="000F0B14"/>
    <w:rsid w:val="001020BB"/>
    <w:rsid w:val="001065F0"/>
    <w:rsid w:val="001136FA"/>
    <w:rsid w:val="00114B61"/>
    <w:rsid w:val="00125833"/>
    <w:rsid w:val="00125EE4"/>
    <w:rsid w:val="0013356C"/>
    <w:rsid w:val="00133C96"/>
    <w:rsid w:val="00142B8D"/>
    <w:rsid w:val="00143FAD"/>
    <w:rsid w:val="00146942"/>
    <w:rsid w:val="001522CF"/>
    <w:rsid w:val="001532CA"/>
    <w:rsid w:val="00162CDB"/>
    <w:rsid w:val="00163F87"/>
    <w:rsid w:val="00177C76"/>
    <w:rsid w:val="00182736"/>
    <w:rsid w:val="00183DC5"/>
    <w:rsid w:val="001A42DC"/>
    <w:rsid w:val="001A4320"/>
    <w:rsid w:val="001A5E8B"/>
    <w:rsid w:val="001B086B"/>
    <w:rsid w:val="001B59F8"/>
    <w:rsid w:val="001C1287"/>
    <w:rsid w:val="001C26E9"/>
    <w:rsid w:val="001D0FE6"/>
    <w:rsid w:val="001D103E"/>
    <w:rsid w:val="001D3D9A"/>
    <w:rsid w:val="001D47B5"/>
    <w:rsid w:val="001D6A96"/>
    <w:rsid w:val="001D713F"/>
    <w:rsid w:val="001E2CDD"/>
    <w:rsid w:val="001E30B2"/>
    <w:rsid w:val="001E6861"/>
    <w:rsid w:val="001E7B0F"/>
    <w:rsid w:val="001F2CC0"/>
    <w:rsid w:val="001F69BE"/>
    <w:rsid w:val="002119C4"/>
    <w:rsid w:val="0021661E"/>
    <w:rsid w:val="00221B4D"/>
    <w:rsid w:val="002241D2"/>
    <w:rsid w:val="00230440"/>
    <w:rsid w:val="002371A8"/>
    <w:rsid w:val="0024100D"/>
    <w:rsid w:val="0024656C"/>
    <w:rsid w:val="00253FC1"/>
    <w:rsid w:val="0026255B"/>
    <w:rsid w:val="00266910"/>
    <w:rsid w:val="00267568"/>
    <w:rsid w:val="00272B5E"/>
    <w:rsid w:val="0027686D"/>
    <w:rsid w:val="002A57B9"/>
    <w:rsid w:val="002B268D"/>
    <w:rsid w:val="002B776B"/>
    <w:rsid w:val="002B79BB"/>
    <w:rsid w:val="002B7E79"/>
    <w:rsid w:val="002C0C3A"/>
    <w:rsid w:val="002C2A44"/>
    <w:rsid w:val="002C3E5F"/>
    <w:rsid w:val="002C7CC3"/>
    <w:rsid w:val="002E0E3B"/>
    <w:rsid w:val="002E214E"/>
    <w:rsid w:val="002E2593"/>
    <w:rsid w:val="002E4E44"/>
    <w:rsid w:val="002E54B9"/>
    <w:rsid w:val="002E56DB"/>
    <w:rsid w:val="002F54C9"/>
    <w:rsid w:val="00310203"/>
    <w:rsid w:val="00312CB5"/>
    <w:rsid w:val="0031682E"/>
    <w:rsid w:val="00320BC6"/>
    <w:rsid w:val="003211CC"/>
    <w:rsid w:val="00321524"/>
    <w:rsid w:val="00321783"/>
    <w:rsid w:val="003233AB"/>
    <w:rsid w:val="00323B18"/>
    <w:rsid w:val="003248CE"/>
    <w:rsid w:val="00335AA4"/>
    <w:rsid w:val="00351867"/>
    <w:rsid w:val="003532D6"/>
    <w:rsid w:val="00354547"/>
    <w:rsid w:val="00355AA4"/>
    <w:rsid w:val="003563A7"/>
    <w:rsid w:val="003579D2"/>
    <w:rsid w:val="00360409"/>
    <w:rsid w:val="0036138F"/>
    <w:rsid w:val="00363E38"/>
    <w:rsid w:val="003718DB"/>
    <w:rsid w:val="00372559"/>
    <w:rsid w:val="00375E7C"/>
    <w:rsid w:val="0038552C"/>
    <w:rsid w:val="00391D28"/>
    <w:rsid w:val="00393F9B"/>
    <w:rsid w:val="00394B80"/>
    <w:rsid w:val="00397378"/>
    <w:rsid w:val="003A0AFD"/>
    <w:rsid w:val="003B3690"/>
    <w:rsid w:val="003B3D30"/>
    <w:rsid w:val="003B6324"/>
    <w:rsid w:val="003C24F2"/>
    <w:rsid w:val="003D05AB"/>
    <w:rsid w:val="003D177A"/>
    <w:rsid w:val="003D43DE"/>
    <w:rsid w:val="003D791E"/>
    <w:rsid w:val="003F70B8"/>
    <w:rsid w:val="0040567E"/>
    <w:rsid w:val="004107CD"/>
    <w:rsid w:val="00417057"/>
    <w:rsid w:val="00417A94"/>
    <w:rsid w:val="004219DF"/>
    <w:rsid w:val="0042345B"/>
    <w:rsid w:val="0042396D"/>
    <w:rsid w:val="004351AA"/>
    <w:rsid w:val="00435502"/>
    <w:rsid w:val="004360C9"/>
    <w:rsid w:val="00444C96"/>
    <w:rsid w:val="004451D8"/>
    <w:rsid w:val="004473AD"/>
    <w:rsid w:val="004536DF"/>
    <w:rsid w:val="00461B08"/>
    <w:rsid w:val="004649BB"/>
    <w:rsid w:val="00467644"/>
    <w:rsid w:val="00483F8A"/>
    <w:rsid w:val="00486E28"/>
    <w:rsid w:val="00493705"/>
    <w:rsid w:val="00493C53"/>
    <w:rsid w:val="00493DBB"/>
    <w:rsid w:val="00494870"/>
    <w:rsid w:val="004A4FE2"/>
    <w:rsid w:val="004A55E2"/>
    <w:rsid w:val="004B058A"/>
    <w:rsid w:val="004B101D"/>
    <w:rsid w:val="004B1085"/>
    <w:rsid w:val="004B4330"/>
    <w:rsid w:val="004B5E5F"/>
    <w:rsid w:val="004B694D"/>
    <w:rsid w:val="004C49C0"/>
    <w:rsid w:val="004D314E"/>
    <w:rsid w:val="004E0561"/>
    <w:rsid w:val="004E2AFC"/>
    <w:rsid w:val="004E35D4"/>
    <w:rsid w:val="004E44A5"/>
    <w:rsid w:val="004E6890"/>
    <w:rsid w:val="005019E7"/>
    <w:rsid w:val="005024CE"/>
    <w:rsid w:val="00507661"/>
    <w:rsid w:val="00513E52"/>
    <w:rsid w:val="00514166"/>
    <w:rsid w:val="00517FC1"/>
    <w:rsid w:val="0052434C"/>
    <w:rsid w:val="00531BA3"/>
    <w:rsid w:val="00533900"/>
    <w:rsid w:val="00537BFB"/>
    <w:rsid w:val="00546FD0"/>
    <w:rsid w:val="00551C5B"/>
    <w:rsid w:val="00573916"/>
    <w:rsid w:val="00574842"/>
    <w:rsid w:val="00577906"/>
    <w:rsid w:val="005811E9"/>
    <w:rsid w:val="00586DE6"/>
    <w:rsid w:val="00590D3B"/>
    <w:rsid w:val="00591E3D"/>
    <w:rsid w:val="0059265A"/>
    <w:rsid w:val="00592869"/>
    <w:rsid w:val="00592B11"/>
    <w:rsid w:val="005A2931"/>
    <w:rsid w:val="005A300C"/>
    <w:rsid w:val="005A3B1A"/>
    <w:rsid w:val="005A40F0"/>
    <w:rsid w:val="005A4748"/>
    <w:rsid w:val="005B0879"/>
    <w:rsid w:val="005B669B"/>
    <w:rsid w:val="005D0FAE"/>
    <w:rsid w:val="005D246D"/>
    <w:rsid w:val="005D6FA9"/>
    <w:rsid w:val="005E206A"/>
    <w:rsid w:val="005E3184"/>
    <w:rsid w:val="005F0D6A"/>
    <w:rsid w:val="005F4EB2"/>
    <w:rsid w:val="005F7171"/>
    <w:rsid w:val="00603B55"/>
    <w:rsid w:val="00605300"/>
    <w:rsid w:val="00606B5C"/>
    <w:rsid w:val="0060704D"/>
    <w:rsid w:val="00621994"/>
    <w:rsid w:val="006276A2"/>
    <w:rsid w:val="00634C3C"/>
    <w:rsid w:val="006429D3"/>
    <w:rsid w:val="00643F67"/>
    <w:rsid w:val="006455C8"/>
    <w:rsid w:val="00654079"/>
    <w:rsid w:val="006656B2"/>
    <w:rsid w:val="00665C08"/>
    <w:rsid w:val="006673BA"/>
    <w:rsid w:val="00671CB8"/>
    <w:rsid w:val="00674F7E"/>
    <w:rsid w:val="00684727"/>
    <w:rsid w:val="006937D9"/>
    <w:rsid w:val="00694684"/>
    <w:rsid w:val="006964F7"/>
    <w:rsid w:val="006A56C9"/>
    <w:rsid w:val="006B0607"/>
    <w:rsid w:val="006B1E7F"/>
    <w:rsid w:val="006B3E58"/>
    <w:rsid w:val="006B7BCE"/>
    <w:rsid w:val="006C03D3"/>
    <w:rsid w:val="006C2B33"/>
    <w:rsid w:val="006C5BF5"/>
    <w:rsid w:val="006D5056"/>
    <w:rsid w:val="006E11C7"/>
    <w:rsid w:val="006E21FE"/>
    <w:rsid w:val="006E48EB"/>
    <w:rsid w:val="006E5C56"/>
    <w:rsid w:val="0070763A"/>
    <w:rsid w:val="00725FCD"/>
    <w:rsid w:val="00734722"/>
    <w:rsid w:val="00737B82"/>
    <w:rsid w:val="007436C3"/>
    <w:rsid w:val="00746E3F"/>
    <w:rsid w:val="007602D8"/>
    <w:rsid w:val="00760748"/>
    <w:rsid w:val="007615B0"/>
    <w:rsid w:val="007621B6"/>
    <w:rsid w:val="00764A27"/>
    <w:rsid w:val="007658D7"/>
    <w:rsid w:val="00765A5E"/>
    <w:rsid w:val="00766653"/>
    <w:rsid w:val="00766B75"/>
    <w:rsid w:val="00772EC1"/>
    <w:rsid w:val="00775468"/>
    <w:rsid w:val="00776C72"/>
    <w:rsid w:val="007840D3"/>
    <w:rsid w:val="00793458"/>
    <w:rsid w:val="00796356"/>
    <w:rsid w:val="007A22F6"/>
    <w:rsid w:val="007A7DA5"/>
    <w:rsid w:val="007B0629"/>
    <w:rsid w:val="007B3A0A"/>
    <w:rsid w:val="007C5995"/>
    <w:rsid w:val="007C6E61"/>
    <w:rsid w:val="007D57E8"/>
    <w:rsid w:val="007E2455"/>
    <w:rsid w:val="007E2805"/>
    <w:rsid w:val="007E38E4"/>
    <w:rsid w:val="007E3E90"/>
    <w:rsid w:val="007F1587"/>
    <w:rsid w:val="00805C49"/>
    <w:rsid w:val="00805E8F"/>
    <w:rsid w:val="00817E07"/>
    <w:rsid w:val="0083484A"/>
    <w:rsid w:val="00835907"/>
    <w:rsid w:val="008417AB"/>
    <w:rsid w:val="00846786"/>
    <w:rsid w:val="00847803"/>
    <w:rsid w:val="00852F28"/>
    <w:rsid w:val="008556B3"/>
    <w:rsid w:val="0085600E"/>
    <w:rsid w:val="00871370"/>
    <w:rsid w:val="008852BB"/>
    <w:rsid w:val="0088675E"/>
    <w:rsid w:val="008873E6"/>
    <w:rsid w:val="008A4A5F"/>
    <w:rsid w:val="008A7C29"/>
    <w:rsid w:val="008B230D"/>
    <w:rsid w:val="008C1282"/>
    <w:rsid w:val="008D0532"/>
    <w:rsid w:val="008D2B55"/>
    <w:rsid w:val="008D727E"/>
    <w:rsid w:val="008D7B92"/>
    <w:rsid w:val="008E3588"/>
    <w:rsid w:val="008E3661"/>
    <w:rsid w:val="008E4585"/>
    <w:rsid w:val="008F42CB"/>
    <w:rsid w:val="008F4BAB"/>
    <w:rsid w:val="008F7A5C"/>
    <w:rsid w:val="00900B99"/>
    <w:rsid w:val="00902081"/>
    <w:rsid w:val="009042DD"/>
    <w:rsid w:val="0090596D"/>
    <w:rsid w:val="009102D9"/>
    <w:rsid w:val="00910548"/>
    <w:rsid w:val="00915E18"/>
    <w:rsid w:val="00916DE8"/>
    <w:rsid w:val="00920743"/>
    <w:rsid w:val="00922704"/>
    <w:rsid w:val="00925192"/>
    <w:rsid w:val="00933DB9"/>
    <w:rsid w:val="00933DF3"/>
    <w:rsid w:val="00934AB2"/>
    <w:rsid w:val="00935B52"/>
    <w:rsid w:val="009374B7"/>
    <w:rsid w:val="0094601C"/>
    <w:rsid w:val="009467CC"/>
    <w:rsid w:val="0095242A"/>
    <w:rsid w:val="009568CB"/>
    <w:rsid w:val="00972AB8"/>
    <w:rsid w:val="00972EDD"/>
    <w:rsid w:val="00976065"/>
    <w:rsid w:val="00977C22"/>
    <w:rsid w:val="0098074F"/>
    <w:rsid w:val="0098266B"/>
    <w:rsid w:val="00982E8B"/>
    <w:rsid w:val="009848B7"/>
    <w:rsid w:val="009867C1"/>
    <w:rsid w:val="009962E5"/>
    <w:rsid w:val="009A7186"/>
    <w:rsid w:val="009B4850"/>
    <w:rsid w:val="009B72BF"/>
    <w:rsid w:val="009C4188"/>
    <w:rsid w:val="009C5EE6"/>
    <w:rsid w:val="009D0343"/>
    <w:rsid w:val="009D2B56"/>
    <w:rsid w:val="009E2EA8"/>
    <w:rsid w:val="009E44CA"/>
    <w:rsid w:val="009F02A4"/>
    <w:rsid w:val="009F59F2"/>
    <w:rsid w:val="00A003DC"/>
    <w:rsid w:val="00A07BCE"/>
    <w:rsid w:val="00A102AD"/>
    <w:rsid w:val="00A11C2A"/>
    <w:rsid w:val="00A12E74"/>
    <w:rsid w:val="00A13151"/>
    <w:rsid w:val="00A2167C"/>
    <w:rsid w:val="00A22286"/>
    <w:rsid w:val="00A258EE"/>
    <w:rsid w:val="00A34DC8"/>
    <w:rsid w:val="00A3649C"/>
    <w:rsid w:val="00A44819"/>
    <w:rsid w:val="00A5186E"/>
    <w:rsid w:val="00A52958"/>
    <w:rsid w:val="00A634EB"/>
    <w:rsid w:val="00A63879"/>
    <w:rsid w:val="00A64C66"/>
    <w:rsid w:val="00A75C34"/>
    <w:rsid w:val="00A77897"/>
    <w:rsid w:val="00A81078"/>
    <w:rsid w:val="00A832B4"/>
    <w:rsid w:val="00A90991"/>
    <w:rsid w:val="00A958F0"/>
    <w:rsid w:val="00AB0D3F"/>
    <w:rsid w:val="00AB1BC3"/>
    <w:rsid w:val="00AB5208"/>
    <w:rsid w:val="00AB62A1"/>
    <w:rsid w:val="00AB7B92"/>
    <w:rsid w:val="00AC16AC"/>
    <w:rsid w:val="00AC564B"/>
    <w:rsid w:val="00AC6003"/>
    <w:rsid w:val="00AD7009"/>
    <w:rsid w:val="00AE15FD"/>
    <w:rsid w:val="00AE2D63"/>
    <w:rsid w:val="00AE4F7E"/>
    <w:rsid w:val="00AE5E75"/>
    <w:rsid w:val="00AF15C7"/>
    <w:rsid w:val="00AF71DF"/>
    <w:rsid w:val="00B01D9C"/>
    <w:rsid w:val="00B02FD4"/>
    <w:rsid w:val="00B03B05"/>
    <w:rsid w:val="00B04925"/>
    <w:rsid w:val="00B12DA2"/>
    <w:rsid w:val="00B149E8"/>
    <w:rsid w:val="00B16C8B"/>
    <w:rsid w:val="00B1707F"/>
    <w:rsid w:val="00B17AC2"/>
    <w:rsid w:val="00B24C15"/>
    <w:rsid w:val="00B307B7"/>
    <w:rsid w:val="00B345DF"/>
    <w:rsid w:val="00B37ECA"/>
    <w:rsid w:val="00B400B2"/>
    <w:rsid w:val="00B42130"/>
    <w:rsid w:val="00B42F7C"/>
    <w:rsid w:val="00B448AB"/>
    <w:rsid w:val="00B47476"/>
    <w:rsid w:val="00B51940"/>
    <w:rsid w:val="00B51D7F"/>
    <w:rsid w:val="00B5500F"/>
    <w:rsid w:val="00B6732F"/>
    <w:rsid w:val="00B7597F"/>
    <w:rsid w:val="00B76B04"/>
    <w:rsid w:val="00B80A12"/>
    <w:rsid w:val="00B9246A"/>
    <w:rsid w:val="00B9474C"/>
    <w:rsid w:val="00B97DF6"/>
    <w:rsid w:val="00BA5A5E"/>
    <w:rsid w:val="00BB030C"/>
    <w:rsid w:val="00BB2ADE"/>
    <w:rsid w:val="00BB48B9"/>
    <w:rsid w:val="00BB4A7E"/>
    <w:rsid w:val="00BC0CA6"/>
    <w:rsid w:val="00BC4A53"/>
    <w:rsid w:val="00BC79D1"/>
    <w:rsid w:val="00BD1E47"/>
    <w:rsid w:val="00BD4203"/>
    <w:rsid w:val="00BD77B3"/>
    <w:rsid w:val="00BE1752"/>
    <w:rsid w:val="00BE225E"/>
    <w:rsid w:val="00BE7606"/>
    <w:rsid w:val="00C01683"/>
    <w:rsid w:val="00C11E0F"/>
    <w:rsid w:val="00C21AC8"/>
    <w:rsid w:val="00C24BF6"/>
    <w:rsid w:val="00C35370"/>
    <w:rsid w:val="00C42A1E"/>
    <w:rsid w:val="00C523B2"/>
    <w:rsid w:val="00C55EA5"/>
    <w:rsid w:val="00C56D24"/>
    <w:rsid w:val="00C60000"/>
    <w:rsid w:val="00C60D88"/>
    <w:rsid w:val="00C635A8"/>
    <w:rsid w:val="00C81850"/>
    <w:rsid w:val="00C82924"/>
    <w:rsid w:val="00C844A9"/>
    <w:rsid w:val="00C87FBC"/>
    <w:rsid w:val="00C90ED3"/>
    <w:rsid w:val="00CA02DA"/>
    <w:rsid w:val="00CA0686"/>
    <w:rsid w:val="00CA6A3B"/>
    <w:rsid w:val="00CB6CAE"/>
    <w:rsid w:val="00CB7E4F"/>
    <w:rsid w:val="00CC4214"/>
    <w:rsid w:val="00CD21E7"/>
    <w:rsid w:val="00CD29C6"/>
    <w:rsid w:val="00CE4AA3"/>
    <w:rsid w:val="00CE6FB5"/>
    <w:rsid w:val="00D01B54"/>
    <w:rsid w:val="00D03F27"/>
    <w:rsid w:val="00D10FF2"/>
    <w:rsid w:val="00D11B84"/>
    <w:rsid w:val="00D126EB"/>
    <w:rsid w:val="00D154C8"/>
    <w:rsid w:val="00D15584"/>
    <w:rsid w:val="00D15E7B"/>
    <w:rsid w:val="00D178E8"/>
    <w:rsid w:val="00D22299"/>
    <w:rsid w:val="00D2229A"/>
    <w:rsid w:val="00D2451D"/>
    <w:rsid w:val="00D2674F"/>
    <w:rsid w:val="00D31A0A"/>
    <w:rsid w:val="00D35199"/>
    <w:rsid w:val="00D4051A"/>
    <w:rsid w:val="00D4437C"/>
    <w:rsid w:val="00D45072"/>
    <w:rsid w:val="00D515AB"/>
    <w:rsid w:val="00D659F6"/>
    <w:rsid w:val="00D762DB"/>
    <w:rsid w:val="00D811C5"/>
    <w:rsid w:val="00D82FCE"/>
    <w:rsid w:val="00D84481"/>
    <w:rsid w:val="00D86644"/>
    <w:rsid w:val="00D870D0"/>
    <w:rsid w:val="00D95F59"/>
    <w:rsid w:val="00D97D65"/>
    <w:rsid w:val="00DA4A6D"/>
    <w:rsid w:val="00DA729B"/>
    <w:rsid w:val="00DB1796"/>
    <w:rsid w:val="00DB5E17"/>
    <w:rsid w:val="00DB6945"/>
    <w:rsid w:val="00DB7E18"/>
    <w:rsid w:val="00DD1019"/>
    <w:rsid w:val="00DD2D0F"/>
    <w:rsid w:val="00DD5597"/>
    <w:rsid w:val="00DD5646"/>
    <w:rsid w:val="00DD663A"/>
    <w:rsid w:val="00DE1268"/>
    <w:rsid w:val="00DE60AB"/>
    <w:rsid w:val="00DE6499"/>
    <w:rsid w:val="00DE65C7"/>
    <w:rsid w:val="00DF1B38"/>
    <w:rsid w:val="00DF239C"/>
    <w:rsid w:val="00DF4CEB"/>
    <w:rsid w:val="00DF6AA2"/>
    <w:rsid w:val="00E07320"/>
    <w:rsid w:val="00E123AB"/>
    <w:rsid w:val="00E3314A"/>
    <w:rsid w:val="00E3410D"/>
    <w:rsid w:val="00E42374"/>
    <w:rsid w:val="00E42EB4"/>
    <w:rsid w:val="00E4711B"/>
    <w:rsid w:val="00E50351"/>
    <w:rsid w:val="00E5075F"/>
    <w:rsid w:val="00E50D15"/>
    <w:rsid w:val="00E50F49"/>
    <w:rsid w:val="00E670FA"/>
    <w:rsid w:val="00E72455"/>
    <w:rsid w:val="00E7266A"/>
    <w:rsid w:val="00E90524"/>
    <w:rsid w:val="00E94C87"/>
    <w:rsid w:val="00E94EC2"/>
    <w:rsid w:val="00EB6875"/>
    <w:rsid w:val="00EC221C"/>
    <w:rsid w:val="00EC4620"/>
    <w:rsid w:val="00EC609D"/>
    <w:rsid w:val="00ED104A"/>
    <w:rsid w:val="00ED4BDA"/>
    <w:rsid w:val="00ED5AFB"/>
    <w:rsid w:val="00EE12C5"/>
    <w:rsid w:val="00EE6EAF"/>
    <w:rsid w:val="00EE7787"/>
    <w:rsid w:val="00EF0FBF"/>
    <w:rsid w:val="00EF32F5"/>
    <w:rsid w:val="00EF6E7B"/>
    <w:rsid w:val="00F012CC"/>
    <w:rsid w:val="00F02976"/>
    <w:rsid w:val="00F07659"/>
    <w:rsid w:val="00F10FFF"/>
    <w:rsid w:val="00F20818"/>
    <w:rsid w:val="00F22DD7"/>
    <w:rsid w:val="00F267E0"/>
    <w:rsid w:val="00F3403E"/>
    <w:rsid w:val="00F340F2"/>
    <w:rsid w:val="00F42844"/>
    <w:rsid w:val="00F45213"/>
    <w:rsid w:val="00F458BE"/>
    <w:rsid w:val="00F500BB"/>
    <w:rsid w:val="00F52D66"/>
    <w:rsid w:val="00F628B6"/>
    <w:rsid w:val="00F7080A"/>
    <w:rsid w:val="00F770DC"/>
    <w:rsid w:val="00F83467"/>
    <w:rsid w:val="00F85402"/>
    <w:rsid w:val="00F960D0"/>
    <w:rsid w:val="00F96A1A"/>
    <w:rsid w:val="00FA354E"/>
    <w:rsid w:val="00FA402C"/>
    <w:rsid w:val="00FB6F4C"/>
    <w:rsid w:val="00FD4C68"/>
    <w:rsid w:val="00FD7AFB"/>
    <w:rsid w:val="00FE06AB"/>
    <w:rsid w:val="00FE0A5A"/>
    <w:rsid w:val="00FF1712"/>
    <w:rsid w:val="00FF2093"/>
    <w:rsid w:val="00FF640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0AE5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7B9"/>
    <w:rPr>
      <w:sz w:val="24"/>
      <w:szCs w:val="24"/>
      <w:lang w:eastAsia="en-AU"/>
    </w:rPr>
  </w:style>
  <w:style w:type="paragraph" w:styleId="Heading2">
    <w:name w:val="heading 2"/>
    <w:basedOn w:val="Normal"/>
    <w:next w:val="Normal"/>
    <w:link w:val="Heading2Char"/>
    <w:semiHidden/>
    <w:unhideWhenUsed/>
    <w:qFormat/>
    <w:rsid w:val="009102D9"/>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AB0D3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beth"/>
    <w:basedOn w:val="TableNormal"/>
    <w:rsid w:val="002A5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4850"/>
    <w:rPr>
      <w:rFonts w:ascii="Tahoma" w:hAnsi="Tahoma" w:cs="Tahoma"/>
      <w:sz w:val="16"/>
      <w:szCs w:val="16"/>
    </w:rPr>
  </w:style>
  <w:style w:type="paragraph" w:styleId="Header">
    <w:name w:val="header"/>
    <w:aliases w:val="Page Header,Header title,he=header,cntr/bld"/>
    <w:basedOn w:val="Normal"/>
    <w:link w:val="HeaderChar"/>
    <w:rsid w:val="009B4850"/>
    <w:pPr>
      <w:tabs>
        <w:tab w:val="center" w:pos="4153"/>
        <w:tab w:val="right" w:pos="8306"/>
      </w:tabs>
    </w:pPr>
  </w:style>
  <w:style w:type="paragraph" w:styleId="Footer">
    <w:name w:val="footer"/>
    <w:aliases w:val="Page Footer"/>
    <w:basedOn w:val="Normal"/>
    <w:rsid w:val="009B4850"/>
    <w:pPr>
      <w:tabs>
        <w:tab w:val="center" w:pos="4153"/>
        <w:tab w:val="right" w:pos="8306"/>
      </w:tabs>
    </w:pPr>
  </w:style>
  <w:style w:type="paragraph" w:customStyle="1" w:styleId="Default">
    <w:name w:val="Default"/>
    <w:rsid w:val="0000132B"/>
    <w:pPr>
      <w:widowControl w:val="0"/>
      <w:autoSpaceDE w:val="0"/>
      <w:autoSpaceDN w:val="0"/>
      <w:adjustRightInd w:val="0"/>
    </w:pPr>
    <w:rPr>
      <w:color w:val="000000"/>
      <w:sz w:val="24"/>
      <w:szCs w:val="24"/>
      <w:lang w:val="en-US"/>
    </w:rPr>
  </w:style>
  <w:style w:type="character" w:styleId="PageNumber">
    <w:name w:val="page number"/>
    <w:basedOn w:val="DefaultParagraphFont"/>
    <w:rsid w:val="003D177A"/>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E3661"/>
    <w:pPr>
      <w:spacing w:after="160" w:line="240" w:lineRule="exact"/>
    </w:pPr>
    <w:rPr>
      <w:rFonts w:ascii="Verdana" w:eastAsia="MS Mincho" w:hAnsi="Verdana" w:cs="Verdana"/>
      <w:sz w:val="20"/>
      <w:szCs w:val="20"/>
      <w:lang w:val="en-US" w:eastAsia="en-US"/>
    </w:rPr>
  </w:style>
  <w:style w:type="character" w:customStyle="1" w:styleId="MathematicaFormatStandardForm">
    <w:name w:val="MathematicaFormatStandardForm"/>
    <w:rsid w:val="00B149E8"/>
    <w:rPr>
      <w:rFonts w:ascii="Courier" w:hAnsi="Courier" w:cs="Courier"/>
    </w:rPr>
  </w:style>
  <w:style w:type="paragraph" w:styleId="FootnoteText">
    <w:name w:val="footnote text"/>
    <w:basedOn w:val="Normal"/>
    <w:semiHidden/>
    <w:rsid w:val="00B149E8"/>
    <w:rPr>
      <w:sz w:val="20"/>
      <w:szCs w:val="20"/>
    </w:rPr>
  </w:style>
  <w:style w:type="character" w:styleId="FootnoteReference">
    <w:name w:val="footnote reference"/>
    <w:semiHidden/>
    <w:rsid w:val="00B149E8"/>
    <w:rPr>
      <w:vertAlign w:val="superscript"/>
    </w:rPr>
  </w:style>
  <w:style w:type="character" w:customStyle="1" w:styleId="HeaderChar">
    <w:name w:val="Header Char"/>
    <w:aliases w:val="Page Header Char,Header title Char,he=header Char,cntr/bld Char"/>
    <w:link w:val="Header"/>
    <w:rsid w:val="00EE12C5"/>
    <w:rPr>
      <w:sz w:val="24"/>
      <w:szCs w:val="24"/>
    </w:rPr>
  </w:style>
  <w:style w:type="paragraph" w:customStyle="1" w:styleId="Tabletext">
    <w:name w:val="Table text"/>
    <w:basedOn w:val="Normal"/>
    <w:link w:val="TabletextChar"/>
    <w:qFormat/>
    <w:rsid w:val="00EE12C5"/>
    <w:pPr>
      <w:spacing w:after="120"/>
    </w:pPr>
    <w:rPr>
      <w:rFonts w:ascii="Arial" w:hAnsi="Arial"/>
      <w:sz w:val="20"/>
      <w:szCs w:val="20"/>
      <w:lang w:eastAsia="en-US"/>
    </w:rPr>
  </w:style>
  <w:style w:type="character" w:customStyle="1" w:styleId="TabletextChar">
    <w:name w:val="Table text Char"/>
    <w:link w:val="Tabletext"/>
    <w:rsid w:val="00EE12C5"/>
    <w:rPr>
      <w:rFonts w:ascii="Arial" w:hAnsi="Arial"/>
      <w:lang w:eastAsia="en-US"/>
    </w:rPr>
  </w:style>
  <w:style w:type="character" w:customStyle="1" w:styleId="Heading2Char">
    <w:name w:val="Heading 2 Char"/>
    <w:link w:val="Heading2"/>
    <w:semiHidden/>
    <w:rsid w:val="009102D9"/>
    <w:rPr>
      <w:rFonts w:ascii="Cambria" w:eastAsia="Times New Roman" w:hAnsi="Cambria" w:cs="Times New Roman"/>
      <w:b/>
      <w:bCs/>
      <w:i/>
      <w:iCs/>
      <w:sz w:val="28"/>
      <w:szCs w:val="28"/>
    </w:rPr>
  </w:style>
  <w:style w:type="paragraph" w:styleId="ListParagraph">
    <w:name w:val="List Paragraph"/>
    <w:basedOn w:val="Normal"/>
    <w:uiPriority w:val="34"/>
    <w:qFormat/>
    <w:rsid w:val="003563A7"/>
    <w:pPr>
      <w:ind w:left="720"/>
      <w:contextualSpacing/>
    </w:pPr>
  </w:style>
  <w:style w:type="character" w:styleId="CommentReference">
    <w:name w:val="annotation reference"/>
    <w:rsid w:val="003563A7"/>
    <w:rPr>
      <w:sz w:val="16"/>
      <w:szCs w:val="16"/>
    </w:rPr>
  </w:style>
  <w:style w:type="paragraph" w:styleId="CommentText">
    <w:name w:val="annotation text"/>
    <w:basedOn w:val="Normal"/>
    <w:link w:val="CommentTextChar"/>
    <w:rsid w:val="003563A7"/>
    <w:rPr>
      <w:sz w:val="20"/>
      <w:szCs w:val="20"/>
    </w:rPr>
  </w:style>
  <w:style w:type="character" w:customStyle="1" w:styleId="CommentTextChar">
    <w:name w:val="Comment Text Char"/>
    <w:basedOn w:val="DefaultParagraphFont"/>
    <w:link w:val="CommentText"/>
    <w:rsid w:val="003563A7"/>
  </w:style>
  <w:style w:type="paragraph" w:styleId="CommentSubject">
    <w:name w:val="annotation subject"/>
    <w:basedOn w:val="CommentText"/>
    <w:next w:val="CommentText"/>
    <w:link w:val="CommentSubjectChar"/>
    <w:rsid w:val="003563A7"/>
    <w:rPr>
      <w:b/>
      <w:bCs/>
    </w:rPr>
  </w:style>
  <w:style w:type="character" w:customStyle="1" w:styleId="CommentSubjectChar">
    <w:name w:val="Comment Subject Char"/>
    <w:link w:val="CommentSubject"/>
    <w:rsid w:val="003563A7"/>
    <w:rPr>
      <w:b/>
      <w:bCs/>
    </w:rPr>
  </w:style>
  <w:style w:type="character" w:customStyle="1" w:styleId="Heading4Char">
    <w:name w:val="Heading 4 Char"/>
    <w:link w:val="Heading4"/>
    <w:rsid w:val="00AB0D3F"/>
    <w:rPr>
      <w:rFonts w:ascii="Calibri" w:eastAsia="Times New Roman" w:hAnsi="Calibri" w:cs="Times New Roman"/>
      <w:b/>
      <w:bCs/>
      <w:sz w:val="28"/>
      <w:szCs w:val="28"/>
    </w:rPr>
  </w:style>
  <w:style w:type="paragraph" w:styleId="PlainText">
    <w:name w:val="Plain Text"/>
    <w:basedOn w:val="Normal"/>
    <w:link w:val="PlainTextChar"/>
    <w:uiPriority w:val="99"/>
    <w:unhideWhenUsed/>
    <w:rsid w:val="00AE2D63"/>
    <w:rPr>
      <w:rFonts w:ascii="Calibri" w:eastAsia="Calibri" w:hAnsi="Calibri"/>
      <w:sz w:val="22"/>
      <w:szCs w:val="21"/>
      <w:lang w:val="x-none" w:eastAsia="en-US"/>
    </w:rPr>
  </w:style>
  <w:style w:type="character" w:customStyle="1" w:styleId="PlainTextChar">
    <w:name w:val="Plain Text Char"/>
    <w:link w:val="PlainText"/>
    <w:uiPriority w:val="99"/>
    <w:rsid w:val="00AE2D63"/>
    <w:rPr>
      <w:rFonts w:ascii="Calibri" w:eastAsia="Calibri" w:hAnsi="Calibri"/>
      <w:sz w:val="22"/>
      <w:szCs w:val="21"/>
      <w:lang w:val="x-none" w:eastAsia="en-US"/>
    </w:rPr>
  </w:style>
  <w:style w:type="paragraph" w:styleId="NormalWeb">
    <w:name w:val="Normal (Web)"/>
    <w:basedOn w:val="Normal"/>
    <w:uiPriority w:val="99"/>
    <w:unhideWhenUsed/>
    <w:rsid w:val="00F3403E"/>
    <w:pPr>
      <w:spacing w:before="100" w:beforeAutospacing="1" w:after="100" w:afterAutospacing="1"/>
    </w:pPr>
  </w:style>
  <w:style w:type="paragraph" w:customStyle="1" w:styleId="Arial10">
    <w:name w:val="Arial 10"/>
    <w:basedOn w:val="Normal"/>
    <w:link w:val="Arial10Char"/>
    <w:rsid w:val="00467644"/>
    <w:rPr>
      <w:rFonts w:ascii="Arial" w:hAnsi="Arial"/>
      <w:sz w:val="20"/>
      <w:lang w:val="x-none" w:eastAsia="en-US"/>
    </w:rPr>
  </w:style>
  <w:style w:type="character" w:customStyle="1" w:styleId="Arial10Char">
    <w:name w:val="Arial 10 Char"/>
    <w:link w:val="Arial10"/>
    <w:rsid w:val="00467644"/>
    <w:rPr>
      <w:rFonts w:ascii="Arial" w:hAnsi="Arial"/>
      <w:szCs w:val="24"/>
      <w:lang w:val="x-none" w:eastAsia="en-US"/>
    </w:rPr>
  </w:style>
  <w:style w:type="paragraph" w:styleId="Revision">
    <w:name w:val="Revision"/>
    <w:hidden/>
    <w:uiPriority w:val="71"/>
    <w:rsid w:val="003B3D30"/>
    <w:rPr>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7B9"/>
    <w:rPr>
      <w:sz w:val="24"/>
      <w:szCs w:val="24"/>
      <w:lang w:eastAsia="en-AU"/>
    </w:rPr>
  </w:style>
  <w:style w:type="paragraph" w:styleId="Heading2">
    <w:name w:val="heading 2"/>
    <w:basedOn w:val="Normal"/>
    <w:next w:val="Normal"/>
    <w:link w:val="Heading2Char"/>
    <w:semiHidden/>
    <w:unhideWhenUsed/>
    <w:qFormat/>
    <w:rsid w:val="009102D9"/>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AB0D3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beth"/>
    <w:basedOn w:val="TableNormal"/>
    <w:rsid w:val="002A5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B4850"/>
    <w:rPr>
      <w:rFonts w:ascii="Tahoma" w:hAnsi="Tahoma" w:cs="Tahoma"/>
      <w:sz w:val="16"/>
      <w:szCs w:val="16"/>
    </w:rPr>
  </w:style>
  <w:style w:type="paragraph" w:styleId="Header">
    <w:name w:val="header"/>
    <w:aliases w:val="Page Header,Header title,he=header,cntr/bld"/>
    <w:basedOn w:val="Normal"/>
    <w:link w:val="HeaderChar"/>
    <w:rsid w:val="009B4850"/>
    <w:pPr>
      <w:tabs>
        <w:tab w:val="center" w:pos="4153"/>
        <w:tab w:val="right" w:pos="8306"/>
      </w:tabs>
    </w:pPr>
  </w:style>
  <w:style w:type="paragraph" w:styleId="Footer">
    <w:name w:val="footer"/>
    <w:aliases w:val="Page Footer"/>
    <w:basedOn w:val="Normal"/>
    <w:rsid w:val="009B4850"/>
    <w:pPr>
      <w:tabs>
        <w:tab w:val="center" w:pos="4153"/>
        <w:tab w:val="right" w:pos="8306"/>
      </w:tabs>
    </w:pPr>
  </w:style>
  <w:style w:type="paragraph" w:customStyle="1" w:styleId="Default">
    <w:name w:val="Default"/>
    <w:rsid w:val="0000132B"/>
    <w:pPr>
      <w:widowControl w:val="0"/>
      <w:autoSpaceDE w:val="0"/>
      <w:autoSpaceDN w:val="0"/>
      <w:adjustRightInd w:val="0"/>
    </w:pPr>
    <w:rPr>
      <w:color w:val="000000"/>
      <w:sz w:val="24"/>
      <w:szCs w:val="24"/>
      <w:lang w:val="en-US"/>
    </w:rPr>
  </w:style>
  <w:style w:type="character" w:styleId="PageNumber">
    <w:name w:val="page number"/>
    <w:basedOn w:val="DefaultParagraphFont"/>
    <w:rsid w:val="003D177A"/>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E3661"/>
    <w:pPr>
      <w:spacing w:after="160" w:line="240" w:lineRule="exact"/>
    </w:pPr>
    <w:rPr>
      <w:rFonts w:ascii="Verdana" w:eastAsia="MS Mincho" w:hAnsi="Verdana" w:cs="Verdana"/>
      <w:sz w:val="20"/>
      <w:szCs w:val="20"/>
      <w:lang w:val="en-US" w:eastAsia="en-US"/>
    </w:rPr>
  </w:style>
  <w:style w:type="character" w:customStyle="1" w:styleId="MathematicaFormatStandardForm">
    <w:name w:val="MathematicaFormatStandardForm"/>
    <w:rsid w:val="00B149E8"/>
    <w:rPr>
      <w:rFonts w:ascii="Courier" w:hAnsi="Courier" w:cs="Courier"/>
    </w:rPr>
  </w:style>
  <w:style w:type="paragraph" w:styleId="FootnoteText">
    <w:name w:val="footnote text"/>
    <w:basedOn w:val="Normal"/>
    <w:semiHidden/>
    <w:rsid w:val="00B149E8"/>
    <w:rPr>
      <w:sz w:val="20"/>
      <w:szCs w:val="20"/>
    </w:rPr>
  </w:style>
  <w:style w:type="character" w:styleId="FootnoteReference">
    <w:name w:val="footnote reference"/>
    <w:semiHidden/>
    <w:rsid w:val="00B149E8"/>
    <w:rPr>
      <w:vertAlign w:val="superscript"/>
    </w:rPr>
  </w:style>
  <w:style w:type="character" w:customStyle="1" w:styleId="HeaderChar">
    <w:name w:val="Header Char"/>
    <w:aliases w:val="Page Header Char,Header title Char,he=header Char,cntr/bld Char"/>
    <w:link w:val="Header"/>
    <w:rsid w:val="00EE12C5"/>
    <w:rPr>
      <w:sz w:val="24"/>
      <w:szCs w:val="24"/>
    </w:rPr>
  </w:style>
  <w:style w:type="paragraph" w:customStyle="1" w:styleId="Tabletext">
    <w:name w:val="Table text"/>
    <w:basedOn w:val="Normal"/>
    <w:link w:val="TabletextChar"/>
    <w:qFormat/>
    <w:rsid w:val="00EE12C5"/>
    <w:pPr>
      <w:spacing w:after="120"/>
    </w:pPr>
    <w:rPr>
      <w:rFonts w:ascii="Arial" w:hAnsi="Arial"/>
      <w:sz w:val="20"/>
      <w:szCs w:val="20"/>
      <w:lang w:eastAsia="en-US"/>
    </w:rPr>
  </w:style>
  <w:style w:type="character" w:customStyle="1" w:styleId="TabletextChar">
    <w:name w:val="Table text Char"/>
    <w:link w:val="Tabletext"/>
    <w:rsid w:val="00EE12C5"/>
    <w:rPr>
      <w:rFonts w:ascii="Arial" w:hAnsi="Arial"/>
      <w:lang w:eastAsia="en-US"/>
    </w:rPr>
  </w:style>
  <w:style w:type="character" w:customStyle="1" w:styleId="Heading2Char">
    <w:name w:val="Heading 2 Char"/>
    <w:link w:val="Heading2"/>
    <w:semiHidden/>
    <w:rsid w:val="009102D9"/>
    <w:rPr>
      <w:rFonts w:ascii="Cambria" w:eastAsia="Times New Roman" w:hAnsi="Cambria" w:cs="Times New Roman"/>
      <w:b/>
      <w:bCs/>
      <w:i/>
      <w:iCs/>
      <w:sz w:val="28"/>
      <w:szCs w:val="28"/>
    </w:rPr>
  </w:style>
  <w:style w:type="paragraph" w:styleId="ListParagraph">
    <w:name w:val="List Paragraph"/>
    <w:basedOn w:val="Normal"/>
    <w:uiPriority w:val="34"/>
    <w:qFormat/>
    <w:rsid w:val="003563A7"/>
    <w:pPr>
      <w:ind w:left="720"/>
      <w:contextualSpacing/>
    </w:pPr>
  </w:style>
  <w:style w:type="character" w:styleId="CommentReference">
    <w:name w:val="annotation reference"/>
    <w:rsid w:val="003563A7"/>
    <w:rPr>
      <w:sz w:val="16"/>
      <w:szCs w:val="16"/>
    </w:rPr>
  </w:style>
  <w:style w:type="paragraph" w:styleId="CommentText">
    <w:name w:val="annotation text"/>
    <w:basedOn w:val="Normal"/>
    <w:link w:val="CommentTextChar"/>
    <w:rsid w:val="003563A7"/>
    <w:rPr>
      <w:sz w:val="20"/>
      <w:szCs w:val="20"/>
    </w:rPr>
  </w:style>
  <w:style w:type="character" w:customStyle="1" w:styleId="CommentTextChar">
    <w:name w:val="Comment Text Char"/>
    <w:basedOn w:val="DefaultParagraphFont"/>
    <w:link w:val="CommentText"/>
    <w:rsid w:val="003563A7"/>
  </w:style>
  <w:style w:type="paragraph" w:styleId="CommentSubject">
    <w:name w:val="annotation subject"/>
    <w:basedOn w:val="CommentText"/>
    <w:next w:val="CommentText"/>
    <w:link w:val="CommentSubjectChar"/>
    <w:rsid w:val="003563A7"/>
    <w:rPr>
      <w:b/>
      <w:bCs/>
    </w:rPr>
  </w:style>
  <w:style w:type="character" w:customStyle="1" w:styleId="CommentSubjectChar">
    <w:name w:val="Comment Subject Char"/>
    <w:link w:val="CommentSubject"/>
    <w:rsid w:val="003563A7"/>
    <w:rPr>
      <w:b/>
      <w:bCs/>
    </w:rPr>
  </w:style>
  <w:style w:type="character" w:customStyle="1" w:styleId="Heading4Char">
    <w:name w:val="Heading 4 Char"/>
    <w:link w:val="Heading4"/>
    <w:rsid w:val="00AB0D3F"/>
    <w:rPr>
      <w:rFonts w:ascii="Calibri" w:eastAsia="Times New Roman" w:hAnsi="Calibri" w:cs="Times New Roman"/>
      <w:b/>
      <w:bCs/>
      <w:sz w:val="28"/>
      <w:szCs w:val="28"/>
    </w:rPr>
  </w:style>
  <w:style w:type="paragraph" w:styleId="PlainText">
    <w:name w:val="Plain Text"/>
    <w:basedOn w:val="Normal"/>
    <w:link w:val="PlainTextChar"/>
    <w:uiPriority w:val="99"/>
    <w:unhideWhenUsed/>
    <w:rsid w:val="00AE2D63"/>
    <w:rPr>
      <w:rFonts w:ascii="Calibri" w:eastAsia="Calibri" w:hAnsi="Calibri"/>
      <w:sz w:val="22"/>
      <w:szCs w:val="21"/>
      <w:lang w:val="x-none" w:eastAsia="en-US"/>
    </w:rPr>
  </w:style>
  <w:style w:type="character" w:customStyle="1" w:styleId="PlainTextChar">
    <w:name w:val="Plain Text Char"/>
    <w:link w:val="PlainText"/>
    <w:uiPriority w:val="99"/>
    <w:rsid w:val="00AE2D63"/>
    <w:rPr>
      <w:rFonts w:ascii="Calibri" w:eastAsia="Calibri" w:hAnsi="Calibri"/>
      <w:sz w:val="22"/>
      <w:szCs w:val="21"/>
      <w:lang w:val="x-none" w:eastAsia="en-US"/>
    </w:rPr>
  </w:style>
  <w:style w:type="paragraph" w:styleId="NormalWeb">
    <w:name w:val="Normal (Web)"/>
    <w:basedOn w:val="Normal"/>
    <w:uiPriority w:val="99"/>
    <w:unhideWhenUsed/>
    <w:rsid w:val="00F3403E"/>
    <w:pPr>
      <w:spacing w:before="100" w:beforeAutospacing="1" w:after="100" w:afterAutospacing="1"/>
    </w:pPr>
  </w:style>
  <w:style w:type="paragraph" w:customStyle="1" w:styleId="Arial10">
    <w:name w:val="Arial 10"/>
    <w:basedOn w:val="Normal"/>
    <w:link w:val="Arial10Char"/>
    <w:rsid w:val="00467644"/>
    <w:rPr>
      <w:rFonts w:ascii="Arial" w:hAnsi="Arial"/>
      <w:sz w:val="20"/>
      <w:lang w:val="x-none" w:eastAsia="en-US"/>
    </w:rPr>
  </w:style>
  <w:style w:type="character" w:customStyle="1" w:styleId="Arial10Char">
    <w:name w:val="Arial 10 Char"/>
    <w:link w:val="Arial10"/>
    <w:rsid w:val="00467644"/>
    <w:rPr>
      <w:rFonts w:ascii="Arial" w:hAnsi="Arial"/>
      <w:szCs w:val="24"/>
      <w:lang w:val="x-none" w:eastAsia="en-US"/>
    </w:rPr>
  </w:style>
  <w:style w:type="paragraph" w:styleId="Revision">
    <w:name w:val="Revision"/>
    <w:hidden/>
    <w:uiPriority w:val="71"/>
    <w:rsid w:val="003B3D30"/>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8089">
      <w:bodyDiv w:val="1"/>
      <w:marLeft w:val="0"/>
      <w:marRight w:val="0"/>
      <w:marTop w:val="0"/>
      <w:marBottom w:val="0"/>
      <w:divBdr>
        <w:top w:val="none" w:sz="0" w:space="0" w:color="auto"/>
        <w:left w:val="none" w:sz="0" w:space="0" w:color="auto"/>
        <w:bottom w:val="none" w:sz="0" w:space="0" w:color="auto"/>
        <w:right w:val="none" w:sz="0" w:space="0" w:color="auto"/>
      </w:divBdr>
      <w:divsChild>
        <w:div w:id="700860171">
          <w:marLeft w:val="0"/>
          <w:marRight w:val="0"/>
          <w:marTop w:val="0"/>
          <w:marBottom w:val="0"/>
          <w:divBdr>
            <w:top w:val="none" w:sz="0" w:space="0" w:color="auto"/>
            <w:left w:val="none" w:sz="0" w:space="0" w:color="auto"/>
            <w:bottom w:val="none" w:sz="0" w:space="0" w:color="auto"/>
            <w:right w:val="none" w:sz="0" w:space="0" w:color="auto"/>
          </w:divBdr>
          <w:divsChild>
            <w:div w:id="1118599848">
              <w:marLeft w:val="0"/>
              <w:marRight w:val="0"/>
              <w:marTop w:val="0"/>
              <w:marBottom w:val="0"/>
              <w:divBdr>
                <w:top w:val="none" w:sz="0" w:space="0" w:color="auto"/>
                <w:left w:val="none" w:sz="0" w:space="0" w:color="auto"/>
                <w:bottom w:val="none" w:sz="0" w:space="0" w:color="auto"/>
                <w:right w:val="none" w:sz="0" w:space="0" w:color="auto"/>
              </w:divBdr>
              <w:divsChild>
                <w:div w:id="1748303887">
                  <w:marLeft w:val="0"/>
                  <w:marRight w:val="0"/>
                  <w:marTop w:val="0"/>
                  <w:marBottom w:val="0"/>
                  <w:divBdr>
                    <w:top w:val="none" w:sz="0" w:space="0" w:color="auto"/>
                    <w:left w:val="none" w:sz="0" w:space="0" w:color="auto"/>
                    <w:bottom w:val="none" w:sz="0" w:space="0" w:color="auto"/>
                    <w:right w:val="none" w:sz="0" w:space="0" w:color="auto"/>
                  </w:divBdr>
                  <w:divsChild>
                    <w:div w:id="42739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1891">
      <w:bodyDiv w:val="1"/>
      <w:marLeft w:val="0"/>
      <w:marRight w:val="0"/>
      <w:marTop w:val="0"/>
      <w:marBottom w:val="0"/>
      <w:divBdr>
        <w:top w:val="none" w:sz="0" w:space="0" w:color="auto"/>
        <w:left w:val="none" w:sz="0" w:space="0" w:color="auto"/>
        <w:bottom w:val="none" w:sz="0" w:space="0" w:color="auto"/>
        <w:right w:val="none" w:sz="0" w:space="0" w:color="auto"/>
      </w:divBdr>
      <w:divsChild>
        <w:div w:id="762410343">
          <w:marLeft w:val="547"/>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4A856-EECE-408F-9664-2FAB265B8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2002</Words>
  <Characters>11242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PUBLIC SUMMARY DOCUMENT</vt:lpstr>
    </vt:vector>
  </TitlesOfParts>
  <LinksUpToDate>false</LinksUpToDate>
  <CharactersWithSpaces>13218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2018-03-28T06:33:00Z</cp:lastPrinted>
  <dcterms:created xsi:type="dcterms:W3CDTF">2018-03-28T06:33:00Z</dcterms:created>
  <dcterms:modified xsi:type="dcterms:W3CDTF">2018-03-28T06:33:00Z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1154604996</vt:i4>
  </property>
</Properties>
</file>