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DE" w:rsidRPr="00746E3F" w:rsidRDefault="003D43DE" w:rsidP="00442FEC">
      <w:pPr>
        <w:pStyle w:val="Heading1"/>
      </w:pPr>
      <w:r w:rsidRPr="00746E3F">
        <w:t>PUBLIC SUMMARY DOCUMENT</w:t>
      </w:r>
    </w:p>
    <w:p w:rsidR="003D43DE" w:rsidRPr="008E3661" w:rsidRDefault="003D43DE">
      <w:pPr>
        <w:rPr>
          <w:bCs/>
        </w:rPr>
      </w:pPr>
      <w:r w:rsidRPr="00746E3F">
        <w:rPr>
          <w:b/>
          <w:bCs/>
        </w:rPr>
        <w:t>Product:</w:t>
      </w:r>
      <w:r w:rsidR="008E3661">
        <w:rPr>
          <w:b/>
          <w:bCs/>
        </w:rPr>
        <w:t xml:space="preserve"> </w:t>
      </w:r>
      <w:r w:rsidR="00BD3344" w:rsidRPr="00BD3344">
        <w:t>TALIGLUCERASE ALFA, powder for I.V. infusion, 200 units, Elelyso</w:t>
      </w:r>
      <w:r w:rsidR="00BD3344" w:rsidRPr="00BD3344">
        <w:rPr>
          <w:vertAlign w:val="superscript"/>
        </w:rPr>
        <w:t>®</w:t>
      </w:r>
      <w:r w:rsidR="008E3661">
        <w:rPr>
          <w:b/>
          <w:bCs/>
        </w:rPr>
        <w:t xml:space="preserve"> </w:t>
      </w:r>
      <w:r w:rsidR="00796356">
        <w:rPr>
          <w:bCs/>
        </w:rPr>
        <w:t xml:space="preserve"> </w:t>
      </w:r>
    </w:p>
    <w:p w:rsidR="003D43DE" w:rsidRPr="008E3661" w:rsidRDefault="003D43DE">
      <w:pPr>
        <w:rPr>
          <w:bCs/>
        </w:rPr>
      </w:pPr>
      <w:r w:rsidRPr="00746E3F">
        <w:rPr>
          <w:b/>
          <w:bCs/>
        </w:rPr>
        <w:t>Sponsor:</w:t>
      </w:r>
      <w:r w:rsidR="008E3661">
        <w:rPr>
          <w:b/>
          <w:bCs/>
        </w:rPr>
        <w:t xml:space="preserve"> </w:t>
      </w:r>
      <w:r w:rsidR="00BD3344" w:rsidRPr="00BD3344">
        <w:t>Pfizer Australia Pty Ltd</w:t>
      </w:r>
      <w:r w:rsidR="00796356">
        <w:rPr>
          <w:bCs/>
        </w:rPr>
        <w:t xml:space="preserve"> </w:t>
      </w:r>
    </w:p>
    <w:p w:rsidR="002A57B9" w:rsidRPr="00FE06AB" w:rsidRDefault="003D43DE">
      <w:pPr>
        <w:rPr>
          <w:bCs/>
        </w:rPr>
      </w:pPr>
      <w:r w:rsidRPr="00746E3F">
        <w:rPr>
          <w:b/>
          <w:bCs/>
        </w:rPr>
        <w:t>Date of PBAC Consideration:</w:t>
      </w:r>
      <w:r w:rsidR="008E3661">
        <w:rPr>
          <w:b/>
          <w:bCs/>
        </w:rPr>
        <w:t xml:space="preserve"> </w:t>
      </w:r>
      <w:r w:rsidR="00BD3344" w:rsidRPr="00BD3344">
        <w:rPr>
          <w:bCs/>
        </w:rPr>
        <w:t>March 2012</w:t>
      </w:r>
      <w:r w:rsidR="00796356">
        <w:rPr>
          <w:bCs/>
        </w:rPr>
        <w:t xml:space="preserve"> </w:t>
      </w:r>
    </w:p>
    <w:p w:rsidR="003D43DE" w:rsidRPr="00746E3F" w:rsidRDefault="003D43DE">
      <w:pPr>
        <w:rPr>
          <w:b/>
          <w:bCs/>
        </w:rPr>
      </w:pPr>
    </w:p>
    <w:p w:rsidR="002A57B9" w:rsidRPr="00746E3F" w:rsidRDefault="002A57B9" w:rsidP="002A57B9">
      <w:pPr>
        <w:rPr>
          <w:b/>
          <w:bCs/>
        </w:rPr>
      </w:pPr>
      <w:r w:rsidRPr="00746E3F">
        <w:rPr>
          <w:b/>
          <w:bCs/>
        </w:rPr>
        <w:t>1.</w:t>
      </w:r>
      <w:r w:rsidRPr="00746E3F">
        <w:rPr>
          <w:b/>
          <w:bCs/>
        </w:rPr>
        <w:tab/>
        <w:t>Purpose of Application</w:t>
      </w:r>
      <w:r w:rsidRPr="00746E3F">
        <w:rPr>
          <w:b/>
          <w:bCs/>
        </w:rPr>
        <w:tab/>
      </w:r>
    </w:p>
    <w:p w:rsidR="00BD3344" w:rsidRPr="00F05297" w:rsidRDefault="00BD3344" w:rsidP="00BD3344">
      <w:pPr>
        <w:rPr>
          <w:b/>
          <w:color w:val="FF00FF"/>
        </w:rPr>
      </w:pPr>
      <w:r>
        <w:t xml:space="preserve">The submission sought a Section 100 (Highly Specialised Drugs Program) listing or inclusion on the Life Saving Drugs Program (LSDP) for the long-term enzyme replacement therapy for patients with a confirmed diagnosis of </w:t>
      </w:r>
      <w:proofErr w:type="spellStart"/>
      <w:proofErr w:type="gramStart"/>
      <w:r>
        <w:t>Gaucher</w:t>
      </w:r>
      <w:proofErr w:type="spellEnd"/>
      <w:proofErr w:type="gramEnd"/>
      <w:r>
        <w:t xml:space="preserve"> disease.</w:t>
      </w:r>
    </w:p>
    <w:p w:rsidR="008E3661" w:rsidRDefault="008E3661" w:rsidP="008E3661">
      <w:pPr>
        <w:outlineLvl w:val="0"/>
      </w:pPr>
    </w:p>
    <w:p w:rsidR="00B9246A" w:rsidRDefault="00B9246A">
      <w:r>
        <w:t>Highly Specialised Drugs are medicines for the treatment of chronic conditions, which, because of their clinical use or other special features, are restricted to supply to public and private hospitals having access to appropriate specialist facilities.</w:t>
      </w:r>
    </w:p>
    <w:p w:rsidR="00B9246A" w:rsidRDefault="00B9246A"/>
    <w:p w:rsidR="00B9246A" w:rsidRPr="00460C32" w:rsidRDefault="00B9246A" w:rsidP="00B9246A">
      <w:r w:rsidRPr="00460C32">
        <w:t>Through the Life Saving Drugs Program (LSDP), the Australian Government provides subsidised access, for eligible patients, to expensive and potentially life saving drugs for very rare life-threatening conditions.</w:t>
      </w:r>
      <w:r w:rsidRPr="00460C32">
        <w:br/>
      </w:r>
      <w:r w:rsidRPr="00460C32">
        <w:br/>
        <w:t xml:space="preserve">Before a drug </w:t>
      </w:r>
      <w:proofErr w:type="gramStart"/>
      <w:r w:rsidRPr="00460C32">
        <w:t>is made</w:t>
      </w:r>
      <w:proofErr w:type="gramEnd"/>
      <w:r w:rsidRPr="00460C32">
        <w:t xml:space="preserve"> available on the </w:t>
      </w:r>
      <w:r w:rsidR="006C62AD" w:rsidRPr="00460C32">
        <w:t>LSDP,</w:t>
      </w:r>
      <w:r w:rsidRPr="00460C32">
        <w:t xml:space="preserve"> it must generally be accepted by the Pharmaceutical Benefits Advisory Committee as clinically necessary and effective, but not recommended for inclusion on the Pharmaceutical Benefits Scheme due to unacceptable cost-effectiveness. </w:t>
      </w:r>
    </w:p>
    <w:p w:rsidR="00B9246A" w:rsidRPr="00B9246A" w:rsidRDefault="00B9246A">
      <w:pPr>
        <w:rPr>
          <w:i/>
        </w:rPr>
      </w:pPr>
    </w:p>
    <w:p w:rsidR="002A57B9" w:rsidRPr="00746E3F" w:rsidRDefault="002A57B9" w:rsidP="002A57B9">
      <w:pPr>
        <w:rPr>
          <w:b/>
          <w:bCs/>
        </w:rPr>
      </w:pPr>
      <w:r w:rsidRPr="00746E3F">
        <w:rPr>
          <w:b/>
          <w:bCs/>
        </w:rPr>
        <w:t>2.</w:t>
      </w:r>
      <w:r w:rsidRPr="00746E3F">
        <w:rPr>
          <w:b/>
          <w:bCs/>
        </w:rPr>
        <w:tab/>
        <w:t>Background</w:t>
      </w:r>
    </w:p>
    <w:p w:rsidR="00BD3344" w:rsidRDefault="00BD3344" w:rsidP="00BD3344">
      <w:r>
        <w:t xml:space="preserve">This drug </w:t>
      </w:r>
      <w:proofErr w:type="gramStart"/>
      <w:r>
        <w:t>had not previously been considered</w:t>
      </w:r>
      <w:proofErr w:type="gramEnd"/>
      <w:r>
        <w:t xml:space="preserve"> by the PBAC.</w:t>
      </w:r>
    </w:p>
    <w:p w:rsidR="008E3661" w:rsidRDefault="008E3661" w:rsidP="008E3661"/>
    <w:p w:rsidR="00606B5C" w:rsidRDefault="002A57B9" w:rsidP="002C0C3A">
      <w:pPr>
        <w:outlineLvl w:val="0"/>
        <w:rPr>
          <w:bCs/>
        </w:rPr>
      </w:pPr>
      <w:r w:rsidRPr="00746E3F">
        <w:rPr>
          <w:b/>
          <w:bCs/>
        </w:rPr>
        <w:t>3.</w:t>
      </w:r>
      <w:r w:rsidRPr="00746E3F">
        <w:rPr>
          <w:b/>
          <w:bCs/>
        </w:rPr>
        <w:tab/>
        <w:t>Registration Status</w:t>
      </w:r>
      <w:r w:rsidR="00A102AD">
        <w:rPr>
          <w:b/>
          <w:bCs/>
        </w:rPr>
        <w:t xml:space="preserve"> </w:t>
      </w:r>
    </w:p>
    <w:p w:rsidR="005659A0" w:rsidRDefault="005659A0" w:rsidP="00BD3344">
      <w:proofErr w:type="spellStart"/>
      <w:r w:rsidRPr="005659A0">
        <w:t>Taliglucerase</w:t>
      </w:r>
      <w:proofErr w:type="spellEnd"/>
      <w:r w:rsidRPr="005659A0">
        <w:t xml:space="preserve"> was TGA registered on 21 May 2014 for the following indication</w:t>
      </w:r>
      <w:r>
        <w:t>:</w:t>
      </w:r>
    </w:p>
    <w:p w:rsidR="005659A0" w:rsidRPr="005659A0" w:rsidRDefault="005659A0" w:rsidP="00BD3344"/>
    <w:p w:rsidR="00BD3344" w:rsidRPr="005659A0" w:rsidRDefault="005659A0" w:rsidP="005659A0">
      <w:pPr>
        <w:rPr>
          <w:i/>
        </w:rPr>
      </w:pPr>
      <w:r w:rsidRPr="005659A0">
        <w:rPr>
          <w:i/>
        </w:rPr>
        <w:t>“</w:t>
      </w:r>
      <w:proofErr w:type="gramStart"/>
      <w:r w:rsidRPr="005659A0">
        <w:rPr>
          <w:i/>
        </w:rPr>
        <w:t>long-term</w:t>
      </w:r>
      <w:proofErr w:type="gramEnd"/>
      <w:r w:rsidRPr="005659A0">
        <w:rPr>
          <w:i/>
        </w:rPr>
        <w:t xml:space="preserve"> enzyme replacement therapy for adult and paediatric patients with a confirmed diagnosis of Type 1 </w:t>
      </w:r>
      <w:proofErr w:type="spellStart"/>
      <w:r w:rsidRPr="005659A0">
        <w:rPr>
          <w:i/>
        </w:rPr>
        <w:t>Gaucher</w:t>
      </w:r>
      <w:proofErr w:type="spellEnd"/>
      <w:r w:rsidRPr="005659A0">
        <w:rPr>
          <w:i/>
        </w:rPr>
        <w:t xml:space="preserve"> disease associated with at least one of the following: splenomegaly, hepatomegaly, anaemia, thrombocytopenia.”</w:t>
      </w:r>
      <w:r w:rsidR="00BD3344" w:rsidRPr="005659A0">
        <w:rPr>
          <w:i/>
        </w:rPr>
        <w:t xml:space="preserve"> </w:t>
      </w:r>
    </w:p>
    <w:p w:rsidR="008E3661" w:rsidRDefault="008E3661"/>
    <w:p w:rsidR="002A57B9" w:rsidRDefault="002A57B9" w:rsidP="002A57B9">
      <w:pPr>
        <w:rPr>
          <w:b/>
          <w:bCs/>
        </w:rPr>
      </w:pPr>
      <w:r w:rsidRPr="00746E3F">
        <w:rPr>
          <w:b/>
          <w:bCs/>
        </w:rPr>
        <w:t>4.</w:t>
      </w:r>
      <w:r w:rsidRPr="00746E3F">
        <w:rPr>
          <w:b/>
          <w:bCs/>
        </w:rPr>
        <w:tab/>
        <w:t>Listing Requested and PBAC’s View</w:t>
      </w:r>
    </w:p>
    <w:p w:rsidR="00BD3344" w:rsidRDefault="00BD3344" w:rsidP="00BD3344">
      <w:r>
        <w:t>Section 100 (Highly Specialised Drugs Program)</w:t>
      </w:r>
    </w:p>
    <w:p w:rsidR="00BD3344" w:rsidRDefault="00BD3344" w:rsidP="00BD3344">
      <w:pPr>
        <w:rPr>
          <w:u w:val="single"/>
        </w:rPr>
      </w:pPr>
      <w:r>
        <w:rPr>
          <w:u w:val="single"/>
        </w:rPr>
        <w:t>Private Hospital Authority Required</w:t>
      </w:r>
    </w:p>
    <w:p w:rsidR="00BD3344" w:rsidRDefault="00BD3344" w:rsidP="00BD3344">
      <w:pPr>
        <w:rPr>
          <w:u w:val="single"/>
        </w:rPr>
      </w:pPr>
      <w:r>
        <w:rPr>
          <w:u w:val="single"/>
        </w:rPr>
        <w:t>Public Hospital Authority Required (STREAMLINED)</w:t>
      </w:r>
    </w:p>
    <w:p w:rsidR="00BD3344" w:rsidRPr="00312E30" w:rsidRDefault="00BD3344" w:rsidP="00BD3344">
      <w:r>
        <w:t xml:space="preserve">Long-term enzyme replacement therapy for patients with a confirmed diagnosis of </w:t>
      </w:r>
      <w:proofErr w:type="gramStart"/>
      <w:r>
        <w:t>Gaucher</w:t>
      </w:r>
      <w:proofErr w:type="gramEnd"/>
      <w:r>
        <w:t xml:space="preserve"> disease.</w:t>
      </w:r>
    </w:p>
    <w:p w:rsidR="00CA6A3B" w:rsidRDefault="00CA6A3B" w:rsidP="002A57B9">
      <w:pPr>
        <w:rPr>
          <w:b/>
          <w:bCs/>
          <w:color w:val="000000"/>
        </w:rPr>
      </w:pPr>
    </w:p>
    <w:p w:rsidR="00BD3344" w:rsidRPr="00B6189B" w:rsidRDefault="00BD3344" w:rsidP="002A57B9">
      <w:pPr>
        <w:rPr>
          <w:bCs/>
        </w:rPr>
      </w:pPr>
      <w:r w:rsidRPr="00B6189B">
        <w:rPr>
          <w:bCs/>
        </w:rPr>
        <w:t>The PBAC did not comment on the proposed restriction.</w:t>
      </w:r>
    </w:p>
    <w:p w:rsidR="00B6189B" w:rsidRDefault="00B6189B" w:rsidP="002A57B9">
      <w:pPr>
        <w:rPr>
          <w:b/>
          <w:bCs/>
          <w:color w:val="000000"/>
        </w:rPr>
      </w:pPr>
    </w:p>
    <w:p w:rsidR="002A57B9" w:rsidRPr="00746E3F" w:rsidRDefault="002A57B9" w:rsidP="002A57B9">
      <w:pPr>
        <w:rPr>
          <w:b/>
          <w:bCs/>
          <w:color w:val="000000"/>
        </w:rPr>
      </w:pPr>
      <w:r w:rsidRPr="00746E3F">
        <w:rPr>
          <w:b/>
          <w:bCs/>
          <w:color w:val="000000"/>
        </w:rPr>
        <w:t>5.</w:t>
      </w:r>
      <w:r w:rsidRPr="00746E3F">
        <w:rPr>
          <w:b/>
          <w:bCs/>
          <w:color w:val="000000"/>
        </w:rPr>
        <w:tab/>
        <w:t>Clinical Place for the Proposed Therapy</w:t>
      </w:r>
    </w:p>
    <w:p w:rsidR="00BD3344" w:rsidRDefault="00BD3344" w:rsidP="00BD3344">
      <w:pPr>
        <w:pStyle w:val="Header"/>
        <w:tabs>
          <w:tab w:val="clear" w:pos="4153"/>
          <w:tab w:val="clear" w:pos="8306"/>
        </w:tabs>
      </w:pPr>
      <w:r>
        <w:t xml:space="preserve">Gaucher disease is a rare and inherited condition caused by mutations in the human glucocerebrosidase gene leading to reduced activity of the lysosomal enzyme glucocerebrosidase and thereby to the accumulation of substrate glucocerebroside in the cells of the monocyte-macrophage system.  This accumulation leads to the visceral manifestations </w:t>
      </w:r>
      <w:r>
        <w:lastRenderedPageBreak/>
        <w:t>of hepatosplenomegaly, anaemia and thrombocytopenia, skeletal features and less frequently lung involvement.</w:t>
      </w:r>
    </w:p>
    <w:p w:rsidR="00B6189B" w:rsidRDefault="00B6189B" w:rsidP="00BD3344">
      <w:pPr>
        <w:pStyle w:val="Header"/>
        <w:tabs>
          <w:tab w:val="clear" w:pos="4153"/>
          <w:tab w:val="clear" w:pos="8306"/>
        </w:tabs>
      </w:pPr>
    </w:p>
    <w:p w:rsidR="00B6189B" w:rsidRDefault="00B6189B" w:rsidP="00BD3344">
      <w:pPr>
        <w:pStyle w:val="Header"/>
        <w:tabs>
          <w:tab w:val="clear" w:pos="4153"/>
          <w:tab w:val="clear" w:pos="8306"/>
        </w:tabs>
      </w:pPr>
      <w:r>
        <w:t>There are t</w:t>
      </w:r>
      <w:r w:rsidR="00DA3A5A">
        <w:t>hree</w:t>
      </w:r>
      <w:r>
        <w:t xml:space="preserve"> types of </w:t>
      </w:r>
      <w:proofErr w:type="gramStart"/>
      <w:r>
        <w:t>Gaucher</w:t>
      </w:r>
      <w:proofErr w:type="gramEnd"/>
      <w:r>
        <w:t xml:space="preserve"> disease, characterised by the absence (Type </w:t>
      </w:r>
      <w:r w:rsidR="00DA3A5A">
        <w:t>1</w:t>
      </w:r>
      <w:r>
        <w:t>) or presence (Type</w:t>
      </w:r>
      <w:r w:rsidR="00DA3A5A">
        <w:t>s 2 and 3</w:t>
      </w:r>
      <w:r>
        <w:t>) of central nervous system involvement.</w:t>
      </w:r>
    </w:p>
    <w:p w:rsidR="00BD3344" w:rsidRDefault="00BD3344" w:rsidP="00BD3344">
      <w:pPr>
        <w:pStyle w:val="Header"/>
        <w:tabs>
          <w:tab w:val="clear" w:pos="4153"/>
          <w:tab w:val="clear" w:pos="8306"/>
        </w:tabs>
      </w:pPr>
    </w:p>
    <w:p w:rsidR="00BD3344" w:rsidRPr="00612CB4" w:rsidRDefault="00BD3344" w:rsidP="00BD3344">
      <w:pPr>
        <w:pStyle w:val="Header"/>
        <w:tabs>
          <w:tab w:val="clear" w:pos="4153"/>
          <w:tab w:val="clear" w:pos="8306"/>
        </w:tabs>
        <w:rPr>
          <w:b/>
          <w:color w:val="FF00FF"/>
        </w:rPr>
      </w:pPr>
      <w:r>
        <w:t xml:space="preserve">The submission proposed that the place in therapy of taliglucerase alfa is as an alternative enzyme replacement therapy to imiglucerase for the treatment of </w:t>
      </w:r>
      <w:proofErr w:type="spellStart"/>
      <w:proofErr w:type="gramStart"/>
      <w:r>
        <w:t>Gaucher</w:t>
      </w:r>
      <w:proofErr w:type="spellEnd"/>
      <w:proofErr w:type="gramEnd"/>
      <w:r>
        <w:t xml:space="preserve"> disease.</w:t>
      </w:r>
    </w:p>
    <w:p w:rsidR="003D43DE" w:rsidRDefault="003D43DE"/>
    <w:p w:rsidR="002A57B9" w:rsidRPr="00746E3F" w:rsidRDefault="002A57B9" w:rsidP="002A57B9">
      <w:pPr>
        <w:rPr>
          <w:b/>
          <w:bCs/>
        </w:rPr>
      </w:pPr>
      <w:r w:rsidRPr="00746E3F">
        <w:rPr>
          <w:b/>
          <w:bCs/>
        </w:rPr>
        <w:t>6.</w:t>
      </w:r>
      <w:r w:rsidRPr="00746E3F">
        <w:rPr>
          <w:b/>
          <w:bCs/>
        </w:rPr>
        <w:tab/>
        <w:t>Comparator</w:t>
      </w:r>
    </w:p>
    <w:p w:rsidR="00BD3344" w:rsidRDefault="00BD3344" w:rsidP="00BD3344">
      <w:r>
        <w:t xml:space="preserve">The submission nominated imiglucerase as the main comparator. </w:t>
      </w:r>
    </w:p>
    <w:p w:rsidR="00B6189B" w:rsidRPr="00BD3344" w:rsidRDefault="00B6189B" w:rsidP="00BD3344">
      <w:pPr>
        <w:rPr>
          <w:i/>
          <w:strike/>
        </w:rPr>
      </w:pPr>
    </w:p>
    <w:p w:rsidR="00BD3344" w:rsidRDefault="00BD3344" w:rsidP="00FF2093">
      <w:pPr>
        <w:outlineLvl w:val="0"/>
        <w:rPr>
          <w:i/>
        </w:rPr>
      </w:pPr>
      <w:r w:rsidRPr="00B6189B">
        <w:rPr>
          <w:i/>
        </w:rPr>
        <w:t>For PBAC’s view, see Recommendation and Reasons</w:t>
      </w:r>
    </w:p>
    <w:p w:rsidR="005A4D28" w:rsidRPr="005A4D28" w:rsidRDefault="005A4D28" w:rsidP="00FF2093">
      <w:pPr>
        <w:outlineLvl w:val="0"/>
        <w:rPr>
          <w:i/>
        </w:rPr>
      </w:pPr>
    </w:p>
    <w:p w:rsidR="002A57B9" w:rsidRDefault="002A57B9" w:rsidP="002A57B9">
      <w:pPr>
        <w:rPr>
          <w:b/>
          <w:bCs/>
        </w:rPr>
      </w:pPr>
      <w:r w:rsidRPr="00221B4D">
        <w:rPr>
          <w:b/>
          <w:bCs/>
        </w:rPr>
        <w:t>7.</w:t>
      </w:r>
      <w:r w:rsidRPr="00221B4D">
        <w:rPr>
          <w:b/>
          <w:bCs/>
        </w:rPr>
        <w:tab/>
        <w:t>Clinical Trials</w:t>
      </w:r>
    </w:p>
    <w:p w:rsidR="00BD3344" w:rsidRDefault="00BD3344" w:rsidP="00BD3344">
      <w:r>
        <w:t xml:space="preserve">The basis of the submission was ten randomised and non-randomised trials of taliglucerase (PB-06-001, PB-06-002, PB-06-003, PB-06-004 and PB-06-005) and imiglucerase (Elstein et al 2007, De Fost et al 2007, Schiffmann et al 2002, Grabowski et al 1995 and Sims et al 2008) for the treatment of </w:t>
      </w:r>
      <w:proofErr w:type="gramStart"/>
      <w:r>
        <w:t>Gaucher</w:t>
      </w:r>
      <w:proofErr w:type="gramEnd"/>
      <w:r>
        <w:t xml:space="preserve"> disease.</w:t>
      </w:r>
    </w:p>
    <w:p w:rsidR="00BD3344" w:rsidRDefault="00BD3344" w:rsidP="00BD3344"/>
    <w:p w:rsidR="00BD3344" w:rsidRDefault="00BD3344" w:rsidP="00BD3344">
      <w:r>
        <w:t xml:space="preserve">Details of the </w:t>
      </w:r>
      <w:r w:rsidRPr="00B6189B">
        <w:t>trials published at the time of the submission</w:t>
      </w:r>
      <w:r>
        <w:t xml:space="preserve"> are in the table below.</w:t>
      </w:r>
    </w:p>
    <w:p w:rsidR="00BD3344" w:rsidRDefault="00BD3344" w:rsidP="00BD3344"/>
    <w:p w:rsidR="00BD3344" w:rsidRDefault="00BD3344" w:rsidP="00BD3344">
      <w:pPr>
        <w:rPr>
          <w:rFonts w:ascii="Arial" w:hAnsi="Arial"/>
          <w:b/>
          <w:sz w:val="20"/>
        </w:rPr>
      </w:pPr>
      <w:r>
        <w:rPr>
          <w:rFonts w:ascii="Arial" w:hAnsi="Arial"/>
          <w:b/>
          <w:sz w:val="20"/>
        </w:rPr>
        <w:t>Clinical studies included in the submission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linical studies included in the submission"/>
      </w:tblPr>
      <w:tblGrid>
        <w:gridCol w:w="1456"/>
        <w:gridCol w:w="5204"/>
        <w:gridCol w:w="2520"/>
      </w:tblGrid>
      <w:tr w:rsidR="00BD3344" w:rsidTr="00E24443">
        <w:tc>
          <w:tcPr>
            <w:tcW w:w="1456" w:type="dxa"/>
          </w:tcPr>
          <w:p w:rsidR="00BD3344" w:rsidRDefault="00BD3344" w:rsidP="00E24443">
            <w:pPr>
              <w:rPr>
                <w:rFonts w:ascii="Arial" w:hAnsi="Arial"/>
                <w:b/>
                <w:sz w:val="20"/>
              </w:rPr>
            </w:pPr>
            <w:r>
              <w:rPr>
                <w:rFonts w:ascii="Arial" w:hAnsi="Arial"/>
                <w:b/>
                <w:sz w:val="20"/>
              </w:rPr>
              <w:t>Tria</w:t>
            </w:r>
            <w:bookmarkStart w:id="0" w:name="_GoBack"/>
            <w:bookmarkEnd w:id="0"/>
            <w:r>
              <w:rPr>
                <w:rFonts w:ascii="Arial" w:hAnsi="Arial"/>
                <w:b/>
                <w:sz w:val="20"/>
              </w:rPr>
              <w:t>l ID/First author</w:t>
            </w:r>
          </w:p>
        </w:tc>
        <w:tc>
          <w:tcPr>
            <w:tcW w:w="5204" w:type="dxa"/>
          </w:tcPr>
          <w:p w:rsidR="00BD3344" w:rsidRDefault="00BD3344" w:rsidP="00E24443">
            <w:pPr>
              <w:jc w:val="center"/>
              <w:rPr>
                <w:rFonts w:ascii="Arial" w:hAnsi="Arial"/>
                <w:b/>
                <w:sz w:val="20"/>
              </w:rPr>
            </w:pPr>
            <w:r>
              <w:rPr>
                <w:rFonts w:ascii="Arial" w:hAnsi="Arial"/>
                <w:b/>
                <w:sz w:val="20"/>
              </w:rPr>
              <w:t>Protocol title/ Publication title</w:t>
            </w:r>
          </w:p>
        </w:tc>
        <w:tc>
          <w:tcPr>
            <w:tcW w:w="2520" w:type="dxa"/>
          </w:tcPr>
          <w:p w:rsidR="00BD3344" w:rsidRDefault="00BD3344" w:rsidP="00E24443">
            <w:pPr>
              <w:jc w:val="center"/>
              <w:rPr>
                <w:rFonts w:ascii="Arial" w:hAnsi="Arial"/>
                <w:b/>
                <w:sz w:val="20"/>
              </w:rPr>
            </w:pPr>
            <w:r>
              <w:rPr>
                <w:rFonts w:ascii="Arial" w:hAnsi="Arial"/>
                <w:b/>
                <w:sz w:val="20"/>
              </w:rPr>
              <w:t>Publication citation</w:t>
            </w:r>
          </w:p>
        </w:tc>
      </w:tr>
      <w:tr w:rsidR="00BD3344" w:rsidTr="00E24443">
        <w:tc>
          <w:tcPr>
            <w:tcW w:w="9180" w:type="dxa"/>
            <w:gridSpan w:val="3"/>
          </w:tcPr>
          <w:p w:rsidR="00BD3344" w:rsidRDefault="00BD3344" w:rsidP="00E24443">
            <w:pPr>
              <w:rPr>
                <w:rFonts w:ascii="Arial" w:hAnsi="Arial"/>
                <w:b/>
                <w:sz w:val="20"/>
              </w:rPr>
            </w:pPr>
            <w:r>
              <w:rPr>
                <w:rFonts w:ascii="Arial" w:hAnsi="Arial"/>
                <w:b/>
                <w:sz w:val="20"/>
              </w:rPr>
              <w:t>Taliglucerase randomised trials</w:t>
            </w:r>
          </w:p>
        </w:tc>
      </w:tr>
      <w:tr w:rsidR="00BD3344" w:rsidRPr="008C499D" w:rsidTr="00B6189B">
        <w:trPr>
          <w:trHeight w:val="925"/>
        </w:trPr>
        <w:tc>
          <w:tcPr>
            <w:tcW w:w="1456" w:type="dxa"/>
          </w:tcPr>
          <w:p w:rsidR="00B6189B" w:rsidRDefault="00B6189B" w:rsidP="00E24443">
            <w:pPr>
              <w:rPr>
                <w:rFonts w:ascii="Arial" w:hAnsi="Arial"/>
                <w:sz w:val="20"/>
              </w:rPr>
            </w:pPr>
            <w:r>
              <w:rPr>
                <w:rFonts w:ascii="Arial" w:hAnsi="Arial"/>
                <w:sz w:val="20"/>
              </w:rPr>
              <w:t xml:space="preserve">PB-06-001 </w:t>
            </w:r>
          </w:p>
          <w:p w:rsidR="00BD3344" w:rsidRPr="008C499D" w:rsidRDefault="00BD3344" w:rsidP="00E24443">
            <w:pPr>
              <w:rPr>
                <w:rFonts w:ascii="Arial" w:hAnsi="Arial"/>
                <w:sz w:val="20"/>
              </w:rPr>
            </w:pPr>
            <w:proofErr w:type="gramStart"/>
            <w:r w:rsidRPr="008C499D">
              <w:rPr>
                <w:rFonts w:ascii="Arial" w:hAnsi="Arial"/>
                <w:sz w:val="20"/>
              </w:rPr>
              <w:t>Zimran et al (2011).</w:t>
            </w:r>
            <w:proofErr w:type="gramEnd"/>
          </w:p>
        </w:tc>
        <w:tc>
          <w:tcPr>
            <w:tcW w:w="5204" w:type="dxa"/>
          </w:tcPr>
          <w:p w:rsidR="00B6189B" w:rsidRDefault="00B6189B" w:rsidP="00E24443">
            <w:pPr>
              <w:rPr>
                <w:rFonts w:ascii="Arial" w:hAnsi="Arial"/>
                <w:sz w:val="20"/>
              </w:rPr>
            </w:pPr>
          </w:p>
          <w:p w:rsidR="00BD3344" w:rsidRDefault="00BD3344" w:rsidP="00E24443">
            <w:pPr>
              <w:rPr>
                <w:rFonts w:ascii="Arial" w:hAnsi="Arial"/>
                <w:sz w:val="20"/>
              </w:rPr>
            </w:pPr>
            <w:proofErr w:type="gramStart"/>
            <w:r w:rsidRPr="008C499D">
              <w:rPr>
                <w:rFonts w:ascii="Arial" w:hAnsi="Arial"/>
                <w:sz w:val="20"/>
              </w:rPr>
              <w:t>Pivotal trial with plant cell-expressed recombinant glucocerebrosidase, taliglucerase alfa, a novel enzyme replacement therapy for Gaucher disease.</w:t>
            </w:r>
            <w:proofErr w:type="gramEnd"/>
          </w:p>
          <w:p w:rsidR="00BD3344" w:rsidRPr="008C499D" w:rsidRDefault="00BD3344" w:rsidP="00E24443">
            <w:pPr>
              <w:rPr>
                <w:rFonts w:ascii="Arial" w:hAnsi="Arial"/>
                <w:sz w:val="20"/>
              </w:rPr>
            </w:pPr>
          </w:p>
        </w:tc>
        <w:tc>
          <w:tcPr>
            <w:tcW w:w="2520" w:type="dxa"/>
          </w:tcPr>
          <w:p w:rsidR="00B6189B" w:rsidRDefault="00B6189B" w:rsidP="00E24443">
            <w:pPr>
              <w:rPr>
                <w:rFonts w:ascii="Arial" w:hAnsi="Arial"/>
                <w:sz w:val="20"/>
              </w:rPr>
            </w:pPr>
          </w:p>
          <w:p w:rsidR="00BD3344" w:rsidRPr="008C499D" w:rsidRDefault="00BD3344" w:rsidP="00E24443">
            <w:pPr>
              <w:rPr>
                <w:rFonts w:ascii="Arial" w:hAnsi="Arial"/>
                <w:sz w:val="20"/>
              </w:rPr>
            </w:pPr>
            <w:r w:rsidRPr="008C499D">
              <w:rPr>
                <w:rFonts w:ascii="Arial" w:hAnsi="Arial"/>
                <w:sz w:val="20"/>
              </w:rPr>
              <w:t>Blood 118: 5767-5773</w:t>
            </w:r>
          </w:p>
        </w:tc>
      </w:tr>
      <w:tr w:rsidR="00BD3344" w:rsidTr="00E24443">
        <w:tc>
          <w:tcPr>
            <w:tcW w:w="9180" w:type="dxa"/>
            <w:gridSpan w:val="3"/>
          </w:tcPr>
          <w:p w:rsidR="00BD3344" w:rsidRDefault="00BD3344" w:rsidP="00E24443">
            <w:pPr>
              <w:rPr>
                <w:rFonts w:ascii="Arial" w:hAnsi="Arial"/>
                <w:sz w:val="20"/>
              </w:rPr>
            </w:pPr>
            <w:r>
              <w:rPr>
                <w:rFonts w:ascii="Arial" w:hAnsi="Arial"/>
                <w:b/>
                <w:sz w:val="20"/>
              </w:rPr>
              <w:t>Imiglucerase randomised trials</w:t>
            </w:r>
          </w:p>
        </w:tc>
      </w:tr>
      <w:tr w:rsidR="00BD3344" w:rsidTr="00E24443">
        <w:tc>
          <w:tcPr>
            <w:tcW w:w="1456" w:type="dxa"/>
          </w:tcPr>
          <w:p w:rsidR="00BD3344" w:rsidRDefault="00BD3344" w:rsidP="00E24443">
            <w:pPr>
              <w:rPr>
                <w:rFonts w:ascii="Arial" w:hAnsi="Arial"/>
                <w:sz w:val="20"/>
              </w:rPr>
            </w:pPr>
            <w:r>
              <w:rPr>
                <w:rFonts w:ascii="Arial" w:hAnsi="Arial"/>
                <w:sz w:val="20"/>
              </w:rPr>
              <w:t>Elstein et al</w:t>
            </w:r>
          </w:p>
          <w:p w:rsidR="00BD3344" w:rsidRDefault="00BD3344" w:rsidP="00E24443">
            <w:pPr>
              <w:rPr>
                <w:rFonts w:ascii="Arial" w:hAnsi="Arial"/>
                <w:sz w:val="20"/>
              </w:rPr>
            </w:pPr>
            <w:r>
              <w:rPr>
                <w:rFonts w:ascii="Arial" w:hAnsi="Arial"/>
                <w:sz w:val="20"/>
              </w:rPr>
              <w:t>(2007)</w:t>
            </w:r>
          </w:p>
        </w:tc>
        <w:tc>
          <w:tcPr>
            <w:tcW w:w="5204" w:type="dxa"/>
          </w:tcPr>
          <w:p w:rsidR="00BD3344" w:rsidRDefault="00BD3344" w:rsidP="00E24443">
            <w:pPr>
              <w:rPr>
                <w:rFonts w:ascii="Arial" w:hAnsi="Arial"/>
                <w:sz w:val="20"/>
              </w:rPr>
            </w:pPr>
            <w:proofErr w:type="gramStart"/>
            <w:r w:rsidRPr="00D53F47">
              <w:rPr>
                <w:rFonts w:ascii="Arial" w:hAnsi="Arial"/>
                <w:sz w:val="20"/>
              </w:rPr>
              <w:t>Oral maintenance clinical trial with miglustat for type I Gaucher disease: switch from or combination with intravenous enzyme replacement.</w:t>
            </w:r>
            <w:proofErr w:type="gramEnd"/>
            <w:r w:rsidRPr="00D53F47">
              <w:rPr>
                <w:rFonts w:ascii="Arial" w:hAnsi="Arial"/>
                <w:sz w:val="20"/>
              </w:rPr>
              <w:t xml:space="preserve"> </w:t>
            </w:r>
          </w:p>
          <w:p w:rsidR="00BD3344" w:rsidRPr="0052083F" w:rsidRDefault="00BD3344" w:rsidP="00E24443">
            <w:pPr>
              <w:rPr>
                <w:rFonts w:ascii="Arial" w:hAnsi="Arial"/>
                <w:sz w:val="20"/>
              </w:rPr>
            </w:pPr>
          </w:p>
        </w:tc>
        <w:tc>
          <w:tcPr>
            <w:tcW w:w="2520" w:type="dxa"/>
          </w:tcPr>
          <w:p w:rsidR="00BD3344" w:rsidRDefault="00BD3344" w:rsidP="00E24443">
            <w:pPr>
              <w:rPr>
                <w:rFonts w:ascii="Arial" w:hAnsi="Arial"/>
                <w:sz w:val="20"/>
              </w:rPr>
            </w:pPr>
            <w:r>
              <w:rPr>
                <w:rFonts w:ascii="Arial" w:hAnsi="Arial"/>
                <w:sz w:val="20"/>
              </w:rPr>
              <w:t>Blood 110:</w:t>
            </w:r>
            <w:r w:rsidRPr="00D53F47">
              <w:rPr>
                <w:rFonts w:ascii="Arial" w:hAnsi="Arial"/>
                <w:sz w:val="20"/>
              </w:rPr>
              <w:t xml:space="preserve"> 2296-2301</w:t>
            </w:r>
          </w:p>
        </w:tc>
      </w:tr>
      <w:tr w:rsidR="00BD3344" w:rsidTr="00E24443">
        <w:tc>
          <w:tcPr>
            <w:tcW w:w="1456" w:type="dxa"/>
          </w:tcPr>
          <w:p w:rsidR="00BD3344" w:rsidRDefault="00BD3344" w:rsidP="00E24443">
            <w:pPr>
              <w:rPr>
                <w:rFonts w:ascii="Arial" w:hAnsi="Arial"/>
                <w:sz w:val="20"/>
              </w:rPr>
            </w:pPr>
            <w:r>
              <w:rPr>
                <w:rFonts w:ascii="Arial" w:hAnsi="Arial"/>
                <w:sz w:val="20"/>
              </w:rPr>
              <w:t>De Fost et al (2007)</w:t>
            </w:r>
          </w:p>
        </w:tc>
        <w:tc>
          <w:tcPr>
            <w:tcW w:w="5204" w:type="dxa"/>
          </w:tcPr>
          <w:p w:rsidR="00BD3344" w:rsidRDefault="00BD3344" w:rsidP="00E24443">
            <w:pPr>
              <w:rPr>
                <w:rFonts w:ascii="Arial" w:hAnsi="Arial"/>
                <w:sz w:val="20"/>
              </w:rPr>
            </w:pPr>
            <w:proofErr w:type="gramStart"/>
            <w:r w:rsidRPr="00081C6D">
              <w:rPr>
                <w:rFonts w:ascii="Arial" w:hAnsi="Arial"/>
                <w:sz w:val="20"/>
              </w:rPr>
              <w:t>Low frequency maintenance therapy with imiglucerase in adult type I Gaucher disease: a prospective randomized controlled trial.</w:t>
            </w:r>
            <w:proofErr w:type="gramEnd"/>
            <w:r w:rsidRPr="00081C6D">
              <w:rPr>
                <w:rFonts w:ascii="Arial" w:hAnsi="Arial"/>
                <w:sz w:val="20"/>
              </w:rPr>
              <w:t xml:space="preserve"> </w:t>
            </w:r>
          </w:p>
          <w:p w:rsidR="00BD3344" w:rsidRPr="00D53F47" w:rsidRDefault="00BD3344" w:rsidP="00E24443">
            <w:pPr>
              <w:rPr>
                <w:rFonts w:ascii="Arial" w:hAnsi="Arial"/>
                <w:sz w:val="20"/>
              </w:rPr>
            </w:pPr>
          </w:p>
        </w:tc>
        <w:tc>
          <w:tcPr>
            <w:tcW w:w="2520" w:type="dxa"/>
          </w:tcPr>
          <w:p w:rsidR="00BD3344" w:rsidRDefault="00BD3344" w:rsidP="00E24443">
            <w:pPr>
              <w:rPr>
                <w:rFonts w:ascii="Arial" w:hAnsi="Arial"/>
                <w:sz w:val="20"/>
              </w:rPr>
            </w:pPr>
            <w:r>
              <w:rPr>
                <w:rFonts w:ascii="Arial" w:hAnsi="Arial"/>
                <w:sz w:val="20"/>
              </w:rPr>
              <w:t>Haematologica 92:</w:t>
            </w:r>
            <w:r w:rsidRPr="00081C6D">
              <w:rPr>
                <w:rFonts w:ascii="Arial" w:hAnsi="Arial"/>
                <w:sz w:val="20"/>
              </w:rPr>
              <w:t xml:space="preserve"> 215-221</w:t>
            </w:r>
          </w:p>
        </w:tc>
      </w:tr>
      <w:tr w:rsidR="00BD3344" w:rsidTr="00E24443">
        <w:tc>
          <w:tcPr>
            <w:tcW w:w="1456" w:type="dxa"/>
          </w:tcPr>
          <w:p w:rsidR="00BD3344" w:rsidRDefault="00BD3344" w:rsidP="00E24443">
            <w:pPr>
              <w:rPr>
                <w:rFonts w:ascii="Arial" w:hAnsi="Arial"/>
                <w:sz w:val="20"/>
              </w:rPr>
            </w:pPr>
            <w:r>
              <w:rPr>
                <w:rFonts w:ascii="Arial" w:hAnsi="Arial"/>
                <w:sz w:val="20"/>
              </w:rPr>
              <w:t>Schiffmann et al (2002)</w:t>
            </w:r>
          </w:p>
        </w:tc>
        <w:tc>
          <w:tcPr>
            <w:tcW w:w="5204" w:type="dxa"/>
          </w:tcPr>
          <w:p w:rsidR="00BD3344" w:rsidRDefault="00BD3344" w:rsidP="00E24443">
            <w:pPr>
              <w:rPr>
                <w:rFonts w:ascii="Arial" w:hAnsi="Arial"/>
                <w:sz w:val="20"/>
              </w:rPr>
            </w:pPr>
            <w:r w:rsidRPr="00E57743">
              <w:rPr>
                <w:rFonts w:ascii="Arial" w:hAnsi="Arial"/>
                <w:sz w:val="20"/>
              </w:rPr>
              <w:t xml:space="preserve">Decreased bone density in splenectomized Gaucher patients receiving enzyme replacement therapy. </w:t>
            </w:r>
          </w:p>
        </w:tc>
        <w:tc>
          <w:tcPr>
            <w:tcW w:w="2520" w:type="dxa"/>
          </w:tcPr>
          <w:p w:rsidR="00BD3344" w:rsidRDefault="00BD3344" w:rsidP="00E24443">
            <w:pPr>
              <w:rPr>
                <w:rFonts w:ascii="Arial" w:hAnsi="Arial"/>
                <w:sz w:val="20"/>
              </w:rPr>
            </w:pPr>
            <w:r w:rsidRPr="00E57743">
              <w:rPr>
                <w:rFonts w:ascii="Arial" w:hAnsi="Arial"/>
                <w:sz w:val="20"/>
              </w:rPr>
              <w:t>Blood Cell</w:t>
            </w:r>
            <w:r>
              <w:rPr>
                <w:rFonts w:ascii="Arial" w:hAnsi="Arial"/>
                <w:sz w:val="20"/>
              </w:rPr>
              <w:t>s, Molecules, and Diseases 28: 288-296</w:t>
            </w:r>
            <w:r w:rsidRPr="00E57743">
              <w:rPr>
                <w:rFonts w:ascii="Arial" w:hAnsi="Arial"/>
                <w:sz w:val="20"/>
              </w:rPr>
              <w:t>.</w:t>
            </w:r>
          </w:p>
          <w:p w:rsidR="00BD3344" w:rsidRDefault="00BD3344" w:rsidP="00E24443">
            <w:pPr>
              <w:rPr>
                <w:rFonts w:ascii="Arial" w:hAnsi="Arial"/>
                <w:sz w:val="20"/>
              </w:rPr>
            </w:pPr>
          </w:p>
        </w:tc>
      </w:tr>
      <w:tr w:rsidR="00BD3344" w:rsidTr="00DA3A5A">
        <w:trPr>
          <w:trHeight w:val="274"/>
        </w:trPr>
        <w:tc>
          <w:tcPr>
            <w:tcW w:w="1456" w:type="dxa"/>
          </w:tcPr>
          <w:p w:rsidR="00BD3344" w:rsidRDefault="00BD3344" w:rsidP="00E24443">
            <w:pPr>
              <w:rPr>
                <w:rFonts w:ascii="Arial" w:hAnsi="Arial"/>
                <w:sz w:val="20"/>
              </w:rPr>
            </w:pPr>
            <w:r>
              <w:rPr>
                <w:rFonts w:ascii="Arial" w:hAnsi="Arial"/>
                <w:sz w:val="20"/>
              </w:rPr>
              <w:t>Grabowski et al (1995)</w:t>
            </w:r>
          </w:p>
        </w:tc>
        <w:tc>
          <w:tcPr>
            <w:tcW w:w="5204" w:type="dxa"/>
          </w:tcPr>
          <w:p w:rsidR="00BD3344" w:rsidRDefault="00BD3344" w:rsidP="00E24443">
            <w:pPr>
              <w:rPr>
                <w:rFonts w:ascii="Arial" w:hAnsi="Arial"/>
                <w:sz w:val="20"/>
              </w:rPr>
            </w:pPr>
            <w:proofErr w:type="gramStart"/>
            <w:r w:rsidRPr="005F55E5">
              <w:rPr>
                <w:rFonts w:ascii="Arial" w:hAnsi="Arial"/>
                <w:sz w:val="20"/>
              </w:rPr>
              <w:t>Enzyme therapy in type 1 Gaucher disease: comparative efficacy of mannose-terminated glucocerebrosidase from natural and recombinant sources.</w:t>
            </w:r>
            <w:proofErr w:type="gramEnd"/>
          </w:p>
          <w:p w:rsidR="00BD3344" w:rsidRDefault="00BD3344" w:rsidP="00E24443">
            <w:pPr>
              <w:rPr>
                <w:rFonts w:ascii="Arial" w:hAnsi="Arial"/>
                <w:sz w:val="20"/>
              </w:rPr>
            </w:pPr>
          </w:p>
          <w:p w:rsidR="00BD3344" w:rsidRPr="00E57743" w:rsidRDefault="00BD3344" w:rsidP="00E24443">
            <w:pPr>
              <w:rPr>
                <w:rFonts w:ascii="Arial" w:hAnsi="Arial"/>
                <w:sz w:val="20"/>
              </w:rPr>
            </w:pPr>
            <w:r w:rsidRPr="00D94C6C">
              <w:rPr>
                <w:rFonts w:ascii="Arial" w:hAnsi="Arial"/>
                <w:sz w:val="20"/>
              </w:rPr>
              <w:t>Genzyme Corporation</w:t>
            </w:r>
            <w:r>
              <w:rPr>
                <w:rFonts w:ascii="Arial" w:hAnsi="Arial"/>
                <w:sz w:val="20"/>
              </w:rPr>
              <w:t xml:space="preserve"> (2005)</w:t>
            </w:r>
            <w:r w:rsidRPr="00D94C6C">
              <w:rPr>
                <w:rFonts w:ascii="Arial" w:hAnsi="Arial"/>
                <w:sz w:val="20"/>
              </w:rPr>
              <w:t xml:space="preserve">. Protocol RC 91-0110: An Evaluation of the Safety and Effectiveness of Recombinant, Human, Macrophage-Targeted β-Glucocerebrosidase. </w:t>
            </w:r>
          </w:p>
          <w:p w:rsidR="00BD3344" w:rsidRDefault="00BD3344" w:rsidP="00E24443">
            <w:pPr>
              <w:rPr>
                <w:rFonts w:ascii="Arial" w:hAnsi="Arial"/>
                <w:sz w:val="20"/>
              </w:rPr>
            </w:pPr>
          </w:p>
          <w:p w:rsidR="00BD3344" w:rsidRPr="00E57743" w:rsidRDefault="00BD3344" w:rsidP="00E24443">
            <w:pPr>
              <w:rPr>
                <w:rFonts w:ascii="Arial" w:hAnsi="Arial"/>
                <w:sz w:val="20"/>
              </w:rPr>
            </w:pPr>
            <w:r w:rsidRPr="001F6F93">
              <w:rPr>
                <w:rFonts w:ascii="Arial" w:hAnsi="Arial"/>
                <w:sz w:val="20"/>
              </w:rPr>
              <w:lastRenderedPageBreak/>
              <w:t>Genzyme Corporation</w:t>
            </w:r>
            <w:r>
              <w:rPr>
                <w:rFonts w:ascii="Arial" w:hAnsi="Arial"/>
                <w:sz w:val="20"/>
              </w:rPr>
              <w:t xml:space="preserve"> (2005)</w:t>
            </w:r>
            <w:r w:rsidRPr="001F6F93">
              <w:rPr>
                <w:rFonts w:ascii="Arial" w:hAnsi="Arial"/>
                <w:sz w:val="20"/>
              </w:rPr>
              <w:t xml:space="preserve">. Protocol RC 92-0501: An Extended Evaluation of the Safety and Effectiveness of Recombinant, Human-derived, Macrophage-Targeted β Glucocerebrosidase in Patients with Gaucher disease. </w:t>
            </w:r>
          </w:p>
          <w:p w:rsidR="00BD3344" w:rsidRPr="00E57743" w:rsidRDefault="00BD3344" w:rsidP="00E24443">
            <w:pPr>
              <w:rPr>
                <w:rFonts w:ascii="Arial" w:hAnsi="Arial"/>
                <w:sz w:val="20"/>
              </w:rPr>
            </w:pPr>
          </w:p>
        </w:tc>
        <w:tc>
          <w:tcPr>
            <w:tcW w:w="2520" w:type="dxa"/>
          </w:tcPr>
          <w:p w:rsidR="00BD3344" w:rsidRDefault="00BD3344" w:rsidP="00E24443">
            <w:pPr>
              <w:rPr>
                <w:rFonts w:ascii="Arial" w:hAnsi="Arial"/>
                <w:sz w:val="20"/>
              </w:rPr>
            </w:pPr>
            <w:r w:rsidRPr="005F55E5">
              <w:rPr>
                <w:rFonts w:ascii="Arial" w:hAnsi="Arial"/>
                <w:sz w:val="20"/>
              </w:rPr>
              <w:lastRenderedPageBreak/>
              <w:t>An</w:t>
            </w:r>
            <w:r>
              <w:rPr>
                <w:rFonts w:ascii="Arial" w:hAnsi="Arial"/>
                <w:sz w:val="20"/>
              </w:rPr>
              <w:t>nals of Internal Medicine 122:</w:t>
            </w:r>
            <w:r w:rsidRPr="005F55E5">
              <w:rPr>
                <w:rFonts w:ascii="Arial" w:hAnsi="Arial"/>
                <w:sz w:val="20"/>
              </w:rPr>
              <w:t xml:space="preserve"> 33-39</w:t>
            </w:r>
          </w:p>
          <w:p w:rsidR="00BD3344" w:rsidRDefault="00BD3344" w:rsidP="00E24443">
            <w:pPr>
              <w:rPr>
                <w:rFonts w:ascii="Arial" w:hAnsi="Arial"/>
                <w:sz w:val="20"/>
              </w:rPr>
            </w:pPr>
          </w:p>
          <w:p w:rsidR="00BD3344" w:rsidRDefault="00BD3344" w:rsidP="00E24443">
            <w:pPr>
              <w:rPr>
                <w:rFonts w:ascii="Arial" w:hAnsi="Arial"/>
                <w:sz w:val="20"/>
              </w:rPr>
            </w:pPr>
          </w:p>
          <w:p w:rsidR="00BD3344" w:rsidRDefault="00BD3344" w:rsidP="00E24443">
            <w:pPr>
              <w:rPr>
                <w:rFonts w:ascii="Arial" w:hAnsi="Arial"/>
                <w:sz w:val="20"/>
              </w:rPr>
            </w:pPr>
          </w:p>
          <w:p w:rsidR="00BD3344" w:rsidRPr="00E57743" w:rsidRDefault="00BD3344" w:rsidP="00E24443">
            <w:pPr>
              <w:rPr>
                <w:rFonts w:ascii="Arial" w:hAnsi="Arial"/>
                <w:sz w:val="20"/>
              </w:rPr>
            </w:pPr>
            <w:r>
              <w:rPr>
                <w:rFonts w:ascii="Arial" w:hAnsi="Arial"/>
                <w:sz w:val="20"/>
              </w:rPr>
              <w:t>Genzyme clinical research website</w:t>
            </w:r>
          </w:p>
          <w:p w:rsidR="00BD3344" w:rsidRDefault="00BD3344" w:rsidP="00E24443">
            <w:pPr>
              <w:rPr>
                <w:rFonts w:ascii="Arial" w:hAnsi="Arial"/>
                <w:sz w:val="20"/>
              </w:rPr>
            </w:pPr>
          </w:p>
          <w:p w:rsidR="00BD3344" w:rsidRDefault="00BD3344" w:rsidP="00E24443">
            <w:pPr>
              <w:rPr>
                <w:rFonts w:ascii="Arial" w:hAnsi="Arial"/>
                <w:sz w:val="20"/>
              </w:rPr>
            </w:pPr>
          </w:p>
          <w:p w:rsidR="00BD3344" w:rsidRDefault="00BD3344" w:rsidP="00E24443">
            <w:pPr>
              <w:rPr>
                <w:rFonts w:ascii="Arial" w:hAnsi="Arial"/>
                <w:sz w:val="20"/>
              </w:rPr>
            </w:pPr>
          </w:p>
          <w:p w:rsidR="00BD3344" w:rsidRPr="00E57743" w:rsidRDefault="00BD3344" w:rsidP="00E24443">
            <w:pPr>
              <w:rPr>
                <w:rFonts w:ascii="Arial" w:hAnsi="Arial"/>
                <w:sz w:val="20"/>
              </w:rPr>
            </w:pPr>
            <w:r>
              <w:rPr>
                <w:rFonts w:ascii="Arial" w:hAnsi="Arial"/>
                <w:sz w:val="20"/>
              </w:rPr>
              <w:lastRenderedPageBreak/>
              <w:t>Genzyme clinical research website</w:t>
            </w:r>
          </w:p>
          <w:p w:rsidR="00BD3344" w:rsidRPr="00E57743" w:rsidRDefault="00BD3344" w:rsidP="00E24443">
            <w:pPr>
              <w:rPr>
                <w:rFonts w:ascii="Arial" w:hAnsi="Arial"/>
                <w:sz w:val="20"/>
              </w:rPr>
            </w:pPr>
          </w:p>
        </w:tc>
      </w:tr>
      <w:tr w:rsidR="00BD3344" w:rsidTr="00E24443">
        <w:tc>
          <w:tcPr>
            <w:tcW w:w="9180" w:type="dxa"/>
            <w:gridSpan w:val="3"/>
            <w:vAlign w:val="center"/>
          </w:tcPr>
          <w:p w:rsidR="00BD3344" w:rsidRDefault="00BD3344" w:rsidP="00E24443">
            <w:pPr>
              <w:rPr>
                <w:rFonts w:ascii="Arial" w:hAnsi="Arial"/>
                <w:sz w:val="20"/>
              </w:rPr>
            </w:pPr>
            <w:r>
              <w:rPr>
                <w:rFonts w:ascii="Arial" w:hAnsi="Arial"/>
                <w:b/>
                <w:sz w:val="20"/>
              </w:rPr>
              <w:lastRenderedPageBreak/>
              <w:t>Imiglucerase non-randomised studies</w:t>
            </w:r>
          </w:p>
        </w:tc>
      </w:tr>
      <w:tr w:rsidR="00BD3344" w:rsidTr="00E24443">
        <w:tc>
          <w:tcPr>
            <w:tcW w:w="1456" w:type="dxa"/>
          </w:tcPr>
          <w:p w:rsidR="00BD3344" w:rsidRDefault="00BD3344" w:rsidP="00E24443">
            <w:pPr>
              <w:rPr>
                <w:rFonts w:ascii="Arial" w:hAnsi="Arial"/>
                <w:sz w:val="20"/>
              </w:rPr>
            </w:pPr>
            <w:r>
              <w:rPr>
                <w:rFonts w:ascii="Arial" w:hAnsi="Arial"/>
                <w:sz w:val="20"/>
              </w:rPr>
              <w:t>Sims et al</w:t>
            </w:r>
          </w:p>
          <w:p w:rsidR="00BD3344" w:rsidRDefault="00BD3344" w:rsidP="00E24443">
            <w:pPr>
              <w:rPr>
                <w:rFonts w:ascii="Arial" w:hAnsi="Arial"/>
                <w:sz w:val="20"/>
              </w:rPr>
            </w:pPr>
            <w:r>
              <w:rPr>
                <w:rFonts w:ascii="Arial" w:hAnsi="Arial"/>
                <w:sz w:val="20"/>
              </w:rPr>
              <w:t>(2008)</w:t>
            </w:r>
          </w:p>
        </w:tc>
        <w:tc>
          <w:tcPr>
            <w:tcW w:w="5204" w:type="dxa"/>
          </w:tcPr>
          <w:p w:rsidR="00BD3344" w:rsidRPr="00E57743" w:rsidRDefault="00BD3344" w:rsidP="00E24443">
            <w:pPr>
              <w:rPr>
                <w:rFonts w:ascii="Arial" w:hAnsi="Arial"/>
                <w:sz w:val="20"/>
              </w:rPr>
            </w:pPr>
            <w:proofErr w:type="gramStart"/>
            <w:r w:rsidRPr="00FE7029">
              <w:rPr>
                <w:rFonts w:ascii="Arial" w:hAnsi="Arial"/>
                <w:sz w:val="20"/>
              </w:rPr>
              <w:t>Improvement of bone disease by imiglucerase (Cerezyme) therapy in patients with skeletal manifestations of type 1 Gaucher disease: results of a 48-month longitudinal cohort trial.</w:t>
            </w:r>
            <w:proofErr w:type="gramEnd"/>
            <w:r w:rsidRPr="00FE7029">
              <w:rPr>
                <w:rFonts w:ascii="Arial" w:hAnsi="Arial"/>
                <w:sz w:val="20"/>
              </w:rPr>
              <w:t xml:space="preserve"> </w:t>
            </w:r>
          </w:p>
        </w:tc>
        <w:tc>
          <w:tcPr>
            <w:tcW w:w="2520" w:type="dxa"/>
          </w:tcPr>
          <w:p w:rsidR="00BD3344" w:rsidRPr="00E57743" w:rsidRDefault="00BD3344" w:rsidP="00E24443">
            <w:pPr>
              <w:rPr>
                <w:rFonts w:ascii="Arial" w:hAnsi="Arial"/>
                <w:sz w:val="20"/>
              </w:rPr>
            </w:pPr>
            <w:r>
              <w:rPr>
                <w:rFonts w:ascii="Arial" w:hAnsi="Arial"/>
                <w:sz w:val="20"/>
              </w:rPr>
              <w:t>Clinical Genetics 73:</w:t>
            </w:r>
            <w:r w:rsidRPr="00FE7029">
              <w:rPr>
                <w:rFonts w:ascii="Arial" w:hAnsi="Arial"/>
                <w:sz w:val="20"/>
              </w:rPr>
              <w:t xml:space="preserve"> 430-440</w:t>
            </w:r>
          </w:p>
        </w:tc>
      </w:tr>
      <w:tr w:rsidR="00BD3344" w:rsidTr="00E24443">
        <w:tc>
          <w:tcPr>
            <w:tcW w:w="9180" w:type="dxa"/>
            <w:gridSpan w:val="3"/>
            <w:vAlign w:val="center"/>
          </w:tcPr>
          <w:p w:rsidR="00BD3344" w:rsidRPr="005B5F2F" w:rsidRDefault="00BD3344" w:rsidP="00E24443">
            <w:pPr>
              <w:rPr>
                <w:rFonts w:ascii="Arial" w:hAnsi="Arial"/>
                <w:b/>
                <w:sz w:val="20"/>
              </w:rPr>
            </w:pPr>
            <w:r w:rsidRPr="005B5F2F">
              <w:rPr>
                <w:rFonts w:ascii="Arial" w:hAnsi="Arial"/>
                <w:b/>
                <w:sz w:val="20"/>
              </w:rPr>
              <w:t>Systematic review</w:t>
            </w:r>
          </w:p>
        </w:tc>
      </w:tr>
      <w:tr w:rsidR="00BD3344" w:rsidTr="00E24443">
        <w:tc>
          <w:tcPr>
            <w:tcW w:w="1456" w:type="dxa"/>
            <w:vAlign w:val="center"/>
          </w:tcPr>
          <w:p w:rsidR="00BD3344" w:rsidRDefault="00BD3344" w:rsidP="00E24443">
            <w:pPr>
              <w:rPr>
                <w:rFonts w:ascii="Arial" w:hAnsi="Arial"/>
                <w:sz w:val="20"/>
              </w:rPr>
            </w:pPr>
            <w:r>
              <w:rPr>
                <w:rFonts w:ascii="Arial" w:hAnsi="Arial"/>
                <w:sz w:val="20"/>
              </w:rPr>
              <w:t>Connock (2006)</w:t>
            </w:r>
          </w:p>
        </w:tc>
        <w:tc>
          <w:tcPr>
            <w:tcW w:w="5204" w:type="dxa"/>
          </w:tcPr>
          <w:p w:rsidR="00BD3344" w:rsidRPr="005B5F2F" w:rsidRDefault="00BD3344" w:rsidP="00E24443">
            <w:pPr>
              <w:rPr>
                <w:rFonts w:ascii="Arial" w:hAnsi="Arial"/>
                <w:sz w:val="20"/>
              </w:rPr>
            </w:pPr>
            <w:proofErr w:type="gramStart"/>
            <w:r>
              <w:rPr>
                <w:rFonts w:ascii="Arial" w:hAnsi="Arial"/>
                <w:sz w:val="20"/>
              </w:rPr>
              <w:t>Connock et al (2006).</w:t>
            </w:r>
            <w:proofErr w:type="gramEnd"/>
            <w:r>
              <w:rPr>
                <w:rFonts w:ascii="Arial" w:hAnsi="Arial"/>
                <w:sz w:val="20"/>
              </w:rPr>
              <w:t xml:space="preserve"> </w:t>
            </w:r>
            <w:r w:rsidRPr="005B5F2F">
              <w:rPr>
                <w:rFonts w:ascii="Arial" w:hAnsi="Arial"/>
                <w:sz w:val="20"/>
              </w:rPr>
              <w:t>The clinical effectiveness and</w:t>
            </w:r>
          </w:p>
          <w:p w:rsidR="00BD3344" w:rsidRPr="00FE7029" w:rsidRDefault="00BD3344" w:rsidP="00E24443">
            <w:pPr>
              <w:rPr>
                <w:rFonts w:ascii="Arial" w:hAnsi="Arial"/>
                <w:sz w:val="20"/>
              </w:rPr>
            </w:pPr>
            <w:r>
              <w:rPr>
                <w:rFonts w:ascii="Arial" w:hAnsi="Arial"/>
                <w:sz w:val="20"/>
              </w:rPr>
              <w:t xml:space="preserve">cost-effectiveness of enzyme </w:t>
            </w:r>
            <w:r w:rsidRPr="005B5F2F">
              <w:rPr>
                <w:rFonts w:ascii="Arial" w:hAnsi="Arial"/>
                <w:sz w:val="20"/>
              </w:rPr>
              <w:t>replacement therapy for Gaucher’s</w:t>
            </w:r>
            <w:r>
              <w:rPr>
                <w:rFonts w:ascii="Arial" w:hAnsi="Arial"/>
                <w:sz w:val="20"/>
              </w:rPr>
              <w:t xml:space="preserve"> </w:t>
            </w:r>
            <w:r w:rsidRPr="005B5F2F">
              <w:rPr>
                <w:rFonts w:ascii="Arial" w:hAnsi="Arial"/>
                <w:sz w:val="20"/>
              </w:rPr>
              <w:t>disease: a systematic review</w:t>
            </w:r>
          </w:p>
        </w:tc>
        <w:tc>
          <w:tcPr>
            <w:tcW w:w="2520" w:type="dxa"/>
          </w:tcPr>
          <w:p w:rsidR="00BD3344" w:rsidRDefault="00BD3344" w:rsidP="00E24443">
            <w:pPr>
              <w:rPr>
                <w:rFonts w:ascii="Arial" w:hAnsi="Arial"/>
                <w:sz w:val="20"/>
              </w:rPr>
            </w:pPr>
            <w:r w:rsidRPr="005B5F2F">
              <w:rPr>
                <w:rFonts w:ascii="Arial" w:hAnsi="Arial"/>
                <w:sz w:val="20"/>
              </w:rPr>
              <w:t>Hea</w:t>
            </w:r>
            <w:r>
              <w:rPr>
                <w:rFonts w:ascii="Arial" w:hAnsi="Arial"/>
                <w:sz w:val="20"/>
              </w:rPr>
              <w:t xml:space="preserve">lth Technology Assessment 10: No. </w:t>
            </w:r>
            <w:r w:rsidRPr="005B5F2F">
              <w:rPr>
                <w:rFonts w:ascii="Arial" w:hAnsi="Arial"/>
                <w:sz w:val="20"/>
              </w:rPr>
              <w:t>24</w:t>
            </w:r>
          </w:p>
        </w:tc>
      </w:tr>
    </w:tbl>
    <w:p w:rsidR="00BD3344" w:rsidRPr="00D84E14" w:rsidRDefault="00BD3344" w:rsidP="00BD3344">
      <w:pPr>
        <w:rPr>
          <w:rFonts w:ascii="Arial" w:hAnsi="Arial"/>
          <w:i/>
          <w:sz w:val="20"/>
        </w:rPr>
      </w:pPr>
      <w:r w:rsidRPr="00D84E14">
        <w:rPr>
          <w:rFonts w:ascii="Arial" w:hAnsi="Arial"/>
          <w:i/>
          <w:sz w:val="20"/>
        </w:rPr>
        <w:t xml:space="preserve">Note: </w:t>
      </w:r>
      <w:r>
        <w:rPr>
          <w:rFonts w:ascii="Arial" w:hAnsi="Arial"/>
          <w:i/>
          <w:sz w:val="20"/>
        </w:rPr>
        <w:t>the publication by Zim</w:t>
      </w:r>
      <w:r w:rsidRPr="00D84E14">
        <w:rPr>
          <w:rFonts w:ascii="Arial" w:hAnsi="Arial"/>
          <w:i/>
          <w:sz w:val="20"/>
        </w:rPr>
        <w:t xml:space="preserve">ran et al (2011) </w:t>
      </w:r>
      <w:proofErr w:type="gramStart"/>
      <w:r w:rsidRPr="00D84E14">
        <w:rPr>
          <w:rFonts w:ascii="Arial" w:hAnsi="Arial"/>
          <w:i/>
          <w:sz w:val="20"/>
        </w:rPr>
        <w:t>was identified</w:t>
      </w:r>
      <w:proofErr w:type="gramEnd"/>
      <w:r w:rsidRPr="00D84E14">
        <w:rPr>
          <w:rFonts w:ascii="Arial" w:hAnsi="Arial"/>
          <w:i/>
          <w:sz w:val="20"/>
        </w:rPr>
        <w:t xml:space="preserve"> during the evaluation</w:t>
      </w:r>
    </w:p>
    <w:p w:rsidR="00BD3344" w:rsidRPr="008C499D" w:rsidRDefault="00BD3344" w:rsidP="00BD3344"/>
    <w:p w:rsidR="00BD3344" w:rsidRPr="00B6189B" w:rsidRDefault="00BD3344" w:rsidP="00BD3344">
      <w:pPr>
        <w:rPr>
          <w:b/>
          <w:color w:val="FF00FF"/>
        </w:rPr>
      </w:pPr>
      <w:proofErr w:type="gramStart"/>
      <w:r w:rsidRPr="00B6189B">
        <w:t xml:space="preserve">The PBAC noted that the submission excluded Trial NCT00553631 </w:t>
      </w:r>
      <w:r w:rsidR="00DA3A5A">
        <w:t>– (A Multicentre, R</w:t>
      </w:r>
      <w:r w:rsidR="00B6189B">
        <w:t xml:space="preserve">andomised, </w:t>
      </w:r>
      <w:r w:rsidR="00DA3A5A">
        <w:t>D</w:t>
      </w:r>
      <w:r w:rsidR="00B6189B">
        <w:t>ouble-</w:t>
      </w:r>
      <w:r w:rsidR="00DA3A5A">
        <w:t>B</w:t>
      </w:r>
      <w:r w:rsidR="00B6189B">
        <w:t xml:space="preserve">lind, </w:t>
      </w:r>
      <w:r w:rsidR="00DA3A5A">
        <w:t>P</w:t>
      </w:r>
      <w:r w:rsidR="00B6189B">
        <w:t xml:space="preserve">arallel </w:t>
      </w:r>
      <w:r w:rsidR="00DA3A5A">
        <w:t>G</w:t>
      </w:r>
      <w:r w:rsidR="00B6189B">
        <w:t xml:space="preserve">roup </w:t>
      </w:r>
      <w:r w:rsidR="00DA3A5A">
        <w:t>S</w:t>
      </w:r>
      <w:r w:rsidR="00B6189B">
        <w:t xml:space="preserve">tudy of Gene Activated Human Glucocerebrosidase (GA-GCB) Enzyme Replacement Therapy </w:t>
      </w:r>
      <w:r w:rsidR="00DA3A5A">
        <w:t>C</w:t>
      </w:r>
      <w:r w:rsidR="00B6189B">
        <w:t xml:space="preserve">ompared with </w:t>
      </w:r>
      <w:r w:rsidR="00DA3A5A">
        <w:t>I</w:t>
      </w:r>
      <w:r w:rsidR="00B6189B">
        <w:t xml:space="preserve">miglucerase in </w:t>
      </w:r>
      <w:r w:rsidR="00DA3A5A">
        <w:t>P</w:t>
      </w:r>
      <w:r w:rsidR="00B6189B">
        <w:t xml:space="preserve">atients with Type </w:t>
      </w:r>
      <w:r w:rsidR="00DA3A5A">
        <w:t>1</w:t>
      </w:r>
      <w:r w:rsidR="00B6189B">
        <w:t xml:space="preserve"> </w:t>
      </w:r>
      <w:proofErr w:type="spellStart"/>
      <w:r w:rsidR="00B6189B">
        <w:t>Gaucher</w:t>
      </w:r>
      <w:proofErr w:type="spellEnd"/>
      <w:r w:rsidR="00B6189B">
        <w:t xml:space="preserve"> </w:t>
      </w:r>
      <w:r w:rsidR="00DA3A5A">
        <w:t>D</w:t>
      </w:r>
      <w:r w:rsidR="00B6189B">
        <w:t xml:space="preserve">isease – </w:t>
      </w:r>
      <w:hyperlink r:id="rId8" w:history="1">
        <w:r w:rsidR="00DA3A5A" w:rsidRPr="00ED1FD4">
          <w:rPr>
            <w:rStyle w:val="Hyperlink"/>
          </w:rPr>
          <w:t>www.clinicaltrials.gov</w:t>
        </w:r>
      </w:hyperlink>
      <w:r w:rsidR="00DA3A5A">
        <w:t xml:space="preserve"> (</w:t>
      </w:r>
      <w:r w:rsidR="00DA3A5A" w:rsidRPr="00B6189B">
        <w:t>also known as HGT-039</w:t>
      </w:r>
      <w:r w:rsidR="00DA3A5A">
        <w:t>)</w:t>
      </w:r>
      <w:r w:rsidRPr="00B6189B">
        <w:t>) from the analysis based on the data being unpublished, however the results were available during the evaluation and as this was considered a key study for the comparison of taliglucerase alfa to imiglucerase, the results were included in the evaluation.</w:t>
      </w:r>
      <w:proofErr w:type="gramEnd"/>
    </w:p>
    <w:p w:rsidR="00BD3344" w:rsidRPr="00B6189B" w:rsidRDefault="00BD3344" w:rsidP="00BD3344"/>
    <w:p w:rsidR="00BD3344" w:rsidRPr="00B6189B" w:rsidRDefault="00BD3344" w:rsidP="00BD3344">
      <w:pPr>
        <w:outlineLvl w:val="0"/>
        <w:rPr>
          <w:i/>
        </w:rPr>
      </w:pPr>
      <w:r w:rsidRPr="00B6189B">
        <w:rPr>
          <w:i/>
        </w:rPr>
        <w:t>For PBAC’s view, see Recommendation and Reasons</w:t>
      </w:r>
    </w:p>
    <w:p w:rsidR="00BD3344" w:rsidRDefault="00BD3344" w:rsidP="00BD3344">
      <w:pPr>
        <w:tabs>
          <w:tab w:val="left" w:pos="567"/>
        </w:tabs>
        <w:rPr>
          <w:b/>
          <w:bCs/>
        </w:rPr>
      </w:pPr>
    </w:p>
    <w:p w:rsidR="002A57B9" w:rsidRDefault="003D177A" w:rsidP="00BD3344">
      <w:pPr>
        <w:tabs>
          <w:tab w:val="left" w:pos="567"/>
        </w:tabs>
        <w:rPr>
          <w:b/>
          <w:bCs/>
        </w:rPr>
      </w:pPr>
      <w:r>
        <w:rPr>
          <w:b/>
          <w:bCs/>
        </w:rPr>
        <w:t>8.</w:t>
      </w:r>
      <w:r>
        <w:rPr>
          <w:b/>
          <w:bCs/>
        </w:rPr>
        <w:tab/>
      </w:r>
      <w:r w:rsidR="002A57B9" w:rsidRPr="00746E3F">
        <w:rPr>
          <w:b/>
          <w:bCs/>
        </w:rPr>
        <w:t>Results of Trials</w:t>
      </w:r>
    </w:p>
    <w:p w:rsidR="00BD3344" w:rsidRPr="00B6189B" w:rsidRDefault="00B6189B" w:rsidP="00BD3344">
      <w:r>
        <w:t>F</w:t>
      </w:r>
      <w:r w:rsidR="00BD3344" w:rsidRPr="00ED7158">
        <w:t>or four key outcomes</w:t>
      </w:r>
      <w:r>
        <w:t xml:space="preserve"> of</w:t>
      </w:r>
      <w:r w:rsidR="00BD3344" w:rsidRPr="00ED7158">
        <w:t xml:space="preserve"> </w:t>
      </w:r>
      <w:r w:rsidR="00DA3A5A">
        <w:t>percentage</w:t>
      </w:r>
      <w:r w:rsidR="00BD3344" w:rsidRPr="00ED7158">
        <w:t xml:space="preserve"> reduction in spleen a</w:t>
      </w:r>
      <w:r w:rsidR="00BD3344">
        <w:t>nd liver volumes, increases (g/dL) in haemoglobin</w:t>
      </w:r>
      <w:r w:rsidR="00BD3344" w:rsidRPr="00ED7158">
        <w:t xml:space="preserve"> concentration and improvements in platelet counts</w:t>
      </w:r>
      <w:r w:rsidR="00BD3344">
        <w:t xml:space="preserve"> (x10</w:t>
      </w:r>
      <w:r w:rsidR="00BD3344" w:rsidRPr="00ED7158">
        <w:rPr>
          <w:vertAlign w:val="superscript"/>
        </w:rPr>
        <w:t>9</w:t>
      </w:r>
      <w:r w:rsidR="00BD3344">
        <w:t>/L)</w:t>
      </w:r>
      <w:r>
        <w:t>, t</w:t>
      </w:r>
      <w:r w:rsidR="00BD3344" w:rsidRPr="000327D7">
        <w:t xml:space="preserve">he results </w:t>
      </w:r>
      <w:r>
        <w:t xml:space="preserve">for mean change from baseline to 9 months </w:t>
      </w:r>
      <w:r w:rsidR="00BD3344" w:rsidRPr="000327D7">
        <w:t>suggest</w:t>
      </w:r>
      <w:r w:rsidR="00BD3344">
        <w:t>ed</w:t>
      </w:r>
      <w:r w:rsidR="00BD3344" w:rsidRPr="000327D7">
        <w:t xml:space="preserve"> comparable improvements in spleen volume, haemoglobin concentration and platelet counts between taliglucerase and imiglucerase. Reductions in liver volume were larger for </w:t>
      </w:r>
      <w:r w:rsidR="00BD3344" w:rsidRPr="00B6189B">
        <w:t>imiglucerase than taliglucerase alfa. The results from the HGT-039 trial showed reductions in spleen volume of around 55% for imiglucerase and reductions of liver volume around 25-30%.</w:t>
      </w:r>
    </w:p>
    <w:p w:rsidR="00BD3344" w:rsidRPr="008C3701" w:rsidRDefault="00BD3344" w:rsidP="00BD3344"/>
    <w:p w:rsidR="00BD3344" w:rsidRPr="00B6189B" w:rsidRDefault="00BD3344" w:rsidP="00BD3344">
      <w:r w:rsidRPr="00B6189B">
        <w:t xml:space="preserve">While the PB-06-001 trial demonstrated that both </w:t>
      </w:r>
      <w:proofErr w:type="gramStart"/>
      <w:r w:rsidRPr="00B6189B">
        <w:t>taliglucerase alfa treatment arms</w:t>
      </w:r>
      <w:proofErr w:type="gramEnd"/>
      <w:r w:rsidRPr="00B6189B">
        <w:t xml:space="preserve"> were associated with improvements in disease burden measures, the results were generally better with 60 U/kg dose compared to 30 U/kg dose.</w:t>
      </w:r>
    </w:p>
    <w:p w:rsidR="00BD3344" w:rsidRPr="008C3701" w:rsidRDefault="00BD3344" w:rsidP="00BD3344"/>
    <w:p w:rsidR="00BD3344" w:rsidRPr="008C3701" w:rsidRDefault="00BD3344" w:rsidP="00BD3344">
      <w:r w:rsidRPr="008C3701">
        <w:t xml:space="preserve">Responder analyses </w:t>
      </w:r>
      <w:proofErr w:type="gramStart"/>
      <w:r w:rsidRPr="008C3701">
        <w:t>were conducted</w:t>
      </w:r>
      <w:proofErr w:type="gramEnd"/>
      <w:r w:rsidRPr="008C3701">
        <w:t xml:space="preserve"> during the evaluation. </w:t>
      </w:r>
      <w:r w:rsidR="00DA3A5A">
        <w:t xml:space="preserve"> </w:t>
      </w:r>
      <w:r w:rsidRPr="008C3701">
        <w:t>The results suggest</w:t>
      </w:r>
      <w:r>
        <w:t>ed</w:t>
      </w:r>
      <w:r w:rsidRPr="008C3701">
        <w:t xml:space="preserve"> similar levels of response between taliglucerase alfa and imiglucerase in spleen volume, haemoglobin concentration and platelet counts. </w:t>
      </w:r>
      <w:r w:rsidRPr="00B6189B">
        <w:t xml:space="preserve">Comparability of response rates was hampered by the substantially different estimates of treatment effect in the </w:t>
      </w:r>
      <w:proofErr w:type="gramStart"/>
      <w:r w:rsidRPr="00B6189B">
        <w:t>two imiglucerase</w:t>
      </w:r>
      <w:proofErr w:type="gramEnd"/>
      <w:r w:rsidRPr="00B6189B">
        <w:t xml:space="preserve"> studies</w:t>
      </w:r>
      <w:r w:rsidR="00B6189B">
        <w:t>.</w:t>
      </w:r>
    </w:p>
    <w:p w:rsidR="00BD3344" w:rsidRDefault="00BD3344" w:rsidP="00BD3344"/>
    <w:p w:rsidR="00BD3344" w:rsidRPr="00BD3344" w:rsidRDefault="00BD3344" w:rsidP="00BD3344">
      <w:pPr>
        <w:rPr>
          <w:strike/>
        </w:rPr>
      </w:pPr>
      <w:r w:rsidRPr="00DA4C26">
        <w:t>The results of study PB-06-002 suggested that for most patients, following switching to taliglucerase alfa, mean spleen volume, mean haemoglobin concentration, mean liver volume and mean platelet counts all remained stable over the course of 9 months.</w:t>
      </w:r>
    </w:p>
    <w:p w:rsidR="00BD3344" w:rsidRPr="00BD3344" w:rsidRDefault="00BD3344" w:rsidP="00BD3344">
      <w:pPr>
        <w:rPr>
          <w:strike/>
        </w:rPr>
      </w:pPr>
    </w:p>
    <w:p w:rsidR="00BD3344" w:rsidRPr="00DA4C26" w:rsidRDefault="00BD3344" w:rsidP="00BD3344">
      <w:r w:rsidRPr="00DA4C26">
        <w:lastRenderedPageBreak/>
        <w:t>The results of the extension study PB-06-003, suggested that mean spleen volume, mean haemoglobin concentration, mean liver volume and mean platelet counts remain stable or continue to improve with ongoing taliglucerase alfa treatment over two years.</w:t>
      </w:r>
    </w:p>
    <w:p w:rsidR="00BD3344" w:rsidRDefault="00BD3344" w:rsidP="00BD3344"/>
    <w:p w:rsidR="003A667B" w:rsidRPr="00DA4C26" w:rsidRDefault="003A667B" w:rsidP="003A667B">
      <w:pPr>
        <w:outlineLvl w:val="0"/>
        <w:rPr>
          <w:i/>
        </w:rPr>
      </w:pPr>
      <w:r w:rsidRPr="00DA4C26">
        <w:rPr>
          <w:i/>
        </w:rPr>
        <w:t>For PBAC’s view, see Recommendation and Reasons</w:t>
      </w:r>
    </w:p>
    <w:p w:rsidR="003A667B" w:rsidRDefault="003A667B" w:rsidP="00BD3344">
      <w:pPr>
        <w:rPr>
          <w:b/>
          <w:i/>
        </w:rPr>
      </w:pPr>
    </w:p>
    <w:p w:rsidR="00BD3344" w:rsidRPr="00BE6AE1" w:rsidRDefault="00BD3344" w:rsidP="00BD3344">
      <w:pPr>
        <w:rPr>
          <w:b/>
        </w:rPr>
      </w:pPr>
      <w:r w:rsidRPr="00BE6AE1">
        <w:t>T</w:t>
      </w:r>
      <w:r>
        <w:t xml:space="preserve">he most frequently reported adverse events in the included taliglucerase studies were headache, pruritis, hypersensitivity, throat irritation, infusion-related reaction, erythema and flushing. Approximately 5% of patients (5/121) </w:t>
      </w:r>
      <w:r w:rsidR="006B4658">
        <w:t>discontinued treatment</w:t>
      </w:r>
      <w:r>
        <w:t xml:space="preserve"> due to an adverse event </w:t>
      </w:r>
      <w:r w:rsidRPr="00BE6AE1">
        <w:t>(primarily hypersensitivity/allergic reactions).</w:t>
      </w:r>
    </w:p>
    <w:p w:rsidR="00BD3344" w:rsidRPr="001601A6" w:rsidRDefault="00BD3344" w:rsidP="00BD3344">
      <w:pPr>
        <w:rPr>
          <w:sz w:val="16"/>
          <w:szCs w:val="16"/>
        </w:rPr>
      </w:pPr>
      <w:r>
        <w:rPr>
          <w:sz w:val="16"/>
          <w:szCs w:val="16"/>
        </w:rPr>
        <w:t xml:space="preserve"> </w:t>
      </w:r>
    </w:p>
    <w:p w:rsidR="00BD3344" w:rsidRPr="008C3701" w:rsidRDefault="00BD3344" w:rsidP="00BD3344">
      <w:r>
        <w:t xml:space="preserve">The PBAC noted that enzyme replacement therapy for </w:t>
      </w:r>
      <w:proofErr w:type="gramStart"/>
      <w:r>
        <w:t>Gaucher</w:t>
      </w:r>
      <w:proofErr w:type="gramEnd"/>
      <w:r>
        <w:t xml:space="preserve"> disease may be associated with the development of IgG antibodies, </w:t>
      </w:r>
      <w:r w:rsidRPr="008C3701">
        <w:t>although the clinical importance of this outcome is unclear. Results from trial HGT-039 suggest</w:t>
      </w:r>
      <w:r>
        <w:t>ed</w:t>
      </w:r>
      <w:r w:rsidRPr="008C3701">
        <w:t xml:space="preserve"> that there </w:t>
      </w:r>
      <w:proofErr w:type="gramStart"/>
      <w:r w:rsidRPr="008C3701">
        <w:t>may</w:t>
      </w:r>
      <w:proofErr w:type="gramEnd"/>
      <w:r w:rsidRPr="008C3701">
        <w:t xml:space="preserve"> be cross-reactivity between imiglucerase and velaglucerase antibodies. This may mean that some patients who have sensitivity issues to imiglucerase could also have sensitivity issues with velaglucerase alfa and vice versa. It is unclear whether there is any cross-reactivity between imiglucerase and taliglucerase alfa antibodies.</w:t>
      </w:r>
    </w:p>
    <w:p w:rsidR="00BD3344" w:rsidRDefault="00BD3344" w:rsidP="00BD3344"/>
    <w:p w:rsidR="00BD3344" w:rsidRDefault="00BD3344" w:rsidP="00BD3344">
      <w:r>
        <w:t xml:space="preserve">No Periodic Safety Update Report (PSUR) for taliglucerase alfa was available, as the treatment is yet to </w:t>
      </w:r>
      <w:proofErr w:type="gramStart"/>
      <w:r>
        <w:t>be approved</w:t>
      </w:r>
      <w:proofErr w:type="gramEnd"/>
      <w:r>
        <w:t xml:space="preserve"> for use in any country.</w:t>
      </w:r>
    </w:p>
    <w:p w:rsidR="00DA4C26" w:rsidRDefault="00DA4C26" w:rsidP="00DA4C26">
      <w:pPr>
        <w:outlineLvl w:val="0"/>
        <w:rPr>
          <w:i/>
          <w:color w:val="3366FF"/>
        </w:rPr>
      </w:pPr>
    </w:p>
    <w:p w:rsidR="00DA4C26" w:rsidRPr="00DA4C26" w:rsidRDefault="00DA4C26" w:rsidP="00DA4C26">
      <w:pPr>
        <w:outlineLvl w:val="0"/>
        <w:rPr>
          <w:i/>
        </w:rPr>
      </w:pPr>
      <w:r w:rsidRPr="00DA4C26">
        <w:rPr>
          <w:i/>
        </w:rPr>
        <w:t>For PBAC’s view, see Recommendation and Reasons</w:t>
      </w:r>
    </w:p>
    <w:p w:rsidR="002C0C3A" w:rsidRDefault="002C0C3A"/>
    <w:p w:rsidR="002A57B9" w:rsidRDefault="002A57B9" w:rsidP="002A57B9">
      <w:pPr>
        <w:rPr>
          <w:b/>
          <w:bCs/>
        </w:rPr>
      </w:pPr>
      <w:r w:rsidRPr="00746E3F">
        <w:rPr>
          <w:b/>
          <w:bCs/>
        </w:rPr>
        <w:t>9.</w:t>
      </w:r>
      <w:r w:rsidRPr="00746E3F">
        <w:rPr>
          <w:b/>
          <w:bCs/>
        </w:rPr>
        <w:tab/>
        <w:t>Clinical Claim</w:t>
      </w:r>
    </w:p>
    <w:p w:rsidR="00BD3344" w:rsidRDefault="00BD3344" w:rsidP="00BD3344">
      <w:r>
        <w:t xml:space="preserve">The submission described taliglucerase alfa as similar to imiglucerase in terms of comparative efficacy. The submission did not make a specific claim related to the comparative safety of treatments due to the limited body of evidence available. </w:t>
      </w:r>
    </w:p>
    <w:p w:rsidR="00BD3344" w:rsidRDefault="00BD3344" w:rsidP="00BD3344">
      <w:pPr>
        <w:rPr>
          <w:strike/>
        </w:rPr>
      </w:pPr>
    </w:p>
    <w:p w:rsidR="003A667B" w:rsidRPr="00DA4C26" w:rsidRDefault="003A667B" w:rsidP="003A667B">
      <w:pPr>
        <w:outlineLvl w:val="0"/>
        <w:rPr>
          <w:i/>
        </w:rPr>
      </w:pPr>
      <w:r w:rsidRPr="00DA4C26">
        <w:rPr>
          <w:i/>
        </w:rPr>
        <w:t>For PBAC’s view, see Recommendation and Reasons</w:t>
      </w:r>
    </w:p>
    <w:p w:rsidR="003D43DE" w:rsidRDefault="003D43DE"/>
    <w:p w:rsidR="002A57B9" w:rsidRPr="00746E3F" w:rsidRDefault="002A57B9" w:rsidP="002A57B9">
      <w:pPr>
        <w:rPr>
          <w:b/>
          <w:bCs/>
        </w:rPr>
      </w:pPr>
      <w:r w:rsidRPr="00746E3F">
        <w:rPr>
          <w:b/>
          <w:bCs/>
        </w:rPr>
        <w:t>10.</w:t>
      </w:r>
      <w:r w:rsidRPr="00746E3F">
        <w:rPr>
          <w:b/>
          <w:bCs/>
        </w:rPr>
        <w:tab/>
        <w:t>Economic Analysis</w:t>
      </w:r>
    </w:p>
    <w:p w:rsidR="00BD3344" w:rsidRDefault="00BD3344" w:rsidP="00BD3344">
      <w:pPr>
        <w:rPr>
          <w:rFonts w:ascii="Times New (W1)" w:hAnsi="Times New (W1)"/>
          <w:i/>
        </w:rPr>
      </w:pPr>
      <w:r>
        <w:rPr>
          <w:rFonts w:ascii="Times New (W1)" w:hAnsi="Times New (W1)"/>
        </w:rPr>
        <w:t xml:space="preserve">The submission presented a simple non-comparative cost-per-outcome analysis of taliglucerase alfa. </w:t>
      </w:r>
    </w:p>
    <w:p w:rsidR="00BD3344" w:rsidRPr="003A667B" w:rsidRDefault="00BD3344" w:rsidP="00BD3344">
      <w:pPr>
        <w:rPr>
          <w:rFonts w:ascii="Times New (W1)" w:hAnsi="Times New (W1)"/>
          <w:i/>
          <w:strike/>
        </w:rPr>
      </w:pPr>
    </w:p>
    <w:p w:rsidR="00BD3344" w:rsidRPr="00891177" w:rsidRDefault="00BD3344" w:rsidP="00BD3344">
      <w:pPr>
        <w:pStyle w:val="BodyText3"/>
        <w:jc w:val="left"/>
        <w:rPr>
          <w:color w:val="auto"/>
          <w:szCs w:val="24"/>
        </w:rPr>
      </w:pPr>
      <w:r w:rsidRPr="00891177">
        <w:rPr>
          <w:color w:val="auto"/>
          <w:szCs w:val="24"/>
        </w:rPr>
        <w:t>The cost per unit gained varied considerably across outcomes and patient populations. The results of the sensitivity analyses indicated that the economic evaluation was sensitive to uncertainty regarding dose, patient weight, magnitude of outcome change and the requested price of taliglucerase alfa.</w:t>
      </w:r>
    </w:p>
    <w:p w:rsidR="00BD3344" w:rsidRPr="00891177" w:rsidRDefault="00BD3344" w:rsidP="00BD3344">
      <w:pPr>
        <w:pStyle w:val="BodyText3"/>
        <w:jc w:val="left"/>
        <w:rPr>
          <w:color w:val="auto"/>
          <w:szCs w:val="24"/>
        </w:rPr>
      </w:pPr>
    </w:p>
    <w:p w:rsidR="00BD3344" w:rsidRPr="00891177" w:rsidRDefault="00BD3344" w:rsidP="00BD3344">
      <w:pPr>
        <w:pStyle w:val="BodyText3"/>
        <w:jc w:val="left"/>
        <w:rPr>
          <w:b/>
          <w:color w:val="auto"/>
          <w:szCs w:val="24"/>
        </w:rPr>
      </w:pPr>
      <w:r w:rsidRPr="00891177">
        <w:rPr>
          <w:color w:val="auto"/>
          <w:szCs w:val="24"/>
        </w:rPr>
        <w:t xml:space="preserve">Given the high cost of taliglucerase, the PBAC considered it unlikely that taliglucerase alfa </w:t>
      </w:r>
      <w:proofErr w:type="gramStart"/>
      <w:r w:rsidRPr="00891177">
        <w:rPr>
          <w:color w:val="auto"/>
          <w:szCs w:val="24"/>
        </w:rPr>
        <w:t>would be considered</w:t>
      </w:r>
      <w:proofErr w:type="gramEnd"/>
      <w:r w:rsidRPr="00891177">
        <w:rPr>
          <w:color w:val="auto"/>
          <w:szCs w:val="24"/>
        </w:rPr>
        <w:t xml:space="preserve"> cost-effective. </w:t>
      </w:r>
    </w:p>
    <w:p w:rsidR="003D43DE" w:rsidRDefault="003D43DE" w:rsidP="002A57B9"/>
    <w:p w:rsidR="00F628B6" w:rsidRPr="00125EE4" w:rsidRDefault="002A57B9" w:rsidP="002A57B9">
      <w:pPr>
        <w:rPr>
          <w:b/>
          <w:bCs/>
          <w:i/>
          <w:iCs/>
        </w:rPr>
      </w:pPr>
      <w:r w:rsidRPr="00746E3F">
        <w:rPr>
          <w:b/>
          <w:bCs/>
        </w:rPr>
        <w:t>11.</w:t>
      </w:r>
      <w:r w:rsidRPr="00746E3F">
        <w:rPr>
          <w:b/>
          <w:bCs/>
        </w:rPr>
        <w:tab/>
        <w:t>Estimated PBS Usage and Financial Implications</w:t>
      </w:r>
    </w:p>
    <w:p w:rsidR="00BD3344" w:rsidRDefault="00DA4C26" w:rsidP="00BD3344">
      <w:r>
        <w:t>The submission estimated a net cost saving to the PBS in year 5 of listing.</w:t>
      </w:r>
    </w:p>
    <w:p w:rsidR="00BD3344" w:rsidRDefault="00BD3344" w:rsidP="00BD3344"/>
    <w:p w:rsidR="00E24443" w:rsidRPr="00DA4C26" w:rsidRDefault="00E24443" w:rsidP="00E24443">
      <w:pPr>
        <w:outlineLvl w:val="0"/>
        <w:rPr>
          <w:i/>
        </w:rPr>
      </w:pPr>
      <w:r w:rsidRPr="00DA4C26">
        <w:rPr>
          <w:i/>
        </w:rPr>
        <w:t>For PBAC’s view, see Recommendation and Reasons</w:t>
      </w:r>
    </w:p>
    <w:p w:rsidR="00E24443" w:rsidRDefault="00E24443" w:rsidP="00BD3344"/>
    <w:p w:rsidR="002A57B9" w:rsidRPr="00746E3F" w:rsidRDefault="002A57B9" w:rsidP="002A57B9">
      <w:pPr>
        <w:rPr>
          <w:b/>
          <w:bCs/>
        </w:rPr>
      </w:pPr>
      <w:r w:rsidRPr="00746E3F">
        <w:rPr>
          <w:b/>
          <w:bCs/>
        </w:rPr>
        <w:t>12.</w:t>
      </w:r>
      <w:r w:rsidRPr="00746E3F">
        <w:rPr>
          <w:b/>
          <w:bCs/>
        </w:rPr>
        <w:tab/>
        <w:t>Recommendation and Reasons</w:t>
      </w:r>
    </w:p>
    <w:p w:rsidR="005A4D28" w:rsidRDefault="00BD3344" w:rsidP="00BD3344">
      <w:pPr>
        <w:contextualSpacing/>
      </w:pPr>
      <w:r w:rsidRPr="00C60504">
        <w:lastRenderedPageBreak/>
        <w:t xml:space="preserve">The PBAC noted that </w:t>
      </w:r>
      <w:r>
        <w:t xml:space="preserve">this submission </w:t>
      </w:r>
      <w:proofErr w:type="gramStart"/>
      <w:r>
        <w:t>is being considered</w:t>
      </w:r>
      <w:proofErr w:type="gramEnd"/>
      <w:r>
        <w:t xml:space="preserve"> under the </w:t>
      </w:r>
      <w:r w:rsidRPr="00040BED">
        <w:t>TGA/PBAC parallel process</w:t>
      </w:r>
      <w:r>
        <w:t xml:space="preserve"> and that </w:t>
      </w:r>
      <w:r w:rsidRPr="00C60504">
        <w:t>neither the TGA Clinical Evaluator’s Report nor the Delegate’s Summary had been received</w:t>
      </w:r>
      <w:r>
        <w:t xml:space="preserve">.  </w:t>
      </w:r>
      <w:r w:rsidRPr="00C60504">
        <w:t xml:space="preserve"> </w:t>
      </w:r>
      <w:r>
        <w:t>The PBAC considered</w:t>
      </w:r>
      <w:r w:rsidRPr="00C60504">
        <w:t xml:space="preserve"> that these documents would have </w:t>
      </w:r>
      <w:r>
        <w:t>informed the discussion</w:t>
      </w:r>
      <w:r w:rsidRPr="00C60504">
        <w:t xml:space="preserve"> </w:t>
      </w:r>
      <w:r>
        <w:t>regarding uncertainties about the clinical place of taliglucerase alfa, in terms of treatment of patients outside of Type 1 Gaucher disease,</w:t>
      </w:r>
      <w:r w:rsidRPr="00C60504">
        <w:t xml:space="preserve"> </w:t>
      </w:r>
      <w:r>
        <w:t xml:space="preserve">and the clinical </w:t>
      </w:r>
      <w:r w:rsidRPr="00C60504">
        <w:t>effectiveness and safety</w:t>
      </w:r>
      <w:r>
        <w:t xml:space="preserve"> of </w:t>
      </w:r>
      <w:proofErr w:type="spellStart"/>
      <w:r>
        <w:t>taliglucerase</w:t>
      </w:r>
      <w:proofErr w:type="spellEnd"/>
      <w:r>
        <w:t xml:space="preserve"> </w:t>
      </w:r>
      <w:proofErr w:type="spellStart"/>
      <w:r>
        <w:t>alfa</w:t>
      </w:r>
      <w:proofErr w:type="spellEnd"/>
      <w:r w:rsidRPr="00C60504">
        <w:t>.</w:t>
      </w:r>
    </w:p>
    <w:p w:rsidR="005A4D28" w:rsidRPr="00C60504" w:rsidRDefault="005A4D28" w:rsidP="00BD3344">
      <w:pPr>
        <w:contextualSpacing/>
      </w:pPr>
    </w:p>
    <w:p w:rsidR="00BD3344" w:rsidRPr="00C60504" w:rsidRDefault="00BD3344" w:rsidP="00BD3344">
      <w:pPr>
        <w:contextualSpacing/>
      </w:pPr>
      <w:r w:rsidRPr="00C60504">
        <w:t xml:space="preserve">The nominated comparator of imiglucerase </w:t>
      </w:r>
      <w:proofErr w:type="gramStart"/>
      <w:r w:rsidRPr="00C60504">
        <w:t>was considered</w:t>
      </w:r>
      <w:proofErr w:type="gramEnd"/>
      <w:r w:rsidRPr="00C60504">
        <w:t xml:space="preserve"> appropriate by the PBAC.  </w:t>
      </w:r>
      <w:r>
        <w:t>However, t</w:t>
      </w:r>
      <w:r w:rsidRPr="00C60504">
        <w:t xml:space="preserve">he PBAC also noted the potential of velaglucerase </w:t>
      </w:r>
      <w:r>
        <w:t xml:space="preserve">alfa </w:t>
      </w:r>
      <w:r w:rsidRPr="00C60504">
        <w:t>as a comparator</w:t>
      </w:r>
      <w:r>
        <w:t>,</w:t>
      </w:r>
      <w:r w:rsidRPr="00C60504">
        <w:t xml:space="preserve"> as an alternative enzyme replacement therapy in </w:t>
      </w:r>
      <w:r>
        <w:t xml:space="preserve">the treatment of Type 1 </w:t>
      </w:r>
      <w:r w:rsidRPr="00C60504">
        <w:t>Gaucher disease.</w:t>
      </w:r>
      <w:r>
        <w:t xml:space="preserve"> </w:t>
      </w:r>
    </w:p>
    <w:p w:rsidR="00BD3344" w:rsidRPr="00C60504" w:rsidRDefault="00BD3344" w:rsidP="00BD3344">
      <w:pPr>
        <w:contextualSpacing/>
      </w:pPr>
    </w:p>
    <w:p w:rsidR="00BD3344" w:rsidRDefault="00BD3344" w:rsidP="00BD3344">
      <w:pPr>
        <w:contextualSpacing/>
      </w:pPr>
      <w:r>
        <w:t>T</w:t>
      </w:r>
      <w:r w:rsidRPr="00C60504">
        <w:t>he PBAC noted that no direct trials comparing taliglucerase</w:t>
      </w:r>
      <w:r>
        <w:t xml:space="preserve"> alfa</w:t>
      </w:r>
      <w:r w:rsidRPr="00C60504">
        <w:t xml:space="preserve"> and imiglucerase in </w:t>
      </w:r>
      <w:proofErr w:type="gramStart"/>
      <w:r w:rsidRPr="00C60504">
        <w:t>Gaucher</w:t>
      </w:r>
      <w:proofErr w:type="gramEnd"/>
      <w:r w:rsidRPr="00C60504">
        <w:t xml:space="preserve"> disease were identified. </w:t>
      </w:r>
      <w:r>
        <w:t xml:space="preserve"> </w:t>
      </w:r>
      <w:r w:rsidRPr="00C60504">
        <w:t>Instead, the</w:t>
      </w:r>
      <w:r>
        <w:t xml:space="preserve"> basis of the</w:t>
      </w:r>
      <w:r w:rsidRPr="00C60504">
        <w:t xml:space="preserve"> submission </w:t>
      </w:r>
      <w:r>
        <w:t>was a</w:t>
      </w:r>
      <w:r w:rsidRPr="00C60504">
        <w:t xml:space="preserve"> comparison of results </w:t>
      </w:r>
      <w:r>
        <w:t>from</w:t>
      </w:r>
      <w:r w:rsidRPr="00C60504">
        <w:t xml:space="preserve"> single arms of several randomised and non-randomised studies, of which study PB-06-001 was consid</w:t>
      </w:r>
      <w:r>
        <w:t>ered the pivotal taliglucera</w:t>
      </w:r>
      <w:r w:rsidRPr="00C60504">
        <w:t xml:space="preserve">se </w:t>
      </w:r>
      <w:r>
        <w:t xml:space="preserve">alfa </w:t>
      </w:r>
      <w:r w:rsidRPr="00C60504">
        <w:t xml:space="preserve">study and Grabowski (1995) the pivotal imiglucerase study. </w:t>
      </w:r>
      <w:r>
        <w:t xml:space="preserve">The PBAC noted that the submission excluded </w:t>
      </w:r>
      <w:r w:rsidRPr="00C60504">
        <w:t>Study HGT-039</w:t>
      </w:r>
      <w:r>
        <w:t xml:space="preserve"> from the analysis based on the data being unpublished, however the results were available during the evaluation and as this was </w:t>
      </w:r>
      <w:r w:rsidRPr="00C60504">
        <w:t>considered</w:t>
      </w:r>
      <w:r>
        <w:t xml:space="preserve"> </w:t>
      </w:r>
      <w:r w:rsidRPr="00C60504">
        <w:t>a key study for the comparison of taliglucerase</w:t>
      </w:r>
      <w:r>
        <w:t xml:space="preserve"> alfa</w:t>
      </w:r>
      <w:r w:rsidRPr="00C60504">
        <w:t xml:space="preserve"> to imiglucerase</w:t>
      </w:r>
      <w:r>
        <w:t xml:space="preserve"> the results were included in the evaluation</w:t>
      </w:r>
      <w:r w:rsidRPr="00C60504">
        <w:t xml:space="preserve">.  The main outcomes examined by these studies were reductions in spleen volume, liver volume and improvements in haemoglobin concentration and platelet counts.  </w:t>
      </w:r>
      <w:r>
        <w:t>The PBAC noted that n</w:t>
      </w:r>
      <w:r w:rsidRPr="00C60504">
        <w:t>one of the studies included a placebo arm.</w:t>
      </w:r>
      <w:r w:rsidRPr="008A6736">
        <w:rPr>
          <w:color w:val="FF00FF"/>
        </w:rPr>
        <w:t xml:space="preserve"> </w:t>
      </w:r>
    </w:p>
    <w:p w:rsidR="00BD3344" w:rsidRPr="00C60504" w:rsidRDefault="00BD3344" w:rsidP="00BD3344">
      <w:pPr>
        <w:contextualSpacing/>
      </w:pPr>
    </w:p>
    <w:p w:rsidR="00BD3344" w:rsidRDefault="00BD3344" w:rsidP="00BD3344">
      <w:pPr>
        <w:contextualSpacing/>
      </w:pPr>
      <w:r>
        <w:t>The PBAC considered it difficult to make any meaningful assessment</w:t>
      </w:r>
      <w:r w:rsidRPr="00C60504">
        <w:t xml:space="preserve"> </w:t>
      </w:r>
      <w:r>
        <w:t xml:space="preserve">of the data presented due to </w:t>
      </w:r>
      <w:r w:rsidRPr="00C60504">
        <w:t xml:space="preserve">the lack of head-to-head data and </w:t>
      </w:r>
      <w:r>
        <w:t>the inability to perform a</w:t>
      </w:r>
      <w:r w:rsidRPr="00C60504">
        <w:t xml:space="preserve"> formal indirect </w:t>
      </w:r>
      <w:proofErr w:type="gramStart"/>
      <w:r w:rsidRPr="00C60504">
        <w:t>comparison</w:t>
      </w:r>
      <w:proofErr w:type="gramEnd"/>
      <w:r w:rsidRPr="00C60504">
        <w:t xml:space="preserve"> </w:t>
      </w:r>
      <w:r>
        <w:t>as there was no common reference</w:t>
      </w:r>
      <w:r w:rsidRPr="00C60504">
        <w:t xml:space="preserve">.  The PBAC acknowledged the difficulty in performing a head-to-head study in a rare disease such as Gaucher but noted that </w:t>
      </w:r>
      <w:r w:rsidRPr="00DA4C26">
        <w:t>it is possible, as evidenced by the availability of trial HGT-039, and that head-to-he</w:t>
      </w:r>
      <w:r w:rsidRPr="00C60504">
        <w:t xml:space="preserve">ad data would be preferable for </w:t>
      </w:r>
      <w:proofErr w:type="gramStart"/>
      <w:r w:rsidRPr="00C60504">
        <w:t>decision making</w:t>
      </w:r>
      <w:proofErr w:type="gramEnd"/>
      <w:r w:rsidRPr="00C60504">
        <w:t>.</w:t>
      </w:r>
      <w:r>
        <w:t xml:space="preserve"> </w:t>
      </w:r>
    </w:p>
    <w:p w:rsidR="00BD3344" w:rsidRPr="00C60504" w:rsidRDefault="00BD3344" w:rsidP="00BD3344">
      <w:pPr>
        <w:contextualSpacing/>
      </w:pPr>
    </w:p>
    <w:p w:rsidR="00BD3344" w:rsidRPr="00C60504" w:rsidRDefault="00BD3344" w:rsidP="00BD3344">
      <w:pPr>
        <w:contextualSpacing/>
      </w:pPr>
      <w:r w:rsidRPr="00C60504">
        <w:t xml:space="preserve">The PBAC noted that </w:t>
      </w:r>
      <w:r w:rsidRPr="00DA4C26">
        <w:t>despite study PB-06-001</w:t>
      </w:r>
      <w:r w:rsidR="00E24443" w:rsidRPr="00E24443">
        <w:rPr>
          <w:color w:val="3366FF"/>
        </w:rPr>
        <w:t xml:space="preserve"> </w:t>
      </w:r>
      <w:r w:rsidRPr="00E24443">
        <w:t xml:space="preserve">demonstrating that taliglucerase alfa is associated with improvements in disease burden measures such as spleen volume, haemoglobin concentration, liver volume and platelet counts, </w:t>
      </w:r>
      <w:r w:rsidRPr="00C60504">
        <w:t xml:space="preserve">no data were available assessing benefits of treatment with taliglucerase </w:t>
      </w:r>
      <w:r>
        <w:t xml:space="preserve">alfa </w:t>
      </w:r>
      <w:r w:rsidRPr="00C60504">
        <w:t>in terms of survival or quality of life in Gaucher disease patients.</w:t>
      </w:r>
      <w:r>
        <w:t xml:space="preserve"> </w:t>
      </w:r>
      <w:r w:rsidRPr="00E24443">
        <w:t xml:space="preserve">The PBAC further noted </w:t>
      </w:r>
      <w:r w:rsidRPr="00DA4C26">
        <w:t>that HGT-039 and the single arm result comparisons of studies PB-06-001 and Grabowski (1995)</w:t>
      </w:r>
      <w:r w:rsidR="00E24443">
        <w:rPr>
          <w:color w:val="3366FF"/>
        </w:rPr>
        <w:t xml:space="preserve"> </w:t>
      </w:r>
      <w:r w:rsidRPr="00E24443">
        <w:t>suggest that improvements in spleen volume, haemoglobin concentration and platelet counts may be broadly similar between taliglucerase alfa and imiglucerase.</w:t>
      </w:r>
      <w:r w:rsidRPr="00EE28B4">
        <w:t xml:space="preserve"> However, reported results for liver volume appear to favour imiglucerase. </w:t>
      </w:r>
      <w:r>
        <w:t>In regards to patients switching from imiglucerase to taliglucerase alfa, the PBAC noted that i</w:t>
      </w:r>
      <w:r w:rsidRPr="00EE28B4">
        <w:t>ndividual patient data</w:t>
      </w:r>
      <w:r>
        <w:t>,</w:t>
      </w:r>
      <w:r w:rsidRPr="00EE28B4">
        <w:t xml:space="preserve"> </w:t>
      </w:r>
      <w:r w:rsidRPr="00DA4C26">
        <w:t xml:space="preserve">from the PB-06-002 switching study, suggests that </w:t>
      </w:r>
      <w:r w:rsidR="00E24443" w:rsidRPr="00DA4C26">
        <w:t>a small percentage of patients</w:t>
      </w:r>
      <w:r w:rsidR="00E24443">
        <w:rPr>
          <w:color w:val="3366FF"/>
        </w:rPr>
        <w:t xml:space="preserve"> </w:t>
      </w:r>
      <w:r w:rsidRPr="00EE28B4">
        <w:t xml:space="preserve">showed some signs of clinical deterioration at 9 months after </w:t>
      </w:r>
      <w:proofErr w:type="gramStart"/>
      <w:r w:rsidRPr="00EE28B4">
        <w:t>being switched</w:t>
      </w:r>
      <w:proofErr w:type="gramEnd"/>
      <w:r w:rsidRPr="00EE28B4">
        <w:t xml:space="preserve"> from imiglucerase to taliglucerase alfa.</w:t>
      </w:r>
      <w:r w:rsidRPr="00C60504">
        <w:t xml:space="preserve">  </w:t>
      </w:r>
    </w:p>
    <w:p w:rsidR="00BD3344" w:rsidRDefault="00BD3344" w:rsidP="00BD3344">
      <w:pPr>
        <w:contextualSpacing/>
      </w:pPr>
    </w:p>
    <w:p w:rsidR="00BD3344" w:rsidRDefault="00BD3344" w:rsidP="00BD3344">
      <w:pPr>
        <w:contextualSpacing/>
      </w:pPr>
      <w:r>
        <w:t>Based on the data presented, t</w:t>
      </w:r>
      <w:r w:rsidRPr="00C60504">
        <w:t xml:space="preserve">he PBAC </w:t>
      </w:r>
      <w:r>
        <w:t xml:space="preserve">did not accept </w:t>
      </w:r>
      <w:r w:rsidRPr="00C60504">
        <w:t xml:space="preserve">the </w:t>
      </w:r>
      <w:proofErr w:type="gramStart"/>
      <w:r w:rsidRPr="00C60504">
        <w:t>submission’s</w:t>
      </w:r>
      <w:proofErr w:type="gramEnd"/>
      <w:r w:rsidRPr="00C60504">
        <w:t xml:space="preserve"> clinic</w:t>
      </w:r>
      <w:r>
        <w:t>al claim that taliglucerase alfa</w:t>
      </w:r>
      <w:r w:rsidRPr="00C60504">
        <w:t xml:space="preserve"> is similar to imiglucerase in terms of comparative effectiveness</w:t>
      </w:r>
      <w:r>
        <w:t xml:space="preserve">.  </w:t>
      </w:r>
      <w:proofErr w:type="gramStart"/>
      <w:r w:rsidRPr="00C60504">
        <w:t>With regards to</w:t>
      </w:r>
      <w:proofErr w:type="gramEnd"/>
      <w:r w:rsidRPr="00C60504">
        <w:t xml:space="preserve"> whether taliglucerase </w:t>
      </w:r>
      <w:r>
        <w:t xml:space="preserve">alfa </w:t>
      </w:r>
      <w:r w:rsidRPr="00C60504">
        <w:t xml:space="preserve">and imiglucerase are similar in terms of safety, the PBAC considered this </w:t>
      </w:r>
      <w:r>
        <w:t>also</w:t>
      </w:r>
      <w:r w:rsidRPr="00C60504">
        <w:t xml:space="preserve"> remain</w:t>
      </w:r>
      <w:r>
        <w:t>s</w:t>
      </w:r>
      <w:r w:rsidRPr="00C60504">
        <w:t xml:space="preserve"> uncertain, given the limited body of evidence available.</w:t>
      </w:r>
      <w:r>
        <w:t xml:space="preserve"> </w:t>
      </w:r>
    </w:p>
    <w:p w:rsidR="00BD3344" w:rsidRPr="00C60504" w:rsidRDefault="00BD3344" w:rsidP="00BD3344">
      <w:pPr>
        <w:contextualSpacing/>
      </w:pPr>
    </w:p>
    <w:p w:rsidR="00BD3344" w:rsidRPr="00C60504" w:rsidRDefault="00BD3344" w:rsidP="00BD3344">
      <w:pPr>
        <w:contextualSpacing/>
      </w:pPr>
      <w:r w:rsidRPr="00C60504">
        <w:lastRenderedPageBreak/>
        <w:t xml:space="preserve">The PBAC noted that the submission presented a simple non-comparative cost-per-outcome </w:t>
      </w:r>
      <w:r>
        <w:t>analysis with taliglucerase</w:t>
      </w:r>
      <w:r w:rsidRPr="00C60504">
        <w:t xml:space="preserve"> </w:t>
      </w:r>
      <w:r>
        <w:t xml:space="preserve">alfa </w:t>
      </w:r>
      <w:r w:rsidRPr="00C60504">
        <w:t>treatment and given the</w:t>
      </w:r>
      <w:r>
        <w:t xml:space="preserve"> high cost of taliglucerase</w:t>
      </w:r>
      <w:r w:rsidRPr="00C60504">
        <w:t xml:space="preserve">, considered it unlikely that taliglucerase </w:t>
      </w:r>
      <w:r>
        <w:t xml:space="preserve">alfa </w:t>
      </w:r>
      <w:proofErr w:type="gramStart"/>
      <w:r w:rsidRPr="00C60504">
        <w:t>would be considered</w:t>
      </w:r>
      <w:proofErr w:type="gramEnd"/>
      <w:r w:rsidRPr="00C60504">
        <w:t xml:space="preserve"> cost</w:t>
      </w:r>
      <w:r>
        <w:t>-</w:t>
      </w:r>
      <w:r w:rsidRPr="00C60504">
        <w:t>effective.  The submission assumed that most patients on the L</w:t>
      </w:r>
      <w:r>
        <w:t>ife Savings Drugs Program</w:t>
      </w:r>
      <w:r w:rsidRPr="00C60504">
        <w:t xml:space="preserve"> </w:t>
      </w:r>
      <w:r>
        <w:t xml:space="preserve">(LSDP) </w:t>
      </w:r>
      <w:r w:rsidRPr="00C60504">
        <w:t>are treated with imiglucerase 60</w:t>
      </w:r>
      <w:r>
        <w:t> </w:t>
      </w:r>
      <w:r w:rsidRPr="00C60504">
        <w:t xml:space="preserve">U/kg </w:t>
      </w:r>
      <w:proofErr w:type="gramStart"/>
      <w:r>
        <w:t>however</w:t>
      </w:r>
      <w:proofErr w:type="gramEnd"/>
      <w:r w:rsidRPr="00C60504">
        <w:t xml:space="preserve"> the PBAC noted that a review of the </w:t>
      </w:r>
      <w:r>
        <w:t>LSDP (Goldblatt 2005) indicated</w:t>
      </w:r>
      <w:r w:rsidRPr="00C60504">
        <w:t xml:space="preserve"> that the majority of patients (98%) are treated with doses lower than 60</w:t>
      </w:r>
      <w:r>
        <w:t xml:space="preserve"> </w:t>
      </w:r>
      <w:r w:rsidRPr="00C60504">
        <w:t>U/kg per fortnight.</w:t>
      </w:r>
      <w:r w:rsidRPr="00677EA1">
        <w:rPr>
          <w:color w:val="FF00FF"/>
        </w:rPr>
        <w:t xml:space="preserve"> </w:t>
      </w:r>
      <w:r w:rsidRPr="00C60504">
        <w:t xml:space="preserve"> The PBAC considered that these lower doses would need to </w:t>
      </w:r>
      <w:proofErr w:type="gramStart"/>
      <w:r w:rsidRPr="00C60504">
        <w:t xml:space="preserve">be </w:t>
      </w:r>
      <w:r>
        <w:t>accounted for</w:t>
      </w:r>
      <w:proofErr w:type="gramEnd"/>
      <w:r>
        <w:t xml:space="preserve"> in determining </w:t>
      </w:r>
      <w:r w:rsidRPr="00C60504">
        <w:t>equiv</w:t>
      </w:r>
      <w:r>
        <w:t>alent treatment cost</w:t>
      </w:r>
      <w:r w:rsidRPr="00C60504">
        <w:t>s.</w:t>
      </w:r>
      <w:r>
        <w:t xml:space="preserve"> </w:t>
      </w:r>
    </w:p>
    <w:p w:rsidR="00BD3344" w:rsidRPr="00C60504" w:rsidRDefault="00BD3344" w:rsidP="00BD3344">
      <w:pPr>
        <w:contextualSpacing/>
      </w:pPr>
    </w:p>
    <w:p w:rsidR="00BD3344" w:rsidRDefault="00BD3344" w:rsidP="00BD3344">
      <w:pPr>
        <w:contextualSpacing/>
      </w:pPr>
      <w:r w:rsidRPr="00C60504">
        <w:t xml:space="preserve">The PBAC therefore rejected the submission </w:t>
      </w:r>
      <w:proofErr w:type="gramStart"/>
      <w:r w:rsidRPr="00C60504">
        <w:t>on the basis of</w:t>
      </w:r>
      <w:proofErr w:type="gramEnd"/>
      <w:r w:rsidRPr="00C60504">
        <w:t xml:space="preserve"> uncertain</w:t>
      </w:r>
      <w:r>
        <w:t xml:space="preserve"> clinical </w:t>
      </w:r>
      <w:r w:rsidRPr="00C60504">
        <w:t>effectiveness</w:t>
      </w:r>
      <w:r>
        <w:t>,</w:t>
      </w:r>
      <w:r w:rsidRPr="00C60504">
        <w:t xml:space="preserve"> </w:t>
      </w:r>
      <w:r w:rsidRPr="00A77F45">
        <w:t xml:space="preserve">unknown equi-effective doses </w:t>
      </w:r>
      <w:r>
        <w:t>and</w:t>
      </w:r>
      <w:r w:rsidRPr="00A77F45">
        <w:t xml:space="preserve"> unknown interchan</w:t>
      </w:r>
      <w:r>
        <w:t>g</w:t>
      </w:r>
      <w:r w:rsidRPr="00A77F45">
        <w:t>eability</w:t>
      </w:r>
      <w:r w:rsidRPr="00C60504">
        <w:t xml:space="preserve">. </w:t>
      </w:r>
      <w:r>
        <w:t xml:space="preserve"> The PBAC indicated that any future</w:t>
      </w:r>
      <w:r w:rsidRPr="00C60504">
        <w:t xml:space="preserve"> consideration of taliglucerase </w:t>
      </w:r>
      <w:r>
        <w:t xml:space="preserve">alfa </w:t>
      </w:r>
      <w:r w:rsidRPr="00C60504">
        <w:t xml:space="preserve">should </w:t>
      </w:r>
      <w:r>
        <w:t xml:space="preserve">include relevant </w:t>
      </w:r>
      <w:r w:rsidRPr="00C60504">
        <w:t xml:space="preserve">TGA </w:t>
      </w:r>
      <w:r>
        <w:t>documentation.</w:t>
      </w:r>
    </w:p>
    <w:p w:rsidR="00BD3344" w:rsidRPr="00C60504" w:rsidRDefault="00BD3344" w:rsidP="00BD3344">
      <w:pPr>
        <w:contextualSpacing/>
      </w:pPr>
    </w:p>
    <w:p w:rsidR="00BD3344" w:rsidRPr="00C60504" w:rsidRDefault="00BD3344" w:rsidP="00BD3344">
      <w:pPr>
        <w:contextualSpacing/>
      </w:pPr>
      <w:r w:rsidRPr="00C60504">
        <w:t xml:space="preserve">In making this </w:t>
      </w:r>
      <w:proofErr w:type="gramStart"/>
      <w:r w:rsidRPr="00C60504">
        <w:t>recommendation</w:t>
      </w:r>
      <w:proofErr w:type="gramEnd"/>
      <w:r w:rsidRPr="00C60504">
        <w:t xml:space="preserve"> the PBAC noted the consumer comments on this item.</w:t>
      </w:r>
    </w:p>
    <w:p w:rsidR="00BD3344" w:rsidRPr="00C60504" w:rsidRDefault="00BD3344" w:rsidP="00BD3344">
      <w:pPr>
        <w:contextualSpacing/>
      </w:pPr>
    </w:p>
    <w:p w:rsidR="00BD3344" w:rsidRPr="00C60504" w:rsidRDefault="00BD3344" w:rsidP="00BD3344">
      <w:pPr>
        <w:contextualSpacing/>
      </w:pPr>
      <w:r w:rsidRPr="00C60504">
        <w:t xml:space="preserve">The PBAC noted that the submission meets the criteria for an Independent Review in relation to the decision </w:t>
      </w:r>
      <w:proofErr w:type="gramStart"/>
      <w:r w:rsidRPr="00C60504">
        <w:t>to not recommend</w:t>
      </w:r>
      <w:proofErr w:type="gramEnd"/>
      <w:r w:rsidRPr="00C60504">
        <w:t xml:space="preserve"> listing on the PBS.  The PBAC noted that its decision not to recommend inclusion on the LSDP is not subject to Independent Review.   </w:t>
      </w:r>
    </w:p>
    <w:p w:rsidR="00BD3344" w:rsidRPr="00C60504" w:rsidRDefault="00BD3344" w:rsidP="00BD3344">
      <w:pPr>
        <w:contextualSpacing/>
      </w:pPr>
    </w:p>
    <w:p w:rsidR="00BD3344" w:rsidRPr="00C60504" w:rsidRDefault="00BD3344" w:rsidP="00BD3344">
      <w:pPr>
        <w:contextualSpacing/>
      </w:pPr>
      <w:r w:rsidRPr="00C60504">
        <w:t>The PBAC noted the advice of the Highly Specialised Drugs Working Party.</w:t>
      </w:r>
    </w:p>
    <w:p w:rsidR="00BD3344" w:rsidRDefault="00BD3344" w:rsidP="00BD3344"/>
    <w:p w:rsidR="00BD3344" w:rsidRDefault="00BD3344" w:rsidP="00BD3344">
      <w:pPr>
        <w:rPr>
          <w:b/>
          <w:i/>
        </w:rPr>
      </w:pPr>
      <w:r w:rsidRPr="007C0F57">
        <w:rPr>
          <w:b/>
          <w:i/>
        </w:rPr>
        <w:t>Recommendation</w:t>
      </w:r>
      <w:r>
        <w:t xml:space="preserve">: </w:t>
      </w:r>
    </w:p>
    <w:p w:rsidR="00BD3344" w:rsidRPr="00BE77F8" w:rsidRDefault="00BD3344" w:rsidP="00BD3344">
      <w:pPr>
        <w:rPr>
          <w:b/>
        </w:rPr>
      </w:pPr>
      <w:r>
        <w:rPr>
          <w:b/>
        </w:rPr>
        <w:t>Reject</w:t>
      </w:r>
    </w:p>
    <w:p w:rsidR="003D43DE" w:rsidRDefault="003D43DE"/>
    <w:p w:rsidR="002A57B9" w:rsidRPr="00746E3F" w:rsidRDefault="002A57B9" w:rsidP="002A57B9">
      <w:pPr>
        <w:rPr>
          <w:b/>
          <w:bCs/>
        </w:rPr>
      </w:pPr>
      <w:r w:rsidRPr="00746E3F">
        <w:rPr>
          <w:b/>
          <w:bCs/>
        </w:rPr>
        <w:t>13.</w:t>
      </w:r>
      <w:r w:rsidRPr="00746E3F">
        <w:rPr>
          <w:b/>
          <w:bCs/>
        </w:rPr>
        <w:tab/>
        <w:t>Context for Decision</w:t>
      </w:r>
    </w:p>
    <w:p w:rsidR="00621994" w:rsidRDefault="00772EC1" w:rsidP="0094601C">
      <w:pPr>
        <w:adjustRightInd w:val="0"/>
        <w:rPr>
          <w:b/>
          <w:bCs/>
        </w:rPr>
      </w:pPr>
      <w: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1994" w:rsidRPr="00746E3F" w:rsidRDefault="00621994" w:rsidP="002A57B9">
      <w:pPr>
        <w:adjustRightInd w:val="0"/>
        <w:jc w:val="both"/>
        <w:rPr>
          <w:b/>
          <w:bCs/>
        </w:rPr>
      </w:pPr>
    </w:p>
    <w:p w:rsidR="002A57B9" w:rsidRPr="00746E3F" w:rsidRDefault="002A57B9" w:rsidP="002A57B9">
      <w:pPr>
        <w:adjustRightInd w:val="0"/>
        <w:jc w:val="both"/>
        <w:rPr>
          <w:b/>
          <w:bCs/>
        </w:rPr>
      </w:pPr>
      <w:r w:rsidRPr="00746E3F">
        <w:rPr>
          <w:b/>
          <w:bCs/>
        </w:rPr>
        <w:t>14.</w:t>
      </w:r>
      <w:r w:rsidRPr="00746E3F">
        <w:rPr>
          <w:b/>
          <w:bCs/>
        </w:rPr>
        <w:tab/>
        <w:t>Sponsor’s Comment</w:t>
      </w:r>
    </w:p>
    <w:p w:rsidR="0073007D" w:rsidRPr="0073007D" w:rsidRDefault="0073007D" w:rsidP="0073007D">
      <w:pPr>
        <w:rPr>
          <w:lang w:val="en-US"/>
        </w:rPr>
      </w:pPr>
      <w:r w:rsidRPr="0073007D">
        <w:rPr>
          <w:lang w:val="en-US"/>
        </w:rPr>
        <w:t>Pfizer Australia remains committed to working with the PBAC and LSDP to resolve the issues and ensure that Australia Gaucher disease patients have access to this medication.</w:t>
      </w:r>
    </w:p>
    <w:p w:rsidR="00621994" w:rsidRPr="0073007D" w:rsidRDefault="00621994">
      <w:pPr>
        <w:rPr>
          <w:lang w:val="en-US"/>
        </w:rPr>
      </w:pPr>
    </w:p>
    <w:p w:rsidR="00933DF3" w:rsidRDefault="00933DF3"/>
    <w:sectPr w:rsidR="00933DF3">
      <w:footerReference w:type="default" r:id="rId9"/>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8A" w:rsidRDefault="00A2068A">
      <w:r>
        <w:separator/>
      </w:r>
    </w:p>
  </w:endnote>
  <w:endnote w:type="continuationSeparator" w:id="0">
    <w:p w:rsidR="00A2068A" w:rsidRDefault="00A2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8" w:rsidRPr="003D177A" w:rsidRDefault="006B4658" w:rsidP="009B4850">
    <w:pPr>
      <w:pStyle w:val="Footer"/>
      <w:jc w:val="center"/>
      <w:rPr>
        <w:rFonts w:ascii="Times New (W1)" w:hAnsi="Times New (W1)"/>
        <w:b/>
        <w:bCs/>
        <w:i/>
        <w:iCs/>
        <w:color w:val="999999"/>
        <w:sz w:val="20"/>
        <w:szCs w:val="20"/>
      </w:rPr>
    </w:pPr>
    <w:r w:rsidRPr="003D177A">
      <w:rPr>
        <w:rFonts w:ascii="Times New (W1)" w:hAnsi="Times New (W1)"/>
        <w:b/>
        <w:bCs/>
        <w:i/>
        <w:iCs/>
        <w:color w:val="999999"/>
        <w:sz w:val="20"/>
        <w:szCs w:val="20"/>
      </w:rPr>
      <w:t xml:space="preserve"> Public Summary Document</w:t>
    </w:r>
  </w:p>
  <w:p w:rsidR="006B4658" w:rsidRPr="003D177A" w:rsidRDefault="006B4658" w:rsidP="00032082">
    <w:pPr>
      <w:pStyle w:val="Footer"/>
      <w:jc w:val="center"/>
      <w:rPr>
        <w:rFonts w:ascii="Times New (W1)" w:hAnsi="Times New (W1)"/>
        <w:b/>
        <w:bCs/>
        <w:i/>
        <w:iCs/>
        <w:color w:val="999999"/>
        <w:sz w:val="20"/>
        <w:szCs w:val="20"/>
      </w:rPr>
    </w:pPr>
    <w:r>
      <w:rPr>
        <w:rFonts w:ascii="Times New (W1)" w:hAnsi="Times New (W1)"/>
        <w:b/>
        <w:bCs/>
        <w:i/>
        <w:iCs/>
        <w:color w:val="999999"/>
        <w:sz w:val="20"/>
        <w:szCs w:val="20"/>
      </w:rPr>
      <w:t>March 2012 PBAC</w:t>
    </w:r>
    <w:r w:rsidRPr="003D177A">
      <w:rPr>
        <w:rFonts w:ascii="Times New (W1)" w:hAnsi="Times New (W1)"/>
        <w:b/>
        <w:bCs/>
        <w:i/>
        <w:iCs/>
        <w:color w:val="999999"/>
        <w:sz w:val="20"/>
        <w:szCs w:val="20"/>
      </w:rPr>
      <w:t xml:space="preserve"> Meeting</w:t>
    </w:r>
  </w:p>
  <w:p w:rsidR="006B4658" w:rsidRPr="003D177A" w:rsidRDefault="006B4658" w:rsidP="009B4850">
    <w:pPr>
      <w:pStyle w:val="Footer"/>
      <w:jc w:val="center"/>
      <w:rPr>
        <w:rFonts w:ascii="Times New (W1)" w:hAnsi="Times New (W1)"/>
        <w:b/>
        <w:bCs/>
        <w:i/>
        <w:iCs/>
        <w:color w:val="999999"/>
        <w:sz w:val="20"/>
        <w:szCs w:val="20"/>
      </w:rPr>
    </w:pPr>
    <w:r w:rsidRPr="003D177A">
      <w:rPr>
        <w:rStyle w:val="PageNumber"/>
        <w:rFonts w:ascii="Times New (W1)" w:hAnsi="Times New (W1)"/>
        <w:b/>
        <w:i/>
        <w:color w:val="999999"/>
        <w:sz w:val="20"/>
        <w:szCs w:val="20"/>
      </w:rPr>
      <w:t xml:space="preserve">Page </w:t>
    </w:r>
    <w:r w:rsidRPr="003D177A">
      <w:rPr>
        <w:rStyle w:val="PageNumber"/>
        <w:rFonts w:ascii="Times New (W1)" w:hAnsi="Times New (W1)"/>
        <w:b/>
        <w:i/>
        <w:color w:val="999999"/>
        <w:sz w:val="20"/>
        <w:szCs w:val="20"/>
      </w:rPr>
      <w:fldChar w:fldCharType="begin"/>
    </w:r>
    <w:r w:rsidRPr="003D177A">
      <w:rPr>
        <w:rStyle w:val="PageNumber"/>
        <w:rFonts w:ascii="Times New (W1)" w:hAnsi="Times New (W1)"/>
        <w:b/>
        <w:i/>
        <w:color w:val="999999"/>
        <w:sz w:val="20"/>
        <w:szCs w:val="20"/>
      </w:rPr>
      <w:instrText xml:space="preserve"> PAGE </w:instrText>
    </w:r>
    <w:r w:rsidRPr="003D177A">
      <w:rPr>
        <w:rStyle w:val="PageNumber"/>
        <w:rFonts w:ascii="Times New (W1)" w:hAnsi="Times New (W1)"/>
        <w:b/>
        <w:i/>
        <w:color w:val="999999"/>
        <w:sz w:val="20"/>
        <w:szCs w:val="20"/>
      </w:rPr>
      <w:fldChar w:fldCharType="separate"/>
    </w:r>
    <w:r w:rsidR="005A4D28">
      <w:rPr>
        <w:rStyle w:val="PageNumber"/>
        <w:rFonts w:ascii="Times New (W1)" w:hAnsi="Times New (W1)"/>
        <w:b/>
        <w:i/>
        <w:noProof/>
        <w:color w:val="999999"/>
        <w:sz w:val="20"/>
        <w:szCs w:val="20"/>
      </w:rPr>
      <w:t>3</w:t>
    </w:r>
    <w:r w:rsidRPr="003D177A">
      <w:rPr>
        <w:rStyle w:val="PageNumber"/>
        <w:rFonts w:ascii="Times New (W1)" w:hAnsi="Times New (W1)"/>
        <w:b/>
        <w:i/>
        <w:color w:val="999999"/>
        <w:sz w:val="20"/>
        <w:szCs w:val="20"/>
      </w:rPr>
      <w:fldChar w:fldCharType="end"/>
    </w:r>
    <w:r w:rsidRPr="003D177A">
      <w:rPr>
        <w:rStyle w:val="PageNumber"/>
        <w:rFonts w:ascii="Times New (W1)" w:hAnsi="Times New (W1)"/>
        <w:b/>
        <w:i/>
        <w:color w:val="999999"/>
        <w:sz w:val="20"/>
        <w:szCs w:val="20"/>
      </w:rPr>
      <w:t xml:space="preserve"> of </w:t>
    </w:r>
    <w:r w:rsidRPr="003D177A">
      <w:rPr>
        <w:rStyle w:val="PageNumber"/>
        <w:rFonts w:ascii="Times New (W1)" w:hAnsi="Times New (W1)"/>
        <w:b/>
        <w:i/>
        <w:color w:val="999999"/>
        <w:sz w:val="20"/>
        <w:szCs w:val="20"/>
      </w:rPr>
      <w:fldChar w:fldCharType="begin"/>
    </w:r>
    <w:r w:rsidRPr="003D177A">
      <w:rPr>
        <w:rStyle w:val="PageNumber"/>
        <w:rFonts w:ascii="Times New (W1)" w:hAnsi="Times New (W1)"/>
        <w:b/>
        <w:i/>
        <w:color w:val="999999"/>
        <w:sz w:val="20"/>
        <w:szCs w:val="20"/>
      </w:rPr>
      <w:instrText xml:space="preserve"> NUMPAGES </w:instrText>
    </w:r>
    <w:r w:rsidRPr="003D177A">
      <w:rPr>
        <w:rStyle w:val="PageNumber"/>
        <w:rFonts w:ascii="Times New (W1)" w:hAnsi="Times New (W1)"/>
        <w:b/>
        <w:i/>
        <w:color w:val="999999"/>
        <w:sz w:val="20"/>
        <w:szCs w:val="20"/>
      </w:rPr>
      <w:fldChar w:fldCharType="separate"/>
    </w:r>
    <w:r w:rsidR="005A4D28">
      <w:rPr>
        <w:rStyle w:val="PageNumber"/>
        <w:rFonts w:ascii="Times New (W1)" w:hAnsi="Times New (W1)"/>
        <w:b/>
        <w:i/>
        <w:noProof/>
        <w:color w:val="999999"/>
        <w:sz w:val="20"/>
        <w:szCs w:val="20"/>
      </w:rPr>
      <w:t>6</w:t>
    </w:r>
    <w:r w:rsidRPr="003D177A">
      <w:rPr>
        <w:rStyle w:val="PageNumber"/>
        <w:rFonts w:ascii="Times New (W1)" w:hAnsi="Times New (W1)"/>
        <w:b/>
        <w:i/>
        <w:color w:val="999999"/>
        <w:sz w:val="20"/>
        <w:szCs w:val="20"/>
      </w:rPr>
      <w:fldChar w:fldCharType="end"/>
    </w:r>
  </w:p>
  <w:p w:rsidR="006B4658" w:rsidRPr="003D177A" w:rsidRDefault="006B4658">
    <w:pPr>
      <w:pStyle w:val="Footer"/>
      <w:rPr>
        <w:color w:val="99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8A" w:rsidRDefault="00A2068A">
      <w:r>
        <w:separator/>
      </w:r>
    </w:p>
  </w:footnote>
  <w:footnote w:type="continuationSeparator" w:id="0">
    <w:p w:rsidR="00A2068A" w:rsidRDefault="00A20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F0F"/>
    <w:multiLevelType w:val="hybridMultilevel"/>
    <w:tmpl w:val="8EFCFC5A"/>
    <w:lvl w:ilvl="0" w:tplc="778CB2EC">
      <w:start w:val="10"/>
      <w:numFmt w:val="bullet"/>
      <w:lvlText w:val="-"/>
      <w:lvlJc w:val="left"/>
      <w:pPr>
        <w:tabs>
          <w:tab w:val="num" w:pos="360"/>
        </w:tabs>
        <w:ind w:left="360" w:hanging="360"/>
      </w:pPr>
      <w:rPr>
        <w:rFonts w:ascii="Times New Roman" w:eastAsia="Times New Roman" w:hAnsi="Times New Roman" w:cs="Times New Roman" w:hint="default"/>
      </w:rPr>
    </w:lvl>
    <w:lvl w:ilvl="1" w:tplc="0C090003">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
    <w:nsid w:val="525D0AD6"/>
    <w:multiLevelType w:val="hybridMultilevel"/>
    <w:tmpl w:val="8DFED350"/>
    <w:lvl w:ilvl="0" w:tplc="778CB2EC">
      <w:start w:val="10"/>
      <w:numFmt w:val="bullet"/>
      <w:lvlText w:val="-"/>
      <w:lvlJc w:val="left"/>
      <w:pPr>
        <w:tabs>
          <w:tab w:val="num" w:pos="927"/>
        </w:tabs>
        <w:ind w:left="927" w:hanging="360"/>
      </w:pPr>
      <w:rPr>
        <w:rFonts w:ascii="Times New Roman" w:eastAsia="Times New Roman" w:hAnsi="Times New Roman" w:cs="Times New Roman"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2">
    <w:nsid w:val="5E314C11"/>
    <w:multiLevelType w:val="hybridMultilevel"/>
    <w:tmpl w:val="605643E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64D92284"/>
    <w:multiLevelType w:val="hybridMultilevel"/>
    <w:tmpl w:val="A5E6DD6E"/>
    <w:lvl w:ilvl="0" w:tplc="FFFFFFFF">
      <w:start w:val="1"/>
      <w:numFmt w:val="bullet"/>
      <w:lvlText w:val=""/>
      <w:lvlJc w:val="left"/>
      <w:pPr>
        <w:tabs>
          <w:tab w:val="num" w:pos="780"/>
        </w:tabs>
        <w:ind w:left="780" w:hanging="360"/>
      </w:pPr>
      <w:rPr>
        <w:rFonts w:ascii="Symbol" w:hAnsi="Symbol" w:cs="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4">
    <w:nsid w:val="6F446245"/>
    <w:multiLevelType w:val="hybridMultilevel"/>
    <w:tmpl w:val="9754E9EE"/>
    <w:lvl w:ilvl="0" w:tplc="03088B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AD"/>
    <w:rsid w:val="0000132B"/>
    <w:rsid w:val="000109FB"/>
    <w:rsid w:val="00016CF9"/>
    <w:rsid w:val="00021C2D"/>
    <w:rsid w:val="00032082"/>
    <w:rsid w:val="00060256"/>
    <w:rsid w:val="000763A9"/>
    <w:rsid w:val="00076A57"/>
    <w:rsid w:val="000814B0"/>
    <w:rsid w:val="00082DA4"/>
    <w:rsid w:val="00097FBD"/>
    <w:rsid w:val="000B6582"/>
    <w:rsid w:val="000C0AE4"/>
    <w:rsid w:val="000C771E"/>
    <w:rsid w:val="000D014B"/>
    <w:rsid w:val="000D03C6"/>
    <w:rsid w:val="000D253A"/>
    <w:rsid w:val="000D76B8"/>
    <w:rsid w:val="000D7EBE"/>
    <w:rsid w:val="000E2409"/>
    <w:rsid w:val="000E27B3"/>
    <w:rsid w:val="000F06E3"/>
    <w:rsid w:val="000F0B14"/>
    <w:rsid w:val="001020BB"/>
    <w:rsid w:val="001136FA"/>
    <w:rsid w:val="00125833"/>
    <w:rsid w:val="00125EE4"/>
    <w:rsid w:val="00133C96"/>
    <w:rsid w:val="00143FAD"/>
    <w:rsid w:val="00146942"/>
    <w:rsid w:val="001522CF"/>
    <w:rsid w:val="00177C76"/>
    <w:rsid w:val="00182736"/>
    <w:rsid w:val="00183DC5"/>
    <w:rsid w:val="001A42DC"/>
    <w:rsid w:val="001A4320"/>
    <w:rsid w:val="001A5E8B"/>
    <w:rsid w:val="001B086B"/>
    <w:rsid w:val="001B59F8"/>
    <w:rsid w:val="001C1287"/>
    <w:rsid w:val="001C26E9"/>
    <w:rsid w:val="001D0FE6"/>
    <w:rsid w:val="001D103E"/>
    <w:rsid w:val="001D3D9A"/>
    <w:rsid w:val="001D47B5"/>
    <w:rsid w:val="001E30B2"/>
    <w:rsid w:val="001E7B0F"/>
    <w:rsid w:val="0021661E"/>
    <w:rsid w:val="00221B4D"/>
    <w:rsid w:val="00230440"/>
    <w:rsid w:val="002371A8"/>
    <w:rsid w:val="0024100D"/>
    <w:rsid w:val="00253FC1"/>
    <w:rsid w:val="0026255B"/>
    <w:rsid w:val="00266910"/>
    <w:rsid w:val="00267568"/>
    <w:rsid w:val="00272473"/>
    <w:rsid w:val="0027686D"/>
    <w:rsid w:val="002A57B9"/>
    <w:rsid w:val="002B268D"/>
    <w:rsid w:val="002B776B"/>
    <w:rsid w:val="002B79BB"/>
    <w:rsid w:val="002B7E79"/>
    <w:rsid w:val="002C0C3A"/>
    <w:rsid w:val="002C2A44"/>
    <w:rsid w:val="002C7CC3"/>
    <w:rsid w:val="002E2593"/>
    <w:rsid w:val="002E4E44"/>
    <w:rsid w:val="002E54B9"/>
    <w:rsid w:val="002E56DB"/>
    <w:rsid w:val="002F54C9"/>
    <w:rsid w:val="00312CB5"/>
    <w:rsid w:val="0031682E"/>
    <w:rsid w:val="00321524"/>
    <w:rsid w:val="00321783"/>
    <w:rsid w:val="003233AB"/>
    <w:rsid w:val="00323B18"/>
    <w:rsid w:val="00335AA4"/>
    <w:rsid w:val="00351867"/>
    <w:rsid w:val="003532D6"/>
    <w:rsid w:val="00354547"/>
    <w:rsid w:val="00355AA4"/>
    <w:rsid w:val="003579D2"/>
    <w:rsid w:val="00360409"/>
    <w:rsid w:val="00372559"/>
    <w:rsid w:val="00375E7C"/>
    <w:rsid w:val="0038552C"/>
    <w:rsid w:val="00391D28"/>
    <w:rsid w:val="00394B80"/>
    <w:rsid w:val="00397378"/>
    <w:rsid w:val="003A0AFD"/>
    <w:rsid w:val="003A667B"/>
    <w:rsid w:val="003B6324"/>
    <w:rsid w:val="003C24F2"/>
    <w:rsid w:val="003D177A"/>
    <w:rsid w:val="003D43DE"/>
    <w:rsid w:val="003D791E"/>
    <w:rsid w:val="003F70B8"/>
    <w:rsid w:val="0040567E"/>
    <w:rsid w:val="004219DF"/>
    <w:rsid w:val="0042345B"/>
    <w:rsid w:val="0042396D"/>
    <w:rsid w:val="00435502"/>
    <w:rsid w:val="00442FEC"/>
    <w:rsid w:val="004451D8"/>
    <w:rsid w:val="004473AD"/>
    <w:rsid w:val="00461B08"/>
    <w:rsid w:val="004649BB"/>
    <w:rsid w:val="00483F8A"/>
    <w:rsid w:val="00486E28"/>
    <w:rsid w:val="00493705"/>
    <w:rsid w:val="00493C53"/>
    <w:rsid w:val="004B058A"/>
    <w:rsid w:val="004B1085"/>
    <w:rsid w:val="004B4330"/>
    <w:rsid w:val="004B5E5F"/>
    <w:rsid w:val="004C49C0"/>
    <w:rsid w:val="004D314E"/>
    <w:rsid w:val="004E0561"/>
    <w:rsid w:val="004E2AFC"/>
    <w:rsid w:val="004E35D4"/>
    <w:rsid w:val="004E44A5"/>
    <w:rsid w:val="004E6890"/>
    <w:rsid w:val="005019E7"/>
    <w:rsid w:val="00507661"/>
    <w:rsid w:val="00514166"/>
    <w:rsid w:val="00517FC1"/>
    <w:rsid w:val="0052434C"/>
    <w:rsid w:val="00533900"/>
    <w:rsid w:val="00537BFB"/>
    <w:rsid w:val="00550613"/>
    <w:rsid w:val="005659A0"/>
    <w:rsid w:val="00574842"/>
    <w:rsid w:val="00577906"/>
    <w:rsid w:val="00586DE6"/>
    <w:rsid w:val="00590D3B"/>
    <w:rsid w:val="00591E3D"/>
    <w:rsid w:val="0059265A"/>
    <w:rsid w:val="00592B11"/>
    <w:rsid w:val="005A300C"/>
    <w:rsid w:val="005A40F0"/>
    <w:rsid w:val="005A4D28"/>
    <w:rsid w:val="005B0879"/>
    <w:rsid w:val="005B669B"/>
    <w:rsid w:val="005C0232"/>
    <w:rsid w:val="005D0FAE"/>
    <w:rsid w:val="005D246D"/>
    <w:rsid w:val="005D6FA9"/>
    <w:rsid w:val="005E3184"/>
    <w:rsid w:val="005F4EB2"/>
    <w:rsid w:val="00603B55"/>
    <w:rsid w:val="00605300"/>
    <w:rsid w:val="00606B5C"/>
    <w:rsid w:val="00621994"/>
    <w:rsid w:val="006276A2"/>
    <w:rsid w:val="006429D3"/>
    <w:rsid w:val="006455C8"/>
    <w:rsid w:val="00654079"/>
    <w:rsid w:val="006656B2"/>
    <w:rsid w:val="006673BA"/>
    <w:rsid w:val="00671CB8"/>
    <w:rsid w:val="00694684"/>
    <w:rsid w:val="006964F7"/>
    <w:rsid w:val="006A56C9"/>
    <w:rsid w:val="006B0607"/>
    <w:rsid w:val="006B1E7F"/>
    <w:rsid w:val="006B3E58"/>
    <w:rsid w:val="006B4658"/>
    <w:rsid w:val="006B7BCE"/>
    <w:rsid w:val="006C2B33"/>
    <w:rsid w:val="006C5BF5"/>
    <w:rsid w:val="006C62AD"/>
    <w:rsid w:val="006D5056"/>
    <w:rsid w:val="006E21FE"/>
    <w:rsid w:val="006E48EB"/>
    <w:rsid w:val="006E5C56"/>
    <w:rsid w:val="0070763A"/>
    <w:rsid w:val="00725FCD"/>
    <w:rsid w:val="0073007D"/>
    <w:rsid w:val="00737B82"/>
    <w:rsid w:val="007436C3"/>
    <w:rsid w:val="00746E3F"/>
    <w:rsid w:val="00760748"/>
    <w:rsid w:val="007621B6"/>
    <w:rsid w:val="00762AD3"/>
    <w:rsid w:val="007658D7"/>
    <w:rsid w:val="00765A5E"/>
    <w:rsid w:val="00766B75"/>
    <w:rsid w:val="00772EC1"/>
    <w:rsid w:val="00775468"/>
    <w:rsid w:val="00776C72"/>
    <w:rsid w:val="00796356"/>
    <w:rsid w:val="007A22F6"/>
    <w:rsid w:val="007A7DA5"/>
    <w:rsid w:val="007B3A0A"/>
    <w:rsid w:val="007C23C0"/>
    <w:rsid w:val="007C5995"/>
    <w:rsid w:val="007D57E8"/>
    <w:rsid w:val="00805C49"/>
    <w:rsid w:val="00817E07"/>
    <w:rsid w:val="00835907"/>
    <w:rsid w:val="008417AB"/>
    <w:rsid w:val="00852F28"/>
    <w:rsid w:val="00871370"/>
    <w:rsid w:val="008852BB"/>
    <w:rsid w:val="0088675E"/>
    <w:rsid w:val="008873E6"/>
    <w:rsid w:val="008A4A5F"/>
    <w:rsid w:val="008A7C29"/>
    <w:rsid w:val="008B230D"/>
    <w:rsid w:val="008C1282"/>
    <w:rsid w:val="008D0532"/>
    <w:rsid w:val="008D2B55"/>
    <w:rsid w:val="008D727E"/>
    <w:rsid w:val="008D7B92"/>
    <w:rsid w:val="008E3588"/>
    <w:rsid w:val="008E3661"/>
    <w:rsid w:val="008E4585"/>
    <w:rsid w:val="008F4BAB"/>
    <w:rsid w:val="008F7A5C"/>
    <w:rsid w:val="00900B99"/>
    <w:rsid w:val="00902081"/>
    <w:rsid w:val="00910548"/>
    <w:rsid w:val="00915E18"/>
    <w:rsid w:val="00920743"/>
    <w:rsid w:val="00925192"/>
    <w:rsid w:val="00933DB9"/>
    <w:rsid w:val="00933DF3"/>
    <w:rsid w:val="00934AB2"/>
    <w:rsid w:val="00945579"/>
    <w:rsid w:val="0094601C"/>
    <w:rsid w:val="009568CB"/>
    <w:rsid w:val="00963D18"/>
    <w:rsid w:val="00972AB8"/>
    <w:rsid w:val="0098074F"/>
    <w:rsid w:val="009848B7"/>
    <w:rsid w:val="009962E5"/>
    <w:rsid w:val="009A7186"/>
    <w:rsid w:val="009B4850"/>
    <w:rsid w:val="009B72BF"/>
    <w:rsid w:val="009C4188"/>
    <w:rsid w:val="009C5EE6"/>
    <w:rsid w:val="009D0343"/>
    <w:rsid w:val="009D2B56"/>
    <w:rsid w:val="009E2EA8"/>
    <w:rsid w:val="009E44CA"/>
    <w:rsid w:val="00A003DC"/>
    <w:rsid w:val="00A102AD"/>
    <w:rsid w:val="00A11C2A"/>
    <w:rsid w:val="00A12E74"/>
    <w:rsid w:val="00A2068A"/>
    <w:rsid w:val="00A2167C"/>
    <w:rsid w:val="00A22286"/>
    <w:rsid w:val="00A3649C"/>
    <w:rsid w:val="00A44819"/>
    <w:rsid w:val="00A52958"/>
    <w:rsid w:val="00A62A55"/>
    <w:rsid w:val="00A63879"/>
    <w:rsid w:val="00A64C66"/>
    <w:rsid w:val="00A75C34"/>
    <w:rsid w:val="00A77897"/>
    <w:rsid w:val="00A81078"/>
    <w:rsid w:val="00A90991"/>
    <w:rsid w:val="00A958F0"/>
    <w:rsid w:val="00AB1BC3"/>
    <w:rsid w:val="00AB62A1"/>
    <w:rsid w:val="00AB7B92"/>
    <w:rsid w:val="00AC16AC"/>
    <w:rsid w:val="00AC6003"/>
    <w:rsid w:val="00AE4F7E"/>
    <w:rsid w:val="00AE5E75"/>
    <w:rsid w:val="00AF71DF"/>
    <w:rsid w:val="00B01D9C"/>
    <w:rsid w:val="00B02FD4"/>
    <w:rsid w:val="00B03B05"/>
    <w:rsid w:val="00B04925"/>
    <w:rsid w:val="00B12DA2"/>
    <w:rsid w:val="00B149E8"/>
    <w:rsid w:val="00B16C8B"/>
    <w:rsid w:val="00B1707F"/>
    <w:rsid w:val="00B17AC2"/>
    <w:rsid w:val="00B307B7"/>
    <w:rsid w:val="00B345DF"/>
    <w:rsid w:val="00B37ECA"/>
    <w:rsid w:val="00B42130"/>
    <w:rsid w:val="00B42F7C"/>
    <w:rsid w:val="00B47476"/>
    <w:rsid w:val="00B51940"/>
    <w:rsid w:val="00B5500F"/>
    <w:rsid w:val="00B6189B"/>
    <w:rsid w:val="00B6732F"/>
    <w:rsid w:val="00B7597F"/>
    <w:rsid w:val="00B9246A"/>
    <w:rsid w:val="00B9474C"/>
    <w:rsid w:val="00BA5A5E"/>
    <w:rsid w:val="00BB48B9"/>
    <w:rsid w:val="00BC0CA6"/>
    <w:rsid w:val="00BC4A53"/>
    <w:rsid w:val="00BC79D1"/>
    <w:rsid w:val="00BD1E47"/>
    <w:rsid w:val="00BD3344"/>
    <w:rsid w:val="00BD4203"/>
    <w:rsid w:val="00BE1752"/>
    <w:rsid w:val="00BE7606"/>
    <w:rsid w:val="00C11E0F"/>
    <w:rsid w:val="00C24BF6"/>
    <w:rsid w:val="00C35370"/>
    <w:rsid w:val="00C42A1E"/>
    <w:rsid w:val="00C523B2"/>
    <w:rsid w:val="00C55EA5"/>
    <w:rsid w:val="00C56D24"/>
    <w:rsid w:val="00C60000"/>
    <w:rsid w:val="00C60D88"/>
    <w:rsid w:val="00C635A8"/>
    <w:rsid w:val="00C81850"/>
    <w:rsid w:val="00C82924"/>
    <w:rsid w:val="00C87FBC"/>
    <w:rsid w:val="00CA02DA"/>
    <w:rsid w:val="00CA6A3B"/>
    <w:rsid w:val="00CB6CAE"/>
    <w:rsid w:val="00CB7E4F"/>
    <w:rsid w:val="00CC4214"/>
    <w:rsid w:val="00CE6FB5"/>
    <w:rsid w:val="00D01B54"/>
    <w:rsid w:val="00D10FF2"/>
    <w:rsid w:val="00D126EB"/>
    <w:rsid w:val="00D154C8"/>
    <w:rsid w:val="00D15584"/>
    <w:rsid w:val="00D178E8"/>
    <w:rsid w:val="00D22299"/>
    <w:rsid w:val="00D2229A"/>
    <w:rsid w:val="00D22D44"/>
    <w:rsid w:val="00D2451D"/>
    <w:rsid w:val="00D2674F"/>
    <w:rsid w:val="00D31A0A"/>
    <w:rsid w:val="00D35199"/>
    <w:rsid w:val="00D4051A"/>
    <w:rsid w:val="00D45072"/>
    <w:rsid w:val="00D659F6"/>
    <w:rsid w:val="00D762DB"/>
    <w:rsid w:val="00D811C5"/>
    <w:rsid w:val="00D86644"/>
    <w:rsid w:val="00DA3A5A"/>
    <w:rsid w:val="00DA4A6D"/>
    <w:rsid w:val="00DA4C26"/>
    <w:rsid w:val="00DB1796"/>
    <w:rsid w:val="00DB5E17"/>
    <w:rsid w:val="00DB6945"/>
    <w:rsid w:val="00DD1019"/>
    <w:rsid w:val="00DD2D0F"/>
    <w:rsid w:val="00DD5597"/>
    <w:rsid w:val="00DD5646"/>
    <w:rsid w:val="00DE60AB"/>
    <w:rsid w:val="00DE6499"/>
    <w:rsid w:val="00DE65C7"/>
    <w:rsid w:val="00DF239C"/>
    <w:rsid w:val="00DF4CEB"/>
    <w:rsid w:val="00DF6AA2"/>
    <w:rsid w:val="00E07320"/>
    <w:rsid w:val="00E123AB"/>
    <w:rsid w:val="00E24443"/>
    <w:rsid w:val="00E3314A"/>
    <w:rsid w:val="00E3410D"/>
    <w:rsid w:val="00E4711B"/>
    <w:rsid w:val="00E50351"/>
    <w:rsid w:val="00E50F49"/>
    <w:rsid w:val="00E670FA"/>
    <w:rsid w:val="00E90524"/>
    <w:rsid w:val="00E94C87"/>
    <w:rsid w:val="00E94EC2"/>
    <w:rsid w:val="00EC4620"/>
    <w:rsid w:val="00ED4BDA"/>
    <w:rsid w:val="00ED5AFB"/>
    <w:rsid w:val="00EE6EAF"/>
    <w:rsid w:val="00EE7787"/>
    <w:rsid w:val="00EF0FBF"/>
    <w:rsid w:val="00EF32F5"/>
    <w:rsid w:val="00EF6E7B"/>
    <w:rsid w:val="00F012CC"/>
    <w:rsid w:val="00F02976"/>
    <w:rsid w:val="00F07659"/>
    <w:rsid w:val="00F10FFF"/>
    <w:rsid w:val="00F20818"/>
    <w:rsid w:val="00F22DD7"/>
    <w:rsid w:val="00F267E0"/>
    <w:rsid w:val="00F340F2"/>
    <w:rsid w:val="00F45213"/>
    <w:rsid w:val="00F458BE"/>
    <w:rsid w:val="00F52D66"/>
    <w:rsid w:val="00F628B6"/>
    <w:rsid w:val="00F7080A"/>
    <w:rsid w:val="00F770DC"/>
    <w:rsid w:val="00FB1179"/>
    <w:rsid w:val="00FB6F4C"/>
    <w:rsid w:val="00FD4C68"/>
    <w:rsid w:val="00FE06AB"/>
    <w:rsid w:val="00FF2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rPr>
  </w:style>
  <w:style w:type="paragraph" w:styleId="Heading1">
    <w:name w:val="heading 1"/>
    <w:basedOn w:val="Normal"/>
    <w:next w:val="Normal"/>
    <w:link w:val="Heading1Char"/>
    <w:qFormat/>
    <w:rsid w:val="00442FE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able Gridbeth"/>
    <w:basedOn w:val="TableNormal"/>
    <w:rsid w:val="002A57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850"/>
    <w:rPr>
      <w:rFonts w:ascii="Tahoma" w:hAnsi="Tahoma" w:cs="Tahoma"/>
      <w:sz w:val="16"/>
      <w:szCs w:val="16"/>
    </w:rPr>
  </w:style>
  <w:style w:type="paragraph" w:styleId="Header">
    <w:name w:val="header"/>
    <w:basedOn w:val="Normal"/>
    <w:rsid w:val="009B4850"/>
    <w:pPr>
      <w:tabs>
        <w:tab w:val="center" w:pos="4153"/>
        <w:tab w:val="right" w:pos="8306"/>
      </w:tabs>
    </w:pPr>
  </w:style>
  <w:style w:type="paragraph" w:styleId="Footer">
    <w:name w:val="footer"/>
    <w:aliases w:val="Page Footer"/>
    <w:basedOn w:val="Normal"/>
    <w:rsid w:val="009B4850"/>
    <w:pPr>
      <w:tabs>
        <w:tab w:val="center" w:pos="4153"/>
        <w:tab w:val="right" w:pos="8306"/>
      </w:tabs>
    </w:pPr>
  </w:style>
  <w:style w:type="paragraph" w:customStyle="1" w:styleId="Default">
    <w:name w:val="Default"/>
    <w:rsid w:val="0000132B"/>
    <w:pPr>
      <w:widowControl w:val="0"/>
      <w:autoSpaceDE w:val="0"/>
      <w:autoSpaceDN w:val="0"/>
      <w:adjustRightInd w:val="0"/>
    </w:pPr>
    <w:rPr>
      <w:color w:val="000000"/>
      <w:sz w:val="24"/>
      <w:szCs w:val="24"/>
      <w:lang w:val="en-US" w:eastAsia="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basedOn w:val="Normal"/>
    <w:semiHidden/>
    <w:rsid w:val="00B149E8"/>
    <w:rPr>
      <w:sz w:val="20"/>
      <w:szCs w:val="20"/>
    </w:rPr>
  </w:style>
  <w:style w:type="character" w:styleId="FootnoteReference">
    <w:name w:val="footnote reference"/>
    <w:semiHidden/>
    <w:rsid w:val="00B149E8"/>
    <w:rPr>
      <w:vertAlign w:val="superscript"/>
    </w:rPr>
  </w:style>
  <w:style w:type="paragraph" w:styleId="BodyText3">
    <w:name w:val="Body Text 3"/>
    <w:basedOn w:val="Normal"/>
    <w:rsid w:val="00BD3344"/>
    <w:pPr>
      <w:widowControl w:val="0"/>
      <w:jc w:val="both"/>
    </w:pPr>
    <w:rPr>
      <w:snapToGrid w:val="0"/>
      <w:color w:val="0000FF"/>
      <w:szCs w:val="20"/>
      <w:lang w:eastAsia="en-US"/>
    </w:rPr>
  </w:style>
  <w:style w:type="paragraph" w:styleId="CommentText">
    <w:name w:val="annotation text"/>
    <w:basedOn w:val="Normal"/>
    <w:link w:val="CommentTextChar"/>
    <w:semiHidden/>
    <w:rsid w:val="00BD3344"/>
    <w:pPr>
      <w:widowControl w:val="0"/>
      <w:jc w:val="both"/>
    </w:pPr>
    <w:rPr>
      <w:snapToGrid w:val="0"/>
      <w:sz w:val="20"/>
      <w:szCs w:val="20"/>
      <w:lang w:val="x-none" w:eastAsia="en-US"/>
    </w:rPr>
  </w:style>
  <w:style w:type="character" w:customStyle="1" w:styleId="CommentTextChar">
    <w:name w:val="Comment Text Char"/>
    <w:link w:val="CommentText"/>
    <w:semiHidden/>
    <w:rsid w:val="00BD3344"/>
    <w:rPr>
      <w:snapToGrid w:val="0"/>
      <w:lang w:val="x-none" w:eastAsia="en-US" w:bidi="ar-SA"/>
    </w:rPr>
  </w:style>
  <w:style w:type="paragraph" w:customStyle="1" w:styleId="Tabletext">
    <w:name w:val="Table text"/>
    <w:basedOn w:val="Normal"/>
    <w:link w:val="TabletextChar"/>
    <w:rsid w:val="00BD3344"/>
    <w:pPr>
      <w:spacing w:after="120"/>
    </w:pPr>
    <w:rPr>
      <w:rFonts w:ascii="Arial" w:hAnsi="Arial"/>
      <w:sz w:val="20"/>
      <w:szCs w:val="20"/>
      <w:lang w:eastAsia="en-US"/>
    </w:rPr>
  </w:style>
  <w:style w:type="character" w:customStyle="1" w:styleId="TabletextChar">
    <w:name w:val="Table text Char"/>
    <w:link w:val="Tabletext"/>
    <w:rsid w:val="00BD3344"/>
    <w:rPr>
      <w:rFonts w:ascii="Arial" w:hAnsi="Arial"/>
      <w:lang w:val="en-AU" w:eastAsia="en-US" w:bidi="ar-SA"/>
    </w:rPr>
  </w:style>
  <w:style w:type="character" w:styleId="Hyperlink">
    <w:name w:val="Hyperlink"/>
    <w:rsid w:val="00DA3A5A"/>
    <w:rPr>
      <w:color w:val="0000FF"/>
      <w:u w:val="single"/>
    </w:rPr>
  </w:style>
  <w:style w:type="character" w:customStyle="1" w:styleId="Heading1Char">
    <w:name w:val="Heading 1 Char"/>
    <w:basedOn w:val="DefaultParagraphFont"/>
    <w:link w:val="Heading1"/>
    <w:rsid w:val="00442FEC"/>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rPr>
  </w:style>
  <w:style w:type="paragraph" w:styleId="Heading1">
    <w:name w:val="heading 1"/>
    <w:basedOn w:val="Normal"/>
    <w:next w:val="Normal"/>
    <w:link w:val="Heading1Char"/>
    <w:qFormat/>
    <w:rsid w:val="00442FE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able Gridbeth"/>
    <w:basedOn w:val="TableNormal"/>
    <w:rsid w:val="002A57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850"/>
    <w:rPr>
      <w:rFonts w:ascii="Tahoma" w:hAnsi="Tahoma" w:cs="Tahoma"/>
      <w:sz w:val="16"/>
      <w:szCs w:val="16"/>
    </w:rPr>
  </w:style>
  <w:style w:type="paragraph" w:styleId="Header">
    <w:name w:val="header"/>
    <w:basedOn w:val="Normal"/>
    <w:rsid w:val="009B4850"/>
    <w:pPr>
      <w:tabs>
        <w:tab w:val="center" w:pos="4153"/>
        <w:tab w:val="right" w:pos="8306"/>
      </w:tabs>
    </w:pPr>
  </w:style>
  <w:style w:type="paragraph" w:styleId="Footer">
    <w:name w:val="footer"/>
    <w:aliases w:val="Page Footer"/>
    <w:basedOn w:val="Normal"/>
    <w:rsid w:val="009B4850"/>
    <w:pPr>
      <w:tabs>
        <w:tab w:val="center" w:pos="4153"/>
        <w:tab w:val="right" w:pos="8306"/>
      </w:tabs>
    </w:pPr>
  </w:style>
  <w:style w:type="paragraph" w:customStyle="1" w:styleId="Default">
    <w:name w:val="Default"/>
    <w:rsid w:val="0000132B"/>
    <w:pPr>
      <w:widowControl w:val="0"/>
      <w:autoSpaceDE w:val="0"/>
      <w:autoSpaceDN w:val="0"/>
      <w:adjustRightInd w:val="0"/>
    </w:pPr>
    <w:rPr>
      <w:color w:val="000000"/>
      <w:sz w:val="24"/>
      <w:szCs w:val="24"/>
      <w:lang w:val="en-US" w:eastAsia="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basedOn w:val="Normal"/>
    <w:semiHidden/>
    <w:rsid w:val="00B149E8"/>
    <w:rPr>
      <w:sz w:val="20"/>
      <w:szCs w:val="20"/>
    </w:rPr>
  </w:style>
  <w:style w:type="character" w:styleId="FootnoteReference">
    <w:name w:val="footnote reference"/>
    <w:semiHidden/>
    <w:rsid w:val="00B149E8"/>
    <w:rPr>
      <w:vertAlign w:val="superscript"/>
    </w:rPr>
  </w:style>
  <w:style w:type="paragraph" w:styleId="BodyText3">
    <w:name w:val="Body Text 3"/>
    <w:basedOn w:val="Normal"/>
    <w:rsid w:val="00BD3344"/>
    <w:pPr>
      <w:widowControl w:val="0"/>
      <w:jc w:val="both"/>
    </w:pPr>
    <w:rPr>
      <w:snapToGrid w:val="0"/>
      <w:color w:val="0000FF"/>
      <w:szCs w:val="20"/>
      <w:lang w:eastAsia="en-US"/>
    </w:rPr>
  </w:style>
  <w:style w:type="paragraph" w:styleId="CommentText">
    <w:name w:val="annotation text"/>
    <w:basedOn w:val="Normal"/>
    <w:link w:val="CommentTextChar"/>
    <w:semiHidden/>
    <w:rsid w:val="00BD3344"/>
    <w:pPr>
      <w:widowControl w:val="0"/>
      <w:jc w:val="both"/>
    </w:pPr>
    <w:rPr>
      <w:snapToGrid w:val="0"/>
      <w:sz w:val="20"/>
      <w:szCs w:val="20"/>
      <w:lang w:val="x-none" w:eastAsia="en-US"/>
    </w:rPr>
  </w:style>
  <w:style w:type="character" w:customStyle="1" w:styleId="CommentTextChar">
    <w:name w:val="Comment Text Char"/>
    <w:link w:val="CommentText"/>
    <w:semiHidden/>
    <w:rsid w:val="00BD3344"/>
    <w:rPr>
      <w:snapToGrid w:val="0"/>
      <w:lang w:val="x-none" w:eastAsia="en-US" w:bidi="ar-SA"/>
    </w:rPr>
  </w:style>
  <w:style w:type="paragraph" w:customStyle="1" w:styleId="Tabletext">
    <w:name w:val="Table text"/>
    <w:basedOn w:val="Normal"/>
    <w:link w:val="TabletextChar"/>
    <w:rsid w:val="00BD3344"/>
    <w:pPr>
      <w:spacing w:after="120"/>
    </w:pPr>
    <w:rPr>
      <w:rFonts w:ascii="Arial" w:hAnsi="Arial"/>
      <w:sz w:val="20"/>
      <w:szCs w:val="20"/>
      <w:lang w:eastAsia="en-US"/>
    </w:rPr>
  </w:style>
  <w:style w:type="character" w:customStyle="1" w:styleId="TabletextChar">
    <w:name w:val="Table text Char"/>
    <w:link w:val="Tabletext"/>
    <w:rsid w:val="00BD3344"/>
    <w:rPr>
      <w:rFonts w:ascii="Arial" w:hAnsi="Arial"/>
      <w:lang w:val="en-AU" w:eastAsia="en-US" w:bidi="ar-SA"/>
    </w:rPr>
  </w:style>
  <w:style w:type="character" w:styleId="Hyperlink">
    <w:name w:val="Hyperlink"/>
    <w:rsid w:val="00DA3A5A"/>
    <w:rPr>
      <w:color w:val="0000FF"/>
      <w:u w:val="single"/>
    </w:rPr>
  </w:style>
  <w:style w:type="character" w:customStyle="1" w:styleId="Heading1Char">
    <w:name w:val="Heading 1 Char"/>
    <w:basedOn w:val="DefaultParagraphFont"/>
    <w:link w:val="Heading1"/>
    <w:rsid w:val="00442FEC"/>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2201</Words>
  <Characters>13320</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PUBLIC SUMMARY DOCUMENT</vt:lpstr>
    </vt:vector>
  </TitlesOfParts>
  <Company>DHA</Company>
  <LinksUpToDate>false</LinksUpToDate>
  <CharactersWithSpaces>15491</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dc:title>
  <dc:creator>Ricky Bolton</dc:creator>
  <cp:lastModifiedBy>Thomas Gareth</cp:lastModifiedBy>
  <cp:revision>3</cp:revision>
  <cp:lastPrinted>2012-06-25T23:18:00Z</cp:lastPrinted>
  <dcterms:created xsi:type="dcterms:W3CDTF">2014-11-09T22:47:00Z</dcterms:created>
  <dcterms:modified xsi:type="dcterms:W3CDTF">2014-11-09T22:50:00Z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